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Arial" w:hAnsi="Arial" w:eastAsia="黑体"/>
          <w:b/>
          <w:bCs/>
          <w:color w:val="000000"/>
          <w:sz w:val="84"/>
          <w:szCs w:val="24"/>
        </w:rPr>
      </w:r>
      <w:r/>
    </w:p>
    <w:p>
      <w:pPr>
        <w:pStyle w:val="1013"/>
        <w:rPr>
          <w:rFonts w:hint="eastAsia"/>
          <w:color w:val="000000"/>
        </w:rPr>
      </w:pPr>
      <w:r>
        <w:rPr>
          <w:rFonts w:hint="eastAsia"/>
          <w:color w:val="000000"/>
        </w:rPr>
      </w:r>
      <w:r/>
    </w:p>
    <w:p>
      <w:pPr>
        <w:pStyle w:val="103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934"/>
        <w:ind w:firstLine="1506"/>
        <w:rPr>
          <w:b/>
          <w:color w:val="000000"/>
          <w:sz w:val="30"/>
          <w:szCs w:val="30"/>
          <w:u w:val="single"/>
        </w:rPr>
      </w:pPr>
      <w:r>
        <w:rPr>
          <w:rFonts w:hint="eastAsia"/>
          <w:b/>
          <w:color w:val="000000"/>
          <w:sz w:val="30"/>
          <w:szCs w:val="30"/>
        </w:rPr>
        <w:t xml:space="preserve">项目名称：智慧规划资源2025标段一</w:t>
      </w:r>
      <w:r>
        <w:rPr>
          <w:rFonts w:hint="eastAsia"/>
          <w:b/>
          <w:color w:val="000000"/>
          <w:sz w:val="32"/>
          <w:szCs w:val="32"/>
        </w:rPr>
        <w:t xml:space="preserve"> </w:t>
      </w:r>
      <w:r>
        <w:rPr>
          <w:b/>
          <w:color w:val="000000"/>
          <w:sz w:val="30"/>
          <w:szCs w:val="30"/>
          <w:u w:val="single"/>
        </w:rPr>
      </w:r>
      <w:r/>
    </w:p>
    <w:p>
      <w:pPr>
        <w:pStyle w:val="934"/>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JSZC-320100-JZCG-G2026-0361 </w:t>
      </w:r>
      <w:r>
        <w:rPr>
          <w:rFonts w:hint="eastAsia"/>
          <w:b/>
          <w:color w:val="000000"/>
          <w:sz w:val="30"/>
          <w:szCs w:val="30"/>
        </w:rPr>
        <w:t xml:space="preserve"> </w:t>
      </w:r>
      <w:r>
        <w:rPr>
          <w:rFonts w:hint="eastAsia"/>
          <w:b/>
          <w:color w:val="000000"/>
          <w:sz w:val="30"/>
          <w:szCs w:val="30"/>
        </w:rPr>
        <w:t xml:space="preserve"> </w:t>
      </w:r>
      <w:r>
        <w:rPr>
          <w:rFonts w:hint="eastAsia"/>
          <w:b/>
          <w:color w:val="000000"/>
          <w:sz w:val="30"/>
          <w:szCs w:val="30"/>
        </w:rPr>
        <w:t xml:space="preserve">            </w:t>
      </w:r>
      <w:r>
        <w:rPr>
          <w:rFonts w:hint="eastAsia"/>
          <w:b/>
          <w:color w:val="000000"/>
          <w:sz w:val="30"/>
          <w:szCs w:val="30"/>
        </w:rPr>
      </w:r>
      <w:r/>
    </w:p>
    <w:p>
      <w:pPr>
        <w:pStyle w:val="934"/>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0"/>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934"/>
        <w:jc w:val="center"/>
        <w:rPr>
          <w:rFonts w:hint="eastAsia"/>
          <w:b/>
          <w:color w:val="000000"/>
          <w:sz w:val="32"/>
          <w:szCs w:val="32"/>
        </w:rPr>
      </w:pPr>
      <w:r>
        <w:rPr>
          <w:rFonts w:hint="eastAsia"/>
          <w:b/>
          <w:color w:val="000000"/>
          <w:sz w:val="32"/>
          <w:szCs w:val="32"/>
        </w:rPr>
        <w:t xml:space="preserve">2026年10月</w:t>
      </w:r>
      <w:r>
        <w:rPr>
          <w:rFonts w:hint="eastAsia"/>
          <w:b/>
          <w:color w:val="000000"/>
          <w:sz w:val="32"/>
          <w:szCs w:val="32"/>
        </w:rPr>
      </w:r>
      <w:r/>
    </w:p>
    <w:p>
      <w:pPr>
        <w:pStyle w:val="93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1013"/>
        <w:rPr>
          <w:rFonts w:hint="eastAsia"/>
          <w:color w:val="000000"/>
        </w:rPr>
      </w:pPr>
      <w:r>
        <w:rPr>
          <w:rFonts w:hint="eastAsia"/>
          <w:color w:val="000000"/>
        </w:rPr>
      </w:r>
      <w:r/>
    </w:p>
    <w:p>
      <w:pPr>
        <w:pStyle w:val="934"/>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3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34"/>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w:t>
      </w:r>
      <w:r>
        <w:rPr>
          <w:rFonts w:hint="eastAsia" w:ascii="黑体" w:hAnsi="宋体" w:eastAsia="黑体"/>
          <w:color w:val="000000"/>
          <w:sz w:val="36"/>
          <w:lang w:val="en-US" w:eastAsia="zh-CN"/>
        </w:rPr>
        <w:t xml:space="preserve">3</w:t>
      </w:r>
      <w:r>
        <w:rPr>
          <w:rFonts w:hint="eastAsia" w:ascii="黑体" w:hAnsi="宋体" w:eastAsia="黑体"/>
          <w:color w:val="000000"/>
          <w:sz w:val="36"/>
        </w:rPr>
      </w:r>
      <w:r/>
    </w:p>
    <w:p>
      <w:pPr>
        <w:pStyle w:val="934"/>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934"/>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15</w:t>
      </w:r>
      <w:r>
        <w:rPr>
          <w:rFonts w:hint="eastAsia" w:ascii="黑体" w:hAnsi="宋体" w:eastAsia="黑体"/>
          <w:color w:val="000000"/>
          <w:sz w:val="36"/>
        </w:rPr>
      </w:r>
      <w:r/>
    </w:p>
    <w:p>
      <w:pPr>
        <w:pStyle w:val="934"/>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18</w:t>
      </w:r>
      <w:r>
        <w:rPr>
          <w:rFonts w:hint="eastAsia" w:ascii="黑体" w:hAnsi="宋体" w:eastAsia="黑体"/>
          <w:color w:val="000000"/>
          <w:sz w:val="36"/>
        </w:rPr>
      </w:r>
      <w:r/>
    </w:p>
    <w:p>
      <w:pPr>
        <w:pStyle w:val="934"/>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30</w:t>
      </w:r>
      <w:r>
        <w:rPr>
          <w:rFonts w:hint="eastAsia" w:ascii="黑体" w:hAnsi="宋体" w:eastAsia="黑体"/>
          <w:color w:val="000000"/>
          <w:sz w:val="36"/>
        </w:rPr>
      </w:r>
      <w:r/>
    </w:p>
    <w:p>
      <w:pPr>
        <w:pStyle w:val="934"/>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34</w:t>
      </w:r>
      <w:r>
        <w:rPr>
          <w:rFonts w:hint="eastAsia" w:ascii="黑体" w:hAnsi="宋体" w:eastAsia="黑体"/>
          <w:color w:val="000000"/>
          <w:sz w:val="36"/>
        </w:rPr>
      </w:r>
      <w:r/>
    </w:p>
    <w:p>
      <w:pPr>
        <w:pStyle w:val="934"/>
        <w:rPr>
          <w:rFonts w:hint="eastAsia"/>
          <w:color w:val="000000"/>
        </w:rPr>
      </w:pPr>
      <w:r>
        <w:rPr>
          <w:rFonts w:hint="eastAsia"/>
          <w:color w:val="000000"/>
        </w:rPr>
      </w:r>
      <w:r/>
    </w:p>
    <w:p>
      <w:pPr>
        <w:pStyle w:val="934"/>
        <w:rPr>
          <w:rFonts w:hint="eastAsia"/>
          <w:color w:val="000000"/>
        </w:rPr>
      </w:pPr>
      <w:r>
        <w:rPr>
          <w:rFonts w:hint="eastAsia"/>
          <w:color w:val="000000"/>
        </w:rPr>
      </w:r>
      <w:r/>
    </w:p>
    <w:p>
      <w:pPr>
        <w:pStyle w:val="934"/>
        <w:rPr>
          <w:rFonts w:hint="eastAsia"/>
          <w:color w:val="000000"/>
        </w:rPr>
      </w:pPr>
      <w:r>
        <w:rPr>
          <w:rFonts w:hint="eastAsia"/>
          <w:color w:val="000000"/>
        </w:rPr>
      </w:r>
      <w:r/>
    </w:p>
    <w:p>
      <w:pPr>
        <w:pStyle w:val="934"/>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938"/>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34"/>
        <w:ind w:firstLine="480"/>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olor w:val="000000"/>
          <w:sz w:val="24"/>
          <w:szCs w:val="24"/>
        </w:rPr>
        <w:t xml:space="preserve">JSZC-320100-JZCG-G2026-0361</w:t>
      </w:r>
      <w:r>
        <w:rPr>
          <w:rFonts w:ascii="宋体" w:hAnsi="宋体"/>
          <w:color w:val="000000"/>
          <w:sz w:val="24"/>
          <w:szCs w:val="24"/>
        </w:rPr>
      </w:r>
      <w:r/>
    </w:p>
    <w:p>
      <w:pPr>
        <w:pStyle w:val="934"/>
        <w:ind w:firstLine="480"/>
        <w:rPr>
          <w:rFonts w:hint="eastAsia" w:ascii="宋体" w:hAnsi="宋体"/>
          <w:color w:val="000000"/>
          <w:sz w:val="24"/>
          <w:szCs w:val="24"/>
        </w:rPr>
      </w:pPr>
      <w:r>
        <w:rPr>
          <w:rFonts w:hint="eastAsia" w:ascii="宋体" w:hAnsi="宋体"/>
          <w:color w:val="000000"/>
          <w:sz w:val="24"/>
          <w:szCs w:val="24"/>
        </w:rPr>
        <w:t xml:space="preserve">2.项目名称：智慧规划资源2025标段一</w:t>
      </w:r>
      <w:r>
        <w:rPr>
          <w:rFonts w:hint="eastAsia" w:ascii="宋体" w:hAnsi="宋体"/>
          <w:color w:val="000000"/>
          <w:sz w:val="24"/>
          <w:szCs w:val="24"/>
        </w:rPr>
      </w:r>
      <w:r/>
    </w:p>
    <w:p>
      <w:pPr>
        <w:pStyle w:val="934"/>
        <w:ind w:firstLine="480"/>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707万元</w:t>
      </w:r>
      <w:r>
        <w:rPr>
          <w:rFonts w:ascii="宋体" w:hAnsi="宋体"/>
          <w:color w:val="000000"/>
          <w:sz w:val="24"/>
          <w:szCs w:val="24"/>
        </w:rPr>
      </w:r>
      <w:r/>
    </w:p>
    <w:p>
      <w:pPr>
        <w:pStyle w:val="934"/>
        <w:ind w:firstLine="480"/>
        <w:rPr>
          <w:rFonts w:hint="eastAsia" w:ascii="宋体" w:hAnsi="宋体"/>
          <w:color w:val="000000"/>
          <w:sz w:val="24"/>
          <w:szCs w:val="24"/>
        </w:rPr>
      </w:pPr>
      <w:r>
        <w:rPr>
          <w:rFonts w:hint="eastAsia" w:ascii="宋体" w:hAnsi="宋体"/>
          <w:color w:val="000000"/>
          <w:sz w:val="24"/>
          <w:szCs w:val="24"/>
        </w:rPr>
        <w:t xml:space="preserve">4.最高限价：</w:t>
      </w:r>
      <w:r>
        <w:rPr>
          <w:rFonts w:hint="eastAsia" w:ascii="宋体" w:hAnsi="宋体"/>
          <w:color w:val="000000"/>
          <w:sz w:val="24"/>
          <w:szCs w:val="24"/>
        </w:rPr>
        <w:t xml:space="preserve">707万元</w:t>
      </w:r>
      <w:r>
        <w:rPr>
          <w:rFonts w:hint="eastAsia" w:ascii="宋体" w:hAnsi="宋体"/>
          <w:color w:val="000000"/>
          <w:sz w:val="24"/>
          <w:szCs w:val="24"/>
        </w:rPr>
      </w:r>
      <w:r/>
    </w:p>
    <w:p>
      <w:pPr>
        <w:pStyle w:val="934"/>
        <w:ind w:firstLine="480"/>
        <w:rPr>
          <w:rFonts w:ascii="宋体" w:hAnsi="宋体"/>
          <w:color w:val="000000"/>
          <w:sz w:val="24"/>
          <w:szCs w:val="24"/>
          <w:u w:val="single"/>
        </w:rPr>
      </w:pPr>
      <w:r>
        <w:rPr>
          <w:rFonts w:hint="eastAsia" w:ascii="宋体" w:hAnsi="宋体"/>
          <w:color w:val="000000"/>
          <w:sz w:val="24"/>
          <w:szCs w:val="24"/>
        </w:rPr>
        <w:t xml:space="preserve">5.采购需求（简介）：项目内容共四项，分别为“互联网+”一体化政务服务系统2025建设内容、南京市规划资源移动应用2025建设内容、不动产登记业务管理及“异地通办”子系统2025建设内容以及南京市智慧耕地保护综合管理子系统2025建设内容。</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34"/>
        <w:ind w:firstLine="480"/>
        <w:rPr>
          <w:rFonts w:hint="eastAsia" w:ascii="宋体" w:hAnsi="宋体"/>
          <w:color w:val="000000"/>
          <w:sz w:val="24"/>
          <w:szCs w:val="24"/>
        </w:rPr>
      </w:pPr>
      <w:r>
        <w:rPr>
          <w:rFonts w:ascii="宋体" w:hAnsi="宋体"/>
          <w:color w:val="000000"/>
          <w:sz w:val="24"/>
          <w:szCs w:val="24"/>
        </w:rPr>
        <w:t xml:space="preserve">6.合同履行期限：1080天（项目实施时间为合同签订后450天内，新建系统（含升级）维保时间为验收合格后630天）</w:t>
      </w:r>
      <w:r>
        <w:rPr>
          <w:rFonts w:hint="eastAsia" w:ascii="宋体" w:hAnsi="宋体"/>
          <w:color w:val="000000"/>
          <w:sz w:val="24"/>
          <w:szCs w:val="24"/>
        </w:rPr>
      </w:r>
      <w:r/>
    </w:p>
    <w:p>
      <w:pPr>
        <w:pStyle w:val="934"/>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联合体投标。</w:t>
      </w:r>
      <w:r>
        <w:rPr>
          <w:rFonts w:hint="eastAsia" w:ascii="宋体" w:hAnsi="宋体" w:cs="宋体"/>
          <w:color w:val="000000"/>
          <w:sz w:val="24"/>
          <w:szCs w:val="24"/>
        </w:rPr>
      </w:r>
      <w:r/>
    </w:p>
    <w:p>
      <w:pPr>
        <w:pStyle w:val="934"/>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8.本项目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进口产品投标。</w:t>
      </w:r>
      <w:r>
        <w:rPr>
          <w:rFonts w:hint="eastAsia" w:ascii="宋体" w:hAnsi="宋体" w:cs="宋体"/>
          <w:color w:val="000000"/>
          <w:sz w:val="24"/>
          <w:szCs w:val="24"/>
        </w:rPr>
      </w:r>
      <w:r/>
    </w:p>
    <w:p>
      <w:pPr>
        <w:pStyle w:val="934"/>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rPr>
          <w:rFonts w:hint="eastAsia" w:ascii="宋体" w:hAnsi="宋体" w:cs="宋体"/>
          <w:color w:val="000000"/>
          <w:sz w:val="24"/>
          <w:szCs w:val="24"/>
        </w:rPr>
      </w:r>
      <w:r/>
    </w:p>
    <w:p>
      <w:pPr>
        <w:pStyle w:val="938"/>
        <w:ind w:firstLine="465"/>
        <w:spacing w:before="145" w:after="145" w:line="240" w:lineRule="auto"/>
        <w:tabs>
          <w:tab w:val="left" w:pos="7593" w:leader="none"/>
        </w:tabs>
        <w:rPr>
          <w:rFonts w:hint="eastAsia" w:ascii="方正黑体_GBK" w:hAnsi="方正黑体_GBK" w:eastAsia="方正黑体_GBK" w:cs="方正黑体_GBK"/>
          <w:b w:val="0"/>
          <w:bCs w:val="0"/>
          <w:color w:val="000000"/>
          <w:sz w:val="30"/>
          <w:szCs w:val="30"/>
        </w:rPr>
      </w:pPr>
      <w:r/>
      <w:bookmarkStart w:id="12" w:name="_Toc35393622"/>
      <w:r/>
      <w:bookmarkStart w:id="13" w:name="_Toc38985264"/>
      <w:r/>
      <w:bookmarkStart w:id="14" w:name="_Toc35393791"/>
      <w:r/>
      <w:bookmarkStart w:id="15" w:name="_Toc28359003"/>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tab/>
      </w:r>
      <w:r>
        <w:rPr>
          <w:rFonts w:hint="eastAsia" w:ascii="方正黑体_GBK" w:hAnsi="方正黑体_GBK" w:eastAsia="方正黑体_GBK" w:cs="方正黑体_GBK"/>
          <w:b w:val="0"/>
          <w:bCs w:val="0"/>
          <w:color w:val="000000"/>
          <w:sz w:val="30"/>
          <w:szCs w:val="30"/>
        </w:rPr>
      </w:r>
      <w:r/>
    </w:p>
    <w:p>
      <w:pPr>
        <w:pStyle w:val="934"/>
        <w:ind w:firstLine="480"/>
        <w:spacing w:line="252" w:lineRule="auto"/>
        <w:rPr>
          <w:rFonts w:hint="eastAsia" w:ascii="宋体" w:hAnsi="宋体"/>
          <w:color w:val="000000"/>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34"/>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rPr>
          <w:rFonts w:hint="eastAsia" w:ascii="宋体" w:hAnsi="宋体"/>
          <w:color w:val="000000"/>
          <w:sz w:val="24"/>
          <w:szCs w:val="24"/>
          <w:lang w:val="zh-CN"/>
        </w:rPr>
      </w:r>
      <w:r/>
    </w:p>
    <w:p>
      <w:pPr>
        <w:pStyle w:val="93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rPr>
      </w:r>
      <w:r/>
    </w:p>
    <w:p>
      <w:pPr>
        <w:pStyle w:val="934"/>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w:t>
      </w:r>
      <w:r>
        <w:rPr>
          <w:rFonts w:hint="eastAsia" w:ascii="宋体" w:hAnsi="宋体"/>
          <w:color w:val="000000"/>
          <w:sz w:val="24"/>
          <w:szCs w:val="24"/>
          <w:lang w:val="zh-CN"/>
        </w:rPr>
        <w:t xml:space="preserve">无。</w:t>
      </w:r>
      <w:r>
        <w:rPr>
          <w:rFonts w:hint="eastAsia" w:ascii="宋体" w:hAnsi="宋体"/>
          <w:color w:val="000000"/>
          <w:sz w:val="24"/>
          <w:szCs w:val="24"/>
          <w:lang w:val="zh-CN"/>
        </w:rPr>
      </w:r>
      <w:r/>
    </w:p>
    <w:p>
      <w:pPr>
        <w:pStyle w:val="934"/>
        <w:ind w:firstLine="480"/>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lang w:val="zh-CN"/>
        </w:rPr>
        <w:t xml:space="preserve">无。</w:t>
      </w:r>
      <w:r>
        <w:rPr>
          <w:rFonts w:hint="eastAsia" w:ascii="宋体" w:hAnsi="宋体"/>
          <w:color w:val="000000"/>
          <w:sz w:val="24"/>
          <w:szCs w:val="24"/>
        </w:rPr>
      </w:r>
      <w:r/>
    </w:p>
    <w:p>
      <w:pPr>
        <w:pStyle w:val="938"/>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34"/>
        <w:ind w:firstLine="480"/>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934"/>
        <w:ind w:firstLine="480"/>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38"/>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34"/>
        <w:ind w:firstLine="480"/>
        <w:rPr>
          <w:rFonts w:hint="eastAsia" w:ascii="宋体" w:hAnsi="宋体"/>
          <w:bCs/>
          <w:color w:val="000000"/>
          <w:sz w:val="24"/>
          <w:szCs w:val="24"/>
          <w:u w:val="single"/>
        </w:rPr>
      </w:pPr>
      <w:r/>
      <w:bookmarkStart w:id="27" w:name="_Toc28359084"/>
      <w:r/>
      <w:bookmarkStart w:id="28" w:name="_Toc35393794"/>
      <w:r/>
      <w:bookmarkStart w:id="29" w:name="_Toc35393625"/>
      <w:r/>
      <w:bookmarkStart w:id="30" w:name="_Toc28359007"/>
      <w:r/>
      <w:bookmarkStart w:id="31" w:name="_Toc38985267"/>
      <w:r>
        <w:rPr>
          <w:rFonts w:hint="eastAsia" w:ascii="宋体" w:hAnsi="宋体" w:cs="宋体"/>
          <w:color w:val="000000"/>
          <w:sz w:val="24"/>
          <w:szCs w:val="24"/>
        </w:rPr>
        <w:t xml:space="preserve">1.提交投标文件截止时间、开标时间：</w:t>
      </w:r>
      <w:r>
        <w:rPr>
          <w:rFonts w:hint="eastAsia" w:ascii="Times New Roman" w:hAnsi="Times New Roman" w:cs="Times New Roman"/>
          <w:bCs/>
          <w:color w:val="000000"/>
          <w:sz w:val="24"/>
          <w:szCs w:val="24"/>
        </w:rPr>
        <w:t xml:space="preserve">20</w:t>
      </w:r>
      <w:r>
        <w:rPr>
          <w:rFonts w:hint="eastAsia" w:ascii="Times New Roman" w:hAnsi="Times New Roman" w:cs="Times New Roman"/>
          <w:color w:val="000000"/>
          <w:sz w:val="24"/>
          <w:szCs w:val="24"/>
        </w:rPr>
        <w:t xml:space="preserve">26</w:t>
      </w:r>
      <w:r>
        <w:rPr>
          <w:rFonts w:hint="eastAsia" w:ascii="Times New Roman" w:hAnsi="Times New Roman" w:eastAsia="Times New Roman" w:cs="Times New Roman"/>
          <w:bCs/>
          <w:color w:val="000000"/>
          <w:sz w:val="24"/>
          <w:szCs w:val="24"/>
        </w:rPr>
        <w:t xml:space="preserve">年</w:t>
      </w:r>
      <w:r>
        <w:rPr>
          <w:rFonts w:hint="eastAsia" w:ascii="Times New Roman" w:hAnsi="Times New Roman" w:cs="Times New Roman"/>
          <w:color w:val="000000"/>
          <w:sz w:val="24"/>
          <w:szCs w:val="24"/>
        </w:rPr>
        <w:t xml:space="preserve">11</w:t>
      </w:r>
      <w:r>
        <w:rPr>
          <w:rFonts w:hint="eastAsia" w:ascii="Times New Roman" w:hAnsi="Times New Roman" w:eastAsia="Times New Roman" w:cs="Times New Roman"/>
          <w:bCs/>
          <w:color w:val="000000"/>
          <w:sz w:val="24"/>
          <w:szCs w:val="24"/>
        </w:rPr>
        <w:t xml:space="preserve">月4</w:t>
      </w:r>
      <w:r>
        <w:rPr>
          <w:rFonts w:hint="eastAsia" w:ascii="Times New Roman" w:hAnsi="Times New Roman" w:eastAsia="Times New Roman" w:cs="Times New Roman"/>
          <w:bCs/>
          <w:color w:val="000000"/>
          <w:sz w:val="24"/>
          <w:szCs w:val="24"/>
        </w:rPr>
        <w:t xml:space="preserve">日14</w:t>
      </w:r>
      <w:r>
        <w:rPr>
          <w:rFonts w:hint="eastAsia" w:ascii="Times New Roman" w:hAnsi="Times New Roman" w:eastAsia="Times New Roman" w:cs="Times New Roman"/>
          <w:bCs/>
          <w:color w:val="000000"/>
          <w:sz w:val="24"/>
          <w:szCs w:val="24"/>
        </w:rPr>
        <w:t xml:space="preserve">时00</w:t>
      </w:r>
      <w:r>
        <w:rPr>
          <w:rFonts w:hint="eastAsia" w:ascii="Times New Roman" w:hAnsi="Times New Roman" w:eastAsia="Times New Roman" w:cs="Times New Roman"/>
          <w:bCs/>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934"/>
        <w:ind w:firstLine="480"/>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938"/>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34"/>
        <w:ind w:firstLine="480"/>
        <w:rPr>
          <w:rFonts w:hint="eastAsia"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938"/>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934"/>
        <w:ind w:firstLine="480"/>
        <w:spacing w:line="252" w:lineRule="auto"/>
        <w:tabs>
          <w:tab w:val="left" w:pos="900" w:leader="none"/>
        </w:tabs>
        <w:rPr>
          <w:rFonts w:hint="eastAsia" w:ascii="宋体" w:hAnsi="宋体"/>
          <w:bCs/>
          <w:color w:val="000000"/>
          <w:sz w:val="24"/>
          <w:szCs w:val="24"/>
        </w:rPr>
      </w:pPr>
      <w:r/>
      <w:bookmarkStart w:id="35" w:name="_Toc35393627"/>
      <w:r/>
      <w:bookmarkStart w:id="36" w:name="_Toc28359008"/>
      <w:r/>
      <w:bookmarkStart w:id="37" w:name="_Toc35393796"/>
      <w:r/>
      <w:bookmarkStart w:id="38" w:name="_Toc28359085"/>
      <w:r/>
      <w:bookmarkStart w:id="39" w:name="_Toc38985269"/>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34"/>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，如对采购需求有疑问，请咨询采购人。 </w:t>
      </w:r>
      <w:r>
        <w:rPr>
          <w:rFonts w:hint="eastAsia" w:ascii="宋体" w:hAnsi="宋体" w:cs="宋体"/>
          <w:color w:val="000000"/>
          <w:sz w:val="24"/>
          <w:szCs w:val="24"/>
        </w:rPr>
      </w:r>
      <w:r/>
    </w:p>
    <w:p>
      <w:pPr>
        <w:pStyle w:val="934"/>
        <w:ind w:firstLine="480"/>
        <w:spacing w:line="252" w:lineRule="auto"/>
        <w:rPr>
          <w:color w:val="000000"/>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rPr>
      </w:r>
      <w:r/>
    </w:p>
    <w:p>
      <w:pPr>
        <w:pStyle w:val="934"/>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934"/>
        <w:ind w:firstLine="480"/>
        <w:tabs>
          <w:tab w:val="left" w:pos="90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b/>
          <w:bCs/>
          <w:color w:val="000000"/>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color w:val="000000"/>
          <w:sz w:val="24"/>
        </w:rPr>
      </w:r>
      <w:r/>
    </w:p>
    <w:p>
      <w:pPr>
        <w:pStyle w:val="934"/>
        <w:ind w:firstLine="480"/>
        <w:tabs>
          <w:tab w:val="left" w:pos="900" w:leader="none"/>
        </w:tabs>
        <w:rPr>
          <w:rFonts w:hint="eastAsia" w:ascii="宋体" w:hAnsi="宋体"/>
          <w:color w:val="000000"/>
          <w:sz w:val="24"/>
        </w:rPr>
      </w:pPr>
      <w:r>
        <w:rPr>
          <w:rFonts w:hint="eastAsia" w:ascii="宋体" w:hAnsi="宋体"/>
          <w:color w:val="000000"/>
          <w:sz w:val="24"/>
        </w:rPr>
        <w:t xml:space="preserve">采购人《质疑函》收件人：</w:t>
      </w:r>
      <w:r>
        <w:rPr>
          <w:rFonts w:ascii="宋体" w:hAnsi="宋体"/>
          <w:color w:val="000000"/>
          <w:sz w:val="24"/>
        </w:rPr>
        <w:t xml:space="preserve">倪</w:t>
      </w:r>
      <w:r>
        <w:rPr>
          <w:rFonts w:hint="eastAsia" w:ascii="宋体" w:hAnsi="宋体"/>
          <w:color w:val="000000"/>
          <w:sz w:val="24"/>
        </w:rPr>
        <w:t xml:space="preserve">先生，收件地址：</w:t>
      </w:r>
      <w:r>
        <w:rPr>
          <w:rFonts w:ascii="宋体" w:hAnsi="宋体"/>
          <w:color w:val="000000"/>
          <w:sz w:val="24"/>
        </w:rPr>
        <w:t xml:space="preserve">南京市鼓楼区中山路171号</w:t>
      </w:r>
      <w:r>
        <w:rPr>
          <w:rFonts w:hint="eastAsia" w:ascii="宋体" w:hAnsi="宋体"/>
          <w:color w:val="000000"/>
          <w:sz w:val="24"/>
        </w:rPr>
        <w:t xml:space="preserve">，联系电话：</w:t>
      </w:r>
      <w:r>
        <w:rPr>
          <w:rFonts w:ascii="宋体" w:hAnsi="宋体"/>
          <w:color w:val="000000"/>
          <w:sz w:val="24"/>
        </w:rPr>
        <w:t xml:space="preserve">025-89691508</w:t>
      </w:r>
      <w:r>
        <w:rPr>
          <w:rFonts w:hint="eastAsia" w:ascii="宋体" w:hAnsi="宋体"/>
          <w:color w:val="000000"/>
          <w:sz w:val="24"/>
        </w:rPr>
        <w:t xml:space="preserve">。</w:t>
      </w:r>
      <w:r>
        <w:rPr>
          <w:rFonts w:hint="eastAsia" w:ascii="宋体" w:hAnsi="宋体"/>
          <w:color w:val="000000"/>
          <w:sz w:val="24"/>
        </w:rPr>
      </w:r>
      <w:r/>
    </w:p>
    <w:p>
      <w:pPr>
        <w:pStyle w:val="934"/>
        <w:ind w:firstLine="480"/>
        <w:tabs>
          <w:tab w:val="left" w:pos="900" w:leader="none"/>
        </w:tabs>
        <w:rPr>
          <w:rFonts w:hint="eastAsia" w:ascii="宋体" w:hAnsi="宋体"/>
          <w:color w:val="000000"/>
          <w:sz w:val="24"/>
        </w:rPr>
      </w:pPr>
      <w:r>
        <w:rPr>
          <w:rFonts w:hint="eastAsia" w:ascii="宋体" w:hAnsi="宋体"/>
          <w:color w:val="000000"/>
          <w:sz w:val="24"/>
        </w:rPr>
        <w:t xml:space="preserve">交易中心《质疑函》收件人：南京市公共资源交易中心政府集中采购处，收件地址：南京市建邺区江东中路265号南京市公共资源交易中心北门，联系电话：025-68505926。</w:t>
      </w:r>
      <w:r>
        <w:rPr>
          <w:rFonts w:hint="eastAsia" w:ascii="宋体" w:hAnsi="宋体"/>
          <w:color w:val="000000"/>
          <w:sz w:val="24"/>
        </w:rPr>
      </w:r>
      <w:r/>
    </w:p>
    <w:p>
      <w:pPr>
        <w:pStyle w:val="937"/>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34"/>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934"/>
        <w:ind w:firstLine="480"/>
        <w:rPr>
          <w:rFonts w:ascii="宋体" w:hAnsi="宋体"/>
          <w:color w:val="000000"/>
          <w:sz w:val="24"/>
          <w:szCs w:val="24"/>
        </w:rPr>
      </w:pPr>
      <w:r>
        <w:rPr>
          <w:rFonts w:ascii="宋体" w:hAnsi="宋体"/>
          <w:color w:val="000000"/>
          <w:sz w:val="24"/>
          <w:szCs w:val="24"/>
        </w:rPr>
        <w:t xml:space="preserve">名  称：南京市规划和自然资源局</w:t>
      </w:r>
      <w:r>
        <w:rPr>
          <w:rFonts w:ascii="宋体" w:hAnsi="宋体"/>
          <w:color w:val="000000"/>
          <w:sz w:val="24"/>
          <w:szCs w:val="24"/>
        </w:rPr>
      </w:r>
      <w:r/>
    </w:p>
    <w:p>
      <w:pPr>
        <w:pStyle w:val="934"/>
        <w:ind w:firstLine="480"/>
        <w:rPr>
          <w:rFonts w:ascii="宋体" w:hAnsi="宋体"/>
          <w:color w:val="000000"/>
          <w:sz w:val="24"/>
          <w:szCs w:val="24"/>
        </w:rPr>
      </w:pPr>
      <w:r>
        <w:rPr>
          <w:rFonts w:ascii="宋体" w:hAnsi="宋体"/>
          <w:color w:val="000000"/>
          <w:sz w:val="24"/>
          <w:szCs w:val="24"/>
        </w:rPr>
        <w:t xml:space="preserve">地  址：</w:t>
      </w:r>
      <w:bookmarkStart w:id="40" w:name="OLE_LINK6"/>
      <w:r>
        <w:rPr>
          <w:rFonts w:ascii="宋体" w:hAnsi="宋体"/>
          <w:color w:val="000000"/>
          <w:sz w:val="24"/>
          <w:szCs w:val="24"/>
        </w:rPr>
        <w:t xml:space="preserve">南京市鼓楼区中山路171号</w:t>
      </w:r>
      <w:bookmarkEnd w:id="40"/>
      <w:r>
        <w:rPr>
          <w:rFonts w:ascii="宋体" w:hAnsi="宋体"/>
          <w:color w:val="000000"/>
          <w:sz w:val="24"/>
          <w:szCs w:val="24"/>
        </w:rPr>
        <w:t xml:space="preserve">     </w:t>
      </w:r>
      <w:r>
        <w:rPr>
          <w:rFonts w:ascii="宋体" w:hAnsi="宋体"/>
          <w:color w:val="000000"/>
          <w:sz w:val="24"/>
          <w:szCs w:val="24"/>
        </w:rPr>
      </w:r>
      <w:r/>
    </w:p>
    <w:p>
      <w:pPr>
        <w:pStyle w:val="934"/>
        <w:ind w:firstLine="480"/>
        <w:rPr>
          <w:rFonts w:ascii="宋体" w:hAnsi="宋体"/>
          <w:color w:val="000000"/>
          <w:sz w:val="24"/>
          <w:szCs w:val="24"/>
        </w:rPr>
      </w:pPr>
      <w:r>
        <w:rPr>
          <w:rFonts w:ascii="宋体" w:hAnsi="宋体"/>
          <w:color w:val="000000"/>
          <w:sz w:val="24"/>
          <w:szCs w:val="24"/>
        </w:rPr>
        <w:t xml:space="preserve">联系人：</w:t>
      </w:r>
      <w:r>
        <w:rPr>
          <w:rFonts w:ascii="宋体" w:hAnsi="宋体"/>
          <w:color w:val="000000"/>
          <w:sz w:val="24"/>
        </w:rPr>
        <w:t xml:space="preserve">倪</w:t>
      </w:r>
      <w:r>
        <w:rPr>
          <w:rFonts w:hint="eastAsia" w:ascii="宋体" w:hAnsi="宋体"/>
          <w:color w:val="000000"/>
          <w:sz w:val="24"/>
        </w:rPr>
        <w:t xml:space="preserve">先生</w:t>
      </w:r>
      <w:r>
        <w:rPr>
          <w:rFonts w:ascii="宋体" w:hAnsi="宋体"/>
          <w:color w:val="000000"/>
          <w:sz w:val="24"/>
          <w:szCs w:val="24"/>
        </w:rPr>
      </w:r>
      <w:r/>
    </w:p>
    <w:p>
      <w:pPr>
        <w:pStyle w:val="934"/>
        <w:ind w:firstLine="480"/>
        <w:rPr>
          <w:rFonts w:ascii="宋体" w:hAnsi="宋体"/>
          <w:color w:val="000000"/>
          <w:sz w:val="24"/>
          <w:szCs w:val="24"/>
        </w:rPr>
      </w:pPr>
      <w:r>
        <w:rPr>
          <w:rFonts w:ascii="宋体" w:hAnsi="宋体"/>
          <w:color w:val="000000"/>
          <w:sz w:val="24"/>
          <w:szCs w:val="24"/>
        </w:rPr>
        <w:t xml:space="preserve">联系电话：025-89691508 </w:t>
      </w:r>
      <w:r>
        <w:rPr>
          <w:rFonts w:ascii="宋体" w:hAnsi="宋体"/>
          <w:color w:val="000000"/>
          <w:sz w:val="24"/>
          <w:szCs w:val="24"/>
        </w:rPr>
      </w:r>
      <w:r/>
    </w:p>
    <w:p>
      <w:pPr>
        <w:pStyle w:val="934"/>
        <w:ind w:firstLine="480"/>
        <w:rPr>
          <w:rFonts w:ascii="宋体" w:hAnsi="宋体"/>
          <w:color w:val="000000"/>
          <w:sz w:val="24"/>
          <w:szCs w:val="24"/>
        </w:rPr>
      </w:pPr>
      <w:r>
        <w:rPr>
          <w:rFonts w:ascii="宋体" w:hAnsi="宋体"/>
          <w:color w:val="000000"/>
          <w:sz w:val="24"/>
          <w:szCs w:val="24"/>
        </w:rPr>
        <w:t xml:space="preserve">2.交易中心</w:t>
      </w:r>
      <w:r>
        <w:rPr>
          <w:rFonts w:ascii="宋体" w:hAnsi="宋体"/>
          <w:color w:val="000000"/>
          <w:sz w:val="24"/>
          <w:szCs w:val="24"/>
        </w:rPr>
      </w:r>
      <w:r/>
    </w:p>
    <w:p>
      <w:pPr>
        <w:pStyle w:val="934"/>
        <w:ind w:firstLine="480"/>
        <w:rPr>
          <w:rFonts w:ascii="宋体" w:hAnsi="宋体"/>
          <w:color w:val="000000"/>
          <w:sz w:val="24"/>
          <w:szCs w:val="24"/>
        </w:rPr>
      </w:pPr>
      <w:r>
        <w:rPr>
          <w:rFonts w:ascii="宋体" w:hAnsi="宋体"/>
          <w:color w:val="000000"/>
          <w:sz w:val="24"/>
          <w:szCs w:val="24"/>
        </w:rPr>
        <w:t xml:space="preserve">地　址：南京市建邺区江东中路265号  </w:t>
      </w:r>
      <w:r>
        <w:rPr>
          <w:rFonts w:ascii="宋体" w:hAnsi="宋体"/>
          <w:color w:val="000000"/>
          <w:sz w:val="24"/>
          <w:szCs w:val="24"/>
        </w:rPr>
      </w:r>
      <w:r/>
    </w:p>
    <w:p>
      <w:pPr>
        <w:pStyle w:val="934"/>
        <w:ind w:firstLine="480"/>
        <w:rPr>
          <w:rFonts w:ascii="宋体" w:hAnsi="宋体"/>
          <w:color w:val="000000"/>
          <w:sz w:val="24"/>
          <w:szCs w:val="24"/>
        </w:rPr>
      </w:pPr>
      <w:r>
        <w:rPr>
          <w:rFonts w:ascii="宋体" w:hAnsi="宋体"/>
          <w:color w:val="000000"/>
          <w:sz w:val="24"/>
          <w:szCs w:val="24"/>
        </w:rPr>
        <w:t xml:space="preserve">联系人：</w:t>
      </w:r>
      <w:r>
        <w:rPr>
          <w:rFonts w:hint="eastAsia" w:ascii="宋体" w:hAnsi="宋体"/>
          <w:color w:val="000000"/>
          <w:sz w:val="24"/>
          <w:szCs w:val="24"/>
        </w:rPr>
        <w:t xml:space="preserve">孙</w:t>
      </w:r>
      <w:r>
        <w:rPr>
          <w:rFonts w:ascii="宋体" w:hAnsi="宋体"/>
          <w:color w:val="000000"/>
          <w:sz w:val="24"/>
          <w:szCs w:val="24"/>
        </w:rPr>
        <w:t xml:space="preserve">先生</w:t>
      </w:r>
      <w:r>
        <w:rPr>
          <w:rFonts w:ascii="宋体" w:hAnsi="宋体"/>
          <w:color w:val="000000"/>
          <w:sz w:val="24"/>
          <w:szCs w:val="24"/>
        </w:rPr>
      </w:r>
      <w:r/>
    </w:p>
    <w:p>
      <w:pPr>
        <w:pStyle w:val="934"/>
        <w:ind w:firstLine="480"/>
        <w:rPr>
          <w:rFonts w:ascii="宋体" w:hAnsi="宋体"/>
          <w:color w:val="000000"/>
          <w:sz w:val="24"/>
          <w:szCs w:val="24"/>
        </w:rPr>
      </w:pPr>
      <w:r>
        <w:rPr>
          <w:rFonts w:ascii="宋体" w:hAnsi="宋体"/>
          <w:color w:val="000000"/>
          <w:sz w:val="24"/>
          <w:szCs w:val="24"/>
        </w:rPr>
        <w:t xml:space="preserve">联系电话：025-68505</w:t>
      </w:r>
      <w:r>
        <w:rPr>
          <w:rFonts w:hint="eastAsia" w:ascii="宋体" w:hAnsi="宋体"/>
          <w:color w:val="000000"/>
          <w:sz w:val="24"/>
          <w:szCs w:val="24"/>
        </w:rPr>
        <w:t xml:space="preserve">990</w:t>
      </w:r>
      <w:r>
        <w:rPr>
          <w:rFonts w:ascii="宋体" w:hAnsi="宋体"/>
          <w:color w:val="000000"/>
          <w:sz w:val="24"/>
          <w:szCs w:val="24"/>
        </w:rPr>
        <w:t xml:space="preserve"> </w:t>
      </w:r>
      <w:r>
        <w:rPr>
          <w:rFonts w:ascii="宋体" w:hAnsi="宋体"/>
          <w:color w:val="000000"/>
          <w:sz w:val="24"/>
          <w:szCs w:val="24"/>
        </w:rPr>
      </w:r>
      <w:r/>
    </w:p>
    <w:p>
      <w:pPr>
        <w:pStyle w:val="934"/>
        <w:ind w:firstLine="480"/>
        <w:rPr>
          <w:rFonts w:hint="eastAsia"/>
          <w:color w:val="000000"/>
        </w:rPr>
      </w:pPr>
      <w:r>
        <w:rPr>
          <w:rFonts w:hint="eastAsia" w:ascii="宋体" w:hAnsi="宋体"/>
          <w:color w:val="000000"/>
          <w:sz w:val="24"/>
          <w:szCs w:val="24"/>
        </w:rPr>
        <w:t xml:space="preserve"> </w:t>
      </w:r>
      <w:r>
        <w:rPr>
          <w:rFonts w:hint="eastAsia"/>
          <w:color w:val="000000"/>
        </w:rPr>
      </w:r>
      <w:r/>
    </w:p>
    <w:p>
      <w:pPr>
        <w:pStyle w:val="101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1" w:name="_Hlt16619350"/>
      <w:r/>
      <w:bookmarkStart w:id="42" w:name="_Toc20823346"/>
      <w:r/>
      <w:bookmarkStart w:id="43" w:name="_Toc16938590"/>
      <w:r/>
      <w:bookmarkStart w:id="44" w:name="_Toc120614244"/>
      <w:r/>
      <w:bookmarkStart w:id="45" w:name="_Toc479757211"/>
      <w:r/>
      <w:bookmarkStart w:id="46" w:name="_Toc462564139"/>
      <w:r>
        <w:rPr>
          <w:rFonts w:ascii="黑体" w:eastAsia="黑体"/>
          <w:bCs/>
          <w:color w:val="000000"/>
          <w:sz w:val="44"/>
        </w:rPr>
        <w:br w:type="page" w:clear="all"/>
      </w:r>
      <w:bookmarkStart w:id="47" w:name="_Toc120614211"/>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937"/>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1.招标方式</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2.合格的投标人</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2.1 满足招标公告对投标人资格要求。</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2.2 满足招标文件规定的实质性要求。</w:t>
      </w:r>
      <w:r>
        <w:rPr>
          <w:rFonts w:hint="eastAsia" w:ascii="宋体" w:hAnsi="宋体"/>
          <w:color w:val="000000"/>
          <w:sz w:val="24"/>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4.投标费用</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投标人应自行承担所有与参加投标有关的费用，交易中心在任何情况下均无义务和责任承担这些费用。</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937"/>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二、招标文件</w:t>
      </w:r>
      <w:r>
        <w:rPr>
          <w:rFonts w:hint="eastAsia" w:ascii="方正黑体_GBK" w:hAnsi="方正黑体_GBK" w:eastAsia="方正黑体_GBK" w:cs="方正黑体_GBK"/>
          <w:b w:val="0"/>
          <w:bCs w:val="0"/>
          <w:color w:val="000000"/>
          <w:sz w:val="30"/>
          <w:szCs w:val="30"/>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6.招标文件构成</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7.招标文件的澄清或修改</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7.1 在投标截止时间前，交易中心可以对已发出的招标文件进行必要的澄清或者修改，并在原</w:t>
      </w:r>
      <w:r>
        <w:rPr>
          <w:rFonts w:ascii="宋体" w:hAnsi="宋体"/>
          <w:color w:val="000000"/>
          <w:sz w:val="24"/>
        </w:rPr>
        <w:t xml:space="preserve">公告</w:t>
      </w:r>
      <w:r>
        <w:rPr>
          <w:rFonts w:hint="eastAsia" w:ascii="宋体" w:hAnsi="宋体"/>
          <w:color w:val="000000"/>
          <w:sz w:val="24"/>
        </w:rPr>
        <w:t xml:space="preserve">发布媒体发布更正公告，澄清或者修改的内容将作为招标文件的组成部分，并对投标人具有约束力。</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7.3 交易中心有权按照法定要求推迟投标截止日期和开标日期，并在原公告发布媒体发布更正公告。</w:t>
      </w:r>
      <w:r>
        <w:rPr>
          <w:rFonts w:hint="eastAsia" w:ascii="宋体" w:hAnsi="宋体"/>
          <w:color w:val="000000"/>
          <w:sz w:val="24"/>
        </w:rPr>
      </w:r>
      <w:r/>
    </w:p>
    <w:p>
      <w:pPr>
        <w:pStyle w:val="937"/>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r>
        <w:rPr>
          <w:rFonts w:hint="eastAsia" w:ascii="方正黑体_GBK" w:hAnsi="方正黑体_GBK" w:eastAsia="方正黑体_GBK" w:cs="方正黑体_GBK"/>
          <w:b w:val="0"/>
          <w:bCs w:val="0"/>
          <w:color w:val="000000"/>
          <w:sz w:val="30"/>
          <w:szCs w:val="30"/>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8.投标文件的语言及度量衡单位</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8.1 投标人提交的投标文件以及投标人与交易中心就有关投标的所有来往通知、函件和文件均应使用简体中文。</w:t>
      </w:r>
      <w:r>
        <w:rPr>
          <w:rFonts w:hint="eastAsia" w:ascii="宋体" w:hAnsi="宋体"/>
          <w:color w:val="000000"/>
          <w:sz w:val="24"/>
        </w:rPr>
      </w:r>
      <w:r/>
    </w:p>
    <w:p>
      <w:pPr>
        <w:pStyle w:val="934"/>
        <w:ind w:firstLine="420"/>
        <w:rPr>
          <w:rFonts w:hint="eastAsia" w:ascii="宋体" w:hAnsi="宋体"/>
          <w:color w:val="000000"/>
          <w:sz w:val="24"/>
          <w:szCs w:val="22"/>
        </w:rPr>
      </w:pPr>
      <w:r>
        <w:rPr>
          <w:rFonts w:hint="eastAsia" w:ascii="宋体" w:hAnsi="宋体"/>
          <w:color w:val="000000"/>
          <w:sz w:val="24"/>
          <w:szCs w:val="22"/>
        </w:rPr>
        <w:t xml:space="preserve">8.2 除技术性能另有规定外，投标文件所使用的度量衡单位，均须采用国家法定计量单位。</w:t>
      </w:r>
      <w:r>
        <w:rPr>
          <w:rFonts w:hint="eastAsia" w:ascii="宋体" w:hAnsi="宋体"/>
          <w:color w:val="000000"/>
          <w:sz w:val="24"/>
          <w:szCs w:val="22"/>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9.投标文件构成</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9.1 投标文件应包括资格证明文件、符合性证明文件、开标一览表、投标分项报价表、响应及偏离表、投标函、法定代表人授权委托书。</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9.2 </w:t>
      </w:r>
      <w:r>
        <w:rPr>
          <w:rFonts w:hint="eastAsia" w:ascii="宋体" w:hAnsi="宋体"/>
          <w:b/>
          <w:bCs/>
          <w:color w:val="000000"/>
          <w:sz w:val="24"/>
        </w:rPr>
        <w:t xml:space="preserve">如标书制作工具与“江苏政府采购网”发布的招标文件内容不一致，以“江苏政府采购网”发布的招标文件内容为准。</w:t>
      </w:r>
      <w:r>
        <w:rPr>
          <w:rFonts w:hint="eastAsia" w:ascii="宋体" w:hAnsi="宋体"/>
          <w:color w:val="000000"/>
          <w:sz w:val="24"/>
        </w:rPr>
      </w:r>
      <w:r/>
    </w:p>
    <w:p>
      <w:pPr>
        <w:pStyle w:val="934"/>
        <w:ind w:firstLine="492"/>
        <w:rPr>
          <w:rFonts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10.投标报价</w:t>
      </w:r>
      <w:r>
        <w:rPr>
          <w:rFonts w:ascii="方正楷体_GBK" w:hAnsi="方正楷体_GBK" w:eastAsia="方正楷体_GBK" w:cs="方正楷体_GBK"/>
          <w:b/>
          <w:bCs/>
          <w:color w:val="000000"/>
          <w:sz w:val="28"/>
          <w:szCs w:val="28"/>
        </w:rPr>
      </w:r>
      <w:r/>
    </w:p>
    <w:p>
      <w:pPr>
        <w:pStyle w:val="934"/>
        <w:ind w:firstLine="420"/>
        <w:rPr>
          <w:rFonts w:hint="eastAsia" w:ascii="宋体" w:hAnsi="宋体"/>
          <w:color w:val="000000"/>
          <w:sz w:val="24"/>
        </w:rPr>
      </w:pPr>
      <w:r>
        <w:rPr>
          <w:rFonts w:hint="eastAsia" w:ascii="宋体" w:hAnsi="宋体"/>
          <w:color w:val="000000"/>
          <w:sz w:val="24"/>
        </w:rPr>
        <w:t xml:space="preserve">10.1 投标文件中的单价和总价无特殊规定的采用人民币报价，以元为单位标注。招标文件另有规定的按规定执行。</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10.2 </w:t>
      </w:r>
      <w:r>
        <w:rPr>
          <w:rFonts w:hint="eastAsia" w:ascii="宋体" w:hAnsi="宋体"/>
          <w:b/>
          <w:bCs/>
          <w:color w:val="000000"/>
          <w:sz w:val="24"/>
          <w:lang w:val="zh-CN"/>
        </w:rPr>
        <w:t xml:space="preserve">投标人应按照招标文件规定完整、</w:t>
      </w:r>
      <w:r>
        <w:rPr>
          <w:rFonts w:hint="eastAsia" w:ascii="宋体" w:hAnsi="宋体"/>
          <w:b/>
          <w:bCs/>
          <w:color w:val="000000"/>
          <w:sz w:val="24"/>
        </w:rPr>
        <w:t xml:space="preserve">准</w:t>
      </w:r>
      <w:r>
        <w:rPr>
          <w:rFonts w:hint="eastAsia" w:ascii="宋体" w:hAnsi="宋体"/>
          <w:b/>
          <w:bCs/>
          <w:color w:val="000000"/>
          <w:sz w:val="24"/>
          <w:lang w:val="zh-CN"/>
        </w:rPr>
        <w:t xml:space="preserve">确填报开标一览表</w:t>
      </w:r>
      <w:r>
        <w:rPr>
          <w:rFonts w:hint="eastAsia" w:ascii="宋体" w:hAnsi="宋体"/>
          <w:b/>
          <w:bCs/>
          <w:color w:val="000000"/>
          <w:sz w:val="24"/>
        </w:rPr>
        <w:t xml:space="preserve">和投标分项报价表，否则作为无效投标。</w:t>
      </w:r>
      <w:r>
        <w:rPr>
          <w:rFonts w:hint="eastAsia" w:ascii="宋体" w:hAnsi="宋体"/>
          <w:color w:val="000000"/>
          <w:sz w:val="24"/>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11.响应及偏离表</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rPr>
          <w:rFonts w:hint="eastAsia" w:ascii="宋体" w:hAnsi="宋体"/>
          <w:color w:val="000000"/>
          <w:sz w:val="24"/>
          <w:lang w:val="zh-CN"/>
        </w:rPr>
      </w:r>
      <w:r/>
    </w:p>
    <w:p>
      <w:pPr>
        <w:pStyle w:val="938"/>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12.投标函和授权委托书</w:t>
      </w:r>
      <w:r>
        <w:rPr>
          <w:rFonts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2</w:t>
      </w:r>
      <w:r>
        <w:rPr>
          <w:rFonts w:hint="eastAsia" w:ascii="宋体" w:hAnsi="宋体"/>
          <w:color w:val="000000"/>
          <w:sz w:val="24"/>
          <w:lang w:val="zh-CN"/>
        </w:rPr>
        <w:t xml:space="preserve">.1 </w:t>
      </w:r>
      <w:r>
        <w:rPr>
          <w:rFonts w:hint="eastAsia" w:ascii="宋体" w:hAnsi="宋体"/>
          <w:b/>
          <w:bCs/>
          <w:color w:val="000000"/>
          <w:sz w:val="24"/>
          <w:lang w:val="zh-CN"/>
        </w:rPr>
        <w:t xml:space="preserve">投标人应按照招标文件规定完整、正确填报投标函</w:t>
      </w:r>
      <w:r>
        <w:rPr>
          <w:rFonts w:hint="eastAsia" w:ascii="宋体" w:hAnsi="宋体"/>
          <w:b/>
          <w:bCs/>
          <w:color w:val="000000"/>
          <w:sz w:val="24"/>
        </w:rPr>
        <w:t xml:space="preserve">和</w:t>
      </w:r>
      <w:r>
        <w:rPr>
          <w:rFonts w:hint="eastAsia" w:ascii="宋体" w:hAnsi="宋体"/>
          <w:b/>
          <w:bCs/>
          <w:color w:val="000000"/>
          <w:sz w:val="24"/>
        </w:rPr>
        <w:t xml:space="preserve">法定代表人授权委托书，</w:t>
      </w:r>
      <w:r>
        <w:rPr>
          <w:rFonts w:hint="eastAsia" w:ascii="宋体" w:hAnsi="宋体"/>
          <w:b/>
          <w:bCs/>
          <w:color w:val="000000"/>
          <w:sz w:val="24"/>
        </w:rPr>
        <w:t xml:space="preserve">否则作为无效投标</w:t>
      </w:r>
      <w:r>
        <w:rPr>
          <w:rFonts w:hint="eastAsia" w:ascii="宋体" w:hAnsi="宋体"/>
          <w:b/>
          <w:bCs/>
          <w:color w:val="000000"/>
          <w:sz w:val="24"/>
          <w:lang w:val="zh-CN"/>
        </w:rPr>
        <w:t xml:space="preserve">。</w:t>
      </w:r>
      <w:r>
        <w:rPr>
          <w:rFonts w:hint="eastAsia" w:ascii="宋体" w:hAnsi="宋体"/>
          <w:color w:val="000000"/>
          <w:sz w:val="24"/>
          <w:lang w:val="zh-CN"/>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13.投标有效期</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.1 投标有效期为招标公告规定的开标之日起六十天。投标有效期比规定短的将被视为未实质性响应招标文件，</w:t>
      </w:r>
      <w:r>
        <w:rPr>
          <w:rFonts w:hint="eastAsia" w:ascii="宋体" w:hAnsi="宋体"/>
          <w:color w:val="000000"/>
          <w:sz w:val="24"/>
        </w:rPr>
        <w:t xml:space="preserve">其投标将</w:t>
      </w:r>
      <w:r>
        <w:rPr>
          <w:rFonts w:hint="eastAsia" w:ascii="宋体" w:hAnsi="宋体"/>
          <w:color w:val="000000"/>
          <w:sz w:val="24"/>
          <w:lang w:val="zh-CN"/>
        </w:rPr>
        <w:t xml:space="preserve">被拒绝。</w:t>
      </w:r>
      <w:r>
        <w:rPr>
          <w:rFonts w:hint="eastAsia" w:ascii="宋体" w:hAnsi="宋体"/>
          <w:color w:val="000000"/>
          <w:sz w:val="24"/>
          <w:lang w:val="zh-CN"/>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14.投标有效期的延长</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93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四、投标文件的递交、撤回和修改</w:t>
      </w:r>
      <w:r>
        <w:rPr>
          <w:rFonts w:ascii="方正黑体_GBK" w:hAnsi="方正黑体_GBK" w:eastAsia="方正黑体_GBK" w:cs="方正黑体_GBK"/>
          <w:b w:val="0"/>
          <w:bCs w:val="0"/>
          <w:color w:val="000000"/>
          <w:sz w:val="30"/>
          <w:szCs w:val="30"/>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15.投标文件的递交</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投标人应在招标公告规定的投标截止时间前制作并上传电子投标文件。投标截止时间后上传的投标文件将被拒绝。</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2</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16.投标文件的撤回和修改</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 在投标截止时间至招标文件中规定的投标有效期满之间的这段时间内，投标人不得撤回其投标。</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937"/>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r>
        <w:rPr>
          <w:rFonts w:hint="eastAsia" w:ascii="方正黑体_GBK" w:hAnsi="方正黑体_GBK" w:eastAsia="方正黑体_GBK" w:cs="方正黑体_GBK"/>
          <w:b w:val="0"/>
          <w:bCs w:val="0"/>
          <w:color w:val="000000"/>
          <w:sz w:val="30"/>
          <w:szCs w:val="30"/>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17.开标</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w:t>
      </w:r>
      <w:r>
        <w:rPr>
          <w:rFonts w:hint="eastAsia" w:ascii="宋体" w:hAnsi="宋体"/>
          <w:color w:val="000000"/>
          <w:sz w:val="24"/>
        </w:rPr>
        <w:t xml:space="preserve">通过苏采云系统进行</w:t>
      </w:r>
      <w:r>
        <w:rPr>
          <w:rFonts w:hint="eastAsia" w:ascii="宋体" w:hAnsi="宋体"/>
          <w:color w:val="000000"/>
          <w:sz w:val="24"/>
          <w:lang w:val="zh-CN"/>
        </w:rPr>
        <w:t xml:space="preserve">投标文件解密、开标结果确认等工作。</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w:t>
      </w:r>
      <w:r>
        <w:rPr>
          <w:rFonts w:hint="eastAsia" w:ascii="宋体" w:hAnsi="宋体"/>
          <w:color w:val="000000"/>
          <w:sz w:val="24"/>
        </w:rPr>
        <w:t xml:space="preserve">在</w:t>
      </w:r>
      <w:r>
        <w:rPr>
          <w:rFonts w:hint="eastAsia" w:ascii="宋体" w:hAnsi="宋体"/>
          <w:color w:val="000000"/>
          <w:sz w:val="24"/>
          <w:lang w:val="zh-CN"/>
        </w:rPr>
        <w:t xml:space="preserve">苏采云系统提出，苏采云系统中《开标记录表》公布后5分钟内未提出的，视同认可开标结果。</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17.4 如出现投标截止时间递交投标文件的</w:t>
      </w:r>
      <w:r>
        <w:rPr>
          <w:rFonts w:hint="eastAsia" w:ascii="宋体" w:hAnsi="宋体"/>
          <w:color w:val="000000"/>
          <w:sz w:val="24"/>
        </w:rPr>
        <w:t xml:space="preserve">投标人</w:t>
      </w:r>
      <w:r>
        <w:rPr>
          <w:rFonts w:hint="eastAsia" w:ascii="宋体" w:hAnsi="宋体"/>
          <w:color w:val="000000"/>
          <w:sz w:val="24"/>
          <w:lang w:val="zh-CN"/>
        </w:rPr>
        <w:t xml:space="preserve">不足三家的情况，按政府采购相关规定执行。</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18.评标</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18.1 评标由依法组建的评标委员会（以下简称“评委会”）进行。</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19.评标过程的保密与公正</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20.投标文件的澄清</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w:t>
      </w:r>
      <w:r>
        <w:rPr>
          <w:rFonts w:hint="eastAsia" w:ascii="宋体" w:hAnsi="宋体"/>
          <w:color w:val="000000"/>
          <w:sz w:val="24"/>
        </w:rPr>
        <w:t xml:space="preserve">投标人</w:t>
      </w:r>
      <w:r>
        <w:rPr>
          <w:rFonts w:hint="eastAsia" w:ascii="宋体" w:hAnsi="宋体"/>
          <w:color w:val="000000"/>
          <w:sz w:val="24"/>
          <w:lang w:val="zh-CN"/>
        </w:rPr>
        <w:t xml:space="preserve">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21.投标文件的审查</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投标文件审查分为资格审查和符合性审查。</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采购人进行资格审查时，将在“信用中国”网站查询投标人的信用记录，以确定投标人是否具备投标资格，查询结果留存并归档。</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color w:val="000000"/>
          <w:sz w:val="24"/>
          <w:lang w:val="zh-CN"/>
        </w:rPr>
        <w:t xml:space="preserve">，以确定</w:t>
      </w:r>
      <w:r>
        <w:rPr>
          <w:rFonts w:hint="eastAsia" w:ascii="宋体" w:hAnsi="宋体"/>
          <w:color w:val="000000"/>
          <w:sz w:val="24"/>
        </w:rPr>
        <w:t xml:space="preserve">其</w:t>
      </w:r>
      <w:r>
        <w:rPr>
          <w:rFonts w:hint="eastAsia" w:ascii="宋体" w:hAnsi="宋体"/>
          <w:color w:val="000000"/>
          <w:sz w:val="24"/>
          <w:lang w:val="zh-CN"/>
        </w:rPr>
        <w:t xml:space="preserve">是否</w:t>
      </w:r>
      <w:r>
        <w:rPr>
          <w:rFonts w:hint="eastAsia" w:ascii="宋体" w:hAnsi="宋体"/>
          <w:color w:val="000000"/>
          <w:sz w:val="24"/>
        </w:rPr>
        <w:t xml:space="preserve">满足</w:t>
      </w:r>
      <w:r>
        <w:rPr>
          <w:rFonts w:hint="eastAsia" w:ascii="宋体" w:hAnsi="宋体"/>
          <w:color w:val="000000"/>
          <w:sz w:val="24"/>
          <w:lang w:val="zh-CN"/>
        </w:rPr>
        <w:t xml:space="preserve">招标文件的实质性要求。</w:t>
      </w:r>
      <w:r>
        <w:rPr>
          <w:rFonts w:hint="eastAsia" w:ascii="宋体" w:hAnsi="宋体"/>
          <w:b/>
          <w:bCs/>
          <w:iCs/>
          <w:color w:val="000000"/>
          <w:sz w:val="24"/>
          <w:szCs w:val="22"/>
          <w:lang w:val="zh-CN"/>
        </w:rPr>
        <w:t xml:space="preserve">本文件中打“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 未通过资格审查或符合性审查的投标人，</w:t>
      </w:r>
      <w:r>
        <w:rPr>
          <w:rFonts w:hint="eastAsia" w:ascii="宋体" w:hAnsi="宋体"/>
          <w:color w:val="000000"/>
          <w:sz w:val="24"/>
        </w:rPr>
        <w:t xml:space="preserve">评委会</w:t>
      </w:r>
      <w:r>
        <w:rPr>
          <w:rFonts w:hint="eastAsia" w:ascii="宋体" w:hAnsi="宋体"/>
          <w:color w:val="000000"/>
          <w:sz w:val="24"/>
          <w:lang w:val="zh-CN"/>
        </w:rPr>
        <w:t xml:space="preserve">将通过苏采云系统告知其具体原因，评标结束后不再接受有关询问。</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同时出现两种以上</w:t>
      </w:r>
      <w:r>
        <w:rPr>
          <w:rFonts w:hint="eastAsia" w:ascii="宋体" w:hAnsi="宋体"/>
          <w:color w:val="000000"/>
          <w:sz w:val="24"/>
        </w:rPr>
        <w:t xml:space="preserve">不一致</w:t>
      </w:r>
      <w:r>
        <w:rPr>
          <w:rFonts w:hint="eastAsia" w:ascii="宋体" w:hAnsi="宋体"/>
          <w:color w:val="000000"/>
          <w:sz w:val="24"/>
          <w:lang w:val="zh-CN"/>
        </w:rPr>
        <w:t xml:space="preserve">的，按照前款规定的顺序修正。</w:t>
      </w:r>
      <w:r>
        <w:rPr>
          <w:rFonts w:hint="eastAsia" w:ascii="宋体" w:hAnsi="宋体"/>
          <w:color w:val="000000"/>
          <w:sz w:val="24"/>
          <w:lang w:val="zh-CN"/>
        </w:rPr>
      </w:r>
      <w:r/>
    </w:p>
    <w:p>
      <w:pPr>
        <w:pStyle w:val="934"/>
        <w:ind w:firstLine="422"/>
        <w:rPr>
          <w:rFonts w:hint="eastAsia" w:ascii="宋体" w:hAnsi="宋体"/>
          <w:b/>
          <w:bCs/>
          <w:color w:val="000000"/>
          <w:sz w:val="24"/>
          <w:lang w:val="zh-CN"/>
        </w:rPr>
      </w:pPr>
      <w:r>
        <w:rPr>
          <w:rFonts w:hint="eastAsia" w:ascii="宋体" w:hAnsi="宋体"/>
          <w:b/>
          <w:bCs/>
          <w:color w:val="000000"/>
          <w:sz w:val="24"/>
          <w:lang w:val="zh-CN"/>
        </w:rPr>
        <w:t xml:space="preserve">评委会按上述</w:t>
      </w:r>
      <w:r>
        <w:rPr>
          <w:rFonts w:hint="eastAsia" w:ascii="宋体" w:hAnsi="宋体"/>
          <w:b/>
          <w:bCs/>
          <w:color w:val="000000"/>
          <w:sz w:val="24"/>
        </w:rPr>
        <w:t xml:space="preserve">规定修正</w:t>
      </w:r>
      <w:r>
        <w:rPr>
          <w:rFonts w:hint="eastAsia" w:ascii="宋体" w:hAnsi="宋体"/>
          <w:b/>
          <w:bCs/>
          <w:color w:val="000000"/>
          <w:sz w:val="24"/>
          <w:lang w:val="zh-CN"/>
        </w:rPr>
        <w:t xml:space="preserve">投标文件报价</w:t>
      </w:r>
      <w:r>
        <w:rPr>
          <w:rFonts w:hint="eastAsia" w:ascii="宋体" w:hAnsi="宋体"/>
          <w:b/>
          <w:bCs/>
          <w:color w:val="000000"/>
          <w:sz w:val="24"/>
        </w:rPr>
        <w:t xml:space="preserve">的</w:t>
      </w:r>
      <w:r>
        <w:rPr>
          <w:rFonts w:hint="eastAsia" w:ascii="宋体" w:hAnsi="宋体"/>
          <w:b/>
          <w:bCs/>
          <w:color w:val="000000"/>
          <w:sz w:val="24"/>
          <w:lang w:val="zh-CN"/>
        </w:rPr>
        <w:t xml:space="preserve">，</w:t>
      </w:r>
      <w:r>
        <w:rPr>
          <w:rFonts w:hint="eastAsia" w:ascii="宋体" w:hAnsi="宋体"/>
          <w:b/>
          <w:bCs/>
          <w:color w:val="000000"/>
          <w:sz w:val="24"/>
        </w:rPr>
        <w:t xml:space="preserve">应</w:t>
      </w:r>
      <w:r>
        <w:rPr>
          <w:rFonts w:hint="eastAsia" w:ascii="宋体" w:hAnsi="宋体"/>
          <w:b/>
          <w:bCs/>
          <w:color w:val="000000"/>
          <w:sz w:val="24"/>
          <w:lang w:val="zh-CN"/>
        </w:rPr>
        <w:t xml:space="preserve">通过苏采云系统</w:t>
      </w:r>
      <w:r>
        <w:rPr>
          <w:rFonts w:hint="eastAsia" w:ascii="宋体" w:hAnsi="宋体"/>
          <w:b/>
          <w:bCs/>
          <w:color w:val="000000"/>
          <w:sz w:val="24"/>
        </w:rPr>
        <w:t xml:space="preserve">要求</w:t>
      </w:r>
      <w:r>
        <w:rPr>
          <w:rFonts w:hint="eastAsia" w:ascii="宋体" w:hAnsi="宋体"/>
          <w:b/>
          <w:bCs/>
          <w:color w:val="000000"/>
          <w:sz w:val="24"/>
          <w:lang w:val="zh-CN"/>
        </w:rPr>
        <w:t xml:space="preserve">投标人</w:t>
      </w:r>
      <w:r>
        <w:rPr>
          <w:rFonts w:hint="eastAsia" w:ascii="宋体" w:hAnsi="宋体"/>
          <w:b/>
          <w:bCs/>
          <w:color w:val="000000"/>
          <w:sz w:val="24"/>
        </w:rPr>
        <w:t xml:space="preserve">确认</w:t>
      </w:r>
      <w:r>
        <w:rPr>
          <w:rFonts w:hint="eastAsia" w:ascii="宋体" w:hAnsi="宋体"/>
          <w:b/>
          <w:bCs/>
          <w:color w:val="000000"/>
          <w:sz w:val="24"/>
          <w:lang w:val="zh-CN"/>
        </w:rPr>
        <w:t xml:space="preserve">，</w:t>
      </w:r>
      <w:r>
        <w:rPr>
          <w:rFonts w:hint="eastAsia" w:ascii="宋体" w:hAnsi="宋体"/>
          <w:b/>
          <w:bCs/>
          <w:color w:val="000000"/>
          <w:sz w:val="24"/>
        </w:rPr>
        <w:t xml:space="preserve">修正后的报价按照本章第20条规定经投标人确认后产生约束力，投标人不确认的，其投标无效。</w:t>
      </w:r>
      <w:r>
        <w:rPr>
          <w:rFonts w:hint="eastAsia" w:ascii="宋体" w:hAnsi="宋体"/>
          <w:b/>
          <w:bCs/>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 </w:t>
      </w:r>
      <w:r>
        <w:rPr>
          <w:rFonts w:hint="eastAsia" w:ascii="宋体" w:hAnsi="宋体"/>
          <w:color w:val="000000"/>
          <w:sz w:val="24"/>
          <w:lang w:val="zh-CN"/>
        </w:rPr>
        <w:t xml:space="preserve">投标人在开、评标全过程中应保持通讯畅通，及时登录苏采云系统查阅、答复相关信息。</w:t>
      </w:r>
      <w:r>
        <w:rPr>
          <w:rFonts w:hint="eastAsia" w:ascii="宋体" w:hAnsi="宋体"/>
          <w:color w:val="000000"/>
          <w:sz w:val="24"/>
          <w:lang w:val="zh-CN"/>
        </w:rPr>
      </w:r>
      <w:r/>
    </w:p>
    <w:p>
      <w:pPr>
        <w:pStyle w:val="934"/>
        <w:ind w:firstLine="420"/>
        <w:rPr>
          <w:rFonts w:hint="eastAsia" w:ascii="宋体" w:hAnsi="宋体"/>
          <w:color w:val="000000"/>
          <w:sz w:val="24"/>
          <w:szCs w:val="22"/>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50</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50</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34"/>
        <w:ind w:firstLine="420"/>
        <w:rPr>
          <w:rFonts w:hint="eastAsia" w:ascii="宋体" w:hAnsi="宋体"/>
          <w:color w:val="000000"/>
          <w:sz w:val="24"/>
          <w:szCs w:val="24"/>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rPr>
          <w:rFonts w:hint="eastAsia" w:ascii="宋体" w:hAnsi="宋体"/>
          <w:color w:val="000000"/>
          <w:sz w:val="24"/>
          <w:szCs w:val="24"/>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ascii="宋体" w:hAnsi="宋体"/>
          <w:color w:val="000000"/>
          <w:sz w:val="24"/>
          <w:szCs w:val="22"/>
          <w:lang w:val="zh-CN"/>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22.无效投标和废标</w:t>
      </w:r>
      <w:r>
        <w:rPr>
          <w:rFonts w:hint="eastAsia" w:ascii="方正楷体_GBK" w:hAnsi="方正楷体_GBK" w:eastAsia="方正楷体_GBK" w:cs="方正楷体_GBK"/>
          <w:color w:val="000000"/>
        </w:rPr>
      </w:r>
      <w:r/>
    </w:p>
    <w:p>
      <w:pPr>
        <w:pStyle w:val="934"/>
        <w:ind w:firstLine="422"/>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w:t>
      </w:r>
      <w:r>
        <w:rPr>
          <w:rFonts w:hint="eastAsia" w:ascii="宋体" w:hAnsi="宋体"/>
          <w:b/>
          <w:bCs/>
          <w:color w:val="000000"/>
          <w:sz w:val="24"/>
        </w:rPr>
        <w:t xml:space="preserve"> </w:t>
      </w:r>
      <w:r>
        <w:rPr>
          <w:rFonts w:hint="eastAsia" w:ascii="宋体" w:hAnsi="宋体"/>
          <w:b/>
          <w:bCs/>
          <w:color w:val="000000"/>
          <w:sz w:val="24"/>
          <w:lang w:val="zh-CN"/>
        </w:rPr>
        <w:t xml:space="preserve">无效投标情形</w:t>
      </w:r>
      <w:r>
        <w:rPr>
          <w:rFonts w:hint="eastAsia" w:ascii="宋体" w:hAnsi="宋体"/>
          <w:b/>
          <w:bCs/>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未</w:t>
      </w:r>
      <w:r>
        <w:rPr>
          <w:rFonts w:hint="eastAsia" w:ascii="宋体" w:hAnsi="宋体"/>
          <w:color w:val="000000"/>
          <w:sz w:val="24"/>
        </w:rPr>
        <w:t xml:space="preserve">在</w:t>
      </w:r>
      <w:r>
        <w:rPr>
          <w:rFonts w:hint="eastAsia" w:ascii="宋体" w:hAnsi="宋体"/>
          <w:color w:val="000000"/>
          <w:sz w:val="24"/>
          <w:lang w:val="zh-CN"/>
        </w:rPr>
        <w:t xml:space="preserve">招标文件</w:t>
      </w:r>
      <w:r>
        <w:rPr>
          <w:rFonts w:hint="eastAsia" w:ascii="宋体" w:hAnsi="宋体"/>
          <w:color w:val="000000"/>
          <w:sz w:val="24"/>
        </w:rPr>
        <w:t xml:space="preserve">规定时间内</w:t>
      </w:r>
      <w:r>
        <w:rPr>
          <w:rFonts w:hint="eastAsia" w:ascii="宋体" w:hAnsi="宋体"/>
          <w:color w:val="000000"/>
          <w:sz w:val="24"/>
          <w:lang w:val="zh-CN"/>
        </w:rPr>
        <w:t xml:space="preserve">上传电子投标文件。</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未在苏采云系统规定时间内成功解密电子投标文件。</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rPr>
        <w:t xml:space="preserve">招标文件另有约定的除外</w:t>
      </w:r>
      <w:r>
        <w:rPr>
          <w:rFonts w:hint="eastAsia" w:ascii="宋体" w:hAnsi="宋体"/>
          <w:color w:val="000000"/>
          <w:sz w:val="24"/>
          <w:lang w:val="zh-CN"/>
        </w:rPr>
        <w:t xml:space="preserve">）。</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w:t>
      </w:r>
      <w:r>
        <w:rPr>
          <w:rFonts w:hint="eastAsia" w:ascii="宋体" w:hAnsi="宋体"/>
          <w:color w:val="000000"/>
          <w:sz w:val="24"/>
        </w:rPr>
        <w:t xml:space="preserve">的</w:t>
      </w:r>
      <w:r>
        <w:rPr>
          <w:rFonts w:hint="eastAsia" w:ascii="宋体" w:hAnsi="宋体"/>
          <w:color w:val="000000"/>
          <w:sz w:val="24"/>
          <w:lang w:val="zh-CN"/>
        </w:rPr>
        <w:t xml:space="preserve">资格要求。</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7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8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9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22.1.10 投标人串通投标。</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1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934"/>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b/>
          <w:bCs/>
          <w:color w:val="000000"/>
          <w:sz w:val="24"/>
          <w:lang w:val="zh-CN"/>
        </w:rPr>
        <w:t xml:space="preserve">有下列情形之一的视为投标人串通投标：</w:t>
      </w:r>
      <w:r>
        <w:rPr>
          <w:rFonts w:hint="eastAsia" w:ascii="宋体" w:hAnsi="宋体"/>
          <w:b/>
          <w:bCs/>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.5 不同投标人的投标文件相互混装。</w:t>
      </w:r>
      <w:r>
        <w:rPr>
          <w:rFonts w:hint="eastAsia" w:ascii="宋体" w:hAnsi="宋体"/>
          <w:color w:val="000000"/>
          <w:sz w:val="24"/>
          <w:lang w:val="zh-CN"/>
        </w:rPr>
      </w:r>
      <w:r/>
    </w:p>
    <w:p>
      <w:pPr>
        <w:pStyle w:val="934"/>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.6 不同投标人的MAC地址</w:t>
      </w:r>
      <w:r>
        <w:rPr>
          <w:rFonts w:hint="eastAsia" w:ascii="宋体" w:hAnsi="宋体"/>
          <w:color w:val="000000"/>
          <w:sz w:val="24"/>
        </w:rPr>
        <w:t xml:space="preserve">或</w:t>
      </w:r>
      <w:r>
        <w:rPr>
          <w:rFonts w:hint="eastAsia" w:ascii="宋体" w:hAnsi="宋体"/>
          <w:color w:val="000000"/>
          <w:sz w:val="24"/>
          <w:lang w:val="zh-CN"/>
        </w:rPr>
        <w:t xml:space="preserve">标书制作工具客户端标识码一致。</w:t>
      </w:r>
      <w:r>
        <w:rPr>
          <w:rFonts w:ascii="宋体" w:hAnsi="宋体"/>
          <w:color w:val="000000"/>
          <w:sz w:val="24"/>
          <w:lang w:val="zh-CN"/>
        </w:rPr>
      </w:r>
      <w:r/>
    </w:p>
    <w:p>
      <w:pPr>
        <w:pStyle w:val="934"/>
        <w:ind w:firstLine="422"/>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w:t>
      </w:r>
      <w:r>
        <w:rPr>
          <w:rFonts w:hint="eastAsia" w:ascii="宋体" w:hAnsi="宋体"/>
          <w:b/>
          <w:bCs/>
          <w:color w:val="000000"/>
          <w:sz w:val="24"/>
        </w:rPr>
        <w:t xml:space="preserve">3 </w:t>
      </w:r>
      <w:r>
        <w:rPr>
          <w:rFonts w:hint="eastAsia" w:ascii="宋体" w:hAnsi="宋体"/>
          <w:b/>
          <w:bCs/>
          <w:color w:val="000000"/>
          <w:sz w:val="24"/>
          <w:lang w:val="zh-CN"/>
        </w:rPr>
        <w:t xml:space="preserve">废标情形</w:t>
      </w:r>
      <w:r>
        <w:rPr>
          <w:rFonts w:hint="eastAsia" w:ascii="宋体" w:hAnsi="宋体"/>
          <w:b/>
          <w:bCs/>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符合</w:t>
      </w:r>
      <w:r>
        <w:rPr>
          <w:rFonts w:hint="eastAsia" w:ascii="宋体" w:hAnsi="宋体"/>
          <w:color w:val="000000"/>
          <w:sz w:val="24"/>
        </w:rPr>
        <w:t xml:space="preserve">专业</w:t>
      </w:r>
      <w:r>
        <w:rPr>
          <w:rFonts w:hint="eastAsia" w:ascii="宋体" w:hAnsi="宋体"/>
          <w:color w:val="000000"/>
          <w:sz w:val="24"/>
          <w:lang w:val="zh-CN"/>
        </w:rPr>
        <w:t xml:space="preserve">条件的投标人或者对招标文件作实质响应的投标人不足三家。</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.3</w:t>
      </w:r>
      <w:r>
        <w:rPr>
          <w:rFonts w:hint="eastAsia" w:ascii="宋体" w:hAnsi="宋体"/>
          <w:color w:val="000000"/>
          <w:sz w:val="24"/>
        </w:rPr>
        <w:t xml:space="preserve"> 投标人的报价均超过了采购预算或最高限价</w:t>
      </w:r>
      <w:r>
        <w:rPr>
          <w:rFonts w:hint="eastAsia" w:ascii="宋体" w:hAnsi="宋体"/>
          <w:color w:val="000000"/>
          <w:sz w:val="24"/>
          <w:lang w:val="zh-CN"/>
        </w:rPr>
        <w:t xml:space="preserve">。</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937"/>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r>
        <w:rPr>
          <w:rFonts w:hint="eastAsia" w:ascii="方正黑体_GBK" w:hAnsi="方正黑体_GBK" w:eastAsia="方正黑体_GBK" w:cs="方正黑体_GBK"/>
          <w:b w:val="0"/>
          <w:bCs w:val="0"/>
          <w:color w:val="000000"/>
          <w:sz w:val="30"/>
          <w:szCs w:val="30"/>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23.确定中标单位</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934"/>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 提供虚假材料谋取中标。</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 向评审专家、采购人或交易中心工作人员行贿或者提供其他不正当利益。</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 与其他投标人、评审专家、采购人或交易中心工作人员恶意串通。</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 属于本文件规定的无效投标情形，但在评标过程中未被评委会发现。</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 采取不正当手段诋毁、排挤其他投标人。</w:t>
      </w:r>
      <w:r>
        <w:rPr>
          <w:rFonts w:hint="eastAsia" w:ascii="宋体" w:hAnsi="宋体"/>
          <w:color w:val="000000"/>
          <w:sz w:val="24"/>
          <w:lang w:val="zh-CN"/>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24.中标通知书</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937"/>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25.签订合同</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5.2 招标文件、中标人的投标文件及招标过程中有关澄清、承诺文件均作为合同附件。</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5.5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26.标的物的追加</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938"/>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27.政府采购履约资金扶持政策</w:t>
      </w:r>
      <w:r>
        <w:rPr>
          <w:rFonts w:hint="eastAsia"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.1 中标</w:t>
      </w:r>
      <w:r>
        <w:rPr>
          <w:rFonts w:hint="eastAsia" w:ascii="宋体" w:hAnsi="宋体"/>
          <w:color w:val="000000"/>
          <w:sz w:val="24"/>
        </w:rPr>
        <w:t xml:space="preserve">人</w:t>
      </w:r>
      <w:r>
        <w:rPr>
          <w:rFonts w:hint="eastAsia" w:ascii="宋体" w:hAnsi="宋体"/>
          <w:color w:val="000000"/>
          <w:sz w:val="24"/>
          <w:lang w:val="zh-CN"/>
        </w:rPr>
        <w:t xml:space="preserve">可通过南京市公共资源交易平台网站“小企业融资平台”，选择相应的金融机构办理融资贷款。</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.2 依据《关于在全省政府采购领域推行电子履约保函（保险）的通知》（苏财购〔2023〕150号），需要缴纳履约保证金的，中标</w:t>
      </w:r>
      <w:r>
        <w:rPr>
          <w:rFonts w:hint="eastAsia" w:ascii="宋体" w:hAnsi="宋体"/>
          <w:color w:val="000000"/>
          <w:sz w:val="24"/>
        </w:rPr>
        <w:t xml:space="preserve">人</w:t>
      </w:r>
      <w:r>
        <w:rPr>
          <w:rFonts w:hint="eastAsia" w:ascii="宋体" w:hAnsi="宋体"/>
          <w:color w:val="000000"/>
          <w:sz w:val="24"/>
          <w:lang w:val="zh-CN"/>
        </w:rPr>
        <w:t xml:space="preserve">可通过江苏政府采购网“政府采购电子履约保函（保险）综合服务平台”线上办理履约保函（保险）。</w:t>
      </w:r>
      <w:r>
        <w:rPr>
          <w:rFonts w:hint="eastAsia" w:ascii="宋体" w:hAnsi="宋体"/>
          <w:color w:val="000000"/>
          <w:sz w:val="24"/>
          <w:lang w:val="zh-CN"/>
        </w:rPr>
      </w:r>
      <w:r/>
    </w:p>
    <w:p>
      <w:pPr>
        <w:pStyle w:val="937"/>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34"/>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rPr>
        <w:t xml:space="preserve">按照第31条</w:t>
      </w:r>
      <w:r>
        <w:rPr>
          <w:rFonts w:hint="eastAsia" w:ascii="宋体" w:hAnsi="宋体"/>
          <w:color w:val="000000"/>
          <w:sz w:val="24"/>
          <w:lang w:val="zh-CN"/>
        </w:rPr>
        <w:t xml:space="preserve">、</w:t>
      </w:r>
      <w:r>
        <w:rPr>
          <w:rFonts w:hint="eastAsia" w:ascii="宋体" w:hAnsi="宋体"/>
          <w:color w:val="000000"/>
          <w:sz w:val="24"/>
        </w:rPr>
        <w:t xml:space="preserve">第32</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对招标文件提出质疑的，为收到招标文件之日或者招标文件公告期限届满之日。</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由授权代表负责质疑事宜的，《质疑函》附件中应提交由质疑投标人法定代表人或主要负责人签署的《授权委托书》。</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投标人如组成联合体参加采购活动，《质疑函范本》中要求加盖公章之处，联合体各方均须按要求加盖公章。</w:t>
      </w:r>
      <w:r>
        <w:rPr>
          <w:rFonts w:hint="eastAsia" w:ascii="宋体" w:hAnsi="宋体"/>
          <w:color w:val="000000"/>
          <w:sz w:val="24"/>
          <w:lang w:val="zh-CN"/>
        </w:rPr>
      </w:r>
      <w:r/>
    </w:p>
    <w:p>
      <w:pPr>
        <w:pStyle w:val="934"/>
        <w:ind w:firstLine="420"/>
        <w:rPr>
          <w:rFonts w:hint="eastAsia" w:ascii="宋体" w:hAnsi="宋体"/>
          <w:b/>
          <w:bCs/>
          <w:color w:val="000000"/>
          <w:sz w:val="24"/>
          <w:szCs w:val="22"/>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w:t>
      </w:r>
      <w:r>
        <w:rPr>
          <w:rFonts w:hint="eastAsia" w:ascii="宋体" w:hAnsi="宋体"/>
          <w:b/>
          <w:bCs/>
          <w:color w:val="000000"/>
          <w:sz w:val="24"/>
          <w:szCs w:val="22"/>
        </w:rPr>
        <w:t xml:space="preserve">由采购人负责答复的质疑，采购人将《质疑函》《质疑答复函》抄送交易中心。</w:t>
      </w:r>
      <w:r>
        <w:rPr>
          <w:rFonts w:hint="eastAsia" w:ascii="宋体" w:hAnsi="宋体"/>
          <w:b/>
          <w:bCs/>
          <w:color w:val="000000"/>
          <w:sz w:val="24"/>
          <w:szCs w:val="22"/>
        </w:rPr>
      </w:r>
      <w:r/>
    </w:p>
    <w:p>
      <w:pPr>
        <w:pStyle w:val="934"/>
        <w:ind w:firstLine="422"/>
        <w:rPr>
          <w:rFonts w:hint="eastAsia" w:ascii="宋体" w:hAnsi="宋体"/>
          <w:b/>
          <w:bCs/>
          <w:color w:val="000000"/>
          <w:sz w:val="24"/>
        </w:rPr>
      </w:pPr>
      <w:r>
        <w:rPr>
          <w:rFonts w:hint="eastAsia" w:ascii="宋体" w:hAnsi="宋体"/>
          <w:b/>
          <w:bCs/>
          <w:color w:val="000000"/>
          <w:sz w:val="24"/>
        </w:rPr>
        <w:t xml:space="preserve">投标人对采购人、交易中心的质疑答复不满意，或者采购人、交易中心未在规定时间内作出质疑答复的，可以在答复期满后15个工作日内向</w:t>
      </w:r>
      <w:r>
        <w:rPr>
          <w:rFonts w:hint="eastAsia" w:ascii="宋体" w:hAnsi="宋体"/>
          <w:b/>
          <w:bCs/>
          <w:color w:val="000000"/>
          <w:sz w:val="24"/>
        </w:rPr>
        <w:t xml:space="preserve">南京市财政局</w:t>
      </w:r>
      <w:r>
        <w:rPr>
          <w:rFonts w:hint="eastAsia" w:ascii="宋体" w:hAnsi="宋体"/>
          <w:b/>
          <w:bCs/>
          <w:color w:val="000000"/>
          <w:sz w:val="24"/>
        </w:rPr>
        <w:t xml:space="preserve">提起投诉。</w:t>
      </w:r>
      <w:r>
        <w:rPr>
          <w:rFonts w:hint="eastAsia" w:ascii="宋体" w:hAnsi="宋体"/>
          <w:b/>
          <w:bCs/>
          <w:color w:val="000000"/>
          <w:sz w:val="24"/>
        </w:rPr>
      </w:r>
      <w:r/>
    </w:p>
    <w:p>
      <w:pPr>
        <w:pStyle w:val="934"/>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color w:val="000000"/>
          <w:sz w:val="24"/>
          <w:lang w:val="zh-CN"/>
        </w:rPr>
      </w:r>
      <w:r/>
    </w:p>
    <w:p>
      <w:pPr>
        <w:pStyle w:val="937"/>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38"/>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zh-CN"/>
        </w:rPr>
        <w:t xml:space="preserve">.促进中小企业发展</w:t>
      </w:r>
      <w:r>
        <w:rPr>
          <w:rFonts w:hint="eastAsia" w:ascii="方正楷体_GBK" w:hAnsi="方正楷体_GBK" w:eastAsia="方正楷体_GBK" w:cs="方正楷体_GBK"/>
          <w:color w:val="000000"/>
          <w:lang w:val="zh-CN"/>
        </w:rPr>
      </w:r>
      <w:r/>
    </w:p>
    <w:p>
      <w:pPr>
        <w:pStyle w:val="934"/>
        <w:ind w:firstLine="420"/>
        <w:rPr>
          <w:rFonts w:hint="eastAsia"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934"/>
        <w:ind w:firstLine="420"/>
        <w:rPr>
          <w:rFonts w:ascii="宋体" w:hAnsi="宋体"/>
          <w:b/>
          <w:bCs/>
          <w:color w:val="000000"/>
          <w:sz w:val="24"/>
        </w:rPr>
      </w:pPr>
      <w:r>
        <w:rPr>
          <w:rFonts w:hint="eastAsia" w:ascii="宋体" w:hAnsi="宋体"/>
          <w:color w:val="000000"/>
          <w:sz w:val="24"/>
        </w:rPr>
        <w:t xml:space="preserve">35.2 中小企业参加政府采购活动，应当</w:t>
      </w:r>
      <w:r>
        <w:rPr>
          <w:rFonts w:ascii="宋体" w:hAnsi="宋体"/>
          <w:color w:val="000000"/>
          <w:sz w:val="24"/>
        </w:rPr>
        <w:t xml:space="preserve">出具</w:t>
      </w:r>
      <w:r>
        <w:rPr>
          <w:rFonts w:hint="eastAsia" w:ascii="宋体" w:hAnsi="宋体"/>
          <w:color w:val="000000"/>
          <w:sz w:val="24"/>
        </w:rPr>
        <w:t xml:space="preserve">《中小企业声明函》，否则不享受相关中小企业支持政策。</w:t>
      </w:r>
      <w:r>
        <w:rPr>
          <w:rFonts w:hint="eastAsia" w:ascii="宋体" w:hAnsi="宋体"/>
          <w:b/>
          <w:bCs/>
          <w:color w:val="000000"/>
          <w:sz w:val="24"/>
        </w:rPr>
        <w:t xml:space="preserve">中标人享受中小企业扶持政策的，其《中小企业声明函》将随中标结果公开。</w:t>
      </w:r>
      <w:r>
        <w:rPr>
          <w:rFonts w:ascii="宋体" w:hAnsi="宋体"/>
          <w:b/>
          <w:bCs/>
          <w:color w:val="000000"/>
          <w:sz w:val="24"/>
        </w:rPr>
      </w:r>
      <w:r/>
    </w:p>
    <w:p>
      <w:pPr>
        <w:pStyle w:val="934"/>
        <w:ind w:firstLine="420"/>
        <w:rPr>
          <w:rFonts w:hint="eastAsia" w:ascii="宋体" w:hAnsi="宋体" w:cs="宋体"/>
          <w:b/>
          <w:bCs/>
          <w:color w:val="000000"/>
          <w:sz w:val="24"/>
          <w:szCs w:val="24"/>
        </w:rPr>
      </w:pPr>
      <w:r>
        <w:rPr>
          <w:rFonts w:hint="eastAsia" w:ascii="宋体" w:hAnsi="宋体"/>
          <w:color w:val="000000"/>
          <w:sz w:val="24"/>
        </w:rPr>
        <w:t xml:space="preserve">35.3 </w:t>
      </w:r>
      <w:r>
        <w:rPr>
          <w:rFonts w:hint="eastAsia" w:ascii="宋体" w:hAnsi="宋体" w:cs="宋体"/>
          <w:b/>
          <w:bCs/>
          <w:color w:val="000000"/>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color w:val="000000"/>
          <w:sz w:val="24"/>
          <w:szCs w:val="24"/>
        </w:rPr>
      </w:r>
      <w:r/>
    </w:p>
    <w:p>
      <w:pPr>
        <w:pStyle w:val="934"/>
        <w:ind w:firstLine="420"/>
        <w:rPr>
          <w:rFonts w:hint="eastAsia" w:ascii="宋体" w:hAnsi="宋体"/>
          <w:color w:val="000000"/>
          <w:sz w:val="24"/>
        </w:rPr>
      </w:pPr>
      <w:r>
        <w:rPr>
          <w:rFonts w:hint="eastAsia" w:ascii="宋体" w:hAnsi="宋体"/>
          <w:color w:val="000000"/>
          <w:sz w:val="24"/>
          <w:szCs w:val="22"/>
        </w:rPr>
        <w:t xml:space="preserve">35.4</w:t>
      </w:r>
      <w:r>
        <w:rPr>
          <w:rFonts w:hint="eastAsia" w:ascii="宋体" w:hAnsi="宋体"/>
          <w:b/>
          <w:bCs/>
          <w:color w:val="000000"/>
          <w:sz w:val="24"/>
          <w:szCs w:val="22"/>
        </w:rPr>
        <w:t xml:space="preserve"> </w:t>
      </w:r>
      <w:r>
        <w:rPr>
          <w:rFonts w:hint="eastAsia" w:ascii="宋体" w:hAnsi="宋体"/>
          <w:b/>
          <w:bCs/>
          <w:color w:val="000000"/>
          <w:sz w:val="24"/>
          <w:szCs w:val="22"/>
          <w:lang w:val="zh-CN"/>
        </w:rPr>
        <w:t xml:space="preserve">评委会评审中发现</w:t>
      </w:r>
      <w:r>
        <w:rPr>
          <w:rFonts w:hint="eastAsia" w:ascii="宋体" w:hAnsi="宋体"/>
          <w:b/>
          <w:bCs/>
          <w:color w:val="000000"/>
          <w:sz w:val="24"/>
          <w:szCs w:val="22"/>
        </w:rPr>
        <w:t xml:space="preserve">投标人</w:t>
      </w:r>
      <w:r>
        <w:rPr>
          <w:rFonts w:hint="eastAsia" w:ascii="宋体" w:hAnsi="宋体"/>
          <w:b/>
          <w:bCs/>
          <w:color w:val="000000"/>
          <w:sz w:val="24"/>
          <w:szCs w:val="22"/>
          <w:lang w:val="zh-CN"/>
        </w:rPr>
        <w:t xml:space="preserve">提供的</w:t>
      </w:r>
      <w:r>
        <w:rPr>
          <w:rFonts w:hint="eastAsia" w:ascii="宋体" w:hAnsi="宋体"/>
          <w:b/>
          <w:bCs/>
          <w:color w:val="000000"/>
          <w:sz w:val="24"/>
          <w:lang w:val="zh-CN"/>
        </w:rPr>
        <w:t xml:space="preserve">《中小企业声明函》</w:t>
      </w:r>
      <w:r>
        <w:rPr>
          <w:rFonts w:hint="eastAsia" w:ascii="宋体" w:hAnsi="宋体"/>
          <w:b/>
          <w:bCs/>
          <w:color w:val="000000"/>
          <w:sz w:val="24"/>
          <w:szCs w:val="22"/>
          <w:lang w:val="zh-CN"/>
        </w:rPr>
        <w:t xml:space="preserve">内容含义不明确、同类事项表述不一致或者有明显文字错误等情况的，应当以书面形式要求</w:t>
      </w:r>
      <w:r>
        <w:rPr>
          <w:rFonts w:hint="eastAsia" w:ascii="宋体" w:hAnsi="宋体"/>
          <w:b/>
          <w:bCs/>
          <w:color w:val="000000"/>
          <w:sz w:val="24"/>
          <w:szCs w:val="22"/>
        </w:rPr>
        <w:t xml:space="preserve">投标人</w:t>
      </w:r>
      <w:r>
        <w:rPr>
          <w:rFonts w:hint="eastAsia" w:ascii="宋体" w:hAnsi="宋体"/>
          <w:b/>
          <w:bCs/>
          <w:color w:val="000000"/>
          <w:sz w:val="24"/>
          <w:szCs w:val="22"/>
          <w:lang w:val="zh-CN"/>
        </w:rPr>
        <w:t xml:space="preserve">作出必要的澄清、说明或者补正。</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934"/>
        <w:ind w:firstLine="420"/>
        <w:rPr>
          <w:rFonts w:hint="eastAsia" w:ascii="宋体" w:hAnsi="宋体"/>
          <w:color w:val="000000"/>
          <w:sz w:val="24"/>
          <w:lang w:val="zh-CN"/>
        </w:rPr>
      </w:pPr>
      <w:r>
        <w:rPr>
          <w:rFonts w:hint="eastAsia" w:ascii="宋体" w:hAnsi="宋体"/>
          <w:color w:val="000000"/>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color w:val="000000"/>
          <w:sz w:val="24"/>
          <w:lang w:val="zh-CN"/>
        </w:rPr>
      </w:r>
      <w:r/>
    </w:p>
    <w:p>
      <w:pPr>
        <w:pStyle w:val="938"/>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节能产品和环境标志产品</w:t>
      </w:r>
      <w:r>
        <w:rPr>
          <w:rFonts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36.2 采购产品</w:t>
      </w:r>
      <w:r>
        <w:rPr>
          <w:rFonts w:hint="eastAsia" w:ascii="宋体" w:hAnsi="宋体"/>
          <w:color w:val="000000"/>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36.3 采购产品</w:t>
      </w:r>
      <w:r>
        <w:rPr>
          <w:rFonts w:hint="eastAsia" w:ascii="宋体" w:hAnsi="宋体"/>
          <w:color w:val="000000"/>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rPr>
        <w:t xml:space="preserve">第五章</w:t>
      </w:r>
      <w:r>
        <w:rPr>
          <w:rFonts w:hint="eastAsia" w:ascii="宋体" w:hAnsi="宋体"/>
          <w:color w:val="000000"/>
          <w:sz w:val="24"/>
          <w:lang w:val="zh-CN"/>
        </w:rPr>
        <w:t xml:space="preserve">）。</w:t>
      </w:r>
      <w:r>
        <w:rPr>
          <w:rFonts w:hint="eastAsia" w:ascii="宋体" w:hAnsi="宋体"/>
          <w:color w:val="000000"/>
          <w:sz w:val="24"/>
          <w:lang w:val="zh-CN"/>
        </w:rPr>
      </w:r>
      <w:r/>
    </w:p>
    <w:p>
      <w:pPr>
        <w:pStyle w:val="938"/>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37</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934"/>
        <w:ind w:firstLine="420"/>
        <w:rPr>
          <w:rFonts w:hint="eastAsia" w:ascii="宋体" w:hAnsi="宋体"/>
          <w:color w:val="000000"/>
          <w:sz w:val="24"/>
        </w:rPr>
      </w:pPr>
      <w:r>
        <w:rPr>
          <w:rFonts w:hint="eastAsia" w:ascii="宋体" w:hAnsi="宋体"/>
          <w:color w:val="000000"/>
          <w:sz w:val="24"/>
        </w:rPr>
        <w:t xml:space="preserve">37.1 采购产品</w:t>
      </w:r>
      <w:r>
        <w:rPr>
          <w:rFonts w:hint="eastAsia" w:ascii="宋体"/>
          <w:bCs/>
          <w:color w:val="000000"/>
          <w:sz w:val="24"/>
          <w:szCs w:val="24"/>
        </w:rPr>
        <w:t xml:space="preserve">中涉及商品包装、快递包装要求的，应按照</w:t>
      </w:r>
      <w:r>
        <w:rPr>
          <w:rFonts w:hint="eastAsia" w:ascii="宋体" w:hAnsi="宋体"/>
          <w:color w:val="000000"/>
          <w:sz w:val="24"/>
          <w:szCs w:val="22"/>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文件执行。招标文件对</w:t>
      </w:r>
      <w:r>
        <w:rPr>
          <w:rFonts w:hint="eastAsia" w:ascii="宋体"/>
          <w:bCs/>
          <w:color w:val="000000"/>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color w:val="000000"/>
          <w:sz w:val="24"/>
        </w:rPr>
      </w:r>
      <w:r/>
    </w:p>
    <w:p>
      <w:pPr>
        <w:pStyle w:val="934"/>
        <w:ind w:firstLine="420"/>
        <w:rPr>
          <w:rFonts w:hint="eastAsia" w:ascii="宋体" w:hAnsi="宋体"/>
          <w:color w:val="000000"/>
          <w:sz w:val="24"/>
        </w:rPr>
      </w:pPr>
      <w:r>
        <w:rPr>
          <w:rFonts w:hint="eastAsia" w:ascii="宋体" w:hAnsi="宋体"/>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color w:val="000000"/>
          <w:sz w:val="24"/>
        </w:rPr>
      </w:r>
      <w:r/>
    </w:p>
    <w:p>
      <w:pPr>
        <w:pStyle w:val="938"/>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38</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934"/>
        <w:ind w:firstLine="420"/>
        <w:widowControl/>
        <w:rPr>
          <w:rFonts w:hint="eastAsia" w:ascii="宋体" w:hAnsi="宋体"/>
          <w:color w:val="000000"/>
          <w:sz w:val="24"/>
        </w:rPr>
      </w:pPr>
      <w:r>
        <w:rPr>
          <w:rFonts w:hint="eastAsia" w:ascii="宋体" w:hAnsi="宋体"/>
          <w:color w:val="000000"/>
          <w:sz w:val="24"/>
        </w:rPr>
        <w:t xml:space="preserve">38.1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938"/>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39.</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934"/>
        <w:ind w:firstLine="420"/>
        <w:rPr>
          <w:rFonts w:hint="eastAsia" w:ascii="宋体" w:hAnsi="宋体"/>
          <w:color w:val="000000"/>
          <w:sz w:val="24"/>
          <w:lang w:val="zh-CN"/>
        </w:rPr>
      </w:pPr>
      <w:r>
        <w:rPr>
          <w:rFonts w:hint="eastAsia" w:ascii="宋体" w:hAnsi="宋体"/>
          <w:color w:val="000000"/>
          <w:sz w:val="24"/>
        </w:rPr>
        <w:t xml:space="preserve">39.1 </w:t>
      </w:r>
      <w:r>
        <w:rPr>
          <w:rFonts w:hint="eastAsia" w:ascii="宋体" w:hAnsi="宋体"/>
          <w:color w:val="000000"/>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39.2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lang w:val="zh-CN"/>
        </w:rPr>
      </w:r>
      <w:r/>
    </w:p>
    <w:p>
      <w:pPr>
        <w:pStyle w:val="938"/>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0</w:t>
      </w:r>
      <w:r>
        <w:rPr>
          <w:rFonts w:hint="eastAsia" w:ascii="方正楷体_GBK" w:hAnsi="方正楷体_GBK" w:eastAsia="方正楷体_GBK" w:cs="方正楷体_GBK"/>
          <w:color w:val="000000"/>
          <w:lang w:val="zh-CN"/>
        </w:rPr>
        <w:t xml:space="preserve">.实施本国产品标准及相关政策</w:t>
      </w:r>
      <w:r>
        <w:rPr>
          <w:rFonts w:hint="eastAsia" w:ascii="方正楷体_GBK" w:hAnsi="方正楷体_GBK" w:eastAsia="方正楷体_GBK" w:cs="方正楷体_GBK"/>
          <w:color w:val="000000"/>
          <w:lang w:val="zh-CN"/>
        </w:rPr>
      </w:r>
      <w:r/>
    </w:p>
    <w:p>
      <w:pPr>
        <w:pStyle w:val="934"/>
        <w:ind w:firstLine="420"/>
        <w:rPr>
          <w:rFonts w:hint="eastAsia" w:ascii="宋体" w:hAnsi="宋体"/>
          <w:color w:val="000000"/>
          <w:sz w:val="24"/>
          <w:lang w:val="zh-CN"/>
        </w:rPr>
      </w:pPr>
      <w:r>
        <w:rPr>
          <w:rFonts w:hint="eastAsia" w:ascii="宋体" w:hAnsi="宋体"/>
          <w:color w:val="000000"/>
          <w:sz w:val="24"/>
        </w:rPr>
        <w:t xml:space="preserve">40.</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934"/>
        <w:ind w:firstLine="420"/>
        <w:rPr>
          <w:rFonts w:hint="eastAsia" w:ascii="宋体" w:hAnsi="宋体"/>
          <w:color w:val="000000"/>
          <w:sz w:val="24"/>
          <w:szCs w:val="22"/>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szCs w:val="22"/>
          <w:lang w:val="zh-CN"/>
        </w:rPr>
        <w:t xml:space="preserve">本国产品应当符合以下条件：</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（1）在中国境内生产</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lang w:val="zh-CN"/>
        </w:rPr>
      </w:r>
      <w:r/>
    </w:p>
    <w:p>
      <w:pPr>
        <w:pStyle w:val="934"/>
        <w:ind w:firstLine="420"/>
        <w:rPr>
          <w:rFonts w:hint="eastAsia" w:ascii="宋体" w:hAnsi="宋体"/>
          <w:color w:val="000000"/>
          <w:sz w:val="24"/>
          <w:lang w:val="zh-CN"/>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934"/>
        <w:ind w:firstLine="420"/>
        <w:rPr>
          <w:rFonts w:hint="eastAsia" w:ascii="宋体" w:hAnsi="宋体"/>
          <w:color w:val="000000"/>
          <w:sz w:val="24"/>
          <w:szCs w:val="22"/>
          <w:lang w:val="zh-CN"/>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（3）特定产品的关键组件、关键工序符合相关要求</w:t>
      </w:r>
      <w:r>
        <w:rPr>
          <w:rFonts w:hint="eastAsia" w:ascii="宋体" w:hAnsi="宋体"/>
          <w:color w:val="000000"/>
          <w:sz w:val="24"/>
          <w:szCs w:val="22"/>
          <w:lang w:val="zh-CN"/>
        </w:rPr>
      </w:r>
      <w:r/>
    </w:p>
    <w:p>
      <w:pPr>
        <w:pStyle w:val="934"/>
        <w:ind w:firstLine="420"/>
        <w:rPr>
          <w:rFonts w:hint="eastAsia" w:ascii="宋体" w:hAnsi="宋体"/>
          <w:color w:val="000000"/>
          <w:sz w:val="24"/>
          <w:szCs w:val="22"/>
          <w:lang w:val="zh-CN"/>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.3本国产品标准的适用范围</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934"/>
        <w:ind w:firstLine="420"/>
        <w:rPr>
          <w:rFonts w:ascii="宋体" w:hAnsi="宋体"/>
          <w:color w:val="000000"/>
          <w:sz w:val="24"/>
        </w:rPr>
      </w:pPr>
      <w:r>
        <w:rPr>
          <w:rFonts w:hint="eastAsia" w:ascii="宋体" w:hAnsi="宋体"/>
          <w:color w:val="000000"/>
          <w:sz w:val="24"/>
        </w:rPr>
        <w:t xml:space="preserve">40.4对本国产品的支持政策</w:t>
      </w:r>
      <w:r>
        <w:rPr>
          <w:rFonts w:ascii="宋体" w:hAnsi="宋体"/>
          <w:color w:val="000000"/>
          <w:sz w:val="24"/>
        </w:rPr>
      </w:r>
      <w:r/>
    </w:p>
    <w:p>
      <w:pPr>
        <w:pStyle w:val="934"/>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934"/>
        <w:ind w:firstLine="420"/>
        <w:rPr>
          <w:rFonts w:ascii="宋体" w:hAnsi="宋体"/>
          <w:color w:val="000000"/>
          <w:sz w:val="24"/>
        </w:rPr>
      </w:pPr>
      <w:r>
        <w:rPr>
          <w:rFonts w:hint="eastAsia" w:ascii="宋体" w:hAnsi="宋体"/>
          <w:color w:val="000000"/>
          <w:sz w:val="24"/>
        </w:rPr>
        <w:t xml:space="preserve">40.5政策执行要求</w:t>
      </w:r>
      <w:r>
        <w:rPr>
          <w:rFonts w:ascii="宋体" w:hAnsi="宋体"/>
          <w:color w:val="000000"/>
          <w:sz w:val="24"/>
        </w:rPr>
      </w:r>
      <w:r/>
    </w:p>
    <w:p>
      <w:pPr>
        <w:pStyle w:val="934"/>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934"/>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color w:val="000000"/>
          <w:sz w:val="24"/>
        </w:rPr>
      </w:r>
      <w:r/>
    </w:p>
    <w:p>
      <w:pPr>
        <w:pStyle w:val="934"/>
        <w:ind w:firstLine="420"/>
        <w:rPr>
          <w:color w:val="000000"/>
        </w:rPr>
      </w:pPr>
      <w:r>
        <w:rPr>
          <w:rFonts w:hint="eastAsia" w:ascii="宋体" w:hAnsi="宋体"/>
          <w:color w:val="000000"/>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7"/>
      <w:r/>
      <w:bookmarkStart w:id="48" w:name="_Toc20823314"/>
      <w:r/>
      <w:bookmarkStart w:id="49" w:name="_Toc479757207"/>
      <w:r/>
      <w:bookmarkStart w:id="50" w:name="_Toc16938558"/>
      <w:r/>
      <w:bookmarkStart w:id="51" w:name="_Toc513029242"/>
      <w:r/>
      <w:bookmarkStart w:id="52" w:name="_Toc120614221"/>
      <w:r>
        <w:rPr>
          <w:color w:val="000000"/>
        </w:rPr>
      </w:r>
      <w:r/>
    </w:p>
    <w:p>
      <w:pPr>
        <w:pStyle w:val="939"/>
        <w:ind w:firstLine="422"/>
        <w:rPr>
          <w:rFonts w:hint="eastAsia" w:ascii="方正楷体_GBK" w:hAnsi="方正楷体_GBK" w:eastAsia="方正楷体_GBK" w:cs="方正楷体_GBK"/>
          <w:b/>
          <w:bCs/>
          <w:color w:val="000000"/>
          <w:lang w:val="zh-CN"/>
        </w:rPr>
      </w:pPr>
      <w:r>
        <w:rPr>
          <w:rFonts w:hint="eastAsia" w:ascii="方正楷体_GBK" w:hAnsi="方正楷体_GBK" w:eastAsia="方正楷体_GBK" w:cs="方正楷体_GBK"/>
          <w:b/>
          <w:bCs/>
          <w:color w:val="000000"/>
          <w:lang w:val="zh-CN"/>
        </w:rPr>
        <w:t xml:space="preserve">4</w:t>
      </w: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zh-CN"/>
        </w:rPr>
        <w:t xml:space="preserve">.数据交易说明</w:t>
      </w:r>
      <w:r>
        <w:rPr>
          <w:rFonts w:hint="eastAsia" w:ascii="方正楷体_GBK" w:hAnsi="方正楷体_GBK" w:eastAsia="方正楷体_GBK" w:cs="方正楷体_GBK"/>
          <w:b/>
          <w:bCs/>
          <w:color w:val="000000"/>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 数据交易标的包括数据产品、数据服务、数据工具。</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数据产品是指用于交易的数据和数据衍生产品，包括但不限于数据集、数据分析报告、数据可视化产品、数据指数、API数据、加密数据等。</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lang w:val="zh-CN"/>
        </w:rPr>
      </w:r>
      <w:r/>
    </w:p>
    <w:p>
      <w:pPr>
        <w:pStyle w:val="934"/>
        <w:ind w:firstLine="420"/>
        <w:rPr>
          <w:rFonts w:hint="eastAsia" w:ascii="宋体" w:hAnsi="宋体"/>
          <w:color w:val="000000"/>
          <w:sz w:val="24"/>
          <w:lang w:val="zh-CN"/>
        </w:rPr>
      </w:pPr>
      <w:r>
        <w:rPr>
          <w:rFonts w:hint="eastAsia" w:ascii="宋体" w:hAnsi="宋体"/>
          <w:color w:val="000000"/>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lang w:val="zh-CN"/>
        </w:rPr>
      </w:r>
      <w:r/>
    </w:p>
    <w:p>
      <w:pPr>
        <w:pStyle w:val="101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934"/>
        <w:jc w:val="center"/>
        <w:spacing w:before="145" w:after="145"/>
        <w:rPr>
          <w:rFonts w:hint="eastAsia" w:ascii="宋体" w:hAnsi="宋体"/>
          <w:bCs/>
          <w:color w:val="000000"/>
          <w:sz w:val="24"/>
        </w:rPr>
      </w:pPr>
      <w:r/>
      <w:bookmarkStart w:id="53" w:name="_Toc20823315"/>
      <w:r/>
      <w:bookmarkStart w:id="54" w:name="_Toc16938559"/>
      <w:r/>
      <w:bookmarkStart w:id="55" w:name="_Toc513029243"/>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1013"/>
        <w:ind w:left="0"/>
        <w:rPr>
          <w:rFonts w:hint="eastAsia"/>
          <w:color w:val="000000"/>
        </w:rPr>
      </w:pPr>
      <w:r>
        <w:rPr>
          <w:rFonts w:hint="eastAsia"/>
          <w:color w:val="000000"/>
        </w:rPr>
      </w:r>
      <w:r/>
    </w:p>
    <w:p>
      <w:pPr>
        <w:pStyle w:val="934"/>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934"/>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34"/>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34"/>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34"/>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34"/>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34"/>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34"/>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color w:val="000000"/>
          <w:sz w:val="24"/>
          <w:szCs w:val="24"/>
        </w:rPr>
        <w:t xml:space="preserve">甲方指定地点。</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4"/>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75"/>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6.1</w:t>
      </w:r>
      <w:r>
        <w:rPr>
          <w:rFonts w:hint="eastAsia" w:ascii="宋体" w:hAnsi="宋体" w:cs="Courier New"/>
          <w:color w:val="000000"/>
          <w:sz w:val="24"/>
          <w:szCs w:val="24"/>
        </w:rPr>
        <w:t xml:space="preserve"> 签订合同时，乙方按照合同金额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%缴纳履约保证金。合同履行结束后，甲方按以下约定退还：</w:t>
      </w:r>
      <w:r>
        <w:rPr>
          <w:rFonts w:hint="eastAsia" w:ascii="宋体" w:hAnsi="宋体" w:cs="Courier New"/>
          <w:color w:val="000000"/>
          <w:sz w:val="24"/>
          <w:szCs w:val="24"/>
        </w:rPr>
      </w:r>
      <w:r/>
    </w:p>
    <w:p>
      <w:pPr>
        <w:pStyle w:val="934"/>
        <w:rPr>
          <w:rFonts w:ascii="宋体" w:hAnsi="宋体" w:cs="Courier New"/>
          <w:color w:val="000000"/>
          <w:sz w:val="24"/>
          <w:szCs w:val="24"/>
        </w:rPr>
      </w:pPr>
      <w:r>
        <w:rPr>
          <w:rFonts w:hint="eastAsia" w:ascii="宋体" w:hAnsi="宋体" w:cs="Courier New"/>
          <w:color w:val="000000"/>
          <w:sz w:val="24"/>
          <w:szCs w:val="24"/>
        </w:rPr>
        <w:t xml:space="preserve">6.1.1</w:t>
      </w:r>
      <w:r>
        <w:rPr>
          <w:rFonts w:hint="eastAsia" w:ascii="宋体" w:hAnsi="宋体" w:cs="Courier New"/>
          <w:color w:val="000000"/>
          <w:sz w:val="24"/>
          <w:szCs w:val="24"/>
        </w:rPr>
        <w:t xml:space="preserve"> 退还时间及条件：验收合格且合同履行期结束后5个工作日内。</w:t>
      </w:r>
      <w:r>
        <w:rPr>
          <w:rFonts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6.1.2</w:t>
      </w:r>
      <w:r>
        <w:rPr>
          <w:rFonts w:hint="eastAsia" w:ascii="宋体" w:hAnsi="宋体" w:cs="Courier New"/>
          <w:color w:val="000000"/>
          <w:sz w:val="24"/>
          <w:szCs w:val="24"/>
        </w:rPr>
        <w:t xml:space="preserve"> 退还方式：扣除违约费用后一次性无息退还。</w:t>
      </w:r>
      <w:r>
        <w:rPr>
          <w:rFonts w:hint="eastAsia" w:ascii="宋体" w:hAnsi="宋体" w:cs="Courier New"/>
          <w:color w:val="000000"/>
          <w:sz w:val="24"/>
          <w:szCs w:val="24"/>
        </w:rPr>
      </w:r>
      <w:r/>
    </w:p>
    <w:p>
      <w:pPr>
        <w:pStyle w:val="934"/>
        <w:rPr>
          <w:rFonts w:ascii="宋体" w:hAnsi="宋体" w:cs="Courier New"/>
          <w:color w:val="000000"/>
          <w:sz w:val="24"/>
          <w:szCs w:val="24"/>
        </w:rPr>
      </w:pPr>
      <w:r>
        <w:rPr>
          <w:rFonts w:hint="eastAsia" w:ascii="宋体" w:hAnsi="宋体" w:cs="Courier New"/>
          <w:color w:val="000000"/>
          <w:sz w:val="24"/>
          <w:szCs w:val="24"/>
        </w:rPr>
        <w:t xml:space="preserve">6.1.3</w:t>
      </w:r>
      <w:r>
        <w:rPr>
          <w:rFonts w:hint="eastAsia" w:ascii="宋体" w:hAnsi="宋体" w:cs="Courier New"/>
          <w:color w:val="000000"/>
          <w:sz w:val="24"/>
          <w:szCs w:val="24"/>
        </w:rPr>
        <w:t xml:space="preserve"> 不予退还的情形：合同约定的交付期内未履约完成、验收不合格、整改不到位等情形。</w:t>
      </w:r>
      <w:r>
        <w:rPr>
          <w:rFonts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6.1.4</w:t>
      </w:r>
      <w:r>
        <w:rPr>
          <w:rFonts w:hint="eastAsia" w:ascii="宋体" w:hAnsi="宋体" w:cs="Courier New"/>
          <w:color w:val="000000"/>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rPr>
      </w:r>
      <w:r/>
    </w:p>
    <w:p>
      <w:pPr>
        <w:pStyle w:val="934"/>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3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宋体" w:hAnsi="宋体" w:cs="Courier New"/>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75"/>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8.1.1</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本项目合同签订后，甲方向乙方支付合同总金额的20%。</w:t>
      </w:r>
      <w:r>
        <w:rPr>
          <w:rFonts w:hint="eastAsia" w:ascii="宋体" w:hAnsi="宋体" w:cs="Courier New"/>
          <w:color w:val="000000"/>
          <w:sz w:val="24"/>
          <w:szCs w:val="24"/>
        </w:rPr>
      </w:r>
      <w:r/>
    </w:p>
    <w:p>
      <w:pPr>
        <w:pStyle w:val="975"/>
        <w:spacing w:line="264" w:lineRule="auto"/>
        <w:rPr>
          <w:rFonts w:hint="eastAsia" w:hAnsi="宋体"/>
          <w:color w:val="000000"/>
          <w:sz w:val="24"/>
          <w:szCs w:val="24"/>
        </w:rPr>
      </w:pPr>
      <w:r>
        <w:rPr>
          <w:rFonts w:hint="eastAsia" w:hAnsi="宋体"/>
          <w:color w:val="000000"/>
          <w:sz w:val="24"/>
          <w:szCs w:val="24"/>
        </w:rPr>
        <w:t xml:space="preserve">8.1.2项目成果获得甲方认可并上线试运行后，甲方向乙方支付本合同总金额的40%。</w:t>
      </w:r>
      <w:r>
        <w:rPr>
          <w:rFonts w:hint="eastAsia" w:hAnsi="宋体"/>
          <w:color w:val="000000"/>
          <w:sz w:val="24"/>
          <w:szCs w:val="24"/>
        </w:rPr>
      </w:r>
      <w:r/>
    </w:p>
    <w:p>
      <w:pPr>
        <w:pStyle w:val="975"/>
        <w:spacing w:line="264" w:lineRule="auto"/>
        <w:rPr>
          <w:rFonts w:hint="eastAsia" w:hAnsi="宋体"/>
          <w:color w:val="000000"/>
          <w:sz w:val="24"/>
          <w:szCs w:val="24"/>
        </w:rPr>
      </w:pPr>
      <w:r>
        <w:rPr>
          <w:rFonts w:hint="eastAsia" w:hAnsi="宋体"/>
          <w:color w:val="000000"/>
          <w:sz w:val="24"/>
          <w:szCs w:val="24"/>
        </w:rPr>
        <w:t xml:space="preserve">8.1.3项目成果通过甲方验收后，甲方向乙方支付本合同总金额的40%。</w:t>
      </w:r>
      <w:r>
        <w:rPr>
          <w:rFonts w:hint="eastAsia" w:hAnsi="宋体"/>
          <w:color w:val="000000"/>
          <w:sz w:val="24"/>
          <w:szCs w:val="24"/>
        </w:rPr>
      </w:r>
      <w:r/>
    </w:p>
    <w:p>
      <w:pPr>
        <w:pStyle w:val="975"/>
        <w:spacing w:line="264" w:lineRule="auto"/>
        <w:rPr>
          <w:rFonts w:hint="eastAsia"/>
          <w:color w:val="000000"/>
        </w:rPr>
      </w:pPr>
      <w:r>
        <w:rPr>
          <w:rFonts w:hint="eastAsia" w:hAnsi="宋体"/>
          <w:color w:val="000000"/>
          <w:sz w:val="24"/>
          <w:szCs w:val="24"/>
        </w:rPr>
        <w:t xml:space="preserve">8.1.4 满足合同约定支付条件的，甲方收到乙方发票后10个工作日内，将资金支付到合同约定的乙方账户。 </w:t>
      </w:r>
      <w:r>
        <w:rPr>
          <w:rFonts w:hint="eastAsia"/>
          <w:color w:val="000000"/>
        </w:rPr>
      </w:r>
      <w:r/>
    </w:p>
    <w:p>
      <w:pPr>
        <w:pStyle w:val="975"/>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34"/>
        <w:spacing w:line="264" w:lineRule="auto"/>
        <w:rPr>
          <w:rFonts w:ascii="宋体" w:hAnsi="宋体" w:cs="Courier New"/>
          <w:color w:val="000000"/>
          <w:sz w:val="24"/>
          <w:szCs w:val="24"/>
        </w:rPr>
      </w:pPr>
      <w:r>
        <w:rPr>
          <w:rFonts w:hint="eastAsia" w:ascii="宋体" w:hAnsi="宋体" w:cs="Courier New"/>
          <w:color w:val="000000"/>
          <w:sz w:val="24"/>
          <w:szCs w:val="24"/>
          <w:lang w:val="zh-CN"/>
        </w:rPr>
        <w:t xml:space="preserve">10.7 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w:t>
      </w:r>
      <w:r>
        <w:rPr>
          <w:rFonts w:ascii="宋体" w:hAnsi="宋体" w:cs="Courier New"/>
          <w:color w:val="000000"/>
          <w:sz w:val="24"/>
          <w:szCs w:val="24"/>
        </w:rPr>
      </w:r>
      <w:r/>
    </w:p>
    <w:p>
      <w:pPr>
        <w:pStyle w:val="934"/>
        <w:rPr>
          <w:rFonts w:hint="eastAsia" w:ascii="宋体" w:hAnsi="宋体" w:cs="Courier New"/>
          <w:color w:val="000000"/>
          <w:sz w:val="24"/>
          <w:szCs w:val="24"/>
          <w:lang w:val="zh-CN"/>
        </w:rPr>
      </w:pPr>
      <w:r>
        <w:rPr>
          <w:rFonts w:hint="eastAsia" w:ascii="宋体" w:hAnsi="宋体" w:cs="Courier New"/>
          <w:color w:val="000000"/>
          <w:sz w:val="24"/>
          <w:szCs w:val="24"/>
          <w:lang w:val="zh-CN"/>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934"/>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34"/>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rPr>
          <w:rFonts w:hint="eastAsia" w:ascii="方正黑体_GBK" w:hAnsi="方正黑体_GBK" w:eastAsia="方正黑体_GBK" w:cs="方正黑体_GBK"/>
          <w:bCs/>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934"/>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75"/>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5"/>
        <w:ind w:firstLine="240"/>
        <w:spacing w:before="120" w:after="120"/>
        <w:rPr>
          <w:rFonts w:hint="eastAsia" w:hAnsi="宋体"/>
          <w:color w:val="000000"/>
          <w:sz w:val="24"/>
          <w:szCs w:val="24"/>
        </w:rPr>
      </w:pPr>
      <w:r/>
      <w:bookmarkEnd w:id="53"/>
      <w:r/>
      <w:bookmarkEnd w:id="54"/>
      <w:r/>
      <w:bookmarkEnd w:id="55"/>
      <w:r>
        <w:rPr>
          <w:rFonts w:hint="eastAsia" w:hAnsi="宋体"/>
          <w:color w:val="000000"/>
          <w:sz w:val="24"/>
          <w:szCs w:val="24"/>
        </w:rPr>
        <w:t xml:space="preserve">甲方：（公章）                       乙方：（公章） </w:t>
      </w:r>
      <w:r>
        <w:rPr>
          <w:rFonts w:hint="eastAsia" w:hAnsi="宋体"/>
          <w:color w:val="000000"/>
          <w:sz w:val="24"/>
          <w:szCs w:val="24"/>
        </w:rPr>
      </w:r>
      <w:r/>
    </w:p>
    <w:p>
      <w:pPr>
        <w:pStyle w:val="975"/>
        <w:spacing w:before="120" w:after="120"/>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975"/>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975"/>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75"/>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5"/>
        <w:ind w:firstLine="5280"/>
        <w:spacing w:before="120" w:after="120"/>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975"/>
        <w:ind w:firstLine="4800"/>
        <w:spacing w:before="120" w:after="120"/>
        <w:rPr>
          <w:rFonts w:hint="eastAsia" w:hAnsi="宋体"/>
          <w:color w:val="000000"/>
          <w:sz w:val="24"/>
          <w:szCs w:val="24"/>
        </w:rPr>
      </w:pPr>
      <w:r>
        <w:rPr>
          <w:rFonts w:hint="eastAsia" w:hAnsi="宋体"/>
          <w:color w:val="000000"/>
          <w:sz w:val="24"/>
          <w:szCs w:val="24"/>
        </w:rPr>
      </w:r>
      <w:r/>
    </w:p>
    <w:p>
      <w:pPr>
        <w:pStyle w:val="934"/>
        <w:jc w:val="center"/>
        <w:spacing w:before="145" w:after="145"/>
        <w:rPr>
          <w:rFonts w:hint="eastAsia" w:ascii="宋体" w:hAnsi="宋体"/>
          <w:b/>
          <w:color w:val="000000"/>
          <w:sz w:val="30"/>
        </w:rPr>
      </w:pPr>
      <w:r>
        <w:rPr>
          <w:rFonts w:hint="eastAsia" w:ascii="宋体" w:hAnsi="宋体"/>
          <w:b/>
          <w:color w:val="000000"/>
          <w:sz w:val="30"/>
        </w:rPr>
      </w:r>
      <w:r/>
    </w:p>
    <w:p>
      <w:pPr>
        <w:pStyle w:val="934"/>
        <w:jc w:val="center"/>
        <w:spacing w:before="145" w:after="145"/>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975"/>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105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1"/>
      <w:r>
        <w:rPr>
          <w:rFonts w:hint="eastAsia" w:ascii="方正小标宋简体" w:hAnsi="方正小标宋简体" w:eastAsia="方正小标宋简体" w:cs="方正小标宋简体"/>
          <w:color w:val="000000"/>
          <w:sz w:val="36"/>
          <w:szCs w:val="36"/>
        </w:rPr>
        <w:t xml:space="preserve">四章  采购需求</w:t>
      </w:r>
      <w:bookmarkEnd w:id="42"/>
      <w:r/>
      <w:bookmarkEnd w:id="43"/>
      <w:r/>
      <w:bookmarkEnd w:id="44"/>
      <w:r>
        <w:rPr>
          <w:rFonts w:hint="eastAsia" w:ascii="方正小标宋简体" w:hAnsi="方正小标宋简体" w:eastAsia="方正小标宋简体" w:cs="方正小标宋简体"/>
          <w:color w:val="000000"/>
          <w:sz w:val="36"/>
          <w:szCs w:val="36"/>
        </w:rPr>
      </w:r>
      <w:r/>
    </w:p>
    <w:p>
      <w:pPr>
        <w:pStyle w:val="934"/>
        <w:ind w:firstLine="480"/>
        <w:spacing w:line="264" w:lineRule="auto"/>
        <w:rPr>
          <w:rFonts w:hint="eastAsia" w:ascii="黑体" w:hAnsi="黑体" w:eastAsia="黑体" w:cs="黑体"/>
          <w:color w:val="000000"/>
          <w:sz w:val="24"/>
          <w:szCs w:val="24"/>
        </w:rPr>
      </w:pPr>
      <w:r/>
      <w:bookmarkStart w:id="56" w:name="_Toc49090575"/>
      <w:r/>
      <w:bookmarkStart w:id="57"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93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934"/>
        <w:ind w:firstLine="480"/>
        <w:spacing w:line="264" w:lineRule="auto"/>
        <w:rPr>
          <w:rFonts w:hint="eastAsia" w:ascii="宋体" w:hAnsi="宋体" w:cs="宋体"/>
          <w:color w:val="000000"/>
          <w:sz w:val="24"/>
          <w:szCs w:val="24"/>
        </w:rPr>
      </w:pPr>
      <w:r/>
      <w:bookmarkStart w:id="58" w:name="_Hlk220055655"/>
      <w:r>
        <w:rPr>
          <w:rFonts w:hint="eastAsia" w:ascii="宋体" w:hAnsi="宋体" w:cs="宋体"/>
          <w:color w:val="000000"/>
          <w:sz w:val="24"/>
          <w:szCs w:val="24"/>
        </w:rPr>
        <w:t xml:space="preserve">“互联网+”一体化政务服务系统2025</w:t>
      </w:r>
      <w:bookmarkEnd w:id="58"/>
      <w:r>
        <w:rPr>
          <w:rFonts w:hint="eastAsia" w:ascii="宋体" w:hAnsi="宋体" w:cs="宋体"/>
          <w:color w:val="000000"/>
          <w:sz w:val="24"/>
          <w:szCs w:val="24"/>
        </w:rPr>
        <w:t xml:space="preserve">建设内容：为深入贯彻落实国家及省市关于深化“放管服”改革、推动“高效办成一件事”的决策部署，满足我局在集体土地征收、行政审批规范、临时用地管理等领域一系列新政策落地的技术支撑需求，现需对“互联网+”一体化政务服务系统进行功能模块的新增。当前系统在智能化审查、数据共享与业务协同等方面存在不足，难以完全适应AI政务发展新趋势与跨部门联动新要求。通过本次建设，将构建更为智能、协同、高效的一体化政务服务平台，全面提升规划资源数字化治理与服务能力。</w:t>
      </w:r>
      <w:r>
        <w:rPr>
          <w:rFonts w:hint="eastAsia" w:ascii="宋体" w:hAnsi="宋体" w:cs="宋体"/>
          <w:color w:val="000000"/>
          <w:sz w:val="24"/>
          <w:szCs w:val="24"/>
        </w:rPr>
      </w:r>
      <w:r/>
    </w:p>
    <w:p>
      <w:pPr>
        <w:pStyle w:val="93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南京市规划资源移动应用2025建设内容：为加快数字政府建设的决策部署，满足我局在移动政务办公提质增效、合规安全运行及政务协</w:t>
      </w:r>
      <w:r>
        <w:rPr>
          <w:rFonts w:hint="eastAsia" w:ascii="宋体" w:hAnsi="宋体" w:cs="宋体"/>
          <w:color w:val="000000"/>
          <w:sz w:val="24"/>
          <w:szCs w:val="24"/>
        </w:rPr>
        <w:t xml:space="preserve">同联动等领域的技术支撑需求，现需对南京规划资源移动应用进行新增建设。当前，华为原生鸿蒙系统HarmonyOS NEXT 5.0已正式发布且不再兼容安卓应用，现有APP无法适配该系统，同时不同型号设备APP安装步骤差异较大给用户带来困扰，个人信息授权规范未完全落实，且与“我的南京政务版”对接不够深入，难以适应多系统生态发展、用户体验提升及跨部门政务协同的新要求。通过本次建设，将构建适配多系统、合规安全、协同高效的移动政务办公服务体系，全面提升规划资源领域移动政务服务与数字化治理能力，有力支撑各项政策落地见效。</w:t>
      </w:r>
      <w:r>
        <w:rPr>
          <w:rFonts w:hint="eastAsia" w:ascii="宋体" w:hAnsi="宋体" w:cs="宋体"/>
          <w:color w:val="000000"/>
          <w:sz w:val="24"/>
          <w:szCs w:val="24"/>
        </w:rPr>
      </w:r>
      <w:r/>
    </w:p>
    <w:p>
      <w:pPr>
        <w:pStyle w:val="934"/>
        <w:ind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动产登记业务管理及“异地通办”子系统2025建设内容：为贯彻党中央、国务院“放管服”改革，优化营商环境，推动不动产登记高质量发展，响应《江苏省自然资源厅关于加快建设“线上苏小登”深化“互联网+不动产登记”工作的通知》（苏自然资函〔2021〕106号）、《关于开展不动产登记数据分析工作的函》（自然资登记函〔2023〕76号）、《关于印发&lt;南京市不动产登记“全市通办”优化方案&gt;的通知》（宁规划资源发〔2023〕123号）、《江苏省自然资源厅</w:t>
      </w:r>
      <w:r>
        <w:rPr>
          <w:rFonts w:hint="eastAsia" w:ascii="宋体" w:hAnsi="宋体" w:cs="宋体"/>
          <w:color w:val="000000"/>
          <w:sz w:val="24"/>
          <w:szCs w:val="24"/>
        </w:rPr>
        <w:t xml:space="preserve">办公室关于认真做好2024年度全省自然资源和不动产确权登记工作的通知》、《国务院关于进一步优化政务服务提升行政效能推动“高效办成一件事”的指导意见》（国发〔2024〕3号）、《关于印发2024年全省营商环境评价方案的通知》（苏营商发〔2024〕3号）、《关于拓展不动产登记增量报文接入字段有关工作的通知》、《关于扩展不动产登记信息精准查询功能相关工作的通知》、《关于开展“总对总”不动产网络查封登记试点工作的通知》等文件要求，南京市规划和自然资源局开展不动产登记业务管理及“异地通办”子系统（2025）项目建设。</w:t>
      </w:r>
      <w:r>
        <w:rPr>
          <w:rFonts w:hint="eastAsia" w:ascii="宋体" w:hAnsi="宋体" w:cs="宋体"/>
          <w:color w:val="000000"/>
          <w:sz w:val="24"/>
          <w:szCs w:val="24"/>
        </w:rPr>
      </w:r>
      <w:r/>
    </w:p>
    <w:p>
      <w:pPr>
        <w:pStyle w:val="934"/>
        <w:ind w:firstLine="480"/>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南京市智慧耕地保护综合管理子系统2025建设内容：为深入贯彻落实《数字中国建设整体布局规划》、《自然资源数字化治理能力提升总体方案》（自然资发〔2024〕33号）等国家层面关于数字化驱动治理方式变革的战略部署，在耕地保护领域，为适应国家关于改革完善耕地占补平衡管理、严守永久基本农田红线的新机制与新要求，现有系统需构建覆盖指标全链条动态监管、“一本账”精准管理与跨部门共治的数字化能力，以支撑“以补定占”、永久基本农田“划、建、管、补、护”等业务的精准落地与高效协同。</w:t>
      </w:r>
      <w:r>
        <w:rPr>
          <w:rFonts w:hint="eastAsia" w:ascii="宋体" w:hAnsi="宋体" w:cs="宋体"/>
          <w:color w:val="000000"/>
          <w:sz w:val="24"/>
          <w:szCs w:val="24"/>
        </w:rPr>
      </w:r>
      <w:r/>
    </w:p>
    <w:p>
      <w:pPr>
        <w:pStyle w:val="93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（二）项目建设遵循标准</w:t>
      </w:r>
      <w:r>
        <w:rPr>
          <w:rFonts w:hint="eastAsia" w:ascii="黑体" w:hAnsi="黑体" w:eastAsia="黑体" w:cs="黑体"/>
          <w:color w:val="000000"/>
          <w:sz w:val="24"/>
          <w:szCs w:val="24"/>
        </w:rPr>
      </w:r>
      <w:r/>
    </w:p>
    <w:p>
      <w:pPr>
        <w:pStyle w:val="93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93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4902"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8"/>
        <w:gridCol w:w="1392"/>
        <w:gridCol w:w="773"/>
        <w:gridCol w:w="734"/>
        <w:gridCol w:w="1390"/>
        <w:gridCol w:w="1090"/>
        <w:gridCol w:w="1355"/>
        <w:gridCol w:w="1121"/>
      </w:tblGrid>
      <w:tr>
        <w:trPr>
          <w:trHeight w:val="686"/>
        </w:trPr>
        <w:tc>
          <w:tcPr>
            <w:tcW w:w="558"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1392"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773"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734"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1390"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单价上限</w:t>
            </w:r>
            <w:r>
              <w:rPr>
                <w:rFonts w:hint="eastAsia" w:ascii="宋体" w:hAnsi="宋体"/>
                <w:bCs/>
                <w:color w:val="000000"/>
                <w:sz w:val="24"/>
                <w:szCs w:val="24"/>
              </w:rPr>
            </w:r>
            <w:r/>
          </w:p>
          <w:p>
            <w:pPr>
              <w:pStyle w:val="934"/>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（元）</w:t>
            </w:r>
            <w:r>
              <w:rPr>
                <w:rFonts w:hint="eastAsia" w:ascii="宋体" w:hAnsi="宋体"/>
                <w:bCs/>
                <w:color w:val="000000"/>
                <w:sz w:val="24"/>
                <w:szCs w:val="24"/>
              </w:rPr>
            </w:r>
            <w:r/>
          </w:p>
        </w:tc>
        <w:tc>
          <w:tcPr>
            <w:tcW w:w="1090"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1355"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中小企业划分标准</w:t>
            </w: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1121"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r>
      <w:tr>
        <w:trPr>
          <w:trHeight w:val="871"/>
        </w:trPr>
        <w:tc>
          <w:tcPr>
            <w:tcW w:w="558"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1392" w:type="dxa"/>
            <w:vAlign w:val="center"/>
            <w:textDirection w:val="lrTb"/>
            <w:noWrap w:val="false"/>
          </w:tcPr>
          <w:p>
            <w:pPr>
              <w:pStyle w:val="934"/>
              <w:jc w:val="left"/>
              <w:widowControl/>
              <w:rPr>
                <w:rFonts w:hint="eastAsia" w:ascii="宋体" w:hAnsi="宋体"/>
                <w:bCs/>
                <w:color w:val="000000"/>
                <w:sz w:val="24"/>
                <w:szCs w:val="24"/>
              </w:rPr>
            </w:pPr>
            <w:r>
              <w:rPr>
                <w:rFonts w:hint="eastAsia"/>
                <w:color w:val="000000"/>
              </w:rPr>
              <w:t xml:space="preserve">“互联网+”一体化政务服务系统2025</w:t>
            </w:r>
            <w:r>
              <w:rPr>
                <w:rFonts w:hint="eastAsia" w:ascii="宋体" w:hAnsi="宋体"/>
                <w:bCs/>
                <w:color w:val="000000"/>
                <w:sz w:val="24"/>
                <w:szCs w:val="24"/>
              </w:rPr>
            </w:r>
            <w:r/>
          </w:p>
        </w:tc>
        <w:tc>
          <w:tcPr>
            <w:tcW w:w="773" w:type="dxa"/>
            <w:vAlign w:val="center"/>
            <w:textDirection w:val="lrTb"/>
            <w:noWrap w:val="false"/>
          </w:tcPr>
          <w:p>
            <w:pPr>
              <w:pStyle w:val="934"/>
              <w:jc w:val="center"/>
              <w:spacing w:line="288" w:lineRule="auto"/>
              <w:rPr>
                <w:rFonts w:hint="eastAsia" w:ascii="宋体" w:hAnsi="宋体"/>
                <w:bCs/>
                <w:color w:val="000000"/>
                <w:sz w:val="24"/>
                <w:szCs w:val="24"/>
              </w:rPr>
            </w:pPr>
            <w:r>
              <w:rPr>
                <w:rFonts w:ascii="宋体" w:hAnsi="宋体" w:cs="宋体"/>
                <w:bCs/>
                <w:color w:val="000000"/>
                <w:sz w:val="24"/>
                <w:szCs w:val="24"/>
              </w:rPr>
              <w:t xml:space="preserve">1</w:t>
            </w:r>
            <w:r>
              <w:rPr>
                <w:rFonts w:hint="eastAsia" w:ascii="宋体" w:hAnsi="宋体"/>
                <w:bCs/>
                <w:color w:val="000000"/>
                <w:sz w:val="24"/>
                <w:szCs w:val="24"/>
              </w:rPr>
            </w:r>
            <w:r/>
          </w:p>
        </w:tc>
        <w:tc>
          <w:tcPr>
            <w:tcW w:w="734" w:type="dxa"/>
            <w:vAlign w:val="center"/>
            <w:textDirection w:val="lrTb"/>
            <w:noWrap w:val="false"/>
          </w:tcPr>
          <w:p>
            <w:pPr>
              <w:pStyle w:val="934"/>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项</w:t>
            </w:r>
            <w:r>
              <w:rPr>
                <w:rFonts w:hint="eastAsia" w:ascii="宋体" w:hAnsi="宋体" w:cs="宋体"/>
                <w:bCs/>
                <w:color w:val="000000"/>
                <w:sz w:val="24"/>
                <w:szCs w:val="24"/>
              </w:rPr>
            </w:r>
            <w:r/>
          </w:p>
        </w:tc>
        <w:tc>
          <w:tcPr>
            <w:tcW w:w="1390" w:type="dxa"/>
            <w:vAlign w:val="center"/>
            <w:textDirection w:val="lrTb"/>
            <w:noWrap w:val="false"/>
          </w:tcPr>
          <w:p>
            <w:pPr>
              <w:pStyle w:val="934"/>
              <w:jc w:val="center"/>
              <w:rPr>
                <w:rFonts w:hint="eastAsia" w:ascii="宋体" w:hAnsi="宋体"/>
                <w:bCs/>
                <w:color w:val="000000"/>
                <w:sz w:val="24"/>
                <w:szCs w:val="24"/>
              </w:rPr>
            </w:pPr>
            <w:r>
              <w:rPr>
                <w:rFonts w:hint="eastAsia"/>
                <w:color w:val="000000"/>
              </w:rPr>
              <w:t xml:space="preserve">2850000</w:t>
            </w:r>
            <w:r>
              <w:rPr>
                <w:rFonts w:hint="eastAsia" w:ascii="宋体" w:hAnsi="宋体"/>
                <w:bCs/>
                <w:color w:val="000000"/>
                <w:sz w:val="24"/>
                <w:szCs w:val="24"/>
              </w:rPr>
            </w:r>
            <w:r/>
          </w:p>
        </w:tc>
        <w:tc>
          <w:tcPr>
            <w:tcW w:w="1090" w:type="dxa"/>
            <w:vAlign w:val="center"/>
            <w:textDirection w:val="lrTb"/>
            <w:noWrap w:val="false"/>
          </w:tcPr>
          <w:p>
            <w:pPr>
              <w:pStyle w:val="934"/>
              <w:jc w:val="center"/>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1355" w:type="dxa"/>
            <w:vAlign w:val="center"/>
            <w:textDirection w:val="lrTb"/>
            <w:noWrap w:val="false"/>
          </w:tcPr>
          <w:p>
            <w:pPr>
              <w:pStyle w:val="93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1121" w:type="dxa"/>
            <w:vAlign w:val="center"/>
            <w:textDirection w:val="lrTb"/>
            <w:noWrap w:val="false"/>
          </w:tcPr>
          <w:p>
            <w:pPr>
              <w:pStyle w:val="93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r>
        <w:trPr>
          <w:trHeight w:val="686"/>
        </w:trPr>
        <w:tc>
          <w:tcPr>
            <w:tcW w:w="558"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2</w:t>
            </w:r>
            <w:r>
              <w:rPr>
                <w:rFonts w:hint="eastAsia" w:ascii="宋体" w:hAnsi="宋体"/>
                <w:bCs/>
                <w:color w:val="000000"/>
                <w:sz w:val="24"/>
                <w:szCs w:val="24"/>
              </w:rPr>
            </w:r>
            <w:r/>
          </w:p>
        </w:tc>
        <w:tc>
          <w:tcPr>
            <w:tcW w:w="1392" w:type="dxa"/>
            <w:vAlign w:val="center"/>
            <w:textDirection w:val="lrTb"/>
            <w:noWrap w:val="false"/>
          </w:tcPr>
          <w:p>
            <w:pPr>
              <w:pStyle w:val="934"/>
              <w:rPr>
                <w:rFonts w:hint="eastAsia" w:ascii="宋体" w:hAnsi="宋体"/>
                <w:color w:val="000000"/>
                <w:sz w:val="24"/>
                <w:szCs w:val="24"/>
              </w:rPr>
            </w:pPr>
            <w:r>
              <w:rPr>
                <w:rFonts w:hint="eastAsia"/>
                <w:color w:val="000000"/>
              </w:rPr>
              <w:t xml:space="preserve">南京市规划资源移动应用2025</w:t>
            </w:r>
            <w:r>
              <w:rPr>
                <w:rFonts w:hint="eastAsia" w:ascii="宋体" w:hAnsi="宋体"/>
                <w:color w:val="000000"/>
                <w:sz w:val="24"/>
                <w:szCs w:val="24"/>
              </w:rPr>
            </w:r>
            <w:r/>
          </w:p>
        </w:tc>
        <w:tc>
          <w:tcPr>
            <w:tcW w:w="773" w:type="dxa"/>
            <w:vAlign w:val="center"/>
            <w:textDirection w:val="lrTb"/>
            <w:noWrap w:val="false"/>
          </w:tcPr>
          <w:p>
            <w:pPr>
              <w:pStyle w:val="934"/>
              <w:jc w:val="center"/>
              <w:spacing w:line="288" w:lineRule="auto"/>
              <w:rPr>
                <w:rFonts w:hint="eastAsia" w:ascii="宋体" w:hAnsi="宋体"/>
                <w:bCs/>
                <w:color w:val="000000"/>
                <w:sz w:val="24"/>
                <w:szCs w:val="24"/>
              </w:rPr>
            </w:pPr>
            <w:r>
              <w:rPr>
                <w:rFonts w:ascii="宋体" w:hAnsi="宋体" w:cs="宋体"/>
                <w:bCs/>
                <w:color w:val="000000"/>
                <w:sz w:val="24"/>
                <w:szCs w:val="24"/>
              </w:rPr>
              <w:t xml:space="preserve">1</w:t>
            </w:r>
            <w:r>
              <w:rPr>
                <w:rFonts w:hint="eastAsia" w:ascii="宋体" w:hAnsi="宋体"/>
                <w:bCs/>
                <w:color w:val="000000"/>
                <w:sz w:val="24"/>
                <w:szCs w:val="24"/>
              </w:rPr>
            </w:r>
            <w:r/>
          </w:p>
        </w:tc>
        <w:tc>
          <w:tcPr>
            <w:tcW w:w="734" w:type="dxa"/>
            <w:vAlign w:val="center"/>
            <w:textDirection w:val="lrTb"/>
            <w:noWrap w:val="false"/>
          </w:tcPr>
          <w:p>
            <w:pPr>
              <w:pStyle w:val="934"/>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项</w:t>
            </w:r>
            <w:r>
              <w:rPr>
                <w:rFonts w:hint="eastAsia" w:ascii="宋体" w:hAnsi="宋体" w:cs="宋体"/>
                <w:bCs/>
                <w:color w:val="000000"/>
                <w:sz w:val="24"/>
                <w:szCs w:val="24"/>
              </w:rPr>
            </w:r>
            <w:r/>
          </w:p>
        </w:tc>
        <w:tc>
          <w:tcPr>
            <w:tcW w:w="1390" w:type="dxa"/>
            <w:vAlign w:val="center"/>
            <w:textDirection w:val="lrTb"/>
            <w:noWrap w:val="false"/>
          </w:tcPr>
          <w:p>
            <w:pPr>
              <w:pStyle w:val="934"/>
              <w:jc w:val="center"/>
              <w:rPr>
                <w:rFonts w:hint="eastAsia" w:ascii="宋体" w:hAnsi="宋体"/>
                <w:bCs/>
                <w:color w:val="000000"/>
                <w:sz w:val="24"/>
                <w:szCs w:val="24"/>
              </w:rPr>
            </w:pPr>
            <w:r>
              <w:rPr>
                <w:rFonts w:hint="eastAsia"/>
                <w:color w:val="000000"/>
              </w:rPr>
              <w:t xml:space="preserve">320000</w:t>
            </w:r>
            <w:r>
              <w:rPr>
                <w:rFonts w:hint="eastAsia" w:ascii="宋体" w:hAnsi="宋体"/>
                <w:bCs/>
                <w:color w:val="000000"/>
                <w:sz w:val="24"/>
                <w:szCs w:val="24"/>
              </w:rPr>
            </w:r>
            <w:r/>
          </w:p>
        </w:tc>
        <w:tc>
          <w:tcPr>
            <w:tcW w:w="1090" w:type="dxa"/>
            <w:vAlign w:val="center"/>
            <w:textDirection w:val="lrTb"/>
            <w:noWrap w:val="false"/>
          </w:tcPr>
          <w:p>
            <w:pPr>
              <w:pStyle w:val="934"/>
              <w:jc w:val="center"/>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1355" w:type="dxa"/>
            <w:vAlign w:val="center"/>
            <w:textDirection w:val="lrTb"/>
            <w:noWrap w:val="false"/>
          </w:tcPr>
          <w:p>
            <w:pPr>
              <w:pStyle w:val="93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1121" w:type="dxa"/>
            <w:vAlign w:val="center"/>
            <w:textDirection w:val="lrTb"/>
            <w:noWrap w:val="false"/>
          </w:tcPr>
          <w:p>
            <w:pPr>
              <w:pStyle w:val="93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r>
        <w:trPr>
          <w:trHeight w:val="871"/>
        </w:trPr>
        <w:tc>
          <w:tcPr>
            <w:tcW w:w="558"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3</w:t>
            </w:r>
            <w:r>
              <w:rPr>
                <w:rFonts w:hint="eastAsia" w:ascii="宋体" w:hAnsi="宋体"/>
                <w:bCs/>
                <w:color w:val="000000"/>
                <w:sz w:val="24"/>
                <w:szCs w:val="24"/>
              </w:rPr>
            </w:r>
            <w:r/>
          </w:p>
        </w:tc>
        <w:tc>
          <w:tcPr>
            <w:tcW w:w="1392" w:type="dxa"/>
            <w:vAlign w:val="center"/>
            <w:textDirection w:val="lrTb"/>
            <w:noWrap w:val="false"/>
          </w:tcPr>
          <w:p>
            <w:pPr>
              <w:pStyle w:val="934"/>
              <w:rPr>
                <w:rFonts w:hint="eastAsia" w:ascii="宋体" w:hAnsi="宋体"/>
                <w:color w:val="000000"/>
                <w:sz w:val="24"/>
                <w:szCs w:val="24"/>
              </w:rPr>
            </w:pPr>
            <w:r>
              <w:rPr>
                <w:rFonts w:hint="eastAsia"/>
                <w:color w:val="000000"/>
              </w:rPr>
              <w:t xml:space="preserve">不动产登记业务管理及“异地通办”子系统2025</w:t>
            </w:r>
            <w:r>
              <w:rPr>
                <w:rFonts w:hint="eastAsia" w:ascii="宋体" w:hAnsi="宋体"/>
                <w:color w:val="000000"/>
                <w:sz w:val="24"/>
                <w:szCs w:val="24"/>
              </w:rPr>
            </w:r>
            <w:r/>
          </w:p>
        </w:tc>
        <w:tc>
          <w:tcPr>
            <w:tcW w:w="773" w:type="dxa"/>
            <w:vAlign w:val="center"/>
            <w:textDirection w:val="lrTb"/>
            <w:noWrap w:val="false"/>
          </w:tcPr>
          <w:p>
            <w:pPr>
              <w:pStyle w:val="934"/>
              <w:jc w:val="center"/>
              <w:spacing w:line="288" w:lineRule="auto"/>
              <w:rPr>
                <w:rFonts w:hint="eastAsia" w:ascii="宋体" w:hAnsi="宋体"/>
                <w:bCs/>
                <w:color w:val="000000"/>
                <w:sz w:val="24"/>
                <w:szCs w:val="24"/>
              </w:rPr>
            </w:pPr>
            <w:r>
              <w:rPr>
                <w:rFonts w:ascii="宋体" w:hAnsi="宋体" w:cs="宋体"/>
                <w:bCs/>
                <w:color w:val="000000"/>
                <w:sz w:val="24"/>
                <w:szCs w:val="24"/>
              </w:rPr>
              <w:t xml:space="preserve">1</w:t>
            </w:r>
            <w:r>
              <w:rPr>
                <w:rFonts w:hint="eastAsia" w:ascii="宋体" w:hAnsi="宋体"/>
                <w:bCs/>
                <w:color w:val="000000"/>
                <w:sz w:val="24"/>
                <w:szCs w:val="24"/>
              </w:rPr>
            </w:r>
            <w:r/>
          </w:p>
        </w:tc>
        <w:tc>
          <w:tcPr>
            <w:tcW w:w="734" w:type="dxa"/>
            <w:vAlign w:val="center"/>
            <w:textDirection w:val="lrTb"/>
            <w:noWrap w:val="false"/>
          </w:tcPr>
          <w:p>
            <w:pPr>
              <w:pStyle w:val="934"/>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项</w:t>
            </w:r>
            <w:r>
              <w:rPr>
                <w:rFonts w:hint="eastAsia" w:ascii="宋体" w:hAnsi="宋体" w:cs="宋体"/>
                <w:bCs/>
                <w:color w:val="000000"/>
                <w:sz w:val="24"/>
                <w:szCs w:val="24"/>
              </w:rPr>
            </w:r>
            <w:r/>
          </w:p>
        </w:tc>
        <w:tc>
          <w:tcPr>
            <w:tcW w:w="1390" w:type="dxa"/>
            <w:vAlign w:val="center"/>
            <w:textDirection w:val="lrTb"/>
            <w:noWrap w:val="false"/>
          </w:tcPr>
          <w:p>
            <w:pPr>
              <w:pStyle w:val="934"/>
              <w:jc w:val="center"/>
              <w:rPr>
                <w:rFonts w:hint="eastAsia" w:ascii="宋体" w:hAnsi="宋体"/>
                <w:bCs/>
                <w:color w:val="000000"/>
                <w:sz w:val="24"/>
                <w:szCs w:val="24"/>
              </w:rPr>
            </w:pPr>
            <w:r>
              <w:rPr>
                <w:rFonts w:hint="eastAsia"/>
                <w:color w:val="000000"/>
              </w:rPr>
              <w:t xml:space="preserve">2250000</w:t>
            </w:r>
            <w:r>
              <w:rPr>
                <w:rFonts w:hint="eastAsia" w:ascii="宋体" w:hAnsi="宋体"/>
                <w:bCs/>
                <w:color w:val="000000"/>
                <w:sz w:val="24"/>
                <w:szCs w:val="24"/>
              </w:rPr>
            </w:r>
            <w:r/>
          </w:p>
        </w:tc>
        <w:tc>
          <w:tcPr>
            <w:tcW w:w="1090" w:type="dxa"/>
            <w:vAlign w:val="center"/>
            <w:textDirection w:val="lrTb"/>
            <w:noWrap w:val="false"/>
          </w:tcPr>
          <w:p>
            <w:pPr>
              <w:pStyle w:val="934"/>
              <w:jc w:val="center"/>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1355" w:type="dxa"/>
            <w:vAlign w:val="center"/>
            <w:textDirection w:val="lrTb"/>
            <w:noWrap w:val="false"/>
          </w:tcPr>
          <w:p>
            <w:pPr>
              <w:pStyle w:val="93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1121" w:type="dxa"/>
            <w:vAlign w:val="center"/>
            <w:textDirection w:val="lrTb"/>
            <w:noWrap w:val="false"/>
          </w:tcPr>
          <w:p>
            <w:pPr>
              <w:pStyle w:val="93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r>
        <w:trPr>
          <w:trHeight w:val="876"/>
        </w:trPr>
        <w:tc>
          <w:tcPr>
            <w:tcW w:w="558" w:type="dxa"/>
            <w:vAlign w:val="center"/>
            <w:textDirection w:val="lrTb"/>
            <w:noWrap w:val="false"/>
          </w:tcPr>
          <w:p>
            <w:pPr>
              <w:pStyle w:val="934"/>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4</w:t>
            </w:r>
            <w:r>
              <w:rPr>
                <w:rFonts w:hint="eastAsia" w:ascii="宋体" w:hAnsi="宋体"/>
                <w:bCs/>
                <w:color w:val="000000"/>
                <w:sz w:val="24"/>
                <w:szCs w:val="24"/>
              </w:rPr>
            </w:r>
            <w:r/>
          </w:p>
        </w:tc>
        <w:tc>
          <w:tcPr>
            <w:tcW w:w="1392" w:type="dxa"/>
            <w:vAlign w:val="center"/>
            <w:textDirection w:val="lrTb"/>
            <w:noWrap w:val="false"/>
          </w:tcPr>
          <w:p>
            <w:pPr>
              <w:pStyle w:val="934"/>
              <w:rPr>
                <w:rFonts w:hint="eastAsia" w:ascii="宋体" w:hAnsi="宋体"/>
                <w:color w:val="000000"/>
                <w:sz w:val="24"/>
                <w:szCs w:val="24"/>
              </w:rPr>
            </w:pPr>
            <w:r>
              <w:rPr>
                <w:rFonts w:hint="eastAsia"/>
                <w:color w:val="000000"/>
              </w:rPr>
              <w:t xml:space="preserve">南京市智慧耕地保护综合管理子系统2</w:t>
            </w:r>
            <w:r>
              <w:rPr>
                <w:color w:val="000000"/>
              </w:rPr>
              <w:t xml:space="preserve">025</w:t>
            </w:r>
            <w:r>
              <w:rPr>
                <w:rFonts w:hint="eastAsia" w:ascii="宋体" w:hAnsi="宋体"/>
                <w:color w:val="000000"/>
                <w:sz w:val="24"/>
                <w:szCs w:val="24"/>
              </w:rPr>
            </w:r>
            <w:r/>
          </w:p>
        </w:tc>
        <w:tc>
          <w:tcPr>
            <w:tcW w:w="773" w:type="dxa"/>
            <w:vAlign w:val="center"/>
            <w:textDirection w:val="lrTb"/>
            <w:noWrap w:val="false"/>
          </w:tcPr>
          <w:p>
            <w:pPr>
              <w:pStyle w:val="934"/>
              <w:jc w:val="center"/>
              <w:spacing w:line="288" w:lineRule="auto"/>
              <w:rPr>
                <w:rFonts w:hint="eastAsia" w:ascii="宋体" w:hAnsi="宋体"/>
                <w:bCs/>
                <w:color w:val="000000"/>
                <w:sz w:val="24"/>
                <w:szCs w:val="24"/>
              </w:rPr>
            </w:pPr>
            <w:r>
              <w:rPr>
                <w:rFonts w:ascii="宋体" w:hAnsi="宋体" w:cs="宋体"/>
                <w:bCs/>
                <w:color w:val="000000"/>
                <w:sz w:val="24"/>
                <w:szCs w:val="24"/>
              </w:rPr>
              <w:t xml:space="preserve">1</w:t>
            </w:r>
            <w:r>
              <w:rPr>
                <w:rFonts w:hint="eastAsia" w:ascii="宋体" w:hAnsi="宋体"/>
                <w:bCs/>
                <w:color w:val="000000"/>
                <w:sz w:val="24"/>
                <w:szCs w:val="24"/>
              </w:rPr>
            </w:r>
            <w:r/>
          </w:p>
        </w:tc>
        <w:tc>
          <w:tcPr>
            <w:tcW w:w="734" w:type="dxa"/>
            <w:vAlign w:val="center"/>
            <w:textDirection w:val="lrTb"/>
            <w:noWrap w:val="false"/>
          </w:tcPr>
          <w:p>
            <w:pPr>
              <w:pStyle w:val="934"/>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项</w:t>
            </w:r>
            <w:r>
              <w:rPr>
                <w:rFonts w:hint="eastAsia" w:ascii="宋体" w:hAnsi="宋体" w:cs="宋体"/>
                <w:bCs/>
                <w:color w:val="000000"/>
                <w:sz w:val="24"/>
                <w:szCs w:val="24"/>
              </w:rPr>
            </w:r>
            <w:r/>
          </w:p>
        </w:tc>
        <w:tc>
          <w:tcPr>
            <w:tcW w:w="1390" w:type="dxa"/>
            <w:vAlign w:val="center"/>
            <w:textDirection w:val="lrTb"/>
            <w:noWrap w:val="false"/>
          </w:tcPr>
          <w:p>
            <w:pPr>
              <w:pStyle w:val="934"/>
              <w:jc w:val="center"/>
              <w:rPr>
                <w:rFonts w:hint="eastAsia" w:ascii="宋体" w:hAnsi="宋体"/>
                <w:bCs/>
                <w:color w:val="000000"/>
                <w:sz w:val="24"/>
                <w:szCs w:val="24"/>
              </w:rPr>
            </w:pPr>
            <w:r>
              <w:rPr>
                <w:rFonts w:hint="eastAsia"/>
                <w:color w:val="000000"/>
              </w:rPr>
              <w:t xml:space="preserve">1650000</w:t>
            </w:r>
            <w:r>
              <w:rPr>
                <w:rFonts w:hint="eastAsia" w:ascii="宋体" w:hAnsi="宋体"/>
                <w:bCs/>
                <w:color w:val="000000"/>
                <w:sz w:val="24"/>
                <w:szCs w:val="24"/>
              </w:rPr>
            </w:r>
            <w:r/>
          </w:p>
        </w:tc>
        <w:tc>
          <w:tcPr>
            <w:tcW w:w="1090" w:type="dxa"/>
            <w:vAlign w:val="center"/>
            <w:textDirection w:val="lrTb"/>
            <w:noWrap w:val="false"/>
          </w:tcPr>
          <w:p>
            <w:pPr>
              <w:pStyle w:val="934"/>
              <w:jc w:val="center"/>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1355" w:type="dxa"/>
            <w:vAlign w:val="center"/>
            <w:textDirection w:val="lrTb"/>
            <w:noWrap w:val="false"/>
          </w:tcPr>
          <w:p>
            <w:pPr>
              <w:pStyle w:val="93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1121" w:type="dxa"/>
            <w:vAlign w:val="center"/>
            <w:textDirection w:val="lrTb"/>
            <w:noWrap w:val="false"/>
          </w:tcPr>
          <w:p>
            <w:pPr>
              <w:pStyle w:val="93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bl>
    <w:p>
      <w:pPr>
        <w:pStyle w:val="934"/>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934"/>
        <w:ind w:firstLine="480"/>
        <w:spacing w:line="264" w:lineRule="auto"/>
        <w:rPr>
          <w:rFonts w:hint="eastAsia"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tbl>
      <w:tblPr>
        <w:tblW w:w="102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1801"/>
        <w:gridCol w:w="7204"/>
      </w:tblGrid>
      <w:tr>
        <w:trPr/>
        <w:tc>
          <w:tcPr>
            <w:gridSpan w:val="3"/>
            <w:tcW w:w="10206" w:type="dxa"/>
            <w:vAlign w:val="center"/>
            <w:textDirection w:val="lrTb"/>
            <w:noWrap w:val="false"/>
          </w:tcPr>
          <w:p>
            <w:pPr>
              <w:pStyle w:val="934"/>
              <w:spacing w:line="360" w:lineRule="auto"/>
              <w:rPr>
                <w:color w:val="000000"/>
              </w:rPr>
            </w:pPr>
            <w:r>
              <w:rPr>
                <w:rFonts w:hint="eastAsia"/>
                <w:color w:val="000000"/>
              </w:rPr>
              <w:t xml:space="preserve">产品/服务1：</w:t>
            </w:r>
            <w:r>
              <w:rPr>
                <w:rFonts w:hint="eastAsia"/>
                <w:b/>
                <w:bCs/>
                <w:color w:val="000000"/>
              </w:rPr>
              <w:t xml:space="preserve">“互联网+”一体化政务服务系统2025建设内容</w:t>
            </w:r>
            <w:r>
              <w:rPr>
                <w:color w:val="000000"/>
              </w:rPr>
            </w:r>
            <w:r/>
          </w:p>
        </w:tc>
      </w:tr>
      <w:tr>
        <w:trPr/>
        <w:tc>
          <w:tcPr>
            <w:tcW w:w="1201" w:type="dxa"/>
            <w:vAlign w:val="center"/>
            <w:textDirection w:val="lrTb"/>
            <w:noWrap w:val="false"/>
          </w:tcPr>
          <w:p>
            <w:pPr>
              <w:pStyle w:val="934"/>
              <w:jc w:val="center"/>
              <w:spacing w:line="360" w:lineRule="auto"/>
              <w:rPr>
                <w:color w:val="000000"/>
              </w:rPr>
            </w:pPr>
            <w:r>
              <w:rPr>
                <w:rFonts w:hint="eastAsia"/>
                <w:color w:val="000000"/>
              </w:rPr>
              <w:t xml:space="preserve">序号</w:t>
            </w:r>
            <w:r>
              <w:rPr>
                <w:color w:val="000000"/>
              </w:rPr>
            </w:r>
            <w:r/>
          </w:p>
        </w:tc>
        <w:tc>
          <w:tcPr>
            <w:tcW w:w="1801" w:type="dxa"/>
            <w:vAlign w:val="center"/>
            <w:textDirection w:val="lrTb"/>
            <w:noWrap w:val="false"/>
          </w:tcPr>
          <w:p>
            <w:pPr>
              <w:pStyle w:val="934"/>
              <w:jc w:val="center"/>
              <w:spacing w:line="360" w:lineRule="auto"/>
              <w:rPr>
                <w:color w:val="000000"/>
              </w:rPr>
            </w:pPr>
            <w:r>
              <w:rPr>
                <w:rFonts w:hint="eastAsia"/>
                <w:color w:val="000000"/>
              </w:rPr>
              <w:t xml:space="preserve">名称</w:t>
            </w:r>
            <w:r>
              <w:rPr>
                <w:color w:val="000000"/>
              </w:rPr>
            </w:r>
            <w:r/>
          </w:p>
        </w:tc>
        <w:tc>
          <w:tcPr>
            <w:tcW w:w="7204" w:type="dxa"/>
            <w:vAlign w:val="center"/>
            <w:textDirection w:val="lrTb"/>
            <w:noWrap w:val="false"/>
          </w:tcPr>
          <w:p>
            <w:pPr>
              <w:pStyle w:val="934"/>
              <w:jc w:val="center"/>
              <w:spacing w:line="360" w:lineRule="auto"/>
              <w:rPr>
                <w:color w:val="000000"/>
              </w:rPr>
            </w:pPr>
            <w:r>
              <w:rPr>
                <w:rFonts w:hint="eastAsia"/>
                <w:color w:val="000000"/>
              </w:rPr>
              <w:t xml:space="preserve">功能、性能、配置或服务要求</w:t>
            </w:r>
            <w:r>
              <w:rPr>
                <w:color w:val="000000"/>
              </w:rPr>
            </w:r>
            <w:r/>
          </w:p>
        </w:tc>
      </w:tr>
      <w:tr>
        <w:trPr/>
        <w:tc>
          <w:tcPr>
            <w:tcW w:w="1201" w:type="dxa"/>
            <w:vAlign w:val="center"/>
            <w:textDirection w:val="lrTb"/>
            <w:noWrap w:val="false"/>
          </w:tcPr>
          <w:p>
            <w:pPr>
              <w:pStyle w:val="934"/>
              <w:jc w:val="center"/>
              <w:spacing w:line="360" w:lineRule="auto"/>
              <w:rPr>
                <w:color w:val="000000"/>
              </w:rPr>
            </w:pPr>
            <w:r>
              <w:rPr>
                <w:rFonts w:hint="eastAsia"/>
                <w:color w:val="000000"/>
              </w:rPr>
              <w:t xml:space="preserve">1</w:t>
            </w:r>
            <w:r>
              <w:rPr>
                <w:color w:val="000000"/>
              </w:rPr>
            </w:r>
            <w:r/>
          </w:p>
        </w:tc>
        <w:tc>
          <w:tcPr>
            <w:tcW w:w="1801" w:type="dxa"/>
            <w:vAlign w:val="center"/>
            <w:textDirection w:val="lrTb"/>
            <w:noWrap w:val="false"/>
          </w:tcPr>
          <w:p>
            <w:pPr>
              <w:pStyle w:val="934"/>
              <w:jc w:val="center"/>
              <w:spacing w:line="360" w:lineRule="auto"/>
              <w:rPr>
                <w:color w:val="000000"/>
              </w:rPr>
            </w:pPr>
            <w:r>
              <w:rPr>
                <w:rFonts w:hint="eastAsia"/>
                <w:color w:val="000000"/>
              </w:rPr>
              <w:t xml:space="preserve">★实质性条款</w:t>
            </w:r>
            <w:r>
              <w:rPr>
                <w:color w:val="000000"/>
              </w:rPr>
            </w:r>
            <w:r/>
          </w:p>
        </w:tc>
        <w:tc>
          <w:tcPr>
            <w:tcW w:w="7204" w:type="dxa"/>
            <w:vAlign w:val="center"/>
            <w:textDirection w:val="lrTb"/>
            <w:noWrap w:val="false"/>
          </w:tcPr>
          <w:p>
            <w:pPr>
              <w:pStyle w:val="934"/>
              <w:rPr>
                <w:b/>
                <w:bCs/>
                <w:color w:val="000000"/>
              </w:rPr>
            </w:pPr>
            <w:r>
              <w:rPr>
                <w:rFonts w:hint="eastAsia"/>
                <w:b/>
                <w:bCs/>
                <w:color w:val="000000"/>
              </w:rPr>
              <w:t xml:space="preserve">（1）一体化门户新增功能建设</w:t>
            </w:r>
            <w:r>
              <w:rPr>
                <w:b/>
                <w:bCs/>
                <w:color w:val="000000"/>
              </w:rPr>
            </w:r>
            <w:r/>
          </w:p>
          <w:p>
            <w:pPr>
              <w:pStyle w:val="934"/>
              <w:rPr>
                <w:color w:val="000000"/>
              </w:rPr>
            </w:pPr>
            <w:r>
              <w:rPr>
                <w:rFonts w:hint="eastAsia"/>
                <w:color w:val="000000"/>
              </w:rPr>
              <w:t xml:space="preserve">1）内网门户</w:t>
            </w:r>
            <w:r>
              <w:rPr>
                <w:color w:val="000000"/>
              </w:rPr>
            </w:r>
            <w:r/>
          </w:p>
          <w:p>
            <w:pPr>
              <w:pStyle w:val="934"/>
              <w:rPr>
                <w:color w:val="000000"/>
              </w:rPr>
            </w:pPr>
            <w:r>
              <w:rPr>
                <w:rFonts w:hint="eastAsia"/>
                <w:color w:val="000000"/>
              </w:rPr>
              <w:t xml:space="preserve">在现有一体化内网门户基础上，</w:t>
            </w:r>
            <w:r>
              <w:rPr>
                <w:rFonts w:hint="eastAsia"/>
                <w:color w:val="000000"/>
              </w:rPr>
              <w:t xml:space="preserve">提升</w:t>
            </w:r>
            <w:r>
              <w:rPr>
                <w:rFonts w:hint="eastAsia"/>
                <w:color w:val="000000"/>
              </w:rPr>
              <w:t xml:space="preserve">功能布局与交互体验，支持应用图标的动态调整与新增，提供默认模板与个性化自定义两种设计模式，并集成权限管理体系，实现按角色、终端类型差异化展示。内网门户将实现与业务系统的身份认证同步，支持单点登录与消息同步集成，提供三种系统对接方式。新增公文消息门户提醒功能，对接来信来访、公务员考核等系统，实现消息内容的智能分类与汇总展示，并提供可配置的提醒规则，界面风格与门户整体保持一致，提升信息可读性与访问效率。</w:t>
            </w:r>
            <w:r>
              <w:rPr>
                <w:color w:val="000000"/>
              </w:rPr>
            </w:r>
            <w:r/>
          </w:p>
          <w:p>
            <w:pPr>
              <w:pStyle w:val="934"/>
              <w:rPr>
                <w:color w:val="000000"/>
              </w:rPr>
            </w:pPr>
            <w:r>
              <w:rPr>
                <w:rFonts w:hint="eastAsia"/>
                <w:color w:val="000000"/>
              </w:rPr>
              <w:t xml:space="preserve">2）外网门户</w:t>
            </w:r>
            <w:r>
              <w:rPr>
                <w:color w:val="000000"/>
              </w:rPr>
            </w:r>
            <w:r/>
          </w:p>
          <w:p>
            <w:pPr>
              <w:pStyle w:val="934"/>
              <w:rPr>
                <w:color w:val="000000"/>
              </w:rPr>
            </w:pPr>
            <w:r>
              <w:rPr>
                <w:rFonts w:hint="eastAsia"/>
                <w:color w:val="000000"/>
              </w:rPr>
              <w:t xml:space="preserve">外网门户新增“审批查询”“测绘资质审批”“一书四方案”“一方案三信息”“不动产业务查询”等高频访问模块，增强防网络爬虫机制，通过IP访问频率控制、行为识别、参数加密等技术手段，保障系统稳定与数据及时性。建立错误信息定期处理机制，对敏感词、错断链、错别字、隐私信息等实行系统化监测与修正，确保外网信息的准确性、权威性与合规性。</w:t>
            </w:r>
            <w:r>
              <w:rPr>
                <w:color w:val="000000"/>
              </w:rPr>
            </w:r>
            <w:r/>
          </w:p>
          <w:p>
            <w:pPr>
              <w:pStyle w:val="934"/>
              <w:rPr>
                <w:b/>
                <w:bCs/>
                <w:color w:val="000000"/>
              </w:rPr>
            </w:pPr>
            <w:r>
              <w:rPr>
                <w:rFonts w:hint="eastAsia"/>
                <w:b/>
                <w:bCs/>
                <w:color w:val="000000"/>
              </w:rPr>
              <w:t xml:space="preserve">（2）一体化业务审批系统新增功能建设</w:t>
            </w:r>
            <w:r>
              <w:rPr>
                <w:b/>
                <w:bCs/>
                <w:color w:val="000000"/>
              </w:rPr>
            </w:r>
            <w:r/>
          </w:p>
          <w:p>
            <w:pPr>
              <w:pStyle w:val="934"/>
              <w:rPr>
                <w:color w:val="000000"/>
              </w:rPr>
            </w:pPr>
            <w:r>
              <w:rPr>
                <w:rFonts w:hint="eastAsia"/>
                <w:color w:val="000000"/>
              </w:rPr>
              <w:t xml:space="preserve">1）新增业务流程和页面表单功能</w:t>
            </w:r>
            <w:r>
              <w:rPr>
                <w:color w:val="000000"/>
              </w:rPr>
            </w:r>
            <w:r/>
          </w:p>
          <w:p>
            <w:pPr>
              <w:pStyle w:val="934"/>
              <w:rPr>
                <w:color w:val="000000"/>
              </w:rPr>
            </w:pPr>
            <w:r>
              <w:rPr>
                <w:rFonts w:hint="eastAsia"/>
                <w:color w:val="000000"/>
              </w:rPr>
              <w:t xml:space="preserve">对规划审批用地预审、工程许可等10个业务流程进行审批页面、流程时限与功能调整，实现证书有效期智能判断、业务文书与表单规范化展示、材料目录动态更新；新增不予受理流程、窗口及审查阶段材料补正功能，行政许可和不予行政许可文书模板调整，新增依申请撤回情形、新增行政审批告知情形，统一文号生成规则，规范依申请撤回情形，调整业务表单并集成电子签章。新增即办件变更、遗失补办、延期、市政交通线性工程承诺制办理以及有限人为活动不可避让论证审查等流程。进一步加快审批效率和提升规范性。</w:t>
            </w:r>
            <w:r>
              <w:rPr>
                <w:color w:val="000000"/>
              </w:rPr>
            </w:r>
            <w:r/>
          </w:p>
          <w:p>
            <w:pPr>
              <w:pStyle w:val="934"/>
              <w:rPr>
                <w:color w:val="000000"/>
              </w:rPr>
            </w:pPr>
            <w:r>
              <w:rPr>
                <w:rFonts w:hint="eastAsia"/>
                <w:color w:val="000000"/>
              </w:rPr>
              <w:t xml:space="preserve">2）新增现有业务审批流程功能</w:t>
            </w:r>
            <w:r>
              <w:rPr>
                <w:color w:val="000000"/>
              </w:rPr>
            </w:r>
            <w:r/>
          </w:p>
          <w:p>
            <w:pPr>
              <w:pStyle w:val="934"/>
              <w:rPr>
                <w:color w:val="000000"/>
              </w:rPr>
            </w:pPr>
            <w:r>
              <w:rPr>
                <w:rFonts w:hint="eastAsia"/>
                <w:color w:val="000000"/>
              </w:rPr>
              <w:t xml:space="preserve">开展全要素规划条件模板调整。在发件环节增加盖章文件批量下载功能。新增免于办理验线选项以适应多场景办理。新增区域评估分析结果回填、统计页面及成果清单文书。新增临时用地规划许可审批表单与内页。在规划条件业务中增加集体土地供应类型，新增文书模板。新增工业用地招拍挂、协议出让业务流程与表单、材料等</w:t>
            </w:r>
            <w:r>
              <w:rPr>
                <w:rFonts w:hint="eastAsia"/>
                <w:color w:val="000000"/>
              </w:rPr>
              <w:t xml:space="preserve">。新增乡村建设规划许可业务变更流程，支持对文书信息、审批数据的继承。</w:t>
            </w:r>
            <w:r>
              <w:rPr>
                <w:color w:val="000000"/>
              </w:rPr>
            </w:r>
            <w:r/>
          </w:p>
          <w:p>
            <w:pPr>
              <w:pStyle w:val="934"/>
              <w:rPr>
                <w:color w:val="000000"/>
              </w:rPr>
            </w:pPr>
            <w:r>
              <w:rPr>
                <w:rFonts w:hint="eastAsia"/>
                <w:color w:val="000000"/>
              </w:rPr>
              <w:t xml:space="preserve">3）无纸化报审功能建设</w:t>
            </w:r>
            <w:r>
              <w:rPr>
                <w:color w:val="000000"/>
              </w:rPr>
            </w:r>
            <w:r/>
          </w:p>
          <w:p>
            <w:pPr>
              <w:pStyle w:val="934"/>
              <w:rPr>
                <w:color w:val="000000"/>
              </w:rPr>
            </w:pPr>
            <w:r>
              <w:rPr>
                <w:rFonts w:hint="eastAsia"/>
                <w:color w:val="000000"/>
              </w:rPr>
              <w:t xml:space="preserve">新增电子图纸批量勾选不盖章、文件隐藏功能，提供审批界面；强化电子证照与图纸版本管理，支持图纸追溯与历史版本查看；响应省厅要求，调整电子证照二维码尺寸并集成省厅二维码；新增MIP包文件整体替换与部分替换功能，满足图纸多次更新需求，并提升页面展示逻辑。</w:t>
            </w:r>
            <w:r>
              <w:rPr>
                <w:color w:val="000000"/>
              </w:rPr>
            </w:r>
            <w:r/>
          </w:p>
          <w:p>
            <w:pPr>
              <w:pStyle w:val="934"/>
              <w:rPr>
                <w:color w:val="000000"/>
              </w:rPr>
            </w:pPr>
            <w:r>
              <w:rPr>
                <w:rFonts w:hint="eastAsia"/>
                <w:color w:val="000000"/>
              </w:rPr>
              <w:t xml:space="preserve">4）用地报批流程功能建设</w:t>
            </w:r>
            <w:r>
              <w:rPr>
                <w:color w:val="000000"/>
              </w:rPr>
            </w:r>
            <w:r/>
          </w:p>
          <w:p>
            <w:pPr>
              <w:pStyle w:val="934"/>
              <w:rPr>
                <w:color w:val="000000"/>
              </w:rPr>
            </w:pPr>
            <w:r>
              <w:rPr>
                <w:rFonts w:hint="eastAsia"/>
                <w:color w:val="000000"/>
              </w:rPr>
              <w:t xml:space="preserve">新增业务字段、附件材料，满足最新电子报盘要求。新增审批业务办件时长统计表，按阶段统计关键节点时间。新增处室意见单，增加土地征收与占补平衡等审核意见栏。新增案件超时提醒规则，以颜色区分预警状态。新增综合审查功能，更新永久基本农田、城镇开发边界等分析接口。新增勘测定界表单，支持征地与农转用范围界址点管理。新增会签多人转办、设置默认审批人及调整分配功能；新增附件补正运维功能。</w:t>
            </w:r>
            <w:r>
              <w:rPr>
                <w:color w:val="000000"/>
              </w:rPr>
            </w:r>
            <w:r/>
          </w:p>
          <w:p>
            <w:pPr>
              <w:pStyle w:val="934"/>
              <w:rPr>
                <w:color w:val="000000"/>
              </w:rPr>
            </w:pPr>
            <w:r>
              <w:rPr>
                <w:rFonts w:hint="eastAsia"/>
                <w:color w:val="000000"/>
              </w:rPr>
              <w:t xml:space="preserve">5）永农补划业务流程功能建设</w:t>
            </w:r>
            <w:r>
              <w:rPr>
                <w:color w:val="000000"/>
              </w:rPr>
            </w:r>
            <w:r/>
          </w:p>
          <w:p>
            <w:pPr>
              <w:pStyle w:val="934"/>
              <w:rPr>
                <w:color w:val="000000"/>
              </w:rPr>
            </w:pPr>
            <w:r>
              <w:rPr>
                <w:rFonts w:hint="eastAsia"/>
                <w:color w:val="000000"/>
              </w:rPr>
              <w:t xml:space="preserve">新增永久基本农田补划分析、三区三线分析及生态空间管控区分析等综合审查功能；新增业务流程，支持线下发文环节非强关联办理。将发文表单调整为非必填，增强灵活性。新增规则校验引擎，针对不同占用类型实施差异化数据校验。</w:t>
            </w:r>
            <w:r>
              <w:rPr>
                <w:color w:val="000000"/>
              </w:rPr>
            </w:r>
            <w:r/>
          </w:p>
          <w:p>
            <w:pPr>
              <w:pStyle w:val="934"/>
              <w:rPr>
                <w:color w:val="000000"/>
              </w:rPr>
            </w:pPr>
            <w:r>
              <w:rPr>
                <w:rFonts w:hint="eastAsia"/>
                <w:color w:val="000000"/>
              </w:rPr>
              <w:t xml:space="preserve">6）征地前期业务功能建设</w:t>
            </w:r>
            <w:r>
              <w:rPr>
                <w:color w:val="000000"/>
              </w:rPr>
            </w:r>
            <w:r/>
          </w:p>
          <w:p>
            <w:pPr>
              <w:pStyle w:val="934"/>
              <w:rPr>
                <w:color w:val="000000"/>
              </w:rPr>
            </w:pPr>
            <w:r>
              <w:rPr>
                <w:rFonts w:hint="eastAsia"/>
                <w:color w:val="000000"/>
              </w:rPr>
              <w:t xml:space="preserve">支持市局审查环节按行政区分发经办人；新增勘测定界功能，允许在未办结时更新勘测要求；新增勘测定界界址点表单，新增土地征收与农转用范围界址点，支持手动导入与自动获取；按照最新数据要求，提供图形审查中的生态空间管控区分析接口。</w:t>
            </w:r>
            <w:r>
              <w:rPr>
                <w:color w:val="000000"/>
              </w:rPr>
            </w:r>
            <w:r/>
          </w:p>
          <w:p>
            <w:pPr>
              <w:pStyle w:val="934"/>
              <w:rPr>
                <w:color w:val="000000"/>
              </w:rPr>
            </w:pPr>
            <w:r>
              <w:rPr>
                <w:color w:val="000000"/>
              </w:rPr>
              <w:t xml:space="preserve">7</w:t>
            </w:r>
            <w:r>
              <w:rPr>
                <w:rFonts w:hint="eastAsia"/>
                <w:color w:val="000000"/>
              </w:rPr>
              <w:t xml:space="preserve">）</w:t>
            </w:r>
            <w:r>
              <w:rPr>
                <w:color w:val="000000"/>
              </w:rPr>
              <w:t xml:space="preserve">地下管线工程智能化规划审批辅助功能</w:t>
            </w:r>
            <w:r>
              <w:rPr>
                <w:rFonts w:hint="eastAsia"/>
                <w:color w:val="000000"/>
              </w:rPr>
              <w:t xml:space="preserve">建设</w:t>
            </w:r>
            <w:r>
              <w:rPr>
                <w:color w:val="000000"/>
              </w:rPr>
            </w:r>
            <w:r/>
          </w:p>
          <w:p>
            <w:pPr>
              <w:pStyle w:val="934"/>
              <w:rPr>
                <w:color w:val="000000"/>
              </w:rPr>
            </w:pPr>
            <w:r>
              <w:rPr>
                <w:color w:val="000000"/>
              </w:rPr>
              <w:t xml:space="preserve">对</w:t>
            </w:r>
            <w:r>
              <w:rPr>
                <w:rFonts w:hint="eastAsia"/>
                <w:color w:val="000000"/>
              </w:rPr>
              <w:t xml:space="preserve">地下管线类</w:t>
            </w:r>
            <w:r>
              <w:rPr>
                <w:color w:val="000000"/>
              </w:rPr>
              <w:t xml:space="preserve">规划条件、方案审查</w:t>
            </w:r>
            <w:r>
              <w:rPr>
                <w:rFonts w:hint="eastAsia"/>
                <w:color w:val="000000"/>
              </w:rPr>
              <w:t xml:space="preserve">和</w:t>
            </w:r>
            <w:r>
              <w:rPr>
                <w:color w:val="000000"/>
              </w:rPr>
              <w:t xml:space="preserve">工程许可</w:t>
            </w:r>
            <w:r>
              <w:rPr>
                <w:rFonts w:hint="eastAsia"/>
                <w:color w:val="000000"/>
              </w:rPr>
              <w:t xml:space="preserve">案件，新增</w:t>
            </w:r>
            <w:r>
              <w:rPr>
                <w:color w:val="000000"/>
              </w:rPr>
              <w:t xml:space="preserve">生态空间管控区、生态保护红线、文物紫线、绿地绿线</w:t>
            </w:r>
            <w:r>
              <w:rPr>
                <w:rFonts w:hint="eastAsia"/>
                <w:color w:val="000000"/>
              </w:rPr>
              <w:t xml:space="preserve">、</w:t>
            </w:r>
            <w:r>
              <w:rPr>
                <w:color w:val="000000"/>
              </w:rPr>
              <w:t xml:space="preserve">轨道交通橙线</w:t>
            </w:r>
            <w:r>
              <w:rPr>
                <w:rFonts w:hint="eastAsia"/>
                <w:color w:val="000000"/>
              </w:rPr>
              <w:t xml:space="preserve">、</w:t>
            </w:r>
            <w:r>
              <w:rPr>
                <w:color w:val="000000"/>
              </w:rPr>
              <w:t xml:space="preserve">规划地块</w:t>
            </w:r>
            <w:r>
              <w:rPr>
                <w:rFonts w:hint="eastAsia"/>
                <w:color w:val="000000"/>
              </w:rPr>
              <w:t xml:space="preserve">、</w:t>
            </w:r>
            <w:r>
              <w:rPr>
                <w:color w:val="000000"/>
              </w:rPr>
              <w:t xml:space="preserve">国家安全控制区</w:t>
            </w:r>
            <w:r>
              <w:rPr>
                <w:rFonts w:hint="eastAsia"/>
                <w:color w:val="000000"/>
              </w:rPr>
              <w:t xml:space="preserve">、</w:t>
            </w:r>
            <w:r>
              <w:rPr>
                <w:color w:val="000000"/>
              </w:rPr>
              <w:t xml:space="preserve">历史文物</w:t>
            </w:r>
            <w:r>
              <w:rPr>
                <w:rFonts w:hint="eastAsia"/>
                <w:color w:val="000000"/>
              </w:rPr>
              <w:t xml:space="preserve">、</w:t>
            </w:r>
            <w:r>
              <w:rPr>
                <w:color w:val="000000"/>
              </w:rPr>
              <w:t xml:space="preserve">轨道交通线网</w:t>
            </w:r>
            <w:r>
              <w:rPr>
                <w:rFonts w:hint="eastAsia"/>
                <w:color w:val="000000"/>
              </w:rPr>
              <w:t xml:space="preserve">、</w:t>
            </w:r>
            <w:r>
              <w:rPr>
                <w:color w:val="000000"/>
              </w:rPr>
              <w:t xml:space="preserve">隧桥保护区等外部条件数据调取分析，周边案件数据调取分析以及工程路由数据调取分析等</w:t>
            </w:r>
            <w:r>
              <w:rPr>
                <w:rFonts w:hint="eastAsia"/>
                <w:color w:val="000000"/>
              </w:rPr>
              <w:t xml:space="preserve">功能</w:t>
            </w:r>
            <w:r>
              <w:rPr>
                <w:color w:val="000000"/>
              </w:rPr>
              <w:t xml:space="preserve">。</w:t>
            </w:r>
            <w:r>
              <w:rPr>
                <w:color w:val="000000"/>
              </w:rPr>
            </w:r>
            <w:r/>
          </w:p>
          <w:p>
            <w:pPr>
              <w:pStyle w:val="934"/>
              <w:rPr>
                <w:color w:val="000000"/>
              </w:rPr>
            </w:pPr>
            <w:r>
              <w:rPr>
                <w:rFonts w:hint="eastAsia"/>
                <w:color w:val="000000"/>
              </w:rPr>
              <w:t xml:space="preserve">8）CAD审批端功能建设</w:t>
            </w:r>
            <w:r>
              <w:rPr>
                <w:color w:val="000000"/>
              </w:rPr>
            </w:r>
            <w:r/>
          </w:p>
          <w:p>
            <w:pPr>
              <w:pStyle w:val="934"/>
              <w:rPr>
                <w:color w:val="000000"/>
              </w:rPr>
            </w:pPr>
            <w:r>
              <w:rPr>
                <w:rFonts w:hint="eastAsia"/>
                <w:color w:val="000000"/>
              </w:rPr>
              <w:t xml:space="preserve">新增预审分析调用功能，解决分析响应迟钝等问题；新增临时用地业务，新增控制必填项规则；新增规划条件业务，设置属性字段必填，满足上级部门数据汇交要求。</w:t>
            </w:r>
            <w:r>
              <w:rPr>
                <w:color w:val="000000"/>
              </w:rPr>
            </w:r>
            <w:r/>
          </w:p>
          <w:p>
            <w:pPr>
              <w:pStyle w:val="934"/>
              <w:rPr>
                <w:b/>
                <w:bCs/>
                <w:color w:val="000000"/>
              </w:rPr>
            </w:pPr>
            <w:r>
              <w:rPr>
                <w:rFonts w:hint="eastAsia"/>
                <w:b/>
                <w:bCs/>
                <w:color w:val="000000"/>
              </w:rPr>
              <w:t xml:space="preserve">（3）综合管理系统新增功能建设</w:t>
            </w:r>
            <w:r>
              <w:rPr>
                <w:b/>
                <w:bCs/>
                <w:color w:val="000000"/>
              </w:rPr>
            </w:r>
            <w:r/>
          </w:p>
          <w:p>
            <w:pPr>
              <w:pStyle w:val="934"/>
              <w:rPr>
                <w:color w:val="000000"/>
              </w:rPr>
            </w:pPr>
            <w:r>
              <w:rPr>
                <w:rFonts w:hint="eastAsia"/>
                <w:color w:val="000000"/>
              </w:rPr>
              <w:t xml:space="preserve">1）发文页面功能建设</w:t>
            </w:r>
            <w:r>
              <w:rPr>
                <w:color w:val="000000"/>
              </w:rPr>
            </w:r>
            <w:r/>
          </w:p>
          <w:p>
            <w:pPr>
              <w:pStyle w:val="934"/>
              <w:rPr>
                <w:color w:val="000000"/>
              </w:rPr>
            </w:pPr>
            <w:r>
              <w:rPr>
                <w:rFonts w:hint="eastAsia"/>
                <w:color w:val="000000"/>
              </w:rPr>
              <w:t xml:space="preserve">为进一步提高市局内网发文系统的规范性和便捷性，按照“关于优化调整市局内网发文系统的通知”（宁规划资源办〔2024〕96号）的相关要求，对发文表单及相应的发文页面（发文存档、发文维护管理、发文公文查询）进行新增，规范经办人准确完整填写“标题”、“发文类型”、“是否主动公开”、“是否属规范性文件”、“是否属联合发文”、“（经办人）手机号码”、“主送”、“抄送”、“发文方式”等拟稿信息，发文系统限定以上信息填写完整才可将文稿发送到下一环节。</w:t>
            </w:r>
            <w:r>
              <w:rPr>
                <w:color w:val="000000"/>
              </w:rPr>
            </w:r>
            <w:r/>
          </w:p>
          <w:p>
            <w:pPr>
              <w:pStyle w:val="934"/>
              <w:rPr>
                <w:color w:val="000000"/>
              </w:rPr>
            </w:pPr>
            <w:r>
              <w:rPr>
                <w:rFonts w:hint="eastAsia"/>
                <w:color w:val="000000"/>
              </w:rPr>
              <w:t xml:space="preserve">2）新增短信提醒功能</w:t>
            </w:r>
            <w:r>
              <w:rPr>
                <w:color w:val="000000"/>
              </w:rPr>
            </w:r>
            <w:r/>
          </w:p>
          <w:p>
            <w:pPr>
              <w:pStyle w:val="934"/>
              <w:rPr>
                <w:color w:val="000000"/>
              </w:rPr>
            </w:pPr>
            <w:r>
              <w:rPr>
                <w:rFonts w:hint="eastAsia"/>
                <w:color w:val="000000"/>
              </w:rPr>
              <w:t xml:space="preserve">为保障公文会签任务及拟稿人确认任务的提醒及时到达对应部门，进而提高公文会签效率，发文系统新增加了“是否短信提醒”的功能选项。该功能选项面向各主办部门负责同志开通，一旦勾选，会签部门主要负责同志或该部门办公室（综合科）主任（科长）将及时收到会签短信提醒。新增“拟稿人”选项，勾选后将直接选中起草拟稿正文的经办人，方便印发校对人会签经办人对拟稿正文校对或调整。</w:t>
            </w:r>
            <w:r>
              <w:rPr>
                <w:color w:val="000000"/>
              </w:rPr>
            </w:r>
            <w:r/>
          </w:p>
          <w:p>
            <w:pPr>
              <w:pStyle w:val="934"/>
              <w:rPr>
                <w:b/>
                <w:bCs/>
                <w:color w:val="000000"/>
              </w:rPr>
            </w:pPr>
            <w:r>
              <w:rPr>
                <w:rFonts w:hint="eastAsia"/>
                <w:b/>
                <w:bCs/>
                <w:color w:val="000000"/>
              </w:rPr>
              <w:t xml:space="preserve">（4）与外部信息系统连接</w:t>
            </w:r>
            <w:r>
              <w:rPr>
                <w:b/>
                <w:bCs/>
                <w:color w:val="000000"/>
              </w:rPr>
            </w:r>
            <w:r/>
          </w:p>
          <w:p>
            <w:pPr>
              <w:pStyle w:val="934"/>
              <w:rPr>
                <w:color w:val="000000"/>
              </w:rPr>
            </w:pPr>
            <w:r>
              <w:rPr>
                <w:rFonts w:hint="eastAsia"/>
                <w:color w:val="000000"/>
              </w:rPr>
              <w:t xml:space="preserve">1）与市电子证照库对接</w:t>
            </w:r>
            <w:r>
              <w:rPr>
                <w:color w:val="000000"/>
              </w:rPr>
            </w:r>
            <w:r/>
          </w:p>
          <w:p>
            <w:pPr>
              <w:pStyle w:val="934"/>
              <w:rPr>
                <w:color w:val="000000"/>
              </w:rPr>
            </w:pPr>
            <w:r>
              <w:rPr>
                <w:rFonts w:hint="eastAsia"/>
                <w:color w:val="000000"/>
              </w:rPr>
              <w:t xml:space="preserve">扩展电子证照推送范围，新增乡村规划许可证、规划核实、规划设计方案等证照数据，并调整存量数据推送接口。</w:t>
            </w:r>
            <w:r>
              <w:rPr>
                <w:color w:val="000000"/>
              </w:rPr>
            </w:r>
            <w:r/>
          </w:p>
          <w:p>
            <w:pPr>
              <w:pStyle w:val="934"/>
              <w:rPr>
                <w:color w:val="000000"/>
              </w:rPr>
            </w:pPr>
            <w:r>
              <w:rPr>
                <w:rFonts w:hint="eastAsia"/>
                <w:color w:val="000000"/>
              </w:rPr>
              <w:t xml:space="preserve">2）与市工改平台进行对接</w:t>
            </w:r>
            <w:r>
              <w:rPr>
                <w:color w:val="000000"/>
              </w:rPr>
            </w:r>
            <w:r/>
          </w:p>
          <w:p>
            <w:pPr>
              <w:pStyle w:val="934"/>
              <w:rPr>
                <w:color w:val="000000"/>
              </w:rPr>
            </w:pPr>
            <w:r>
              <w:rPr>
                <w:rFonts w:hint="eastAsia"/>
                <w:color w:val="000000"/>
              </w:rPr>
              <w:t xml:space="preserve">新增证照文件推送接口，新增一书三证shape文件、红线文件、盖章文件、区域评估成果文件等推送内容。</w:t>
            </w:r>
            <w:r>
              <w:rPr>
                <w:color w:val="000000"/>
              </w:rPr>
            </w:r>
            <w:r/>
          </w:p>
          <w:p>
            <w:pPr>
              <w:pStyle w:val="934"/>
              <w:rPr>
                <w:color w:val="000000"/>
              </w:rPr>
            </w:pPr>
            <w:r>
              <w:rPr>
                <w:rFonts w:hint="eastAsia"/>
                <w:color w:val="000000"/>
              </w:rPr>
              <w:t xml:space="preserve">3）新增政务数据前置库推送接口</w:t>
            </w:r>
            <w:r>
              <w:rPr>
                <w:color w:val="000000"/>
              </w:rPr>
            </w:r>
            <w:r/>
          </w:p>
          <w:p>
            <w:pPr>
              <w:pStyle w:val="934"/>
              <w:rPr>
                <w:color w:val="000000"/>
              </w:rPr>
            </w:pPr>
            <w:r>
              <w:rPr>
                <w:rFonts w:hint="eastAsia"/>
                <w:color w:val="000000"/>
              </w:rPr>
              <w:t xml:space="preserve">按照市数据局政务数据目录要求，新增接口，推送办结的预审选址、工程许可、用地许可等业务案件数据。</w:t>
            </w:r>
            <w:r>
              <w:rPr>
                <w:color w:val="000000"/>
              </w:rPr>
            </w:r>
            <w:r/>
          </w:p>
          <w:p>
            <w:pPr>
              <w:pStyle w:val="934"/>
              <w:rPr>
                <w:color w:val="000000"/>
              </w:rPr>
            </w:pPr>
            <w:r>
              <w:rPr>
                <w:rFonts w:hint="eastAsia"/>
                <w:color w:val="000000"/>
              </w:rPr>
              <w:t xml:space="preserve">4）与不动产登记系统对接</w:t>
            </w:r>
            <w:r>
              <w:rPr>
                <w:color w:val="000000"/>
              </w:rPr>
            </w:r>
            <w:r/>
          </w:p>
          <w:p>
            <w:pPr>
              <w:pStyle w:val="934"/>
              <w:rPr>
                <w:color w:val="000000"/>
              </w:rPr>
            </w:pPr>
            <w:r>
              <w:rPr>
                <w:rFonts w:hint="eastAsia"/>
                <w:color w:val="000000"/>
              </w:rPr>
              <w:t xml:space="preserve">新增纯地登记、房地一体登记、集体土地所有权变更登记等数据接口，推动“零材料”办理场景。</w:t>
            </w:r>
            <w:r>
              <w:rPr>
                <w:color w:val="000000"/>
              </w:rPr>
            </w:r>
            <w:r/>
          </w:p>
          <w:p>
            <w:pPr>
              <w:pStyle w:val="934"/>
              <w:rPr>
                <w:color w:val="000000"/>
              </w:rPr>
            </w:pPr>
            <w:r>
              <w:rPr>
                <w:rFonts w:hint="eastAsia"/>
                <w:color w:val="000000"/>
              </w:rPr>
              <w:t xml:space="preserve">5）与局外网站进行对接</w:t>
            </w:r>
            <w:r>
              <w:rPr>
                <w:color w:val="000000"/>
              </w:rPr>
            </w:r>
            <w:r/>
          </w:p>
          <w:p>
            <w:pPr>
              <w:pStyle w:val="934"/>
              <w:rPr>
                <w:color w:val="000000"/>
              </w:rPr>
            </w:pPr>
            <w:r>
              <w:rPr>
                <w:rFonts w:hint="eastAsia"/>
                <w:color w:val="000000"/>
              </w:rPr>
              <w:t xml:space="preserve">更新数据推送接口，将办结业务数据推送至外网公示，并增加案件公示时间字段。</w:t>
            </w:r>
            <w:r>
              <w:rPr>
                <w:color w:val="000000"/>
              </w:rPr>
            </w:r>
            <w:r/>
          </w:p>
          <w:p>
            <w:pPr>
              <w:pStyle w:val="934"/>
              <w:rPr>
                <w:color w:val="000000"/>
              </w:rPr>
            </w:pPr>
            <w:r>
              <w:rPr>
                <w:rFonts w:hint="eastAsia"/>
                <w:color w:val="000000"/>
              </w:rPr>
              <w:t xml:space="preserve">6）与征地补偿安置系统对接</w:t>
            </w:r>
            <w:r>
              <w:rPr>
                <w:color w:val="000000"/>
              </w:rPr>
            </w:r>
            <w:r/>
          </w:p>
          <w:p>
            <w:pPr>
              <w:pStyle w:val="934"/>
              <w:rPr>
                <w:color w:val="000000"/>
              </w:rPr>
            </w:pPr>
            <w:r>
              <w:rPr>
                <w:rFonts w:hint="eastAsia"/>
                <w:color w:val="000000"/>
              </w:rPr>
              <w:t xml:space="preserve">新增用地报批系统与征前系统接口，共享集体土地征收补偿安置信息及相关批文附件。</w:t>
            </w:r>
            <w:r>
              <w:rPr>
                <w:color w:val="000000"/>
              </w:rPr>
            </w:r>
            <w:r/>
          </w:p>
          <w:p>
            <w:pPr>
              <w:pStyle w:val="934"/>
              <w:rPr>
                <w:b/>
                <w:bCs/>
                <w:color w:val="000000"/>
              </w:rPr>
            </w:pPr>
            <w:r>
              <w:rPr>
                <w:rFonts w:hint="eastAsia"/>
                <w:b/>
                <w:bCs/>
                <w:color w:val="000000"/>
              </w:rPr>
              <w:t xml:space="preserve">（5）密码应用增强</w:t>
            </w:r>
            <w:r>
              <w:rPr>
                <w:b/>
                <w:bCs/>
                <w:color w:val="000000"/>
              </w:rPr>
            </w:r>
            <w:r/>
          </w:p>
          <w:p>
            <w:pPr>
              <w:pStyle w:val="934"/>
              <w:rPr>
                <w:color w:val="000000"/>
              </w:rPr>
            </w:pPr>
            <w:r>
              <w:rPr>
                <w:rFonts w:hint="eastAsia"/>
                <w:color w:val="000000"/>
              </w:rPr>
              <w:t xml:space="preserve">1）增强身份鉴别安全</w:t>
            </w:r>
            <w:r>
              <w:rPr>
                <w:color w:val="000000"/>
              </w:rPr>
            </w:r>
            <w:r/>
          </w:p>
          <w:p>
            <w:pPr>
              <w:pStyle w:val="934"/>
              <w:rPr>
                <w:color w:val="000000"/>
              </w:rPr>
            </w:pPr>
            <w:r>
              <w:rPr>
                <w:rFonts w:hint="eastAsia"/>
                <w:color w:val="000000"/>
              </w:rPr>
              <w:t xml:space="preserve">依托身份鉴别安全体系，深化身份安全管控。优化现有多因素认证适配策略，完善异地登录、异常访问风险核验能力；强化口令复杂度、周期更换、历史口令复用限制及账号锁定管控，定期开展账号安全巡检与风险排查，提升访问入口安全防护能力。</w:t>
            </w:r>
            <w:r>
              <w:rPr>
                <w:color w:val="000000"/>
              </w:rPr>
            </w:r>
            <w:r/>
          </w:p>
          <w:p>
            <w:pPr>
              <w:pStyle w:val="934"/>
              <w:rPr>
                <w:color w:val="000000"/>
              </w:rPr>
            </w:pPr>
            <w:r>
              <w:rPr>
                <w:rFonts w:hint="eastAsia"/>
                <w:color w:val="000000"/>
              </w:rPr>
              <w:t xml:space="preserve">2）增强访问控制信息完整性</w:t>
            </w:r>
            <w:r>
              <w:rPr>
                <w:color w:val="000000"/>
              </w:rPr>
            </w:r>
            <w:r/>
          </w:p>
          <w:p>
            <w:pPr>
              <w:pStyle w:val="934"/>
              <w:rPr>
                <w:color w:val="000000"/>
              </w:rPr>
            </w:pPr>
            <w:r>
              <w:rPr>
                <w:rFonts w:hint="eastAsia"/>
                <w:color w:val="000000"/>
              </w:rPr>
              <w:t xml:space="preserve">基于已有数字签名和完整性校验能力，对权限列表、角色定义、系统关键配置等访问控制数据实施长效防篡改管理。常态化开展配置完整性校验、定期巡检与合规核查；优化配置变更审批、校验及告警流程，实现关键配置变更可溯源、可审计，防止越权修改与非法篡改。</w:t>
            </w:r>
            <w:r>
              <w:rPr>
                <w:color w:val="000000"/>
              </w:rPr>
            </w:r>
            <w:r/>
          </w:p>
          <w:p>
            <w:pPr>
              <w:pStyle w:val="934"/>
              <w:rPr>
                <w:color w:val="000000"/>
              </w:rPr>
            </w:pPr>
            <w:r>
              <w:rPr>
                <w:rFonts w:hint="eastAsia"/>
                <w:color w:val="000000"/>
              </w:rPr>
              <w:t xml:space="preserve">3）增强重要数据传输安全</w:t>
            </w:r>
            <w:r>
              <w:rPr>
                <w:color w:val="000000"/>
              </w:rPr>
            </w:r>
            <w:r/>
          </w:p>
          <w:p>
            <w:pPr>
              <w:pStyle w:val="934"/>
              <w:rPr>
                <w:color w:val="000000"/>
              </w:rPr>
            </w:pPr>
            <w:r>
              <w:rPr>
                <w:rFonts w:hint="eastAsia"/>
                <w:color w:val="000000"/>
              </w:rPr>
              <w:t xml:space="preserve">基于现有加密传输协议、网络传输架构，优化传输层安全策略，升级加密算法与加密套件，细化重要数据加密传输覆盖范围；基于现有完整性防护手段，完善传输异常监测、日志留存与安全基线核查，保障数据传输机密性与完整性。</w:t>
            </w:r>
            <w:r>
              <w:rPr>
                <w:color w:val="000000"/>
              </w:rPr>
            </w:r>
            <w:r/>
          </w:p>
          <w:p>
            <w:pPr>
              <w:pStyle w:val="934"/>
              <w:rPr>
                <w:color w:val="000000"/>
              </w:rPr>
            </w:pPr>
            <w:r>
              <w:rPr>
                <w:rFonts w:hint="eastAsia"/>
                <w:color w:val="000000"/>
              </w:rPr>
              <w:t xml:space="preserve">4）增强重要数据存储安全</w:t>
            </w:r>
            <w:r>
              <w:rPr>
                <w:color w:val="000000"/>
              </w:rPr>
            </w:r>
            <w:r/>
          </w:p>
          <w:p>
            <w:pPr>
              <w:pStyle w:val="934"/>
              <w:rPr>
                <w:color w:val="000000"/>
              </w:rPr>
            </w:pPr>
            <w:r>
              <w:rPr>
                <w:rFonts w:hint="eastAsia"/>
                <w:color w:val="000000"/>
              </w:rPr>
              <w:t xml:space="preserve">常态化核查加密存储运行状态，精细化管控加密数据访问权限；定期开展核心数据完整性哈希校验、比对审计，建立常态化安全台账；完善密钥全生命周期管理，落实年度密钥轮换、密钥审计、备份及风险处置。</w:t>
            </w:r>
            <w:r>
              <w:rPr>
                <w:color w:val="000000"/>
              </w:rPr>
            </w:r>
            <w:r/>
          </w:p>
          <w:p>
            <w:pPr>
              <w:pStyle w:val="934"/>
              <w:rPr>
                <w:b/>
                <w:bCs/>
                <w:color w:val="000000"/>
              </w:rPr>
            </w:pPr>
            <w:r>
              <w:rPr>
                <w:rFonts w:hint="eastAsia"/>
                <w:b/>
                <w:bCs/>
                <w:color w:val="000000"/>
              </w:rPr>
              <w:t xml:space="preserve">（6）“图证衔接”功能建设</w:t>
            </w:r>
            <w:r>
              <w:rPr>
                <w:b/>
                <w:bCs/>
                <w:color w:val="000000"/>
              </w:rPr>
            </w:r>
            <w:r/>
          </w:p>
          <w:p>
            <w:pPr>
              <w:pStyle w:val="934"/>
              <w:rPr>
                <w:color w:val="000000"/>
              </w:rPr>
            </w:pPr>
            <w:r>
              <w:rPr>
                <w:rFonts w:hint="eastAsia"/>
                <w:color w:val="000000"/>
              </w:rPr>
              <w:t xml:space="preserve">1）利用专项规划自动生成规划条件</w:t>
            </w:r>
            <w:r>
              <w:rPr>
                <w:color w:val="000000"/>
              </w:rPr>
            </w:r>
            <w:r/>
          </w:p>
          <w:p>
            <w:pPr>
              <w:pStyle w:val="934"/>
              <w:rPr>
                <w:color w:val="000000"/>
              </w:rPr>
            </w:pPr>
            <w:r>
              <w:rPr>
                <w:rFonts w:hint="eastAsia"/>
                <w:color w:val="000000"/>
              </w:rPr>
              <w:t xml:space="preserve">研发专项规划数据分析接口，实现用地红线与专项规划成果的叠置分析与关键信息提取；支持在AutoCAD、中望CAD、WebGIS审批端调用与展示；新增全要素与建筑工程规划条件业务流程及规划条件文书出具功能，实现智能关联与自动生成。</w:t>
            </w:r>
            <w:r>
              <w:rPr>
                <w:color w:val="000000"/>
              </w:rPr>
            </w:r>
            <w:r/>
          </w:p>
          <w:p>
            <w:pPr>
              <w:pStyle w:val="934"/>
              <w:rPr>
                <w:color w:val="000000"/>
              </w:rPr>
            </w:pPr>
            <w:r>
              <w:rPr>
                <w:rFonts w:hint="eastAsia"/>
                <w:color w:val="000000"/>
              </w:rPr>
              <w:t xml:space="preserve">2）建筑工程规划报建辅助设计软件（CAD版）建设</w:t>
            </w:r>
            <w:r>
              <w:rPr>
                <w:color w:val="000000"/>
              </w:rPr>
            </w:r>
            <w:r/>
          </w:p>
          <w:p>
            <w:pPr>
              <w:pStyle w:val="934"/>
              <w:rPr>
                <w:color w:val="000000"/>
              </w:rPr>
            </w:pPr>
            <w:r>
              <w:rPr>
                <w:rFonts w:hint="eastAsia"/>
                <w:color w:val="000000"/>
              </w:rPr>
              <w:t xml:space="preserve">提供不计容积率建筑面积、计容积率不计建筑面积、建筑基底面积、绿地率、各类绿地面积的统计与核算等功能；增加对政策类住房面积统计与占比计算功能。新增挑空平台标准图层并设定相关审查规则。强化层高、退界、停车配套、混合用地比例、社区配套设施等合规性智能审查。新增指标汇总统计逻辑，贯彻执行新版建筑功能分类，并兼容AutoCAD与中望CAD多版本。新增指标审查规则库、新老版本软件验证、</w:t>
            </w:r>
            <w:r>
              <w:rPr>
                <w:rFonts w:hint="eastAsia"/>
                <w:color w:val="000000"/>
              </w:rPr>
              <w:t xml:space="preserve">报建</w:t>
            </w:r>
            <w:r>
              <w:rPr>
                <w:color w:val="000000"/>
              </w:rPr>
              <w:t xml:space="preserve">dwg</w:t>
            </w:r>
            <w:r>
              <w:rPr>
                <w:rFonts w:hint="eastAsia"/>
                <w:color w:val="000000"/>
              </w:rPr>
              <w:t xml:space="preserve">数据扩展属性</w:t>
            </w:r>
            <w:r>
              <w:rPr>
                <w:color w:val="000000"/>
              </w:rPr>
              <w:t xml:space="preserve">xrecord</w:t>
            </w:r>
            <w:r>
              <w:rPr>
                <w:rFonts w:hint="eastAsia"/>
                <w:color w:val="000000"/>
              </w:rPr>
              <w:t xml:space="preserve">读取接口。</w:t>
            </w:r>
            <w:r>
              <w:rPr>
                <w:color w:val="000000"/>
              </w:rPr>
            </w:r>
            <w:r/>
          </w:p>
          <w:p>
            <w:pPr>
              <w:pStyle w:val="934"/>
              <w:rPr>
                <w:color w:val="000000"/>
              </w:rPr>
            </w:pPr>
            <w:r>
              <w:rPr>
                <w:rFonts w:hint="eastAsia"/>
                <w:color w:val="000000"/>
              </w:rPr>
              <w:t xml:space="preserve">3）业务流程配套建设</w:t>
            </w:r>
            <w:r>
              <w:rPr>
                <w:color w:val="000000"/>
              </w:rPr>
            </w:r>
            <w:r/>
          </w:p>
          <w:p>
            <w:pPr>
              <w:pStyle w:val="934"/>
              <w:rPr>
                <w:color w:val="000000"/>
              </w:rPr>
            </w:pPr>
            <w:r>
              <w:rPr>
                <w:rFonts w:hint="eastAsia"/>
                <w:color w:val="000000"/>
              </w:rPr>
              <w:t xml:space="preserve">在建筑方案审查与规划许可业务流程中，实现新老版本建筑功能的报建支持与版本控制。新增业务表单与证照文书，展示新老版本建筑用途并集成新增审查表；确保CAD审批端兼容新老两版报建数据，并完成数据入库。新增并集成多项智能识别与审查功能，包括距离审查、合规性审查、基于全要素规划条件文本存储和提取、必要件清单与检测、建筑平面标注智能识别检查、图纸图签智能识别、申报表信息智能识别等。</w:t>
            </w:r>
            <w:r>
              <w:rPr>
                <w:color w:val="000000"/>
              </w:rPr>
            </w:r>
            <w:r/>
          </w:p>
          <w:p>
            <w:pPr>
              <w:pStyle w:val="934"/>
              <w:rPr>
                <w:color w:val="000000"/>
              </w:rPr>
            </w:pPr>
            <w:r>
              <w:rPr>
                <w:rFonts w:hint="eastAsia"/>
                <w:color w:val="000000"/>
              </w:rPr>
              <w:t xml:space="preserve">4）相关数据传输接口新增</w:t>
            </w:r>
            <w:r>
              <w:rPr>
                <w:color w:val="000000"/>
              </w:rPr>
            </w:r>
            <w:r/>
          </w:p>
          <w:p>
            <w:pPr>
              <w:pStyle w:val="934"/>
              <w:rPr>
                <w:color w:val="000000"/>
              </w:rPr>
            </w:pPr>
            <w:r>
              <w:rPr>
                <w:rFonts w:hint="eastAsia"/>
                <w:color w:val="000000"/>
              </w:rPr>
              <w:t xml:space="preserve">新增更新一体化政务服务系统的相关数据传输接口，兼容新老版本建筑功能分类数据的传输。</w:t>
            </w:r>
            <w:r>
              <w:rPr>
                <w:color w:val="000000"/>
              </w:rPr>
            </w:r>
            <w:r/>
          </w:p>
          <w:p>
            <w:pPr>
              <w:pStyle w:val="934"/>
              <w:rPr>
                <w:color w:val="000000"/>
              </w:rPr>
            </w:pPr>
            <w:r>
              <w:rPr>
                <w:rFonts w:hint="eastAsia"/>
                <w:color w:val="000000"/>
              </w:rPr>
              <w:t xml:space="preserve">5）按照“图证衔接”从规划用地向建筑许可，再向不动产登记的有效传导和全过程管控要求</w:t>
            </w:r>
            <w:r>
              <w:rPr>
                <w:color w:val="000000"/>
              </w:rPr>
            </w:r>
            <w:r/>
          </w:p>
          <w:p>
            <w:pPr>
              <w:pStyle w:val="934"/>
              <w:rPr>
                <w:color w:val="000000"/>
              </w:rPr>
            </w:pPr>
            <w:r>
              <w:rPr>
                <w:rFonts w:hint="eastAsia"/>
                <w:color w:val="000000"/>
              </w:rPr>
              <w:t xml:space="preserve">在建筑工程规划设计方案审查与建设工程规划许可审批流程中，研发相应的分析服务，实现对土地用途、建筑用途、功能分区的类型兼容性与排他性智能校验，支撑从规划用地到建筑许可，再到不动产登记的全链条有效传导与管控。</w:t>
            </w:r>
            <w:r>
              <w:rPr>
                <w:color w:val="000000"/>
              </w:rPr>
            </w:r>
            <w:r/>
          </w:p>
        </w:tc>
      </w:tr>
      <w:tr>
        <w:trPr/>
        <w:tc>
          <w:tcPr>
            <w:gridSpan w:val="3"/>
            <w:tcW w:w="10206" w:type="dxa"/>
            <w:vAlign w:val="center"/>
            <w:textDirection w:val="lrTb"/>
            <w:noWrap w:val="false"/>
          </w:tcPr>
          <w:p>
            <w:pPr>
              <w:pStyle w:val="934"/>
              <w:spacing w:line="360" w:lineRule="auto"/>
              <w:rPr>
                <w:color w:val="000000"/>
              </w:rPr>
            </w:pPr>
            <w:r>
              <w:rPr>
                <w:rFonts w:hint="eastAsia"/>
                <w:color w:val="000000"/>
              </w:rPr>
              <w:t xml:space="preserve">产品/服务2：</w:t>
            </w:r>
            <w:r>
              <w:rPr>
                <w:rFonts w:hint="eastAsia"/>
                <w:b/>
                <w:bCs/>
                <w:color w:val="000000"/>
              </w:rPr>
              <w:t xml:space="preserve">南京市规划资源移动应用2025建设内容</w:t>
            </w:r>
            <w:r>
              <w:rPr>
                <w:color w:val="000000"/>
              </w:rPr>
            </w:r>
            <w:r/>
          </w:p>
        </w:tc>
      </w:tr>
      <w:tr>
        <w:trPr/>
        <w:tc>
          <w:tcPr>
            <w:tcW w:w="1201" w:type="dxa"/>
            <w:vAlign w:val="center"/>
            <w:textDirection w:val="lrTb"/>
            <w:noWrap w:val="false"/>
          </w:tcPr>
          <w:p>
            <w:pPr>
              <w:pStyle w:val="934"/>
              <w:jc w:val="center"/>
              <w:spacing w:line="360" w:lineRule="auto"/>
              <w:rPr>
                <w:color w:val="000000"/>
                <w:highlight w:val="yellow"/>
              </w:rPr>
            </w:pPr>
            <w:r>
              <w:rPr>
                <w:rFonts w:hint="eastAsia"/>
                <w:color w:val="000000"/>
              </w:rPr>
              <w:t xml:space="preserve">1</w:t>
            </w:r>
            <w:r>
              <w:rPr>
                <w:color w:val="000000"/>
                <w:highlight w:val="yellow"/>
              </w:rPr>
            </w:r>
            <w:r/>
          </w:p>
        </w:tc>
        <w:tc>
          <w:tcPr>
            <w:tcW w:w="1801" w:type="dxa"/>
            <w:vAlign w:val="center"/>
            <w:textDirection w:val="lrTb"/>
            <w:noWrap w:val="false"/>
          </w:tcPr>
          <w:p>
            <w:pPr>
              <w:pStyle w:val="934"/>
              <w:jc w:val="center"/>
              <w:spacing w:line="360" w:lineRule="auto"/>
              <w:rPr>
                <w:color w:val="000000"/>
                <w:highlight w:val="yellow"/>
              </w:rPr>
            </w:pPr>
            <w:r>
              <w:rPr>
                <w:rFonts w:hint="eastAsia"/>
                <w:color w:val="000000"/>
              </w:rPr>
              <w:t xml:space="preserve">★实质性条款</w:t>
            </w:r>
            <w:r>
              <w:rPr>
                <w:color w:val="000000"/>
                <w:highlight w:val="yellow"/>
              </w:rPr>
            </w:r>
            <w:r/>
          </w:p>
        </w:tc>
        <w:tc>
          <w:tcPr>
            <w:tcW w:w="7204" w:type="dxa"/>
            <w:vAlign w:val="center"/>
            <w:textDirection w:val="lrTb"/>
            <w:noWrap w:val="false"/>
          </w:tcPr>
          <w:p>
            <w:pPr>
              <w:pStyle w:val="934"/>
              <w:rPr>
                <w:color w:val="000000"/>
              </w:rPr>
            </w:pPr>
            <w:r>
              <w:rPr>
                <w:rFonts w:hint="eastAsia"/>
                <w:b/>
                <w:color w:val="000000"/>
              </w:rPr>
              <w:t xml:space="preserve">（1）移动端鸿蒙系统版APP基础版本开发</w:t>
            </w:r>
            <w:r>
              <w:rPr>
                <w:rFonts w:hint="eastAsia"/>
                <w:color w:val="000000"/>
              </w:rPr>
              <w:t xml:space="preserve">：基于华为HarmonyOS NEXT操作系统、采用ArkTS开发语言，完成鸿蒙版本南京规划资源APP基础版本开发，实现用户登录注册、工作台首页、局内通讯录、个人中心“我的”四大模块核心功能的建设，满足用户鸿蒙设备日常使用需求。</w:t>
            </w:r>
            <w:r>
              <w:rPr>
                <w:color w:val="000000"/>
              </w:rPr>
            </w:r>
            <w:r/>
          </w:p>
          <w:p>
            <w:pPr>
              <w:pStyle w:val="934"/>
              <w:rPr>
                <w:color w:val="000000"/>
              </w:rPr>
            </w:pPr>
            <w:r>
              <w:rPr>
                <w:rFonts w:hint="eastAsia"/>
                <w:b/>
                <w:color w:val="000000"/>
              </w:rPr>
              <w:t xml:space="preserve">（2）移动端新增功能开发</w:t>
            </w:r>
            <w:r>
              <w:rPr>
                <w:rFonts w:hint="eastAsia"/>
                <w:color w:val="000000"/>
              </w:rPr>
              <w:t xml:space="preserve">：建设应用安装引导页面，针对华为、小米、OPPO、苹果等局内常用手机操作系统定制安装引导说明，实现引导页面与应用下载页面无缝对接，以图文、步骤化形式引导用户安装，简化流程、提升安装成功率及用户满意度。</w:t>
            </w:r>
            <w:r>
              <w:rPr>
                <w:color w:val="000000"/>
              </w:rPr>
            </w:r>
            <w:r/>
          </w:p>
          <w:p>
            <w:pPr>
              <w:pStyle w:val="934"/>
              <w:rPr>
                <w:color w:val="000000"/>
              </w:rPr>
            </w:pPr>
            <w:r>
              <w:rPr>
                <w:rFonts w:hint="eastAsia"/>
                <w:b/>
                <w:color w:val="000000"/>
              </w:rPr>
              <w:t xml:space="preserve">（3）移动端个人信息授权规范开发</w:t>
            </w:r>
            <w:r>
              <w:rPr>
                <w:rFonts w:hint="eastAsia"/>
                <w:color w:val="000000"/>
              </w:rPr>
              <w:t xml:space="preserve">：按照相关信息安全规范要求，新增移动APP信息安全模块，新增用户隐私政策及使用协议，优化权限使用提示，引入设备权限控制功能，明确个人信息收集使用范围，保障用户隐私及应用合规性。</w:t>
            </w:r>
            <w:r>
              <w:rPr>
                <w:color w:val="000000"/>
              </w:rPr>
            </w:r>
            <w:r/>
          </w:p>
          <w:p>
            <w:pPr>
              <w:pStyle w:val="934"/>
              <w:rPr>
                <w:color w:val="000000"/>
              </w:rPr>
            </w:pPr>
            <w:r>
              <w:rPr>
                <w:rFonts w:hint="eastAsia"/>
                <w:b/>
                <w:color w:val="000000"/>
              </w:rPr>
              <w:t xml:space="preserve">（4）“我的南京政务版”对接：</w:t>
            </w:r>
            <w:r>
              <w:rPr>
                <w:rFonts w:hint="eastAsia"/>
                <w:bCs/>
                <w:color w:val="000000"/>
              </w:rPr>
              <w:t xml:space="preserve">完成用户信息对接并建立用户信息长期更新机制，优先以通知公告、新闻宣传类内容为切入点开展应用集成试点，优化身份认证、数据通信及界面交互，推进后续各类办公、管理、审批流程对接集成。</w:t>
            </w:r>
            <w:r>
              <w:rPr>
                <w:color w:val="000000"/>
              </w:rPr>
            </w:r>
            <w:r/>
          </w:p>
        </w:tc>
      </w:tr>
      <w:tr>
        <w:trPr/>
        <w:tc>
          <w:tcPr>
            <w:gridSpan w:val="3"/>
            <w:tcW w:w="10206" w:type="dxa"/>
            <w:vAlign w:val="center"/>
            <w:textDirection w:val="lrTb"/>
            <w:noWrap w:val="false"/>
          </w:tcPr>
          <w:p>
            <w:pPr>
              <w:pStyle w:val="934"/>
              <w:spacing w:line="360" w:lineRule="auto"/>
              <w:rPr>
                <w:color w:val="000000"/>
              </w:rPr>
            </w:pPr>
            <w:r>
              <w:rPr>
                <w:rFonts w:hint="eastAsia"/>
                <w:color w:val="000000"/>
              </w:rPr>
              <w:t xml:space="preserve">产品/服务</w:t>
            </w:r>
            <w:r>
              <w:rPr>
                <w:color w:val="000000"/>
              </w:rPr>
              <w:t xml:space="preserve">3</w:t>
            </w:r>
            <w:r>
              <w:rPr>
                <w:rFonts w:hint="eastAsia"/>
                <w:color w:val="000000"/>
              </w:rPr>
              <w:t xml:space="preserve">：</w:t>
            </w:r>
            <w:r>
              <w:rPr>
                <w:rFonts w:hint="eastAsia"/>
                <w:b/>
                <w:bCs/>
                <w:color w:val="000000"/>
              </w:rPr>
              <w:t xml:space="preserve">不动产登记业务管理及“异地通办”子系统2025建设内容</w:t>
            </w:r>
            <w:r>
              <w:rPr>
                <w:color w:val="000000"/>
              </w:rPr>
            </w:r>
            <w:r/>
          </w:p>
        </w:tc>
      </w:tr>
      <w:tr>
        <w:trPr/>
        <w:tc>
          <w:tcPr>
            <w:tcW w:w="1201" w:type="dxa"/>
            <w:vAlign w:val="center"/>
            <w:textDirection w:val="lrTb"/>
            <w:noWrap w:val="false"/>
          </w:tcPr>
          <w:p>
            <w:pPr>
              <w:pStyle w:val="934"/>
              <w:jc w:val="center"/>
              <w:spacing w:line="360" w:lineRule="auto"/>
              <w:rPr>
                <w:color w:val="000000"/>
              </w:rPr>
            </w:pPr>
            <w:r>
              <w:rPr>
                <w:rFonts w:hint="eastAsia"/>
                <w:color w:val="000000"/>
              </w:rPr>
              <w:t xml:space="preserve">1</w:t>
            </w:r>
            <w:r>
              <w:rPr>
                <w:color w:val="000000"/>
              </w:rPr>
            </w:r>
            <w:r/>
          </w:p>
        </w:tc>
        <w:tc>
          <w:tcPr>
            <w:tcW w:w="1801" w:type="dxa"/>
            <w:vAlign w:val="center"/>
            <w:textDirection w:val="lrTb"/>
            <w:noWrap w:val="false"/>
          </w:tcPr>
          <w:p>
            <w:pPr>
              <w:pStyle w:val="934"/>
              <w:jc w:val="center"/>
              <w:spacing w:line="360" w:lineRule="auto"/>
              <w:rPr>
                <w:color w:val="000000"/>
              </w:rPr>
            </w:pPr>
            <w:r>
              <w:rPr>
                <w:rFonts w:hint="eastAsia"/>
                <w:color w:val="000000"/>
              </w:rPr>
              <w:t xml:space="preserve">★实质性条款</w:t>
            </w:r>
            <w:r>
              <w:rPr>
                <w:color w:val="000000"/>
              </w:rPr>
            </w:r>
            <w:r/>
          </w:p>
        </w:tc>
        <w:tc>
          <w:tcPr>
            <w:tcW w:w="7204" w:type="dxa"/>
            <w:vAlign w:val="center"/>
            <w:textDirection w:val="lrTb"/>
            <w:noWrap w:val="false"/>
          </w:tcPr>
          <w:p>
            <w:pPr>
              <w:pStyle w:val="934"/>
              <w:rPr>
                <w:b/>
                <w:bCs/>
                <w:color w:val="000000"/>
              </w:rPr>
            </w:pPr>
            <w:r>
              <w:rPr>
                <w:rFonts w:hint="eastAsia"/>
                <w:b/>
                <w:bCs/>
                <w:color w:val="000000"/>
              </w:rPr>
              <w:t xml:space="preserve">（1）不动产登记业务管理建设内容</w:t>
            </w:r>
            <w:r>
              <w:rPr>
                <w:b/>
                <w:bCs/>
                <w:color w:val="000000"/>
              </w:rPr>
            </w:r>
            <w:r/>
          </w:p>
          <w:p>
            <w:pPr>
              <w:pStyle w:val="934"/>
              <w:rPr>
                <w:color w:val="000000"/>
              </w:rPr>
            </w:pPr>
            <w:r>
              <w:rPr>
                <w:rFonts w:hint="eastAsia"/>
                <w:color w:val="000000"/>
              </w:rPr>
              <w:t xml:space="preserve">1)不动产业务风险防控功能建设</w:t>
            </w:r>
            <w:r>
              <w:rPr>
                <w:color w:val="000000"/>
              </w:rPr>
            </w:r>
            <w:r/>
          </w:p>
          <w:p>
            <w:pPr>
              <w:pStyle w:val="934"/>
              <w:rPr>
                <w:color w:val="000000"/>
              </w:rPr>
            </w:pPr>
            <w:r>
              <w:rPr>
                <w:rFonts w:hint="eastAsia"/>
                <w:color w:val="000000"/>
              </w:rPr>
              <w:t xml:space="preserve">根据《江苏省自然资源厅办公室关于</w:t>
            </w:r>
            <w:r>
              <w:rPr>
                <w:rFonts w:hint="eastAsia"/>
                <w:color w:val="000000"/>
              </w:rPr>
              <w:t xml:space="preserve">认真做好2024年度全省自然资源和不动产确权登记工作的通知》要求，参照《南京市不动产业务运行手册》，开展信息查询权限及数据安全建设，新增流程内、外敏感信息展示，新增区分流程节点查询功能和查询权限审批子流程；拓展系统规则校验场景应用，强化系统规则校验，提升登记案件质量检查精准度；结合工作实际，调整高风险业务派件规则，建立多部门随机交叉审核机制，新增支持受审分离；在现有不见面业务协同的基础上，新增不见面业务分配比例自定义调整；新增挂起审批流程，进一步规范不动产登记业务管理，为提升不动产业务风险防控能力提供支撑。</w:t>
            </w:r>
            <w:r>
              <w:rPr>
                <w:color w:val="000000"/>
              </w:rPr>
            </w:r>
            <w:r/>
          </w:p>
          <w:p>
            <w:pPr>
              <w:pStyle w:val="934"/>
              <w:rPr>
                <w:color w:val="000000"/>
              </w:rPr>
            </w:pPr>
            <w:r>
              <w:rPr>
                <w:rFonts w:hint="eastAsia"/>
                <w:color w:val="000000"/>
              </w:rPr>
              <w:t xml:space="preserve">2)不动产登记案件质量管理功能建设</w:t>
            </w:r>
            <w:r>
              <w:rPr>
                <w:color w:val="000000"/>
              </w:rPr>
            </w:r>
            <w:r/>
          </w:p>
          <w:p>
            <w:pPr>
              <w:pStyle w:val="934"/>
              <w:rPr>
                <w:color w:val="000000"/>
              </w:rPr>
            </w:pPr>
            <w:r>
              <w:rPr>
                <w:rFonts w:hint="eastAsia"/>
                <w:color w:val="000000"/>
              </w:rPr>
              <w:t xml:space="preserve">落实南京不动产登记案件质量管理新规定，按《质量检查评定办法》等规定，建立质检案件抽取、质检分发、质量评定与反馈等功能，支持在办、办结案件在流程中、流程外质检管理需求，实现质检任务随机抽取、高风险类型案件定向抽取、分级质检专区设置、案件等级设置、质检统计、结果导出；依托业务风险的分类分级，提供易错性抽取、易错指标项查询功能，并建设质量检查统计、质检工作量查询统计功能。</w:t>
            </w:r>
            <w:r>
              <w:rPr>
                <w:color w:val="000000"/>
              </w:rPr>
            </w:r>
            <w:r/>
          </w:p>
          <w:p>
            <w:pPr>
              <w:pStyle w:val="934"/>
              <w:rPr>
                <w:color w:val="000000"/>
              </w:rPr>
            </w:pPr>
            <w:r>
              <w:rPr>
                <w:rFonts w:hint="eastAsia"/>
                <w:color w:val="000000"/>
              </w:rPr>
              <w:t xml:space="preserve">3)支撑营商环境优化系列改革功能建设</w:t>
            </w:r>
            <w:r>
              <w:rPr>
                <w:color w:val="000000"/>
              </w:rPr>
            </w:r>
            <w:r/>
          </w:p>
          <w:p>
            <w:pPr>
              <w:pStyle w:val="934"/>
              <w:rPr>
                <w:color w:val="000000"/>
              </w:rPr>
            </w:pPr>
            <w:r>
              <w:rPr>
                <w:rFonts w:hint="eastAsia"/>
                <w:color w:val="000000"/>
              </w:rPr>
              <w:t xml:space="preserve">根据《国务院关于进一步优化政务服务提升行政效能推动“高效办成一件事”的指导意见》（国发〔2024〕3号）和《关于印发2024年全省营商环境评价方案的通知》（苏营商发〔2024〕3号）等要求，协同支撑“异地通办”“全程网办”，推进与“E办证”、交易登记一体化等系统协同对接，新增不动产信息查询校验、</w:t>
            </w:r>
            <w:r>
              <w:rPr>
                <w:rFonts w:hint="eastAsia"/>
                <w:color w:val="000000"/>
              </w:rPr>
              <w:t xml:space="preserve">线上业务信息获取、苏小登统计查询等接口，为“全程网办”业务服务范围拓展提供相关支撑服务。对接政务审批一体化系统，拓展不动产登记“零材料”办理，新增划拨勘测定界数据共享接口，实现审批数据、材料、证照的实时获取，拓展支撑划拨用地、土地供应“零材料”。对接市共享平台，推进公安身份变更与不动产变更登记“一件事”服务集成，并依据《江苏省进一步深化涉企不动产转移登记、二手房转移登记及水电气联动过户“一件事一次办”改革实施方案》《江苏省数字政府政务中台办件中心接口对接规范》建立涉企“一件事”、水电气“一件事”等报送功能。</w:t>
            </w:r>
            <w:r>
              <w:rPr>
                <w:color w:val="000000"/>
              </w:rPr>
            </w:r>
            <w:r/>
          </w:p>
          <w:p>
            <w:pPr>
              <w:pStyle w:val="934"/>
              <w:rPr>
                <w:color w:val="000000"/>
              </w:rPr>
            </w:pPr>
            <w:r>
              <w:rPr>
                <w:rFonts w:hint="eastAsia"/>
                <w:color w:val="000000"/>
              </w:rPr>
              <w:t xml:space="preserve">4)不动产登记改革新功能建设</w:t>
            </w:r>
            <w:r>
              <w:rPr>
                <w:color w:val="000000"/>
              </w:rPr>
            </w:r>
            <w:r/>
          </w:p>
          <w:p>
            <w:pPr>
              <w:pStyle w:val="934"/>
              <w:rPr>
                <w:color w:val="000000"/>
              </w:rPr>
            </w:pPr>
            <w:r>
              <w:rPr>
                <w:rFonts w:hint="eastAsia"/>
                <w:color w:val="000000"/>
              </w:rPr>
              <w:t xml:space="preserve">根据《关于拓展不动产登记增量报文接入字段有关工作的通知》《关于扩展不动产登记信息精准查询功能相关工作的通知》《关于开展“总对总”不动产网络查封登记试点工作的通知》等要求，新增省厅增量接入报文，新增报文属性、拓展精准查询属性，新增“</w:t>
            </w:r>
            <w:r>
              <w:rPr>
                <w:rFonts w:hint="eastAsia"/>
                <w:color w:val="000000"/>
              </w:rPr>
              <w:t xml:space="preserve">总对总”不动产网络查封登记模块，建设总对总查控请求获取、预审、回退、业务协同、结果反馈、日志管理等功能，不断深化“不动产登记+司法查控”改革创新协同，持续提升不动产查封登记便利化水平。依据《不动产登记资料查询暂行办法》和《南京市不动产登记资料查询操作手册》重构查询表单和查询结果样式，同步调整相关查询接口，推进不动产原始资料集成，实现全市档案通查工作纵深推进。基于DeepSeek等大模型，通过提升不动产领域知识模型能力，融合数字人交互能力，构建集本地化知识库、智能化和数字人于一体的不动产登记智能导办服务功能。</w:t>
            </w:r>
            <w:r>
              <w:rPr>
                <w:color w:val="000000"/>
              </w:rPr>
            </w:r>
            <w:r/>
          </w:p>
          <w:p>
            <w:pPr>
              <w:pStyle w:val="934"/>
              <w:rPr>
                <w:b/>
                <w:bCs/>
                <w:color w:val="000000"/>
              </w:rPr>
            </w:pPr>
            <w:r>
              <w:rPr>
                <w:rFonts w:hint="eastAsia"/>
                <w:b/>
                <w:bCs/>
                <w:color w:val="000000"/>
              </w:rPr>
              <w:t xml:space="preserve">（2）南京市不动产登记“异地通办”建设内容</w:t>
            </w:r>
            <w:r>
              <w:rPr>
                <w:b/>
                <w:bCs/>
                <w:color w:val="000000"/>
              </w:rPr>
            </w:r>
            <w:r/>
          </w:p>
          <w:p>
            <w:pPr>
              <w:pStyle w:val="934"/>
              <w:rPr>
                <w:color w:val="000000"/>
              </w:rPr>
            </w:pPr>
            <w:r>
              <w:rPr>
                <w:rFonts w:hint="eastAsia"/>
                <w:color w:val="000000"/>
              </w:rPr>
              <w:t xml:space="preserve">1）南京市不动产登记“异地通办”移动端功能建设</w:t>
            </w:r>
            <w:r>
              <w:rPr>
                <w:color w:val="000000"/>
              </w:rPr>
            </w:r>
            <w:r/>
          </w:p>
          <w:p>
            <w:pPr>
              <w:pStyle w:val="934"/>
              <w:rPr>
                <w:color w:val="000000"/>
              </w:rPr>
            </w:pPr>
            <w:r>
              <w:rPr>
                <w:rFonts w:hint="eastAsia"/>
                <w:color w:val="000000"/>
              </w:rPr>
              <w:t xml:space="preserve">根据深化长三角区域不动产登记一体化“跨省通办”改革工作方案要求，对接省政务统一用户体系，线上苏小登·南京E办证平台、交易登记一体化平台、不动产业务系统等，依托苏服办APP，在“二手房转移登记及水电气联动过户一件事”应用基础上，新增“二手房转移登记及水电气联动过户”申请页面，实现买卖双方移动端在线申报、智能核验、材料签署、材料确认等操作。</w:t>
            </w:r>
            <w:r>
              <w:rPr>
                <w:color w:val="000000"/>
              </w:rPr>
            </w:r>
            <w:r/>
          </w:p>
          <w:p>
            <w:pPr>
              <w:pStyle w:val="934"/>
              <w:rPr>
                <w:color w:val="000000"/>
              </w:rPr>
            </w:pPr>
            <w:r>
              <w:rPr>
                <w:rFonts w:hint="eastAsia"/>
                <w:color w:val="000000"/>
              </w:rPr>
              <w:t xml:space="preserve">2）不动产登记“异地通办”线上业务适用情形拓展</w:t>
            </w:r>
            <w:r>
              <w:rPr>
                <w:color w:val="000000"/>
              </w:rPr>
            </w:r>
            <w:r/>
          </w:p>
          <w:p>
            <w:pPr>
              <w:pStyle w:val="934"/>
              <w:rPr>
                <w:color w:val="000000"/>
              </w:rPr>
            </w:pPr>
            <w:r>
              <w:rPr>
                <w:rFonts w:hint="eastAsia"/>
                <w:color w:val="000000"/>
              </w:rPr>
              <w:t xml:space="preserve">基于“线上苏小登·南京E办证”平台的18个网办流程，拓展建设更广泛适用情形的网办流程，支撑南京市常态化开展不动产登记全域全业务类型“全程网办”“跨省通办”。主要包括：国有建设用地使用权首次登记拓展支持划拨、协议出让、储备类土地首次登记；在目前仅支持国有建设用地使用权面积、界址变更的基础上，拓展实现支持权利人姓名或者名称、身份证明类型或者身份证明号码发</w:t>
            </w:r>
            <w:r>
              <w:rPr>
                <w:rFonts w:hint="eastAsia"/>
                <w:color w:val="000000"/>
              </w:rPr>
              <w:t xml:space="preserve">生变化的情形；拓展实现保障性住房转移登记、互换和赠与类存量房转移登记、现售商品房转移登记、夫妻间存量房转移登记（含继承）等4类国有建设用地使用权及房屋所有权转移登记网办流程；在已实现权利人姓名或者名称、身份证明类型或者身份证明号码发生变化的、不动产坐落发生变化的、共有性质发生变化（仅限共同共有变更为按份共有）的基础上，进一步拓展支持不动产面积、界址变化的、不动产用途变化的、同一权利人名下的不动产分割或者合并的、土地权利性质、房屋性质发生变化的、持证方式变更的5类情形的国有建设用地使用权及房屋所有权变更登记。</w:t>
            </w:r>
            <w:r>
              <w:rPr>
                <w:color w:val="000000"/>
              </w:rPr>
            </w:r>
            <w:r/>
          </w:p>
          <w:p>
            <w:pPr>
              <w:pStyle w:val="934"/>
              <w:rPr>
                <w:color w:val="000000"/>
              </w:rPr>
            </w:pPr>
            <w:r>
              <w:rPr>
                <w:rFonts w:hint="eastAsia"/>
                <w:color w:val="000000"/>
              </w:rPr>
              <w:t xml:space="preserve">3）预告登记流程建设内容</w:t>
            </w:r>
            <w:r>
              <w:rPr>
                <w:color w:val="000000"/>
              </w:rPr>
            </w:r>
            <w:r/>
          </w:p>
          <w:p>
            <w:pPr>
              <w:pStyle w:val="934"/>
              <w:rPr>
                <w:color w:val="000000"/>
              </w:rPr>
            </w:pPr>
            <w:r>
              <w:rPr>
                <w:rFonts w:hint="eastAsia"/>
                <w:color w:val="000000"/>
              </w:rPr>
              <w:t xml:space="preserve">基于“线上苏小登·南京E办证”平台，建设预告登记设立与变更两类流程，使用新的电子签名，新增与内网业务系统的文件、信息联动，确保登记机构可以及时审核登记，相关的电子证明及时推送至申请人，进一步精简了用户申请材料、流程节点，提升了用户办理体验，</w:t>
            </w:r>
            <w:r>
              <w:rPr>
                <w:color w:val="000000"/>
              </w:rPr>
            </w:r>
            <w:r/>
          </w:p>
          <w:p>
            <w:pPr>
              <w:pStyle w:val="934"/>
              <w:rPr>
                <w:color w:val="000000"/>
              </w:rPr>
            </w:pPr>
            <w:r>
              <w:rPr>
                <w:rFonts w:hint="eastAsia"/>
                <w:color w:val="000000"/>
              </w:rPr>
              <w:t xml:space="preserve">4）不动产登记“异地通办”其他系统功能建设</w:t>
            </w:r>
            <w:r>
              <w:rPr>
                <w:color w:val="000000"/>
              </w:rPr>
            </w:r>
            <w:r/>
          </w:p>
          <w:p>
            <w:pPr>
              <w:pStyle w:val="934"/>
              <w:rPr>
                <w:color w:val="000000"/>
              </w:rPr>
            </w:pPr>
            <w:r>
              <w:rPr>
                <w:rFonts w:hint="eastAsia"/>
                <w:color w:val="000000"/>
              </w:rPr>
              <w:t xml:space="preserve">一是将企业注册与变更流程整合，实现电子印章即时绑定和变更，提升平台企业用户管理便利度；二是运用数据清洗技术对存量企业信息进行电子印章补录，解决历史数据对接问题；三是对接省统一实人认证，构建三重安全防护机制，覆盖业务全场景。四是在现有抵押不见面变更登记流程的基础上，新增多方在线确认和自动化审核等功能实现全流程线上化。</w:t>
            </w:r>
            <w:r>
              <w:rPr>
                <w:color w:val="000000"/>
              </w:rPr>
            </w:r>
            <w:r/>
          </w:p>
        </w:tc>
      </w:tr>
      <w:tr>
        <w:trPr/>
        <w:tc>
          <w:tcPr>
            <w:gridSpan w:val="3"/>
            <w:tcW w:w="10206" w:type="dxa"/>
            <w:vAlign w:val="center"/>
            <w:textDirection w:val="lrTb"/>
            <w:noWrap w:val="false"/>
          </w:tcPr>
          <w:p>
            <w:pPr>
              <w:pStyle w:val="934"/>
              <w:spacing w:line="360" w:lineRule="auto"/>
              <w:rPr>
                <w:color w:val="000000"/>
              </w:rPr>
            </w:pPr>
            <w:r>
              <w:rPr>
                <w:rFonts w:hint="eastAsia"/>
                <w:color w:val="000000"/>
              </w:rPr>
              <w:t xml:space="preserve">产品/服务</w:t>
            </w:r>
            <w:r>
              <w:rPr>
                <w:color w:val="000000"/>
              </w:rPr>
              <w:t xml:space="preserve">4</w:t>
            </w:r>
            <w:r>
              <w:rPr>
                <w:rFonts w:hint="eastAsia"/>
                <w:color w:val="000000"/>
              </w:rPr>
              <w:t xml:space="preserve">：</w:t>
            </w:r>
            <w:r>
              <w:rPr>
                <w:rFonts w:hint="eastAsia"/>
                <w:b/>
                <w:color w:val="000000"/>
              </w:rPr>
              <w:t xml:space="preserve">南京市智慧耕地保护综合管理子系统2</w:t>
            </w:r>
            <w:r>
              <w:rPr>
                <w:b/>
                <w:color w:val="000000"/>
              </w:rPr>
              <w:t xml:space="preserve">025</w:t>
            </w:r>
            <w:r>
              <w:rPr>
                <w:rFonts w:hint="eastAsia"/>
                <w:b/>
                <w:color w:val="000000"/>
              </w:rPr>
              <w:t xml:space="preserve">建设内容</w:t>
            </w:r>
            <w:r>
              <w:rPr>
                <w:color w:val="000000"/>
              </w:rPr>
            </w:r>
            <w:r/>
          </w:p>
        </w:tc>
      </w:tr>
      <w:tr>
        <w:trPr/>
        <w:tc>
          <w:tcPr>
            <w:tcW w:w="1201" w:type="dxa"/>
            <w:vAlign w:val="center"/>
            <w:textDirection w:val="lrTb"/>
            <w:noWrap w:val="false"/>
          </w:tcPr>
          <w:p>
            <w:pPr>
              <w:pStyle w:val="934"/>
              <w:jc w:val="center"/>
              <w:spacing w:line="360" w:lineRule="auto"/>
              <w:rPr>
                <w:color w:val="000000"/>
              </w:rPr>
            </w:pPr>
            <w:r>
              <w:rPr>
                <w:rFonts w:hint="eastAsia"/>
                <w:color w:val="000000"/>
              </w:rPr>
              <w:t xml:space="preserve">1</w:t>
            </w:r>
            <w:r>
              <w:rPr>
                <w:color w:val="000000"/>
              </w:rPr>
            </w:r>
            <w:r/>
          </w:p>
        </w:tc>
        <w:tc>
          <w:tcPr>
            <w:tcW w:w="1801" w:type="dxa"/>
            <w:vAlign w:val="center"/>
            <w:textDirection w:val="lrTb"/>
            <w:noWrap w:val="false"/>
          </w:tcPr>
          <w:p>
            <w:pPr>
              <w:pStyle w:val="934"/>
              <w:jc w:val="center"/>
              <w:spacing w:line="360" w:lineRule="auto"/>
              <w:rPr>
                <w:color w:val="000000"/>
              </w:rPr>
            </w:pPr>
            <w:r>
              <w:rPr>
                <w:rFonts w:hint="eastAsia"/>
                <w:color w:val="000000"/>
              </w:rPr>
              <w:t xml:space="preserve">★实质性条款</w:t>
            </w:r>
            <w:r>
              <w:rPr>
                <w:color w:val="000000"/>
              </w:rPr>
            </w:r>
            <w:r/>
          </w:p>
        </w:tc>
        <w:tc>
          <w:tcPr>
            <w:tcW w:w="7204" w:type="dxa"/>
            <w:vAlign w:val="center"/>
            <w:textDirection w:val="lrTb"/>
            <w:noWrap w:val="false"/>
          </w:tcPr>
          <w:p>
            <w:pPr>
              <w:pStyle w:val="934"/>
              <w:spacing w:line="300" w:lineRule="auto"/>
              <w:rPr>
                <w:b/>
                <w:bCs/>
                <w:color w:val="000000"/>
              </w:rPr>
            </w:pPr>
            <w:r>
              <w:rPr>
                <w:rFonts w:hint="eastAsia"/>
                <w:b/>
                <w:bCs/>
                <w:color w:val="000000"/>
              </w:rPr>
              <w:t xml:space="preserve">（1）宁耕保管理版接入“我的南京”政务版</w:t>
            </w:r>
            <w:r>
              <w:rPr>
                <w:b/>
                <w:bCs/>
                <w:color w:val="000000"/>
              </w:rPr>
            </w:r>
            <w:r/>
          </w:p>
          <w:p>
            <w:pPr>
              <w:pStyle w:val="934"/>
              <w:spacing w:line="300" w:lineRule="auto"/>
              <w:rPr>
                <w:color w:val="000000"/>
              </w:rPr>
            </w:pPr>
            <w:r>
              <w:rPr>
                <w:rFonts w:hint="eastAsia"/>
                <w:color w:val="000000"/>
              </w:rPr>
              <w:t xml:space="preserve">在“我的南京”政务版中增加宁耕保入口，完成接入适配，支持登录认证、身份识别及权限控制；同时进行界面风格适配，与第三方平台API对接，实现认证、拍照、材料处理等功能，并完成用户体系深度对接，保障安全合规调用。</w:t>
            </w:r>
            <w:r>
              <w:rPr>
                <w:color w:val="000000"/>
              </w:rPr>
            </w:r>
            <w:r/>
          </w:p>
          <w:p>
            <w:pPr>
              <w:pStyle w:val="934"/>
              <w:spacing w:line="300" w:lineRule="auto"/>
              <w:rPr>
                <w:b/>
                <w:bCs/>
                <w:color w:val="000000"/>
              </w:rPr>
            </w:pPr>
            <w:r>
              <w:rPr>
                <w:rFonts w:hint="eastAsia"/>
                <w:b/>
                <w:bCs/>
                <w:color w:val="000000"/>
              </w:rPr>
              <w:t xml:space="preserve">（2）“宁耕保”扫码功能</w:t>
            </w:r>
            <w:r>
              <w:rPr>
                <w:b/>
                <w:bCs/>
                <w:color w:val="000000"/>
              </w:rPr>
            </w:r>
            <w:r/>
          </w:p>
          <w:p>
            <w:pPr>
              <w:pStyle w:val="934"/>
              <w:spacing w:line="300" w:lineRule="auto"/>
              <w:rPr>
                <w:color w:val="000000"/>
              </w:rPr>
            </w:pPr>
            <w:r>
              <w:rPr>
                <w:rFonts w:hint="eastAsia"/>
                <w:color w:val="000000"/>
              </w:rPr>
              <w:t xml:space="preserve">信息查询方面，增加村级公众版查询入口，二维码按权限控制展示，搭建扫码模块直接进入查询页面；扫码后展示以地图为主、指标为辅的“一张图”，支持地图浏览、定位、图层筛选，并采用压缩、精简、缓存等技术提升效率；地图底部展示耕地指标、现状分析及图斑详情，支持折叠收缩；后台具备统一授权配置、地图模板及渲染配置。问题反馈方面，支持信息录入（问题描述、拍照、定位），按区域和类别自动分发至上级部门，实现问题分类、指派、进度跟踪，并经问题上报人反馈确认形成闭环，同时反馈信息与管理端同步，实现移动端与后台管理协同。</w:t>
            </w:r>
            <w:r>
              <w:rPr>
                <w:color w:val="000000"/>
              </w:rPr>
            </w:r>
            <w:r/>
          </w:p>
          <w:p>
            <w:pPr>
              <w:pStyle w:val="934"/>
              <w:spacing w:line="300" w:lineRule="auto"/>
              <w:rPr>
                <w:b/>
                <w:bCs/>
                <w:color w:val="000000"/>
              </w:rPr>
            </w:pPr>
            <w:r>
              <w:rPr>
                <w:rFonts w:hint="eastAsia"/>
                <w:b/>
                <w:bCs/>
                <w:color w:val="000000"/>
              </w:rPr>
              <w:t xml:space="preserve">（3）AI+“一田一码”耕地保护</w:t>
            </w:r>
            <w:r>
              <w:rPr>
                <w:b/>
                <w:bCs/>
                <w:color w:val="000000"/>
              </w:rPr>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hint="eastAsia"/>
                <w:color w:val="000000"/>
              </w:rPr>
              <w:t xml:space="preserve">基于大模型训练耕保业务模型，集成智能问答功能，支持查询全市耕地保护统计数据及政策法规要点；同时开展高清航片样本采集，</w:t>
            </w:r>
            <w:r>
              <w:rPr>
                <w:color w:val="000000"/>
              </w:rPr>
            </w:r>
            <w:r>
              <w:rPr>
                <w:rFonts w:ascii="SimSun" w:hAnsi="SimSun" w:eastAsia="SimSun" w:cs="SimSun"/>
                <w:color w:val="000000"/>
                <w:sz w:val="22"/>
              </w:rPr>
              <w:t xml:space="preserve">面向优于</w:t>
            </w:r>
            <w:r>
              <w:rPr>
                <w:rFonts w:ascii="Times New Roman" w:hAnsi="Times New Roman" w:eastAsia="Times New Roman" w:cs="Times New Roman"/>
                <w:color w:val="000000"/>
                <w:sz w:val="21"/>
              </w:rPr>
              <w:t xml:space="preserve">0.2m</w:t>
            </w:r>
            <w:r>
              <w:rPr>
                <w:rFonts w:ascii="SimSun" w:hAnsi="SimSun" w:eastAsia="SimSun" w:cs="SimSun"/>
                <w:color w:val="000000"/>
                <w:sz w:val="22"/>
              </w:rPr>
              <w:t xml:space="preserve">分辨率的无人机高清影像、全景照片，共采集</w:t>
            </w:r>
            <w:r>
              <w:rPr>
                <w:rFonts w:ascii="Times New Roman" w:hAnsi="Times New Roman" w:eastAsia="Times New Roman" w:cs="Times New Roman"/>
                <w:color w:val="000000"/>
                <w:sz w:val="22"/>
              </w:rPr>
              <w:t xml:space="preserve">11</w:t>
            </w:r>
            <w:r>
              <w:rPr>
                <w:rFonts w:ascii="SimSun" w:hAnsi="SimSun" w:eastAsia="SimSun" w:cs="SimSun"/>
                <w:color w:val="000000"/>
                <w:sz w:val="22"/>
              </w:rPr>
              <w:t xml:space="preserve">万张样本用于变化检测，提升智能识别准确率。</w:t>
            </w:r>
            <w:r/>
            <w:r>
              <w:rPr>
                <w:rFonts w:hint="eastAsia"/>
                <w:color w:val="000000"/>
              </w:rPr>
            </w:r>
            <w:r/>
            <w:r/>
            <w:r>
              <w:rPr>
                <w:rFonts w:ascii="Times New Roman" w:hAnsi="Times New Roman" w:eastAsia="Times New Roman" w:cs="Times New Roman"/>
                <w:sz w:val="22"/>
              </w:rPr>
            </w:r>
          </w:p>
          <w:p>
            <w:pPr>
              <w:pStyle w:val="934"/>
              <w:spacing w:line="300" w:lineRule="auto"/>
              <w:rPr>
                <w:b/>
                <w:bCs/>
                <w:color w:val="000000"/>
              </w:rPr>
            </w:pPr>
            <w:r>
              <w:rPr>
                <w:rFonts w:hint="eastAsia"/>
                <w:b/>
                <w:bCs/>
                <w:color w:val="000000"/>
              </w:rPr>
              <w:t xml:space="preserve">（4）阳光监管模式下的闭环处置流程智能化改造</w:t>
            </w:r>
            <w:r>
              <w:rPr>
                <w:b/>
                <w:bCs/>
                <w:color w:val="000000"/>
              </w:rPr>
            </w:r>
            <w:r/>
          </w:p>
          <w:p>
            <w:pPr>
              <w:pStyle w:val="934"/>
              <w:spacing w:line="300" w:lineRule="auto"/>
              <w:rPr>
                <w:color w:val="000000"/>
              </w:rPr>
            </w:pPr>
            <w:r>
              <w:rPr>
                <w:rFonts w:hint="eastAsia"/>
                <w:color w:val="000000"/>
              </w:rPr>
              <w:t xml:space="preserve">新增AI智能监管查询，调整闭环</w:t>
            </w:r>
            <w:r>
              <w:rPr>
                <w:rFonts w:hint="eastAsia"/>
                <w:color w:val="000000"/>
              </w:rPr>
              <w:t xml:space="preserve">处置流程，接入无人机巡查线索及全景视图。实现全景图带图流转，调用无人机数据接口动态展示全景，实现处置与巡查联动；闭环联合处置接收判读联审后的违法线索，跨市、区、镇多级审查处置，增设街道处置和分管局长审核环节及阅办功能；调整线索编号规则，无人机推送线索不可删除；自动接收无人机巡飞线索，在线索管理模块展示并下发处置；开发闭环处置返回数据接口，将处置结果（属性、附件、矢量图形）返回无人机巡查模块；封装闭环处置页面接口，供无人机巡查系统展示处置全过程；AI智能监管动态抓取流程节点数据，自动预警超时、跳转异常等情形。</w:t>
            </w:r>
            <w:r>
              <w:rPr>
                <w:color w:val="000000"/>
              </w:rPr>
            </w:r>
            <w:r/>
          </w:p>
          <w:p>
            <w:pPr>
              <w:pStyle w:val="934"/>
              <w:spacing w:line="300" w:lineRule="auto"/>
              <w:rPr>
                <w:b/>
                <w:bCs/>
                <w:color w:val="000000"/>
              </w:rPr>
            </w:pPr>
            <w:r>
              <w:rPr>
                <w:rFonts w:hint="eastAsia"/>
                <w:b/>
                <w:bCs/>
                <w:color w:val="000000"/>
              </w:rPr>
              <w:t xml:space="preserve">（5）基于耕地保护智能体的空间分析功能建设</w:t>
            </w:r>
            <w:r>
              <w:rPr>
                <w:b/>
                <w:bCs/>
                <w:color w:val="000000"/>
              </w:rPr>
            </w:r>
            <w:r/>
          </w:p>
          <w:p>
            <w:pPr>
              <w:pStyle w:val="934"/>
              <w:spacing w:line="300" w:lineRule="auto"/>
              <w:rPr>
                <w:color w:val="000000"/>
              </w:rPr>
            </w:pPr>
            <w:r>
              <w:rPr>
                <w:color w:val="000000"/>
              </w:rPr>
              <w:t xml:space="preserve">开发满足一田一码工作中耕地、农业、林业相关分析功能，为高标准农田项目建设审查、耕地质量管理提供技术支撑。支撑高标准农田项目建设审查，可开展高标准农田建设项目地类核查、耕地与永久基本农田占用规模、生态保护红线占用情况、永久基本农田调整补划过程中高标准农田调入调出情况研判，支持分析尚未建设高标准农田的田块空间分布及面积统计；支持耕地质量管理时涉及耕地规模、永久基本农田规模、近年来新增耕地规模等情况分析，分析结果进行可视化渲染。基于智能体探索AI智能研判，自动识别已建高标准农田但未划入永农的地块。</w:t>
            </w:r>
            <w:r>
              <w:rPr>
                <w:color w:val="000000"/>
              </w:rPr>
            </w:r>
            <w:r/>
          </w:p>
          <w:p>
            <w:pPr>
              <w:pStyle w:val="934"/>
              <w:spacing w:line="300" w:lineRule="auto"/>
              <w:rPr>
                <w:b/>
                <w:bCs/>
                <w:color w:val="000000"/>
              </w:rPr>
            </w:pPr>
            <w:r>
              <w:rPr>
                <w:rFonts w:hint="eastAsia"/>
                <w:b/>
                <w:bCs/>
                <w:color w:val="000000"/>
              </w:rPr>
              <w:t xml:space="preserve">（6）一田一码业务集成界面提升</w:t>
            </w:r>
            <w:r>
              <w:rPr>
                <w:b/>
                <w:bCs/>
                <w:color w:val="000000"/>
              </w:rPr>
            </w:r>
            <w:r/>
          </w:p>
          <w:p>
            <w:pPr>
              <w:pStyle w:val="934"/>
              <w:spacing w:line="300" w:lineRule="auto"/>
              <w:rPr>
                <w:color w:val="000000"/>
              </w:rPr>
            </w:pPr>
            <w:r>
              <w:rPr>
                <w:rFonts w:hint="eastAsia"/>
                <w:color w:val="000000"/>
              </w:rPr>
              <w:t xml:space="preserve">集成无人机违法线索及闭环处置数据统计展示，支持线索查看，</w:t>
            </w:r>
            <w:r>
              <w:rPr>
                <w:color w:val="000000"/>
              </w:rPr>
              <w:t xml:space="preserve">按照违法违规占用耕地、林地、农用地分类，并按周、月、季、年累计多维度统计，同时支持按行政区划动态筛选</w:t>
            </w:r>
            <w:r>
              <w:rPr>
                <w:rFonts w:hint="eastAsia"/>
                <w:color w:val="000000"/>
              </w:rPr>
              <w:t xml:space="preserve">。集成无人机采集点位和预警信息，支持查看无人机预设点位分布、预警次数及位置分布，点位按行政区聚合展示，放大至街道层级可显示全部点位；支持查看内/外业判读数据空间分布，采用水滴样式图标，点击图标可查看相应判读详情。</w:t>
            </w:r>
            <w:r>
              <w:rPr>
                <w:color w:val="000000"/>
              </w:rPr>
            </w:r>
            <w:r/>
          </w:p>
        </w:tc>
      </w:tr>
    </w:tbl>
    <w:p>
      <w:pPr>
        <w:pStyle w:val="934"/>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34"/>
        <w:ind w:firstLine="480"/>
        <w:spacing w:line="264" w:lineRule="auto"/>
        <w:rPr>
          <w:rFonts w:hint="eastAsia"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934"/>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rPr>
          <w:rFonts w:ascii="宋体" w:hAnsi="宋体" w:cs="宋体"/>
          <w:bCs/>
          <w:color w:val="000000"/>
          <w:sz w:val="24"/>
          <w:szCs w:val="24"/>
        </w:rPr>
      </w:r>
      <w:r/>
    </w:p>
    <w:p>
      <w:pPr>
        <w:pStyle w:val="93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rPr>
          <w:rFonts w:hint="eastAsia" w:ascii="宋体" w:hAnsi="宋体" w:cs="宋体"/>
          <w:color w:val="000000"/>
          <w:sz w:val="24"/>
          <w:szCs w:val="24"/>
        </w:rPr>
      </w:r>
      <w:r/>
    </w:p>
    <w:p>
      <w:pPr>
        <w:pStyle w:val="93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（2）投标人的任何错漏、优惠、竞争性报价不得作为减轻责任、减少服务、增加收费、降低服务质量的理由。</w:t>
      </w:r>
      <w:r>
        <w:rPr>
          <w:rFonts w:hint="eastAsia" w:ascii="宋体" w:hAnsi="宋体" w:cs="宋体"/>
          <w:color w:val="000000"/>
          <w:sz w:val="24"/>
          <w:szCs w:val="24"/>
        </w:rPr>
      </w:r>
      <w:r/>
    </w:p>
    <w:p>
      <w:pPr>
        <w:pStyle w:val="93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（3）投标人报价除包含招标文件中列明的项目外还应包括保障服务正常运行应当具有的物资和服务，对服务正常运行应当具有的物资和服务理解不一致的以采购人理解为准。</w:t>
      </w:r>
      <w:r>
        <w:rPr>
          <w:rFonts w:hint="eastAsia" w:ascii="宋体" w:hAnsi="宋体" w:cs="宋体"/>
          <w:color w:val="000000"/>
          <w:sz w:val="24"/>
          <w:szCs w:val="24"/>
        </w:rPr>
      </w:r>
      <w:r/>
    </w:p>
    <w:p>
      <w:pPr>
        <w:pStyle w:val="93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实施要求</w:t>
      </w:r>
      <w:r>
        <w:rPr>
          <w:rFonts w:hint="eastAsia" w:ascii="宋体" w:hAnsi="宋体" w:cs="宋体"/>
          <w:bCs/>
          <w:color w:val="000000"/>
          <w:sz w:val="24"/>
          <w:szCs w:val="24"/>
        </w:rPr>
      </w:r>
      <w:r/>
    </w:p>
    <w:p>
      <w:pPr>
        <w:pStyle w:val="934"/>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供应商应按照本招标文件要求，保证保量完成本项目，并提供相应的技术服务。</w:t>
      </w:r>
      <w:r>
        <w:rPr>
          <w:rFonts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本次项目中“互联网</w:t>
      </w:r>
      <w:r>
        <w:rPr>
          <w:rFonts w:hint="eastAsia" w:ascii="宋体" w:hAnsi="宋体"/>
          <w:color w:val="000000"/>
          <w:sz w:val="24"/>
          <w:szCs w:val="24"/>
        </w:rPr>
        <w:t xml:space="preserve">+”一体化政务服务系统2025建设内容，应沿用现有一体化政务服务系统的架构设计和技术体系，遵循微服务架构设计，保证系统松耦合、可扩展；采用页面框架构建统一的界面交互体验，实现页面导航都采用相同的集成方式；采用非结构化文件存储技术，支持大量公文附件材料和拟稿文档的快速存取，并支持分布式部署、可扩容的管理模式；采用CAD与GIS联动更新技术，保证数据的实时更新，维护数据在空间上和内容上的一致性；在现有自主可控和安全高效的业务框架上开发新的审批应用；支持集群部署，以提供高可用和高性能并发访问，为性能提供基础支持。</w:t>
      </w:r>
      <w:r>
        <w:rPr>
          <w:rFonts w:hint="eastAsia" w:ascii="宋体" w:hAnsi="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本次项目中南京市规划资源移动应用2025建设内容，采用Hybird App（混合模式移动应用）进行开发，兼具原生应用良好用户交互体验的优势和WebApp跨平台开发的优势；采用先进的移动地图引擎，提升地图渲染速度与GPU加速,支持更多的图层服务类型，具有较好的兼容性。</w:t>
      </w:r>
      <w:r>
        <w:rPr>
          <w:rFonts w:ascii="宋体" w:hAnsi="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本次项目中</w:t>
      </w:r>
      <w:r>
        <w:rPr>
          <w:rFonts w:ascii="宋体" w:hAnsi="宋体"/>
          <w:color w:val="000000"/>
          <w:sz w:val="24"/>
          <w:szCs w:val="24"/>
        </w:rPr>
        <w:t xml:space="preserve">不动产登记业务管理及“异地通办”子系统</w:t>
      </w:r>
      <w:r>
        <w:rPr>
          <w:rFonts w:hint="eastAsia" w:ascii="宋体" w:hAnsi="宋体"/>
          <w:color w:val="000000"/>
          <w:sz w:val="24"/>
          <w:szCs w:val="24"/>
        </w:rPr>
        <w:t xml:space="preserve">2025建设内容，</w:t>
      </w:r>
      <w:r>
        <w:rPr>
          <w:rFonts w:ascii="宋体" w:hAnsi="宋体"/>
          <w:color w:val="000000"/>
          <w:sz w:val="24"/>
          <w:szCs w:val="24"/>
        </w:rPr>
        <w:t xml:space="preserve">应沿用现有不动产登记业务管理和“线上苏小登·南京E</w:t>
      </w:r>
      <w:r>
        <w:rPr>
          <w:rFonts w:ascii="宋体" w:hAnsi="宋体"/>
          <w:color w:val="000000"/>
          <w:sz w:val="24"/>
          <w:szCs w:val="24"/>
        </w:rPr>
        <w:t xml:space="preserve">办证”平台的架构设计和技术体系，遵循微服务架构设计，保证系统松耦合、可扩展；采用页面框架构建统一的界面交互体验，新建及拓展的页面与现有平台页面导航采用相同的集成方式；采用非结构化文件存储技术，支持申请表、合同、证明材料等业务附件的快速存取，并支持分布式部署、可扩容的管理模式；在现有自主可控和安全高效的业务框架上开发新的流程应用；综合运用国密数据共享交换、电子签章等技术，保障不动产登记各类业务数据在传输、交互、共享全过程的安全性、完整性与可信性；支持集群部署，以提供高可用和高性能并发访问，为性能提供基础支持。</w:t>
      </w:r>
      <w:r>
        <w:rPr>
          <w:rFonts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本次项目中</w:t>
      </w:r>
      <w:r>
        <w:rPr>
          <w:rFonts w:ascii="宋体" w:hAnsi="宋体"/>
          <w:color w:val="000000"/>
          <w:sz w:val="24"/>
          <w:szCs w:val="24"/>
        </w:rPr>
        <w:t xml:space="preserve">南京市智慧耕地保护综合管理子系统</w:t>
      </w:r>
      <w:r>
        <w:rPr>
          <w:rFonts w:hint="eastAsia" w:ascii="宋体" w:hAnsi="宋体"/>
          <w:color w:val="000000"/>
          <w:sz w:val="24"/>
          <w:szCs w:val="24"/>
        </w:rPr>
        <w:t xml:space="preserve">2025建设内容，</w:t>
      </w:r>
      <w:r>
        <w:rPr>
          <w:rFonts w:ascii="宋体" w:hAnsi="宋体"/>
          <w:color w:val="000000"/>
          <w:sz w:val="24"/>
          <w:szCs w:val="24"/>
        </w:rPr>
        <w:t xml:space="preserve">应沿用现有智慧耕地保护综合管理系统的架构设计和技术体系，采用微服务架构，依托 GIS、业务流程与规则管理等组件，基于Spring</w:t>
      </w:r>
      <w:r>
        <w:rPr>
          <w:rFonts w:ascii="Cambria Math" w:hAnsi="Cambria Math" w:cs="Cambria Math"/>
          <w:color w:val="000000"/>
          <w:sz w:val="24"/>
          <w:szCs w:val="24"/>
        </w:rPr>
        <w:t xml:space="preserve">‑</w:t>
      </w:r>
      <w:r>
        <w:rPr>
          <w:rFonts w:ascii="宋体" w:hAnsi="宋体"/>
          <w:color w:val="000000"/>
          <w:sz w:val="24"/>
          <w:szCs w:val="24"/>
        </w:rPr>
        <w:t xml:space="preserve">boot构建包含数据访问、消息引擎、SM2/SM4 国密算法的应用服务能力，结合 SSO、4A 统一身份体系、多前端框架，实现系统集成、数据资源整合与多端业务访问。</w:t>
      </w:r>
      <w:r>
        <w:rPr>
          <w:rFonts w:hint="eastAsia" w:ascii="宋体" w:hAnsi="宋体"/>
          <w:color w:val="000000"/>
          <w:sz w:val="24"/>
          <w:szCs w:val="24"/>
        </w:rPr>
      </w:r>
      <w:r/>
    </w:p>
    <w:p>
      <w:pPr>
        <w:pStyle w:val="934"/>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hint="eastAsia" w:ascii="宋体" w:hAnsi="宋体" w:cs="宋体"/>
          <w:color w:val="000000"/>
          <w:sz w:val="24"/>
          <w:szCs w:val="24"/>
        </w:rPr>
      </w:r>
      <w:r/>
    </w:p>
    <w:p>
      <w:pPr>
        <w:pStyle w:val="934"/>
        <w:ind w:firstLine="480"/>
        <w:spacing w:line="264" w:lineRule="auto"/>
        <w:rPr>
          <w:rFonts w:ascii="宋体" w:hAnsi="宋体"/>
          <w:color w:val="000000"/>
          <w:sz w:val="24"/>
          <w:szCs w:val="24"/>
        </w:rPr>
      </w:pPr>
      <w:r>
        <w:rPr>
          <w:rFonts w:ascii="宋体" w:hAnsi="宋体"/>
          <w:color w:val="000000"/>
          <w:sz w:val="24"/>
          <w:szCs w:val="24"/>
        </w:rPr>
        <w:t xml:space="preserve">1）维护要求</w:t>
      </w:r>
      <w:r>
        <w:rPr>
          <w:rFonts w:ascii="宋体" w:hAnsi="宋体"/>
          <w:color w:val="000000"/>
          <w:sz w:val="24"/>
          <w:szCs w:val="24"/>
        </w:rPr>
      </w:r>
      <w:r/>
    </w:p>
    <w:p>
      <w:pPr>
        <w:pStyle w:val="934"/>
        <w:numPr>
          <w:ilvl w:val="0"/>
          <w:numId w:val="5"/>
        </w:numPr>
        <w:ind w:left="-60" w:firstLine="480"/>
        <w:spacing w:line="264" w:lineRule="auto"/>
        <w:rPr>
          <w:rFonts w:ascii="宋体" w:hAnsi="宋体"/>
          <w:color w:val="000000"/>
          <w:sz w:val="24"/>
          <w:szCs w:val="24"/>
        </w:rPr>
      </w:pPr>
      <w:r>
        <w:rPr>
          <w:rFonts w:ascii="宋体" w:hAnsi="宋体"/>
          <w:color w:val="000000"/>
          <w:sz w:val="24"/>
          <w:szCs w:val="24"/>
        </w:rPr>
        <w:t xml:space="preserve">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 </w:t>
      </w:r>
      <w:r>
        <w:rPr>
          <w:rFonts w:ascii="宋体" w:hAnsi="宋体"/>
          <w:color w:val="000000"/>
          <w:sz w:val="24"/>
          <w:szCs w:val="24"/>
        </w:rPr>
      </w:r>
      <w:r/>
    </w:p>
    <w:p>
      <w:pPr>
        <w:pStyle w:val="934"/>
        <w:numPr>
          <w:ilvl w:val="0"/>
          <w:numId w:val="5"/>
        </w:numPr>
        <w:ind w:left="-60" w:firstLine="480"/>
        <w:spacing w:line="264" w:lineRule="auto"/>
        <w:rPr>
          <w:rFonts w:ascii="宋体" w:hAnsi="宋体"/>
          <w:color w:val="000000"/>
          <w:sz w:val="24"/>
          <w:szCs w:val="24"/>
        </w:rPr>
      </w:pPr>
      <w:r>
        <w:rPr>
          <w:rFonts w:ascii="宋体" w:hAnsi="宋体"/>
          <w:color w:val="000000"/>
          <w:sz w:val="24"/>
          <w:szCs w:val="24"/>
        </w:rPr>
        <w:t xml:space="preserve">维护期内，对采购人提出的合理服务要求，供应商必须即时进行电话、邮件及远程网络支持，并在2小时内到场服务。如不到场，采购人有权自行处理，相关费用由供应商负责。 </w:t>
      </w:r>
      <w:r>
        <w:rPr>
          <w:rFonts w:ascii="宋体" w:hAnsi="宋体"/>
          <w:color w:val="000000"/>
          <w:sz w:val="24"/>
          <w:szCs w:val="24"/>
        </w:rPr>
      </w:r>
      <w:r/>
    </w:p>
    <w:p>
      <w:pPr>
        <w:pStyle w:val="934"/>
        <w:numPr>
          <w:ilvl w:val="0"/>
          <w:numId w:val="5"/>
        </w:numPr>
        <w:ind w:left="-60" w:firstLine="480"/>
        <w:spacing w:line="264" w:lineRule="auto"/>
        <w:rPr>
          <w:rFonts w:ascii="宋体" w:hAnsi="宋体"/>
          <w:color w:val="000000"/>
          <w:sz w:val="24"/>
          <w:szCs w:val="24"/>
        </w:rPr>
      </w:pPr>
      <w:r>
        <w:rPr>
          <w:rFonts w:ascii="宋体" w:hAnsi="宋体"/>
          <w:color w:val="000000"/>
          <w:sz w:val="24"/>
          <w:szCs w:val="24"/>
        </w:rPr>
        <w:t xml:space="preserve">供应商需提供定期回访服务，对采购人提出的合理优化建议应提供升级服务。 </w:t>
      </w:r>
      <w:r>
        <w:rPr>
          <w:rFonts w:ascii="宋体" w:hAnsi="宋体"/>
          <w:color w:val="000000"/>
          <w:sz w:val="24"/>
          <w:szCs w:val="24"/>
        </w:rPr>
      </w:r>
      <w:r/>
    </w:p>
    <w:p>
      <w:pPr>
        <w:pStyle w:val="934"/>
        <w:numPr>
          <w:ilvl w:val="0"/>
          <w:numId w:val="5"/>
        </w:numPr>
        <w:ind w:left="-60" w:firstLine="480"/>
        <w:spacing w:line="264" w:lineRule="auto"/>
        <w:rPr>
          <w:rFonts w:ascii="宋体" w:hAnsi="宋体"/>
          <w:color w:val="000000"/>
          <w:sz w:val="24"/>
          <w:szCs w:val="24"/>
        </w:rPr>
      </w:pPr>
      <w:r>
        <w:rPr>
          <w:rFonts w:ascii="宋体" w:hAnsi="宋体"/>
          <w:color w:val="000000"/>
          <w:sz w:val="24"/>
          <w:szCs w:val="24"/>
        </w:rPr>
        <w:t xml:space="preserve">所有的服务方式均为供应商上门保修，即由供应商派员到系统使用现场进行故障恢复，由此产生的一切费用均由供应商承担。</w:t>
      </w:r>
      <w:r>
        <w:rPr>
          <w:rFonts w:ascii="宋体" w:hAnsi="宋体"/>
          <w:color w:val="000000"/>
          <w:sz w:val="24"/>
          <w:szCs w:val="24"/>
        </w:rPr>
      </w:r>
      <w:r/>
    </w:p>
    <w:p>
      <w:pPr>
        <w:pStyle w:val="934"/>
        <w:ind w:firstLine="480"/>
        <w:spacing w:line="264" w:lineRule="auto"/>
        <w:rPr>
          <w:rFonts w:ascii="宋体" w:hAnsi="宋体"/>
          <w:color w:val="000000"/>
          <w:sz w:val="24"/>
          <w:szCs w:val="24"/>
        </w:rPr>
      </w:pPr>
      <w:r>
        <w:rPr>
          <w:rFonts w:ascii="宋体" w:hAnsi="宋体"/>
          <w:color w:val="000000"/>
          <w:sz w:val="24"/>
          <w:szCs w:val="24"/>
        </w:rPr>
        <w:t xml:space="preserve">2）培训要求</w:t>
      </w:r>
      <w:r>
        <w:rPr>
          <w:rFonts w:ascii="宋体" w:hAnsi="宋体"/>
          <w:color w:val="000000"/>
          <w:sz w:val="24"/>
          <w:szCs w:val="24"/>
        </w:rPr>
      </w:r>
      <w:r/>
    </w:p>
    <w:p>
      <w:pPr>
        <w:pStyle w:val="934"/>
        <w:numPr>
          <w:ilvl w:val="0"/>
          <w:numId w:val="6"/>
        </w:numPr>
        <w:spacing w:line="264" w:lineRule="auto"/>
        <w:rPr>
          <w:rFonts w:ascii="宋体" w:hAnsi="宋体"/>
          <w:color w:val="000000"/>
          <w:sz w:val="24"/>
          <w:szCs w:val="24"/>
        </w:rPr>
      </w:pPr>
      <w:r>
        <w:rPr>
          <w:rFonts w:ascii="宋体" w:hAnsi="宋体"/>
          <w:color w:val="000000"/>
          <w:sz w:val="24"/>
          <w:szCs w:val="24"/>
        </w:rPr>
        <w:t xml:space="preserve">投标人提供包括培训目的、培训对象、培训内容、培训计划及培训时间的培训方案。</w:t>
      </w:r>
      <w:r>
        <w:rPr>
          <w:rFonts w:ascii="宋体" w:hAnsi="宋体"/>
          <w:color w:val="000000"/>
          <w:sz w:val="24"/>
          <w:szCs w:val="24"/>
        </w:rPr>
      </w:r>
      <w:r/>
    </w:p>
    <w:p>
      <w:pPr>
        <w:pStyle w:val="934"/>
        <w:numPr>
          <w:ilvl w:val="0"/>
          <w:numId w:val="6"/>
        </w:numPr>
        <w:spacing w:line="264" w:lineRule="auto"/>
        <w:rPr>
          <w:rFonts w:ascii="宋体" w:hAnsi="宋体"/>
          <w:color w:val="000000"/>
          <w:sz w:val="24"/>
          <w:szCs w:val="24"/>
        </w:rPr>
      </w:pPr>
      <w:r>
        <w:rPr>
          <w:rFonts w:ascii="宋体" w:hAnsi="宋体"/>
          <w:color w:val="000000"/>
          <w:sz w:val="24"/>
          <w:szCs w:val="24"/>
        </w:rPr>
        <w:t xml:space="preserve">提供产品使用和系统运维等方面的培训，所有培训课程应在项目验收前完成；</w:t>
      </w:r>
      <w:r>
        <w:rPr>
          <w:rFonts w:ascii="宋体" w:hAnsi="宋体"/>
          <w:color w:val="000000"/>
          <w:sz w:val="24"/>
          <w:szCs w:val="24"/>
        </w:rPr>
      </w:r>
      <w:r/>
    </w:p>
    <w:p>
      <w:pPr>
        <w:pStyle w:val="934"/>
        <w:numPr>
          <w:ilvl w:val="0"/>
          <w:numId w:val="6"/>
        </w:numPr>
        <w:spacing w:line="264" w:lineRule="auto"/>
        <w:rPr>
          <w:rFonts w:ascii="宋体" w:hAnsi="宋体"/>
          <w:color w:val="000000"/>
          <w:sz w:val="24"/>
          <w:szCs w:val="24"/>
        </w:rPr>
      </w:pPr>
      <w:r>
        <w:rPr>
          <w:rFonts w:ascii="宋体" w:hAnsi="宋体"/>
          <w:color w:val="000000"/>
          <w:sz w:val="24"/>
          <w:szCs w:val="24"/>
        </w:rPr>
        <w:t xml:space="preserve">实施过程中提供免费、全面的培训，包括面向相关负责人、普通用户人员和系统管理员的培训；</w:t>
      </w:r>
      <w:r>
        <w:rPr>
          <w:rFonts w:ascii="宋体" w:hAnsi="宋体"/>
          <w:color w:val="000000"/>
          <w:sz w:val="24"/>
          <w:szCs w:val="24"/>
        </w:rPr>
      </w:r>
      <w:r/>
    </w:p>
    <w:p>
      <w:pPr>
        <w:pStyle w:val="934"/>
        <w:numPr>
          <w:ilvl w:val="0"/>
          <w:numId w:val="6"/>
        </w:numPr>
        <w:spacing w:line="264" w:lineRule="auto"/>
        <w:rPr>
          <w:rFonts w:ascii="宋体" w:hAnsi="宋体"/>
          <w:color w:val="000000"/>
          <w:sz w:val="24"/>
          <w:szCs w:val="24"/>
        </w:rPr>
      </w:pPr>
      <w:r>
        <w:rPr>
          <w:rFonts w:ascii="宋体" w:hAnsi="宋体"/>
          <w:color w:val="000000"/>
          <w:sz w:val="24"/>
          <w:szCs w:val="24"/>
        </w:rPr>
        <w:t xml:space="preserve">供应商必须为所有被培训人员提供培训用文字资料和讲义等相关用品，所有的资料必须是中文书写。</w:t>
      </w:r>
      <w:r>
        <w:rPr>
          <w:rFonts w:ascii="宋体" w:hAnsi="宋体"/>
          <w:color w:val="000000"/>
          <w:sz w:val="24"/>
          <w:szCs w:val="24"/>
        </w:rPr>
      </w:r>
      <w:r/>
    </w:p>
    <w:p>
      <w:pPr>
        <w:pStyle w:val="93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934"/>
        <w:numPr>
          <w:ilvl w:val="0"/>
          <w:numId w:val="7"/>
        </w:numPr>
        <w:spacing w:line="264" w:lineRule="auto"/>
        <w:rPr>
          <w:rFonts w:hint="eastAsia" w:ascii="宋体" w:hAnsi="宋体"/>
          <w:color w:val="000000"/>
          <w:sz w:val="24"/>
          <w:szCs w:val="24"/>
        </w:rPr>
      </w:pPr>
      <w:r>
        <w:rPr>
          <w:rFonts w:hint="eastAsia" w:ascii="宋体" w:hAnsi="宋体"/>
          <w:color w:val="000000"/>
          <w:sz w:val="24"/>
          <w:szCs w:val="24"/>
        </w:rPr>
        <w:t xml:space="preserve">软件完成部署和调试后，采购人将组织履约验收，以采购人或实际使用人（最终用户）的验收报告为最终验收结果。验收时发现未完成安装部署的、未进行调试的，采购人有权要求投标人立即进行补充。</w:t>
      </w:r>
      <w:r>
        <w:rPr>
          <w:rFonts w:hint="eastAsia" w:ascii="宋体" w:hAnsi="宋体"/>
          <w:color w:val="000000"/>
          <w:sz w:val="24"/>
          <w:szCs w:val="24"/>
        </w:rPr>
      </w:r>
      <w:r/>
    </w:p>
    <w:p>
      <w:pPr>
        <w:pStyle w:val="934"/>
        <w:numPr>
          <w:ilvl w:val="0"/>
          <w:numId w:val="7"/>
        </w:numPr>
        <w:spacing w:line="264" w:lineRule="auto"/>
        <w:rPr>
          <w:rFonts w:hint="eastAsia" w:ascii="宋体" w:hAnsi="宋体"/>
          <w:color w:val="000000"/>
          <w:sz w:val="24"/>
          <w:szCs w:val="24"/>
        </w:rPr>
      </w:pPr>
      <w:r>
        <w:rPr>
          <w:rFonts w:hint="eastAsia" w:ascii="宋体" w:hAnsi="宋体"/>
          <w:color w:val="000000"/>
          <w:sz w:val="24"/>
          <w:szCs w:val="24"/>
        </w:rPr>
        <w:t xml:space="preserve">软件安装、调试达到技术规范书规定的指标后，可进行验收测试。验收规范 (包括计划、项目、指标、方式和测试仪器等)应由投标人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color w:val="000000"/>
          <w:sz w:val="24"/>
          <w:szCs w:val="24"/>
        </w:rPr>
      </w:r>
      <w:r/>
    </w:p>
    <w:p>
      <w:pPr>
        <w:pStyle w:val="934"/>
        <w:numPr>
          <w:ilvl w:val="0"/>
          <w:numId w:val="7"/>
        </w:numPr>
        <w:spacing w:line="264" w:lineRule="auto"/>
        <w:rPr>
          <w:rFonts w:ascii="宋体" w:hAnsi="宋体"/>
          <w:color w:val="000000"/>
          <w:sz w:val="24"/>
          <w:szCs w:val="24"/>
        </w:rPr>
      </w:pPr>
      <w:r>
        <w:rPr>
          <w:rFonts w:hint="eastAsia" w:ascii="宋体" w:hAnsi="宋体"/>
          <w:color w:val="000000"/>
          <w:sz w:val="24"/>
          <w:szCs w:val="24"/>
        </w:rPr>
        <w:t xml:space="preserve">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ascii="宋体" w:hAnsi="宋体"/>
          <w:color w:val="000000"/>
          <w:sz w:val="24"/>
          <w:szCs w:val="24"/>
        </w:rPr>
      </w:r>
      <w:r/>
    </w:p>
    <w:p>
      <w:pPr>
        <w:pStyle w:val="934"/>
        <w:numPr>
          <w:ilvl w:val="0"/>
          <w:numId w:val="7"/>
        </w:numPr>
        <w:spacing w:line="264" w:lineRule="auto"/>
        <w:rPr>
          <w:rFonts w:ascii="宋体" w:hAnsi="宋体"/>
          <w:color w:val="000000"/>
          <w:sz w:val="24"/>
          <w:szCs w:val="24"/>
        </w:rPr>
      </w:pPr>
      <w:r>
        <w:rPr>
          <w:rFonts w:ascii="宋体" w:hAnsi="宋体"/>
          <w:color w:val="000000"/>
          <w:sz w:val="24"/>
          <w:szCs w:val="24"/>
        </w:rPr>
        <w:t xml:space="preserve">项目完成后，</w:t>
      </w:r>
      <w:r>
        <w:rPr>
          <w:rFonts w:ascii="宋体" w:hAnsi="宋体"/>
          <w:color w:val="000000"/>
          <w:sz w:val="24"/>
          <w:szCs w:val="24"/>
        </w:rPr>
        <w:t xml:space="preserve">供应商需配合采购人出具第三方测试机构出具的检测报告</w:t>
      </w:r>
      <w:r>
        <w:rPr>
          <w:rFonts w:hint="eastAsia" w:ascii="宋体" w:hAnsi="宋体"/>
          <w:color w:val="000000"/>
          <w:sz w:val="24"/>
          <w:szCs w:val="24"/>
        </w:rPr>
        <w:t xml:space="preserve">，</w:t>
      </w:r>
      <w:r>
        <w:rPr>
          <w:rFonts w:ascii="宋体" w:hAnsi="宋体"/>
          <w:color w:val="000000"/>
          <w:sz w:val="24"/>
          <w:szCs w:val="24"/>
        </w:rPr>
        <w:t xml:space="preserve">测试范围包括性能测试、功能测试及安全测试。</w:t>
      </w:r>
      <w:r>
        <w:rPr>
          <w:rFonts w:ascii="宋体" w:hAnsi="宋体"/>
          <w:color w:val="000000"/>
          <w:sz w:val="24"/>
          <w:szCs w:val="24"/>
        </w:rPr>
      </w:r>
      <w:r/>
    </w:p>
    <w:p>
      <w:pPr>
        <w:pStyle w:val="93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（4）维保</w:t>
      </w:r>
      <w:r>
        <w:rPr>
          <w:rFonts w:hint="eastAsia" w:ascii="宋体" w:hAnsi="宋体" w:cs="宋体"/>
          <w:bCs/>
          <w:color w:val="000000"/>
          <w:sz w:val="24"/>
          <w:szCs w:val="24"/>
          <w:lang w:val="en-US" w:eastAsia="zh-CN"/>
        </w:rPr>
        <w:t xml:space="preserve">期</w:t>
      </w:r>
      <w:r>
        <w:rPr>
          <w:rFonts w:hint="eastAsia" w:ascii="宋体" w:hAnsi="宋体" w:cs="宋体"/>
          <w:bCs/>
          <w:color w:val="000000"/>
          <w:sz w:val="24"/>
          <w:szCs w:val="24"/>
        </w:rPr>
        <w:t xml:space="preserve">要求</w:t>
      </w:r>
      <w:r>
        <w:rPr>
          <w:rFonts w:hint="eastAsia" w:ascii="宋体" w:hAnsi="宋体" w:cs="宋体"/>
          <w:bCs/>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本项目要求整体维保期</w:t>
      </w:r>
      <w:r>
        <w:rPr>
          <w:rFonts w:hint="eastAsia" w:ascii="宋体" w:hAnsi="宋体" w:cs="宋体"/>
          <w:color w:val="000000"/>
          <w:sz w:val="24"/>
          <w:szCs w:val="24"/>
          <w:lang w:val="en-US" w:eastAsia="zh-CN"/>
        </w:rPr>
        <w:t xml:space="preserve">630天</w:t>
      </w:r>
      <w:r>
        <w:rPr>
          <w:rFonts w:hint="eastAsia" w:ascii="宋体" w:hAnsi="宋体" w:cs="宋体"/>
          <w:color w:val="000000"/>
          <w:sz w:val="24"/>
          <w:szCs w:val="24"/>
        </w:rPr>
        <w:t xml:space="preserve">，从验收合格之日起计算。</w:t>
      </w:r>
      <w:r>
        <w:rPr>
          <w:rFonts w:hint="eastAsia" w:ascii="宋体" w:hAnsi="宋体"/>
          <w:color w:val="000000"/>
          <w:sz w:val="24"/>
          <w:szCs w:val="24"/>
        </w:rPr>
      </w:r>
      <w:r/>
    </w:p>
    <w:p>
      <w:pPr>
        <w:pStyle w:val="93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（5）人员要求</w:t>
      </w:r>
      <w:r>
        <w:rPr>
          <w:rFonts w:hint="eastAsia" w:ascii="宋体" w:hAnsi="宋体" w:cs="宋体"/>
          <w:bCs/>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①项目经理：1人，具有至少5年以上信息化项目管理工作经验，项目开发期间须驻场服务，不得兼任其他岗位。 </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②技术负责人1人，具有至少5年以上信息化项目技术管理工作经验，项目开发期间须驻场服务，不得兼任其他岗位。  </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③开发实施人员：不少于12人，具有信息化工作经验，项目开发期间须6人驻场服务。 </w:t>
      </w:r>
      <w:r>
        <w:rPr>
          <w:rFonts w:hint="eastAsia" w:ascii="宋体" w:hAnsi="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④运维服务人员：不少于12人，须驻场服务，具有信息化工作经验。</w:t>
      </w:r>
      <w:r>
        <w:rPr>
          <w:rFonts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⑤项目组所有人员必须为投标人正式工作人员，不得兼任其他项目工作，未经采购人同意，人员不得更换。 </w:t>
      </w:r>
      <w:r>
        <w:rPr>
          <w:rFonts w:hint="eastAsia" w:ascii="宋体" w:hAnsi="宋体"/>
          <w:color w:val="000000"/>
          <w:sz w:val="24"/>
          <w:szCs w:val="24"/>
        </w:rPr>
      </w:r>
      <w:r/>
    </w:p>
    <w:p>
      <w:pPr>
        <w:pStyle w:val="93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①采购人拥有本系统包括永久使用权和修改权在内的一切权利；拥有本系统产生的所有数据的所有权。投标人应当在验收后10日内，将本项目产生的全部软件源代码交付采购人。</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③投标人须按照与采购人签订的《信息安全保密承诺书》的约定严格履行各项保密义务。</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④采购人与投标人都拥有本项目定制开发部分的知识产权。交付项应包括但不限于如下内容：</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93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rPr>
          <w:rFonts w:hint="eastAsia" w:ascii="宋体" w:hAnsi="宋体" w:cs="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投标人在项目建设的各个阶段及时提交建设成果，主要包括但不限于以下内容：</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⑤项目验收阶段：测试报告、项目验收方案、系统运行报告、项目验收报告、源代码成果。其中</w:t>
      </w:r>
      <w:r>
        <w:rPr>
          <w:rFonts w:ascii="宋体" w:hAnsi="宋体"/>
          <w:color w:val="000000"/>
          <w:sz w:val="24"/>
          <w:szCs w:val="24"/>
        </w:rPr>
        <w:t xml:space="preserve">中标供应商就本项目开发的软件（中标供应商原有产品除外），向采购人提供全部源代码、安装程序和文档。采购人有权委托第三方使用本系统资料(含源代码、安装程序、项目文档等)进行二次开发。</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（8）信创适配要求</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（9）网络安全等级保护测评要求</w:t>
      </w:r>
      <w:r>
        <w:rPr>
          <w:rFonts w:hint="eastAsia" w:ascii="宋体" w:hAnsi="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投标人配合采购人，做好系统通过等保测评相关准备工作。</w:t>
      </w:r>
      <w:r>
        <w:rPr>
          <w:rFonts w:ascii="宋体" w:hAnsi="宋体"/>
          <w:color w:val="000000"/>
          <w:sz w:val="24"/>
          <w:szCs w:val="24"/>
        </w:rPr>
      </w:r>
      <w:r/>
    </w:p>
    <w:p>
      <w:pPr>
        <w:pStyle w:val="934"/>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（10）系统对接要求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投标人在提供定制软件开发服务时，需配合</w:t>
      </w:r>
      <w:r>
        <w:rPr>
          <w:rFonts w:hint="eastAsia" w:ascii="宋体" w:hAnsi="宋体"/>
          <w:color w:val="000000"/>
          <w:sz w:val="24"/>
          <w:szCs w:val="24"/>
        </w:rPr>
        <w:t xml:space="preserve">采购</w:t>
      </w:r>
      <w:r>
        <w:rPr>
          <w:rFonts w:hint="eastAsia" w:ascii="宋体" w:hAnsi="宋体"/>
          <w:color w:val="000000"/>
          <w:sz w:val="24"/>
          <w:szCs w:val="24"/>
        </w:rPr>
        <w:t xml:space="preserve">人</w:t>
      </w:r>
      <w:r>
        <w:rPr>
          <w:rFonts w:hint="eastAsia" w:ascii="宋体" w:hAnsi="宋体"/>
          <w:color w:val="000000"/>
          <w:sz w:val="24"/>
          <w:szCs w:val="24"/>
        </w:rPr>
        <w:t xml:space="preserve">做好系统建设涉及的相关接口对接。</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（11）网络安全和数据安全要求，外包网络安全管理要求</w:t>
      </w:r>
      <w:r>
        <w:rPr>
          <w:rFonts w:hint="eastAsia" w:ascii="宋体" w:hAnsi="宋体"/>
          <w:color w:val="000000"/>
          <w:sz w:val="24"/>
          <w:szCs w:val="24"/>
        </w:rPr>
      </w:r>
      <w:r/>
    </w:p>
    <w:p>
      <w:pPr>
        <w:pStyle w:val="934"/>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符合网络安全和密码应用要求，符合国家安全可靠应用政策规定。</w:t>
      </w:r>
      <w:r>
        <w:rPr>
          <w:rFonts w:ascii="宋体" w:hAnsi="宋体" w:cs="宋体"/>
          <w:bCs/>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（12）UI设计要求</w:t>
      </w:r>
      <w:r>
        <w:rPr>
          <w:rFonts w:hint="eastAsia" w:ascii="宋体" w:hAnsi="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基于现有“互联网+”一体化政务服务系统的界面规范要求开展新增模块界面的设计和开发，满足交互要求。</w:t>
      </w:r>
      <w:r>
        <w:rPr>
          <w:rFonts w:ascii="宋体" w:hAnsi="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基于现有</w:t>
      </w:r>
      <w:r>
        <w:rPr>
          <w:rFonts w:ascii="宋体" w:hAnsi="宋体"/>
          <w:color w:val="000000"/>
          <w:sz w:val="24"/>
          <w:szCs w:val="24"/>
        </w:rPr>
        <w:t xml:space="preserve">南京市规划资源移动应用</w:t>
      </w:r>
      <w:r>
        <w:rPr>
          <w:rFonts w:hint="eastAsia" w:ascii="宋体" w:hAnsi="宋体"/>
          <w:color w:val="000000"/>
          <w:sz w:val="24"/>
          <w:szCs w:val="24"/>
        </w:rPr>
        <w:t xml:space="preserve">的界面规范要求开展新增模块界面的设计和开发，满足交互要求。</w:t>
      </w:r>
      <w:r>
        <w:rPr>
          <w:rFonts w:ascii="宋体" w:hAnsi="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基于现有不动产登记业务管理及“异地通办”子系统的界面规范要求开展新增模块界面的设计和开发，满足交互要求。</w:t>
      </w:r>
      <w:r>
        <w:rPr>
          <w:rFonts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基于现有南京市智慧耕地保护综合管理子系统的界面规范要求开展新增模块界面的设计和开发，满足交互要求。</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（13）集成要求</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互联网+”一体化政务服务系统集成要求：依托一体化门户子系统实现内网办公门户集成，实现各类数据都接入到现有各类专栏，或者实现导航链接。除一体化门户（局内网站）子系统外，其余系统（含新建子系统或者模块）都通过二级页面框架进行集成。</w:t>
      </w:r>
      <w:r>
        <w:rPr>
          <w:rFonts w:hint="eastAsia" w:ascii="宋体" w:hAnsi="宋体"/>
          <w:color w:val="000000"/>
          <w:sz w:val="24"/>
          <w:szCs w:val="24"/>
        </w:rPr>
      </w:r>
      <w:r/>
    </w:p>
    <w:p>
      <w:pPr>
        <w:pStyle w:val="934"/>
        <w:ind w:firstLine="480"/>
        <w:spacing w:line="264" w:lineRule="auto"/>
        <w:rPr>
          <w:rFonts w:ascii="宋体" w:hAnsi="宋体"/>
          <w:color w:val="000000"/>
          <w:sz w:val="24"/>
          <w:szCs w:val="24"/>
        </w:rPr>
      </w:pPr>
      <w:r>
        <w:rPr>
          <w:rFonts w:ascii="宋体" w:hAnsi="宋体"/>
          <w:color w:val="000000"/>
          <w:sz w:val="24"/>
          <w:szCs w:val="24"/>
        </w:rPr>
        <w:t xml:space="preserve">南京市规划资源移动应用</w:t>
      </w:r>
      <w:r>
        <w:rPr>
          <w:rFonts w:hint="eastAsia" w:ascii="宋体" w:hAnsi="宋体"/>
          <w:color w:val="000000"/>
          <w:sz w:val="24"/>
          <w:szCs w:val="24"/>
        </w:rPr>
        <w:t xml:space="preserve">集成要求：凡是移动应用（含新建模块）都通过现有移动门户整合集成，实现统一界面展现，统一操作要求，跨数据集成，异构系统消息提醒等，最终避免系统差异化引起的不舒适感。</w:t>
      </w:r>
      <w:r>
        <w:rPr>
          <w:rFonts w:ascii="宋体" w:hAnsi="宋体"/>
          <w:color w:val="000000"/>
          <w:sz w:val="24"/>
          <w:szCs w:val="24"/>
        </w:rPr>
      </w:r>
      <w:r/>
    </w:p>
    <w:p>
      <w:pPr>
        <w:pStyle w:val="934"/>
        <w:ind w:firstLine="480"/>
        <w:spacing w:line="264" w:lineRule="auto"/>
        <w:rPr>
          <w:rFonts w:ascii="宋体" w:hAnsi="宋体"/>
          <w:color w:val="000000"/>
          <w:sz w:val="24"/>
          <w:szCs w:val="24"/>
        </w:rPr>
      </w:pPr>
      <w:r>
        <w:rPr>
          <w:rFonts w:hint="eastAsia" w:ascii="宋体" w:hAnsi="宋体"/>
          <w:color w:val="000000"/>
          <w:sz w:val="24"/>
          <w:szCs w:val="24"/>
        </w:rPr>
        <w:t xml:space="preserve">不动产登记业务管理及“异地通办”子系统集成要求：</w:t>
      </w:r>
      <w:r>
        <w:rPr>
          <w:rFonts w:ascii="宋体" w:hAnsi="宋体"/>
          <w:color w:val="000000"/>
          <w:sz w:val="24"/>
          <w:szCs w:val="24"/>
        </w:rPr>
        <w:t xml:space="preserve">不动产登记业务系统功能应接入现有不动产业务系统相应栏目，“异地通办”子系统PC端功能依托现有“线上苏小登·南京E办证”，通过二级页面框架进行集成；移动端功能依托苏服办APP、南京不动产微信公众号E办证现有功能应用整合集成，实现统一界面展现、统一操作要求、统一用户认证。</w:t>
      </w:r>
      <w:r>
        <w:rPr>
          <w:rFonts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南京市智慧耕地保护综合管理子系统集成要求：</w:t>
      </w:r>
      <w:r>
        <w:rPr>
          <w:rFonts w:ascii="宋体" w:hAnsi="宋体"/>
          <w:color w:val="000000"/>
          <w:sz w:val="24"/>
          <w:szCs w:val="24"/>
        </w:rPr>
        <w:t xml:space="preserve">依托智慧耕保数字化管理系统实现内网各功能模块集成，确保界面风格一致，实现各类功能模块嵌入到现有框架或者实现导航链接。移动应用应集成到我的南京政务版，实现统一界面展现，统一操作要求等。</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（14）性能要求</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需支撑2500人共同使用，要保证系统性能指标要维持在现有水平不能下降。</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系统平均响应时间≤2秒，简单查询检索平均响应时间≤2秒，综合查询检索统计平均响应时间≤4秒，各类响应时间的最大值不能超过50%。</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需保证系统 7×24 小时长期稳定不间断的正常运转，平均故障修复时间小于2小时，流程流转、表单数据存储展现等核心功能零故障。</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（15）接口要求</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完成本次建设要求的接口开发，同时接口要符合系统安全设计、访问控制、日志记录等技术要求。</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（16）监理要求</w:t>
      </w:r>
      <w:r>
        <w:rPr>
          <w:rFonts w:hint="eastAsia" w:ascii="宋体" w:hAnsi="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供应商应接受采购人招标确定的监理单位的全程监理。</w:t>
      </w:r>
      <w:r>
        <w:rPr>
          <w:rFonts w:hint="eastAsia" w:ascii="宋体" w:hAnsi="宋体"/>
          <w:color w:val="000000"/>
          <w:sz w:val="24"/>
          <w:szCs w:val="24"/>
        </w:rPr>
      </w:r>
      <w:r/>
    </w:p>
    <w:p>
      <w:pPr>
        <w:pStyle w:val="93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rPr>
          <w:rFonts w:ascii="宋体" w:hAnsi="宋体" w:cs="宋体"/>
          <w:color w:val="000000"/>
          <w:sz w:val="24"/>
          <w:szCs w:val="24"/>
        </w:rPr>
      </w:r>
      <w:r/>
    </w:p>
    <w:p>
      <w:pPr>
        <w:pStyle w:val="934"/>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3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934"/>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w:t>
      </w:r>
      <w:r>
        <w:rPr>
          <w:rFonts w:hint="eastAsia" w:ascii="宋体" w:hAnsi="宋体" w:cs="宋体"/>
          <w:color w:val="000000"/>
          <w:sz w:val="24"/>
          <w:szCs w:val="24"/>
        </w:rPr>
        <w:t xml:space="preserve">自合同签订之日起</w:t>
      </w:r>
      <w:r>
        <w:rPr>
          <w:rFonts w:hint="eastAsia" w:ascii="宋体" w:hAnsi="宋体" w:cs="宋体"/>
          <w:color w:val="000000"/>
          <w:sz w:val="24"/>
          <w:szCs w:val="24"/>
          <w:lang w:val="en-US" w:eastAsia="zh-CN"/>
        </w:rPr>
        <w:t xml:space="preserve">450</w:t>
      </w:r>
      <w:r>
        <w:rPr>
          <w:rFonts w:hint="eastAsia" w:ascii="宋体" w:hAnsi="宋体" w:cs="宋体"/>
          <w:color w:val="000000"/>
          <w:sz w:val="24"/>
          <w:szCs w:val="24"/>
        </w:rPr>
        <w:t xml:space="preserve">天内</w:t>
      </w:r>
      <w:r>
        <w:rPr>
          <w:rFonts w:ascii="宋体" w:hAnsi="宋体" w:cs="宋体"/>
          <w:color w:val="000000"/>
          <w:sz w:val="24"/>
          <w:szCs w:val="24"/>
        </w:rPr>
        <w:t xml:space="preserve">。</w:t>
      </w:r>
      <w:r>
        <w:rPr>
          <w:rFonts w:ascii="宋体" w:hAnsi="宋体" w:cs="宋体"/>
          <w:color w:val="000000"/>
          <w:sz w:val="24"/>
          <w:szCs w:val="24"/>
        </w:rPr>
      </w:r>
      <w:r/>
    </w:p>
    <w:p>
      <w:pPr>
        <w:pStyle w:val="934"/>
        <w:ind w:firstLine="480"/>
        <w:spacing w:line="264" w:lineRule="auto"/>
        <w:rPr>
          <w:rFonts w:hint="eastAsia" w:ascii="宋体" w:hAnsi="宋体" w:cs="宋体"/>
          <w:color w:val="000000"/>
          <w:sz w:val="24"/>
          <w:szCs w:val="24"/>
          <w:highlight w:val="yellow"/>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highlight w:val="yellow"/>
        </w:rPr>
      </w:r>
      <w:r/>
    </w:p>
    <w:p>
      <w:pPr>
        <w:pStyle w:val="93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934"/>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3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6.其他要求</w:t>
      </w:r>
      <w:r>
        <w:rPr>
          <w:rFonts w:hint="eastAsia" w:ascii="宋体" w:hAnsi="宋体" w:cs="宋体"/>
          <w:color w:val="000000"/>
          <w:sz w:val="24"/>
          <w:szCs w:val="24"/>
        </w:rPr>
      </w:r>
      <w:r/>
    </w:p>
    <w:p>
      <w:pPr>
        <w:pStyle w:val="93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招标文件中要求提供证明材料的，投标人签订合同时应按招标文件要求和投标文件响应内容向采购人提供相应证明材料原件核验，否则采购人将取消其中标资格。</w:t>
      </w:r>
      <w:r>
        <w:rPr>
          <w:rFonts w:hint="eastAsia" w:ascii="宋体" w:hAnsi="宋体" w:cs="宋体"/>
          <w:color w:val="000000"/>
          <w:sz w:val="24"/>
          <w:szCs w:val="24"/>
        </w:rPr>
      </w:r>
      <w:r/>
    </w:p>
    <w:p>
      <w:pPr>
        <w:pStyle w:val="934"/>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color w:val="000000"/>
          <w:sz w:val="24"/>
          <w:szCs w:val="24"/>
        </w:rPr>
        <w:t xml:space="preserve">投标人在签订合同应按采购人要求提供上述相关证明材料原件供采购人核验，</w:t>
      </w:r>
      <w:r>
        <w:rPr>
          <w:rFonts w:hint="eastAsia" w:ascii="宋体" w:hAnsi="宋体" w:cs="宋体"/>
          <w:color w:val="000000"/>
          <w:sz w:val="24"/>
          <w:szCs w:val="24"/>
        </w:rPr>
        <w:t xml:space="preserve">否则采购人将取消其中标资格。</w:t>
      </w:r>
      <w:r>
        <w:rPr>
          <w:rFonts w:hint="eastAsia" w:ascii="宋体" w:hAnsi="宋体"/>
          <w:color w:val="000000"/>
          <w:sz w:val="24"/>
          <w:szCs w:val="24"/>
        </w:rPr>
      </w:r>
      <w:r/>
    </w:p>
    <w:p>
      <w:pPr>
        <w:pStyle w:val="934"/>
        <w:ind w:firstLine="482"/>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1013"/>
        <w:rPr>
          <w:rFonts w:hint="eastAsia" w:ascii="宋体" w:hAnsi="宋体" w:eastAsia="宋体"/>
          <w:color w:val="000000"/>
          <w:sz w:val="24"/>
          <w:szCs w:val="24"/>
        </w:rPr>
      </w:pPr>
      <w:r>
        <w:rPr>
          <w:rFonts w:hint="eastAsia" w:ascii="宋体" w:hAnsi="宋体" w:eastAsia="宋体"/>
          <w:color w:val="000000"/>
          <w:sz w:val="24"/>
          <w:szCs w:val="24"/>
        </w:rPr>
      </w:r>
      <w:r/>
    </w:p>
    <w:p>
      <w:pPr>
        <w:pStyle w:val="934"/>
        <w:rPr>
          <w:rFonts w:hint="eastAsia"/>
          <w:color w:val="000000"/>
        </w:rPr>
      </w:pPr>
      <w:r>
        <w:rPr>
          <w:rFonts w:hint="eastAsia"/>
          <w:color w:val="000000"/>
        </w:rPr>
      </w:r>
      <w:r/>
    </w:p>
    <w:p>
      <w:pPr>
        <w:pStyle w:val="1013"/>
        <w:rPr>
          <w:rFonts w:hint="eastAsia" w:ascii="宋体" w:hAnsi="宋体" w:eastAsia="宋体"/>
          <w:color w:val="000000"/>
          <w:sz w:val="24"/>
          <w:szCs w:val="24"/>
        </w:rPr>
      </w:pPr>
      <w:r>
        <w:rPr>
          <w:rFonts w:hint="eastAsia" w:ascii="宋体" w:hAnsi="宋体" w:eastAsia="宋体"/>
          <w:color w:val="000000"/>
          <w:sz w:val="24"/>
          <w:szCs w:val="24"/>
        </w:rPr>
      </w:r>
      <w:r/>
    </w:p>
    <w:p>
      <w:pPr>
        <w:pStyle w:val="934"/>
        <w:rPr>
          <w:rFonts w:hint="eastAsia" w:ascii="宋体" w:hAnsi="宋体" w:cs="宋体"/>
          <w:color w:val="000000"/>
          <w:sz w:val="24"/>
          <w:szCs w:val="24"/>
        </w:rPr>
      </w:pPr>
      <w:r>
        <w:rPr>
          <w:rFonts w:hint="eastAsia" w:ascii="宋体" w:hAnsi="宋体" w:cs="宋体"/>
          <w:color w:val="000000"/>
          <w:sz w:val="24"/>
          <w:szCs w:val="24"/>
        </w:rPr>
      </w:r>
      <w:r/>
    </w:p>
    <w:p>
      <w:pPr>
        <w:pStyle w:val="1013"/>
        <w:rPr>
          <w:rFonts w:hint="eastAsia" w:ascii="宋体" w:hAnsi="宋体" w:eastAsia="宋体"/>
          <w:color w:val="000000"/>
          <w:sz w:val="24"/>
          <w:szCs w:val="24"/>
        </w:rPr>
      </w:pPr>
      <w:r>
        <w:rPr>
          <w:rFonts w:hint="eastAsia" w:ascii="宋体" w:hAnsi="宋体" w:eastAsia="宋体"/>
          <w:color w:val="000000"/>
          <w:sz w:val="24"/>
          <w:szCs w:val="24"/>
        </w:rPr>
      </w:r>
      <w:r/>
    </w:p>
    <w:p>
      <w:pPr>
        <w:pStyle w:val="934"/>
        <w:ind w:right="840"/>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bookmarkStart w:id="59"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34"/>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34"/>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934"/>
        <w:ind w:firstLine="480"/>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”得分由高到低顺序排列。在投标文件满足招标文件全部实质性要求的投标人中，按照评审得分由高到低选取</w:t>
      </w:r>
      <w:r>
        <w:rPr>
          <w:rFonts w:hint="eastAsia" w:ascii="宋体" w:hAnsi="宋体"/>
          <w:color w:val="000000"/>
          <w:sz w:val="24"/>
          <w:szCs w:val="24"/>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934"/>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934"/>
        <w:ind w:firstLine="480"/>
        <w:rPr>
          <w:rFonts w:hint="eastAsia" w:ascii="宋体" w:hAnsi="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rPr>
      </w:r>
      <w:r/>
    </w:p>
    <w:p>
      <w:pPr>
        <w:pStyle w:val="934"/>
        <w:ind w:firstLine="480"/>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的价格扣除，用扣除后的价格参与评审。残疾人福利性单位、监狱企业属于小型、微型企业的，不重复享受价格扣除。</w:t>
      </w:r>
      <w:r>
        <w:rPr>
          <w:rFonts w:hint="eastAsia" w:ascii="宋体" w:hAnsi="宋体" w:cs="宋体"/>
          <w:color w:val="000000"/>
          <w:sz w:val="24"/>
          <w:szCs w:val="24"/>
        </w:rPr>
      </w:r>
      <w:r/>
    </w:p>
    <w:p>
      <w:pPr>
        <w:pStyle w:val="934"/>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934"/>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top"/>
            <w:textDirection w:val="lrTb"/>
            <w:noWrap w:val="false"/>
          </w:tcPr>
          <w:p>
            <w:pPr>
              <w:pStyle w:val="93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330" w:type="dxa"/>
            <w:vAlign w:val="top"/>
            <w:textDirection w:val="lrTb"/>
            <w:noWrap w:val="false"/>
          </w:tcPr>
          <w:p>
            <w:pPr>
              <w:pStyle w:val="93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647" w:type="dxa"/>
            <w:vAlign w:val="top"/>
            <w:textDirection w:val="lrTb"/>
            <w:noWrap w:val="false"/>
          </w:tcPr>
          <w:p>
            <w:pPr>
              <w:pStyle w:val="934"/>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900" w:type="dxa"/>
            <w:vAlign w:val="top"/>
            <w:textDirection w:val="lrTb"/>
            <w:noWrap w:val="false"/>
          </w:tcPr>
          <w:p>
            <w:pPr>
              <w:pStyle w:val="934"/>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rHeight w:val="460"/>
        </w:trPr>
        <w:tc>
          <w:tcPr>
            <w:gridSpan w:val="5"/>
            <w:tcW w:w="9575" w:type="dxa"/>
            <w:vAlign w:val="top"/>
            <w:textDirection w:val="lrTb"/>
            <w:noWrap w:val="false"/>
          </w:tcPr>
          <w:p>
            <w:pPr>
              <w:pStyle w:val="934"/>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519" w:type="dxa"/>
            <w:vAlign w:val="center"/>
            <w:textDirection w:val="lrTb"/>
            <w:noWrap w:val="false"/>
          </w:tcPr>
          <w:p>
            <w:pPr>
              <w:pStyle w:val="934"/>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34"/>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934"/>
              <w:jc w:val="left"/>
              <w:spacing w:line="264" w:lineRule="auto"/>
              <w:rPr>
                <w:rFonts w:hint="eastAsia"/>
                <w:color w:val="000000"/>
              </w:rPr>
            </w:pPr>
            <w:r>
              <w:rPr>
                <w:color w:val="000000"/>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价格分值（小数点保留两位）</w:t>
            </w:r>
            <w:r>
              <w:rPr>
                <w:rFonts w:hint="eastAsia"/>
                <w:color w:val="000000"/>
              </w:rPr>
            </w:r>
            <w:r/>
          </w:p>
          <w:p>
            <w:pPr>
              <w:pStyle w:val="1012"/>
              <w:ind w:left="0"/>
              <w:rPr>
                <w:color w:val="000000"/>
                <w:sz w:val="21"/>
                <w:szCs w:val="21"/>
              </w:rPr>
            </w:pPr>
            <w:r>
              <w:rPr>
                <w:rFonts w:hint="eastAsia" w:ascii="宋体" w:hAnsi="宋体" w:cs="宋体"/>
                <w:color w:val="000000"/>
                <w:sz w:val="21"/>
                <w:szCs w:val="21"/>
              </w:rPr>
              <w:t xml:space="preserve">因落实政府采购政策进行价格调整的，以调整后的价格计算评标基准价和投标报价。</w:t>
            </w:r>
            <w:r>
              <w:rPr>
                <w:color w:val="000000"/>
                <w:sz w:val="21"/>
                <w:szCs w:val="21"/>
              </w:rPr>
            </w:r>
            <w:r/>
          </w:p>
        </w:tc>
        <w:tc>
          <w:tcPr>
            <w:tcW w:w="647" w:type="dxa"/>
            <w:vAlign w:val="center"/>
            <w:textDirection w:val="lrTb"/>
            <w:noWrap w:val="false"/>
          </w:tcPr>
          <w:p>
            <w:pPr>
              <w:pStyle w:val="934"/>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934"/>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315"/>
        </w:trPr>
        <w:tc>
          <w:tcPr>
            <w:tcW w:w="519" w:type="dxa"/>
            <w:vAlign w:val="center"/>
            <w:vMerge w:val="restart"/>
            <w:textDirection w:val="lrTb"/>
            <w:noWrap w:val="false"/>
          </w:tcPr>
          <w:p>
            <w:pPr>
              <w:pStyle w:val="934"/>
              <w:jc w:val="center"/>
              <w:spacing w:before="68" w:line="264" w:lineRule="auto"/>
              <w:rPr>
                <w:rFonts w:ascii="宋体" w:hAnsi="宋体" w:cs="宋体"/>
                <w:color w:val="000000"/>
                <w:spacing w:val="-2"/>
              </w:rPr>
            </w:pPr>
            <w:r>
              <w:rPr>
                <w:rFonts w:hint="eastAsia"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934"/>
              <w:spacing w:line="264" w:lineRule="auto"/>
              <w:rPr>
                <w:rFonts w:hint="eastAsia" w:eastAsia="宋体"/>
                <w:color w:val="000000"/>
                <w:lang w:val="en-US" w:eastAsia="zh-CN"/>
              </w:rPr>
            </w:pPr>
            <w:r>
              <w:rPr>
                <w:rFonts w:hint="eastAsia"/>
                <w:color w:val="000000"/>
              </w:rPr>
              <w:t xml:space="preserve">需求理解</w:t>
            </w:r>
            <w:r>
              <w:rPr>
                <w:rFonts w:hint="eastAsia"/>
                <w:color w:val="000000"/>
                <w:lang w:val="en-US" w:eastAsia="zh-CN"/>
              </w:rPr>
              <w:t xml:space="preserve">1</w:t>
            </w:r>
            <w:r>
              <w:rPr>
                <w:rFonts w:hint="eastAsia" w:eastAsia="宋体"/>
                <w:color w:val="000000"/>
                <w:lang w:val="en-US" w:eastAsia="zh-CN"/>
              </w:rPr>
            </w:r>
            <w:r/>
          </w:p>
        </w:tc>
        <w:tc>
          <w:tcPr>
            <w:tcW w:w="6330" w:type="dxa"/>
            <w:vAlign w:val="center"/>
            <w:textDirection w:val="lrTb"/>
            <w:noWrap w:val="false"/>
          </w:tcPr>
          <w:p>
            <w:pPr>
              <w:pStyle w:val="966"/>
              <w:spacing w:line="264" w:lineRule="auto"/>
              <w:rPr>
                <w:rFonts w:hint="eastAsia" w:ascii="宋体" w:hAnsi="宋体" w:cs="宋体"/>
                <w:color w:val="000000"/>
              </w:rPr>
            </w:pPr>
            <w:r>
              <w:rPr>
                <w:rFonts w:hint="eastAsia" w:ascii="宋体" w:hAnsi="宋体" w:cs="宋体"/>
                <w:color w:val="000000"/>
              </w:rPr>
              <w:t xml:space="preserve">2.1.1编制“互联网+”一体化政务服务系统2025建设内容需求理解，内容包括：1.建设背景；2.建设目标；3.需求分析；4.关键技术。</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以上每项内容逐项评分：</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方案内容贴合实际、详尽可行，且专门针对本项目，契合采购需求视为符合；方案内容属于通用类，非专门针对本项目，较为简单，部分契合采购需求视为部分符合；方案内容非专门针对本项目，脱离采购需求视为不符合。</w:t>
            </w:r>
            <w:r>
              <w:rPr>
                <w:rFonts w:hint="eastAsia" w:ascii="宋体" w:hAnsi="宋体" w:cs="宋体"/>
                <w:color w:val="000000"/>
              </w:rPr>
            </w:r>
            <w:r/>
          </w:p>
          <w:p>
            <w:pPr>
              <w:pStyle w:val="966"/>
              <w:spacing w:line="264" w:lineRule="auto"/>
              <w:rPr>
                <w:rFonts w:ascii="宋体" w:hAnsi="宋体" w:cs="宋体"/>
                <w:color w:val="000000"/>
              </w:rPr>
            </w:pPr>
            <w:r>
              <w:rPr>
                <w:rFonts w:hint="eastAsia" w:ascii="宋体" w:hAnsi="宋体" w:cs="宋体"/>
                <w:color w:val="000000"/>
              </w:rPr>
              <w:t xml:space="preserve">上述每项内容符合得1分；部分符合得0.5分；不符合或不提供不得分。</w:t>
            </w:r>
            <w:r>
              <w:rPr>
                <w:rFonts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1386"/>
        </w:trPr>
        <w:tc>
          <w:tcPr>
            <w:tcW w:w="519" w:type="dxa"/>
            <w:vAlign w:val="center"/>
            <w:vMerge w:val="continue"/>
            <w:textDirection w:val="lrTb"/>
            <w:noWrap w:val="false"/>
          </w:tcPr>
          <w:p>
            <w:pPr>
              <w:pStyle w:val="934"/>
              <w:jc w:val="center"/>
              <w:spacing w:before="68" w:line="264" w:lineRule="auto"/>
              <w:rPr>
                <w:rFonts w:hint="eastAsia" w:ascii="宋体" w:hAnsi="宋体" w:cs="宋体"/>
                <w:color w:val="000000"/>
                <w:spacing w:val="-2"/>
              </w:rPr>
            </w:pPr>
            <w:r>
              <w:rPr>
                <w:rFonts w:hint="eastAsia"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需求理解</w:t>
            </w:r>
            <w:r>
              <w:rPr>
                <w:rFonts w:hint="eastAsia"/>
                <w:color w:val="000000"/>
                <w:lang w:val="en-US" w:eastAsia="zh-CN"/>
              </w:rPr>
              <w:t xml:space="preserve">2</w:t>
            </w:r>
            <w:r>
              <w:rPr>
                <w:rFonts w:hint="eastAsia"/>
                <w:color w:val="000000"/>
              </w:rPr>
            </w:r>
            <w:r/>
          </w:p>
        </w:tc>
        <w:tc>
          <w:tcPr>
            <w:tcW w:w="6330" w:type="dxa"/>
            <w:vAlign w:val="center"/>
            <w:textDirection w:val="lrTb"/>
            <w:noWrap w:val="false"/>
          </w:tcPr>
          <w:p>
            <w:pPr>
              <w:pStyle w:val="966"/>
              <w:spacing w:line="264" w:lineRule="auto"/>
              <w:rPr>
                <w:rFonts w:hint="eastAsia" w:ascii="宋体" w:hAnsi="宋体" w:cs="宋体"/>
                <w:color w:val="000000"/>
              </w:rPr>
            </w:pPr>
            <w:r>
              <w:rPr>
                <w:rFonts w:hint="eastAsia" w:ascii="宋体" w:hAnsi="宋体" w:cs="宋体"/>
                <w:color w:val="000000"/>
              </w:rPr>
              <w:t xml:space="preserve">2.1.2编制南京市规划资源移动应用2025建设内容需求理解，内容包括：1.建设背景；2.建设目标；3.需求分析；4.关键技术。</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以上每项内容逐项评分：</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方案内容贴合实际、详尽可行，且专门针对本项目，契合采购需求视为符合；方案内容属于通用类，非专门针对本项目，较为简单，部分契合采购需求视为部分符合；方案内容非专门针对本项目，脱离采购需求视为不符合。</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上述每项内容符合得1分；部分符合得0.5分；不符合或不提供不得分。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315"/>
        </w:trPr>
        <w:tc>
          <w:tcPr>
            <w:tcW w:w="519" w:type="dxa"/>
            <w:vAlign w:val="center"/>
            <w:vMerge w:val="continue"/>
            <w:textDirection w:val="lrTb"/>
            <w:noWrap w:val="false"/>
          </w:tcPr>
          <w:p>
            <w:pPr>
              <w:pStyle w:val="934"/>
              <w:jc w:val="center"/>
              <w:spacing w:before="68" w:line="264" w:lineRule="auto"/>
              <w:rPr>
                <w:rFonts w:hint="eastAsia" w:ascii="宋体" w:hAnsi="宋体" w:cs="宋体"/>
                <w:color w:val="000000"/>
                <w:spacing w:val="-2"/>
              </w:rPr>
            </w:pPr>
            <w:r>
              <w:rPr>
                <w:rFonts w:hint="eastAsia"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需求理解</w:t>
            </w:r>
            <w:r>
              <w:rPr>
                <w:rFonts w:hint="eastAsia"/>
                <w:color w:val="000000"/>
                <w:lang w:val="en-US" w:eastAsia="zh-CN"/>
              </w:rPr>
              <w:t xml:space="preserve">3</w:t>
            </w:r>
            <w:r>
              <w:rPr>
                <w:rFonts w:hint="eastAsia"/>
                <w:color w:val="000000"/>
              </w:rPr>
            </w:r>
            <w:r/>
          </w:p>
        </w:tc>
        <w:tc>
          <w:tcPr>
            <w:tcW w:w="6330" w:type="dxa"/>
            <w:vAlign w:val="center"/>
            <w:textDirection w:val="lrTb"/>
            <w:noWrap w:val="false"/>
          </w:tcPr>
          <w:p>
            <w:pPr>
              <w:pStyle w:val="966"/>
              <w:spacing w:line="264" w:lineRule="auto"/>
              <w:rPr>
                <w:rFonts w:hint="eastAsia" w:ascii="宋体" w:hAnsi="宋体" w:cs="宋体"/>
                <w:color w:val="000000"/>
              </w:rPr>
            </w:pPr>
            <w:r>
              <w:rPr>
                <w:rFonts w:hint="eastAsia" w:ascii="宋体" w:hAnsi="宋体" w:cs="宋体"/>
                <w:color w:val="000000"/>
              </w:rPr>
              <w:t xml:space="preserve">2.1.3编制不动产登记业务管理及“异地通办”子系统2025建设内容需求理解，内容包括：1.建设背景；2.建设目标；3.需求分析；4.关键技术。</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以上每项内容逐项评分：</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方案内容贴合实际、详尽可行，且专门针对本项目，契合采购需求视为符合；方案内容属于通用类，非专门针对本项目，较为简单，部分契合采购需求视为部分符合；方案内容非专门针对本项目，脱离采购需求视为不符合。</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上述每项内容符合得1分；部分符合得0.5分；不符合或不提供不得分。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315"/>
        </w:trPr>
        <w:tc>
          <w:tcPr>
            <w:tcW w:w="519" w:type="dxa"/>
            <w:vAlign w:val="center"/>
            <w:vMerge w:val="continue"/>
            <w:textDirection w:val="lrTb"/>
            <w:noWrap w:val="false"/>
          </w:tcPr>
          <w:p>
            <w:pPr>
              <w:pStyle w:val="934"/>
              <w:jc w:val="center"/>
              <w:spacing w:before="68" w:line="264" w:lineRule="auto"/>
              <w:rPr>
                <w:rFonts w:hint="eastAsia" w:ascii="宋体" w:hAnsi="宋体" w:cs="宋体"/>
                <w:color w:val="000000"/>
                <w:spacing w:val="-2"/>
              </w:rPr>
            </w:pPr>
            <w:r>
              <w:rPr>
                <w:rFonts w:hint="eastAsia"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需求理解</w:t>
            </w:r>
            <w:r>
              <w:rPr>
                <w:rFonts w:hint="eastAsia"/>
                <w:color w:val="000000"/>
                <w:lang w:val="en-US" w:eastAsia="zh-CN"/>
              </w:rPr>
              <w:t xml:space="preserve">4</w:t>
            </w:r>
            <w:r>
              <w:rPr>
                <w:rFonts w:hint="eastAsia"/>
                <w:color w:val="000000"/>
              </w:rPr>
            </w:r>
            <w:r/>
          </w:p>
        </w:tc>
        <w:tc>
          <w:tcPr>
            <w:tcW w:w="6330" w:type="dxa"/>
            <w:vAlign w:val="center"/>
            <w:textDirection w:val="lrTb"/>
            <w:noWrap w:val="false"/>
          </w:tcPr>
          <w:p>
            <w:pPr>
              <w:pStyle w:val="966"/>
              <w:spacing w:line="264" w:lineRule="auto"/>
              <w:rPr>
                <w:rFonts w:hint="eastAsia" w:ascii="宋体" w:hAnsi="宋体" w:cs="宋体"/>
                <w:color w:val="000000"/>
              </w:rPr>
            </w:pPr>
            <w:r>
              <w:rPr>
                <w:rFonts w:hint="eastAsia" w:ascii="宋体" w:hAnsi="宋体" w:cs="宋体"/>
                <w:color w:val="000000"/>
              </w:rPr>
              <w:t xml:space="preserve">2.1.4编制南京市智慧耕地保护综合管理子系统2025建设内容需求理解，内容包括：1.建设背景；2.建设目标；3.需求分析；4.关键技术。</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以上每项内容逐项评分：</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方案内容贴合实际、详尽可行，且专门针对本项目，契合采购需求视为符合；方案内容属于通用类，非专门针对本项目，较为简单，部分契合采购需求视为部分符合；方案内容非专门针对本项目，脱离采购需求视为不符合。</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上述每项内容符合得1分；部分符合得0.5分；不符合或不提供不得分。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315"/>
        </w:trPr>
        <w:tc>
          <w:tcPr>
            <w:tcW w:w="519" w:type="dxa"/>
            <w:vAlign w:val="center"/>
            <w:vMerge w:val="restart"/>
            <w:textDirection w:val="lrTb"/>
            <w:noWrap w:val="false"/>
          </w:tcPr>
          <w:p>
            <w:pPr>
              <w:pStyle w:val="934"/>
              <w:jc w:val="center"/>
              <w:spacing w:before="68" w:line="264" w:lineRule="auto"/>
              <w:rPr>
                <w:rFonts w:ascii="宋体" w:hAnsi="宋体" w:cs="宋体"/>
                <w:color w:val="000000"/>
                <w:spacing w:val="-2"/>
              </w:rPr>
            </w:pPr>
            <w:r>
              <w:rPr>
                <w:rFonts w:hint="eastAsia" w:ascii="宋体" w:hAnsi="宋体" w:cs="宋体"/>
                <w:color w:val="000000"/>
                <w:spacing w:val="-2"/>
              </w:rPr>
              <w:t xml:space="preserve">2.2</w:t>
            </w:r>
            <w:r>
              <w:rPr>
                <w:rFonts w:ascii="宋体" w:hAnsi="宋体" w:cs="宋体"/>
                <w:color w:val="000000"/>
                <w:spacing w:val="-2"/>
              </w:rPr>
            </w:r>
            <w:r/>
          </w:p>
        </w:tc>
        <w:tc>
          <w:tcPr>
            <w:tcW w:w="1179" w:type="dxa"/>
            <w:vAlign w:val="center"/>
            <w:textDirection w:val="lrTb"/>
            <w:noWrap w:val="false"/>
          </w:tcPr>
          <w:p>
            <w:pPr>
              <w:pStyle w:val="934"/>
              <w:spacing w:line="264" w:lineRule="auto"/>
              <w:rPr>
                <w:rFonts w:hint="eastAsia" w:eastAsia="宋体"/>
                <w:color w:val="000000"/>
                <w:lang w:val="en-US" w:eastAsia="zh-CN"/>
              </w:rPr>
            </w:pPr>
            <w:r>
              <w:rPr>
                <w:rFonts w:hint="eastAsia"/>
                <w:color w:val="000000"/>
              </w:rPr>
              <w:t xml:space="preserve">建设方案</w:t>
            </w:r>
            <w:r>
              <w:rPr>
                <w:rFonts w:hint="eastAsia"/>
                <w:color w:val="000000"/>
                <w:lang w:val="en-US" w:eastAsia="zh-CN"/>
              </w:rPr>
              <w:t xml:space="preserve">1</w:t>
            </w:r>
            <w:r>
              <w:rPr>
                <w:rFonts w:hint="eastAsia" w:eastAsia="宋体"/>
                <w:color w:val="000000"/>
                <w:lang w:val="en-US" w:eastAsia="zh-CN"/>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2.2.1</w:t>
            </w:r>
            <w:r>
              <w:rPr>
                <w:rFonts w:hint="eastAsia"/>
                <w:color w:val="000000"/>
              </w:rPr>
              <w:t xml:space="preserve">根据本项目采购需求中“技术要求”编制“互联网+”一体化政务服务系统2025建设方案，</w:t>
            </w:r>
            <w:r>
              <w:rPr>
                <w:color w:val="000000"/>
              </w:rPr>
            </w:r>
            <w:r>
              <w:rPr>
                <w:rFonts w:ascii="SimSun" w:hAnsi="SimSun" w:eastAsia="SimSun" w:cs="SimSun"/>
                <w:color w:val="000000"/>
                <w:sz w:val="22"/>
              </w:rPr>
              <w:t xml:space="preserve">内容包含：</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一体化门户新增功能建设；</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一体化业务审批系统新增功能建设；</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综合管理系统新增功能建设；</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与外部信息系统连接；</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密码应用增强；</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“图证衔接”功能建设。以上每项内容逐项评分：</w:t>
            </w:r>
            <w:r/>
            <w:r>
              <w:rPr>
                <w:rFonts w:hint="eastAsia"/>
                <w:color w:val="000000"/>
              </w:rPr>
            </w:r>
            <w:r/>
            <w:r/>
            <w:r>
              <w:rPr>
                <w:rFonts w:ascii="Times New Roman" w:hAnsi="Times New Roman" w:eastAsia="Times New Roman" w:cs="Times New Roman"/>
                <w:sz w:val="22"/>
              </w:rPr>
            </w:r>
          </w:p>
          <w:p>
            <w:pPr>
              <w:pStyle w:val="934"/>
              <w:rPr>
                <w:color w:val="000000"/>
              </w:rPr>
            </w:pPr>
            <w:r>
              <w:rPr>
                <w:color w:val="000000"/>
              </w:rPr>
              <w:t xml:space="preserve">方案内容</w:t>
            </w:r>
            <w:r>
              <w:rPr>
                <w:rFonts w:hint="eastAsia"/>
                <w:color w:val="000000"/>
              </w:rPr>
              <w:t xml:space="preserve">完整详尽、符合本项目实际、可操作性强，且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w:t>
            </w:r>
            <w:r>
              <w:rPr>
                <w:rFonts w:hint="eastAsia"/>
                <w:color w:val="000000"/>
              </w:rPr>
              <w:t xml:space="preserve">，较为简单，可操作性不够</w:t>
            </w:r>
            <w:r>
              <w:rPr>
                <w:color w:val="000000"/>
              </w:rPr>
              <w:t xml:space="preserve">，部分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34"/>
              <w:rPr>
                <w:rFonts w:hint="eastAsia" w:ascii="宋体" w:hAnsi="宋体" w:cs="宋体"/>
                <w:color w:val="000000"/>
              </w:rPr>
            </w:pPr>
            <w:r>
              <w:rPr>
                <w:rFonts w:hint="eastAsia"/>
                <w:color w:val="000000"/>
              </w:rPr>
              <w:t xml:space="preserve">上述每项内容</w:t>
            </w:r>
            <w:r>
              <w:rPr>
                <w:color w:val="000000"/>
              </w:rPr>
              <w:t xml:space="preserve">符合得</w:t>
            </w:r>
            <w:r>
              <w:rPr>
                <w:rFonts w:hint="eastAsia"/>
                <w:color w:val="000000"/>
              </w:rPr>
              <w:t xml:space="preserve">1</w:t>
            </w:r>
            <w:r>
              <w:rPr>
                <w:color w:val="000000"/>
              </w:rPr>
              <w:t xml:space="preserve">分；部分符合得</w:t>
            </w:r>
            <w:r>
              <w:rPr>
                <w:rFonts w:hint="eastAsia"/>
                <w:color w:val="000000"/>
              </w:rPr>
              <w:t xml:space="preserve">0.5</w:t>
            </w:r>
            <w:r>
              <w:rPr>
                <w:color w:val="000000"/>
              </w:rPr>
              <w:t xml:space="preserve">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315"/>
        </w:trPr>
        <w:tc>
          <w:tcPr>
            <w:tcW w:w="519" w:type="dxa"/>
            <w:vAlign w:val="center"/>
            <w:vMerge w:val="continue"/>
            <w:textDirection w:val="lrTb"/>
            <w:noWrap w:val="false"/>
          </w:tcPr>
          <w:p>
            <w:pPr>
              <w:pStyle w:val="934"/>
              <w:jc w:val="center"/>
              <w:spacing w:before="68" w:line="264" w:lineRule="auto"/>
              <w:rPr>
                <w:rFonts w:hint="eastAsia" w:ascii="宋体" w:hAnsi="宋体" w:cs="宋体"/>
                <w:color w:val="000000"/>
                <w:spacing w:val="-2"/>
              </w:rPr>
            </w:pPr>
            <w:r>
              <w:rPr>
                <w:rFonts w:hint="eastAsia"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建设方案</w:t>
            </w:r>
            <w:r>
              <w:rPr>
                <w:rFonts w:hint="eastAsia"/>
                <w:color w:val="000000"/>
                <w:lang w:val="en-US" w:eastAsia="zh-CN"/>
              </w:rPr>
              <w:t xml:space="preserve">2</w:t>
            </w:r>
            <w:r>
              <w:rPr>
                <w:rFonts w:hint="eastAsia"/>
                <w:color w:val="000000"/>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2.2.2</w:t>
            </w:r>
            <w:r>
              <w:rPr>
                <w:rFonts w:hint="eastAsia"/>
                <w:color w:val="000000"/>
              </w:rPr>
              <w:t xml:space="preserve">根据本项目采购需求中“技术要求”编制南京市规划资源移动应用2025建设方案，</w:t>
            </w:r>
            <w:r>
              <w:rPr>
                <w:color w:val="000000"/>
              </w:rPr>
            </w:r>
            <w:r>
              <w:rPr>
                <w:rFonts w:ascii="SimSun" w:hAnsi="SimSun" w:eastAsia="SimSun" w:cs="SimSun"/>
                <w:color w:val="000000"/>
                <w:sz w:val="22"/>
              </w:rPr>
              <w:t xml:space="preserve">内容包含：</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移动端鸿蒙系统版</w:t>
            </w:r>
            <w:r>
              <w:rPr>
                <w:rFonts w:ascii="Times New Roman" w:hAnsi="Times New Roman" w:eastAsia="Times New Roman" w:cs="Times New Roman"/>
                <w:color w:val="000000"/>
                <w:sz w:val="22"/>
              </w:rPr>
              <w:t xml:space="preserve">APP</w:t>
            </w:r>
            <w:r>
              <w:rPr>
                <w:rFonts w:ascii="SimSun" w:hAnsi="SimSun" w:eastAsia="SimSun" w:cs="SimSun"/>
                <w:color w:val="000000"/>
                <w:sz w:val="22"/>
              </w:rPr>
              <w:t xml:space="preserve">基础版本开发；</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移动端新增功能开发；</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移动端个人信息授权规范开发；</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我的南京政务版</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对接。以上每项内容逐项评分：</w:t>
            </w:r>
            <w:r/>
            <w:r>
              <w:rPr>
                <w:rFonts w:hint="eastAsia"/>
                <w:color w:val="000000"/>
              </w:rPr>
            </w:r>
            <w:r/>
            <w:r/>
            <w:r>
              <w:rPr>
                <w:rFonts w:ascii="Times New Roman" w:hAnsi="Times New Roman" w:eastAsia="Times New Roman" w:cs="Times New Roman"/>
                <w:sz w:val="22"/>
              </w:rPr>
            </w:r>
          </w:p>
          <w:p>
            <w:pPr>
              <w:pStyle w:val="934"/>
              <w:rPr>
                <w:color w:val="000000"/>
              </w:rPr>
            </w:pPr>
            <w:r>
              <w:rPr>
                <w:color w:val="000000"/>
              </w:rPr>
              <w:t xml:space="preserve">方案内容</w:t>
            </w:r>
            <w:r>
              <w:rPr>
                <w:rFonts w:hint="eastAsia"/>
                <w:color w:val="000000"/>
              </w:rPr>
              <w:t xml:space="preserve">完整详尽、符合本项目实际、可操作性强，且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w:t>
            </w:r>
            <w:r>
              <w:rPr>
                <w:rFonts w:hint="eastAsia"/>
                <w:color w:val="000000"/>
              </w:rPr>
              <w:t xml:space="preserve">，较为简单，可操作性不够</w:t>
            </w:r>
            <w:r>
              <w:rPr>
                <w:color w:val="000000"/>
              </w:rPr>
              <w:t xml:space="preserve">，部分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66"/>
              <w:spacing w:line="264" w:lineRule="auto"/>
              <w:rPr>
                <w:rFonts w:hint="eastAsia" w:ascii="宋体" w:hAnsi="宋体" w:cs="宋体"/>
                <w:color w:val="000000"/>
              </w:rPr>
            </w:pPr>
            <w:r>
              <w:rPr>
                <w:rFonts w:hint="eastAsia"/>
                <w:color w:val="000000"/>
              </w:rPr>
              <w:t xml:space="preserve">上述每项内容</w:t>
            </w:r>
            <w:r>
              <w:rPr>
                <w:color w:val="000000"/>
              </w:rPr>
              <w:t xml:space="preserve">符合得</w:t>
            </w:r>
            <w:r>
              <w:rPr>
                <w:rFonts w:hint="eastAsia"/>
                <w:color w:val="000000"/>
              </w:rPr>
              <w:t xml:space="preserve">0.75</w:t>
            </w:r>
            <w:r>
              <w:rPr>
                <w:color w:val="000000"/>
              </w:rPr>
              <w:t xml:space="preserve">分；部分符合得</w:t>
            </w:r>
            <w:r>
              <w:rPr>
                <w:rFonts w:hint="eastAsia"/>
                <w:color w:val="000000"/>
              </w:rPr>
              <w:t xml:space="preserve">0.4</w:t>
            </w:r>
            <w:r>
              <w:rPr>
                <w:color w:val="000000"/>
              </w:rPr>
              <w:t xml:space="preserve">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315"/>
        </w:trPr>
        <w:tc>
          <w:tcPr>
            <w:tcW w:w="519" w:type="dxa"/>
            <w:vAlign w:val="center"/>
            <w:vMerge w:val="continue"/>
            <w:textDirection w:val="lrTb"/>
            <w:noWrap w:val="false"/>
          </w:tcPr>
          <w:p>
            <w:pPr>
              <w:pStyle w:val="934"/>
              <w:jc w:val="center"/>
              <w:spacing w:before="68" w:line="264" w:lineRule="auto"/>
              <w:rPr>
                <w:rFonts w:hint="eastAsia" w:ascii="宋体" w:hAnsi="宋体" w:cs="宋体"/>
                <w:color w:val="000000"/>
                <w:spacing w:val="-2"/>
              </w:rPr>
            </w:pPr>
            <w:r>
              <w:rPr>
                <w:rFonts w:hint="eastAsia"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建设方案</w:t>
            </w:r>
            <w:r>
              <w:rPr>
                <w:rFonts w:hint="eastAsia"/>
                <w:color w:val="000000"/>
                <w:lang w:val="en-US" w:eastAsia="zh-CN"/>
              </w:rPr>
              <w:t xml:space="preserve">3</w:t>
            </w:r>
            <w:r>
              <w:rPr>
                <w:rFonts w:hint="eastAsia"/>
                <w:color w:val="000000"/>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2.2.3</w:t>
            </w:r>
            <w:r>
              <w:rPr>
                <w:color w:val="000000"/>
              </w:rPr>
            </w:r>
            <w:r>
              <w:rPr>
                <w:rFonts w:ascii="SimSun" w:hAnsi="SimSun" w:eastAsia="SimSun" w:cs="SimSun"/>
                <w:color w:val="000000"/>
                <w:sz w:val="22"/>
              </w:rPr>
              <w:t xml:space="preserve">根据本项目采购需求中</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技术要求</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编制不动产登记业务管理及</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异地通办</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子系统</w:t>
            </w:r>
            <w:r>
              <w:rPr>
                <w:rFonts w:ascii="Times New Roman" w:hAnsi="Times New Roman" w:eastAsia="Times New Roman" w:cs="Times New Roman"/>
                <w:color w:val="000000"/>
                <w:sz w:val="22"/>
              </w:rPr>
              <w:t xml:space="preserve">2025</w:t>
            </w:r>
            <w:r>
              <w:rPr>
                <w:rFonts w:ascii="SimSun" w:hAnsi="SimSun" w:eastAsia="SimSun" w:cs="SimSun"/>
                <w:color w:val="000000"/>
                <w:sz w:val="22"/>
              </w:rPr>
              <w:t xml:space="preserve">建设方案，内容包含：</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不动产业务风险防控功能建设；</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不动产登记案件质量管理功能建设；</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支撑营商环境优化系列改革功能建设；</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不动产登记改革新功能建设；</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南京市不动产登记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异地通办</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移动端功能建设和线上业务适用情形拓展；</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预告登记流程建设内容和</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异地通办</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其他系统功能建设。以上每项内容逐项评分：</w:t>
            </w:r>
            <w:r/>
            <w:r>
              <w:rPr>
                <w:rFonts w:hint="eastAsia" w:ascii="宋体" w:hAnsi="宋体" w:cs="宋体"/>
                <w:color w:val="000000"/>
              </w:rPr>
            </w:r>
            <w:r/>
            <w:r/>
            <w:r>
              <w:rPr>
                <w:rFonts w:ascii="Times New Roman" w:hAnsi="Times New Roman" w:eastAsia="Times New Roman" w:cs="Times New Roman"/>
                <w:sz w:val="22"/>
              </w:rPr>
            </w:r>
          </w:p>
          <w:p>
            <w:pPr>
              <w:pStyle w:val="934"/>
              <w:rPr>
                <w:color w:val="000000"/>
              </w:rPr>
            </w:pPr>
            <w:r>
              <w:rPr>
                <w:color w:val="000000"/>
              </w:rPr>
              <w:t xml:space="preserve">方案内容</w:t>
            </w:r>
            <w:r>
              <w:rPr>
                <w:rFonts w:hint="eastAsia"/>
                <w:color w:val="000000"/>
              </w:rPr>
              <w:t xml:space="preserve">完整详尽、符合本项目实际、可操作性强，且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w:t>
            </w:r>
            <w:r>
              <w:rPr>
                <w:rFonts w:hint="eastAsia"/>
                <w:color w:val="000000"/>
              </w:rPr>
              <w:t xml:space="preserve">，较为简单，可操作性不够</w:t>
            </w:r>
            <w:r>
              <w:rPr>
                <w:color w:val="000000"/>
              </w:rPr>
              <w:t xml:space="preserve">，部分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66"/>
              <w:spacing w:line="264" w:lineRule="auto"/>
              <w:rPr>
                <w:rFonts w:hint="eastAsia" w:ascii="宋体" w:hAnsi="宋体" w:cs="宋体"/>
                <w:color w:val="000000"/>
              </w:rPr>
            </w:pPr>
            <w:r>
              <w:rPr>
                <w:rFonts w:hint="eastAsia"/>
                <w:color w:val="000000"/>
              </w:rPr>
              <w:t xml:space="preserve">上述每项内容</w:t>
            </w:r>
            <w:r>
              <w:rPr>
                <w:color w:val="000000"/>
              </w:rPr>
              <w:t xml:space="preserve">符合得</w:t>
            </w:r>
            <w:r>
              <w:rPr>
                <w:rFonts w:hint="eastAsia"/>
                <w:color w:val="000000"/>
              </w:rPr>
              <w:t xml:space="preserve">1.5</w:t>
            </w:r>
            <w:r>
              <w:rPr>
                <w:color w:val="000000"/>
              </w:rPr>
              <w:t xml:space="preserve">分；部分符合得</w:t>
            </w:r>
            <w:r>
              <w:rPr>
                <w:rFonts w:hint="eastAsia"/>
                <w:color w:val="000000"/>
              </w:rPr>
              <w:t xml:space="preserve">0.7</w:t>
            </w:r>
            <w:r>
              <w:rPr>
                <w:color w:val="000000"/>
              </w:rPr>
              <w:t xml:space="preserve">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ascii="宋体" w:hAnsi="宋体" w:cs="宋体"/>
                <w:color w:val="000000"/>
                <w:spacing w:val="-4"/>
              </w:rPr>
            </w:pPr>
            <w:r>
              <w:rPr>
                <w:rFonts w:hint="eastAsia" w:ascii="宋体" w:hAnsi="宋体" w:cs="宋体"/>
                <w:color w:val="000000"/>
                <w:spacing w:val="-4"/>
              </w:rPr>
              <w:t xml:space="preserve">主观分</w:t>
            </w:r>
            <w:r>
              <w:rPr>
                <w:rFonts w:ascii="宋体" w:hAnsi="宋体" w:cs="宋体"/>
                <w:color w:val="000000"/>
                <w:spacing w:val="-4"/>
              </w:rPr>
            </w:r>
            <w:r/>
          </w:p>
        </w:tc>
      </w:tr>
      <w:tr>
        <w:trPr>
          <w:trHeight w:val="315"/>
        </w:trPr>
        <w:tc>
          <w:tcPr>
            <w:tcW w:w="519" w:type="dxa"/>
            <w:vAlign w:val="center"/>
            <w:vMerge w:val="continue"/>
            <w:textDirection w:val="lrTb"/>
            <w:noWrap w:val="false"/>
          </w:tcPr>
          <w:p>
            <w:pPr>
              <w:pStyle w:val="934"/>
              <w:jc w:val="center"/>
              <w:spacing w:before="68" w:line="264" w:lineRule="auto"/>
              <w:rPr>
                <w:rFonts w:hint="eastAsia" w:ascii="宋体" w:hAnsi="宋体" w:cs="宋体"/>
                <w:color w:val="000000"/>
                <w:spacing w:val="-2"/>
              </w:rPr>
            </w:pPr>
            <w:r>
              <w:rPr>
                <w:rFonts w:hint="eastAsia"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建设方案</w:t>
            </w:r>
            <w:r>
              <w:rPr>
                <w:rFonts w:hint="eastAsia"/>
                <w:color w:val="000000"/>
                <w:lang w:val="en-US" w:eastAsia="zh-CN"/>
              </w:rPr>
              <w:t xml:space="preserve">4</w:t>
            </w:r>
            <w:r>
              <w:rPr>
                <w:rFonts w:hint="eastAsia"/>
                <w:color w:val="000000"/>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2.2.4</w:t>
            </w:r>
            <w:r>
              <w:rPr>
                <w:rFonts w:hint="eastAsia"/>
                <w:color w:val="000000"/>
              </w:rPr>
              <w:t xml:space="preserve">根据本项目采购需求中“技术要求”编制南京市智慧耕地保护综合管理子系统2025建设方案，</w:t>
            </w:r>
            <w:r>
              <w:rPr>
                <w:color w:val="000000"/>
              </w:rPr>
            </w:r>
            <w:r>
              <w:rPr>
                <w:rFonts w:ascii="SimSun" w:hAnsi="SimSun" w:eastAsia="SimSun" w:cs="SimSun"/>
                <w:color w:val="000000"/>
                <w:sz w:val="22"/>
              </w:rPr>
              <w:t xml:space="preserve">内容包含：</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宁耕保管理版接入</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我的南京</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政务版</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宁耕保</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扫码功能；</w:t>
            </w:r>
            <w:r>
              <w:rPr>
                <w:rFonts w:ascii="Times New Roman" w:hAnsi="Times New Roman" w:eastAsia="Times New Roman" w:cs="Times New Roman"/>
                <w:color w:val="000000"/>
                <w:sz w:val="22"/>
              </w:rPr>
              <w:t xml:space="preserve">3.AI+“</w:t>
            </w:r>
            <w:r>
              <w:rPr>
                <w:rFonts w:ascii="SimSun" w:hAnsi="SimSun" w:eastAsia="SimSun" w:cs="SimSun"/>
                <w:color w:val="000000"/>
                <w:sz w:val="22"/>
              </w:rPr>
              <w:t xml:space="preserve">一田一码</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耕地保护；</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阳光监管模式下的闭环处置流程智能化改造；</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基于耕地保护智能体的空间分析功能建设</w:t>
            </w:r>
            <w:r>
              <w:rPr>
                <w:rFonts w:ascii="SimSun" w:hAnsi="SimSun" w:eastAsia="SimSun" w:cs="SimSun"/>
                <w:color w:val="000000"/>
                <w:sz w:val="22"/>
              </w:rPr>
              <w:t xml:space="preserve">；</w:t>
            </w:r>
            <w:r>
              <w:rPr>
                <w:rFonts w:ascii="SimSun" w:hAnsi="SimSun" w:eastAsia="SimSun" w:cs="SimSun"/>
                <w:color w:val="000000"/>
                <w:sz w:val="22"/>
              </w:rPr>
              <w:t xml:space="preserve">6.一田一码业务集成界面提升。以上每项内容逐项评分：</w:t>
            </w:r>
            <w:r/>
            <w:r/>
            <w:r>
              <w:rPr>
                <w:rFonts w:ascii="Times New Roman" w:hAnsi="Times New Roman" w:eastAsia="Times New Roman" w:cs="Times New Roman"/>
                <w:sz w:val="22"/>
              </w:rPr>
            </w:r>
          </w:p>
          <w:p>
            <w:pPr>
              <w:pStyle w:val="934"/>
              <w:rPr>
                <w:color w:val="000000"/>
              </w:rPr>
            </w:pPr>
            <w:r>
              <w:rPr>
                <w:color w:val="000000"/>
              </w:rPr>
              <w:t xml:space="preserve">方案内容</w:t>
            </w:r>
            <w:r>
              <w:rPr>
                <w:rFonts w:hint="eastAsia"/>
                <w:color w:val="000000"/>
              </w:rPr>
              <w:t xml:space="preserve">完整详尽、符合本项目实际、可操作性强，且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w:t>
            </w:r>
            <w:r>
              <w:rPr>
                <w:rFonts w:hint="eastAsia"/>
                <w:color w:val="000000"/>
              </w:rPr>
              <w:t xml:space="preserve">，较为简单，可操作性不够</w:t>
            </w:r>
            <w:r>
              <w:rPr>
                <w:color w:val="000000"/>
              </w:rPr>
              <w:t xml:space="preserve">，部分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66"/>
              <w:spacing w:line="264" w:lineRule="auto"/>
              <w:rPr>
                <w:rFonts w:hint="eastAsia" w:ascii="宋体" w:hAnsi="宋体" w:cs="宋体"/>
                <w:color w:val="000000"/>
              </w:rPr>
            </w:pPr>
            <w:r>
              <w:rPr>
                <w:rFonts w:hint="eastAsia"/>
                <w:color w:val="000000"/>
              </w:rPr>
              <w:t xml:space="preserve">上述每项内容</w:t>
            </w:r>
            <w:r>
              <w:rPr>
                <w:color w:val="000000"/>
              </w:rPr>
              <w:t xml:space="preserve">符合得</w:t>
            </w:r>
            <w:r>
              <w:rPr>
                <w:rFonts w:hint="eastAsia"/>
                <w:color w:val="000000"/>
              </w:rPr>
              <w:t xml:space="preserve">1</w:t>
            </w:r>
            <w:r>
              <w:rPr>
                <w:color w:val="000000"/>
              </w:rPr>
              <w:t xml:space="preserve">分；部分符合得</w:t>
            </w:r>
            <w:r>
              <w:rPr>
                <w:rFonts w:hint="eastAsia"/>
                <w:color w:val="000000"/>
              </w:rPr>
              <w:t xml:space="preserve">0.5</w:t>
            </w:r>
            <w:r>
              <w:rPr>
                <w:color w:val="000000"/>
              </w:rPr>
              <w:t xml:space="preserve">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315"/>
        </w:trPr>
        <w:tc>
          <w:tcPr>
            <w:tcW w:w="519" w:type="dxa"/>
            <w:vAlign w:val="center"/>
            <w:vMerge w:val="restart"/>
            <w:textDirection w:val="lrTb"/>
            <w:noWrap w:val="false"/>
          </w:tcPr>
          <w:p>
            <w:pPr>
              <w:pStyle w:val="934"/>
              <w:jc w:val="center"/>
              <w:spacing w:before="68" w:line="264" w:lineRule="auto"/>
              <w:rPr>
                <w:rFonts w:ascii="宋体" w:hAnsi="宋体" w:cs="宋体"/>
                <w:color w:val="000000"/>
                <w:spacing w:val="-2"/>
              </w:rPr>
            </w:pPr>
            <w:r>
              <w:rPr>
                <w:rFonts w:hint="eastAsia" w:ascii="宋体" w:hAnsi="宋体" w:cs="宋体"/>
                <w:color w:val="000000"/>
                <w:spacing w:val="-2"/>
              </w:rPr>
              <w:t xml:space="preserve">2.3</w:t>
            </w:r>
            <w:r>
              <w:rPr>
                <w:rFonts w:ascii="宋体" w:hAnsi="宋体" w:cs="宋体"/>
                <w:color w:val="000000"/>
                <w:spacing w:val="-2"/>
              </w:rPr>
            </w:r>
            <w:r/>
          </w:p>
        </w:tc>
        <w:tc>
          <w:tcPr>
            <w:tcW w:w="1179" w:type="dxa"/>
            <w:vAlign w:val="center"/>
            <w:textDirection w:val="lrTb"/>
            <w:noWrap w:val="false"/>
          </w:tcPr>
          <w:p>
            <w:pPr>
              <w:pStyle w:val="934"/>
              <w:spacing w:line="264" w:lineRule="auto"/>
              <w:rPr>
                <w:rFonts w:hint="eastAsia" w:eastAsia="宋体"/>
                <w:color w:val="000000"/>
                <w:lang w:val="en-US" w:eastAsia="zh-CN"/>
              </w:rPr>
            </w:pPr>
            <w:r>
              <w:rPr>
                <w:rFonts w:hint="eastAsia"/>
                <w:color w:val="000000"/>
              </w:rPr>
              <w:t xml:space="preserve">实施方案</w:t>
            </w:r>
            <w:r>
              <w:rPr>
                <w:rFonts w:hint="eastAsia"/>
                <w:color w:val="000000"/>
                <w:lang w:val="en-US" w:eastAsia="zh-CN"/>
              </w:rPr>
              <w:t xml:space="preserve">1</w:t>
            </w:r>
            <w:r>
              <w:rPr>
                <w:rFonts w:hint="eastAsia" w:eastAsia="宋体"/>
                <w:color w:val="000000"/>
                <w:lang w:val="en-US" w:eastAsia="zh-CN"/>
              </w:rPr>
            </w:r>
            <w:r/>
          </w:p>
        </w:tc>
        <w:tc>
          <w:tcPr>
            <w:tcW w:w="6330" w:type="dxa"/>
            <w:vAlign w:val="center"/>
            <w:textDirection w:val="lrTb"/>
            <w:noWrap w:val="false"/>
          </w:tcPr>
          <w:p>
            <w:pPr>
              <w:pStyle w:val="966"/>
              <w:spacing w:line="264" w:lineRule="auto"/>
              <w:rPr>
                <w:rFonts w:hint="eastAsia" w:ascii="宋体" w:hAnsi="宋体" w:cs="宋体"/>
                <w:color w:val="000000"/>
              </w:rPr>
            </w:pPr>
            <w:r>
              <w:rPr>
                <w:rFonts w:hint="eastAsia" w:ascii="宋体" w:hAnsi="宋体" w:cs="宋体"/>
                <w:color w:val="000000"/>
              </w:rPr>
              <w:t xml:space="preserve">2.3.1结合采购需求编制项目实施策略，内容包括：1.项目团队与组织架构；2.项目进度安排；3.试运行方案；4.验收方案。</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以上每项内容逐项评分：</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方案内容</w:t>
            </w:r>
            <w:r>
              <w:rPr>
                <w:rFonts w:hint="eastAsia"/>
                <w:color w:val="000000"/>
              </w:rPr>
              <w:t xml:space="preserve">完整详尽、符合本项目实际、可操作性强</w:t>
            </w:r>
            <w:r>
              <w:rPr>
                <w:rFonts w:hint="eastAsia" w:ascii="宋体" w:hAnsi="宋体" w:cs="宋体"/>
                <w:color w:val="000000"/>
              </w:rPr>
              <w:t xml:space="preserve">，且专门针对本项目，契合采购需求视为符合；方案内容属于通用类，非专门针对本项目，较为简单</w:t>
            </w:r>
            <w:r>
              <w:rPr>
                <w:rFonts w:hint="eastAsia"/>
                <w:color w:val="000000"/>
              </w:rPr>
              <w:t xml:space="preserve">，可操作性不够</w:t>
            </w:r>
            <w:r>
              <w:rPr>
                <w:rFonts w:hint="eastAsia" w:ascii="宋体" w:hAnsi="宋体" w:cs="宋体"/>
                <w:color w:val="000000"/>
              </w:rPr>
              <w:t xml:space="preserve">，部分契合采购需求视为部分符合；方案内容非专门针对本项目，脱离采购需求视为不符合。</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上述每项内容符合得1分；部分符合得0.5分；不符合或不提供不得分。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315"/>
        </w:trPr>
        <w:tc>
          <w:tcPr>
            <w:tcW w:w="519" w:type="dxa"/>
            <w:vAlign w:val="center"/>
            <w:vMerge w:val="continue"/>
            <w:textDirection w:val="lrTb"/>
            <w:noWrap w:val="false"/>
          </w:tcPr>
          <w:p>
            <w:pPr>
              <w:pStyle w:val="934"/>
              <w:jc w:val="center"/>
              <w:spacing w:before="68" w:line="264" w:lineRule="auto"/>
              <w:rPr>
                <w:rFonts w:hint="eastAsia" w:ascii="宋体" w:hAnsi="宋体" w:cs="宋体"/>
                <w:color w:val="000000"/>
                <w:spacing w:val="-2"/>
              </w:rPr>
            </w:pPr>
            <w:r>
              <w:rPr>
                <w:rFonts w:hint="eastAsia"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实施方案</w:t>
            </w:r>
            <w:r>
              <w:rPr>
                <w:rFonts w:hint="eastAsia"/>
                <w:color w:val="000000"/>
                <w:lang w:val="en-US" w:eastAsia="zh-CN"/>
              </w:rPr>
              <w:t xml:space="preserve">2</w:t>
            </w:r>
            <w:r>
              <w:rPr>
                <w:rFonts w:hint="eastAsia"/>
                <w:color w:val="000000"/>
              </w:rPr>
            </w:r>
            <w:r/>
          </w:p>
        </w:tc>
        <w:tc>
          <w:tcPr>
            <w:tcW w:w="6330" w:type="dxa"/>
            <w:vAlign w:val="center"/>
            <w:textDirection w:val="lrTb"/>
            <w:noWrap w:val="false"/>
          </w:tcPr>
          <w:p>
            <w:pPr>
              <w:pStyle w:val="966"/>
              <w:spacing w:line="264" w:lineRule="auto"/>
              <w:rPr>
                <w:rFonts w:hint="eastAsia" w:ascii="宋体" w:hAnsi="宋体" w:cs="宋体"/>
                <w:color w:val="000000"/>
              </w:rPr>
            </w:pPr>
            <w:r>
              <w:rPr>
                <w:rFonts w:hint="eastAsia" w:ascii="宋体" w:hAnsi="宋体" w:cs="宋体"/>
                <w:color w:val="000000"/>
              </w:rPr>
              <w:t xml:space="preserve">2.3.2结合采购需求编制项目保障措施，内容包括：1.项目管理制度；2.质量保障措施；3.进度保障措施；4.信息安全管理措施。以上每项内容逐项评分：</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方案内容</w:t>
            </w:r>
            <w:r>
              <w:rPr>
                <w:rFonts w:hint="eastAsia"/>
                <w:color w:val="000000"/>
              </w:rPr>
              <w:t xml:space="preserve">完整详尽、符合本项目实际、可操作性强</w:t>
            </w:r>
            <w:r>
              <w:rPr>
                <w:rFonts w:hint="eastAsia" w:ascii="宋体" w:hAnsi="宋体" w:cs="宋体"/>
                <w:color w:val="000000"/>
              </w:rPr>
              <w:t xml:space="preserve">，且专门针对本项目，契合采购需求视为符合；方案内容属于通用类，非专门针对本项目，较为简单</w:t>
            </w:r>
            <w:r>
              <w:rPr>
                <w:rFonts w:hint="eastAsia"/>
                <w:color w:val="000000"/>
              </w:rPr>
              <w:t xml:space="preserve">，可操作性不够</w:t>
            </w:r>
            <w:r>
              <w:rPr>
                <w:rFonts w:hint="eastAsia" w:ascii="宋体" w:hAnsi="宋体" w:cs="宋体"/>
                <w:color w:val="000000"/>
              </w:rPr>
              <w:t xml:space="preserve">，部分契合采购需求视为部分符合；方案内容非专门针对本项目，脱离采购需求视为不符合。</w:t>
            </w:r>
            <w:r>
              <w:rPr>
                <w:rFonts w:hint="eastAsia" w:ascii="宋体" w:hAnsi="宋体" w:cs="宋体"/>
                <w:color w:val="000000"/>
              </w:rPr>
            </w:r>
            <w:r/>
          </w:p>
          <w:p>
            <w:pPr>
              <w:pStyle w:val="966"/>
              <w:spacing w:line="264" w:lineRule="auto"/>
              <w:rPr>
                <w:rFonts w:hint="eastAsia" w:ascii="宋体" w:hAnsi="宋体" w:cs="宋体"/>
                <w:color w:val="000000"/>
              </w:rPr>
            </w:pPr>
            <w:r>
              <w:rPr>
                <w:rFonts w:hint="eastAsia" w:ascii="宋体" w:hAnsi="宋体" w:cs="宋体"/>
                <w:color w:val="000000"/>
              </w:rPr>
              <w:t xml:space="preserve">上述每项内容符合得1分；部分符合得0.5分；不符合或不提供不得分。</w:t>
            </w:r>
            <w:r>
              <w:rPr>
                <w:rFonts w:hint="eastAsia" w:ascii="宋体" w:hAnsi="宋体" w:cs="宋体"/>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主观分</w:t>
            </w:r>
            <w:r>
              <w:rPr>
                <w:rFonts w:hint="eastAsia" w:ascii="宋体" w:hAnsi="宋体" w:cs="宋体"/>
                <w:color w:val="000000"/>
                <w:spacing w:val="-4"/>
              </w:rPr>
            </w:r>
            <w:r/>
          </w:p>
        </w:tc>
      </w:tr>
      <w:tr>
        <w:trPr>
          <w:trHeight w:val="472"/>
        </w:trPr>
        <w:tc>
          <w:tcPr>
            <w:gridSpan w:val="5"/>
            <w:tcW w:w="9575" w:type="dxa"/>
            <w:vAlign w:val="center"/>
            <w:textDirection w:val="lrTb"/>
            <w:noWrap w:val="false"/>
          </w:tcPr>
          <w:p>
            <w:pPr>
              <w:pStyle w:val="934"/>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95"/>
        </w:trPr>
        <w:tc>
          <w:tcPr>
            <w:tcW w:w="519" w:type="dxa"/>
            <w:vAlign w:val="center"/>
            <w:textDirection w:val="lrTb"/>
            <w:noWrap w:val="false"/>
          </w:tcPr>
          <w:p>
            <w:pPr>
              <w:pStyle w:val="934"/>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服务方案</w:t>
            </w:r>
            <w:r>
              <w:rPr>
                <w:rFonts w:hint="eastAsia"/>
                <w:color w:val="000000"/>
              </w:rPr>
            </w:r>
            <w:r/>
          </w:p>
        </w:tc>
        <w:tc>
          <w:tcPr>
            <w:tcW w:w="6330" w:type="dxa"/>
            <w:vAlign w:val="center"/>
            <w:textDirection w:val="lrTb"/>
            <w:noWrap w:val="false"/>
          </w:tcPr>
          <w:p>
            <w:pPr>
              <w:pStyle w:val="1064"/>
              <w:rPr>
                <w:color w:val="000000"/>
                <w:sz w:val="21"/>
                <w:szCs w:val="21"/>
                <w:lang w:val="en-US" w:bidi="ar-SA"/>
              </w:rPr>
            </w:pPr>
            <w:r>
              <w:rPr>
                <w:rFonts w:hint="eastAsia"/>
                <w:color w:val="000000"/>
                <w:sz w:val="21"/>
                <w:szCs w:val="21"/>
                <w:lang w:val="en-US" w:bidi="ar-SA"/>
              </w:rPr>
              <w:t xml:space="preserve">结合采购需求编制服务方案，内容包含：1.培训方案；2.运维服务方案；3.风险应对措施。以上每项内容逐项评分：</w:t>
            </w:r>
            <w:r>
              <w:rPr>
                <w:color w:val="000000"/>
                <w:sz w:val="21"/>
                <w:szCs w:val="21"/>
                <w:lang w:val="en-US" w:bidi="ar-SA"/>
              </w:rPr>
            </w:r>
            <w:r/>
          </w:p>
          <w:p>
            <w:pPr>
              <w:pStyle w:val="1013"/>
              <w:ind w:left="0"/>
              <w:spacing w:line="264" w:lineRule="auto"/>
              <w:rPr>
                <w:rFonts w:hint="eastAsia"/>
                <w:color w:val="000000"/>
                <w:sz w:val="21"/>
              </w:rPr>
            </w:pPr>
            <w:r>
              <w:rPr>
                <w:rFonts w:hint="eastAsia"/>
                <w:color w:val="000000"/>
                <w:sz w:val="21"/>
              </w:rPr>
              <w:t xml:space="preserve">方案内容完整详尽、符合本项目实际、可操作性强，且专门针对本项目，契合采购需求视为符合；方案内容属于通用类，非专门针对本项目，较为简单，可操作性不够，部分契合采购需求视为部分符合；方案内容非专门针对本项目，脱离采购需求视为不符合。</w:t>
            </w:r>
            <w:r>
              <w:rPr>
                <w:rFonts w:hint="eastAsia"/>
                <w:color w:val="000000"/>
                <w:sz w:val="21"/>
              </w:rPr>
            </w:r>
            <w:r/>
          </w:p>
          <w:p>
            <w:pPr>
              <w:pStyle w:val="1013"/>
              <w:ind w:left="0"/>
              <w:spacing w:line="264" w:lineRule="auto"/>
              <w:rPr>
                <w:color w:val="000000"/>
                <w:sz w:val="21"/>
              </w:rPr>
            </w:pPr>
            <w:r>
              <w:rPr>
                <w:rFonts w:hint="eastAsia"/>
                <w:color w:val="000000"/>
                <w:sz w:val="21"/>
              </w:rPr>
              <w:t xml:space="preserve">上述每项内容符合得</w:t>
            </w:r>
            <w:r>
              <w:rPr>
                <w:rFonts w:hint="eastAsia" w:eastAsia="宋体"/>
                <w:color w:val="000000"/>
                <w:sz w:val="21"/>
                <w:lang w:val="en-US"/>
              </w:rPr>
              <w:t xml:space="preserve">2</w:t>
            </w:r>
            <w:r>
              <w:rPr>
                <w:rFonts w:hint="eastAsia"/>
                <w:color w:val="000000"/>
                <w:sz w:val="21"/>
              </w:rPr>
              <w:t xml:space="preserve">分；部分符合得</w:t>
            </w:r>
            <w:r>
              <w:rPr>
                <w:rFonts w:hint="eastAsia" w:eastAsia="宋体"/>
                <w:color w:val="000000"/>
                <w:sz w:val="21"/>
                <w:lang w:val="en-US"/>
              </w:rPr>
              <w:t xml:space="preserve">1</w:t>
            </w:r>
            <w:r>
              <w:rPr>
                <w:rFonts w:hint="eastAsia"/>
                <w:color w:val="000000"/>
                <w:sz w:val="21"/>
              </w:rPr>
              <w:t xml:space="preserve">分；不符合或不提供不得分。</w:t>
            </w:r>
            <w:r>
              <w:rPr>
                <w:color w:val="000000"/>
                <w:sz w:val="21"/>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ascii="宋体" w:hAnsi="宋体" w:cs="宋体"/>
                <w:color w:val="000000"/>
                <w:spacing w:val="-6"/>
              </w:rPr>
            </w:pPr>
            <w:r>
              <w:rPr>
                <w:rFonts w:hint="eastAsia"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934"/>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1015"/>
        </w:trPr>
        <w:tc>
          <w:tcPr>
            <w:tcW w:w="519" w:type="dxa"/>
            <w:vAlign w:val="center"/>
            <w:textDirection w:val="lrTb"/>
            <w:noWrap w:val="false"/>
          </w:tcPr>
          <w:p>
            <w:pPr>
              <w:pStyle w:val="934"/>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34"/>
              <w:spacing w:before="69" w:line="264" w:lineRule="auto"/>
              <w:rPr>
                <w:rFonts w:ascii="宋体" w:hAnsi="宋体" w:cs="宋体"/>
                <w:color w:val="000000"/>
                <w:spacing w:val="-2"/>
              </w:rPr>
            </w:pPr>
            <w:r>
              <w:rPr>
                <w:rFonts w:hint="eastAsia"/>
                <w:color w:val="000000"/>
              </w:rPr>
              <w:t xml:space="preserve">投标人业绩</w:t>
            </w:r>
            <w:r>
              <w:rPr>
                <w:rFonts w:ascii="宋体" w:hAnsi="宋体" w:cs="宋体"/>
                <w:color w:val="000000"/>
                <w:spacing w:val="-2"/>
              </w:rPr>
            </w:r>
            <w:r/>
          </w:p>
        </w:tc>
        <w:tc>
          <w:tcPr>
            <w:tcW w:w="6330" w:type="dxa"/>
            <w:vAlign w:val="center"/>
            <w:textDirection w:val="lrTb"/>
            <w:noWrap w:val="false"/>
          </w:tcPr>
          <w:p>
            <w:pPr>
              <w:pStyle w:val="934"/>
              <w:spacing w:line="264" w:lineRule="auto"/>
              <w:rPr>
                <w:rFonts w:hint="eastAsia"/>
                <w:color w:val="000000"/>
                <w:lang w:bidi="zh-CN"/>
              </w:rPr>
            </w:pPr>
            <w:r>
              <w:rPr>
                <w:rFonts w:ascii="宋体" w:hAnsi="宋体" w:cs="宋体"/>
                <w:color w:val="000000"/>
              </w:rPr>
              <w:t xml:space="preserve">投标人</w:t>
            </w:r>
            <w:r>
              <w:rPr>
                <w:rFonts w:hint="eastAsia" w:ascii="宋体" w:hAnsi="宋体" w:cs="宋体"/>
                <w:color w:val="000000"/>
              </w:rPr>
              <w:t xml:space="preserve">提供2023年1月1日</w:t>
            </w:r>
            <w:r>
              <w:rPr>
                <w:rFonts w:ascii="宋体" w:hAnsi="宋体" w:cs="宋体"/>
                <w:color w:val="000000"/>
              </w:rPr>
              <w:t xml:space="preserve">（含）以来类似项目业绩</w:t>
            </w:r>
            <w:r>
              <w:rPr>
                <w:rFonts w:hint="eastAsia" w:ascii="宋体" w:hAnsi="宋体" w:cs="宋体"/>
                <w:color w:val="000000"/>
              </w:rPr>
              <w:t xml:space="preserve">（至少包含自然资源业务审批或不动产登记或国土空间规划相关系统建设</w:t>
            </w:r>
            <w:r>
              <w:rPr>
                <w:rFonts w:hint="eastAsia" w:ascii="宋体" w:hAnsi="宋体" w:cs="宋体"/>
                <w:color w:val="000000"/>
                <w:lang w:val="en-US" w:eastAsia="zh-CN"/>
              </w:rPr>
              <w:t xml:space="preserve">内容</w:t>
            </w:r>
            <w:r>
              <w:rPr>
                <w:rFonts w:hint="eastAsia" w:ascii="宋体" w:hAnsi="宋体" w:cs="宋体"/>
                <w:color w:val="000000"/>
              </w:rPr>
              <w:t xml:space="preserve">）</w:t>
            </w:r>
            <w:r>
              <w:rPr>
                <w:rFonts w:ascii="宋体" w:hAnsi="宋体" w:cs="宋体"/>
                <w:color w:val="000000"/>
              </w:rPr>
              <w:t xml:space="preserve">，每提供</w:t>
            </w:r>
            <w:r>
              <w:rPr>
                <w:rFonts w:hint="eastAsia" w:ascii="宋体" w:hAnsi="宋体" w:cs="宋体"/>
                <w:color w:val="000000"/>
              </w:rPr>
              <w:t xml:space="preserve">1</w:t>
            </w:r>
            <w:r>
              <w:rPr>
                <w:rFonts w:ascii="宋体" w:hAnsi="宋体" w:cs="宋体"/>
                <w:color w:val="000000"/>
              </w:rPr>
              <w:t xml:space="preserve">个得</w:t>
            </w:r>
            <w:r>
              <w:rPr>
                <w:rFonts w:hint="eastAsia"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hint="eastAsia"/>
                <w:color w:val="000000"/>
                <w:lang w:bidi="zh-CN"/>
              </w:rPr>
            </w:r>
            <w:r/>
          </w:p>
        </w:tc>
        <w:tc>
          <w:tcPr>
            <w:tcW w:w="647" w:type="dxa"/>
            <w:vAlign w:val="center"/>
            <w:textDirection w:val="lrTb"/>
            <w:noWrap w:val="false"/>
          </w:tcPr>
          <w:p>
            <w:pPr>
              <w:pStyle w:val="934"/>
              <w:jc w:val="center"/>
              <w:spacing w:line="264" w:lineRule="auto"/>
              <w:rPr>
                <w:color w:val="000000"/>
              </w:rPr>
            </w:pPr>
            <w:r>
              <w:rPr>
                <w:rFonts w:hint="eastAsia" w:ascii="宋体" w:hAnsi="宋体" w:cs="宋体"/>
                <w:color w:val="000000"/>
              </w:rPr>
              <w:t xml:space="preserve">9</w:t>
            </w:r>
            <w:r>
              <w:rPr>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934"/>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387"/>
        </w:trPr>
        <w:tc>
          <w:tcPr>
            <w:tcW w:w="519" w:type="dxa"/>
            <w:vAlign w:val="center"/>
            <w:textDirection w:val="lrTb"/>
            <w:noWrap w:val="false"/>
          </w:tcPr>
          <w:p>
            <w:pPr>
              <w:pStyle w:val="934"/>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履约能力1</w:t>
            </w:r>
            <w:r>
              <w:rPr>
                <w:rFonts w:hint="eastAsia"/>
                <w:color w:val="000000"/>
              </w:rPr>
            </w:r>
            <w:r/>
          </w:p>
        </w:tc>
        <w:tc>
          <w:tcPr>
            <w:tcW w:w="6330" w:type="dxa"/>
            <w:vAlign w:val="center"/>
            <w:textDirection w:val="lrTb"/>
            <w:noWrap w:val="false"/>
          </w:tcPr>
          <w:p>
            <w:pPr>
              <w:pStyle w:val="934"/>
              <w:spacing w:line="264" w:lineRule="auto"/>
              <w:rPr>
                <w:rFonts w:hint="eastAsia" w:ascii="宋体" w:hAnsi="宋体" w:cs="宋体"/>
                <w:color w:val="000000"/>
              </w:rPr>
            </w:pPr>
            <w:r>
              <w:rPr>
                <w:rFonts w:hint="eastAsia" w:ascii="宋体" w:hAnsi="宋体" w:cs="宋体"/>
                <w:color w:val="000000"/>
              </w:rPr>
              <w:t xml:space="preserve">（1）项目负责人具有高级及以上工程师职称证书的，得4分。</w:t>
            </w:r>
            <w:r>
              <w:rPr>
                <w:rFonts w:hint="eastAsia" w:ascii="宋体" w:hAnsi="宋体" w:cs="宋体"/>
                <w:color w:val="000000"/>
              </w:rPr>
            </w:r>
            <w:r/>
          </w:p>
          <w:p>
            <w:pPr>
              <w:pStyle w:val="934"/>
              <w:spacing w:line="264" w:lineRule="auto"/>
              <w:rPr>
                <w:rFonts w:hint="eastAsia" w:ascii="宋体" w:hAnsi="宋体" w:cs="宋体"/>
                <w:color w:val="000000"/>
              </w:rPr>
            </w:pPr>
            <w:r>
              <w:rPr>
                <w:rFonts w:hint="eastAsia" w:ascii="宋体" w:hAnsi="宋体" w:cs="宋体"/>
                <w:color w:val="000000"/>
              </w:rPr>
              <w:t xml:space="preserve">（2）技术负责人具有高级及以上工程师职称证书或信息系统项目管理师或系统架构师证书的，得4分。</w:t>
            </w:r>
            <w:r>
              <w:rPr>
                <w:rFonts w:hint="eastAsia" w:ascii="宋体" w:hAnsi="宋体" w:cs="宋体"/>
                <w:color w:val="000000"/>
              </w:rPr>
            </w:r>
            <w:r/>
          </w:p>
          <w:p>
            <w:pPr>
              <w:pStyle w:val="934"/>
              <w:spacing w:line="264" w:lineRule="auto"/>
              <w:rPr>
                <w:color w:val="000000"/>
              </w:rPr>
            </w:pPr>
            <w:r>
              <w:rPr>
                <w:rFonts w:ascii="宋体" w:hAnsi="宋体" w:cs="宋体"/>
                <w:color w:val="000000"/>
                <w:lang w:val="zh-CN"/>
              </w:rPr>
              <w:t xml:space="preserve">（提供上述</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rPr>
              <w:t xml:space="preserve">证明材料及投标人为其缴纳2026年任意一个月的社保证明材料，缺一不可）</w:t>
            </w:r>
            <w:r>
              <w:rPr>
                <w:color w:val="000000"/>
              </w:rPr>
            </w:r>
            <w:r/>
          </w:p>
        </w:tc>
        <w:tc>
          <w:tcPr>
            <w:tcW w:w="647" w:type="dxa"/>
            <w:vAlign w:val="center"/>
            <w:textDirection w:val="lrTb"/>
            <w:noWrap w:val="false"/>
          </w:tcPr>
          <w:p>
            <w:pPr>
              <w:pStyle w:val="934"/>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00" w:type="dxa"/>
            <w:vAlign w:val="center"/>
            <w:textDirection w:val="lrTb"/>
            <w:noWrap w:val="false"/>
          </w:tcPr>
          <w:p>
            <w:pPr>
              <w:pStyle w:val="934"/>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934"/>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履约能力2</w:t>
            </w:r>
            <w:r>
              <w:rPr>
                <w:rFonts w:hint="eastAsia"/>
                <w:color w:val="000000"/>
              </w:rPr>
            </w:r>
            <w:r/>
          </w:p>
        </w:tc>
        <w:tc>
          <w:tcPr>
            <w:tcW w:w="6330" w:type="dxa"/>
            <w:vAlign w:val="center"/>
            <w:textDirection w:val="lrTb"/>
            <w:noWrap w:val="false"/>
          </w:tcPr>
          <w:p>
            <w:pPr>
              <w:pStyle w:val="934"/>
              <w:spacing w:line="264" w:lineRule="auto"/>
              <w:rPr>
                <w:rFonts w:hint="eastAsia" w:ascii="宋体" w:hAnsi="宋体" w:cs="宋体"/>
                <w:color w:val="000000"/>
              </w:rPr>
            </w:pPr>
            <w:r>
              <w:rPr>
                <w:rFonts w:hint="eastAsia" w:ascii="宋体" w:hAnsi="宋体" w:cs="宋体"/>
                <w:color w:val="000000"/>
              </w:rPr>
              <w:t xml:space="preserve">项目实施团队能力（不含项目负责人和技术负责人）：</w:t>
            </w:r>
            <w:r>
              <w:rPr>
                <w:rFonts w:hint="eastAsia" w:ascii="宋体" w:hAnsi="宋体" w:cs="宋体"/>
                <w:color w:val="000000"/>
              </w:rPr>
            </w:r>
            <w:r/>
          </w:p>
          <w:p>
            <w:pPr>
              <w:pStyle w:val="934"/>
              <w:spacing w:line="264" w:lineRule="auto"/>
              <w:rPr>
                <w:rFonts w:hint="eastAsia" w:ascii="宋体" w:hAnsi="宋体" w:cs="宋体"/>
                <w:color w:val="000000"/>
              </w:rPr>
            </w:pPr>
            <w:r>
              <w:rPr>
                <w:rFonts w:hint="eastAsia" w:ascii="宋体" w:hAnsi="宋体" w:cs="宋体"/>
                <w:color w:val="000000"/>
              </w:rPr>
              <w:t xml:space="preserve">（1）具有高级及以上职称证书，每提供一个得2分；具有中级工程师职称证书，每提供一个得1分；最高得8分。</w:t>
            </w:r>
            <w:r>
              <w:rPr>
                <w:rFonts w:hint="eastAsia" w:ascii="宋体" w:hAnsi="宋体" w:cs="宋体"/>
                <w:color w:val="000000"/>
              </w:rPr>
            </w:r>
            <w:r/>
          </w:p>
          <w:p>
            <w:pPr>
              <w:pStyle w:val="934"/>
              <w:spacing w:line="264" w:lineRule="auto"/>
              <w:rPr>
                <w:rFonts w:hint="eastAsia" w:ascii="宋体" w:hAnsi="宋体" w:cs="宋体"/>
                <w:color w:val="000000"/>
              </w:rPr>
            </w:pPr>
            <w:r>
              <w:rPr>
                <w:rFonts w:hint="eastAsia" w:ascii="宋体" w:hAnsi="宋体" w:cs="宋体"/>
                <w:color w:val="000000"/>
              </w:rPr>
              <w:t xml:space="preserve">（2）具有信息系统项目管理师证书、系统分析师证书、数据库系统工程师证书的，每提供一个得2分，最多得6分。</w:t>
            </w:r>
            <w:r>
              <w:rPr>
                <w:rFonts w:hint="eastAsia" w:ascii="宋体" w:hAnsi="宋体" w:cs="宋体"/>
                <w:color w:val="000000"/>
              </w:rPr>
            </w:r>
            <w:r/>
          </w:p>
          <w:p>
            <w:pPr>
              <w:pStyle w:val="934"/>
              <w:rPr>
                <w:rFonts w:hint="eastAsia"/>
                <w:color w:val="000000"/>
              </w:rPr>
            </w:pPr>
            <w:r>
              <w:rPr>
                <w:rFonts w:hint="eastAsia" w:ascii="宋体" w:hAnsi="宋体" w:cs="宋体"/>
                <w:color w:val="000000"/>
              </w:rPr>
              <w:t xml:space="preserve">（多人一证、一人多证不重复计分，提供团队成员证书证明材料以及投标人为其缴纳2026年以来任意一个月的社保证明材料，缺一不可）</w:t>
            </w:r>
            <w:r>
              <w:rPr>
                <w:rFonts w:hint="eastAsia"/>
                <w:color w:val="000000"/>
              </w:rPr>
            </w:r>
            <w:r/>
          </w:p>
        </w:tc>
        <w:tc>
          <w:tcPr>
            <w:tcW w:w="647" w:type="dxa"/>
            <w:vAlign w:val="center"/>
            <w:textDirection w:val="lrTb"/>
            <w:noWrap w:val="false"/>
          </w:tcPr>
          <w:p>
            <w:pPr>
              <w:pStyle w:val="934"/>
              <w:jc w:val="center"/>
              <w:spacing w:before="68" w:line="264" w:lineRule="auto"/>
              <w:rPr>
                <w:rFonts w:ascii="宋体" w:hAnsi="宋体" w:cs="宋体"/>
                <w:color w:val="000000"/>
              </w:rPr>
            </w:pPr>
            <w:r>
              <w:rPr>
                <w:rFonts w:hint="eastAsia" w:ascii="宋体" w:hAnsi="宋体" w:cs="宋体"/>
                <w:color w:val="000000"/>
              </w:rPr>
              <w:t xml:space="preserve">14</w:t>
            </w:r>
            <w:r>
              <w:rPr>
                <w:rFonts w:ascii="宋体" w:hAnsi="宋体" w:cs="宋体"/>
                <w:color w:val="000000"/>
              </w:rPr>
            </w:r>
            <w:r/>
          </w:p>
        </w:tc>
        <w:tc>
          <w:tcPr>
            <w:tcW w:w="900" w:type="dxa"/>
            <w:vAlign w:val="center"/>
            <w:textDirection w:val="lrTb"/>
            <w:noWrap w:val="false"/>
          </w:tcPr>
          <w:p>
            <w:pPr>
              <w:pStyle w:val="934"/>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934"/>
              <w:jc w:val="center"/>
              <w:spacing w:before="68" w:line="264" w:lineRule="auto"/>
              <w:rPr>
                <w:rFonts w:ascii="宋体" w:hAnsi="宋体" w:cs="宋体"/>
                <w:color w:val="000000"/>
                <w:spacing w:val="-2"/>
              </w:rPr>
            </w:pPr>
            <w:r>
              <w:rPr>
                <w:rFonts w:hint="eastAsia" w:ascii="宋体" w:hAnsi="宋体" w:cs="宋体"/>
                <w:color w:val="000000"/>
                <w:spacing w:val="-2"/>
              </w:rPr>
              <w:t xml:space="preserve">5.3</w:t>
            </w:r>
            <w:r>
              <w:rPr>
                <w:rFonts w:ascii="宋体" w:hAnsi="宋体" w:cs="宋体"/>
                <w:color w:val="000000"/>
                <w:spacing w:val="-2"/>
              </w:rPr>
            </w:r>
            <w:r/>
          </w:p>
        </w:tc>
        <w:tc>
          <w:tcPr>
            <w:tcW w:w="1179" w:type="dxa"/>
            <w:vAlign w:val="center"/>
            <w:textDirection w:val="lrTb"/>
            <w:noWrap w:val="false"/>
          </w:tcPr>
          <w:p>
            <w:pPr>
              <w:pStyle w:val="934"/>
              <w:spacing w:line="264" w:lineRule="auto"/>
              <w:rPr>
                <w:rFonts w:hint="eastAsia"/>
                <w:color w:val="000000"/>
              </w:rPr>
            </w:pPr>
            <w:r>
              <w:rPr>
                <w:rFonts w:hint="eastAsia"/>
                <w:color w:val="000000"/>
              </w:rPr>
              <w:t xml:space="preserve">履约能力3</w:t>
            </w:r>
            <w:r>
              <w:rPr>
                <w:rFonts w:hint="eastAsia"/>
                <w:color w:val="000000"/>
              </w:rPr>
            </w:r>
            <w:r/>
          </w:p>
        </w:tc>
        <w:tc>
          <w:tcPr>
            <w:tcW w:w="6330" w:type="dxa"/>
            <w:vAlign w:val="center"/>
            <w:textDirection w:val="lrTb"/>
            <w:noWrap w:val="false"/>
          </w:tcPr>
          <w:p>
            <w:pPr>
              <w:pStyle w:val="934"/>
              <w:spacing w:line="264" w:lineRule="auto"/>
              <w:rPr>
                <w:rFonts w:hint="eastAsia" w:ascii="宋体" w:hAnsi="宋体" w:cs="宋体"/>
                <w:color w:val="000000"/>
              </w:rPr>
            </w:pPr>
            <w:r>
              <w:rPr>
                <w:rFonts w:hint="eastAsia" w:ascii="宋体" w:hAnsi="宋体" w:cs="宋体"/>
                <w:color w:val="000000"/>
              </w:rPr>
              <w:t xml:space="preserve">投标人具有本项目相关的软件著作权证书，包括自然资源业务审批类、不动产登记类、国土空间规划类相关内容，每提供1个证书得</w:t>
            </w:r>
            <w:r>
              <w:rPr>
                <w:rFonts w:ascii="宋体" w:hAnsi="宋体" w:cs="宋体"/>
                <w:color w:val="000000"/>
              </w:rPr>
              <w:t xml:space="preserve">1</w:t>
            </w:r>
            <w:r>
              <w:rPr>
                <w:rFonts w:hint="eastAsia" w:ascii="宋体" w:hAnsi="宋体" w:cs="宋体"/>
                <w:color w:val="000000"/>
              </w:rPr>
              <w:t xml:space="preserve">分。 </w:t>
            </w:r>
            <w:r>
              <w:rPr>
                <w:rFonts w:hint="eastAsia" w:ascii="宋体" w:hAnsi="宋体" w:cs="宋体"/>
                <w:color w:val="000000"/>
              </w:rPr>
            </w:r>
            <w:r/>
          </w:p>
          <w:p>
            <w:pPr>
              <w:pStyle w:val="934"/>
              <w:spacing w:line="264" w:lineRule="auto"/>
              <w:rPr>
                <w:rFonts w:hint="eastAsia"/>
                <w:color w:val="000000"/>
              </w:rPr>
            </w:pPr>
            <w:r>
              <w:rPr>
                <w:rFonts w:hint="eastAsia" w:ascii="宋体" w:hAnsi="宋体" w:cs="宋体"/>
                <w:color w:val="000000"/>
              </w:rPr>
              <w:t xml:space="preserve">（所提供证书</w:t>
            </w:r>
            <w:r>
              <w:rPr>
                <w:rFonts w:ascii="宋体" w:hAnsi="宋体" w:cs="宋体"/>
                <w:color w:val="000000"/>
              </w:rPr>
              <w:t xml:space="preserve">“</w:t>
            </w:r>
            <w:r>
              <w:rPr>
                <w:rFonts w:hint="eastAsia" w:ascii="宋体" w:hAnsi="宋体" w:cs="宋体"/>
                <w:color w:val="000000"/>
              </w:rPr>
              <w:t xml:space="preserve">软件名称</w:t>
            </w:r>
            <w:r>
              <w:rPr>
                <w:rFonts w:ascii="宋体" w:hAnsi="宋体" w:cs="宋体"/>
                <w:color w:val="000000"/>
              </w:rPr>
              <w:t xml:space="preserve">”</w:t>
            </w:r>
            <w:r>
              <w:rPr>
                <w:rFonts w:hint="eastAsia" w:ascii="宋体" w:hAnsi="宋体" w:cs="宋体"/>
                <w:color w:val="000000"/>
              </w:rPr>
              <w:t xml:space="preserve">与评分细则规定不同时，应提供符合上述要求的内容（功能）说明及关键信息，否则不予认可。）</w:t>
            </w:r>
            <w:r>
              <w:rPr>
                <w:rFonts w:hint="eastAsia"/>
                <w:color w:val="000000"/>
              </w:rPr>
            </w:r>
            <w:r/>
          </w:p>
        </w:tc>
        <w:tc>
          <w:tcPr>
            <w:tcW w:w="647"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900" w:type="dxa"/>
            <w:vAlign w:val="center"/>
            <w:textDirection w:val="lrTb"/>
            <w:noWrap w:val="false"/>
          </w:tcPr>
          <w:p>
            <w:pPr>
              <w:pStyle w:val="934"/>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464"/>
        </w:trPr>
        <w:tc>
          <w:tcPr>
            <w:tcW w:w="519" w:type="dxa"/>
            <w:vAlign w:val="center"/>
            <w:textDirection w:val="lrTb"/>
            <w:noWrap w:val="false"/>
          </w:tcPr>
          <w:p>
            <w:pPr>
              <w:pStyle w:val="934"/>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934"/>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934"/>
              <w:jc w:val="center"/>
              <w:spacing w:line="264" w:lineRule="auto"/>
              <w:rPr>
                <w:color w:val="000000"/>
              </w:rPr>
            </w:pPr>
            <w:r>
              <w:rPr>
                <w:rFonts w:ascii="宋体" w:hAnsi="宋体" w:cs="宋体"/>
                <w:color w:val="000000"/>
                <w:spacing w:val="-11"/>
              </w:rPr>
              <w:t xml:space="preserve">100分</w:t>
            </w:r>
            <w:r>
              <w:rPr>
                <w:color w:val="000000"/>
              </w:rPr>
            </w:r>
            <w:r/>
          </w:p>
        </w:tc>
      </w:tr>
    </w:tbl>
    <w:p>
      <w:pPr>
        <w:pStyle w:val="934"/>
        <w:spacing w:line="264" w:lineRule="auto"/>
        <w:rPr>
          <w:rFonts w:hint="eastAsia"/>
          <w:color w:val="000000"/>
        </w:rPr>
      </w:pPr>
      <w:r>
        <w:rPr>
          <w:rFonts w:hint="eastAsia"/>
          <w:color w:val="000000"/>
        </w:rPr>
      </w:r>
      <w:r/>
    </w:p>
    <w:p>
      <w:pPr>
        <w:pStyle w:val="934"/>
        <w:spacing w:line="264" w:lineRule="auto"/>
        <w:rPr>
          <w:rFonts w:hint="eastAsia"/>
          <w:color w:val="000000"/>
        </w:rPr>
      </w:pPr>
      <w:r>
        <w:rPr>
          <w:rFonts w:hint="eastAsia"/>
          <w:color w:val="000000"/>
        </w:rPr>
      </w:r>
      <w:r/>
    </w:p>
    <w:p>
      <w:pPr>
        <w:pStyle w:val="934"/>
        <w:spacing w:line="264" w:lineRule="auto"/>
        <w:rPr>
          <w:rFonts w:hint="eastAsia"/>
          <w:color w:val="000000"/>
        </w:rPr>
      </w:pPr>
      <w:r>
        <w:rPr>
          <w:rFonts w:hint="eastAsia"/>
          <w:color w:val="000000"/>
        </w:rPr>
      </w:r>
      <w:r/>
    </w:p>
    <w:p>
      <w:pPr>
        <w:pStyle w:val="1013"/>
        <w:rPr>
          <w:rFonts w:hint="eastAsia"/>
          <w:color w:val="000000"/>
        </w:rPr>
      </w:pPr>
      <w:r>
        <w:rPr>
          <w:rFonts w:hint="eastAsia"/>
          <w:color w:val="000000"/>
        </w:rPr>
      </w:r>
      <w:r/>
    </w:p>
    <w:p>
      <w:pPr>
        <w:pStyle w:val="934"/>
        <w:rPr>
          <w:rFonts w:hint="eastAsia"/>
          <w:color w:val="000000"/>
        </w:rPr>
      </w:pPr>
      <w:r>
        <w:rPr>
          <w:rFonts w:hint="eastAsia"/>
          <w:color w:val="000000"/>
        </w:rPr>
      </w:r>
      <w:r/>
    </w:p>
    <w:p>
      <w:pPr>
        <w:pStyle w:val="1013"/>
        <w:rPr>
          <w:rFonts w:hint="eastAsia"/>
          <w:color w:val="000000"/>
        </w:rPr>
      </w:pPr>
      <w:r>
        <w:rPr>
          <w:rFonts w:hint="eastAsia"/>
          <w:color w:val="000000"/>
        </w:rPr>
      </w:r>
      <w:r/>
    </w:p>
    <w:p>
      <w:pPr>
        <w:pStyle w:val="934"/>
        <w:rPr>
          <w:rFonts w:hint="eastAsia"/>
          <w:color w:val="000000"/>
        </w:rPr>
      </w:pPr>
      <w:r>
        <w:rPr>
          <w:rFonts w:hint="eastAsia"/>
          <w:color w:val="000000"/>
        </w:rPr>
      </w:r>
      <w:r/>
    </w:p>
    <w:p>
      <w:pPr>
        <w:pStyle w:val="1013"/>
        <w:rPr>
          <w:rFonts w:hint="eastAsia"/>
          <w:color w:val="000000"/>
        </w:rPr>
      </w:pPr>
      <w:r>
        <w:rPr>
          <w:rFonts w:hint="eastAsia"/>
          <w:color w:val="000000"/>
        </w:rPr>
      </w:r>
      <w:r/>
    </w:p>
    <w:p>
      <w:pPr>
        <w:pStyle w:val="934"/>
        <w:rPr>
          <w:rFonts w:hint="eastAsia"/>
          <w:color w:val="000000"/>
        </w:rPr>
      </w:pPr>
      <w:r>
        <w:rPr>
          <w:rFonts w:hint="eastAsia"/>
          <w:color w:val="000000"/>
        </w:rPr>
      </w:r>
      <w:r/>
    </w:p>
    <w:p>
      <w:pPr>
        <w:pStyle w:val="1013"/>
        <w:rPr>
          <w:rFonts w:hint="eastAsia"/>
          <w:color w:val="000000"/>
        </w:rPr>
      </w:pPr>
      <w:r>
        <w:rPr>
          <w:rFonts w:hint="eastAsia"/>
          <w:color w:val="000000"/>
        </w:rPr>
      </w:r>
      <w:r/>
    </w:p>
    <w:p>
      <w:pPr>
        <w:pStyle w:val="934"/>
        <w:jc w:val="center"/>
        <w:rPr>
          <w:rFonts w:hint="eastAsia" w:ascii="方正小标宋简体" w:hAnsi="方正小标宋简体" w:eastAsia="方正小标宋简体" w:cs="方正小标宋简体"/>
          <w:color w:val="000000"/>
          <w:sz w:val="36"/>
          <w:szCs w:val="36"/>
        </w:rPr>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6"/>
      <w:r/>
      <w:bookmarkEnd w:id="57"/>
      <w:r/>
      <w:bookmarkEnd w:id="59"/>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934"/>
        <w:jc w:val="center"/>
        <w:rPr>
          <w:rFonts w:hint="eastAsia" w:ascii="宋体" w:hAnsi="宋体"/>
          <w:b/>
          <w:color w:val="000000"/>
          <w:sz w:val="72"/>
        </w:rPr>
      </w:pPr>
      <w:r/>
      <w:bookmarkStart w:id="60" w:name="_Hlt26671244"/>
      <w:r/>
      <w:bookmarkEnd w:id="60"/>
      <w:r/>
      <w:bookmarkStart w:id="61" w:name="_Hlt26955039"/>
      <w:r/>
      <w:bookmarkEnd w:id="61"/>
      <w:r/>
      <w:bookmarkStart w:id="62" w:name="_Toc120614282"/>
      <w:r/>
      <w:bookmarkStart w:id="63" w:name="_Toc49090576"/>
      <w:r/>
      <w:bookmarkStart w:id="64" w:name="_Toc26554094"/>
      <w:r>
        <w:rPr>
          <w:rFonts w:hint="eastAsia" w:ascii="宋体" w:hAnsi="宋体"/>
          <w:b/>
          <w:color w:val="000000"/>
          <w:sz w:val="72"/>
        </w:rPr>
      </w:r>
      <w:r/>
    </w:p>
    <w:p>
      <w:pPr>
        <w:pStyle w:val="934"/>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34"/>
        <w:jc w:val="center"/>
        <w:rPr>
          <w:rFonts w:hint="eastAsia" w:ascii="宋体" w:hAnsi="宋体"/>
          <w:b/>
          <w:color w:val="000000"/>
          <w:sz w:val="72"/>
        </w:rPr>
      </w:pPr>
      <w:r>
        <w:rPr>
          <w:rFonts w:hint="eastAsia" w:ascii="宋体" w:hAnsi="宋体"/>
          <w:b/>
          <w:color w:val="000000"/>
          <w:sz w:val="72"/>
        </w:rPr>
      </w:r>
      <w:r/>
    </w:p>
    <w:p>
      <w:pPr>
        <w:pStyle w:val="934"/>
        <w:jc w:val="center"/>
        <w:rPr>
          <w:rFonts w:hint="eastAsia" w:ascii="宋体" w:hAnsi="宋体"/>
          <w:b/>
          <w:color w:val="000000"/>
          <w:sz w:val="72"/>
        </w:rPr>
      </w:pPr>
      <w:r>
        <w:rPr>
          <w:rFonts w:hint="eastAsia" w:ascii="宋体" w:hAnsi="宋体"/>
          <w:b/>
          <w:color w:val="000000"/>
          <w:sz w:val="72"/>
        </w:rPr>
      </w:r>
      <w:r/>
    </w:p>
    <w:p>
      <w:pPr>
        <w:pStyle w:val="934"/>
        <w:jc w:val="center"/>
        <w:rPr>
          <w:rFonts w:hint="eastAsia" w:ascii="宋体" w:hAnsi="宋体"/>
          <w:b/>
          <w:color w:val="000000"/>
          <w:sz w:val="36"/>
        </w:rPr>
      </w:pPr>
      <w:r>
        <w:rPr>
          <w:rFonts w:hint="eastAsia" w:ascii="宋体" w:hAnsi="宋体"/>
          <w:b/>
          <w:color w:val="000000"/>
          <w:sz w:val="36"/>
        </w:rPr>
      </w:r>
      <w:r/>
    </w:p>
    <w:p>
      <w:pPr>
        <w:pStyle w:val="934"/>
        <w:jc w:val="center"/>
        <w:rPr>
          <w:rFonts w:hint="eastAsia" w:ascii="宋体" w:hAnsi="宋体"/>
          <w:b/>
          <w:color w:val="000000"/>
          <w:sz w:val="36"/>
        </w:rPr>
      </w:pPr>
      <w:r>
        <w:rPr>
          <w:rFonts w:hint="eastAsia" w:ascii="宋体" w:hAnsi="宋体"/>
          <w:b/>
          <w:color w:val="000000"/>
          <w:sz w:val="36"/>
        </w:rPr>
      </w:r>
      <w:r/>
    </w:p>
    <w:p>
      <w:pPr>
        <w:pStyle w:val="934"/>
        <w:jc w:val="center"/>
        <w:rPr>
          <w:rFonts w:hint="eastAsia" w:ascii="宋体" w:hAnsi="宋体"/>
          <w:b/>
          <w:color w:val="000000"/>
          <w:sz w:val="36"/>
        </w:rPr>
      </w:pPr>
      <w:r>
        <w:rPr>
          <w:rFonts w:hint="eastAsia" w:ascii="宋体" w:hAnsi="宋体"/>
          <w:b/>
          <w:color w:val="000000"/>
          <w:sz w:val="36"/>
        </w:rPr>
      </w:r>
      <w:r/>
    </w:p>
    <w:p>
      <w:pPr>
        <w:pStyle w:val="934"/>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34"/>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34"/>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934"/>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9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4"/>
        <w:spacing w:line="440" w:lineRule="exact"/>
        <w:rPr>
          <w:rFonts w:ascii="宋体" w:hAnsi="宋体"/>
          <w:color w:val="000000"/>
        </w:rPr>
      </w:pPr>
      <w:r>
        <w:rPr>
          <w:rFonts w:ascii="宋体" w:hAnsi="宋体"/>
          <w:color w:val="000000"/>
        </w:rPr>
      </w:r>
      <w:r/>
    </w:p>
    <w:p>
      <w:pPr>
        <w:pStyle w:val="934"/>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一、信用承诺函</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二、法定代表人授权委托书</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三、投标函</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四、开标一览表</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五、投标分项报价表</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六、技术要求响应及偏离表</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七、商务要求响应及偏离表</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八、中小企业声明函（如有）</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九、残疾人福利性单位声明函（如有）</w:t>
      </w: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3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34"/>
        <w:ind w:firstLine="480"/>
        <w:spacing w:line="440" w:lineRule="exact"/>
        <w:rPr>
          <w:rFonts w:ascii="宋体" w:hAnsi="宋体"/>
          <w:color w:val="000000"/>
          <w:sz w:val="24"/>
        </w:rPr>
      </w:pPr>
      <w:r>
        <w:rPr>
          <w:rFonts w:ascii="宋体" w:hAnsi="宋体"/>
          <w:color w:val="000000"/>
          <w:sz w:val="24"/>
        </w:rPr>
      </w:r>
      <w:r/>
    </w:p>
    <w:p>
      <w:pPr>
        <w:pStyle w:val="934"/>
        <w:ind w:firstLine="480"/>
        <w:spacing w:line="440" w:lineRule="exact"/>
        <w:rPr>
          <w:rFonts w:ascii="宋体" w:hAnsi="宋体"/>
          <w:color w:val="000000"/>
          <w:sz w:val="24"/>
        </w:rPr>
      </w:pPr>
      <w:r>
        <w:rPr>
          <w:rFonts w:ascii="宋体" w:hAnsi="宋体"/>
          <w:color w:val="000000"/>
          <w:sz w:val="24"/>
        </w:rPr>
      </w:r>
      <w:r/>
    </w:p>
    <w:p>
      <w:pPr>
        <w:pStyle w:val="1019"/>
        <w:rPr>
          <w:color w:val="000000"/>
          <w:sz w:val="24"/>
        </w:rPr>
      </w:pPr>
      <w:r>
        <w:rPr>
          <w:color w:val="000000"/>
          <w:sz w:val="24"/>
        </w:rPr>
      </w:r>
      <w:r/>
    </w:p>
    <w:p>
      <w:pPr>
        <w:pStyle w:val="1019"/>
        <w:rPr>
          <w:color w:val="000000"/>
          <w:sz w:val="24"/>
        </w:rPr>
      </w:pPr>
      <w:r>
        <w:rPr>
          <w:color w:val="000000"/>
          <w:sz w:val="24"/>
        </w:rPr>
      </w:r>
      <w:r/>
    </w:p>
    <w:p>
      <w:pPr>
        <w:pStyle w:val="1019"/>
        <w:rPr>
          <w:color w:val="000000"/>
          <w:sz w:val="24"/>
        </w:rPr>
      </w:pPr>
      <w:r>
        <w:rPr>
          <w:color w:val="000000"/>
          <w:sz w:val="24"/>
        </w:rPr>
      </w:r>
      <w:r/>
    </w:p>
    <w:p>
      <w:pPr>
        <w:pStyle w:val="1019"/>
        <w:rPr>
          <w:color w:val="000000"/>
          <w:sz w:val="24"/>
        </w:rPr>
      </w:pPr>
      <w:r>
        <w:rPr>
          <w:color w:val="000000"/>
          <w:sz w:val="24"/>
        </w:rPr>
      </w:r>
      <w:r/>
    </w:p>
    <w:p>
      <w:pPr>
        <w:pStyle w:val="1019"/>
        <w:rPr>
          <w:color w:val="000000"/>
          <w:sz w:val="24"/>
        </w:rPr>
      </w:pPr>
      <w:r>
        <w:rPr>
          <w:color w:val="000000"/>
          <w:sz w:val="24"/>
        </w:rPr>
      </w:r>
      <w:r/>
    </w:p>
    <w:p>
      <w:pPr>
        <w:pStyle w:val="934"/>
        <w:ind w:firstLine="480"/>
        <w:spacing w:line="440" w:lineRule="exact"/>
        <w:rPr>
          <w:rFonts w:ascii="宋体" w:hAnsi="宋体"/>
          <w:color w:val="000000"/>
          <w:sz w:val="24"/>
        </w:rPr>
      </w:pPr>
      <w:r>
        <w:rPr>
          <w:rFonts w:ascii="宋体" w:hAnsi="宋体"/>
          <w:color w:val="000000"/>
          <w:sz w:val="24"/>
        </w:rPr>
      </w:r>
      <w:r/>
    </w:p>
    <w:p>
      <w:pPr>
        <w:pStyle w:val="934"/>
        <w:jc w:val="left"/>
        <w:spacing w:line="360" w:lineRule="auto"/>
        <w:rPr>
          <w:rFonts w:hint="eastAsia" w:ascii="黑体" w:hAnsi="黑体" w:eastAsia="黑体"/>
          <w:color w:val="000000"/>
          <w:sz w:val="32"/>
          <w:szCs w:val="32"/>
        </w:rPr>
      </w:pPr>
      <w:r/>
      <w:bookmarkEnd w:id="62"/>
      <w:r/>
      <w:bookmarkEnd w:id="63"/>
      <w:r/>
      <w:bookmarkEnd w:id="64"/>
      <w:r/>
      <w:bookmarkStart w:id="65" w:name="_Toc120614284"/>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一、信用承诺函</w:t>
      </w:r>
      <w:r>
        <w:rPr>
          <w:rFonts w:hint="eastAsia" w:ascii="黑体" w:hAnsi="黑体" w:eastAsia="黑体"/>
          <w:color w:val="000000"/>
          <w:sz w:val="32"/>
          <w:szCs w:val="32"/>
        </w:rPr>
      </w:r>
      <w:r/>
    </w:p>
    <w:p>
      <w:pPr>
        <w:pStyle w:val="93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34"/>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934"/>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3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34"/>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934"/>
        <w:ind w:firstLine="492"/>
        <w:spacing w:line="460" w:lineRule="exact"/>
        <w:rPr>
          <w:color w:val="000000"/>
          <w:sz w:val="24"/>
          <w:szCs w:val="24"/>
        </w:rPr>
      </w:pPr>
      <w:r>
        <w:rPr>
          <w:color w:val="000000"/>
          <w:sz w:val="24"/>
          <w:szCs w:val="24"/>
        </w:rPr>
      </w:r>
      <w:r/>
    </w:p>
    <w:p>
      <w:pPr>
        <w:pStyle w:val="1056"/>
        <w:rPr>
          <w:color w:val="000000"/>
          <w:sz w:val="24"/>
          <w:szCs w:val="24"/>
        </w:rPr>
      </w:pPr>
      <w:r>
        <w:rPr>
          <w:color w:val="000000"/>
          <w:sz w:val="24"/>
          <w:szCs w:val="24"/>
        </w:rPr>
      </w:r>
      <w:r/>
    </w:p>
    <w:p>
      <w:pPr>
        <w:pStyle w:val="934"/>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4"/>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4"/>
        <w:rPr>
          <w:color w:val="000000"/>
          <w:sz w:val="24"/>
          <w:szCs w:val="24"/>
        </w:rPr>
      </w:pPr>
      <w:r>
        <w:rPr>
          <w:color w:val="000000"/>
          <w:sz w:val="24"/>
          <w:szCs w:val="24"/>
        </w:rPr>
      </w:r>
      <w:r/>
    </w:p>
    <w:p>
      <w:pPr>
        <w:pStyle w:val="934"/>
        <w:spacing w:line="440" w:lineRule="exact"/>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黑体" w:hAnsi="黑体" w:eastAsia="黑体"/>
          <w:color w:val="000000"/>
          <w:sz w:val="32"/>
          <w:szCs w:val="32"/>
        </w:rPr>
      </w:pPr>
      <w:r>
        <w:rPr>
          <w:rFonts w:hint="eastAsia" w:ascii="宋体" w:hAnsi="宋体"/>
          <w:color w:val="000000"/>
          <w:sz w:val="24"/>
          <w:szCs w:val="24"/>
        </w:rPr>
        <w:br w:type="page" w:clear="all"/>
      </w:r>
      <w:r>
        <w:rPr>
          <w:rFonts w:hint="eastAsia" w:ascii="黑体" w:hAnsi="黑体" w:eastAsia="黑体"/>
          <w:color w:val="000000"/>
          <w:sz w:val="32"/>
          <w:szCs w:val="32"/>
        </w:rPr>
        <w:t xml:space="preserve">二、法定代表人授权委托书</w:t>
      </w:r>
      <w:r>
        <w:rPr>
          <w:rFonts w:hint="eastAsia" w:ascii="黑体" w:hAnsi="黑体" w:eastAsia="黑体"/>
          <w:color w:val="000000"/>
          <w:sz w:val="32"/>
          <w:szCs w:val="32"/>
        </w:rPr>
      </w:r>
      <w:r/>
    </w:p>
    <w:p>
      <w:pPr>
        <w:pStyle w:val="93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1028"/>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委托期限：自本授权委托书签署之日起至投标有效期届满之日止。</w:t>
      </w:r>
      <w:r>
        <w:rPr>
          <w:rFonts w:hint="eastAsia"/>
          <w:color w:val="000000"/>
          <w:sz w:val="24"/>
          <w:szCs w:val="24"/>
        </w:rPr>
      </w:r>
      <w:r/>
    </w:p>
    <w:p>
      <w:pPr>
        <w:pStyle w:val="1028"/>
        <w:ind w:firstLine="480"/>
        <w:spacing w:line="480" w:lineRule="exact"/>
        <w:tabs>
          <w:tab w:val="left" w:pos="360" w:leader="none"/>
        </w:tabs>
        <w:rPr>
          <w:color w:val="000000"/>
          <w:sz w:val="24"/>
          <w:szCs w:val="24"/>
        </w:rPr>
      </w:pPr>
      <w:r>
        <w:rPr>
          <w:rFonts w:hint="eastAsia"/>
          <w:color w:val="000000"/>
          <w:sz w:val="24"/>
          <w:szCs w:val="24"/>
        </w:rPr>
        <w:t xml:space="preserve">代理人无转委托权。</w:t>
      </w:r>
      <w:r>
        <w:rPr>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投标人名称（加盖公章）：________________</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法定代表人（单位负责人）（签字或签章）：________________</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代理人（签字或签章）：________________ </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代理人联系方式（手机号码）：________________ </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日期：_____年______月______日</w:t>
      </w:r>
      <w:r>
        <w:rPr>
          <w:rFonts w:hint="eastAsia"/>
          <w:color w:val="000000"/>
          <w:sz w:val="24"/>
          <w:szCs w:val="24"/>
        </w:rPr>
      </w:r>
      <w:r/>
    </w:p>
    <w:p>
      <w:pPr>
        <w:pStyle w:val="1028"/>
        <w:ind w:firstLine="480"/>
        <w:spacing w:line="480" w:lineRule="exact"/>
        <w:tabs>
          <w:tab w:val="left" w:pos="360" w:leader="none"/>
        </w:tabs>
        <w:rPr>
          <w:color w:val="000000"/>
          <w:sz w:val="24"/>
          <w:szCs w:val="24"/>
        </w:rPr>
      </w:pPr>
      <w:r>
        <w:rPr>
          <w:rFonts w:hint="eastAsia"/>
          <w:color w:val="000000"/>
          <w:sz w:val="24"/>
          <w:szCs w:val="24"/>
        </w:rPr>
        <w:t xml:space="preserve">附：法定代表人（单位负责人）及代理人有效身份证明文件</w:t>
      </w:r>
      <w:r>
        <w:rPr>
          <w:color w:val="000000"/>
          <w:sz w:val="24"/>
          <w:szCs w:val="24"/>
        </w:rPr>
      </w:r>
      <w:r/>
    </w:p>
    <w:p>
      <w:pPr>
        <w:pStyle w:val="953"/>
        <w:ind w:firstLine="0"/>
        <w:rPr>
          <w:rFonts w:hint="eastAsia"/>
          <w:color w:val="000000"/>
        </w:rPr>
      </w:pPr>
      <w:r>
        <w:rPr>
          <w:rFonts w:hint="eastAsia"/>
          <w:color w:val="000000"/>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3.投标人为自然人的，可不提供本《法定代表人授权委托书》。</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4.投标人应同时提供法定代表人（单位负责人）及代理人的身份证或护照等有效身份证明文件（彩色复印件或者彩色扫描件）。</w:t>
      </w:r>
      <w:r>
        <w:rPr>
          <w:rFonts w:hint="eastAsia"/>
          <w:b/>
          <w:bCs/>
          <w:color w:val="000000"/>
          <w:sz w:val="24"/>
          <w:szCs w:val="24"/>
        </w:rPr>
        <w:t xml:space="preserve">提供身份证的，应同时提供身份证双面</w:t>
      </w:r>
      <w:r>
        <w:rPr>
          <w:rFonts w:hint="eastAsia"/>
          <w:color w:val="000000"/>
          <w:sz w:val="24"/>
          <w:szCs w:val="24"/>
        </w:rPr>
        <w:t xml:space="preserve">。</w:t>
      </w:r>
      <w:r>
        <w:rPr>
          <w:rFonts w:hint="eastAsia"/>
          <w:color w:val="000000"/>
          <w:sz w:val="24"/>
          <w:szCs w:val="24"/>
        </w:rPr>
      </w:r>
      <w:r/>
    </w:p>
    <w:p>
      <w:pPr>
        <w:pStyle w:val="1028"/>
        <w:ind w:firstLine="482"/>
        <w:spacing w:line="480" w:lineRule="exact"/>
        <w:tabs>
          <w:tab w:val="left" w:pos="360" w:leader="none"/>
        </w:tabs>
        <w:rPr>
          <w:rFonts w:hint="eastAsia"/>
          <w:b/>
          <w:bCs/>
          <w:color w:val="000000"/>
          <w:sz w:val="24"/>
          <w:szCs w:val="24"/>
        </w:rPr>
      </w:pPr>
      <w:r>
        <w:rPr>
          <w:rFonts w:hint="eastAsia"/>
          <w:b/>
          <w:bCs/>
          <w:color w:val="000000"/>
          <w:sz w:val="24"/>
          <w:szCs w:val="24"/>
        </w:rPr>
        <w:t xml:space="preserve">5.未按招标文件要求和格式提供《法定代表人授权委托书》的，将作为无效投标处理。</w:t>
      </w:r>
      <w:r>
        <w:rPr>
          <w:rFonts w:hint="eastAsia"/>
          <w:b/>
          <w:bCs/>
          <w:color w:val="000000"/>
          <w:sz w:val="24"/>
          <w:szCs w:val="24"/>
        </w:rPr>
      </w:r>
      <w:r/>
    </w:p>
    <w:p>
      <w:pPr>
        <w:pStyle w:val="934"/>
        <w:jc w:val="left"/>
        <w:spacing w:line="360" w:lineRule="auto"/>
        <w:rPr>
          <w:rFonts w:hint="eastAsia" w:ascii="黑体" w:hAnsi="黑体" w:eastAsia="黑体"/>
          <w:color w:val="000000"/>
          <w:sz w:val="32"/>
          <w:szCs w:val="32"/>
        </w:rPr>
      </w:pPr>
      <w:r>
        <w:rPr>
          <w:rFonts w:hint="eastAsia" w:ascii="楷体" w:hAnsi="楷体" w:eastAsia="楷体"/>
          <w:bCs/>
          <w:color w:val="000000"/>
          <w:sz w:val="24"/>
          <w:szCs w:val="24"/>
        </w:rPr>
        <w:br w:type="page" w:clear="all"/>
      </w:r>
      <w:r>
        <w:rPr>
          <w:rFonts w:hint="eastAsia" w:ascii="黑体" w:hAnsi="黑体" w:eastAsia="黑体"/>
          <w:color w:val="000000"/>
          <w:sz w:val="32"/>
          <w:szCs w:val="32"/>
        </w:rPr>
        <w:t xml:space="preserve">三、投标函</w:t>
      </w:r>
      <w:r>
        <w:rPr>
          <w:rFonts w:hint="eastAsia" w:ascii="黑体" w:hAnsi="黑体" w:eastAsia="黑体"/>
          <w:color w:val="000000"/>
          <w:sz w:val="32"/>
          <w:szCs w:val="32"/>
        </w:rPr>
      </w:r>
      <w:r/>
    </w:p>
    <w:p>
      <w:pPr>
        <w:pStyle w:val="93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0"/>
        <w:ind w:firstLine="0"/>
        <w:spacing w:before="0" w:after="0" w:line="420" w:lineRule="exact"/>
        <w:rPr>
          <w:rFonts w:hint="eastAsia" w:ascii="宋体" w:hAnsi="宋体"/>
          <w:color w:val="000000"/>
          <w:szCs w:val="21"/>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（采购人名称）</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color w:val="000000"/>
        </w:rPr>
        <w:t xml:space="preserve">的</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1.按招标文件规定的各项要求，向贵方提供所需服务（包含与服务相关的货物）。</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.一旦我方中标，我方将根据招标文件的规定，严格履行合同的责任和义务,并保证在招标文件规定的时间完成项目，交付贵方验收、使用。</w:t>
      </w:r>
      <w:r>
        <w:rPr>
          <w:rFonts w:hint="eastAsia" w:ascii="宋体" w:hAnsi="宋体"/>
          <w:color w:val="000000"/>
          <w:szCs w:val="21"/>
        </w:rPr>
      </w:r>
      <w:r/>
    </w:p>
    <w:p>
      <w:pPr>
        <w:pStyle w:val="934"/>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46"/>
        <w:ind w:firstLine="480"/>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事业单位或其他组织（在对应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rPr>
          <w:color w:val="000000"/>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30"/>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30"/>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30"/>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30"/>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34"/>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30"/>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93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3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3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四、开标一览表</w:t>
      </w:r>
      <w:r>
        <w:rPr>
          <w:rFonts w:hint="eastAsia" w:ascii="黑体" w:hAnsi="黑体" w:eastAsia="黑体"/>
          <w:color w:val="000000"/>
          <w:sz w:val="32"/>
          <w:szCs w:val="32"/>
        </w:rPr>
      </w:r>
      <w:r/>
    </w:p>
    <w:p>
      <w:pPr>
        <w:pStyle w:val="93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934"/>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4"/>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4"/>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4"/>
              <w:jc w:val="center"/>
              <w:spacing w:line="480"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30"/>
              <w:ind w:firstLine="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34"/>
        <w:spacing w:line="480" w:lineRule="auto"/>
        <w:rPr>
          <w:rFonts w:ascii="宋体" w:hAnsi="宋体"/>
          <w:color w:val="000000"/>
          <w:sz w:val="24"/>
          <w:szCs w:val="24"/>
        </w:rPr>
      </w:pPr>
      <w:r>
        <w:rPr>
          <w:rFonts w:ascii="宋体" w:hAnsi="宋体"/>
          <w:color w:val="000000"/>
          <w:sz w:val="24"/>
          <w:szCs w:val="24"/>
        </w:rPr>
      </w:r>
      <w:r/>
    </w:p>
    <w:p>
      <w:pPr>
        <w:pStyle w:val="934"/>
        <w:ind w:firstLine="48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34"/>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46"/>
        <w:rPr>
          <w:rFonts w:hint="eastAsia"/>
          <w:color w:val="000000"/>
        </w:rPr>
      </w:pPr>
      <w:r>
        <w:rPr>
          <w:rFonts w:hint="eastAsia"/>
          <w:color w:val="000000"/>
        </w:rPr>
      </w:r>
      <w:r/>
    </w:p>
    <w:p>
      <w:pPr>
        <w:pStyle w:val="934"/>
        <w:spacing w:line="360" w:lineRule="auto"/>
        <w:rPr>
          <w:rFonts w:hint="eastAsia" w:ascii="黑体" w:eastAsia="黑体"/>
          <w:color w:val="000000"/>
          <w:sz w:val="32"/>
          <w:szCs w:val="32"/>
        </w:rPr>
      </w:pPr>
      <w:r>
        <w:rPr>
          <w:rFonts w:hint="eastAsia" w:ascii="黑体" w:eastAsia="黑体"/>
          <w:color w:val="000000"/>
          <w:sz w:val="32"/>
          <w:szCs w:val="32"/>
        </w:rPr>
      </w:r>
      <w:r/>
    </w:p>
    <w:p>
      <w:pPr>
        <w:pStyle w:val="946"/>
        <w:rPr>
          <w:rFonts w:hint="eastAsia"/>
          <w:color w:val="000000"/>
        </w:rPr>
      </w:pPr>
      <w:r>
        <w:rPr>
          <w:rFonts w:hint="eastAsia"/>
          <w:color w:val="000000"/>
        </w:rPr>
      </w:r>
      <w:r/>
    </w:p>
    <w:p>
      <w:pPr>
        <w:pStyle w:val="934"/>
        <w:rPr>
          <w:rFonts w:hint="eastAsia"/>
          <w:color w:val="000000"/>
        </w:rPr>
      </w:pPr>
      <w:r>
        <w:rPr>
          <w:rFonts w:hint="eastAsia"/>
          <w:color w:val="000000"/>
        </w:rPr>
      </w:r>
      <w:r/>
    </w:p>
    <w:p>
      <w:pPr>
        <w:pStyle w:val="946"/>
        <w:rPr>
          <w:rFonts w:hint="eastAsia"/>
          <w:color w:val="000000"/>
        </w:rPr>
      </w:pPr>
      <w:r>
        <w:rPr>
          <w:rFonts w:hint="eastAsia"/>
          <w:color w:val="000000"/>
        </w:rPr>
      </w:r>
      <w:r/>
    </w:p>
    <w:p>
      <w:pPr>
        <w:pStyle w:val="1013"/>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34"/>
        <w:rPr>
          <w:rFonts w:hint="eastAsia" w:ascii="黑体" w:eastAsia="黑体"/>
          <w:color w:val="000000"/>
          <w:sz w:val="32"/>
          <w:szCs w:val="32"/>
        </w:rPr>
      </w:pPr>
      <w:r>
        <w:rPr>
          <w:rFonts w:hint="eastAsia" w:ascii="黑体" w:eastAsia="黑体"/>
          <w:color w:val="000000"/>
          <w:sz w:val="32"/>
          <w:szCs w:val="32"/>
        </w:rPr>
      </w:r>
      <w:r/>
    </w:p>
    <w:p>
      <w:pPr>
        <w:pStyle w:val="1013"/>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1013"/>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3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五、投标分项报价表</w:t>
      </w:r>
      <w:r>
        <w:rPr>
          <w:rFonts w:hint="eastAsia" w:ascii="黑体" w:hAnsi="黑体" w:eastAsia="黑体"/>
          <w:color w:val="000000"/>
          <w:sz w:val="32"/>
          <w:szCs w:val="32"/>
        </w:rPr>
      </w:r>
      <w:r/>
    </w:p>
    <w:p>
      <w:pPr>
        <w:pStyle w:val="93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934"/>
        <w:ind w:right="180" w:firstLine="480"/>
        <w:spacing w:line="360" w:lineRule="auto"/>
        <w:rPr>
          <w:rFonts w:hint="eastAsia" w:ascii="宋体" w:hAnsi="宋体"/>
          <w:color w:val="000000"/>
          <w:sz w:val="24"/>
          <w:szCs w:val="24"/>
        </w:rPr>
      </w:pPr>
      <w:r/>
      <w:bookmarkStart w:id="66" w:name="OLE_LINK3"/>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4"/>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34"/>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项目编号：                                   采购包号：</w:t>
      </w:r>
      <w:bookmarkEnd w:id="66"/>
      <w:r>
        <w:rPr>
          <w:rFonts w:hint="eastAsia" w:ascii="宋体" w:hAnsi="宋体"/>
          <w:color w:val="000000"/>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120"/>
        <w:gridCol w:w="970"/>
        <w:gridCol w:w="1790"/>
        <w:gridCol w:w="1470"/>
        <w:gridCol w:w="830"/>
        <w:gridCol w:w="820"/>
        <w:gridCol w:w="826"/>
        <w:gridCol w:w="1434"/>
      </w:tblGrid>
      <w:tr>
        <w:trPr>
          <w:cantSplit/>
          <w:trHeight w:val="544"/>
        </w:trPr>
        <w:tc>
          <w:tcPr>
            <w:tcW w:w="701" w:type="dxa"/>
            <w:vAlign w:val="center"/>
            <w:vMerge w:val="restart"/>
            <w:textDirection w:val="lrTb"/>
            <w:noWrap w:val="false"/>
          </w:tcPr>
          <w:p>
            <w:pPr>
              <w:pStyle w:val="934"/>
              <w:ind w:right="180"/>
              <w:jc w:val="left"/>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120" w:type="dxa"/>
            <w:vAlign w:val="center"/>
            <w:textDirection w:val="lrTb"/>
            <w:noWrap w:val="false"/>
          </w:tcPr>
          <w:p>
            <w:pPr>
              <w:pStyle w:val="934"/>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34"/>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790" w:type="dxa"/>
            <w:vAlign w:val="center"/>
            <w:textDirection w:val="lrTb"/>
            <w:noWrap w:val="false"/>
          </w:tcPr>
          <w:p>
            <w:pPr>
              <w:pStyle w:val="934"/>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470" w:type="dxa"/>
            <w:vAlign w:val="center"/>
            <w:textDirection w:val="lrTb"/>
            <w:noWrap w:val="false"/>
          </w:tcPr>
          <w:p>
            <w:pPr>
              <w:pStyle w:val="934"/>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830" w:type="dxa"/>
            <w:vAlign w:val="center"/>
            <w:textDirection w:val="lrTb"/>
            <w:noWrap w:val="false"/>
          </w:tcPr>
          <w:p>
            <w:pPr>
              <w:pStyle w:val="934"/>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820" w:type="dxa"/>
            <w:vAlign w:val="center"/>
            <w:textDirection w:val="lrTb"/>
            <w:noWrap w:val="false"/>
          </w:tcPr>
          <w:p>
            <w:pPr>
              <w:pStyle w:val="934"/>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826" w:type="dxa"/>
            <w:vAlign w:val="center"/>
            <w:textDirection w:val="lrTb"/>
            <w:noWrap w:val="false"/>
          </w:tcPr>
          <w:p>
            <w:pPr>
              <w:pStyle w:val="934"/>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434" w:type="dxa"/>
            <w:vAlign w:val="center"/>
            <w:textDirection w:val="lrTb"/>
            <w:noWrap w:val="false"/>
          </w:tcPr>
          <w:p>
            <w:pPr>
              <w:pStyle w:val="934"/>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r>
      <w:tr>
        <w:trPr>
          <w:cantSplit/>
          <w:trHeight w:val="294"/>
        </w:trPr>
        <w:tc>
          <w:tcPr>
            <w:tcW w:w="701" w:type="dxa"/>
            <w:vAlign w:val="center"/>
            <w:vMerge w:val="continue"/>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79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rPr>
                <w:rFonts w:hint="eastAsia" w:ascii="宋体" w:hAnsi="宋体"/>
                <w:color w:val="000000"/>
                <w:sz w:val="24"/>
                <w:szCs w:val="24"/>
              </w:rPr>
            </w:r>
            <w:r/>
          </w:p>
        </w:tc>
        <w:tc>
          <w:tcPr>
            <w:tcW w:w="14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83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826" w:type="dxa"/>
            <w:vAlign w:val="center"/>
            <w:textDirection w:val="lrTb"/>
            <w:noWrap w:val="false"/>
          </w:tcPr>
          <w:p>
            <w:pPr>
              <w:pStyle w:val="934"/>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1434"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701"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1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01"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1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01"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1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01" w:type="dxa"/>
            <w:vAlign w:val="center"/>
            <w:textDirection w:val="lrTb"/>
            <w:noWrap w:val="false"/>
          </w:tcPr>
          <w:p>
            <w:pPr>
              <w:pStyle w:val="934"/>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60" w:type="dxa"/>
            <w:vAlign w:val="center"/>
            <w:textDirection w:val="lrTb"/>
            <w:noWrap w:val="false"/>
          </w:tcPr>
          <w:p>
            <w:pPr>
              <w:pStyle w:val="934"/>
              <w:spacing w:line="0" w:lineRule="atLeast"/>
              <w:rPr>
                <w:rFonts w:hint="eastAsia" w:ascii="宋体" w:hAnsi="宋体"/>
                <w:color w:val="000000"/>
                <w:sz w:val="24"/>
                <w:szCs w:val="24"/>
              </w:rPr>
            </w:pPr>
            <w:r>
              <w:rPr>
                <w:rFonts w:hint="eastAsia" w:ascii="宋体" w:hAnsi="宋体"/>
                <w:color w:val="000000"/>
                <w:sz w:val="24"/>
                <w:szCs w:val="24"/>
              </w:rPr>
              <w:t xml:space="preserve">总报价（元）：</w:t>
            </w:r>
            <w:r>
              <w:rPr>
                <w:rFonts w:hint="eastAsia" w:ascii="宋体" w:hAnsi="宋体"/>
                <w:color w:val="000000"/>
                <w:sz w:val="24"/>
                <w:szCs w:val="24"/>
              </w:rPr>
            </w:r>
            <w:r/>
          </w:p>
        </w:tc>
      </w:tr>
    </w:tbl>
    <w:p>
      <w:pPr>
        <w:pStyle w:val="934"/>
        <w:spacing w:line="360" w:lineRule="auto"/>
        <w:rPr>
          <w:rFonts w:ascii="宋体" w:hAnsi="宋体"/>
          <w:color w:val="000000"/>
          <w:sz w:val="24"/>
        </w:rPr>
      </w:pPr>
      <w:r>
        <w:rPr>
          <w:rFonts w:ascii="宋体" w:hAnsi="宋体"/>
          <w:color w:val="000000"/>
          <w:sz w:val="24"/>
        </w:rPr>
      </w:r>
      <w:r/>
    </w:p>
    <w:p>
      <w:pPr>
        <w:pStyle w:val="999"/>
        <w:ind w:firstLine="480"/>
        <w:jc w:val="both"/>
        <w:spacing w:before="0" w:beforeAutospacing="0" w:after="0" w:afterAutospacing="0" w:line="360" w:lineRule="auto"/>
        <w:rPr>
          <w:color w:val="000000"/>
        </w:rPr>
      </w:pPr>
      <w:r>
        <w:rPr>
          <w:color w:val="000000"/>
        </w:rPr>
        <w:t xml:space="preserve">备注： </w:t>
      </w:r>
      <w:r>
        <w:rPr>
          <w:color w:val="000000"/>
        </w:rPr>
      </w:r>
      <w:r/>
    </w:p>
    <w:p>
      <w:pPr>
        <w:pStyle w:val="999"/>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99"/>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99"/>
        <w:ind w:firstLine="480"/>
        <w:jc w:val="both"/>
        <w:spacing w:before="0" w:beforeAutospacing="0" w:after="0" w:afterAutospacing="0" w:line="360" w:lineRule="auto"/>
        <w:rPr>
          <w:rFonts w:hint="eastAsia"/>
          <w:b/>
          <w:bCs/>
          <w:color w:val="000000"/>
        </w:rPr>
      </w:pPr>
      <w:r>
        <w:rPr>
          <w:rFonts w:hint="eastAsia"/>
          <w:color w:val="000000"/>
        </w:rPr>
        <w:t xml:space="preserve">3.</w:t>
      </w:r>
      <w:r>
        <w:rPr>
          <w:rFonts w:hint="eastAsia"/>
          <w:b/>
          <w:bCs/>
          <w:color w:val="000000"/>
        </w:rPr>
        <w:t xml:space="preserve">《投标分项报价表》中的分项名称须与“第四章采购需求-项目清单”中的分项名称一一对应，如有缺项、漏项，视为无效投标。</w:t>
      </w:r>
      <w:r>
        <w:rPr>
          <w:rFonts w:hint="eastAsia"/>
          <w:b/>
          <w:bCs/>
          <w:color w:val="000000"/>
        </w:rPr>
      </w:r>
      <w:r/>
    </w:p>
    <w:p>
      <w:pPr>
        <w:pStyle w:val="999"/>
        <w:ind w:firstLine="480"/>
        <w:jc w:val="both"/>
        <w:spacing w:before="0" w:beforeAutospacing="0" w:after="0" w:afterAutospacing="0" w:line="360" w:lineRule="auto"/>
        <w:rPr>
          <w:color w:val="000000"/>
        </w:rPr>
      </w:pPr>
      <w:r>
        <w:rPr>
          <w:color w:val="000000"/>
        </w:rPr>
      </w:r>
      <w:r/>
    </w:p>
    <w:p>
      <w:pPr>
        <w:pStyle w:val="934"/>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934"/>
        <w:rPr>
          <w:rFonts w:hint="eastAsia" w:ascii="黑体" w:hAnsi="黑体" w:eastAsia="黑体"/>
          <w:iCs/>
          <w:color w:val="000000"/>
          <w:sz w:val="32"/>
          <w:szCs w:val="32"/>
        </w:rPr>
      </w:pPr>
      <w:r>
        <w:rPr>
          <w:rFonts w:hint="eastAsia" w:ascii="黑体" w:hAnsi="黑体" w:eastAsia="黑体"/>
          <w:iCs/>
          <w:color w:val="000000"/>
          <w:sz w:val="32"/>
          <w:szCs w:val="32"/>
        </w:rPr>
        <w:br w:type="page" w:clear="all"/>
      </w:r>
      <w:bookmarkEnd w:id="45"/>
      <w:r/>
      <w:bookmarkEnd w:id="46"/>
      <w:r/>
      <w:bookmarkEnd w:id="65"/>
      <w:r>
        <w:rPr>
          <w:rFonts w:hint="eastAsia" w:ascii="黑体" w:hAnsi="黑体" w:eastAsia="黑体"/>
          <w:iCs/>
          <w:color w:val="000000"/>
          <w:sz w:val="32"/>
          <w:szCs w:val="32"/>
        </w:rPr>
        <w:t xml:space="preserve">六、技术要求响应及偏离表</w:t>
      </w:r>
      <w:r>
        <w:rPr>
          <w:rFonts w:hint="eastAsia" w:ascii="黑体" w:hAnsi="黑体" w:eastAsia="黑体"/>
          <w:iCs/>
          <w:color w:val="000000"/>
          <w:sz w:val="32"/>
          <w:szCs w:val="32"/>
        </w:rPr>
      </w:r>
      <w:r/>
    </w:p>
    <w:p>
      <w:pPr>
        <w:pStyle w:val="93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934"/>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4"/>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34"/>
        <w:ind w:right="180" w:firstLine="480"/>
        <w:jc w:val="left"/>
        <w:spacing w:line="360" w:lineRule="auto"/>
        <w:rPr>
          <w:rFonts w:hint="eastAsia" w:ascii="方正小标宋简体" w:hAnsi="方正小标宋简体" w:eastAsia="方正小标宋简体" w:cs="方正小标宋简体"/>
          <w:color w:val="000000"/>
          <w:sz w:val="32"/>
          <w:szCs w:val="32"/>
        </w:rPr>
      </w:pPr>
      <w:r>
        <w:rPr>
          <w:rFonts w:hint="eastAsia" w:ascii="宋体" w:hAnsi="宋体"/>
          <w:color w:val="000000"/>
          <w:sz w:val="24"/>
          <w:szCs w:val="24"/>
        </w:rPr>
        <w:t xml:space="preserve">项目编号：                                   采购包号：</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934"/>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4"/>
              <w:jc w:val="center"/>
              <w:rPr>
                <w:color w:val="000000"/>
              </w:rPr>
            </w:pPr>
            <w:r>
              <w:rPr>
                <w:color w:val="000000"/>
              </w:rPr>
            </w:r>
            <w:r/>
          </w:p>
          <w:p>
            <w:pPr>
              <w:pStyle w:val="946"/>
              <w:rPr>
                <w:rFonts w:hint="eastAsia"/>
                <w:color w:val="000000"/>
              </w:rPr>
            </w:pPr>
            <w:r>
              <w:rPr>
                <w:rFonts w:hint="eastAsia"/>
                <w:color w:val="000000"/>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bl>
    <w:p>
      <w:pPr>
        <w:pStyle w:val="999"/>
        <w:jc w:val="both"/>
        <w:spacing w:before="0" w:beforeAutospacing="0" w:after="0" w:afterAutospacing="0"/>
        <w:rPr>
          <w:color w:val="000000"/>
        </w:rPr>
      </w:pPr>
      <w:r>
        <w:rPr>
          <w:color w:val="000000"/>
        </w:rPr>
      </w:r>
      <w:r/>
    </w:p>
    <w:p>
      <w:pPr>
        <w:pStyle w:val="999"/>
        <w:ind w:firstLine="480"/>
        <w:jc w:val="both"/>
        <w:spacing w:before="0" w:beforeAutospacing="0" w:after="0" w:afterAutospacing="0" w:line="360" w:lineRule="auto"/>
        <w:rPr>
          <w:color w:val="000000"/>
        </w:rPr>
      </w:pPr>
      <w:r>
        <w:rPr>
          <w:color w:val="000000"/>
        </w:rPr>
        <w:t xml:space="preserve">备注： </w:t>
      </w:r>
      <w:r>
        <w:rPr>
          <w:color w:val="000000"/>
        </w:rPr>
      </w:r>
      <w:r/>
    </w:p>
    <w:p>
      <w:pPr>
        <w:pStyle w:val="999"/>
        <w:ind w:firstLine="482"/>
        <w:jc w:val="both"/>
        <w:spacing w:before="0" w:beforeAutospacing="0" w:after="0" w:afterAutospacing="0" w:line="360" w:lineRule="auto"/>
        <w:rPr>
          <w:rFonts w:hint="eastAsia"/>
          <w:b/>
          <w:bCs/>
          <w:color w:val="000000"/>
        </w:rPr>
      </w:pPr>
      <w:r>
        <w:rPr>
          <w:rFonts w:hint="eastAsia"/>
          <w:b/>
          <w:bCs/>
          <w:color w:val="000000"/>
        </w:rPr>
        <w:t xml:space="preserve">1.投标人须对招标文件技术要求中的实质性要求（打“★”内容）作出明确响应，否则视为无效投标。</w:t>
      </w:r>
      <w:r>
        <w:rPr>
          <w:rFonts w:hint="eastAsia"/>
          <w:b/>
          <w:bCs/>
          <w:color w:val="000000"/>
        </w:rPr>
      </w:r>
      <w:r/>
    </w:p>
    <w:p>
      <w:pPr>
        <w:pStyle w:val="999"/>
        <w:ind w:firstLine="482"/>
        <w:jc w:val="both"/>
        <w:spacing w:before="0" w:beforeAutospacing="0" w:after="0" w:afterAutospacing="0" w:line="360" w:lineRule="auto"/>
        <w:rPr>
          <w:rFonts w:hint="eastAsia"/>
          <w:b/>
          <w:bCs/>
          <w:color w:val="000000"/>
        </w:rPr>
      </w:pPr>
      <w:r>
        <w:rPr>
          <w:rFonts w:hint="eastAsia"/>
          <w:b/>
          <w:bCs/>
          <w:color w:val="000000"/>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color w:val="000000"/>
        </w:rPr>
      </w:r>
      <w:r/>
    </w:p>
    <w:p>
      <w:pPr>
        <w:pStyle w:val="999"/>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934"/>
        <w:rPr>
          <w:rFonts w:hint="eastAsia" w:ascii="黑体" w:hAnsi="黑体" w:eastAsia="黑体"/>
          <w:iCs/>
          <w:color w:val="000000"/>
          <w:sz w:val="32"/>
          <w:szCs w:val="32"/>
        </w:rPr>
      </w:pPr>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七、商务要求响应及偏离表</w:t>
      </w:r>
      <w:r>
        <w:rPr>
          <w:rFonts w:hint="eastAsia" w:ascii="黑体" w:hAnsi="黑体" w:eastAsia="黑体"/>
          <w:iCs/>
          <w:color w:val="000000"/>
          <w:sz w:val="32"/>
          <w:szCs w:val="32"/>
        </w:rPr>
      </w:r>
      <w:r/>
    </w:p>
    <w:p>
      <w:pPr>
        <w:pStyle w:val="93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p>
      <w:pPr>
        <w:pStyle w:val="934"/>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4"/>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34"/>
        <w:ind w:right="180" w:firstLine="480"/>
        <w:spacing w:line="360" w:lineRule="auto"/>
        <w:rPr>
          <w:rFonts w:hint="eastAsia"/>
          <w:color w:val="000000"/>
        </w:rPr>
      </w:pPr>
      <w:r>
        <w:rPr>
          <w:rFonts w:hint="eastAsia" w:ascii="宋体" w:hAnsi="宋体"/>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934"/>
              <w:jc w:val="center"/>
              <w:rPr>
                <w:rFonts w:hint="eastAsia" w:ascii="宋体" w:hAnsi="宋体"/>
                <w:color w:val="000000"/>
                <w:sz w:val="24"/>
                <w:szCs w:val="24"/>
              </w:rPr>
            </w:pPr>
            <w:r/>
            <w:bookmarkStart w:id="67" w:name="_Hlt26955056"/>
            <w:r/>
            <w:bookmarkEnd w:id="67"/>
            <w:r/>
            <w:bookmarkStart w:id="68" w:name="_Hlt24879081"/>
            <w:r/>
            <w:bookmarkEnd w:id="68"/>
            <w:r/>
            <w:bookmarkStart w:id="69" w:name="_Hlt26671372"/>
            <w:r/>
            <w:bookmarkEnd w:id="69"/>
            <w:r/>
            <w:bookmarkStart w:id="70" w:name="_Hlt26955064"/>
            <w:r/>
            <w:bookmarkEnd w:id="70"/>
            <w:r/>
            <w:bookmarkStart w:id="71" w:name="_Hlt26782999"/>
            <w:r/>
            <w:bookmarkEnd w:id="71"/>
            <w:r/>
            <w:bookmarkStart w:id="72" w:name="_Hlt26671343"/>
            <w:r/>
            <w:bookmarkEnd w:id="72"/>
            <w:r/>
            <w:bookmarkStart w:id="73" w:name="_Hlt26580838"/>
            <w:r/>
            <w:bookmarkEnd w:id="73"/>
            <w:r/>
            <w:bookmarkStart w:id="74" w:name="_Hlt26609391"/>
            <w:r/>
            <w:bookmarkEnd w:id="74"/>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934"/>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4"/>
              <w:jc w:val="center"/>
              <w:rPr>
                <w:color w:val="000000"/>
              </w:rPr>
            </w:pPr>
            <w:r>
              <w:rPr>
                <w:color w:val="000000"/>
              </w:rPr>
            </w:r>
            <w:r/>
          </w:p>
          <w:p>
            <w:pPr>
              <w:pStyle w:val="946"/>
              <w:rPr>
                <w:rFonts w:hint="eastAsia"/>
                <w:color w:val="000000"/>
              </w:rPr>
            </w:pPr>
            <w:r>
              <w:rPr>
                <w:rFonts w:hint="eastAsia"/>
                <w:color w:val="000000"/>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bl>
    <w:p>
      <w:pPr>
        <w:pStyle w:val="934"/>
        <w:rPr>
          <w:rFonts w:hint="eastAsia" w:ascii="宋体" w:hAnsi="宋体"/>
          <w:color w:val="000000"/>
          <w:sz w:val="24"/>
          <w:szCs w:val="24"/>
        </w:rPr>
      </w:pPr>
      <w:r>
        <w:rPr>
          <w:rFonts w:hint="eastAsia" w:ascii="宋体" w:hAnsi="宋体"/>
          <w:color w:val="000000"/>
          <w:sz w:val="24"/>
          <w:szCs w:val="24"/>
        </w:rPr>
      </w:r>
      <w:r/>
    </w:p>
    <w:p>
      <w:pPr>
        <w:pStyle w:val="999"/>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99"/>
        <w:ind w:firstLine="480"/>
        <w:jc w:val="both"/>
        <w:spacing w:before="0" w:beforeAutospacing="0" w:after="0" w:afterAutospacing="0" w:line="360" w:lineRule="auto"/>
        <w:rPr>
          <w:color w:val="000000"/>
        </w:rPr>
      </w:pPr>
      <w:r>
        <w:rPr>
          <w:rFonts w:hint="eastAsia"/>
          <w:color w:val="000000"/>
        </w:rPr>
        <w:t xml:space="preserve">1.</w:t>
      </w:r>
      <w:r>
        <w:rPr>
          <w:rFonts w:hint="eastAsia"/>
          <w:b/>
          <w:bCs/>
          <w:color w:val="000000"/>
        </w:rPr>
        <w:t xml:space="preserve">投标人须对招标文件商务要求中的实质性要求（打“★”内容）做出明确响应，否则视为无效投标。</w:t>
      </w:r>
      <w:r>
        <w:rPr>
          <w:color w:val="000000"/>
        </w:rPr>
      </w:r>
      <w:r/>
    </w:p>
    <w:p>
      <w:pPr>
        <w:pStyle w:val="999"/>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34"/>
        <w:rPr>
          <w:color w:val="000000"/>
        </w:rPr>
      </w:pPr>
      <w:r>
        <w:rPr>
          <w:color w:val="000000"/>
        </w:rPr>
      </w:r>
      <w:r/>
    </w:p>
    <w:p>
      <w:pPr>
        <w:pStyle w:val="934"/>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1013"/>
        <w:rPr>
          <w:rFonts w:hint="eastAsia" w:ascii="宋体" w:hAnsi="宋体" w:cs="仿宋"/>
          <w:b/>
          <w:bCs/>
          <w:color w:val="000000"/>
          <w:sz w:val="32"/>
          <w:szCs w:val="32"/>
        </w:rPr>
      </w:pPr>
      <w:r>
        <w:rPr>
          <w:rFonts w:hint="eastAsia" w:ascii="宋体" w:hAnsi="宋体" w:cs="仿宋"/>
          <w:b/>
          <w:bCs/>
          <w:color w:val="000000"/>
          <w:sz w:val="32"/>
          <w:szCs w:val="32"/>
        </w:rPr>
      </w:r>
      <w:r/>
    </w:p>
    <w:p>
      <w:pPr>
        <w:pStyle w:val="934"/>
        <w:rPr>
          <w:rFonts w:hint="eastAsia" w:ascii="宋体" w:hAnsi="宋体" w:cs="仿宋"/>
          <w:b/>
          <w:bCs/>
          <w:color w:val="000000"/>
          <w:sz w:val="32"/>
          <w:szCs w:val="32"/>
        </w:rPr>
      </w:pPr>
      <w:r>
        <w:rPr>
          <w:rFonts w:hint="eastAsia" w:ascii="宋体" w:hAnsi="宋体" w:cs="仿宋"/>
          <w:b/>
          <w:bCs/>
          <w:color w:val="000000"/>
          <w:sz w:val="32"/>
          <w:szCs w:val="32"/>
        </w:rPr>
      </w:r>
      <w:r/>
    </w:p>
    <w:p>
      <w:pPr>
        <w:pStyle w:val="1013"/>
        <w:rPr>
          <w:rFonts w:hint="eastAsia"/>
          <w:color w:val="000000"/>
        </w:rPr>
      </w:pPr>
      <w:r>
        <w:rPr>
          <w:rFonts w:hint="eastAsia"/>
          <w:color w:val="000000"/>
        </w:rPr>
      </w:r>
      <w:r/>
    </w:p>
    <w:p>
      <w:pPr>
        <w:pStyle w:val="93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34"/>
        <w:rPr>
          <w:rFonts w:hint="eastAsia" w:ascii="黑体" w:hAnsi="黑体" w:eastAsia="黑体"/>
          <w:iCs/>
          <w:color w:val="000000"/>
          <w:sz w:val="32"/>
          <w:szCs w:val="32"/>
        </w:rPr>
      </w:pPr>
      <w:r>
        <w:rPr>
          <w:rFonts w:hint="eastAsia" w:ascii="黑体" w:hAnsi="黑体" w:eastAsia="黑体"/>
          <w:iCs/>
          <w:color w:val="000000"/>
          <w:sz w:val="32"/>
          <w:szCs w:val="32"/>
        </w:rPr>
        <w:t xml:space="preserve">八、中小企业声明函</w:t>
      </w:r>
      <w:r>
        <w:rPr>
          <w:rFonts w:hint="eastAsia" w:ascii="黑体" w:hAnsi="黑体" w:eastAsia="黑体"/>
          <w:iCs/>
          <w:color w:val="000000"/>
          <w:sz w:val="32"/>
          <w:szCs w:val="32"/>
        </w:rPr>
      </w:r>
      <w:r/>
    </w:p>
    <w:p>
      <w:pPr>
        <w:pStyle w:val="93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93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b/>
          <w:bCs/>
          <w:color w:val="000000"/>
          <w:sz w:val="24"/>
          <w:szCs w:val="24"/>
        </w:rPr>
        <w:t xml:space="preserve">服务全部由符合政策的中小企业承接。</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934"/>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34"/>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34"/>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3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13"/>
        <w:spacing w:line="360" w:lineRule="auto"/>
        <w:rPr>
          <w:rFonts w:hint="eastAsia" w:ascii="宋体" w:hAnsi="宋体"/>
          <w:color w:val="000000"/>
          <w:sz w:val="24"/>
          <w:szCs w:val="24"/>
        </w:rPr>
      </w:pPr>
      <w:r>
        <w:rPr>
          <w:rFonts w:hint="eastAsia" w:ascii="宋体" w:hAnsi="宋体"/>
          <w:color w:val="000000"/>
          <w:sz w:val="24"/>
          <w:szCs w:val="24"/>
        </w:rPr>
      </w:r>
      <w:r/>
    </w:p>
    <w:p>
      <w:pPr>
        <w:pStyle w:val="934"/>
        <w:spacing w:line="360" w:lineRule="auto"/>
        <w:rPr>
          <w:rFonts w:hint="eastAsia"/>
          <w:color w:val="000000"/>
        </w:rPr>
      </w:pPr>
      <w:r>
        <w:rPr>
          <w:rFonts w:hint="eastAsia"/>
          <w:color w:val="000000"/>
        </w:rPr>
      </w:r>
      <w:r/>
    </w:p>
    <w:p>
      <w:pPr>
        <w:pStyle w:val="934"/>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34"/>
        <w:ind w:firstLine="6000"/>
        <w:spacing w:line="360" w:lineRule="auto"/>
        <w:widowControl/>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93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934"/>
        <w:ind w:firstLine="480"/>
        <w:spacing w:line="360" w:lineRule="auto"/>
        <w:rPr>
          <w:rFonts w:hint="eastAsia" w:ascii="宋体" w:hAnsi="宋体"/>
          <w:b/>
          <w:bCs/>
          <w:color w:val="000000"/>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000000"/>
          <w:sz w:val="24"/>
          <w:szCs w:val="24"/>
        </w:rPr>
        <w:t xml:space="preserve">项目</w:t>
      </w:r>
      <w:r>
        <w:rPr>
          <w:rFonts w:hint="eastAsia" w:ascii="宋体" w:hAnsi="宋体"/>
          <w:b/>
          <w:bCs/>
          <w:color w:val="000000"/>
          <w:sz w:val="24"/>
          <w:szCs w:val="24"/>
        </w:rPr>
        <w:t xml:space="preserve">清单”中的“服务”产品需在此声明函中的“标的名称”中全部列明，并填写承接企业的具体情况。</w:t>
      </w:r>
      <w:r>
        <w:rPr>
          <w:rFonts w:hint="eastAsia" w:ascii="宋体" w:hAnsi="宋体"/>
          <w:b/>
          <w:bCs/>
          <w:color w:val="000000"/>
          <w:sz w:val="24"/>
          <w:szCs w:val="24"/>
        </w:rPr>
      </w:r>
      <w:r/>
    </w:p>
    <w:p>
      <w:pPr>
        <w:pStyle w:val="934"/>
        <w:jc w:val="left"/>
        <w:spacing w:line="360" w:lineRule="auto"/>
        <w:rPr>
          <w:rFonts w:hint="eastAsia" w:ascii="黑体" w:hAnsi="黑体" w:eastAsia="黑体"/>
          <w:color w:val="000000"/>
          <w:sz w:val="32"/>
          <w:szCs w:val="32"/>
        </w:rPr>
      </w:pPr>
      <w:r>
        <w:rPr>
          <w:rFonts w:hint="eastAsia" w:ascii="宋体" w:hAnsi="宋体"/>
          <w:b/>
          <w:bCs/>
          <w:color w:val="000000"/>
          <w:sz w:val="24"/>
          <w:szCs w:val="24"/>
        </w:rPr>
        <w:br w:type="page" w:clear="all"/>
      </w:r>
      <w:r>
        <w:rPr>
          <w:rFonts w:hint="eastAsia" w:ascii="黑体" w:hAnsi="黑体" w:eastAsia="黑体"/>
          <w:iCs/>
          <w:color w:val="000000"/>
          <w:sz w:val="32"/>
          <w:szCs w:val="32"/>
        </w:rPr>
        <w:t xml:space="preserve">九、</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93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34"/>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934"/>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13"/>
        <w:spacing w:line="360" w:lineRule="auto"/>
        <w:rPr>
          <w:rFonts w:hint="eastAsia" w:ascii="宋体" w:hAnsi="宋体"/>
          <w:color w:val="000000"/>
          <w:sz w:val="24"/>
          <w:szCs w:val="24"/>
        </w:rPr>
      </w:pPr>
      <w:r>
        <w:rPr>
          <w:rFonts w:hint="eastAsia" w:ascii="宋体" w:hAnsi="宋体"/>
          <w:color w:val="000000"/>
          <w:sz w:val="24"/>
          <w:szCs w:val="24"/>
        </w:rPr>
      </w:r>
      <w:r/>
    </w:p>
    <w:p>
      <w:pPr>
        <w:pStyle w:val="934"/>
        <w:spacing w:line="360" w:lineRule="auto"/>
        <w:rPr>
          <w:rFonts w:hint="eastAsia"/>
          <w:color w:val="000000"/>
        </w:rPr>
      </w:pPr>
      <w:r>
        <w:rPr>
          <w:rFonts w:hint="eastAsia"/>
          <w:color w:val="000000"/>
        </w:rPr>
      </w:r>
      <w:r/>
    </w:p>
    <w:p>
      <w:pPr>
        <w:pStyle w:val="934"/>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34"/>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4"/>
        <w:ind w:firstLine="480"/>
        <w:spacing w:line="480" w:lineRule="exact"/>
        <w:rPr>
          <w:rFonts w:ascii="宋体" w:hAnsi="宋体"/>
          <w:color w:val="000000"/>
          <w:sz w:val="24"/>
        </w:rPr>
      </w:pPr>
      <w:r>
        <w:rPr>
          <w:rFonts w:ascii="宋体" w:hAnsi="宋体"/>
          <w:color w:val="000000"/>
          <w:sz w:val="24"/>
        </w:rPr>
      </w:r>
      <w:r/>
    </w:p>
    <w:p>
      <w:pPr>
        <w:pStyle w:val="93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34"/>
        <w:jc w:val="center"/>
        <w:widowControl/>
        <w:rPr>
          <w:rFonts w:hint="eastAsia" w:ascii="方正小标宋简体" w:hAnsi="方正小标宋简体" w:eastAsia="方正小标宋简体" w:cs="方正小标宋简体"/>
          <w:color w:val="000000"/>
          <w:sz w:val="32"/>
          <w:szCs w:val="32"/>
        </w:rPr>
      </w:pPr>
      <w:r>
        <w:rPr>
          <w:rFonts w:hint="eastAsia" w:ascii="黑体" w:hAnsi="黑体" w:eastAsia="黑体"/>
          <w:iCs/>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3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rPr>
          <w:rFonts w:hint="eastAsia" w:ascii="宋体" w:hAnsi="宋体"/>
          <w:color w:val="000000"/>
          <w:sz w:val="24"/>
          <w:szCs w:val="24"/>
        </w:rPr>
      </w:pPr>
      <w:r>
        <w:rPr>
          <w:rFonts w:hint="eastAsia" w:ascii="宋体" w:hAnsi="宋体"/>
          <w:color w:val="000000"/>
          <w:sz w:val="24"/>
          <w:szCs w:val="24"/>
        </w:rPr>
      </w:r>
      <w:r/>
    </w:p>
    <w:p>
      <w:pPr>
        <w:pStyle w:val="934"/>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34"/>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34"/>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34"/>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34"/>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3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3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93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3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3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3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3846"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23846" cy="301572"/>
                      </a:xfrm>
                      <a:prstGeom prst="rect">
                        <a:avLst/>
                      </a:prstGeom>
                      <a:noFill/>
                      <a:ln>
                        <a:noFill/>
                      </a:ln>
                    </wps:spPr>
                    <wps:txbx>
                      <w:txbxContent>
                        <w:p>
                          <w:pPr>
                            <w:pStyle w:val="984"/>
                            <w:tabs>
                              <w:tab w:val="clear" w:pos="4153" w:leader="none"/>
                              <w:tab w:val="clear" w:pos="8306" w:leader="none"/>
                            </w:tabs>
                            <w:rPr>
                              <w:rStyle w:val="1007"/>
                              <w:rFonts w:ascii="宋体" w:hAnsi="宋体"/>
                            </w:rPr>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３５</w:t>
                          </w:r>
                          <w:r>
                            <w:rPr>
                              <w:rFonts w:ascii="宋体" w:hAnsi="宋体"/>
                            </w:rPr>
                            <w:fldChar w:fldCharType="end"/>
                          </w:r>
                          <w:r>
                            <w:rPr>
                              <w:rStyle w:val="1007"/>
                              <w:rFonts w:ascii="宋体" w:hAnsi="宋体"/>
                            </w:rPr>
                          </w:r>
                          <w:r/>
                        </w:p>
                        <w:p>
                          <w:pPr>
                            <w:pStyle w:val="93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6pt;height:23.7pt;mso-wrap-distance-left:9.0pt;mso-wrap-distance-top:0.0pt;mso-wrap-distance-right:9.0pt;mso-wrap-distance-bottom:0.0pt;visibility:visible;" filled="f" stroked="f">
              <v:textbox inset="0,0,0,0">
                <w:txbxContent>
                  <w:p>
                    <w:pPr>
                      <w:pStyle w:val="984"/>
                      <w:tabs>
                        <w:tab w:val="clear" w:pos="4153" w:leader="none"/>
                        <w:tab w:val="clear" w:pos="8306" w:leader="none"/>
                      </w:tabs>
                      <w:rPr>
                        <w:rStyle w:val="1007"/>
                        <w:rFonts w:ascii="宋体" w:hAnsi="宋体"/>
                      </w:rPr>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３５</w:t>
                    </w:r>
                    <w:r>
                      <w:rPr>
                        <w:rFonts w:ascii="宋体" w:hAnsi="宋体"/>
                      </w:rPr>
                      <w:fldChar w:fldCharType="end"/>
                    </w:r>
                    <w:r>
                      <w:rPr>
                        <w:rStyle w:val="1007"/>
                        <w:rFonts w:ascii="宋体" w:hAnsi="宋体"/>
                      </w:rPr>
                    </w:r>
                    <w:r/>
                  </w:p>
                  <w:p>
                    <w:pPr>
                      <w:pStyle w:val="93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rPr>
        <w:rStyle w:val="1007"/>
      </w:rPr>
    </w:r>
    <w:r/>
  </w:p>
  <w:p>
    <w:pPr>
      <w:pStyle w:val="9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pPr>
                          <w:r>
                            <w:fldChar w:fldCharType="begin"/>
                          </w:r>
                          <w:r>
                            <w:instrText xml:space="preserve"> PAGE  \* MERGEFORMAT </w:instrText>
                          </w:r>
                          <w:r>
                            <w:fldChar w:fldCharType="separate"/>
                          </w:r>
                          <w:r>
                            <w:t xml:space="preserve">1</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pPr>
                    <w:r>
                      <w:fldChar w:fldCharType="begin"/>
                    </w:r>
                    <w:r>
                      <w:instrText xml:space="preserve"> PAGE  \* MERGEFORMAT </w:instrText>
                    </w:r>
                    <w:r>
                      <w:fldChar w:fldCharType="separate"/>
                    </w:r>
                    <w:r>
                      <w:t xml:space="preserve">1</w:t>
                    </w:r>
                    <w:r>
                      <w:fldChar w:fldCharType="end"/>
                    </w:r>
                    <w:r/>
                  </w:p>
                  <w:p>
                    <w:pPr>
                      <w:pStyle w:val="9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93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3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934"/>
        <w:ind w:left="-50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2"/>
      <w:isLgl w:val="false"/>
      <w:suff w:val="tab"/>
      <w:lvlText w:val="附录%1."/>
      <w:lvlJc w:val="left"/>
      <w:pPr>
        <w:pStyle w:val="9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93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9"/>
      <w:isLgl w:val="false"/>
      <w:suff w:val="tab"/>
      <w:lvlText w:val="%1."/>
      <w:lvlJc w:val="left"/>
      <w:pPr>
        <w:pStyle w:val="934"/>
        <w:ind w:left="709" w:hanging="709"/>
        <w:tabs>
          <w:tab w:val="num" w:pos="709" w:leader="none"/>
        </w:tabs>
      </w:pPr>
      <w:rPr>
        <w:rFonts w:hint="eastAsia"/>
      </w:rPr>
    </w:lvl>
    <w:lvl w:ilvl="1">
      <w:start w:val="1"/>
      <w:numFmt w:val="decimal"/>
      <w:isLgl w:val="false"/>
      <w:suff w:val="tab"/>
      <w:lvlText w:val="%1.%2"/>
      <w:lvlJc w:val="left"/>
      <w:pPr>
        <w:pStyle w:val="934"/>
        <w:ind w:left="709" w:hanging="709"/>
        <w:tabs>
          <w:tab w:val="num" w:pos="709" w:leader="none"/>
        </w:tabs>
      </w:pPr>
      <w:rPr>
        <w:rFonts w:hint="eastAsia"/>
      </w:rPr>
    </w:lvl>
    <w:lvl w:ilvl="2">
      <w:start w:val="1"/>
      <w:numFmt w:val="decimal"/>
      <w:isLgl w:val="false"/>
      <w:suff w:val="tab"/>
      <w:lvlText w:val="%1.%2.%3."/>
      <w:lvlJc w:val="left"/>
      <w:pPr>
        <w:pStyle w:val="934"/>
        <w:ind w:left="425" w:hanging="425"/>
        <w:tabs>
          <w:tab w:val="num" w:pos="425" w:leader="none"/>
        </w:tabs>
      </w:pPr>
      <w:rPr>
        <w:rFonts w:hint="eastAsia"/>
      </w:rPr>
    </w:lvl>
    <w:lvl w:ilvl="3">
      <w:start w:val="1"/>
      <w:numFmt w:val="decimal"/>
      <w:isLgl w:val="false"/>
      <w:suff w:val="tab"/>
      <w:lvlText w:val="%1.%2.%3.%4."/>
      <w:lvlJc w:val="left"/>
      <w:pPr>
        <w:pStyle w:val="934"/>
        <w:ind w:left="851" w:hanging="851"/>
        <w:tabs>
          <w:tab w:val="num" w:pos="851" w:leader="none"/>
        </w:tabs>
      </w:pPr>
      <w:rPr>
        <w:rFonts w:hint="eastAsia"/>
      </w:rPr>
    </w:lvl>
    <w:lvl w:ilvl="4">
      <w:start w:val="1"/>
      <w:numFmt w:val="decimal"/>
      <w:isLgl w:val="false"/>
      <w:suff w:val="tab"/>
      <w:lvlText w:val="%1.%2.%3.%4.%5."/>
      <w:lvlJc w:val="left"/>
      <w:pPr>
        <w:pStyle w:val="934"/>
        <w:ind w:left="992" w:hanging="992"/>
        <w:tabs>
          <w:tab w:val="num" w:pos="992" w:leader="none"/>
        </w:tabs>
      </w:pPr>
      <w:rPr>
        <w:rFonts w:hint="eastAsia"/>
      </w:rPr>
    </w:lvl>
    <w:lvl w:ilvl="5">
      <w:start w:val="1"/>
      <w:numFmt w:val="decimal"/>
      <w:isLgl w:val="false"/>
      <w:suff w:val="tab"/>
      <w:lvlText w:val="%1.%2.%3.%4.%5.%6."/>
      <w:lvlJc w:val="left"/>
      <w:pPr>
        <w:pStyle w:val="934"/>
        <w:ind w:left="1134" w:hanging="1134"/>
        <w:tabs>
          <w:tab w:val="num" w:pos="1134" w:leader="none"/>
        </w:tabs>
      </w:pPr>
      <w:rPr>
        <w:rFonts w:hint="eastAsia"/>
      </w:rPr>
    </w:lvl>
    <w:lvl w:ilvl="6">
      <w:start w:val="1"/>
      <w:numFmt w:val="decimal"/>
      <w:isLgl w:val="false"/>
      <w:suff w:val="tab"/>
      <w:lvlText w:val="%1.%2.%3.%4.%5.%6.%7."/>
      <w:lvlJc w:val="left"/>
      <w:pPr>
        <w:pStyle w:val="934"/>
        <w:ind w:left="1276" w:hanging="1276"/>
        <w:tabs>
          <w:tab w:val="num" w:pos="1276" w:leader="none"/>
        </w:tabs>
      </w:pPr>
      <w:rPr>
        <w:rFonts w:hint="eastAsia"/>
      </w:rPr>
    </w:lvl>
    <w:lvl w:ilvl="7">
      <w:start w:val="1"/>
      <w:numFmt w:val="decimal"/>
      <w:isLgl w:val="false"/>
      <w:suff w:val="tab"/>
      <w:lvlText w:val="%1.%2.%3.%4.%5.%6.%7.%8."/>
      <w:lvlJc w:val="left"/>
      <w:pPr>
        <w:pStyle w:val="934"/>
        <w:ind w:left="1418" w:hanging="1418"/>
        <w:tabs>
          <w:tab w:val="num" w:pos="1418" w:leader="none"/>
        </w:tabs>
      </w:pPr>
      <w:rPr>
        <w:rFonts w:hint="eastAsia"/>
      </w:rPr>
    </w:lvl>
    <w:lvl w:ilvl="8">
      <w:start w:val="1"/>
      <w:numFmt w:val="decimal"/>
      <w:isLgl w:val="false"/>
      <w:suff w:val="tab"/>
      <w:lvlText w:val="%1.%2.%3.%4.%5.%6.%7.%8.%9."/>
      <w:lvlJc w:val="left"/>
      <w:pPr>
        <w:pStyle w:val="934"/>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34"/>
        <w:ind w:left="0" w:firstLine="0"/>
      </w:pPr>
      <w:rPr>
        <w:rFonts w:hint="eastAsia"/>
      </w:rPr>
    </w:lvl>
    <w:lvl w:ilvl="1">
      <w:start w:val="1"/>
      <w:numFmt w:val="decimal"/>
      <w:isLgl w:val="false"/>
      <w:suff w:val="nothing"/>
      <w:lvlText w:val="%2、"/>
      <w:lvlJc w:val="left"/>
      <w:pPr>
        <w:pStyle w:val="934"/>
        <w:ind w:left="0" w:firstLine="0"/>
      </w:pPr>
      <w:rPr>
        <w:rFonts w:hint="eastAsia"/>
      </w:rPr>
    </w:lvl>
    <w:lvl w:ilvl="2">
      <w:start w:val="1"/>
      <w:numFmt w:val="decimal"/>
      <w:isLgl w:val="false"/>
      <w:suff w:val="nothing"/>
      <w:lvlText w:val="%2.%3 "/>
      <w:lvlJc w:val="left"/>
      <w:pPr>
        <w:pStyle w:val="934"/>
        <w:ind w:left="0" w:firstLine="0"/>
      </w:pPr>
      <w:rPr>
        <w:rFonts w:hint="eastAsia"/>
      </w:rPr>
    </w:lvl>
    <w:lvl w:ilvl="3">
      <w:start w:val="1"/>
      <w:numFmt w:val="decimal"/>
      <w:isLgl w:val="false"/>
      <w:suff w:val="nothing"/>
      <w:lvlText w:val="%2.%3.%4 "/>
      <w:lvlJc w:val="left"/>
      <w:pPr>
        <w:pStyle w:val="934"/>
        <w:ind w:left="0" w:firstLine="0"/>
      </w:pPr>
      <w:rPr>
        <w:rFonts w:hint="eastAsia"/>
      </w:rPr>
    </w:lvl>
    <w:lvl w:ilvl="4">
      <w:start w:val="1"/>
      <w:numFmt w:val="decimal"/>
      <w:isLgl w:val="false"/>
      <w:suff w:val="nothing"/>
      <w:lvlText w:val="%2.%3.%4.%5 "/>
      <w:lvlJc w:val="left"/>
      <w:pPr>
        <w:pStyle w:val="934"/>
        <w:ind w:left="0" w:firstLine="0"/>
      </w:pPr>
      <w:rPr>
        <w:rFonts w:hint="eastAsia"/>
      </w:rPr>
    </w:lvl>
    <w:lvl w:ilvl="5">
      <w:start w:val="1"/>
      <w:numFmt w:val="decimal"/>
      <w:pStyle w:val="940"/>
      <w:isLgl w:val="false"/>
      <w:suff w:val="nothing"/>
      <w:lvlText w:val=""/>
      <w:lvlJc w:val="left"/>
      <w:pPr>
        <w:pStyle w:val="934"/>
        <w:ind w:left="0" w:firstLine="0"/>
      </w:pPr>
      <w:rPr>
        <w:rFonts w:hint="eastAsia"/>
      </w:rPr>
    </w:lvl>
    <w:lvl w:ilvl="6">
      <w:start w:val="1"/>
      <w:numFmt w:val="decimal"/>
      <w:pStyle w:val="941"/>
      <w:isLgl w:val="false"/>
      <w:suff w:val="nothing"/>
      <w:lvlText w:val=""/>
      <w:lvlJc w:val="left"/>
      <w:pPr>
        <w:pStyle w:val="934"/>
        <w:ind w:left="0" w:firstLine="0"/>
      </w:pPr>
      <w:rPr>
        <w:rFonts w:hint="eastAsia"/>
      </w:rPr>
    </w:lvl>
    <w:lvl w:ilvl="7">
      <w:start w:val="1"/>
      <w:numFmt w:val="decimal"/>
      <w:pStyle w:val="942"/>
      <w:isLgl w:val="false"/>
      <w:suff w:val="nothing"/>
      <w:lvlText w:val=""/>
      <w:lvlJc w:val="left"/>
      <w:pPr>
        <w:pStyle w:val="934"/>
        <w:ind w:left="0" w:firstLine="0"/>
      </w:pPr>
      <w:rPr>
        <w:rFonts w:hint="eastAsia"/>
      </w:rPr>
    </w:lvl>
    <w:lvl w:ilvl="8">
      <w:start w:val="1"/>
      <w:numFmt w:val="decimal"/>
      <w:pStyle w:val="943"/>
      <w:isLgl w:val="false"/>
      <w:suff w:val="nothing"/>
      <w:lvlText w:val=""/>
      <w:lvlJc w:val="left"/>
      <w:pPr>
        <w:pStyle w:val="934"/>
        <w:ind w:left="0" w:firstLine="0"/>
      </w:pPr>
      <w:rPr>
        <w:rFonts w:hint="eastAsia"/>
      </w:rPr>
    </w:lvl>
  </w:abstractNum>
  <w:num w:numId="1">
    <w:abstractNumId w:val="6"/>
  </w:num>
  <w:num w:numId="2">
    <w:abstractNumId w:val="3"/>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4"/>
    <w:next w:val="934"/>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4"/>
    <w:next w:val="934"/>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4"/>
    <w:next w:val="934"/>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4"/>
    <w:next w:val="934"/>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4"/>
    <w:next w:val="934"/>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4"/>
    <w:next w:val="934"/>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4"/>
    <w:next w:val="93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4"/>
    <w:next w:val="93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4"/>
    <w:next w:val="93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34"/>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46"/>
    <w:link w:val="934"/>
    <w:qFormat/>
    <w:pPr>
      <w:jc w:val="both"/>
      <w:widowControl w:val="off"/>
    </w:pPr>
    <w:rPr>
      <w:sz w:val="21"/>
      <w:szCs w:val="21"/>
      <w:lang w:val="en-US" w:eastAsia="zh-CN" w:bidi="ar-SA"/>
    </w:rPr>
  </w:style>
  <w:style w:type="paragraph" w:styleId="935">
    <w:name w:val="标题 1"/>
    <w:basedOn w:val="934"/>
    <w:next w:val="934"/>
    <w:link w:val="951"/>
    <w:qFormat/>
    <w:pPr>
      <w:jc w:val="center"/>
      <w:keepNext/>
      <w:outlineLvl w:val="0"/>
    </w:pPr>
    <w:rPr>
      <w:rFonts w:ascii="楷体_GB2312" w:eastAsia="楷体_GB2312"/>
      <w:sz w:val="28"/>
      <w:szCs w:val="28"/>
    </w:rPr>
  </w:style>
  <w:style w:type="paragraph" w:styleId="936">
    <w:name w:val="标题 2"/>
    <w:basedOn w:val="934"/>
    <w:next w:val="953"/>
    <w:link w:val="952"/>
    <w:qFormat/>
    <w:pPr>
      <w:jc w:val="center"/>
      <w:keepLines/>
      <w:keepNext/>
      <w:spacing w:before="260" w:after="260" w:line="416" w:lineRule="auto"/>
      <w:outlineLvl w:val="1"/>
    </w:pPr>
    <w:rPr>
      <w:rFonts w:ascii="Arial" w:hAnsi="Arial" w:eastAsia="幼圆" w:cs="Arial"/>
      <w:b/>
      <w:bCs/>
      <w:sz w:val="44"/>
      <w:szCs w:val="44"/>
    </w:rPr>
  </w:style>
  <w:style w:type="paragraph" w:styleId="937">
    <w:name w:val="标题 3"/>
    <w:basedOn w:val="934"/>
    <w:next w:val="953"/>
    <w:link w:val="955"/>
    <w:qFormat/>
    <w:pPr>
      <w:keepLines/>
      <w:keepNext/>
      <w:spacing w:before="260" w:after="260" w:line="416" w:lineRule="auto"/>
      <w:outlineLvl w:val="2"/>
    </w:pPr>
    <w:rPr>
      <w:b/>
      <w:bCs/>
      <w:sz w:val="32"/>
      <w:szCs w:val="32"/>
    </w:rPr>
  </w:style>
  <w:style w:type="paragraph" w:styleId="938">
    <w:name w:val="标题 4"/>
    <w:basedOn w:val="934"/>
    <w:next w:val="953"/>
    <w:link w:val="956"/>
    <w:qFormat/>
    <w:pPr>
      <w:keepLines/>
      <w:keepNext/>
      <w:spacing w:before="280" w:after="290" w:line="376" w:lineRule="auto"/>
      <w:outlineLvl w:val="3"/>
    </w:pPr>
    <w:rPr>
      <w:rFonts w:ascii="Arial" w:hAnsi="Arial" w:eastAsia="黑体" w:cs="Arial"/>
      <w:b/>
      <w:bCs/>
      <w:sz w:val="28"/>
      <w:szCs w:val="28"/>
    </w:rPr>
  </w:style>
  <w:style w:type="paragraph" w:styleId="939">
    <w:name w:val="标题 5"/>
    <w:basedOn w:val="934"/>
    <w:next w:val="953"/>
    <w:link w:val="957"/>
    <w:qFormat/>
    <w:pPr>
      <w:keepNext/>
      <w:outlineLvl w:val="4"/>
    </w:pPr>
    <w:rPr>
      <w:rFonts w:ascii="宋体"/>
      <w:color w:val="000000"/>
      <w:sz w:val="28"/>
      <w:szCs w:val="28"/>
    </w:rPr>
  </w:style>
  <w:style w:type="paragraph" w:styleId="940">
    <w:name w:val="标题 6"/>
    <w:basedOn w:val="934"/>
    <w:next w:val="934"/>
    <w:link w:val="958"/>
    <w:qFormat/>
    <w:pPr>
      <w:numPr>
        <w:ilvl w:val="5"/>
        <w:numId w:val="1"/>
      </w:numPr>
      <w:keepLines/>
      <w:keepNext/>
      <w:spacing w:before="240" w:after="64" w:line="320" w:lineRule="auto"/>
      <w:outlineLvl w:val="5"/>
    </w:pPr>
    <w:rPr>
      <w:rFonts w:ascii="Arial" w:hAnsi="Arial" w:eastAsia="黑体"/>
      <w:b/>
      <w:bCs/>
      <w:sz w:val="24"/>
      <w:szCs w:val="24"/>
    </w:rPr>
  </w:style>
  <w:style w:type="paragraph" w:styleId="941">
    <w:name w:val="标题 7"/>
    <w:basedOn w:val="934"/>
    <w:next w:val="934"/>
    <w:link w:val="959"/>
    <w:qFormat/>
    <w:pPr>
      <w:numPr>
        <w:ilvl w:val="6"/>
        <w:numId w:val="1"/>
      </w:numPr>
      <w:keepLines/>
      <w:keepNext/>
      <w:spacing w:before="240" w:after="64" w:line="320" w:lineRule="auto"/>
      <w:outlineLvl w:val="6"/>
    </w:pPr>
    <w:rPr>
      <w:b/>
      <w:bCs/>
      <w:sz w:val="24"/>
      <w:szCs w:val="24"/>
    </w:rPr>
  </w:style>
  <w:style w:type="paragraph" w:styleId="942">
    <w:name w:val="标题 8"/>
    <w:basedOn w:val="934"/>
    <w:next w:val="934"/>
    <w:link w:val="960"/>
    <w:qFormat/>
    <w:pPr>
      <w:numPr>
        <w:ilvl w:val="7"/>
        <w:numId w:val="1"/>
      </w:numPr>
      <w:keepLines/>
      <w:keepNext/>
      <w:spacing w:before="240" w:after="64" w:line="320" w:lineRule="auto"/>
      <w:outlineLvl w:val="7"/>
    </w:pPr>
    <w:rPr>
      <w:rFonts w:ascii="Arial" w:hAnsi="Arial" w:eastAsia="黑体"/>
      <w:sz w:val="24"/>
      <w:szCs w:val="24"/>
    </w:rPr>
  </w:style>
  <w:style w:type="paragraph" w:styleId="943">
    <w:name w:val="标题 9"/>
    <w:basedOn w:val="934"/>
    <w:next w:val="934"/>
    <w:link w:val="961"/>
    <w:qFormat/>
    <w:pPr>
      <w:numPr>
        <w:ilvl w:val="8"/>
        <w:numId w:val="1"/>
      </w:numPr>
      <w:keepLines/>
      <w:keepNext/>
      <w:spacing w:before="240" w:after="64" w:line="320" w:lineRule="auto"/>
      <w:outlineLvl w:val="8"/>
    </w:pPr>
    <w:rPr>
      <w:rFonts w:ascii="Arial" w:hAnsi="Arial" w:eastAsia="黑体"/>
    </w:rPr>
  </w:style>
  <w:style w:type="character" w:styleId="944">
    <w:name w:val="默认段落字体"/>
    <w:next w:val="944"/>
    <w:link w:val="934"/>
    <w:uiPriority w:val="1"/>
    <w:unhideWhenUsed/>
  </w:style>
  <w:style w:type="table" w:styleId="945">
    <w:name w:val="普通表格"/>
    <w:next w:val="945"/>
    <w:link w:val="934"/>
    <w:uiPriority w:val="99"/>
    <w:unhideWhenUsed/>
    <w:tblPr/>
  </w:style>
  <w:style w:type="paragraph" w:styleId="946">
    <w:name w:val="正文首行缩进 2"/>
    <w:basedOn w:val="947"/>
    <w:next w:val="934"/>
    <w:link w:val="950"/>
    <w:pPr>
      <w:ind w:firstLine="420"/>
      <w:spacing w:line="360" w:lineRule="auto"/>
    </w:pPr>
    <w:rPr>
      <w:rFonts w:ascii="宋体" w:hAnsi="宋体" w:eastAsia="宋体"/>
      <w:sz w:val="21"/>
      <w:szCs w:val="20"/>
    </w:rPr>
  </w:style>
  <w:style w:type="paragraph" w:styleId="947">
    <w:name w:val="正文文本缩进"/>
    <w:basedOn w:val="934"/>
    <w:next w:val="949"/>
    <w:link w:val="948"/>
    <w:pPr>
      <w:ind w:firstLine="645"/>
    </w:pPr>
    <w:rPr>
      <w:rFonts w:ascii="楷体_GB2312" w:eastAsia="楷体_GB2312"/>
      <w:sz w:val="32"/>
      <w:szCs w:val="32"/>
    </w:rPr>
  </w:style>
  <w:style w:type="character" w:styleId="948">
    <w:name w:val="正文文本缩进 字符"/>
    <w:next w:val="948"/>
    <w:link w:val="947"/>
    <w:rPr>
      <w:rFonts w:ascii="楷体_GB2312" w:hAnsi="Times New Roman" w:eastAsia="楷体_GB2312" w:cs="Times New Roman"/>
      <w:sz w:val="32"/>
      <w:szCs w:val="32"/>
    </w:rPr>
  </w:style>
  <w:style w:type="paragraph" w:styleId="949">
    <w:name w:val="寄信人地址"/>
    <w:basedOn w:val="934"/>
    <w:next w:val="949"/>
    <w:link w:val="934"/>
    <w:qFormat/>
    <w:rPr>
      <w:rFonts w:ascii="Arial" w:hAnsi="Arial" w:eastAsia="宋体" w:cs="宋体"/>
    </w:rPr>
  </w:style>
  <w:style w:type="character" w:styleId="950">
    <w:name w:val="正文文本首行缩进 2 字符"/>
    <w:next w:val="950"/>
    <w:link w:val="946"/>
    <w:rPr>
      <w:rFonts w:ascii="宋体" w:hAnsi="宋体" w:eastAsia="宋体" w:cs="Times New Roman"/>
      <w:sz w:val="32"/>
      <w:szCs w:val="20"/>
    </w:rPr>
  </w:style>
  <w:style w:type="character" w:styleId="951">
    <w:name w:val="标题 1 字符"/>
    <w:next w:val="951"/>
    <w:link w:val="935"/>
    <w:rPr>
      <w:rFonts w:ascii="楷体_GB2312" w:hAnsi="Times New Roman" w:eastAsia="楷体_GB2312" w:cs="Times New Roman"/>
      <w:sz w:val="28"/>
      <w:szCs w:val="28"/>
    </w:rPr>
  </w:style>
  <w:style w:type="character" w:styleId="952">
    <w:name w:val="标题 2 字符"/>
    <w:next w:val="952"/>
    <w:link w:val="936"/>
    <w:rPr>
      <w:rFonts w:ascii="Arial" w:hAnsi="Arial" w:eastAsia="幼圆" w:cs="Arial"/>
      <w:b/>
      <w:bCs/>
      <w:sz w:val="44"/>
      <w:szCs w:val="44"/>
    </w:rPr>
  </w:style>
  <w:style w:type="paragraph" w:styleId="953">
    <w:name w:val="正文缩进"/>
    <w:basedOn w:val="934"/>
    <w:next w:val="953"/>
    <w:link w:val="954"/>
    <w:pPr>
      <w:ind w:firstLine="420"/>
    </w:pPr>
  </w:style>
  <w:style w:type="character" w:styleId="954">
    <w:name w:val="正文缩进 字符"/>
    <w:next w:val="954"/>
    <w:link w:val="953"/>
    <w:rPr>
      <w:rFonts w:ascii="Times New Roman" w:hAnsi="Times New Roman" w:eastAsia="宋体" w:cs="Times New Roman"/>
      <w:szCs w:val="21"/>
    </w:rPr>
  </w:style>
  <w:style w:type="character" w:styleId="955">
    <w:name w:val="标题 3 字符"/>
    <w:next w:val="955"/>
    <w:link w:val="937"/>
    <w:rPr>
      <w:rFonts w:ascii="Times New Roman" w:hAnsi="Times New Roman" w:eastAsia="宋体" w:cs="Times New Roman"/>
      <w:b/>
      <w:bCs/>
      <w:sz w:val="32"/>
      <w:szCs w:val="32"/>
    </w:rPr>
  </w:style>
  <w:style w:type="character" w:styleId="956">
    <w:name w:val="标题 4 字符"/>
    <w:next w:val="956"/>
    <w:link w:val="938"/>
    <w:rPr>
      <w:rFonts w:ascii="Arial" w:hAnsi="Arial" w:eastAsia="黑体" w:cs="Arial"/>
      <w:b/>
      <w:bCs/>
      <w:sz w:val="28"/>
      <w:szCs w:val="28"/>
    </w:rPr>
  </w:style>
  <w:style w:type="character" w:styleId="957">
    <w:name w:val="标题 5 字符"/>
    <w:next w:val="957"/>
    <w:link w:val="939"/>
    <w:rPr>
      <w:rFonts w:ascii="宋体" w:hAnsi="Times New Roman" w:eastAsia="宋体" w:cs="Times New Roman"/>
      <w:color w:val="000000"/>
      <w:sz w:val="28"/>
      <w:szCs w:val="28"/>
    </w:rPr>
  </w:style>
  <w:style w:type="character" w:styleId="958">
    <w:name w:val="标题 6 字符"/>
    <w:next w:val="958"/>
    <w:link w:val="940"/>
    <w:rPr>
      <w:rFonts w:ascii="Arial" w:hAnsi="Arial" w:eastAsia="黑体" w:cs="Times New Roman"/>
      <w:b/>
      <w:bCs/>
      <w:sz w:val="24"/>
      <w:szCs w:val="24"/>
    </w:rPr>
  </w:style>
  <w:style w:type="character" w:styleId="959">
    <w:name w:val="标题 7 字符"/>
    <w:next w:val="959"/>
    <w:link w:val="941"/>
    <w:rPr>
      <w:rFonts w:ascii="Times New Roman" w:hAnsi="Times New Roman" w:eastAsia="宋体" w:cs="Times New Roman"/>
      <w:b/>
      <w:bCs/>
      <w:sz w:val="24"/>
      <w:szCs w:val="24"/>
    </w:rPr>
  </w:style>
  <w:style w:type="character" w:styleId="960">
    <w:name w:val="标题 8 字符"/>
    <w:next w:val="960"/>
    <w:link w:val="942"/>
    <w:rPr>
      <w:rFonts w:ascii="Arial" w:hAnsi="Arial" w:eastAsia="黑体" w:cs="Times New Roman"/>
      <w:sz w:val="24"/>
      <w:szCs w:val="24"/>
    </w:rPr>
  </w:style>
  <w:style w:type="character" w:styleId="961">
    <w:name w:val="标题 9 字符"/>
    <w:next w:val="961"/>
    <w:link w:val="943"/>
    <w:rPr>
      <w:rFonts w:ascii="Arial" w:hAnsi="Arial" w:eastAsia="黑体" w:cs="Times New Roman"/>
      <w:szCs w:val="21"/>
    </w:rPr>
  </w:style>
  <w:style w:type="paragraph" w:styleId="962">
    <w:name w:val="列表 3"/>
    <w:basedOn w:val="934"/>
    <w:next w:val="962"/>
    <w:link w:val="934"/>
    <w:pPr>
      <w:ind w:left="100" w:hanging="200"/>
    </w:pPr>
  </w:style>
  <w:style w:type="paragraph" w:styleId="963">
    <w:name w:val="目录 7"/>
    <w:basedOn w:val="934"/>
    <w:next w:val="934"/>
    <w:link w:val="934"/>
    <w:semiHidden/>
    <w:pPr>
      <w:ind w:left="1260"/>
      <w:jc w:val="left"/>
    </w:pPr>
  </w:style>
  <w:style w:type="paragraph" w:styleId="964">
    <w:name w:val="文档结构图"/>
    <w:basedOn w:val="934"/>
    <w:next w:val="964"/>
    <w:link w:val="965"/>
    <w:semiHidden/>
    <w:pPr>
      <w:shd w:val="clear" w:color="auto" w:fill="000080"/>
    </w:pPr>
  </w:style>
  <w:style w:type="character" w:styleId="965">
    <w:name w:val="文档结构图 字符"/>
    <w:next w:val="965"/>
    <w:link w:val="964"/>
    <w:semiHidden/>
    <w:rPr>
      <w:rFonts w:ascii="Times New Roman" w:hAnsi="Times New Roman" w:eastAsia="宋体" w:cs="Times New Roman"/>
      <w:szCs w:val="21"/>
      <w:shd w:val="clear" w:color="auto" w:fill="000080"/>
    </w:rPr>
  </w:style>
  <w:style w:type="paragraph" w:styleId="966">
    <w:name w:val="批注文字"/>
    <w:basedOn w:val="934"/>
    <w:next w:val="966"/>
    <w:link w:val="967"/>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67">
    <w:name w:val="批注文字 字符"/>
    <w:next w:val="967"/>
    <w:link w:val="966"/>
    <w:semiHidden/>
    <w:rPr>
      <w:rFonts w:ascii="Times New Roman" w:hAnsi="Times New Roman" w:eastAsia="宋体" w:cs="Times New Roman"/>
      <w:szCs w:val="21"/>
    </w:rPr>
  </w:style>
  <w:style w:type="paragraph" w:styleId="968">
    <w:name w:val="正文文本 3"/>
    <w:basedOn w:val="934"/>
    <w:next w:val="968"/>
    <w:link w:val="969"/>
    <w:rPr>
      <w:rFonts w:ascii="仿宋_GB2312" w:hAnsi="Arial" w:eastAsia="仿宋_GB2312"/>
      <w:sz w:val="32"/>
      <w:szCs w:val="32"/>
    </w:rPr>
  </w:style>
  <w:style w:type="character" w:styleId="969">
    <w:name w:val="正文文本 3 字符"/>
    <w:next w:val="969"/>
    <w:link w:val="968"/>
    <w:rPr>
      <w:rFonts w:ascii="仿宋_GB2312" w:hAnsi="Arial" w:eastAsia="仿宋_GB2312" w:cs="Times New Roman"/>
      <w:sz w:val="32"/>
      <w:szCs w:val="32"/>
    </w:rPr>
  </w:style>
  <w:style w:type="paragraph" w:styleId="970">
    <w:name w:val="正文文本"/>
    <w:basedOn w:val="934"/>
    <w:next w:val="970"/>
    <w:link w:val="971"/>
    <w:rPr>
      <w:rFonts w:ascii="楷体_GB2312" w:hAnsi="Arial" w:eastAsia="楷体_GB2312"/>
      <w:sz w:val="28"/>
      <w:szCs w:val="28"/>
    </w:rPr>
  </w:style>
  <w:style w:type="character" w:styleId="971">
    <w:name w:val="正文文本 字符"/>
    <w:next w:val="971"/>
    <w:link w:val="970"/>
    <w:rPr>
      <w:rFonts w:ascii="楷体_GB2312" w:hAnsi="Arial" w:eastAsia="楷体_GB2312" w:cs="Times New Roman"/>
      <w:sz w:val="28"/>
      <w:szCs w:val="28"/>
    </w:rPr>
  </w:style>
  <w:style w:type="paragraph" w:styleId="972">
    <w:name w:val="列表 2"/>
    <w:basedOn w:val="934"/>
    <w:next w:val="972"/>
    <w:link w:val="934"/>
    <w:pPr>
      <w:ind w:left="100" w:hanging="200"/>
    </w:pPr>
  </w:style>
  <w:style w:type="paragraph" w:styleId="973">
    <w:name w:val="目录 5"/>
    <w:basedOn w:val="934"/>
    <w:next w:val="934"/>
    <w:link w:val="934"/>
    <w:semiHidden/>
    <w:pPr>
      <w:ind w:left="840"/>
      <w:jc w:val="left"/>
    </w:pPr>
  </w:style>
  <w:style w:type="paragraph" w:styleId="974">
    <w:name w:val="目录 3"/>
    <w:basedOn w:val="934"/>
    <w:next w:val="934"/>
    <w:link w:val="934"/>
    <w:semiHidden/>
    <w:pPr>
      <w:ind w:left="420"/>
      <w:jc w:val="left"/>
    </w:pPr>
    <w:rPr>
      <w:i/>
      <w:iCs/>
      <w:szCs w:val="24"/>
    </w:rPr>
  </w:style>
  <w:style w:type="paragraph" w:styleId="975">
    <w:name w:val="纯文本"/>
    <w:basedOn w:val="934"/>
    <w:next w:val="975"/>
    <w:link w:val="976"/>
    <w:rPr>
      <w:rFonts w:ascii="宋体" w:hAnsi="Courier New" w:cs="Courier New"/>
    </w:rPr>
  </w:style>
  <w:style w:type="character" w:styleId="976">
    <w:name w:val="纯文本 字符"/>
    <w:next w:val="976"/>
    <w:link w:val="975"/>
    <w:rPr>
      <w:rFonts w:ascii="宋体" w:hAnsi="Courier New" w:eastAsia="宋体" w:cs="Courier New"/>
      <w:szCs w:val="21"/>
    </w:rPr>
  </w:style>
  <w:style w:type="paragraph" w:styleId="977">
    <w:name w:val="目录 8"/>
    <w:basedOn w:val="934"/>
    <w:next w:val="934"/>
    <w:link w:val="934"/>
    <w:semiHidden/>
    <w:pPr>
      <w:ind w:left="1470"/>
      <w:jc w:val="left"/>
    </w:pPr>
  </w:style>
  <w:style w:type="paragraph" w:styleId="978">
    <w:name w:val="日期"/>
    <w:basedOn w:val="934"/>
    <w:next w:val="934"/>
    <w:link w:val="979"/>
    <w:rPr>
      <w:sz w:val="24"/>
      <w:szCs w:val="24"/>
    </w:rPr>
  </w:style>
  <w:style w:type="character" w:styleId="979">
    <w:name w:val="日期 字符"/>
    <w:next w:val="979"/>
    <w:link w:val="978"/>
    <w:rPr>
      <w:rFonts w:ascii="Times New Roman" w:hAnsi="Times New Roman" w:eastAsia="宋体" w:cs="Times New Roman"/>
      <w:sz w:val="24"/>
      <w:szCs w:val="24"/>
    </w:rPr>
  </w:style>
  <w:style w:type="paragraph" w:styleId="980">
    <w:name w:val="正文文本缩进 2"/>
    <w:basedOn w:val="934"/>
    <w:next w:val="980"/>
    <w:link w:val="981"/>
    <w:pPr>
      <w:ind w:left="630" w:firstLine="645"/>
    </w:pPr>
    <w:rPr>
      <w:rFonts w:ascii="Arial" w:hAnsi="Arial" w:eastAsia="仿宋_GB2312" w:cs="Arial"/>
      <w:sz w:val="32"/>
      <w:szCs w:val="32"/>
    </w:rPr>
  </w:style>
  <w:style w:type="character" w:styleId="981">
    <w:name w:val="正文文本缩进 2 字符"/>
    <w:next w:val="981"/>
    <w:link w:val="980"/>
    <w:rPr>
      <w:rFonts w:ascii="Arial" w:hAnsi="Arial" w:eastAsia="仿宋_GB2312" w:cs="Arial"/>
      <w:sz w:val="32"/>
      <w:szCs w:val="32"/>
    </w:rPr>
  </w:style>
  <w:style w:type="paragraph" w:styleId="982">
    <w:name w:val="批注框文本"/>
    <w:basedOn w:val="934"/>
    <w:next w:val="982"/>
    <w:link w:val="983"/>
    <w:semiHidden/>
    <w:rPr>
      <w:sz w:val="18"/>
      <w:szCs w:val="18"/>
    </w:rPr>
  </w:style>
  <w:style w:type="character" w:styleId="983">
    <w:name w:val="批注框文本 字符"/>
    <w:next w:val="983"/>
    <w:link w:val="982"/>
    <w:semiHidden/>
    <w:rPr>
      <w:rFonts w:ascii="Times New Roman" w:hAnsi="Times New Roman" w:eastAsia="宋体" w:cs="Times New Roman"/>
      <w:sz w:val="18"/>
      <w:szCs w:val="18"/>
    </w:rPr>
  </w:style>
  <w:style w:type="paragraph" w:styleId="984">
    <w:name w:val="页脚"/>
    <w:basedOn w:val="934"/>
    <w:next w:val="984"/>
    <w:link w:val="985"/>
    <w:pPr>
      <w:jc w:val="left"/>
      <w:tabs>
        <w:tab w:val="center" w:pos="4153" w:leader="none"/>
        <w:tab w:val="right" w:pos="8306" w:leader="none"/>
      </w:tabs>
    </w:pPr>
    <w:rPr>
      <w:sz w:val="18"/>
      <w:szCs w:val="18"/>
    </w:rPr>
  </w:style>
  <w:style w:type="character" w:styleId="985">
    <w:name w:val="页脚 字符"/>
    <w:next w:val="985"/>
    <w:link w:val="984"/>
    <w:rPr>
      <w:rFonts w:ascii="Times New Roman" w:hAnsi="Times New Roman" w:eastAsia="宋体" w:cs="Times New Roman"/>
      <w:sz w:val="18"/>
      <w:szCs w:val="18"/>
    </w:rPr>
  </w:style>
  <w:style w:type="paragraph" w:styleId="986">
    <w:name w:val="页眉"/>
    <w:basedOn w:val="934"/>
    <w:next w:val="986"/>
    <w:link w:val="987"/>
    <w:pPr>
      <w:jc w:val="center"/>
      <w:tabs>
        <w:tab w:val="center" w:pos="4153" w:leader="none"/>
        <w:tab w:val="right" w:pos="8306" w:leader="none"/>
      </w:tabs>
      <w:pBdr>
        <w:bottom w:val="single" w:color="000000" w:sz="6" w:space="1"/>
      </w:pBdr>
    </w:pPr>
    <w:rPr>
      <w:sz w:val="18"/>
      <w:szCs w:val="18"/>
    </w:rPr>
  </w:style>
  <w:style w:type="character" w:styleId="987">
    <w:name w:val="页眉 字符"/>
    <w:next w:val="987"/>
    <w:link w:val="986"/>
    <w:rPr>
      <w:rFonts w:ascii="Times New Roman" w:hAnsi="Times New Roman" w:eastAsia="宋体" w:cs="Times New Roman"/>
      <w:sz w:val="18"/>
      <w:szCs w:val="18"/>
    </w:rPr>
  </w:style>
  <w:style w:type="paragraph" w:styleId="988">
    <w:name w:val="目录 1"/>
    <w:basedOn w:val="934"/>
    <w:next w:val="934"/>
    <w:link w:val="934"/>
    <w:semiHidden/>
    <w:pPr>
      <w:jc w:val="left"/>
      <w:spacing w:before="120" w:after="120" w:line="400" w:lineRule="exact"/>
      <w:tabs>
        <w:tab w:val="right" w:pos="8720" w:leader="dot"/>
      </w:tabs>
    </w:pPr>
    <w:rPr>
      <w:rFonts w:ascii="宋体" w:hAnsi="宋体"/>
      <w:caps/>
      <w:sz w:val="24"/>
      <w:szCs w:val="24"/>
    </w:rPr>
  </w:style>
  <w:style w:type="paragraph" w:styleId="989">
    <w:name w:val="目录 4"/>
    <w:basedOn w:val="934"/>
    <w:next w:val="934"/>
    <w:link w:val="934"/>
    <w:semiHidden/>
    <w:pPr>
      <w:ind w:left="630"/>
      <w:jc w:val="left"/>
    </w:pPr>
  </w:style>
  <w:style w:type="paragraph" w:styleId="990">
    <w:name w:val="列表"/>
    <w:basedOn w:val="934"/>
    <w:next w:val="990"/>
    <w:link w:val="934"/>
    <w:pPr>
      <w:ind w:left="200" w:hanging="200"/>
    </w:pPr>
  </w:style>
  <w:style w:type="paragraph" w:styleId="991">
    <w:name w:val="目录 6"/>
    <w:basedOn w:val="934"/>
    <w:next w:val="934"/>
    <w:link w:val="934"/>
    <w:semiHidden/>
    <w:pPr>
      <w:ind w:left="1050"/>
      <w:jc w:val="left"/>
    </w:pPr>
  </w:style>
  <w:style w:type="paragraph" w:styleId="992">
    <w:name w:val="正文文本缩进 3"/>
    <w:basedOn w:val="934"/>
    <w:next w:val="992"/>
    <w:link w:val="993"/>
    <w:pPr>
      <w:ind w:left="645" w:firstLine="645"/>
    </w:pPr>
    <w:rPr>
      <w:rFonts w:ascii="Arial" w:hAnsi="Arial" w:eastAsia="仿宋_GB2312" w:cs="Arial"/>
      <w:color w:val="ffff00"/>
      <w:sz w:val="32"/>
      <w:szCs w:val="32"/>
    </w:rPr>
  </w:style>
  <w:style w:type="character" w:styleId="993">
    <w:name w:val="正文文本缩进 3 字符"/>
    <w:next w:val="993"/>
    <w:link w:val="992"/>
    <w:rPr>
      <w:rFonts w:ascii="Arial" w:hAnsi="Arial" w:eastAsia="仿宋_GB2312" w:cs="Arial"/>
      <w:color w:val="ffff00"/>
      <w:sz w:val="32"/>
      <w:szCs w:val="32"/>
    </w:rPr>
  </w:style>
  <w:style w:type="paragraph" w:styleId="994">
    <w:name w:val="图表目录"/>
    <w:basedOn w:val="934"/>
    <w:next w:val="934"/>
    <w:link w:val="934"/>
    <w:semiHidden/>
    <w:pPr>
      <w:ind w:left="840" w:hanging="420"/>
    </w:pPr>
  </w:style>
  <w:style w:type="paragraph" w:styleId="995">
    <w:name w:val="目录 2"/>
    <w:basedOn w:val="934"/>
    <w:next w:val="934"/>
    <w:link w:val="934"/>
    <w:semiHidden/>
    <w:pPr>
      <w:ind w:left="210"/>
      <w:jc w:val="left"/>
    </w:pPr>
    <w:rPr>
      <w:smallCaps/>
      <w:szCs w:val="24"/>
    </w:rPr>
  </w:style>
  <w:style w:type="paragraph" w:styleId="996">
    <w:name w:val="目录 9"/>
    <w:basedOn w:val="934"/>
    <w:next w:val="934"/>
    <w:link w:val="934"/>
    <w:semiHidden/>
    <w:pPr>
      <w:ind w:left="1680"/>
      <w:jc w:val="left"/>
    </w:pPr>
  </w:style>
  <w:style w:type="paragraph" w:styleId="997">
    <w:name w:val="正文文本 2"/>
    <w:basedOn w:val="934"/>
    <w:next w:val="997"/>
    <w:link w:val="998"/>
    <w:pPr>
      <w:jc w:val="center"/>
      <w:widowControl/>
    </w:pPr>
    <w:rPr>
      <w:rFonts w:ascii="楷体_GB2312" w:eastAsia="楷体_GB2312"/>
      <w:sz w:val="28"/>
      <w:szCs w:val="28"/>
    </w:rPr>
  </w:style>
  <w:style w:type="character" w:styleId="998">
    <w:name w:val="正文文本 2 字符"/>
    <w:next w:val="998"/>
    <w:link w:val="997"/>
    <w:rPr>
      <w:rFonts w:ascii="楷体_GB2312" w:hAnsi="Times New Roman" w:eastAsia="楷体_GB2312" w:cs="Times New Roman"/>
      <w:sz w:val="28"/>
      <w:szCs w:val="28"/>
    </w:rPr>
  </w:style>
  <w:style w:type="paragraph" w:styleId="999">
    <w:name w:val="普通(网站)"/>
    <w:basedOn w:val="934"/>
    <w:next w:val="999"/>
    <w:link w:val="934"/>
    <w:uiPriority w:val="99"/>
    <w:pPr>
      <w:jc w:val="left"/>
      <w:spacing w:before="100" w:beforeAutospacing="1" w:after="100" w:afterAutospacing="1"/>
      <w:widowControl/>
    </w:pPr>
    <w:rPr>
      <w:rFonts w:ascii="宋体" w:hAnsi="宋体" w:cs="宋体"/>
      <w:sz w:val="24"/>
      <w:szCs w:val="24"/>
    </w:rPr>
  </w:style>
  <w:style w:type="paragraph" w:styleId="1000">
    <w:name w:val="索引 1"/>
    <w:basedOn w:val="934"/>
    <w:next w:val="934"/>
    <w:link w:val="934"/>
    <w:semiHidden/>
    <w:pPr>
      <w:spacing w:line="240" w:lineRule="atLeast"/>
    </w:pPr>
    <w:rPr>
      <w:b/>
      <w:bCs/>
    </w:rPr>
  </w:style>
  <w:style w:type="paragraph" w:styleId="1001">
    <w:name w:val="批注主题"/>
    <w:basedOn w:val="966"/>
    <w:next w:val="966"/>
    <w:link w:val="1002"/>
    <w:semiHidden/>
    <w:rPr>
      <w:b/>
      <w:bCs/>
    </w:rPr>
  </w:style>
  <w:style w:type="character" w:styleId="1002">
    <w:name w:val="批注主题 字符"/>
    <w:next w:val="1002"/>
    <w:link w:val="1001"/>
    <w:semiHidden/>
    <w:rPr>
      <w:rFonts w:ascii="Times New Roman" w:hAnsi="Times New Roman" w:eastAsia="宋体" w:cs="Times New Roman"/>
      <w:b/>
      <w:bCs/>
      <w:szCs w:val="21"/>
    </w:rPr>
  </w:style>
  <w:style w:type="paragraph" w:styleId="1003">
    <w:name w:val="正文首行缩进"/>
    <w:basedOn w:val="934"/>
    <w:next w:val="1003"/>
    <w:link w:val="1004"/>
    <w:pPr>
      <w:ind w:firstLine="200"/>
      <w:spacing w:line="360" w:lineRule="auto"/>
    </w:pPr>
    <w:rPr>
      <w:rFonts w:ascii="仿宋_GB2312" w:eastAsia="仿宋_GB2312"/>
      <w:sz w:val="30"/>
      <w:szCs w:val="30"/>
    </w:rPr>
  </w:style>
  <w:style w:type="character" w:styleId="1004">
    <w:name w:val="正文文本首行缩进 字符"/>
    <w:next w:val="1004"/>
    <w:link w:val="1003"/>
    <w:rPr>
      <w:rFonts w:ascii="仿宋_GB2312" w:hAnsi="Times New Roman" w:eastAsia="仿宋_GB2312" w:cs="Times New Roman"/>
      <w:sz w:val="30"/>
      <w:szCs w:val="30"/>
    </w:rPr>
  </w:style>
  <w:style w:type="table" w:styleId="1005">
    <w:name w:val="网格型"/>
    <w:basedOn w:val="945"/>
    <w:next w:val="1005"/>
    <w:link w:val="934"/>
    <w:pPr>
      <w:jc w:val="both"/>
      <w:widowControl w:val="off"/>
    </w:pPr>
    <w:rPr>
      <w:rFonts w:ascii="Times New Roman" w:hAnsi="Times New Roman" w:eastAsia="宋体" w:cs="Times New Roman"/>
      <w:sz w:val="20"/>
      <w:szCs w:val="20"/>
    </w:rPr>
    <w:tblPr/>
  </w:style>
  <w:style w:type="character" w:styleId="1006">
    <w:name w:val="要点"/>
    <w:next w:val="1006"/>
    <w:link w:val="934"/>
    <w:qFormat/>
    <w:rPr>
      <w:b/>
      <w:bCs/>
    </w:rPr>
  </w:style>
  <w:style w:type="character" w:styleId="1007">
    <w:name w:val="页码"/>
    <w:next w:val="1007"/>
    <w:link w:val="934"/>
  </w:style>
  <w:style w:type="character" w:styleId="1008">
    <w:name w:val="已访问的超链接"/>
    <w:next w:val="1008"/>
    <w:link w:val="934"/>
    <w:rPr>
      <w:color w:val="800080"/>
      <w:u w:val="single"/>
    </w:rPr>
  </w:style>
  <w:style w:type="character" w:styleId="1009">
    <w:name w:val="强调"/>
    <w:next w:val="1009"/>
    <w:link w:val="934"/>
    <w:qFormat/>
    <w:rPr>
      <w:i/>
    </w:rPr>
  </w:style>
  <w:style w:type="character" w:styleId="1010">
    <w:name w:val="超链接"/>
    <w:next w:val="1010"/>
    <w:link w:val="934"/>
    <w:rPr>
      <w:color w:val="0000ff"/>
      <w:u w:val="single"/>
    </w:rPr>
  </w:style>
  <w:style w:type="character" w:styleId="1011">
    <w:name w:val="批注引用"/>
    <w:next w:val="1011"/>
    <w:link w:val="934"/>
    <w:semiHidden/>
    <w:rPr>
      <w:sz w:val="21"/>
      <w:szCs w:val="21"/>
    </w:rPr>
  </w:style>
  <w:style w:type="paragraph" w:styleId="1012">
    <w:name w:val="正文1"/>
    <w:basedOn w:val="934"/>
    <w:next w:val="1012"/>
    <w:link w:val="934"/>
    <w:qFormat/>
    <w:pPr>
      <w:ind w:left="350" w:firstLine="0"/>
    </w:pPr>
    <w:rPr>
      <w:rFonts w:cs="Times New Roman"/>
      <w:sz w:val="20"/>
      <w:szCs w:val="24"/>
    </w:rPr>
  </w:style>
  <w:style w:type="paragraph" w:styleId="1013">
    <w:name w:val="索引 41"/>
    <w:basedOn w:val="934"/>
    <w:next w:val="934"/>
    <w:link w:val="934"/>
    <w:semiHidden/>
    <w:qFormat/>
    <w:pPr>
      <w:ind w:left="1260"/>
    </w:pPr>
    <w:rPr>
      <w:rFonts w:ascii="Calibri" w:hAnsi="Calibri" w:eastAsia="Calibri" w:cs="宋体"/>
      <w:sz w:val="20"/>
      <w:lang w:val="zh-CN"/>
    </w:rPr>
  </w:style>
  <w:style w:type="paragraph" w:styleId="1014">
    <w:name w:val="正文首行缩进 21"/>
    <w:basedOn w:val="1015"/>
    <w:next w:val="934"/>
    <w:link w:val="934"/>
    <w:qFormat/>
    <w:pPr>
      <w:ind w:firstLine="420"/>
      <w:spacing w:line="360" w:lineRule="auto"/>
    </w:pPr>
    <w:rPr>
      <w:rFonts w:ascii="宋体" w:hAnsi="宋体" w:eastAsia="宋体"/>
      <w:sz w:val="21"/>
      <w:szCs w:val="20"/>
    </w:rPr>
  </w:style>
  <w:style w:type="paragraph" w:styleId="1015">
    <w:name w:val="正文文本缩进11"/>
    <w:basedOn w:val="934"/>
    <w:next w:val="1016"/>
    <w:link w:val="934"/>
    <w:qFormat/>
    <w:pPr>
      <w:ind w:firstLine="645"/>
    </w:pPr>
    <w:rPr>
      <w:rFonts w:ascii="楷体_GB2312" w:eastAsia="楷体_GB2312"/>
      <w:sz w:val="32"/>
      <w:szCs w:val="32"/>
    </w:rPr>
  </w:style>
  <w:style w:type="paragraph" w:styleId="1016">
    <w:name w:val="寄信人地址1"/>
    <w:basedOn w:val="934"/>
    <w:next w:val="1016"/>
    <w:link w:val="934"/>
    <w:qFormat/>
    <w:rPr>
      <w:rFonts w:ascii="Arial" w:hAnsi="Arial" w:eastAsia="宋体" w:cs="宋体"/>
    </w:rPr>
  </w:style>
  <w:style w:type="paragraph" w:styleId="1017">
    <w:name w:val="标题 41"/>
    <w:basedOn w:val="934"/>
    <w:next w:val="1018"/>
    <w:link w:val="934"/>
    <w:qFormat/>
    <w:pPr>
      <w:keepLines/>
      <w:keepNext/>
      <w:spacing w:before="280" w:after="290" w:line="376" w:lineRule="auto"/>
      <w:outlineLvl w:val="3"/>
    </w:pPr>
    <w:rPr>
      <w:rFonts w:ascii="Arial" w:hAnsi="Arial" w:eastAsia="黑体" w:cs="Arial"/>
      <w:b/>
      <w:bCs/>
      <w:sz w:val="28"/>
      <w:szCs w:val="28"/>
    </w:rPr>
  </w:style>
  <w:style w:type="paragraph" w:styleId="1018">
    <w:name w:val="正文缩进1"/>
    <w:basedOn w:val="934"/>
    <w:next w:val="1018"/>
    <w:link w:val="934"/>
    <w:qFormat/>
    <w:pPr>
      <w:ind w:firstLine="420"/>
    </w:pPr>
  </w:style>
  <w:style w:type="paragraph" w:styleId="1019">
    <w:name w:val="正文文本12"/>
    <w:basedOn w:val="934"/>
    <w:next w:val="1019"/>
    <w:link w:val="934"/>
    <w:uiPriority w:val="1"/>
    <w:qFormat/>
    <w:pPr>
      <w:ind w:left="120"/>
    </w:pPr>
    <w:rPr>
      <w:rFonts w:ascii="宋体" w:hAnsi="宋体" w:eastAsia="宋体" w:cs="宋体"/>
      <w:sz w:val="21"/>
      <w:szCs w:val="21"/>
      <w:lang w:val="zh-CN" w:eastAsia="zh-CN" w:bidi="zh-CN"/>
    </w:rPr>
  </w:style>
  <w:style w:type="character" w:styleId="1020">
    <w:name w:val="font5 Char"/>
    <w:next w:val="1020"/>
    <w:link w:val="934"/>
    <w:rPr>
      <w:rFonts w:ascii="宋体" w:hAnsi="宋体" w:eastAsia="宋体"/>
      <w:sz w:val="28"/>
      <w:szCs w:val="28"/>
      <w:lang w:val="en-US" w:eastAsia="zh-CN" w:bidi="ar-SA"/>
    </w:rPr>
  </w:style>
  <w:style w:type="character" w:styleId="1021">
    <w:name w:val="二级目录 Char"/>
    <w:next w:val="1021"/>
    <w:link w:val="1022"/>
    <w:rPr>
      <w:b/>
      <w:sz w:val="30"/>
      <w:szCs w:val="28"/>
    </w:rPr>
  </w:style>
  <w:style w:type="paragraph" w:styleId="1022">
    <w:name w:val="二级目录"/>
    <w:next w:val="934"/>
    <w:link w:val="1021"/>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34"/>
    <w:next w:val="1024"/>
    <w:link w:val="1023"/>
    <w:qFormat/>
    <w:pPr>
      <w:contextualSpacing/>
      <w:ind w:left="720"/>
      <w:jc w:val="left"/>
      <w:widowControl/>
    </w:pPr>
    <w:rPr>
      <w:rFonts w:ascii="Calibri" w:hAnsi="Calibri" w:eastAsia="宋体" w:cs="Times New Roman"/>
      <w:sz w:val="24"/>
      <w:szCs w:val="24"/>
      <w:lang w:eastAsia="en-US" w:bidi="en-US"/>
    </w:rPr>
  </w:style>
  <w:style w:type="paragraph" w:styleId="1025">
    <w:name w:val="Body Text(ch)"/>
    <w:basedOn w:val="934"/>
    <w:next w:val="970"/>
    <w:link w:val="934"/>
    <w:pPr>
      <w:spacing w:after="120"/>
    </w:pPr>
    <w:rPr>
      <w:rFonts w:ascii="宋体" w:hAnsi="Arial"/>
      <w:bCs/>
      <w:iCs/>
      <w:szCs w:val="24"/>
    </w:rPr>
  </w:style>
  <w:style w:type="paragraph" w:styleId="1026">
    <w:name w:val="xl27"/>
    <w:basedOn w:val="934"/>
    <w:next w:val="1026"/>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6"/>
    <w:basedOn w:val="934"/>
    <w:next w:val="1027"/>
    <w:link w:val="9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name w:val="Char"/>
    <w:basedOn w:val="934"/>
    <w:next w:val="1028"/>
    <w:link w:val="934"/>
    <w:pPr>
      <w:ind w:firstLine="200"/>
      <w:tabs>
        <w:tab w:val="left" w:pos="360" w:leader="none"/>
      </w:tabs>
    </w:pPr>
    <w:rPr>
      <w:sz w:val="28"/>
      <w:szCs w:val="30"/>
    </w:rPr>
  </w:style>
  <w:style w:type="paragraph" w:styleId="1029">
    <w:name w:val=" Char"/>
    <w:basedOn w:val="964"/>
    <w:next w:val="1029"/>
    <w:link w:val="934"/>
    <w:rPr>
      <w:rFonts w:ascii="Tahoma" w:hAnsi="Tahoma"/>
      <w:sz w:val="24"/>
      <w:szCs w:val="24"/>
    </w:rPr>
  </w:style>
  <w:style w:type="paragraph" w:styleId="1030">
    <w:name w:val="普通正文"/>
    <w:basedOn w:val="934"/>
    <w:next w:val="1030"/>
    <w:link w:val="934"/>
    <w:pPr>
      <w:ind w:firstLine="480"/>
      <w:jc w:val="left"/>
      <w:spacing w:before="120" w:after="120" w:line="360" w:lineRule="auto"/>
    </w:pPr>
    <w:rPr>
      <w:rFonts w:ascii="Arial" w:hAnsi="Arial"/>
      <w:sz w:val="24"/>
      <w:szCs w:val="24"/>
    </w:rPr>
  </w:style>
  <w:style w:type="paragraph" w:styleId="1031">
    <w:name w:val="table_lines"/>
    <w:basedOn w:val="934"/>
    <w:next w:val="1031"/>
    <w:link w:val="934"/>
    <w:pPr>
      <w:jc w:val="left"/>
      <w:widowControl/>
    </w:pPr>
    <w:rPr>
      <w:sz w:val="20"/>
      <w:szCs w:val="20"/>
      <w:lang w:val="de-DE" w:eastAsia="de-DE"/>
    </w:rPr>
  </w:style>
  <w:style w:type="paragraph" w:styleId="1032">
    <w:name w:val="附录1"/>
    <w:next w:val="1032"/>
    <w:link w:val="934"/>
    <w:pPr>
      <w:numPr>
        <w:ilvl w:val="0"/>
        <w:numId w:val="2"/>
      </w:numPr>
      <w:spacing w:before="240" w:line="600" w:lineRule="atLeast"/>
      <w:tabs>
        <w:tab w:val="left" w:pos="907" w:leader="none"/>
      </w:tabs>
    </w:pPr>
    <w:rPr>
      <w:b/>
      <w:i/>
      <w:sz w:val="28"/>
      <w:lang w:val="en-US" w:eastAsia="zh-CN" w:bidi="ar-SA"/>
    </w:rPr>
  </w:style>
  <w:style w:type="paragraph" w:styleId="1033">
    <w:name w:val="font7"/>
    <w:basedOn w:val="934"/>
    <w:next w:val="1033"/>
    <w:link w:val="934"/>
    <w:pPr>
      <w:jc w:val="left"/>
      <w:spacing w:before="100" w:beforeAutospacing="1" w:after="100" w:afterAutospacing="1"/>
      <w:widowControl/>
    </w:pPr>
    <w:rPr>
      <w:rFonts w:hint="eastAsia" w:ascii="宋体" w:hAnsi="宋体"/>
      <w:sz w:val="18"/>
      <w:szCs w:val="18"/>
    </w:rPr>
  </w:style>
  <w:style w:type="paragraph" w:styleId="1034">
    <w:name w:val=" Char Char Char Char"/>
    <w:basedOn w:val="964"/>
    <w:next w:val="1034"/>
    <w:link w:val="934"/>
    <w:pPr>
      <w:spacing w:line="360" w:lineRule="auto"/>
    </w:pPr>
    <w:rPr>
      <w:rFonts w:ascii="Tahoma" w:hAnsi="Tahoma"/>
      <w:sz w:val="24"/>
      <w:szCs w:val="24"/>
    </w:rPr>
  </w:style>
  <w:style w:type="paragraph" w:styleId="1035">
    <w:name w:val="列表段落"/>
    <w:basedOn w:val="934"/>
    <w:next w:val="1035"/>
    <w:link w:val="934"/>
    <w:qFormat/>
    <w:pPr>
      <w:contextualSpacing/>
      <w:ind w:left="720"/>
      <w:jc w:val="left"/>
      <w:widowControl/>
    </w:pPr>
    <w:rPr>
      <w:rFonts w:ascii="Calibri" w:hAnsi="Calibri"/>
      <w:sz w:val="24"/>
      <w:szCs w:val="24"/>
      <w:lang w:eastAsia="en-US" w:bidi="en-US"/>
    </w:rPr>
  </w:style>
  <w:style w:type="paragraph" w:styleId="1036">
    <w:name w:val="4"/>
    <w:basedOn w:val="934"/>
    <w:next w:val="992"/>
    <w:link w:val="934"/>
    <w:pPr>
      <w:ind w:firstLine="420"/>
      <w:spacing w:line="360" w:lineRule="auto"/>
    </w:pPr>
    <w:rPr>
      <w:color w:val="ff0000"/>
      <w:sz w:val="24"/>
      <w:szCs w:val="24"/>
    </w:rPr>
  </w:style>
  <w:style w:type="paragraph" w:styleId="1037">
    <w:name w:val="普通 (Web)"/>
    <w:basedOn w:val="934"/>
    <w:next w:val="1037"/>
    <w:link w:val="934"/>
    <w:pPr>
      <w:jc w:val="left"/>
      <w:spacing w:before="100" w:beforeAutospacing="1" w:after="100" w:afterAutospacing="1"/>
      <w:widowControl/>
    </w:pPr>
    <w:rPr>
      <w:rFonts w:ascii="宋体" w:hAnsi="宋体"/>
      <w:sz w:val="24"/>
      <w:szCs w:val="24"/>
    </w:rPr>
  </w:style>
  <w:style w:type="paragraph" w:styleId="1038">
    <w:name w:val=" Char Char Char Char Char Char Char Char Char Char"/>
    <w:basedOn w:val="934"/>
    <w:next w:val="1038"/>
    <w:link w:val="934"/>
    <w:pPr>
      <w:spacing w:line="360" w:lineRule="auto"/>
    </w:pPr>
    <w:rPr>
      <w:sz w:val="24"/>
      <w:szCs w:val="20"/>
    </w:rPr>
  </w:style>
  <w:style w:type="paragraph" w:styleId="1039">
    <w:name w:val="样式1"/>
    <w:basedOn w:val="934"/>
    <w:next w:val="1039"/>
    <w:link w:val="934"/>
    <w:pPr>
      <w:numPr>
        <w:ilvl w:val="0"/>
        <w:numId w:val="3"/>
      </w:numPr>
      <w:tabs>
        <w:tab w:val="left" w:pos="709" w:leader="none"/>
      </w:tabs>
    </w:pPr>
    <w:rPr>
      <w:rFonts w:ascii="宋体" w:hAnsi="宋体"/>
    </w:rPr>
  </w:style>
  <w:style w:type="paragraph" w:styleId="1040">
    <w:name w:val="font6"/>
    <w:basedOn w:val="934"/>
    <w:next w:val="1040"/>
    <w:link w:val="934"/>
    <w:pPr>
      <w:jc w:val="left"/>
      <w:spacing w:before="100" w:beforeAutospacing="1" w:after="100" w:afterAutospacing="1"/>
      <w:widowControl/>
    </w:pPr>
    <w:rPr>
      <w:rFonts w:hint="eastAsia" w:ascii="宋体" w:hAnsi="宋体"/>
      <w:sz w:val="28"/>
      <w:szCs w:val="28"/>
      <w:u w:val="single"/>
    </w:rPr>
  </w:style>
  <w:style w:type="paragraph" w:styleId="1041">
    <w:name w:val="xl25"/>
    <w:basedOn w:val="934"/>
    <w:next w:val="1041"/>
    <w:link w:val="9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34"/>
    <w:next w:val="934"/>
    <w:link w:val="93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name w:val="标题3"/>
    <w:basedOn w:val="934"/>
    <w:next w:val="934"/>
    <w:link w:val="934"/>
    <w:pPr>
      <w:ind w:firstLine="624"/>
      <w:spacing w:line="590" w:lineRule="atLeast"/>
    </w:pPr>
    <w:rPr>
      <w:rFonts w:ascii="方正黑体_GBK" w:eastAsia="方正黑体_GBK"/>
      <w:sz w:val="32"/>
      <w:szCs w:val="32"/>
    </w:rPr>
  </w:style>
  <w:style w:type="paragraph" w:styleId="1044">
    <w:name w:val="xl24"/>
    <w:basedOn w:val="934"/>
    <w:next w:val="1044"/>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name w:val="xl29"/>
    <w:basedOn w:val="934"/>
    <w:next w:val="1045"/>
    <w:link w:val="93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name w:val="Char Char Char Char Char Char Char Char"/>
    <w:basedOn w:val="934"/>
    <w:next w:val="1046"/>
    <w:link w:val="934"/>
    <w:pPr>
      <w:jc w:val="left"/>
      <w:spacing w:after="160" w:line="240" w:lineRule="exact"/>
      <w:widowControl/>
    </w:pPr>
    <w:rPr>
      <w:rFonts w:ascii="Verdana" w:hAnsi="Verdana"/>
      <w:sz w:val="20"/>
      <w:szCs w:val="20"/>
      <w:lang w:eastAsia="en-US"/>
    </w:rPr>
  </w:style>
  <w:style w:type="paragraph" w:styleId="1047">
    <w:name w:val="xl28"/>
    <w:basedOn w:val="934"/>
    <w:next w:val="1047"/>
    <w:link w:val="9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name w:val=" Char Char Char Char Char Char Char Char"/>
    <w:basedOn w:val="934"/>
    <w:next w:val="1048"/>
    <w:link w:val="934"/>
    <w:pPr>
      <w:jc w:val="left"/>
      <w:spacing w:after="160" w:line="240" w:lineRule="exact"/>
      <w:widowControl/>
    </w:pPr>
    <w:rPr>
      <w:rFonts w:ascii="Verdana" w:hAnsi="Verdana"/>
      <w:sz w:val="20"/>
      <w:szCs w:val="20"/>
      <w:lang w:eastAsia="en-US"/>
    </w:rPr>
  </w:style>
  <w:style w:type="paragraph" w:styleId="1049">
    <w:name w:val="xl30"/>
    <w:basedOn w:val="934"/>
    <w:next w:val="1049"/>
    <w:link w:val="934"/>
    <w:pPr>
      <w:jc w:val="center"/>
      <w:spacing w:before="100" w:beforeAutospacing="1" w:after="100" w:afterAutospacing="1"/>
      <w:widowControl/>
    </w:pPr>
    <w:rPr>
      <w:rFonts w:ascii="宋体" w:hAnsi="宋体"/>
      <w:b/>
      <w:bCs/>
      <w:sz w:val="36"/>
      <w:szCs w:val="36"/>
    </w:rPr>
  </w:style>
  <w:style w:type="paragraph" w:styleId="1050">
    <w:name w:val="Char Char Char Char"/>
    <w:basedOn w:val="964"/>
    <w:next w:val="1050"/>
    <w:link w:val="934"/>
    <w:pPr>
      <w:spacing w:line="360" w:lineRule="auto"/>
    </w:pPr>
    <w:rPr>
      <w:rFonts w:ascii="Tahoma" w:hAnsi="Tahoma"/>
      <w:sz w:val="24"/>
      <w:szCs w:val="24"/>
    </w:rPr>
  </w:style>
  <w:style w:type="paragraph" w:styleId="1051">
    <w:name w:val="table_1stline"/>
    <w:basedOn w:val="934"/>
    <w:next w:val="1051"/>
    <w:link w:val="934"/>
    <w:pPr>
      <w:jc w:val="left"/>
      <w:spacing w:before="120"/>
      <w:widowControl/>
    </w:pPr>
    <w:rPr>
      <w:bCs/>
      <w:sz w:val="20"/>
      <w:szCs w:val="20"/>
      <w:lang w:val="de-DE" w:eastAsia="de-DE"/>
    </w:rPr>
  </w:style>
  <w:style w:type="paragraph" w:styleId="1052">
    <w:name w:val="font5"/>
    <w:basedOn w:val="934"/>
    <w:next w:val="1052"/>
    <w:link w:val="934"/>
    <w:pPr>
      <w:jc w:val="left"/>
      <w:spacing w:before="100" w:beforeAutospacing="1" w:after="100" w:afterAutospacing="1"/>
      <w:widowControl/>
    </w:pPr>
    <w:rPr>
      <w:rFonts w:hint="eastAsia" w:ascii="宋体" w:hAnsi="宋体"/>
      <w:sz w:val="28"/>
      <w:szCs w:val="28"/>
    </w:rPr>
  </w:style>
  <w:style w:type="paragraph" w:styleId="1053">
    <w:name w:val="标题1"/>
    <w:basedOn w:val="934"/>
    <w:next w:val="934"/>
    <w:link w:val="93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name w:val="修订"/>
    <w:next w:val="1054"/>
    <w:link w:val="934"/>
    <w:uiPriority w:val="99"/>
    <w:semiHidden/>
    <w:rPr>
      <w:sz w:val="21"/>
      <w:szCs w:val="21"/>
      <w:lang w:val="en-US" w:eastAsia="zh-CN" w:bidi="ar-SA"/>
    </w:rPr>
  </w:style>
  <w:style w:type="paragraph" w:styleId="1055">
    <w:name w:val="无间隔"/>
    <w:next w:val="1055"/>
    <w:link w:val="934"/>
    <w:uiPriority w:val="99"/>
    <w:qFormat/>
    <w:pPr>
      <w:jc w:val="both"/>
      <w:widowControl w:val="off"/>
    </w:pPr>
    <w:rPr>
      <w:sz w:val="21"/>
      <w:szCs w:val="21"/>
      <w:lang w:val="en-US" w:eastAsia="zh-CN" w:bidi="ar-SA"/>
    </w:rPr>
  </w:style>
  <w:style w:type="paragraph" w:styleId="1056">
    <w:name w:val="正文文本 211"/>
    <w:basedOn w:val="934"/>
    <w:next w:val="1056"/>
    <w:link w:val="934"/>
    <w:uiPriority w:val="99"/>
    <w:qFormat/>
    <w:pPr>
      <w:jc w:val="center"/>
    </w:pPr>
    <w:rPr>
      <w:b/>
      <w:bCs/>
      <w:sz w:val="20"/>
      <w:szCs w:val="20"/>
    </w:rPr>
  </w:style>
  <w:style w:type="table" w:styleId="1057">
    <w:name w:val="Table Normal"/>
    <w:next w:val="1057"/>
    <w:link w:val="934"/>
    <w:qFormat/>
    <w:rPr>
      <w:lang w:val="en-US" w:eastAsia="zh-CN" w:bidi="ar-SA"/>
    </w:rPr>
    <w:tblPr/>
  </w:style>
  <w:style w:type="paragraph" w:styleId="1058">
    <w:name w:val="正文文本1"/>
    <w:basedOn w:val="934"/>
    <w:next w:val="934"/>
    <w:link w:val="934"/>
    <w:semiHidden/>
    <w:qFormat/>
    <w:rPr>
      <w:rFonts w:ascii="Arial" w:hAnsi="Arial" w:eastAsia="Arial" w:cs="Arial"/>
      <w:sz w:val="21"/>
      <w:szCs w:val="21"/>
      <w:lang w:val="en-US" w:eastAsia="en-US" w:bidi="ar-SA"/>
    </w:rPr>
  </w:style>
  <w:style w:type="paragraph" w:styleId="1059">
    <w:name w:val="纯文本1"/>
    <w:basedOn w:val="934"/>
    <w:next w:val="1059"/>
    <w:link w:val="934"/>
    <w:qFormat/>
    <w:rPr>
      <w:rFonts w:ascii="宋体" w:hAnsi="Courier New" w:cs="Courier New"/>
    </w:rPr>
  </w:style>
  <w:style w:type="table" w:styleId="1060">
    <w:name w:val="网格型1"/>
    <w:basedOn w:val="1061"/>
    <w:next w:val="1060"/>
    <w:link w:val="934"/>
    <w:qFormat/>
    <w:pPr>
      <w:jc w:val="both"/>
      <w:widowControl w:val="off"/>
    </w:pPr>
    <w:tblPr/>
  </w:style>
  <w:style w:type="table" w:styleId="1061">
    <w:name w:val="普通表格1"/>
    <w:next w:val="1061"/>
    <w:link w:val="934"/>
    <w:uiPriority w:val="99"/>
    <w:unhideWhenUsed/>
    <w:qFormat/>
    <w:rPr>
      <w:lang w:val="en-US" w:eastAsia="zh-CN" w:bidi="ar-SA"/>
    </w:rPr>
    <w:tblPr/>
  </w:style>
  <w:style w:type="character" w:styleId="1062">
    <w:name w:val="15"/>
    <w:next w:val="1062"/>
    <w:link w:val="934"/>
    <w:rPr>
      <w:rFonts w:ascii="Times New Roman" w:hAnsi="Times New Roman" w:cs="Times New Roman"/>
    </w:rPr>
  </w:style>
  <w:style w:type="paragraph" w:styleId="1063">
    <w:name w:val="正文首行缩进 211"/>
    <w:basedOn w:val="1015"/>
    <w:next w:val="934"/>
    <w:link w:val="934"/>
    <w:qFormat/>
    <w:pPr>
      <w:ind w:left="0" w:firstLine="420"/>
      <w:spacing w:after="0" w:line="360" w:lineRule="auto"/>
    </w:pPr>
    <w:rPr>
      <w:rFonts w:ascii="宋体" w:hAnsi="宋体" w:eastAsia="宋体" w:cs="Times New Roman"/>
      <w:szCs w:val="20"/>
    </w:rPr>
  </w:style>
  <w:style w:type="paragraph" w:styleId="1064">
    <w:name w:val="Table Paragraph"/>
    <w:basedOn w:val="934"/>
    <w:next w:val="1064"/>
    <w:link w:val="934"/>
    <w:uiPriority w:val="1"/>
    <w:qFormat/>
    <w:pPr>
      <w:jc w:val="left"/>
    </w:pPr>
    <w:rPr>
      <w:rFonts w:ascii="宋体" w:hAnsi="宋体" w:eastAsia="宋体" w:cs="宋体"/>
      <w:sz w:val="22"/>
      <w:szCs w:val="22"/>
      <w:lang w:val="zh-CN" w:bidi="zh-CN"/>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5</cp:revision>
  <dcterms:created xsi:type="dcterms:W3CDTF">2023-03-16T02:16:00Z</dcterms:created>
  <dcterms:modified xsi:type="dcterms:W3CDTF">2026-10-13T08:38:44Z</dcterms:modified>
</cp:coreProperties>
</file>