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138EE">
      <w:pPr>
        <w:pStyle w:val="190"/>
        <w:ind w:firstLine="0"/>
        <w:jc w:val="center"/>
        <w:rPr>
          <w:rFonts w:eastAsia="黑体"/>
          <w:bCs/>
          <w:sz w:val="84"/>
          <w:highlight w:val="none"/>
        </w:rPr>
      </w:pPr>
      <w:r>
        <w:rPr>
          <w:rFonts w:eastAsia="黑体"/>
          <w:bCs/>
          <w:sz w:val="84"/>
          <w:highlight w:val="none"/>
        </w:rPr>
        <w:t>封闭式框架协议采购　</w:t>
      </w:r>
    </w:p>
    <w:p w14:paraId="3FB1D79F">
      <w:pPr>
        <w:pStyle w:val="190"/>
        <w:ind w:firstLine="0"/>
        <w:jc w:val="center"/>
        <w:rPr>
          <w:rFonts w:eastAsia="黑体"/>
          <w:bCs/>
          <w:sz w:val="84"/>
          <w:highlight w:val="none"/>
        </w:rPr>
      </w:pPr>
      <w:r>
        <w:rPr>
          <w:rFonts w:eastAsia="黑体"/>
          <w:bCs/>
          <w:sz w:val="84"/>
          <w:highlight w:val="none"/>
        </w:rPr>
        <w:t>征集文件</w:t>
      </w:r>
    </w:p>
    <w:p w14:paraId="4301E2F4">
      <w:pPr>
        <w:pStyle w:val="190"/>
        <w:ind w:firstLine="0"/>
        <w:jc w:val="center"/>
        <w:rPr>
          <w:rFonts w:eastAsia="黑体"/>
          <w:bCs/>
          <w:sz w:val="84"/>
          <w:highlight w:val="none"/>
        </w:rPr>
      </w:pPr>
    </w:p>
    <w:p w14:paraId="4F52445C">
      <w:pPr>
        <w:pStyle w:val="190"/>
        <w:ind w:firstLine="0"/>
        <w:jc w:val="center"/>
        <w:rPr>
          <w:rFonts w:hint="eastAsia" w:eastAsia="宋体"/>
          <w:b/>
          <w:bCs/>
          <w:sz w:val="32"/>
          <w:highlight w:val="none"/>
          <w:lang w:eastAsia="zh-CN"/>
        </w:rPr>
      </w:pPr>
      <w:r>
        <w:rPr>
          <w:b/>
          <w:bCs/>
          <w:sz w:val="32"/>
          <w:highlight w:val="none"/>
        </w:rPr>
        <w:t>项目名称：</w:t>
      </w:r>
      <w:r>
        <w:rPr>
          <w:rFonts w:hint="eastAsia" w:eastAsia="宋体"/>
          <w:b/>
          <w:bCs/>
          <w:sz w:val="32"/>
          <w:highlight w:val="none"/>
          <w:lang w:eastAsia="zh-CN"/>
        </w:rPr>
        <w:t>亭湖区行政事业单位2027-2028年度公务用车维保服务框架协议采购项目（不见面开标）</w:t>
      </w:r>
    </w:p>
    <w:p w14:paraId="3C94579E">
      <w:pPr>
        <w:pStyle w:val="190"/>
        <w:ind w:firstLine="0"/>
        <w:jc w:val="left"/>
        <w:rPr>
          <w:rFonts w:hint="eastAsia"/>
          <w:b/>
          <w:bCs/>
          <w:sz w:val="32"/>
          <w:highlight w:val="none"/>
          <w:lang w:eastAsia="zh-CN"/>
        </w:rPr>
      </w:pPr>
      <w:r>
        <w:rPr>
          <w:b/>
          <w:bCs/>
          <w:sz w:val="32"/>
          <w:highlight w:val="none"/>
        </w:rPr>
        <w:t>项目编号：JSZC-320902-JZCG-K2026-0059</w:t>
      </w:r>
    </w:p>
    <w:p w14:paraId="58E33D64">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24"/>
          <w:highlight w:val="none"/>
        </w:rPr>
        <w:t> </w:t>
      </w:r>
      <w:r>
        <w:rPr>
          <w:rFonts w:hint="eastAsia" w:ascii="宋体" w:hAnsi="宋体" w:cs="宋体"/>
          <w:color w:val="000000"/>
          <w:sz w:val="24"/>
          <w:highlight w:val="none"/>
        </w:rPr>
        <w:t xml:space="preserve">         </w:t>
      </w:r>
    </w:p>
    <w:p w14:paraId="0D99E655">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r>
        <w:rPr>
          <w:rFonts w:ascii="宋体" w:hAnsi="宋体" w:cs="宋体"/>
          <w:color w:val="000000"/>
          <w:sz w:val="24"/>
          <w:highlight w:val="none"/>
        </w:rPr>
        <w:t> </w:t>
      </w:r>
    </w:p>
    <w:p w14:paraId="02D400B1">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5F1F8566">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797C3403">
      <w:pPr>
        <w:pStyle w:val="41"/>
        <w:rPr>
          <w:rFonts w:ascii="宋体" w:hAnsi="宋体" w:cs="宋体"/>
          <w:color w:val="000000"/>
          <w:sz w:val="24"/>
          <w:highlight w:val="none"/>
        </w:rPr>
      </w:pPr>
    </w:p>
    <w:p w14:paraId="578465C8">
      <w:pPr>
        <w:rPr>
          <w:highlight w:val="none"/>
        </w:rPr>
      </w:pPr>
    </w:p>
    <w:p w14:paraId="04251D62">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67962237">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47703B68">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0D940DA5">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440CE423">
      <w:pPr>
        <w:pBdr>
          <w:top w:val="none" w:color="000000" w:sz="0" w:space="0"/>
          <w:left w:val="none" w:color="000000" w:sz="0" w:space="0"/>
          <w:bottom w:val="none" w:color="000000" w:sz="0" w:space="0"/>
          <w:right w:val="none" w:color="000000" w:sz="0" w:space="0"/>
        </w:pBdr>
        <w:rPr>
          <w:rFonts w:ascii="宋体" w:hAnsi="宋体" w:cs="宋体"/>
          <w:color w:val="000000"/>
          <w:sz w:val="24"/>
          <w:highlight w:val="none"/>
        </w:rPr>
      </w:pPr>
    </w:p>
    <w:p w14:paraId="355F571E">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24"/>
          <w:highlight w:val="none"/>
        </w:rPr>
        <w:t> </w:t>
      </w:r>
    </w:p>
    <w:p w14:paraId="2ABF9C63">
      <w:pPr>
        <w:pBdr>
          <w:top w:val="none" w:color="000000" w:sz="0" w:space="0"/>
          <w:left w:val="none" w:color="000000" w:sz="0" w:space="0"/>
          <w:bottom w:val="none" w:color="000000" w:sz="0" w:space="0"/>
          <w:right w:val="none" w:color="000000" w:sz="0" w:space="0"/>
        </w:pBdr>
        <w:spacing w:before="240" w:after="240"/>
        <w:jc w:val="center"/>
        <w:rPr>
          <w:rFonts w:ascii="宋体" w:hAnsi="宋体" w:cs="宋体"/>
          <w:b/>
          <w:color w:val="000000"/>
          <w:sz w:val="32"/>
          <w:highlight w:val="none"/>
        </w:rPr>
      </w:pPr>
      <w:r>
        <w:rPr>
          <w:rFonts w:hint="eastAsia" w:ascii="宋体" w:hAnsi="宋体" w:cs="宋体"/>
          <w:b/>
          <w:color w:val="000000"/>
          <w:sz w:val="32"/>
          <w:highlight w:val="none"/>
        </w:rPr>
        <w:t>盐城市亭湖区机关事务服务中心</w:t>
      </w:r>
    </w:p>
    <w:p w14:paraId="67D760EF">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ascii="Arial" w:hAnsi="Arial" w:eastAsia="Arial" w:cs="Arial"/>
          <w:b/>
          <w:color w:val="000000"/>
          <w:sz w:val="32"/>
          <w:highlight w:val="none"/>
        </w:rPr>
        <w:t>202</w:t>
      </w:r>
      <w:r>
        <w:rPr>
          <w:rFonts w:hint="eastAsia" w:ascii="Arial" w:hAnsi="Arial" w:eastAsia="宋体" w:cs="Arial"/>
          <w:b/>
          <w:color w:val="000000"/>
          <w:sz w:val="32"/>
          <w:highlight w:val="none"/>
          <w:lang w:val="en-US" w:eastAsia="zh-CN"/>
        </w:rPr>
        <w:t>6</w:t>
      </w:r>
      <w:r>
        <w:rPr>
          <w:rFonts w:ascii="宋体" w:hAnsi="宋体" w:cs="宋体"/>
          <w:b/>
          <w:color w:val="000000"/>
          <w:sz w:val="32"/>
          <w:highlight w:val="none"/>
        </w:rPr>
        <w:t>年</w:t>
      </w:r>
      <w:r>
        <w:rPr>
          <w:rFonts w:hint="eastAsia" w:eastAsia="宋体" w:cs="Arial" w:asciiTheme="minorEastAsia" w:hAnsiTheme="minorEastAsia"/>
          <w:b/>
          <w:color w:val="000000"/>
          <w:sz w:val="32"/>
          <w:highlight w:val="none"/>
          <w:lang w:val="en-US" w:eastAsia="zh-CN"/>
        </w:rPr>
        <w:t>10</w:t>
      </w:r>
      <w:r>
        <w:rPr>
          <w:rFonts w:cs="宋体" w:asciiTheme="minorEastAsia" w:hAnsiTheme="minorEastAsia" w:eastAsiaTheme="minorEastAsia"/>
          <w:b/>
          <w:color w:val="000000"/>
          <w:sz w:val="32"/>
          <w:highlight w:val="none"/>
        </w:rPr>
        <w:t>月</w:t>
      </w:r>
    </w:p>
    <w:p w14:paraId="31557892">
      <w:pPr>
        <w:pBdr>
          <w:top w:val="none" w:color="000000" w:sz="0" w:space="0"/>
          <w:left w:val="none" w:color="000000" w:sz="0" w:space="0"/>
          <w:bottom w:val="none" w:color="000000" w:sz="0" w:space="0"/>
          <w:right w:val="none" w:color="000000" w:sz="0" w:space="0"/>
        </w:pBdr>
        <w:spacing w:line="113" w:lineRule="atLeast"/>
        <w:jc w:val="center"/>
        <w:rPr>
          <w:highlight w:val="none"/>
        </w:rPr>
      </w:pPr>
      <w:r>
        <w:rPr>
          <w:rFonts w:asciiTheme="minorEastAsia" w:hAnsiTheme="minorEastAsia" w:eastAsiaTheme="minorEastAsia"/>
          <w:highlight w:val="none"/>
        </w:rPr>
        <w:br w:type="page" w:clear="all"/>
      </w:r>
    </w:p>
    <w:p w14:paraId="0AF2E55C">
      <w:pPr>
        <w:rPr>
          <w:highlight w:val="none"/>
        </w:rPr>
      </w:pPr>
    </w:p>
    <w:p w14:paraId="3B9505CF">
      <w:pPr>
        <w:spacing w:line="480" w:lineRule="auto"/>
        <w:jc w:val="center"/>
        <w:outlineLvl w:val="0"/>
        <w:rPr>
          <w:rFonts w:ascii="黑体" w:hAnsi="Arial" w:eastAsia="黑体"/>
          <w:b/>
          <w:sz w:val="44"/>
          <w:highlight w:val="none"/>
        </w:rPr>
      </w:pPr>
      <w:bookmarkStart w:id="0" w:name="_Toc128039577"/>
      <w:r>
        <w:rPr>
          <w:rFonts w:ascii="黑体" w:hAnsi="Arial" w:eastAsia="黑体"/>
          <w:b/>
          <w:sz w:val="44"/>
          <w:highlight w:val="none"/>
        </w:rPr>
        <w:t>总  目  录</w:t>
      </w:r>
      <w:bookmarkEnd w:id="0"/>
    </w:p>
    <w:p w14:paraId="07F6A3DD">
      <w:pPr>
        <w:spacing w:line="113" w:lineRule="atLeast"/>
        <w:jc w:val="center"/>
        <w:rPr>
          <w:highlight w:val="none"/>
        </w:rPr>
      </w:pPr>
    </w:p>
    <w:p w14:paraId="1BC7F8A1">
      <w:pPr>
        <w:pStyle w:val="2"/>
        <w:rPr>
          <w:rFonts w:ascii="Arial" w:hAnsi="Arial"/>
          <w:caps w:val="0"/>
          <w:sz w:val="21"/>
          <w:szCs w:val="22"/>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ascii="黑体" w:hAnsi="Arial" w:eastAsia="黑体"/>
          <w:b/>
          <w:highlight w:val="none"/>
        </w:rPr>
        <w:t>总  目  录</w:t>
      </w:r>
      <w:r>
        <w:rPr>
          <w:highlight w:val="none"/>
        </w:rPr>
        <w:tab/>
      </w:r>
      <w:r>
        <w:rPr>
          <w:highlight w:val="none"/>
        </w:rPr>
        <w:fldChar w:fldCharType="begin"/>
      </w:r>
      <w:r>
        <w:rPr>
          <w:highlight w:val="none"/>
        </w:rPr>
        <w:instrText xml:space="preserve"> PAGEREF _Toc128039577 \h </w:instrText>
      </w:r>
      <w:r>
        <w:rPr>
          <w:highlight w:val="none"/>
        </w:rPr>
        <w:fldChar w:fldCharType="separate"/>
      </w:r>
      <w:r>
        <w:rPr>
          <w:highlight w:val="none"/>
        </w:rPr>
        <w:t>2</w:t>
      </w:r>
      <w:r>
        <w:rPr>
          <w:highlight w:val="none"/>
        </w:rPr>
        <w:fldChar w:fldCharType="end"/>
      </w:r>
    </w:p>
    <w:p w14:paraId="057868E4">
      <w:pPr>
        <w:pStyle w:val="2"/>
        <w:rPr>
          <w:rFonts w:ascii="Arial" w:hAnsi="Arial"/>
          <w:caps w:val="0"/>
          <w:sz w:val="21"/>
          <w:szCs w:val="22"/>
          <w:highlight w:val="none"/>
        </w:rPr>
      </w:pPr>
      <w:r>
        <w:rPr>
          <w:rFonts w:ascii="黑体" w:eastAsia="黑体"/>
          <w:highlight w:val="none"/>
        </w:rPr>
        <w:t>第一章  参加征集活动的邀请</w:t>
      </w:r>
      <w:r>
        <w:rPr>
          <w:highlight w:val="none"/>
        </w:rPr>
        <w:tab/>
      </w:r>
      <w:r>
        <w:rPr>
          <w:highlight w:val="none"/>
        </w:rPr>
        <w:fldChar w:fldCharType="begin"/>
      </w:r>
      <w:r>
        <w:rPr>
          <w:highlight w:val="none"/>
        </w:rPr>
        <w:instrText xml:space="preserve"> PAGEREF _Toc128039578 \h </w:instrText>
      </w:r>
      <w:r>
        <w:rPr>
          <w:highlight w:val="none"/>
        </w:rPr>
        <w:fldChar w:fldCharType="separate"/>
      </w:r>
      <w:r>
        <w:rPr>
          <w:highlight w:val="none"/>
        </w:rPr>
        <w:t>3</w:t>
      </w:r>
      <w:r>
        <w:rPr>
          <w:highlight w:val="none"/>
        </w:rPr>
        <w:fldChar w:fldCharType="end"/>
      </w:r>
    </w:p>
    <w:p w14:paraId="1C98527C">
      <w:pPr>
        <w:pStyle w:val="2"/>
        <w:rPr>
          <w:rFonts w:hint="eastAsia" w:ascii="Arial" w:hAnsi="Arial" w:eastAsia="宋体"/>
          <w:caps w:val="0"/>
          <w:sz w:val="21"/>
          <w:szCs w:val="22"/>
          <w:highlight w:val="none"/>
          <w:lang w:eastAsia="zh-CN"/>
        </w:rPr>
      </w:pPr>
      <w:r>
        <w:rPr>
          <w:rFonts w:ascii="黑体" w:eastAsia="黑体"/>
          <w:highlight w:val="none"/>
        </w:rPr>
        <w:t>第二章  供应商须知</w:t>
      </w:r>
      <w:r>
        <w:rPr>
          <w:highlight w:val="none"/>
        </w:rPr>
        <w:tab/>
      </w:r>
      <w:r>
        <w:rPr>
          <w:rFonts w:hint="eastAsia" w:eastAsia="宋体"/>
          <w:highlight w:val="none"/>
          <w:lang w:val="en-US" w:eastAsia="zh-CN"/>
        </w:rPr>
        <w:t>8</w:t>
      </w:r>
    </w:p>
    <w:p w14:paraId="35CF03B2">
      <w:pPr>
        <w:pStyle w:val="2"/>
        <w:rPr>
          <w:rFonts w:hint="default" w:ascii="Arial" w:hAnsi="Arial" w:eastAsia="宋体"/>
          <w:caps w:val="0"/>
          <w:sz w:val="21"/>
          <w:szCs w:val="22"/>
          <w:highlight w:val="none"/>
          <w:lang w:val="en-US" w:eastAsia="zh-CN"/>
        </w:rPr>
      </w:pPr>
      <w:r>
        <w:rPr>
          <w:rFonts w:ascii="黑体" w:eastAsia="黑体"/>
          <w:bCs/>
          <w:highlight w:val="none"/>
        </w:rPr>
        <w:t>第三章  框架协议文本</w:t>
      </w:r>
      <w:r>
        <w:rPr>
          <w:highlight w:val="none"/>
        </w:rPr>
        <w:tab/>
      </w:r>
      <w:r>
        <w:rPr>
          <w:rFonts w:hint="eastAsia" w:eastAsia="宋体"/>
          <w:highlight w:val="none"/>
          <w:lang w:val="en-US" w:eastAsia="zh-CN"/>
        </w:rPr>
        <w:t>23</w:t>
      </w:r>
    </w:p>
    <w:p w14:paraId="3BC68523">
      <w:pPr>
        <w:pStyle w:val="2"/>
        <w:rPr>
          <w:rFonts w:hint="eastAsia" w:ascii="Arial" w:hAnsi="Arial" w:eastAsia="宋体"/>
          <w:caps w:val="0"/>
          <w:sz w:val="21"/>
          <w:szCs w:val="22"/>
          <w:highlight w:val="none"/>
          <w:lang w:eastAsia="zh-CN"/>
        </w:rPr>
      </w:pPr>
      <w:r>
        <w:rPr>
          <w:rFonts w:ascii="黑体" w:eastAsia="黑体"/>
          <w:bCs/>
          <w:highlight w:val="none"/>
        </w:rPr>
        <w:t>第四章 采购需求</w:t>
      </w:r>
      <w:r>
        <w:rPr>
          <w:highlight w:val="none"/>
        </w:rPr>
        <w:tab/>
      </w:r>
      <w:r>
        <w:rPr>
          <w:highlight w:val="none"/>
        </w:rPr>
        <w:t>2</w:t>
      </w:r>
      <w:r>
        <w:rPr>
          <w:rFonts w:hint="eastAsia" w:eastAsia="宋体"/>
          <w:highlight w:val="none"/>
          <w:lang w:val="en-US" w:eastAsia="zh-CN"/>
        </w:rPr>
        <w:t>8</w:t>
      </w:r>
    </w:p>
    <w:p w14:paraId="7E226E5C">
      <w:pPr>
        <w:pStyle w:val="2"/>
        <w:rPr>
          <w:rFonts w:hint="default" w:ascii="Arial" w:hAnsi="Arial" w:eastAsiaTheme="minorEastAsia"/>
          <w:caps w:val="0"/>
          <w:sz w:val="21"/>
          <w:szCs w:val="22"/>
          <w:highlight w:val="none"/>
          <w:lang w:val="en-US" w:eastAsia="zh-CN"/>
        </w:rPr>
      </w:pPr>
      <w:r>
        <w:rPr>
          <w:rFonts w:ascii="黑体" w:eastAsia="黑体"/>
          <w:bCs/>
          <w:highlight w:val="none"/>
        </w:rPr>
        <w:t>第五章  确定入围及成交供应商</w:t>
      </w:r>
      <w:r>
        <w:rPr>
          <w:highlight w:val="none"/>
        </w:rPr>
        <w:tab/>
      </w:r>
      <w:r>
        <w:rPr>
          <w:rFonts w:hint="eastAsia"/>
          <w:highlight w:val="none"/>
          <w:lang w:val="en-US" w:eastAsia="zh-CN"/>
        </w:rPr>
        <w:t>36</w:t>
      </w:r>
    </w:p>
    <w:p w14:paraId="7B35BC1F">
      <w:pPr>
        <w:pStyle w:val="2"/>
        <w:rPr>
          <w:rFonts w:hint="default" w:ascii="Arial" w:hAnsi="Arial" w:eastAsiaTheme="minorEastAsia"/>
          <w:caps w:val="0"/>
          <w:sz w:val="21"/>
          <w:szCs w:val="22"/>
          <w:highlight w:val="none"/>
          <w:lang w:val="en-US" w:eastAsia="zh-CN"/>
        </w:rPr>
      </w:pPr>
      <w:r>
        <w:rPr>
          <w:rFonts w:ascii="黑体" w:eastAsia="黑体"/>
          <w:bCs/>
          <w:highlight w:val="none"/>
        </w:rPr>
        <w:t>第六章  响应文件格式</w:t>
      </w:r>
      <w:r>
        <w:rPr>
          <w:highlight w:val="none"/>
        </w:rPr>
        <w:tab/>
      </w:r>
      <w:r>
        <w:rPr>
          <w:rFonts w:hint="eastAsia"/>
          <w:highlight w:val="none"/>
          <w:lang w:val="en-US" w:eastAsia="zh-CN"/>
        </w:rPr>
        <w:t>39</w:t>
      </w:r>
    </w:p>
    <w:p w14:paraId="3B005BA9">
      <w:pPr>
        <w:rPr>
          <w:highlight w:val="none"/>
        </w:rPr>
      </w:pPr>
      <w:r>
        <w:rPr>
          <w:rFonts w:hAnsi="宋体"/>
          <w:b/>
          <w:bCs/>
          <w:sz w:val="36"/>
          <w:szCs w:val="36"/>
          <w:highlight w:val="none"/>
        </w:rPr>
        <w:fldChar w:fldCharType="end"/>
      </w:r>
    </w:p>
    <w:p w14:paraId="09B106AC">
      <w:pPr>
        <w:rPr>
          <w:highlight w:val="none"/>
        </w:rPr>
      </w:pPr>
    </w:p>
    <w:p w14:paraId="55AE33D1">
      <w:pPr>
        <w:rPr>
          <w:rFonts w:ascii="黑体" w:eastAsia="黑体"/>
          <w:sz w:val="44"/>
          <w:szCs w:val="44"/>
          <w:highlight w:val="none"/>
        </w:rPr>
      </w:pPr>
      <w:bookmarkStart w:id="1" w:name="_Toc128039578"/>
      <w:r>
        <w:rPr>
          <w:rFonts w:ascii="黑体" w:eastAsia="黑体"/>
          <w:sz w:val="44"/>
          <w:szCs w:val="44"/>
          <w:highlight w:val="none"/>
        </w:rPr>
        <w:br w:type="page" w:clear="all"/>
      </w:r>
    </w:p>
    <w:p w14:paraId="14D6FF69">
      <w:pPr>
        <w:pStyle w:val="3"/>
        <w:numPr>
          <w:ilvl w:val="0"/>
          <w:numId w:val="1"/>
        </w:numPr>
        <w:rPr>
          <w:rFonts w:ascii="黑体" w:eastAsia="黑体"/>
          <w:sz w:val="44"/>
          <w:szCs w:val="44"/>
          <w:highlight w:val="none"/>
        </w:rPr>
      </w:pPr>
      <w:r>
        <w:rPr>
          <w:rFonts w:ascii="黑体" w:eastAsia="黑体"/>
          <w:sz w:val="44"/>
          <w:szCs w:val="44"/>
          <w:highlight w:val="none"/>
        </w:rPr>
        <w:t xml:space="preserve"> </w:t>
      </w:r>
      <w:bookmarkEnd w:id="1"/>
      <w:bookmarkStart w:id="2" w:name="_Toc120614211"/>
      <w:bookmarkStart w:id="3" w:name="_Toc128039579"/>
      <w:r>
        <w:rPr>
          <w:rFonts w:ascii="黑体" w:eastAsia="黑体"/>
          <w:sz w:val="44"/>
          <w:szCs w:val="44"/>
          <w:highlight w:val="none"/>
        </w:rPr>
        <w:t>参加征集活动的邀请</w:t>
      </w:r>
    </w:p>
    <w:p w14:paraId="37D38EC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盐城市亭湖区机关事务服务中心现就亭湖区行政事业单位2027-2028年度公务用车维保服务框架协议采购项目(JSZC-320902-JZCG-K2026-0059)征集供应商，欢迎符合条件的供应商参加本次框架协议采购活动。</w:t>
      </w:r>
    </w:p>
    <w:p w14:paraId="435F5C45">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60" w:lineRule="exact"/>
        <w:ind w:firstLine="480"/>
        <w:textAlignment w:val="auto"/>
        <w:rPr>
          <w:rFonts w:ascii="宋体" w:hAnsi="宋体"/>
          <w:sz w:val="24"/>
          <w:szCs w:val="24"/>
          <w:highlight w:val="none"/>
        </w:rPr>
      </w:pPr>
      <w:r>
        <w:rPr>
          <w:rFonts w:ascii="宋体" w:hAnsi="宋体"/>
          <w:sz w:val="24"/>
          <w:szCs w:val="24"/>
          <w:highlight w:val="none"/>
        </w:rPr>
        <w:t>项目概况</w:t>
      </w:r>
    </w:p>
    <w:p w14:paraId="3804EFEE">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60" w:lineRule="exact"/>
        <w:ind w:firstLine="480"/>
        <w:textAlignment w:val="auto"/>
        <w:rPr>
          <w:rFonts w:ascii="宋体" w:hAnsi="宋体"/>
          <w:sz w:val="24"/>
          <w:szCs w:val="24"/>
          <w:highlight w:val="none"/>
        </w:rPr>
      </w:pPr>
      <w:r>
        <w:rPr>
          <w:rFonts w:hint="eastAsia" w:ascii="宋体" w:hAnsi="宋体"/>
          <w:sz w:val="24"/>
          <w:szCs w:val="24"/>
          <w:highlight w:val="none"/>
          <w:u w:val="single"/>
          <w:lang w:eastAsia="zh-CN"/>
        </w:rPr>
        <w:t>亭湖区行政事业单位2027-2028年度公务用车维保服务框架协议采购项目</w:t>
      </w:r>
      <w:r>
        <w:rPr>
          <w:rFonts w:hint="eastAsia" w:ascii="宋体" w:hAnsi="宋体" w:eastAsia="宋体" w:cs="宋体"/>
          <w:sz w:val="24"/>
          <w:szCs w:val="24"/>
          <w:highlight w:val="none"/>
        </w:rPr>
        <w:t>的潜在供应商在“苏采云”系统内免费下载（投标人必须在苏采云系统中获取征集文件，方能参与政府采购项目</w:t>
      </w:r>
      <w:r>
        <w:rPr>
          <w:rFonts w:hint="eastAsia" w:ascii="宋体" w:hAnsi="宋体" w:cs="宋体"/>
          <w:sz w:val="24"/>
          <w:szCs w:val="24"/>
          <w:highlight w:val="none"/>
          <w:lang w:eastAsia="zh-CN"/>
        </w:rPr>
        <w:t>）获取征集文件</w:t>
      </w:r>
      <w:r>
        <w:rPr>
          <w:rFonts w:hint="eastAsia" w:ascii="宋体" w:hAnsi="宋体" w:eastAsia="宋体" w:cs="宋体"/>
          <w:sz w:val="24"/>
          <w:szCs w:val="24"/>
          <w:highlight w:val="none"/>
        </w:rPr>
        <w:t>，并于</w:t>
      </w:r>
      <w:r>
        <w:rPr>
          <w:rFonts w:hint="eastAsia" w:ascii="宋体" w:hAnsi="宋体" w:cs="宋体"/>
          <w:sz w:val="24"/>
          <w:szCs w:val="24"/>
          <w:highlight w:val="none"/>
          <w:u w:val="single"/>
          <w:lang w:val="en-US" w:eastAsia="zh-CN"/>
        </w:rPr>
        <w:t>2026年11月25日</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09</w:t>
      </w:r>
      <w:r>
        <w:rPr>
          <w:rFonts w:hint="eastAsia" w:ascii="宋体" w:hAnsi="宋体" w:eastAsia="宋体" w:cs="宋体"/>
          <w:color w:val="000000"/>
          <w:sz w:val="24"/>
          <w:szCs w:val="24"/>
          <w:highlight w:val="none"/>
          <w:u w:val="none"/>
          <w:shd w:val="clear" w:color="auto" w:fill="auto"/>
        </w:rPr>
        <w:t>:00</w:t>
      </w:r>
      <w:r>
        <w:rPr>
          <w:rFonts w:hint="eastAsia" w:ascii="宋体" w:hAnsi="宋体" w:eastAsia="宋体" w:cs="宋体"/>
          <w:sz w:val="24"/>
          <w:szCs w:val="24"/>
          <w:highlight w:val="none"/>
          <w:u w:val="none"/>
        </w:rPr>
        <w:t>（</w:t>
      </w:r>
      <w:r>
        <w:rPr>
          <w:rFonts w:hint="eastAsia" w:ascii="宋体" w:hAnsi="宋体" w:eastAsia="宋体" w:cs="宋体"/>
          <w:bCs/>
          <w:sz w:val="24"/>
          <w:szCs w:val="24"/>
          <w:highlight w:val="none"/>
          <w:u w:val="none"/>
        </w:rPr>
        <w:t>北京时间）前提交响应文件</w:t>
      </w:r>
    </w:p>
    <w:p w14:paraId="2EE9CEA8">
      <w:pPr>
        <w:pStyle w:val="6"/>
        <w:pageBreakBefore w:val="0"/>
        <w:kinsoku/>
        <w:wordWrap/>
        <w:overflowPunct/>
        <w:topLinePunct w:val="0"/>
        <w:autoSpaceDE/>
        <w:autoSpaceDN/>
        <w:bidi w:val="0"/>
        <w:adjustRightInd/>
        <w:snapToGrid/>
        <w:spacing w:before="145" w:after="145" w:line="460" w:lineRule="exact"/>
        <w:ind w:firstLine="496"/>
        <w:textAlignment w:val="auto"/>
        <w:rPr>
          <w:highlight w:val="none"/>
        </w:rPr>
      </w:pPr>
      <w:bookmarkStart w:id="4" w:name="_Hlk24379207"/>
      <w:bookmarkStart w:id="5" w:name="_Toc28359002"/>
      <w:bookmarkStart w:id="6" w:name="_Toc28359079"/>
      <w:bookmarkStart w:id="7" w:name="_Toc35393790"/>
      <w:bookmarkStart w:id="8" w:name="_Toc38985263"/>
      <w:bookmarkStart w:id="9" w:name="_Toc35393621"/>
      <w:r>
        <w:rPr>
          <w:highlight w:val="none"/>
        </w:rPr>
        <w:t>一、项目基本情况</w:t>
      </w:r>
      <w:bookmarkEnd w:id="4"/>
      <w:bookmarkEnd w:id="5"/>
      <w:bookmarkEnd w:id="6"/>
      <w:bookmarkEnd w:id="7"/>
      <w:bookmarkEnd w:id="8"/>
      <w:bookmarkEnd w:id="9"/>
    </w:p>
    <w:p w14:paraId="3CE8691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bookmarkStart w:id="10" w:name="_Toc38985264"/>
      <w:bookmarkStart w:id="11" w:name="_Toc28359080"/>
      <w:bookmarkStart w:id="12" w:name="_Toc28359003"/>
      <w:bookmarkStart w:id="13" w:name="_Toc35393622"/>
      <w:bookmarkStart w:id="14" w:name="_Toc35393791"/>
      <w:r>
        <w:rPr>
          <w:rFonts w:hint="eastAsia" w:cs="宋体" w:asciiTheme="minorEastAsia" w:hAnsiTheme="minorEastAsia" w:eastAsiaTheme="minorEastAsia"/>
          <w:color w:val="000000"/>
          <w:sz w:val="24"/>
          <w:highlight w:val="none"/>
          <w:lang w:val="en-US" w:eastAsia="zh-CN"/>
        </w:rPr>
        <w:t>1.项目编号：JSZC-320902-JZCG-K2026-0059</w:t>
      </w:r>
    </w:p>
    <w:p w14:paraId="62FA400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2.项目名称：</w:t>
      </w:r>
      <w:r>
        <w:rPr>
          <w:rFonts w:hint="eastAsia" w:cs="宋体" w:asciiTheme="minorEastAsia" w:hAnsiTheme="minorEastAsia"/>
          <w:color w:val="000000"/>
          <w:sz w:val="24"/>
          <w:highlight w:val="none"/>
          <w:lang w:val="en-US" w:eastAsia="zh-CN"/>
        </w:rPr>
        <w:t>亭湖区行政事业单位2027-2028年度公务用车维保服务框架协议采购项目</w:t>
      </w:r>
      <w:r>
        <w:rPr>
          <w:rFonts w:hint="eastAsia" w:cs="宋体" w:asciiTheme="minorEastAsia" w:hAnsiTheme="minorEastAsia" w:eastAsiaTheme="minorEastAsia"/>
          <w:color w:val="000000"/>
          <w:sz w:val="24"/>
          <w:highlight w:val="none"/>
          <w:lang w:val="en-US" w:eastAsia="zh-CN"/>
        </w:rPr>
        <w:t>（不见面开标）</w:t>
      </w:r>
    </w:p>
    <w:p w14:paraId="17D4DEC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3.采购方式：封闭式框架协议采购</w:t>
      </w:r>
    </w:p>
    <w:p w14:paraId="4B20C3A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4</w:t>
      </w:r>
      <w:r>
        <w:rPr>
          <w:rFonts w:hint="eastAsia" w:cs="宋体" w:asciiTheme="minorEastAsia" w:hAnsiTheme="minorEastAsia" w:eastAsiaTheme="minorEastAsia"/>
          <w:color w:val="000000"/>
          <w:sz w:val="24"/>
          <w:highlight w:val="none"/>
          <w:lang w:val="en-US" w:eastAsia="zh-CN"/>
        </w:rPr>
        <w:t>.最高限制单价：不高于《江苏省机动车维修结算工时定额与收费指南》（2014版）中规定的工时定额对应的收费标准。</w:t>
      </w:r>
    </w:p>
    <w:p w14:paraId="01551AA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A-D标段：工时单价限价：不高于15元/工时，材料进销差价率限价：不高于20%；</w:t>
      </w:r>
    </w:p>
    <w:p w14:paraId="7A55F81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5</w:t>
      </w:r>
      <w:r>
        <w:rPr>
          <w:rFonts w:hint="eastAsia" w:cs="宋体" w:asciiTheme="minorEastAsia" w:hAnsiTheme="minorEastAsia" w:eastAsiaTheme="minorEastAsia"/>
          <w:color w:val="000000"/>
          <w:sz w:val="24"/>
          <w:highlight w:val="none"/>
          <w:lang w:val="en-US" w:eastAsia="zh-CN"/>
        </w:rPr>
        <w:t>.征集人：盐城市亭湖区机关事务服务中心</w:t>
      </w:r>
    </w:p>
    <w:p w14:paraId="5AAC921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6.</w:t>
      </w:r>
      <w:r>
        <w:rPr>
          <w:rFonts w:hint="eastAsia" w:cs="宋体" w:asciiTheme="minorEastAsia" w:hAnsiTheme="minorEastAsia" w:eastAsiaTheme="minorEastAsia"/>
          <w:color w:val="000000"/>
          <w:sz w:val="24"/>
          <w:highlight w:val="none"/>
          <w:lang w:val="en-US" w:eastAsia="zh-CN"/>
        </w:rPr>
        <w:t>适用本次框架协议的征集人或服务对象范围：盐城市亭湖区全区政府机构、事业单位公务用车。</w:t>
      </w:r>
    </w:p>
    <w:p w14:paraId="1B46899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7</w:t>
      </w:r>
      <w:r>
        <w:rPr>
          <w:rFonts w:hint="eastAsia" w:cs="宋体" w:asciiTheme="minorEastAsia" w:hAnsiTheme="minorEastAsia" w:eastAsiaTheme="minorEastAsia"/>
          <w:color w:val="000000"/>
          <w:sz w:val="24"/>
          <w:highlight w:val="none"/>
          <w:lang w:val="en-US" w:eastAsia="zh-CN"/>
        </w:rPr>
        <w:t>.预估车辆数量：公务用车维修和保养约</w:t>
      </w:r>
      <w:r>
        <w:rPr>
          <w:rFonts w:hint="eastAsia" w:cs="宋体" w:asciiTheme="minorEastAsia" w:hAnsiTheme="minorEastAsia"/>
          <w:color w:val="000000"/>
          <w:sz w:val="24"/>
          <w:highlight w:val="none"/>
          <w:lang w:val="en-US" w:eastAsia="zh-CN"/>
        </w:rPr>
        <w:t>312</w:t>
      </w:r>
      <w:r>
        <w:rPr>
          <w:rFonts w:hint="eastAsia" w:cs="宋体" w:asciiTheme="minorEastAsia" w:hAnsiTheme="minorEastAsia" w:eastAsiaTheme="minorEastAsia"/>
          <w:color w:val="000000"/>
          <w:sz w:val="24"/>
          <w:highlight w:val="none"/>
          <w:lang w:val="en-US" w:eastAsia="zh-CN"/>
        </w:rPr>
        <w:t>辆</w:t>
      </w:r>
    </w:p>
    <w:p w14:paraId="35F78A8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8</w:t>
      </w:r>
      <w:r>
        <w:rPr>
          <w:rFonts w:hint="eastAsia" w:cs="宋体" w:asciiTheme="minorEastAsia" w:hAnsiTheme="minorEastAsia" w:eastAsiaTheme="minorEastAsia"/>
          <w:color w:val="000000"/>
          <w:sz w:val="24"/>
          <w:highlight w:val="none"/>
          <w:lang w:val="en-US" w:eastAsia="zh-CN"/>
        </w:rPr>
        <w:t>.征集需求：</w:t>
      </w:r>
    </w:p>
    <w:p w14:paraId="74F2376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（1）</w:t>
      </w:r>
      <w:r>
        <w:rPr>
          <w:rFonts w:hint="eastAsia" w:cs="宋体" w:asciiTheme="minorEastAsia" w:hAnsiTheme="minorEastAsia" w:eastAsiaTheme="minorEastAsia"/>
          <w:color w:val="000000"/>
          <w:sz w:val="24"/>
          <w:highlight w:val="none"/>
          <w:lang w:val="en-US" w:eastAsia="zh-CN"/>
        </w:rPr>
        <w:t>本框架协议采购项目分为A（采购包1）、B（采购包</w:t>
      </w:r>
      <w:r>
        <w:rPr>
          <w:rFonts w:hint="eastAsia" w:cs="宋体" w:asciiTheme="minorEastAsia" w:hAnsiTheme="minorEastAsia"/>
          <w:color w:val="000000"/>
          <w:sz w:val="24"/>
          <w:highlight w:val="none"/>
          <w:lang w:val="en-US" w:eastAsia="zh-CN"/>
        </w:rPr>
        <w:t>2</w:t>
      </w:r>
      <w:r>
        <w:rPr>
          <w:rFonts w:hint="eastAsia" w:cs="宋体" w:asciiTheme="minorEastAsia" w:hAnsiTheme="minorEastAsia" w:eastAsiaTheme="minorEastAsia"/>
          <w:color w:val="000000"/>
          <w:sz w:val="24"/>
          <w:highlight w:val="none"/>
          <w:lang w:val="en-US" w:eastAsia="zh-CN"/>
        </w:rPr>
        <w:t>）、C（采购包</w:t>
      </w:r>
      <w:r>
        <w:rPr>
          <w:rFonts w:hint="eastAsia" w:cs="宋体" w:asciiTheme="minorEastAsia" w:hAnsiTheme="minorEastAsia"/>
          <w:color w:val="000000"/>
          <w:sz w:val="24"/>
          <w:highlight w:val="none"/>
          <w:lang w:val="en-US" w:eastAsia="zh-CN"/>
        </w:rPr>
        <w:t>3</w:t>
      </w:r>
      <w:r>
        <w:rPr>
          <w:rFonts w:hint="eastAsia" w:cs="宋体" w:asciiTheme="minorEastAsia" w:hAnsiTheme="minorEastAsia" w:eastAsiaTheme="minorEastAsia"/>
          <w:color w:val="000000"/>
          <w:sz w:val="24"/>
          <w:highlight w:val="none"/>
          <w:lang w:val="en-US" w:eastAsia="zh-CN"/>
        </w:rPr>
        <w:t>）、D（采购包</w:t>
      </w:r>
      <w:r>
        <w:rPr>
          <w:rFonts w:hint="eastAsia" w:cs="宋体" w:asciiTheme="minorEastAsia" w:hAnsiTheme="minorEastAsia"/>
          <w:color w:val="000000"/>
          <w:sz w:val="24"/>
          <w:highlight w:val="none"/>
          <w:lang w:val="en-US" w:eastAsia="zh-CN"/>
        </w:rPr>
        <w:t>4</w:t>
      </w:r>
      <w:r>
        <w:rPr>
          <w:rFonts w:hint="eastAsia" w:cs="宋体" w:asciiTheme="minorEastAsia" w:hAnsiTheme="minorEastAsia" w:eastAsiaTheme="minorEastAsia"/>
          <w:color w:val="000000"/>
          <w:sz w:val="24"/>
          <w:highlight w:val="none"/>
          <w:lang w:val="en-US" w:eastAsia="zh-CN"/>
        </w:rPr>
        <w:t>）四个标段。A标段为全区一般性公务用车的维修保养。B标段为大众车型的公务用车维修保养。C标段为起亚车型的公务用车维修保养。D标段为别克车型的公务用车维修保养。</w:t>
      </w:r>
    </w:p>
    <w:p w14:paraId="77594F2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（2）</w:t>
      </w:r>
      <w:r>
        <w:rPr>
          <w:rFonts w:hint="eastAsia" w:cs="宋体" w:asciiTheme="minorEastAsia" w:hAnsiTheme="minorEastAsia" w:eastAsiaTheme="minorEastAsia"/>
          <w:color w:val="000000"/>
          <w:sz w:val="24"/>
          <w:highlight w:val="none"/>
          <w:lang w:val="en-US" w:eastAsia="zh-CN"/>
        </w:rPr>
        <w:t>主要车型为轿车、商务车、普通面包车、客车、客货两用车等。</w:t>
      </w:r>
      <w:r>
        <w:rPr>
          <w:rFonts w:hint="eastAsia" w:cs="宋体" w:asciiTheme="minorEastAsia" w:hAnsiTheme="minorEastAsia" w:eastAsiaTheme="minorEastAsia"/>
          <w:b/>
          <w:bCs/>
          <w:color w:val="000000"/>
          <w:sz w:val="24"/>
          <w:highlight w:val="none"/>
          <w:lang w:val="en-US" w:eastAsia="zh-CN"/>
        </w:rPr>
        <w:t xml:space="preserve">供应商可选择多标段报价，但只能入围一个标段。按照A、B、C、D的先后顺序进行评审，如果供应商入围前面的标段，不再参与后面标段的评审。  </w:t>
      </w:r>
    </w:p>
    <w:p w14:paraId="11A33CF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（3）具体采购需求详见征集文件第四章。</w:t>
      </w:r>
    </w:p>
    <w:p w14:paraId="01D3AAB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9</w:t>
      </w:r>
      <w:r>
        <w:rPr>
          <w:rFonts w:hint="eastAsia" w:cs="宋体" w:asciiTheme="minorEastAsia" w:hAnsiTheme="minorEastAsia" w:eastAsiaTheme="minorEastAsia"/>
          <w:color w:val="000000"/>
          <w:sz w:val="24"/>
          <w:highlight w:val="none"/>
          <w:lang w:val="en-US" w:eastAsia="zh-CN"/>
        </w:rPr>
        <w:t>.框架协议的期限：202</w:t>
      </w:r>
      <w:r>
        <w:rPr>
          <w:rFonts w:hint="eastAsia" w:cs="宋体" w:asciiTheme="minorEastAsia" w:hAnsiTheme="minorEastAsia"/>
          <w:color w:val="000000"/>
          <w:sz w:val="24"/>
          <w:highlight w:val="none"/>
          <w:lang w:val="en-US" w:eastAsia="zh-CN"/>
        </w:rPr>
        <w:t>7</w:t>
      </w:r>
      <w:r>
        <w:rPr>
          <w:rFonts w:hint="eastAsia" w:cs="宋体" w:asciiTheme="minorEastAsia" w:hAnsiTheme="minorEastAsia" w:eastAsiaTheme="minorEastAsia"/>
          <w:color w:val="000000"/>
          <w:sz w:val="24"/>
          <w:highlight w:val="none"/>
          <w:lang w:val="en-US" w:eastAsia="zh-CN"/>
        </w:rPr>
        <w:t>年1月1日至202</w:t>
      </w:r>
      <w:r>
        <w:rPr>
          <w:rFonts w:hint="eastAsia" w:cs="宋体" w:asciiTheme="minorEastAsia" w:hAnsiTheme="minorEastAsia"/>
          <w:color w:val="000000"/>
          <w:sz w:val="24"/>
          <w:highlight w:val="none"/>
          <w:lang w:val="en-US" w:eastAsia="zh-CN"/>
        </w:rPr>
        <w:t>8</w:t>
      </w:r>
      <w:r>
        <w:rPr>
          <w:rFonts w:hint="eastAsia" w:cs="宋体" w:asciiTheme="minorEastAsia" w:hAnsiTheme="minorEastAsia" w:eastAsiaTheme="minorEastAsia"/>
          <w:color w:val="000000"/>
          <w:sz w:val="24"/>
          <w:highlight w:val="none"/>
          <w:lang w:val="en-US" w:eastAsia="zh-CN"/>
        </w:rPr>
        <w:t>年12月31日（暂定两年）</w:t>
      </w:r>
    </w:p>
    <w:p w14:paraId="4EB9DD3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10</w:t>
      </w:r>
      <w:r>
        <w:rPr>
          <w:rFonts w:hint="eastAsia" w:cs="宋体" w:asciiTheme="minorEastAsia" w:hAnsiTheme="minorEastAsia" w:eastAsiaTheme="minorEastAsia"/>
          <w:color w:val="000000"/>
          <w:sz w:val="24"/>
          <w:highlight w:val="none"/>
          <w:lang w:val="en-US" w:eastAsia="zh-CN"/>
        </w:rPr>
        <w:t>.本项目是否专门面向中小企业：</w:t>
      </w:r>
      <w:r>
        <w:rPr>
          <w:rFonts w:hint="eastAsia" w:cs="宋体" w:asciiTheme="minorEastAsia" w:hAnsiTheme="minorEastAsia"/>
          <w:color w:val="000000"/>
          <w:sz w:val="24"/>
          <w:highlight w:val="none"/>
          <w:lang w:val="en-US" w:eastAsia="zh-CN"/>
        </w:rPr>
        <w:t>是</w:t>
      </w:r>
    </w:p>
    <w:p w14:paraId="5CCEB45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w:t>
      </w:r>
      <w:r>
        <w:rPr>
          <w:rFonts w:hint="eastAsia" w:cs="宋体" w:asciiTheme="minorEastAsia" w:hAnsiTheme="minorEastAsia"/>
          <w:color w:val="000000"/>
          <w:sz w:val="24"/>
          <w:highlight w:val="none"/>
          <w:lang w:val="en-US" w:eastAsia="zh-CN"/>
        </w:rPr>
        <w:t>1</w:t>
      </w:r>
      <w:r>
        <w:rPr>
          <w:rFonts w:hint="eastAsia" w:cs="宋体" w:asciiTheme="minorEastAsia" w:hAnsiTheme="minorEastAsia" w:eastAsiaTheme="minorEastAsia"/>
          <w:color w:val="000000"/>
          <w:sz w:val="24"/>
          <w:highlight w:val="none"/>
          <w:lang w:val="en-US" w:eastAsia="zh-CN"/>
        </w:rPr>
        <w:t>.本项目不接受联合体参加采购活动，不接受进口产品投标，不得转包、分包。</w:t>
      </w:r>
    </w:p>
    <w:p w14:paraId="497EADA9">
      <w:pPr>
        <w:pStyle w:val="6"/>
        <w:pageBreakBefore w:val="0"/>
        <w:kinsoku/>
        <w:wordWrap/>
        <w:overflowPunct/>
        <w:topLinePunct w:val="0"/>
        <w:autoSpaceDE/>
        <w:autoSpaceDN/>
        <w:bidi w:val="0"/>
        <w:adjustRightInd/>
        <w:snapToGrid/>
        <w:spacing w:before="145" w:after="145" w:line="460" w:lineRule="exact"/>
        <w:ind w:firstLine="496"/>
        <w:textAlignment w:val="auto"/>
        <w:rPr>
          <w:highlight w:val="none"/>
        </w:rPr>
      </w:pPr>
      <w:r>
        <w:rPr>
          <w:highlight w:val="none"/>
        </w:rPr>
        <w:t>二、</w:t>
      </w:r>
      <w:r>
        <w:rPr>
          <w:rFonts w:ascii="Times New Roman" w:hAnsi="Times New Roman"/>
          <w:b/>
          <w:color w:val="000000"/>
          <w:sz w:val="32"/>
          <w:szCs w:val="32"/>
          <w:highlight w:val="none"/>
        </w:rPr>
        <w:t>申请人</w:t>
      </w:r>
      <w:r>
        <w:rPr>
          <w:highlight w:val="none"/>
        </w:rPr>
        <w:t>的资格要求：</w:t>
      </w:r>
      <w:bookmarkEnd w:id="10"/>
      <w:bookmarkEnd w:id="11"/>
      <w:bookmarkEnd w:id="12"/>
      <w:bookmarkEnd w:id="13"/>
      <w:bookmarkEnd w:id="14"/>
    </w:p>
    <w:p w14:paraId="2AD6EF6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bookmarkStart w:id="15" w:name="_Toc35393792"/>
      <w:bookmarkStart w:id="16" w:name="_Toc28359081"/>
      <w:bookmarkStart w:id="17" w:name="_Toc35393623"/>
      <w:bookmarkStart w:id="18" w:name="_Toc28359004"/>
      <w:bookmarkStart w:id="19" w:name="_Toc38985265"/>
      <w:r>
        <w:rPr>
          <w:rFonts w:hint="eastAsia" w:cs="宋体" w:asciiTheme="minorEastAsia" w:hAnsiTheme="minorEastAsia" w:eastAsiaTheme="minorEastAsia"/>
          <w:color w:val="000000"/>
          <w:sz w:val="24"/>
          <w:highlight w:val="none"/>
          <w:lang w:val="en-US" w:eastAsia="zh-CN"/>
        </w:rPr>
        <w:t>1.满足《中华人民共和国政府采购法》第二十二条规定，并提供下列材料：</w:t>
      </w:r>
    </w:p>
    <w:p w14:paraId="766D284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1.1 法人或者其他组织的营业执照等证明文件</w:t>
      </w:r>
      <w:r>
        <w:rPr>
          <w:rFonts w:hint="eastAsia" w:cs="宋体" w:asciiTheme="minorEastAsia" w:hAnsiTheme="minorEastAsia"/>
          <w:color w:val="000000"/>
          <w:sz w:val="24"/>
          <w:highlight w:val="none"/>
          <w:lang w:val="en-US" w:eastAsia="zh-CN"/>
        </w:rPr>
        <w:t>或</w:t>
      </w:r>
      <w:r>
        <w:rPr>
          <w:rFonts w:hint="eastAsia" w:cs="宋体" w:asciiTheme="minorEastAsia" w:hAnsiTheme="minorEastAsia" w:eastAsiaTheme="minorEastAsia"/>
          <w:color w:val="000000"/>
          <w:sz w:val="24"/>
          <w:highlight w:val="none"/>
          <w:lang w:val="en-US" w:eastAsia="zh-CN"/>
        </w:rPr>
        <w:t>自然人的身份证明；</w:t>
      </w:r>
    </w:p>
    <w:p w14:paraId="53B4C89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1.2上一年度的财务状况</w:t>
      </w:r>
      <w:r>
        <w:rPr>
          <w:rFonts w:hint="eastAsia" w:cs="宋体" w:asciiTheme="minorEastAsia" w:hAnsiTheme="minorEastAsia"/>
          <w:color w:val="000000"/>
          <w:sz w:val="24"/>
          <w:highlight w:val="none"/>
          <w:lang w:val="en-US" w:eastAsia="zh-CN"/>
        </w:rPr>
        <w:t>报告</w:t>
      </w:r>
      <w:r>
        <w:rPr>
          <w:rFonts w:hint="eastAsia" w:cs="宋体" w:asciiTheme="minorEastAsia" w:hAnsiTheme="minorEastAsia" w:eastAsiaTheme="minorEastAsia"/>
          <w:color w:val="000000"/>
          <w:sz w:val="24"/>
          <w:highlight w:val="none"/>
          <w:lang w:val="en-US" w:eastAsia="zh-CN"/>
        </w:rPr>
        <w:t>（至少提供资产负债表、利润表、现金流量表，成立不满一年无需提供）；</w:t>
      </w:r>
    </w:p>
    <w:p w14:paraId="5683BCA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1.3具备履行合同所必需的设备和专业技术能力的书面声明；</w:t>
      </w:r>
    </w:p>
    <w:p w14:paraId="0B720F5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F7005D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1.5参加政府采购活动前3年内在经营活动中没有重大违法记录的书面声明。</w:t>
      </w:r>
    </w:p>
    <w:p w14:paraId="739AB4F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1.6</w:t>
      </w:r>
      <w:r>
        <w:rPr>
          <w:rFonts w:hint="eastAsia" w:cs="宋体" w:asciiTheme="minorEastAsia" w:hAnsiTheme="minorEastAsia" w:eastAsiaTheme="minorEastAsia"/>
          <w:color w:val="000000"/>
          <w:sz w:val="24"/>
          <w:highlight w:val="none"/>
          <w:lang w:val="en-US"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094896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1.7</w:t>
      </w:r>
      <w:r>
        <w:rPr>
          <w:rFonts w:hint="eastAsia" w:cs="宋体" w:asciiTheme="minorEastAsia" w:hAnsiTheme="minorEastAsia" w:eastAsiaTheme="minorEastAsia"/>
          <w:color w:val="000000"/>
          <w:sz w:val="24"/>
          <w:highlight w:val="none"/>
          <w:lang w:val="en-US" w:eastAsia="zh-CN"/>
        </w:rPr>
        <w:t>单位负责人为同一人或者存在直接控股、管理关系的不同供应商，不得参加同一合同项下的政府采购活动。</w:t>
      </w:r>
    </w:p>
    <w:p w14:paraId="07DFC263">
      <w:pPr>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落实政府采购政策需满足的资格要求：</w:t>
      </w:r>
    </w:p>
    <w:p w14:paraId="07A02CC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2.1</w:t>
      </w:r>
      <w:r>
        <w:rPr>
          <w:rFonts w:hint="eastAsia" w:cs="宋体" w:asciiTheme="minorEastAsia" w:hAnsiTheme="minorEastAsia" w:eastAsiaTheme="minorEastAsia"/>
          <w:color w:val="000000"/>
          <w:sz w:val="24"/>
          <w:highlight w:val="none"/>
          <w:lang w:val="en-US" w:eastAsia="zh-CN"/>
        </w:rPr>
        <w:t>根据《政府采购促进中小企业发展管理办法》（财库〔2020〕46号），本项目专门面向中小微企业采购（监狱企业、残疾人福利性单位视同小微企业）；（提供中小企业声明函）</w:t>
      </w:r>
    </w:p>
    <w:p w14:paraId="435B7FA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2.2</w:t>
      </w:r>
      <w:r>
        <w:rPr>
          <w:rFonts w:hint="eastAsia" w:cs="宋体" w:asciiTheme="minorEastAsia" w:hAnsiTheme="minorEastAsia" w:eastAsiaTheme="minorEastAsia"/>
          <w:color w:val="000000"/>
          <w:sz w:val="24"/>
          <w:highlight w:val="none"/>
          <w:lang w:val="en-US" w:eastAsia="zh-CN"/>
        </w:rPr>
        <w:t>中小企业具体标准根据《关于印发中小企业划型标准规定的通知》（工信部联企业[2011]300号）文件进行划分；监狱企业根据（财库[2014]68号）的规定；残疾人福利性单位根据（财库[2017]141号）的规定。提供有效的中小企业声明函（或残疾人福利性单位声明函或监狱企业证明文件），否则不予认定；</w:t>
      </w:r>
    </w:p>
    <w:p w14:paraId="00B3649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2.3</w:t>
      </w:r>
      <w:r>
        <w:rPr>
          <w:rFonts w:hint="eastAsia" w:cs="宋体" w:asciiTheme="minorEastAsia" w:hAnsiTheme="minorEastAsia" w:eastAsiaTheme="minorEastAsia"/>
          <w:color w:val="000000"/>
          <w:sz w:val="24"/>
          <w:highlight w:val="none"/>
          <w:lang w:val="en-US" w:eastAsia="zh-CN"/>
        </w:rPr>
        <w:t>本项目采购标的对应的中小企业划分标准所属行业为：其他未列明行业。</w:t>
      </w:r>
    </w:p>
    <w:p w14:paraId="319A839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特别说明：供应商按照《政府采购促进中小企业发展管理办法》（财库〔2020〕46号）规定要求提供声明函内容不实的，即不属于中小企业参与本项目采购活动的，属于提供虚假材料谋取入围（成交），依照《中华人民共和国政府采购法》等国家有关规定追究相应责任，请各供应商予以关注。</w:t>
      </w:r>
    </w:p>
    <w:p w14:paraId="06D00AE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color w:val="000000"/>
          <w:sz w:val="24"/>
          <w:highlight w:val="none"/>
          <w:lang w:val="en-US" w:eastAsia="zh-CN"/>
        </w:rPr>
        <w:t>3.</w:t>
      </w:r>
      <w:r>
        <w:rPr>
          <w:rFonts w:hint="eastAsia" w:cs="宋体" w:asciiTheme="minorEastAsia" w:hAnsiTheme="minorEastAsia" w:eastAsiaTheme="minorEastAsia"/>
          <w:color w:val="000000"/>
          <w:sz w:val="24"/>
          <w:highlight w:val="none"/>
          <w:lang w:val="en-US" w:eastAsia="zh-CN"/>
        </w:rPr>
        <w:t>本项目的特定资格要求： </w:t>
      </w:r>
    </w:p>
    <w:p w14:paraId="1BEF0203">
      <w:pPr>
        <w:pageBreakBefore w:val="0"/>
        <w:kinsoku/>
        <w:wordWrap/>
        <w:overflowPunct/>
        <w:topLinePunct w:val="0"/>
        <w:autoSpaceDE/>
        <w:autoSpaceDN/>
        <w:bidi w:val="0"/>
        <w:adjustRightInd/>
        <w:snapToGrid/>
        <w:spacing w:line="460" w:lineRule="exact"/>
        <w:ind w:firstLine="600"/>
        <w:textAlignment w:val="auto"/>
        <w:rPr>
          <w:rFonts w:hint="eastAsia" w:ascii="宋体" w:hAnsi="宋体" w:cs="宋体"/>
          <w:sz w:val="24"/>
          <w:szCs w:val="24"/>
          <w:highlight w:val="none"/>
        </w:rPr>
      </w:pPr>
      <w:r>
        <w:rPr>
          <w:rFonts w:hint="eastAsia" w:ascii="宋体" w:hAnsi="宋体" w:cs="宋体"/>
          <w:sz w:val="24"/>
          <w:szCs w:val="24"/>
          <w:highlight w:val="none"/>
        </w:rPr>
        <w:t>非独立法人参与响应的，需提供上级法人单位的授权文件。</w:t>
      </w:r>
    </w:p>
    <w:p w14:paraId="407E884D">
      <w:pPr>
        <w:pageBreakBefore w:val="0"/>
        <w:kinsoku/>
        <w:wordWrap/>
        <w:overflowPunct/>
        <w:topLinePunct w:val="0"/>
        <w:autoSpaceDE/>
        <w:autoSpaceDN/>
        <w:bidi w:val="0"/>
        <w:adjustRightInd/>
        <w:snapToGrid/>
        <w:spacing w:line="460" w:lineRule="exact"/>
        <w:ind w:firstLine="6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A标段：供应商必须具有道路运输管理机构许可或备案维修企业资质在有效期内的二类</w:t>
      </w:r>
      <w:r>
        <w:rPr>
          <w:rFonts w:hint="eastAsia" w:ascii="宋体" w:hAnsi="宋体" w:eastAsia="宋体" w:cs="宋体"/>
          <w:color w:val="auto"/>
          <w:sz w:val="24"/>
          <w:szCs w:val="24"/>
          <w:highlight w:val="none"/>
          <w:lang w:val="en-US" w:eastAsia="zh-CN"/>
        </w:rPr>
        <w:t>（含</w:t>
      </w:r>
      <w:r>
        <w:rPr>
          <w:rFonts w:hint="eastAsia" w:ascii="宋体" w:hAnsi="宋体" w:cs="宋体"/>
          <w:color w:val="auto"/>
          <w:sz w:val="24"/>
          <w:szCs w:val="24"/>
          <w:highlight w:val="none"/>
          <w:lang w:val="en-US" w:eastAsia="zh-CN"/>
        </w:rPr>
        <w:t>二类</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及以上汽车维修企业，并承诺在服务期限内具备该资质，承诺函格式自拟。</w:t>
      </w:r>
    </w:p>
    <w:p w14:paraId="2674EF2D">
      <w:pPr>
        <w:pageBreakBefore w:val="0"/>
        <w:numPr>
          <w:ilvl w:val="0"/>
          <w:numId w:val="0"/>
        </w:numPr>
        <w:kinsoku/>
        <w:wordWrap/>
        <w:overflowPunct/>
        <w:topLinePunct w:val="0"/>
        <w:autoSpaceDE/>
        <w:autoSpaceDN/>
        <w:bidi w:val="0"/>
        <w:adjustRightInd/>
        <w:snapToGrid/>
        <w:spacing w:line="460" w:lineRule="exact"/>
        <w:ind w:firstLine="480"/>
        <w:textAlignment w:val="auto"/>
        <w:rPr>
          <w:rFonts w:hint="default"/>
          <w:color w:val="auto"/>
          <w:highlight w:val="none"/>
          <w:lang w:val="en-US" w:eastAsia="zh-CN"/>
        </w:rPr>
      </w:pPr>
      <w:r>
        <w:rPr>
          <w:rFonts w:hint="eastAsia" w:ascii="宋体" w:hAnsi="宋体" w:cs="宋体"/>
          <w:color w:val="auto"/>
          <w:sz w:val="24"/>
          <w:szCs w:val="24"/>
          <w:highlight w:val="none"/>
          <w:lang w:val="en-US" w:eastAsia="zh-CN"/>
        </w:rPr>
        <w:t>B-D标段：供应商必须具有道路运输管理机构许可或备案维修企业资质在有效期内的二类（含二类）及以上汽车维修企业，且具备对应汽车厂家授权售后服务资格，并承诺在服务期限内具备该资质，承诺函格式自拟。</w:t>
      </w:r>
    </w:p>
    <w:p w14:paraId="321D4286">
      <w:pPr>
        <w:pStyle w:val="6"/>
        <w:pageBreakBefore w:val="0"/>
        <w:kinsoku/>
        <w:wordWrap/>
        <w:overflowPunct/>
        <w:topLinePunct w:val="0"/>
        <w:autoSpaceDE/>
        <w:autoSpaceDN/>
        <w:bidi w:val="0"/>
        <w:adjustRightInd/>
        <w:snapToGrid/>
        <w:spacing w:before="145" w:after="145" w:line="460" w:lineRule="exact"/>
        <w:ind w:firstLine="496"/>
        <w:textAlignment w:val="auto"/>
        <w:rPr>
          <w:highlight w:val="none"/>
        </w:rPr>
      </w:pPr>
      <w:r>
        <w:rPr>
          <w:highlight w:val="none"/>
        </w:rPr>
        <w:t>三、</w:t>
      </w:r>
      <w:bookmarkEnd w:id="15"/>
      <w:bookmarkEnd w:id="16"/>
      <w:bookmarkEnd w:id="17"/>
      <w:bookmarkEnd w:id="18"/>
      <w:bookmarkEnd w:id="19"/>
      <w:r>
        <w:rPr>
          <w:highlight w:val="none"/>
        </w:rPr>
        <w:t>获取征集文件</w:t>
      </w:r>
    </w:p>
    <w:p w14:paraId="07771206">
      <w:pPr>
        <w:pStyle w:val="194"/>
        <w:keepNext w:val="0"/>
        <w:keepLines w:val="0"/>
        <w:pageBreakBefore w:val="0"/>
        <w:spacing w:before="0" w:beforeAutospacing="0" w:after="0" w:afterAutospacing="0" w:line="480" w:lineRule="exact"/>
        <w:ind w:firstLine="420"/>
        <w:rPr>
          <w:rFonts w:hint="eastAsia" w:ascii="宋体" w:hAnsi="宋体" w:eastAsia="宋体" w:cs="宋体"/>
          <w:color w:val="333333"/>
          <w:sz w:val="24"/>
          <w:szCs w:val="24"/>
          <w:highlight w:val="none"/>
          <w:shd w:val="clear" w:color="auto" w:fill="FFFFFF"/>
        </w:rPr>
      </w:pPr>
      <w:bookmarkStart w:id="20" w:name="_Toc35393625"/>
      <w:bookmarkStart w:id="21" w:name="_Toc35393794"/>
      <w:bookmarkStart w:id="22" w:name="_Toc28359007"/>
      <w:bookmarkStart w:id="23" w:name="_Toc38985267"/>
      <w:bookmarkStart w:id="24" w:name="_Toc28359084"/>
      <w:r>
        <w:rPr>
          <w:rFonts w:hint="eastAsia" w:ascii="宋体" w:hAnsi="宋体" w:eastAsia="宋体" w:cs="宋体"/>
          <w:color w:val="333333"/>
          <w:sz w:val="24"/>
          <w:szCs w:val="24"/>
          <w:highlight w:val="none"/>
          <w:shd w:val="clear" w:color="auto" w:fill="FFFFFF"/>
        </w:rPr>
        <w:t>时间：</w:t>
      </w:r>
      <w:r>
        <w:rPr>
          <w:rFonts w:hint="eastAsia" w:ascii="宋体" w:hAnsi="宋体" w:eastAsia="宋体" w:cs="宋体"/>
          <w:color w:val="333333"/>
          <w:sz w:val="24"/>
          <w:szCs w:val="24"/>
          <w:highlight w:val="none"/>
          <w:u w:val="none"/>
        </w:rPr>
        <w:t>自征集公告发布之日起5个工作日</w:t>
      </w:r>
    </w:p>
    <w:p w14:paraId="7508B895">
      <w:pPr>
        <w:keepNext w:val="0"/>
        <w:keepLines w:val="0"/>
        <w:pageBreakBefore w:val="0"/>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地点：“苏采云”系统内免费下载（投标人必须在苏采云系统中获取征集文件，方能参与政府采购项目）</w:t>
      </w:r>
    </w:p>
    <w:p w14:paraId="107481E9">
      <w:pPr>
        <w:keepNext w:val="0"/>
        <w:keepLines w:val="0"/>
        <w:pageBreakBefore w:val="0"/>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ascii="宋体" w:hAnsi="宋体" w:eastAsia="宋体" w:cs="宋体"/>
          <w:color w:val="000000"/>
          <w:sz w:val="24"/>
        </w:rPr>
        <w:t>本项目采用网上注册登记方式，网址：http:／/jszfcg.jsczt.cn／</w:t>
      </w:r>
    </w:p>
    <w:p w14:paraId="143F46A9">
      <w:pPr>
        <w:keepNext w:val="0"/>
        <w:keepLines w:val="0"/>
        <w:pageBreakBefore w:val="0"/>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文件售价：0元</w:t>
      </w:r>
    </w:p>
    <w:p w14:paraId="3A25544B">
      <w:pPr>
        <w:pStyle w:val="30"/>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Times New Roman" w:hAnsi="Times New Roman"/>
          <w:b/>
          <w:color w:val="000000"/>
          <w:sz w:val="32"/>
          <w:szCs w:val="32"/>
          <w:highlight w:val="none"/>
          <w:lang w:val="en-US" w:eastAsia="zh-CN"/>
        </w:rPr>
      </w:pPr>
      <w:r>
        <w:rPr>
          <w:rFonts w:hint="eastAsia" w:ascii="Times New Roman" w:hAnsi="Times New Roman"/>
          <w:b/>
          <w:color w:val="000000"/>
          <w:sz w:val="32"/>
          <w:szCs w:val="32"/>
          <w:highlight w:val="none"/>
          <w:lang w:val="en-US" w:eastAsia="zh-CN"/>
        </w:rPr>
        <w:t>四、响应文件的提交方式、截止时间和地点，开启方式、时间和地点</w:t>
      </w:r>
    </w:p>
    <w:p w14:paraId="6A3FD8EA">
      <w:pPr>
        <w:pStyle w:val="194"/>
        <w:keepNext w:val="0"/>
        <w:keepLines w:val="0"/>
        <w:pageBreakBefore w:val="0"/>
        <w:spacing w:before="0" w:beforeAutospacing="0" w:after="0" w:afterAutospacing="0" w:line="480" w:lineRule="exact"/>
        <w:ind w:firstLine="420"/>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时间：</w:t>
      </w:r>
      <w:r>
        <w:rPr>
          <w:rFonts w:hint="eastAsia" w:cs="宋体"/>
          <w:color w:val="000000"/>
          <w:sz w:val="24"/>
          <w:szCs w:val="24"/>
          <w:highlight w:val="none"/>
          <w:u w:val="single"/>
          <w:shd w:val="clear" w:color="auto" w:fill="auto"/>
          <w:lang w:val="en-US" w:eastAsia="zh-CN"/>
        </w:rPr>
        <w:t xml:space="preserve"> 2026-11-25 </w:t>
      </w:r>
      <w:r>
        <w:rPr>
          <w:rFonts w:hint="eastAsia" w:cs="宋体"/>
          <w:color w:val="000000"/>
          <w:sz w:val="24"/>
          <w:szCs w:val="24"/>
          <w:highlight w:val="none"/>
          <w:u w:val="none"/>
          <w:shd w:val="clear" w:color="auto" w:fill="auto"/>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09</w:t>
      </w:r>
      <w:r>
        <w:rPr>
          <w:rFonts w:hint="eastAsia" w:ascii="宋体" w:hAnsi="宋体" w:eastAsia="宋体" w:cs="宋体"/>
          <w:color w:val="000000"/>
          <w:sz w:val="24"/>
          <w:szCs w:val="24"/>
          <w:highlight w:val="none"/>
          <w:u w:val="none"/>
          <w:shd w:val="clear" w:color="auto" w:fill="auto"/>
        </w:rPr>
        <w:t>:00 （北京时间）</w:t>
      </w:r>
    </w:p>
    <w:p w14:paraId="04A895A1">
      <w:pPr>
        <w:pStyle w:val="194"/>
        <w:keepNext w:val="0"/>
        <w:keepLines w:val="0"/>
        <w:pageBreakBefore w:val="0"/>
        <w:spacing w:before="0" w:beforeAutospacing="0" w:after="0" w:afterAutospacing="0" w:line="480" w:lineRule="exact"/>
        <w:ind w:firstLine="420"/>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rPr>
        <w:t>地点：“苏采云”政府采购交易系统网上开标大厅</w:t>
      </w:r>
      <w:r>
        <w:rPr>
          <w:rFonts w:hint="eastAsia" w:cs="宋体"/>
          <w:color w:val="333333"/>
          <w:sz w:val="24"/>
          <w:szCs w:val="24"/>
          <w:highlight w:val="none"/>
          <w:shd w:val="clear" w:color="auto" w:fill="FFFFFF"/>
          <w:lang w:val="en-US" w:eastAsia="zh-CN"/>
        </w:rPr>
        <w:t xml:space="preserve"> </w:t>
      </w:r>
    </w:p>
    <w:p w14:paraId="215CA58E">
      <w:pPr>
        <w:pStyle w:val="30"/>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ascii="Times New Roman" w:hAnsi="Times New Roman"/>
          <w:b/>
          <w:color w:val="000000"/>
          <w:sz w:val="32"/>
          <w:szCs w:val="32"/>
          <w:highlight w:val="none"/>
        </w:rPr>
      </w:pPr>
      <w:r>
        <w:rPr>
          <w:rFonts w:ascii="Times New Roman" w:hAnsi="Times New Roman"/>
          <w:b/>
          <w:color w:val="000000"/>
          <w:sz w:val="32"/>
          <w:szCs w:val="32"/>
          <w:highlight w:val="none"/>
        </w:rPr>
        <w:t>五、公告期限</w:t>
      </w:r>
      <w:bookmarkEnd w:id="20"/>
      <w:bookmarkEnd w:id="21"/>
      <w:bookmarkEnd w:id="22"/>
      <w:bookmarkEnd w:id="23"/>
      <w:bookmarkEnd w:id="24"/>
    </w:p>
    <w:p w14:paraId="43774F91">
      <w:pPr>
        <w:pStyle w:val="194"/>
        <w:keepNext w:val="0"/>
        <w:keepLines w:val="0"/>
        <w:pageBreakBefore w:val="0"/>
        <w:spacing w:before="0" w:beforeAutospacing="0" w:after="0" w:afterAutospacing="0" w:line="480" w:lineRule="exact"/>
        <w:ind w:firstLine="420"/>
        <w:rPr>
          <w:rFonts w:hint="eastAsia" w:ascii="宋体" w:hAnsi="宋体" w:eastAsia="宋体" w:cs="宋体"/>
          <w:color w:val="333333"/>
          <w:sz w:val="24"/>
          <w:szCs w:val="24"/>
          <w:highlight w:val="none"/>
          <w:shd w:val="clear" w:color="auto" w:fill="FFFFFF"/>
        </w:rPr>
      </w:pPr>
      <w:bookmarkStart w:id="25" w:name="_Toc38985269"/>
      <w:bookmarkStart w:id="26" w:name="_Toc35393796"/>
      <w:bookmarkStart w:id="27" w:name="_Toc28359085"/>
      <w:bookmarkStart w:id="28" w:name="_Toc35393627"/>
      <w:bookmarkStart w:id="29" w:name="_Toc28359008"/>
      <w:r>
        <w:rPr>
          <w:rFonts w:hint="eastAsia" w:ascii="宋体" w:hAnsi="宋体" w:eastAsia="宋体" w:cs="宋体"/>
          <w:color w:val="333333"/>
          <w:sz w:val="24"/>
          <w:szCs w:val="24"/>
          <w:highlight w:val="none"/>
          <w:shd w:val="clear" w:color="auto" w:fill="FFFFFF"/>
        </w:rPr>
        <w:t>自本公告发布之日起5个工作日。</w:t>
      </w:r>
    </w:p>
    <w:p w14:paraId="2EEF7ECA">
      <w:pPr>
        <w:pStyle w:val="30"/>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highlight w:val="none"/>
        </w:rPr>
      </w:pPr>
      <w:r>
        <w:rPr>
          <w:rFonts w:ascii="Times New Roman" w:hAnsi="Times New Roman"/>
          <w:b/>
          <w:color w:val="000000"/>
          <w:sz w:val="32"/>
          <w:szCs w:val="32"/>
          <w:highlight w:val="none"/>
        </w:rPr>
        <w:t>六、其他补充事宜</w:t>
      </w:r>
    </w:p>
    <w:p w14:paraId="2167F7B5">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4AB60AC3">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CA和办理电子签章（请至府西路1号国投商务楼盐城市公共资源交易中心四楼大厅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4C37CA22">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2.潜在供应商访问电子招标响应交易平台的网络地址和方法：</w:t>
      </w:r>
    </w:p>
    <w:p w14:paraId="1F36E8DC">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3492FD2">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潜在供应商访问“苏采云”系统方法：江苏省政府采购网首页-“苏采云”链接。</w:t>
      </w:r>
    </w:p>
    <w:p w14:paraId="0FEDA771">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征集文件（后缀名为“.kedt”）、供应商操作手册及政府采购客户端 工具可通过“苏采云”系统相应链接进行下载。</w:t>
      </w:r>
    </w:p>
    <w:p w14:paraId="54BF9385">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 采购代理机构将数据电文形式的采购文件加载至“苏采云”系统，供潜在供应商下载或者查阅。</w:t>
      </w:r>
    </w:p>
    <w:p w14:paraId="2A3AFD6B">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请潜在供应商提前安装相应的控件（详见《“苏采云”系统供应商操作手册》）并使用谷歌浏览器登录“苏采云”系统参与不见面开评标。</w:t>
      </w:r>
    </w:p>
    <w:p w14:paraId="7E505885">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如潜在供应商未按上述要求操作，将自行承担所产生的风险。</w:t>
      </w:r>
    </w:p>
    <w:p w14:paraId="286D5E5F">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3.有关本次招标的事项若存在变动或修改，敬请及时关注盐城市政府采购中心在“中国政府采购网”、“江苏政府采购网”、“盐城市政府采购网”发布的更正公告。</w:t>
      </w:r>
    </w:p>
    <w:p w14:paraId="797E9A6A">
      <w:pPr>
        <w:pStyle w:val="30"/>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4.本次招标不收取投标保证金，不收取质量保证金。</w:t>
      </w:r>
    </w:p>
    <w:p w14:paraId="5254C595">
      <w:pPr>
        <w:pStyle w:val="30"/>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ascii="Times New Roman" w:hAnsi="Times New Roman"/>
          <w:b/>
          <w:color w:val="000000"/>
          <w:sz w:val="32"/>
          <w:szCs w:val="32"/>
          <w:highlight w:val="none"/>
        </w:rPr>
      </w:pPr>
      <w:r>
        <w:rPr>
          <w:rFonts w:ascii="Times New Roman" w:hAnsi="Times New Roman"/>
          <w:b/>
          <w:color w:val="000000"/>
          <w:sz w:val="32"/>
          <w:szCs w:val="32"/>
          <w:highlight w:val="none"/>
        </w:rPr>
        <w:t>七、</w:t>
      </w:r>
      <w:bookmarkEnd w:id="25"/>
      <w:bookmarkEnd w:id="26"/>
      <w:bookmarkEnd w:id="27"/>
      <w:bookmarkEnd w:id="28"/>
      <w:bookmarkEnd w:id="29"/>
      <w:r>
        <w:rPr>
          <w:rFonts w:ascii="Times New Roman" w:hAnsi="Times New Roman"/>
          <w:b/>
          <w:color w:val="000000"/>
          <w:sz w:val="32"/>
          <w:szCs w:val="32"/>
          <w:highlight w:val="none"/>
        </w:rPr>
        <w:t>征集人的相关信息</w:t>
      </w:r>
    </w:p>
    <w:p w14:paraId="4F5204B8">
      <w:pPr>
        <w:keepNext w:val="0"/>
        <w:keepLines w:val="0"/>
        <w:pageBreakBefore w:val="0"/>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1.征集人信息 </w:t>
      </w:r>
    </w:p>
    <w:p w14:paraId="1F412302">
      <w:pPr>
        <w:keepNext w:val="0"/>
        <w:keepLines w:val="0"/>
        <w:pageBreakBefore w:val="0"/>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单位名称：</w:t>
      </w:r>
      <w:r>
        <w:rPr>
          <w:rFonts w:hint="eastAsia" w:cs="宋体" w:asciiTheme="minorEastAsia" w:hAnsiTheme="minorEastAsia" w:eastAsiaTheme="minorEastAsia"/>
          <w:color w:val="000000"/>
          <w:sz w:val="24"/>
          <w:highlight w:val="none"/>
        </w:rPr>
        <w:t>盐城市亭湖区机关事务服务中心</w:t>
      </w:r>
    </w:p>
    <w:p w14:paraId="60D7A059">
      <w:pPr>
        <w:keepNext w:val="0"/>
        <w:keepLines w:val="0"/>
        <w:pageBreakBefore w:val="0"/>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单位地址：</w:t>
      </w:r>
      <w:r>
        <w:rPr>
          <w:rFonts w:hint="eastAsia" w:cs="宋体" w:asciiTheme="minorEastAsia" w:hAnsiTheme="minorEastAsia" w:eastAsiaTheme="minorEastAsia"/>
          <w:color w:val="000000"/>
          <w:sz w:val="24"/>
          <w:highlight w:val="none"/>
        </w:rPr>
        <w:t>盐城市</w:t>
      </w:r>
      <w:r>
        <w:rPr>
          <w:rFonts w:cs="宋体" w:asciiTheme="minorEastAsia" w:hAnsiTheme="minorEastAsia" w:eastAsiaTheme="minorEastAsia"/>
          <w:color w:val="000000"/>
          <w:sz w:val="24"/>
          <w:highlight w:val="none"/>
        </w:rPr>
        <w:t>亭湖区人民政府希望大道59号</w:t>
      </w:r>
    </w:p>
    <w:p w14:paraId="0EA9796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t>联系人：程先生</w:t>
      </w:r>
    </w:p>
    <w:p w14:paraId="0703F3C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eastAsia="zh-CN"/>
        </w:rPr>
      </w:pPr>
      <w:r>
        <w:rPr>
          <w:rFonts w:cs="宋体" w:asciiTheme="minorEastAsia" w:hAnsiTheme="minorEastAsia" w:eastAsiaTheme="minorEastAsia"/>
          <w:color w:val="000000"/>
          <w:sz w:val="24"/>
          <w:highlight w:val="none"/>
        </w:rPr>
        <w:t>联系方式：0</w:t>
      </w:r>
      <w:r>
        <w:rPr>
          <w:rFonts w:hint="eastAsia" w:cs="宋体" w:asciiTheme="minorEastAsia" w:hAnsiTheme="minorEastAsia" w:eastAsiaTheme="minorEastAsia"/>
          <w:color w:val="000000"/>
          <w:sz w:val="24"/>
          <w:highlight w:val="none"/>
        </w:rPr>
        <w:t>515-</w:t>
      </w:r>
      <w:r>
        <w:rPr>
          <w:rFonts w:hint="eastAsia" w:cs="宋体" w:asciiTheme="minorEastAsia" w:hAnsiTheme="minorEastAsia" w:eastAsiaTheme="minorEastAsia"/>
          <w:color w:val="000000"/>
          <w:sz w:val="24"/>
          <w:highlight w:val="none"/>
          <w:lang w:eastAsia="zh-CN"/>
        </w:rPr>
        <w:t>68082670</w:t>
      </w:r>
    </w:p>
    <w:p w14:paraId="21733A65">
      <w:pPr>
        <w:keepNext w:val="0"/>
        <w:keepLines w:val="0"/>
        <w:pageBreakBefore w:val="0"/>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2.代理机构信息</w:t>
      </w:r>
    </w:p>
    <w:p w14:paraId="5B7A9F3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r>
        <w:rPr>
          <w:rFonts w:hint="eastAsia" w:ascii="宋体" w:hAnsi="宋体" w:cs="宋体"/>
          <w:color w:val="000000"/>
          <w:sz w:val="24"/>
          <w:szCs w:val="24"/>
          <w:highlight w:val="none"/>
          <w:lang w:val="en-US" w:eastAsia="zh-CN"/>
        </w:rPr>
        <w:t>单位名称：</w:t>
      </w:r>
      <w:r>
        <w:rPr>
          <w:rFonts w:hint="eastAsia" w:cs="宋体" w:asciiTheme="minorEastAsia" w:hAnsiTheme="minorEastAsia" w:eastAsiaTheme="minorEastAsia"/>
          <w:color w:val="000000"/>
          <w:sz w:val="24"/>
          <w:highlight w:val="none"/>
        </w:rPr>
        <w:t>盐城市亭湖区公共资源交易中心</w:t>
      </w:r>
    </w:p>
    <w:p w14:paraId="389E0A4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cs="宋体" w:asciiTheme="minorEastAsia" w:hAnsiTheme="minorEastAsia" w:eastAsiaTheme="minorEastAsia"/>
          <w:color w:val="000000"/>
          <w:sz w:val="24"/>
          <w:highlight w:val="none"/>
          <w:lang w:val="en-US" w:eastAsia="zh-CN"/>
        </w:rPr>
      </w:pPr>
      <w:r>
        <w:rPr>
          <w:rFonts w:hint="eastAsia" w:ascii="宋体" w:hAnsi="宋体" w:cs="宋体"/>
          <w:color w:val="000000"/>
          <w:sz w:val="24"/>
          <w:szCs w:val="24"/>
          <w:highlight w:val="none"/>
          <w:lang w:val="en-US" w:eastAsia="zh-CN"/>
        </w:rPr>
        <w:t>单位</w:t>
      </w:r>
      <w:r>
        <w:rPr>
          <w:rFonts w:hint="eastAsia" w:cs="宋体" w:asciiTheme="minorEastAsia" w:hAnsiTheme="minorEastAsia" w:eastAsiaTheme="minorEastAsia"/>
          <w:color w:val="000000"/>
          <w:sz w:val="24"/>
          <w:highlight w:val="none"/>
        </w:rPr>
        <w:t>地址：亭湖区希望大道中路18号</w:t>
      </w:r>
    </w:p>
    <w:p w14:paraId="04A935E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联系人：纪先生    </w:t>
      </w:r>
    </w:p>
    <w:p w14:paraId="48A9800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default" w:ascii="宋体" w:hAnsi="宋体" w:eastAsia="宋体" w:cs="宋体"/>
          <w:color w:val="000000"/>
          <w:sz w:val="24"/>
          <w:szCs w:val="24"/>
          <w:highlight w:val="none"/>
          <w:lang w:val="en-US" w:eastAsia="zh-CN"/>
        </w:rPr>
      </w:pPr>
      <w:r>
        <w:rPr>
          <w:rFonts w:hint="eastAsia" w:cs="宋体" w:asciiTheme="minorEastAsia" w:hAnsiTheme="minorEastAsia" w:eastAsiaTheme="minorEastAsia"/>
          <w:color w:val="000000"/>
          <w:sz w:val="24"/>
          <w:highlight w:val="none"/>
        </w:rPr>
        <w:t>联系电话：0515-89802019</w:t>
      </w:r>
    </w:p>
    <w:p w14:paraId="58C88533">
      <w:pPr>
        <w:keepNext w:val="0"/>
        <w:keepLines w:val="0"/>
        <w:pageBreakBefore w:val="0"/>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3.项目联系方式</w:t>
      </w:r>
    </w:p>
    <w:p w14:paraId="4E84394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lang w:val="en-US" w:eastAsia="zh-CN"/>
        </w:rPr>
        <w:t>项目联系人：</w:t>
      </w:r>
      <w:r>
        <w:rPr>
          <w:rFonts w:hint="eastAsia" w:cs="宋体" w:asciiTheme="minorEastAsia" w:hAnsiTheme="minorEastAsia" w:eastAsiaTheme="minorEastAsia"/>
          <w:color w:val="000000"/>
          <w:sz w:val="24"/>
          <w:highlight w:val="none"/>
        </w:rPr>
        <w:t>程先生</w:t>
      </w:r>
    </w:p>
    <w:p w14:paraId="0EBE01B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r>
        <w:rPr>
          <w:rFonts w:hint="eastAsia" w:cs="宋体" w:asciiTheme="minorEastAsia" w:hAnsiTheme="minorEastAsia" w:eastAsiaTheme="minorEastAsia"/>
          <w:color w:val="000000"/>
          <w:sz w:val="24"/>
          <w:highlight w:val="none"/>
          <w:lang w:val="en-US" w:eastAsia="zh-CN"/>
        </w:rPr>
        <w:t>联系方式：0515-68082670</w:t>
      </w:r>
    </w:p>
    <w:p w14:paraId="73112A4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firstLine="480"/>
        <w:jc w:val="both"/>
        <w:textAlignment w:val="auto"/>
        <w:rPr>
          <w:rFonts w:hint="eastAsia" w:cs="宋体" w:asciiTheme="minorEastAsia" w:hAnsiTheme="minorEastAsia" w:eastAsiaTheme="minorEastAsia"/>
          <w:color w:val="000000"/>
          <w:sz w:val="24"/>
          <w:highlight w:val="none"/>
          <w:lang w:val="en-US" w:eastAsia="zh-CN"/>
        </w:rPr>
      </w:pPr>
    </w:p>
    <w:p w14:paraId="048F5643">
      <w:pPr>
        <w:pStyle w:val="3"/>
        <w:jc w:val="both"/>
        <w:rPr>
          <w:rFonts w:ascii="黑体" w:eastAsia="黑体"/>
          <w:sz w:val="44"/>
          <w:szCs w:val="44"/>
          <w:highlight w:val="none"/>
        </w:rPr>
      </w:pPr>
    </w:p>
    <w:p w14:paraId="7E99C743">
      <w:pPr>
        <w:rPr>
          <w:rFonts w:ascii="黑体" w:eastAsia="黑体"/>
          <w:sz w:val="44"/>
          <w:szCs w:val="44"/>
          <w:highlight w:val="none"/>
        </w:rPr>
      </w:pPr>
    </w:p>
    <w:p w14:paraId="56FDBE13">
      <w:pPr>
        <w:pStyle w:val="42"/>
        <w:rPr>
          <w:rFonts w:ascii="黑体" w:eastAsia="黑体"/>
          <w:sz w:val="44"/>
          <w:szCs w:val="44"/>
          <w:highlight w:val="none"/>
        </w:rPr>
      </w:pPr>
    </w:p>
    <w:p w14:paraId="4AD7B50F">
      <w:pPr>
        <w:pStyle w:val="3"/>
        <w:jc w:val="center"/>
        <w:rPr>
          <w:rFonts w:ascii="黑体" w:eastAsia="黑体"/>
          <w:sz w:val="44"/>
          <w:szCs w:val="44"/>
          <w:highlight w:val="none"/>
        </w:rPr>
      </w:pPr>
      <w:r>
        <w:rPr>
          <w:rFonts w:ascii="黑体" w:eastAsia="黑体"/>
          <w:sz w:val="44"/>
          <w:szCs w:val="44"/>
          <w:highlight w:val="none"/>
        </w:rPr>
        <w:t xml:space="preserve">第二章  </w:t>
      </w:r>
      <w:bookmarkEnd w:id="2"/>
      <w:bookmarkStart w:id="30" w:name="_Toc16938518"/>
      <w:bookmarkStart w:id="31" w:name="_Toc120614213"/>
      <w:bookmarkStart w:id="32" w:name="_Toc513029202"/>
      <w:bookmarkStart w:id="33" w:name="_Toc20823274"/>
      <w:r>
        <w:rPr>
          <w:rFonts w:ascii="黑体" w:eastAsia="黑体"/>
          <w:sz w:val="44"/>
          <w:szCs w:val="44"/>
          <w:highlight w:val="none"/>
        </w:rPr>
        <w:t>供应商须知</w:t>
      </w:r>
      <w:bookmarkEnd w:id="3"/>
      <w:bookmarkEnd w:id="30"/>
      <w:bookmarkEnd w:id="31"/>
      <w:bookmarkEnd w:id="32"/>
      <w:bookmarkEnd w:id="33"/>
    </w:p>
    <w:p w14:paraId="6FA9F589">
      <w:pPr>
        <w:pStyle w:val="6"/>
        <w:spacing w:before="145" w:after="145" w:line="360" w:lineRule="auto"/>
        <w:ind w:firstLine="496"/>
        <w:rPr>
          <w:highlight w:val="none"/>
        </w:rPr>
      </w:pPr>
      <w:bookmarkStart w:id="34" w:name="_Toc20823275"/>
      <w:bookmarkStart w:id="35" w:name="_Toc513029203"/>
      <w:bookmarkStart w:id="36" w:name="_Toc16938519"/>
      <w:bookmarkStart w:id="37" w:name="_Toc120614214"/>
      <w:r>
        <w:rPr>
          <w:highlight w:val="none"/>
        </w:rPr>
        <w:t>一、总则</w:t>
      </w:r>
      <w:bookmarkEnd w:id="34"/>
      <w:bookmarkEnd w:id="35"/>
      <w:bookmarkEnd w:id="36"/>
      <w:bookmarkEnd w:id="37"/>
    </w:p>
    <w:p w14:paraId="7D6ED7F3">
      <w:pPr>
        <w:pStyle w:val="7"/>
        <w:spacing w:before="0" w:after="0" w:line="240" w:lineRule="auto"/>
        <w:ind w:firstLine="420"/>
        <w:rPr>
          <w:b w:val="0"/>
          <w:bCs w:val="0"/>
          <w:highlight w:val="none"/>
        </w:rPr>
      </w:pPr>
      <w:bookmarkStart w:id="38" w:name="_Hlt16619475"/>
      <w:bookmarkEnd w:id="38"/>
      <w:bookmarkStart w:id="39" w:name="_Toc458694821"/>
      <w:bookmarkStart w:id="40" w:name="_Toc513029204"/>
      <w:bookmarkStart w:id="41" w:name="_Toc20823276"/>
      <w:bookmarkStart w:id="42" w:name="_Toc16938520"/>
      <w:r>
        <w:rPr>
          <w:b w:val="0"/>
          <w:bCs w:val="0"/>
          <w:highlight w:val="none"/>
        </w:rPr>
        <w:t>1</w:t>
      </w:r>
      <w:bookmarkEnd w:id="39"/>
      <w:r>
        <w:rPr>
          <w:b w:val="0"/>
          <w:bCs w:val="0"/>
          <w:highlight w:val="none"/>
        </w:rPr>
        <w:t>、采购方式</w:t>
      </w:r>
      <w:bookmarkEnd w:id="40"/>
      <w:bookmarkEnd w:id="41"/>
      <w:bookmarkEnd w:id="42"/>
    </w:p>
    <w:p w14:paraId="2F01F1E4">
      <w:pPr>
        <w:spacing w:line="500" w:lineRule="exact"/>
        <w:ind w:firstLine="480"/>
        <w:rPr>
          <w:rFonts w:ascii="宋体" w:hAnsi="宋体"/>
          <w:sz w:val="24"/>
          <w:highlight w:val="none"/>
        </w:rPr>
      </w:pPr>
      <w:r>
        <w:rPr>
          <w:rFonts w:ascii="宋体" w:hAnsi="宋体"/>
          <w:sz w:val="24"/>
          <w:highlight w:val="none"/>
        </w:rPr>
        <w:t>1.1 本次项目采用封闭式框架协议采购方式，本征集文件仅适用于征集公告中所述项目。</w:t>
      </w:r>
    </w:p>
    <w:p w14:paraId="7D9DEAFD">
      <w:pPr>
        <w:pStyle w:val="7"/>
        <w:spacing w:before="0" w:after="0" w:line="240" w:lineRule="auto"/>
        <w:ind w:firstLine="420"/>
        <w:rPr>
          <w:b w:val="0"/>
          <w:bCs w:val="0"/>
          <w:highlight w:val="none"/>
        </w:rPr>
      </w:pPr>
      <w:bookmarkStart w:id="43" w:name="_Toc513029205"/>
      <w:bookmarkStart w:id="44" w:name="_Toc16938521"/>
      <w:bookmarkStart w:id="45" w:name="_Toc20823277"/>
      <w:r>
        <w:rPr>
          <w:b w:val="0"/>
          <w:bCs w:val="0"/>
          <w:highlight w:val="none"/>
        </w:rPr>
        <w:t>2、合格的</w:t>
      </w:r>
      <w:bookmarkEnd w:id="43"/>
      <w:bookmarkEnd w:id="44"/>
      <w:bookmarkEnd w:id="45"/>
      <w:r>
        <w:rPr>
          <w:b w:val="0"/>
          <w:bCs w:val="0"/>
          <w:highlight w:val="none"/>
        </w:rPr>
        <w:t>供应商</w:t>
      </w:r>
    </w:p>
    <w:p w14:paraId="55F1715D">
      <w:pPr>
        <w:spacing w:line="400" w:lineRule="exact"/>
        <w:ind w:firstLine="480"/>
        <w:rPr>
          <w:rFonts w:ascii="宋体" w:hAnsi="宋体"/>
          <w:sz w:val="24"/>
          <w:szCs w:val="24"/>
          <w:highlight w:val="none"/>
        </w:rPr>
      </w:pPr>
      <w:r>
        <w:rPr>
          <w:rFonts w:ascii="宋体" w:hAnsi="宋体"/>
          <w:sz w:val="24"/>
          <w:szCs w:val="24"/>
          <w:highlight w:val="none"/>
        </w:rPr>
        <w:t>2.1满足征集公告中供应商资格要求的规定。</w:t>
      </w:r>
    </w:p>
    <w:p w14:paraId="5B266DDF">
      <w:pPr>
        <w:spacing w:line="400" w:lineRule="exact"/>
        <w:ind w:firstLine="480"/>
        <w:rPr>
          <w:rFonts w:ascii="宋体" w:hAnsi="宋体"/>
          <w:sz w:val="24"/>
          <w:szCs w:val="24"/>
          <w:highlight w:val="none"/>
        </w:rPr>
      </w:pPr>
      <w:r>
        <w:rPr>
          <w:rFonts w:ascii="宋体" w:hAnsi="宋体"/>
          <w:sz w:val="24"/>
          <w:szCs w:val="24"/>
          <w:highlight w:val="none"/>
        </w:rPr>
        <w:t>2.2 满足本征集文件实质性要求和条件的规定。</w:t>
      </w:r>
    </w:p>
    <w:p w14:paraId="579D2254">
      <w:pPr>
        <w:pStyle w:val="7"/>
        <w:spacing w:before="0" w:after="0" w:line="240" w:lineRule="auto"/>
        <w:ind w:firstLine="420"/>
        <w:rPr>
          <w:b w:val="0"/>
          <w:bCs w:val="0"/>
          <w:highlight w:val="none"/>
        </w:rPr>
      </w:pPr>
      <w:bookmarkStart w:id="46" w:name="_Toc16938522"/>
      <w:bookmarkStart w:id="47" w:name="_Toc20823278"/>
      <w:bookmarkStart w:id="48" w:name="_Toc513029206"/>
      <w:r>
        <w:rPr>
          <w:b w:val="0"/>
          <w:bCs w:val="0"/>
          <w:highlight w:val="none"/>
        </w:rPr>
        <w:t>3、适用法律</w:t>
      </w:r>
      <w:bookmarkEnd w:id="46"/>
      <w:bookmarkEnd w:id="47"/>
      <w:bookmarkEnd w:id="48"/>
    </w:p>
    <w:p w14:paraId="1B23B8B6">
      <w:pPr>
        <w:spacing w:line="400" w:lineRule="exact"/>
        <w:ind w:firstLine="420"/>
        <w:rPr>
          <w:rFonts w:ascii="宋体" w:hAnsi="宋体"/>
          <w:sz w:val="24"/>
          <w:highlight w:val="none"/>
        </w:rPr>
      </w:pPr>
      <w:r>
        <w:rPr>
          <w:rFonts w:ascii="宋体" w:hAnsi="宋体"/>
          <w:sz w:val="24"/>
          <w:highlight w:val="none"/>
        </w:rPr>
        <w:t>3.1 本次封闭式框架协议采购活动（以下简称采购活动）及由此产生的框架协议文本和采购合同文本受中华人民共和国有关的法律法规制约和保护。</w:t>
      </w:r>
    </w:p>
    <w:p w14:paraId="58192985">
      <w:pPr>
        <w:pStyle w:val="7"/>
        <w:spacing w:before="0" w:after="0" w:line="240" w:lineRule="auto"/>
        <w:ind w:firstLine="420"/>
        <w:rPr>
          <w:b w:val="0"/>
          <w:bCs w:val="0"/>
          <w:highlight w:val="none"/>
        </w:rPr>
      </w:pPr>
      <w:bookmarkStart w:id="49" w:name="_Toc20823279"/>
      <w:bookmarkStart w:id="50" w:name="_Toc513029207"/>
      <w:bookmarkStart w:id="51" w:name="_Toc462564067"/>
      <w:bookmarkStart w:id="52" w:name="_Toc16938523"/>
      <w:r>
        <w:rPr>
          <w:b w:val="0"/>
          <w:bCs w:val="0"/>
          <w:highlight w:val="none"/>
        </w:rPr>
        <w:t>4、参加</w:t>
      </w:r>
      <w:r>
        <w:rPr>
          <w:rFonts w:hint="eastAsia"/>
          <w:b w:val="0"/>
          <w:bCs w:val="0"/>
          <w:highlight w:val="none"/>
          <w:lang w:val="en-US" w:eastAsia="zh-CN"/>
        </w:rPr>
        <w:t>采购</w:t>
      </w:r>
      <w:r>
        <w:rPr>
          <w:b w:val="0"/>
          <w:bCs w:val="0"/>
          <w:highlight w:val="none"/>
        </w:rPr>
        <w:t>活动的费用</w:t>
      </w:r>
      <w:bookmarkEnd w:id="49"/>
      <w:bookmarkEnd w:id="50"/>
      <w:bookmarkEnd w:id="51"/>
      <w:bookmarkEnd w:id="52"/>
    </w:p>
    <w:p w14:paraId="323567FD">
      <w:pPr>
        <w:spacing w:line="500" w:lineRule="exact"/>
        <w:ind w:firstLine="480"/>
        <w:rPr>
          <w:rFonts w:ascii="宋体" w:hAnsi="宋体"/>
          <w:sz w:val="24"/>
          <w:highlight w:val="none"/>
        </w:rPr>
      </w:pPr>
      <w:r>
        <w:rPr>
          <w:rFonts w:ascii="宋体" w:hAnsi="宋体"/>
          <w:bCs/>
          <w:sz w:val="24"/>
          <w:highlight w:val="none"/>
        </w:rPr>
        <w:t>4.1</w:t>
      </w:r>
      <w:r>
        <w:rPr>
          <w:rFonts w:ascii="宋体" w:hAnsi="宋体"/>
          <w:sz w:val="24"/>
          <w:highlight w:val="none"/>
        </w:rPr>
        <w:t xml:space="preserve"> 供应商应自行承担所有与参加采购活动有关的费用，无论采购活动过程中的做法和结果如何，</w:t>
      </w:r>
      <w:r>
        <w:rPr>
          <w:rFonts w:hint="eastAsia" w:ascii="宋体" w:hAnsi="宋体"/>
          <w:sz w:val="24"/>
          <w:highlight w:val="none"/>
          <w:lang w:val="en-US" w:eastAsia="zh-CN"/>
        </w:rPr>
        <w:t>征集人</w:t>
      </w:r>
      <w:r>
        <w:rPr>
          <w:rFonts w:ascii="宋体" w:hAnsi="宋体"/>
          <w:sz w:val="24"/>
          <w:highlight w:val="none"/>
        </w:rPr>
        <w:t>在任何情况下均无义务和责任承担这些费用。</w:t>
      </w:r>
    </w:p>
    <w:p w14:paraId="5490EA94">
      <w:pPr>
        <w:spacing w:line="500" w:lineRule="exact"/>
        <w:ind w:firstLine="600"/>
        <w:rPr>
          <w:rFonts w:ascii="宋体" w:hAnsi="宋体"/>
          <w:sz w:val="24"/>
          <w:highlight w:val="none"/>
        </w:rPr>
      </w:pPr>
      <w:r>
        <w:rPr>
          <w:rFonts w:ascii="宋体" w:hAnsi="宋体"/>
          <w:sz w:val="24"/>
          <w:highlight w:val="none"/>
        </w:rPr>
        <w:t>4.2本次</w:t>
      </w:r>
      <w:r>
        <w:rPr>
          <w:rFonts w:hint="eastAsia" w:ascii="宋体" w:hAnsi="宋体" w:eastAsia="宋体"/>
          <w:sz w:val="24"/>
          <w:highlight w:val="none"/>
          <w:lang w:val="en-US" w:eastAsia="zh-CN"/>
        </w:rPr>
        <w:t>采购</w:t>
      </w:r>
      <w:r>
        <w:rPr>
          <w:rFonts w:ascii="宋体" w:hAnsi="宋体"/>
          <w:sz w:val="24"/>
          <w:highlight w:val="none"/>
        </w:rPr>
        <w:t>活动不收取标书工本费与代理服务费。</w:t>
      </w:r>
    </w:p>
    <w:p w14:paraId="543E547F">
      <w:pPr>
        <w:pStyle w:val="7"/>
        <w:spacing w:before="0" w:after="0" w:line="480" w:lineRule="exact"/>
        <w:ind w:firstLine="450"/>
        <w:rPr>
          <w:rFonts w:ascii="黑体" w:hAnsi="宋体"/>
          <w:b w:val="0"/>
          <w:bCs w:val="0"/>
          <w:highlight w:val="none"/>
        </w:rPr>
      </w:pPr>
      <w:r>
        <w:rPr>
          <w:rFonts w:ascii="宋体" w:hAnsi="宋体"/>
          <w:sz w:val="30"/>
          <w:highlight w:val="none"/>
        </w:rPr>
        <w:t>5、</w:t>
      </w:r>
      <w:r>
        <w:rPr>
          <w:rFonts w:ascii="黑体" w:hAnsi="宋体"/>
          <w:b w:val="0"/>
          <w:bCs w:val="0"/>
          <w:highlight w:val="none"/>
        </w:rPr>
        <w:t>征集文件的约束力</w:t>
      </w:r>
    </w:p>
    <w:p w14:paraId="22D5DEB1">
      <w:pPr>
        <w:spacing w:line="480" w:lineRule="exact"/>
        <w:ind w:firstLine="600"/>
        <w:rPr>
          <w:rFonts w:ascii="宋体" w:hAnsi="宋体"/>
          <w:sz w:val="24"/>
          <w:szCs w:val="24"/>
          <w:highlight w:val="none"/>
        </w:rPr>
      </w:pPr>
      <w:r>
        <w:rPr>
          <w:rFonts w:ascii="宋体" w:hAnsi="宋体"/>
          <w:bCs/>
          <w:sz w:val="24"/>
          <w:szCs w:val="24"/>
          <w:highlight w:val="none"/>
        </w:rPr>
        <w:t>5.1</w:t>
      </w:r>
      <w:r>
        <w:rPr>
          <w:rFonts w:ascii="宋体" w:hAnsi="宋体"/>
          <w:sz w:val="24"/>
          <w:szCs w:val="24"/>
          <w:highlight w:val="none"/>
        </w:rPr>
        <w:t xml:space="preserve"> 供应商一旦参加本项目采购活动，即被认为接受了本征集文件的规定和约束。</w:t>
      </w:r>
    </w:p>
    <w:p w14:paraId="46F04FEB">
      <w:pPr>
        <w:pStyle w:val="6"/>
        <w:spacing w:before="145" w:after="145" w:line="360" w:lineRule="auto"/>
        <w:ind w:firstLine="320"/>
        <w:rPr>
          <w:rFonts w:hint="default" w:eastAsiaTheme="minorEastAsia"/>
          <w:highlight w:val="none"/>
          <w:lang w:val="en-US" w:eastAsia="zh-CN"/>
        </w:rPr>
      </w:pPr>
      <w:bookmarkStart w:id="53" w:name="_Toc20823281"/>
      <w:bookmarkStart w:id="54" w:name="_Toc16938525"/>
      <w:bookmarkStart w:id="55" w:name="_Toc513029209"/>
      <w:bookmarkStart w:id="56" w:name="_Toc120614215"/>
      <w:r>
        <w:rPr>
          <w:highlight w:val="none"/>
        </w:rPr>
        <w:t>二、征集文件</w:t>
      </w:r>
      <w:bookmarkEnd w:id="53"/>
      <w:bookmarkEnd w:id="54"/>
      <w:bookmarkEnd w:id="55"/>
      <w:bookmarkEnd w:id="56"/>
      <w:r>
        <w:rPr>
          <w:rFonts w:hint="eastAsia"/>
          <w:highlight w:val="none"/>
          <w:lang w:val="en-US" w:eastAsia="zh-CN"/>
        </w:rPr>
        <w:t xml:space="preserve">  </w:t>
      </w:r>
    </w:p>
    <w:p w14:paraId="077AC95D">
      <w:pPr>
        <w:pStyle w:val="7"/>
        <w:spacing w:before="0" w:after="0" w:line="240" w:lineRule="auto"/>
        <w:ind w:firstLine="420"/>
        <w:rPr>
          <w:b w:val="0"/>
          <w:bCs w:val="0"/>
          <w:highlight w:val="none"/>
        </w:rPr>
      </w:pPr>
      <w:bookmarkStart w:id="57" w:name="_Toc513029210"/>
      <w:bookmarkStart w:id="58" w:name="_Toc16938526"/>
      <w:bookmarkStart w:id="59" w:name="_Toc20823282"/>
      <w:r>
        <w:rPr>
          <w:b w:val="0"/>
          <w:bCs w:val="0"/>
          <w:highlight w:val="none"/>
        </w:rPr>
        <w:t>6、征集文件构成</w:t>
      </w:r>
      <w:bookmarkEnd w:id="57"/>
      <w:bookmarkEnd w:id="58"/>
      <w:bookmarkEnd w:id="59"/>
    </w:p>
    <w:p w14:paraId="11871ABB">
      <w:pPr>
        <w:spacing w:line="500" w:lineRule="exact"/>
        <w:ind w:firstLine="480"/>
        <w:rPr>
          <w:rFonts w:ascii="宋体" w:hAnsi="宋体"/>
          <w:sz w:val="24"/>
          <w:highlight w:val="none"/>
        </w:rPr>
      </w:pPr>
      <w:r>
        <w:rPr>
          <w:rFonts w:ascii="宋体" w:hAnsi="宋体"/>
          <w:bCs/>
          <w:sz w:val="24"/>
          <w:highlight w:val="none"/>
        </w:rPr>
        <w:t>6.1</w:t>
      </w:r>
      <w:r>
        <w:rPr>
          <w:rFonts w:ascii="宋体" w:hAnsi="宋体"/>
          <w:sz w:val="24"/>
          <w:highlight w:val="none"/>
        </w:rPr>
        <w:t xml:space="preserve"> 征集文件由以下部分组成：</w:t>
      </w:r>
    </w:p>
    <w:p w14:paraId="1D8809D4">
      <w:pPr>
        <w:spacing w:line="400" w:lineRule="exact"/>
        <w:ind w:firstLine="480"/>
        <w:rPr>
          <w:rFonts w:ascii="宋体" w:hAnsi="宋体"/>
          <w:sz w:val="24"/>
          <w:szCs w:val="24"/>
          <w:highlight w:val="none"/>
        </w:rPr>
      </w:pPr>
      <w:r>
        <w:rPr>
          <w:rFonts w:ascii="宋体" w:hAnsi="宋体"/>
          <w:sz w:val="24"/>
          <w:szCs w:val="24"/>
          <w:highlight w:val="none"/>
        </w:rPr>
        <w:t>6.1.1参加征集活动的邀请</w:t>
      </w:r>
    </w:p>
    <w:p w14:paraId="4E2C60C1">
      <w:pPr>
        <w:spacing w:line="400" w:lineRule="exact"/>
        <w:ind w:firstLine="480"/>
        <w:rPr>
          <w:rFonts w:ascii="宋体" w:hAnsi="宋体"/>
          <w:sz w:val="24"/>
          <w:szCs w:val="24"/>
          <w:highlight w:val="none"/>
        </w:rPr>
      </w:pPr>
      <w:r>
        <w:rPr>
          <w:rFonts w:ascii="宋体" w:hAnsi="宋体"/>
          <w:sz w:val="24"/>
          <w:szCs w:val="24"/>
          <w:highlight w:val="none"/>
        </w:rPr>
        <w:t>6.1.2供应商须知</w:t>
      </w:r>
    </w:p>
    <w:p w14:paraId="2EF930AE">
      <w:pPr>
        <w:spacing w:line="400" w:lineRule="exact"/>
        <w:ind w:firstLine="480"/>
        <w:rPr>
          <w:rFonts w:ascii="宋体" w:hAnsi="宋体"/>
          <w:sz w:val="24"/>
          <w:szCs w:val="24"/>
          <w:highlight w:val="none"/>
        </w:rPr>
      </w:pPr>
      <w:r>
        <w:rPr>
          <w:rFonts w:ascii="宋体" w:hAnsi="宋体"/>
          <w:sz w:val="24"/>
          <w:szCs w:val="24"/>
          <w:highlight w:val="none"/>
        </w:rPr>
        <w:t>6.1.3框架协议文本</w:t>
      </w:r>
    </w:p>
    <w:p w14:paraId="22EFE404">
      <w:pPr>
        <w:spacing w:line="400" w:lineRule="exact"/>
        <w:ind w:firstLine="480"/>
        <w:rPr>
          <w:rFonts w:ascii="宋体" w:hAnsi="宋体"/>
          <w:sz w:val="24"/>
          <w:szCs w:val="24"/>
          <w:highlight w:val="none"/>
        </w:rPr>
      </w:pPr>
      <w:r>
        <w:rPr>
          <w:rFonts w:ascii="宋体" w:hAnsi="宋体"/>
          <w:sz w:val="24"/>
          <w:szCs w:val="24"/>
          <w:highlight w:val="none"/>
        </w:rPr>
        <w:t>6.1.4采购需求</w:t>
      </w:r>
    </w:p>
    <w:p w14:paraId="0C11AAE0">
      <w:pPr>
        <w:spacing w:line="400" w:lineRule="exact"/>
        <w:ind w:firstLine="480"/>
        <w:rPr>
          <w:rFonts w:ascii="宋体" w:hAnsi="宋体"/>
          <w:sz w:val="24"/>
          <w:szCs w:val="24"/>
          <w:highlight w:val="none"/>
        </w:rPr>
      </w:pPr>
      <w:r>
        <w:rPr>
          <w:rFonts w:ascii="宋体" w:hAnsi="宋体"/>
          <w:sz w:val="24"/>
          <w:szCs w:val="24"/>
          <w:highlight w:val="none"/>
        </w:rPr>
        <w:t>6.1.5确定入围及成交供应商</w:t>
      </w:r>
    </w:p>
    <w:p w14:paraId="04538D37">
      <w:pPr>
        <w:spacing w:line="400" w:lineRule="exact"/>
        <w:ind w:firstLine="480"/>
        <w:rPr>
          <w:rFonts w:ascii="宋体" w:hAnsi="宋体"/>
          <w:sz w:val="24"/>
          <w:szCs w:val="24"/>
          <w:highlight w:val="none"/>
        </w:rPr>
      </w:pPr>
      <w:r>
        <w:rPr>
          <w:rFonts w:ascii="宋体" w:hAnsi="宋体"/>
          <w:sz w:val="24"/>
          <w:szCs w:val="24"/>
          <w:highlight w:val="none"/>
        </w:rPr>
        <w:t>6.1.6响应文件格式</w:t>
      </w:r>
    </w:p>
    <w:p w14:paraId="222CBA27">
      <w:pPr>
        <w:spacing w:line="500" w:lineRule="exact"/>
        <w:ind w:firstLine="720"/>
        <w:rPr>
          <w:rFonts w:ascii="宋体" w:hAnsi="宋体"/>
          <w:sz w:val="24"/>
          <w:highlight w:val="none"/>
        </w:rPr>
      </w:pPr>
      <w:r>
        <w:rPr>
          <w:rFonts w:ascii="宋体" w:hAnsi="宋体"/>
          <w:sz w:val="24"/>
          <w:highlight w:val="none"/>
        </w:rPr>
        <w:t>请仔细检查征集文件是否齐全，如有缺漏请立即与</w:t>
      </w:r>
      <w:r>
        <w:rPr>
          <w:rFonts w:hint="eastAsia" w:ascii="宋体" w:hAnsi="宋体" w:cs="宋体"/>
          <w:color w:val="000000"/>
          <w:sz w:val="24"/>
          <w:szCs w:val="24"/>
          <w:highlight w:val="none"/>
          <w:lang w:val="en-US" w:eastAsia="zh-CN"/>
        </w:rPr>
        <w:t>征集人</w:t>
      </w:r>
      <w:r>
        <w:rPr>
          <w:rFonts w:ascii="宋体" w:hAnsi="宋体"/>
          <w:sz w:val="24"/>
          <w:highlight w:val="none"/>
        </w:rPr>
        <w:t>联系解决。</w:t>
      </w:r>
    </w:p>
    <w:p w14:paraId="5B79A47A">
      <w:pPr>
        <w:spacing w:line="500" w:lineRule="exact"/>
        <w:ind w:firstLine="480"/>
        <w:rPr>
          <w:rFonts w:ascii="宋体" w:hAnsi="宋体"/>
          <w:sz w:val="24"/>
          <w:highlight w:val="none"/>
        </w:rPr>
      </w:pPr>
      <w:r>
        <w:rPr>
          <w:rFonts w:ascii="宋体" w:hAnsi="宋体"/>
          <w:bCs/>
          <w:sz w:val="24"/>
          <w:highlight w:val="none"/>
        </w:rPr>
        <w:t>6.2</w:t>
      </w:r>
      <w:r>
        <w:rPr>
          <w:rFonts w:ascii="宋体" w:hAnsi="宋体"/>
          <w:sz w:val="24"/>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52AE4F05">
      <w:pPr>
        <w:pStyle w:val="7"/>
        <w:spacing w:before="0" w:after="0" w:line="240" w:lineRule="auto"/>
        <w:ind w:firstLine="560"/>
        <w:rPr>
          <w:b w:val="0"/>
          <w:bCs w:val="0"/>
          <w:highlight w:val="none"/>
        </w:rPr>
      </w:pPr>
      <w:bookmarkStart w:id="60" w:name="_Toc513029211"/>
      <w:bookmarkStart w:id="61" w:name="_Toc462564070"/>
      <w:bookmarkStart w:id="62" w:name="_Toc20823283"/>
      <w:bookmarkStart w:id="63" w:name="_Toc16938527"/>
      <w:r>
        <w:rPr>
          <w:b w:val="0"/>
          <w:bCs w:val="0"/>
          <w:highlight w:val="none"/>
        </w:rPr>
        <w:t>7、征集文件的澄清</w:t>
      </w:r>
      <w:bookmarkEnd w:id="60"/>
      <w:bookmarkEnd w:id="61"/>
      <w:bookmarkEnd w:id="62"/>
      <w:bookmarkEnd w:id="63"/>
    </w:p>
    <w:p w14:paraId="57C1688F">
      <w:pPr>
        <w:spacing w:line="480" w:lineRule="exact"/>
        <w:ind w:firstLine="480"/>
        <w:rPr>
          <w:rFonts w:ascii="宋体" w:hAnsi="宋体"/>
          <w:sz w:val="24"/>
          <w:szCs w:val="24"/>
          <w:highlight w:val="none"/>
        </w:rPr>
      </w:pPr>
      <w:r>
        <w:rPr>
          <w:rFonts w:ascii="宋体" w:hAnsi="宋体"/>
          <w:bCs/>
          <w:sz w:val="24"/>
          <w:highlight w:val="none"/>
        </w:rPr>
        <w:t>7.1</w:t>
      </w:r>
      <w:r>
        <w:rPr>
          <w:rFonts w:ascii="宋体" w:hAnsi="宋体"/>
          <w:sz w:val="24"/>
          <w:highlight w:val="none"/>
        </w:rPr>
        <w:t xml:space="preserve"> 任何要求对征集文件进行澄清的供应商，应在响应文件提交截止期</w:t>
      </w:r>
      <w:r>
        <w:rPr>
          <w:rFonts w:ascii="仿宋_GB2312" w:hAnsi="仿宋_GB2312"/>
          <w:b/>
          <w:sz w:val="24"/>
          <w:szCs w:val="24"/>
          <w:highlight w:val="none"/>
        </w:rPr>
        <w:t>十日</w:t>
      </w:r>
      <w:r>
        <w:rPr>
          <w:rFonts w:ascii="仿宋_GB2312" w:hAnsi="仿宋_GB2312"/>
          <w:sz w:val="24"/>
          <w:szCs w:val="24"/>
          <w:highlight w:val="none"/>
        </w:rPr>
        <w:t>前</w:t>
      </w:r>
      <w:r>
        <w:rPr>
          <w:rFonts w:ascii="宋体" w:hAnsi="宋体"/>
          <w:sz w:val="24"/>
          <w:highlight w:val="none"/>
        </w:rPr>
        <w:t>按征集公告中的通讯地址，以书面形式通知</w:t>
      </w:r>
      <w:r>
        <w:rPr>
          <w:rFonts w:hint="eastAsia" w:ascii="宋体" w:hAnsi="宋体" w:cs="宋体"/>
          <w:color w:val="000000"/>
          <w:sz w:val="24"/>
          <w:szCs w:val="24"/>
          <w:highlight w:val="none"/>
          <w:lang w:val="en-US" w:eastAsia="zh-CN"/>
        </w:rPr>
        <w:t>征集人</w:t>
      </w:r>
      <w:r>
        <w:rPr>
          <w:rFonts w:ascii="宋体" w:hAnsi="宋体"/>
          <w:sz w:val="24"/>
          <w:highlight w:val="none"/>
        </w:rPr>
        <w:t>。</w:t>
      </w:r>
    </w:p>
    <w:p w14:paraId="4E477F52">
      <w:pPr>
        <w:pStyle w:val="7"/>
        <w:spacing w:before="0" w:after="0" w:line="240" w:lineRule="auto"/>
        <w:ind w:firstLine="560"/>
        <w:rPr>
          <w:b w:val="0"/>
          <w:bCs w:val="0"/>
          <w:highlight w:val="none"/>
        </w:rPr>
      </w:pPr>
      <w:bookmarkStart w:id="64" w:name="_Toc513029212"/>
      <w:bookmarkStart w:id="65" w:name="_Toc16938528"/>
      <w:bookmarkStart w:id="66" w:name="_Toc20823284"/>
      <w:bookmarkStart w:id="67" w:name="_Toc462564071"/>
      <w:r>
        <w:rPr>
          <w:b w:val="0"/>
          <w:bCs w:val="0"/>
          <w:highlight w:val="none"/>
        </w:rPr>
        <w:t>8、征集文件的修改</w:t>
      </w:r>
      <w:bookmarkEnd w:id="64"/>
      <w:bookmarkEnd w:id="65"/>
      <w:bookmarkEnd w:id="66"/>
      <w:bookmarkEnd w:id="67"/>
    </w:p>
    <w:p w14:paraId="6F1E7036">
      <w:pPr>
        <w:spacing w:line="500" w:lineRule="exact"/>
        <w:ind w:firstLine="480"/>
        <w:rPr>
          <w:rFonts w:ascii="宋体" w:hAnsi="宋体"/>
          <w:sz w:val="24"/>
          <w:highlight w:val="none"/>
        </w:rPr>
      </w:pPr>
      <w:r>
        <w:rPr>
          <w:rFonts w:ascii="宋体" w:hAnsi="宋体"/>
          <w:bCs/>
          <w:sz w:val="24"/>
          <w:highlight w:val="none"/>
        </w:rPr>
        <w:t>8.1</w:t>
      </w:r>
      <w:r>
        <w:rPr>
          <w:rFonts w:ascii="宋体" w:hAnsi="宋体"/>
          <w:sz w:val="24"/>
          <w:highlight w:val="none"/>
        </w:rPr>
        <w:t xml:space="preserve"> 在响应文件提交截止时间</w:t>
      </w:r>
      <w:r>
        <w:rPr>
          <w:rFonts w:ascii="仿宋_GB2312" w:hAnsi="仿宋_GB2312"/>
          <w:sz w:val="24"/>
          <w:highlight w:val="none"/>
        </w:rPr>
        <w:t>前</w:t>
      </w:r>
      <w:r>
        <w:rPr>
          <w:rFonts w:ascii="宋体" w:hAnsi="宋体"/>
          <w:sz w:val="24"/>
          <w:highlight w:val="none"/>
        </w:rPr>
        <w:t>，</w:t>
      </w:r>
      <w:r>
        <w:rPr>
          <w:rFonts w:hint="eastAsia" w:ascii="宋体" w:hAnsi="宋体" w:cs="宋体"/>
          <w:color w:val="000000"/>
          <w:sz w:val="24"/>
          <w:szCs w:val="24"/>
          <w:highlight w:val="none"/>
          <w:lang w:val="en-US" w:eastAsia="zh-CN"/>
        </w:rPr>
        <w:t>征集人</w:t>
      </w:r>
      <w:r>
        <w:rPr>
          <w:rFonts w:ascii="宋体" w:hAnsi="宋体"/>
          <w:sz w:val="24"/>
          <w:highlight w:val="none"/>
        </w:rPr>
        <w:t>可以对征集文件进行修改。</w:t>
      </w:r>
    </w:p>
    <w:p w14:paraId="2C5E9665">
      <w:pPr>
        <w:spacing w:line="500" w:lineRule="exact"/>
        <w:ind w:firstLine="480"/>
        <w:rPr>
          <w:rFonts w:ascii="宋体" w:hAnsi="Arial"/>
          <w:sz w:val="28"/>
          <w:highlight w:val="none"/>
        </w:rPr>
      </w:pPr>
      <w:r>
        <w:rPr>
          <w:rFonts w:ascii="宋体" w:hAnsi="宋体"/>
          <w:bCs/>
          <w:sz w:val="24"/>
          <w:highlight w:val="none"/>
        </w:rPr>
        <w:t xml:space="preserve">8.2 </w:t>
      </w:r>
      <w:r>
        <w:rPr>
          <w:rFonts w:hint="eastAsia" w:ascii="宋体" w:hAnsi="宋体" w:cs="宋体"/>
          <w:color w:val="000000"/>
          <w:sz w:val="24"/>
          <w:szCs w:val="24"/>
          <w:highlight w:val="none"/>
          <w:lang w:val="en-US" w:eastAsia="zh-CN"/>
        </w:rPr>
        <w:t>征集人</w:t>
      </w:r>
      <w:r>
        <w:rPr>
          <w:rFonts w:ascii="宋体" w:hAnsi="宋体"/>
          <w:sz w:val="24"/>
          <w:szCs w:val="24"/>
          <w:highlight w:val="none"/>
        </w:rPr>
        <w:t>有权按照法定的要求</w:t>
      </w:r>
      <w:r>
        <w:rPr>
          <w:rFonts w:ascii="宋体" w:hAnsi="宋体"/>
          <w:sz w:val="24"/>
          <w:highlight w:val="none"/>
        </w:rPr>
        <w:t>推迟响应文件提交截止日期和开启日期。</w:t>
      </w:r>
    </w:p>
    <w:p w14:paraId="13D484AB">
      <w:pPr>
        <w:spacing w:line="500" w:lineRule="exact"/>
        <w:ind w:firstLine="480"/>
        <w:rPr>
          <w:rFonts w:ascii="宋体" w:hAnsi="宋体"/>
          <w:sz w:val="24"/>
          <w:highlight w:val="none"/>
        </w:rPr>
      </w:pPr>
      <w:r>
        <w:rPr>
          <w:rFonts w:ascii="宋体" w:hAnsi="宋体"/>
          <w:bCs/>
          <w:sz w:val="24"/>
          <w:highlight w:val="none"/>
        </w:rPr>
        <w:t xml:space="preserve">8.3 </w:t>
      </w:r>
      <w:r>
        <w:rPr>
          <w:rFonts w:ascii="宋体" w:hAnsi="宋体"/>
          <w:sz w:val="24"/>
          <w:highlight w:val="none"/>
        </w:rPr>
        <w:t>征集文件的修改将在江苏政府采购网</w:t>
      </w:r>
      <w:r>
        <w:rPr>
          <w:rFonts w:hint="eastAsia" w:ascii="宋体" w:hAnsi="宋体" w:eastAsia="宋体"/>
          <w:sz w:val="24"/>
          <w:highlight w:val="none"/>
          <w:lang w:eastAsia="zh-CN"/>
        </w:rPr>
        <w:t>、</w:t>
      </w:r>
      <w:r>
        <w:rPr>
          <w:rFonts w:hint="eastAsia" w:ascii="宋体" w:hAnsi="宋体"/>
          <w:sz w:val="24"/>
          <w:highlight w:val="none"/>
          <w:lang w:val="en-US" w:eastAsia="zh-CN"/>
        </w:rPr>
        <w:t>盐城市政府采购网</w:t>
      </w:r>
      <w:r>
        <w:rPr>
          <w:rFonts w:ascii="宋体" w:hAnsi="宋体"/>
          <w:sz w:val="24"/>
          <w:highlight w:val="none"/>
        </w:rPr>
        <w:t>公布，</w:t>
      </w:r>
      <w:r>
        <w:rPr>
          <w:rFonts w:ascii="宋体" w:hAnsi="宋体"/>
          <w:sz w:val="24"/>
          <w:szCs w:val="24"/>
          <w:highlight w:val="none"/>
        </w:rPr>
        <w:t>补充文件将作为</w:t>
      </w:r>
      <w:r>
        <w:rPr>
          <w:rFonts w:ascii="宋体" w:hAnsi="宋体"/>
          <w:sz w:val="24"/>
          <w:highlight w:val="none"/>
        </w:rPr>
        <w:t>征集文件</w:t>
      </w:r>
      <w:r>
        <w:rPr>
          <w:rFonts w:ascii="宋体" w:hAnsi="宋体"/>
          <w:sz w:val="24"/>
          <w:szCs w:val="24"/>
          <w:highlight w:val="none"/>
        </w:rPr>
        <w:t>的组成部分，</w:t>
      </w:r>
      <w:r>
        <w:rPr>
          <w:rFonts w:ascii="宋体" w:hAnsi="宋体"/>
          <w:sz w:val="24"/>
          <w:highlight w:val="none"/>
        </w:rPr>
        <w:t>并对供应商具有约束力。</w:t>
      </w:r>
    </w:p>
    <w:p w14:paraId="263BC689">
      <w:pPr>
        <w:pStyle w:val="6"/>
        <w:spacing w:before="145" w:after="145" w:line="360" w:lineRule="auto"/>
        <w:ind w:firstLine="480"/>
        <w:rPr>
          <w:highlight w:val="none"/>
        </w:rPr>
      </w:pPr>
      <w:bookmarkStart w:id="68" w:name="_Toc20823285"/>
      <w:bookmarkStart w:id="69" w:name="_Toc16938529"/>
      <w:bookmarkStart w:id="70" w:name="_Toc513029213"/>
      <w:bookmarkStart w:id="71" w:name="_Toc120614216"/>
      <w:bookmarkStart w:id="72" w:name="_Toc462564072"/>
      <w:r>
        <w:rPr>
          <w:highlight w:val="none"/>
        </w:rPr>
        <w:t>三、响应文件的编制</w:t>
      </w:r>
      <w:bookmarkEnd w:id="68"/>
      <w:bookmarkEnd w:id="69"/>
      <w:bookmarkEnd w:id="70"/>
      <w:bookmarkEnd w:id="71"/>
      <w:bookmarkEnd w:id="72"/>
    </w:p>
    <w:p w14:paraId="5B2918C7">
      <w:pPr>
        <w:pStyle w:val="7"/>
        <w:spacing w:before="0" w:after="0" w:line="240" w:lineRule="auto"/>
        <w:ind w:firstLine="560"/>
        <w:rPr>
          <w:bCs w:val="0"/>
          <w:highlight w:val="none"/>
        </w:rPr>
      </w:pPr>
      <w:bookmarkStart w:id="73" w:name="_Toc462564073"/>
      <w:bookmarkStart w:id="74" w:name="_Toc20823286"/>
      <w:bookmarkStart w:id="75" w:name="_Toc513029214"/>
      <w:bookmarkStart w:id="76" w:name="_Toc16938530"/>
      <w:r>
        <w:rPr>
          <w:b w:val="0"/>
          <w:bCs w:val="0"/>
          <w:highlight w:val="none"/>
        </w:rPr>
        <w:t>9、响应文件的语言及度量衡单位</w:t>
      </w:r>
      <w:bookmarkEnd w:id="73"/>
      <w:bookmarkEnd w:id="74"/>
      <w:bookmarkEnd w:id="75"/>
      <w:bookmarkEnd w:id="76"/>
    </w:p>
    <w:p w14:paraId="3EA458A1">
      <w:pPr>
        <w:spacing w:line="500" w:lineRule="exact"/>
        <w:ind w:firstLine="480"/>
        <w:rPr>
          <w:rFonts w:ascii="宋体" w:hAnsi="宋体"/>
          <w:sz w:val="24"/>
          <w:highlight w:val="none"/>
        </w:rPr>
      </w:pPr>
      <w:r>
        <w:rPr>
          <w:rFonts w:ascii="宋体" w:hAnsi="宋体"/>
          <w:bCs/>
          <w:sz w:val="24"/>
          <w:highlight w:val="none"/>
        </w:rPr>
        <w:t>9.1</w:t>
      </w:r>
      <w:r>
        <w:rPr>
          <w:rFonts w:ascii="宋体" w:hAnsi="宋体"/>
          <w:sz w:val="24"/>
          <w:highlight w:val="none"/>
        </w:rPr>
        <w:t xml:space="preserve"> 供应商提交的响应文件以及供应商与</w:t>
      </w:r>
      <w:r>
        <w:rPr>
          <w:rFonts w:hint="eastAsia" w:ascii="宋体" w:hAnsi="宋体" w:cs="宋体"/>
          <w:color w:val="000000"/>
          <w:sz w:val="24"/>
          <w:szCs w:val="24"/>
          <w:highlight w:val="none"/>
          <w:lang w:val="en-US" w:eastAsia="zh-CN"/>
        </w:rPr>
        <w:t>征集人</w:t>
      </w:r>
      <w:r>
        <w:rPr>
          <w:rFonts w:ascii="宋体" w:hAnsi="宋体"/>
          <w:sz w:val="24"/>
          <w:highlight w:val="none"/>
        </w:rPr>
        <w:t>就采购活动的所有来往通知、函件和文件均应使用</w:t>
      </w:r>
      <w:r>
        <w:rPr>
          <w:rFonts w:ascii="宋体" w:hAnsi="宋体"/>
          <w:b/>
          <w:bCs/>
          <w:sz w:val="24"/>
          <w:highlight w:val="none"/>
        </w:rPr>
        <w:t>简体中文</w:t>
      </w:r>
      <w:r>
        <w:rPr>
          <w:rFonts w:ascii="宋体" w:hAnsi="宋体"/>
          <w:sz w:val="24"/>
          <w:highlight w:val="none"/>
        </w:rPr>
        <w:t>。</w:t>
      </w:r>
    </w:p>
    <w:p w14:paraId="54446785">
      <w:pPr>
        <w:spacing w:line="500" w:lineRule="exact"/>
        <w:ind w:firstLine="480"/>
        <w:rPr>
          <w:rFonts w:ascii="宋体" w:hAnsi="宋体"/>
          <w:sz w:val="24"/>
          <w:highlight w:val="none"/>
        </w:rPr>
      </w:pPr>
      <w:r>
        <w:rPr>
          <w:rFonts w:ascii="宋体" w:hAnsi="宋体"/>
          <w:bCs/>
          <w:sz w:val="24"/>
          <w:highlight w:val="none"/>
        </w:rPr>
        <w:t>9.2</w:t>
      </w:r>
      <w:r>
        <w:rPr>
          <w:rFonts w:ascii="宋体" w:hAnsi="宋体"/>
          <w:sz w:val="24"/>
          <w:highlight w:val="none"/>
        </w:rPr>
        <w:t xml:space="preserve"> 除技术性能另有规定外，响应文件所使用的度量衡单位，均须采用国家法定计量单位。</w:t>
      </w:r>
    </w:p>
    <w:p w14:paraId="16D689CE">
      <w:pPr>
        <w:pStyle w:val="7"/>
        <w:spacing w:before="0" w:after="0" w:line="240" w:lineRule="auto"/>
        <w:ind w:firstLine="420"/>
        <w:rPr>
          <w:b w:val="0"/>
          <w:bCs w:val="0"/>
          <w:highlight w:val="none"/>
        </w:rPr>
      </w:pPr>
      <w:bookmarkStart w:id="77" w:name="_Toc16938531"/>
      <w:bookmarkStart w:id="78" w:name="_Toc513029215"/>
      <w:bookmarkStart w:id="79" w:name="_Toc462564074"/>
      <w:bookmarkStart w:id="80" w:name="_Toc20823287"/>
      <w:r>
        <w:rPr>
          <w:b w:val="0"/>
          <w:bCs w:val="0"/>
          <w:highlight w:val="none"/>
        </w:rPr>
        <w:t>10、响应文件构成</w:t>
      </w:r>
      <w:bookmarkEnd w:id="77"/>
      <w:bookmarkEnd w:id="78"/>
      <w:bookmarkEnd w:id="79"/>
      <w:bookmarkEnd w:id="80"/>
    </w:p>
    <w:p w14:paraId="6EF282A6">
      <w:pPr>
        <w:spacing w:line="440" w:lineRule="exact"/>
        <w:ind w:firstLine="480"/>
        <w:rPr>
          <w:rFonts w:ascii="宋体" w:hAnsi="宋体"/>
          <w:sz w:val="24"/>
          <w:highlight w:val="none"/>
        </w:rPr>
      </w:pPr>
      <w:r>
        <w:rPr>
          <w:rFonts w:ascii="宋体" w:hAnsi="宋体"/>
          <w:bCs/>
          <w:sz w:val="24"/>
          <w:highlight w:val="none"/>
        </w:rPr>
        <w:t>10.1</w:t>
      </w:r>
      <w:r>
        <w:rPr>
          <w:rFonts w:ascii="宋体" w:hAnsi="宋体"/>
          <w:sz w:val="24"/>
          <w:highlight w:val="none"/>
        </w:rPr>
        <w:t xml:space="preserve"> 供应商编写的响应文件应包括资格证明文件、符合性证明文件、其他证明文件、响应函、报价一览表等部分。</w:t>
      </w:r>
    </w:p>
    <w:p w14:paraId="44060B59">
      <w:pPr>
        <w:spacing w:line="440" w:lineRule="exact"/>
        <w:ind w:firstLine="480"/>
        <w:rPr>
          <w:rFonts w:ascii="宋体" w:hAnsi="宋体"/>
          <w:sz w:val="24"/>
          <w:highlight w:val="none"/>
        </w:rPr>
      </w:pPr>
      <w:r>
        <w:rPr>
          <w:rFonts w:ascii="宋体" w:hAnsi="宋体"/>
          <w:sz w:val="24"/>
          <w:highlight w:val="none"/>
        </w:rPr>
        <w:t>10.2 如标书制作工具中格式和内容与“江苏政府采购网”发布的征集文件不一致，请以“江苏政府采购网”</w:t>
      </w:r>
      <w:r>
        <w:rPr>
          <w:rFonts w:hint="eastAsia" w:ascii="宋体" w:hAnsi="宋体"/>
          <w:sz w:val="24"/>
          <w:highlight w:val="none"/>
          <w:lang w:eastAsia="zh-CN"/>
        </w:rPr>
        <w:t>、“</w:t>
      </w:r>
      <w:r>
        <w:rPr>
          <w:rFonts w:hint="eastAsia" w:ascii="宋体" w:hAnsi="宋体"/>
          <w:sz w:val="24"/>
          <w:highlight w:val="none"/>
          <w:lang w:val="en-US" w:eastAsia="zh-CN"/>
        </w:rPr>
        <w:t>盐城市政府采购网</w:t>
      </w:r>
      <w:r>
        <w:rPr>
          <w:rFonts w:hint="eastAsia" w:ascii="宋体" w:hAnsi="宋体"/>
          <w:sz w:val="24"/>
          <w:highlight w:val="none"/>
          <w:lang w:eastAsia="zh-CN"/>
        </w:rPr>
        <w:t>”</w:t>
      </w:r>
      <w:r>
        <w:rPr>
          <w:rFonts w:hint="eastAsia" w:ascii="宋体" w:hAnsi="宋体"/>
          <w:sz w:val="24"/>
          <w:highlight w:val="none"/>
          <w:lang w:val="en-US" w:eastAsia="zh-CN"/>
        </w:rPr>
        <w:t>发</w:t>
      </w:r>
      <w:r>
        <w:rPr>
          <w:rFonts w:ascii="宋体" w:hAnsi="宋体"/>
          <w:sz w:val="24"/>
          <w:highlight w:val="none"/>
        </w:rPr>
        <w:t>布的征集文件为准。</w:t>
      </w:r>
    </w:p>
    <w:p w14:paraId="05E1D4A3">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81" w:name="_Hlt26954848"/>
      <w:bookmarkEnd w:id="81"/>
      <w:bookmarkStart w:id="82" w:name="_Hlt26670486"/>
      <w:bookmarkEnd w:id="82"/>
      <w:bookmarkStart w:id="83" w:name="_Hlt26954731"/>
      <w:bookmarkEnd w:id="83"/>
      <w:bookmarkStart w:id="84" w:name="_Hlt26670360"/>
      <w:bookmarkEnd w:id="84"/>
      <w:bookmarkStart w:id="85" w:name="_Hlt26954852"/>
      <w:bookmarkEnd w:id="85"/>
      <w:bookmarkStart w:id="86" w:name="_Hlt26670482"/>
      <w:bookmarkEnd w:id="86"/>
      <w:bookmarkStart w:id="87" w:name="_Hlt26954846"/>
      <w:bookmarkEnd w:id="87"/>
      <w:bookmarkStart w:id="88" w:name="_Hlt26954739"/>
      <w:bookmarkEnd w:id="88"/>
      <w:bookmarkStart w:id="89" w:name="_Hlt26954838"/>
      <w:bookmarkEnd w:id="89"/>
      <w:bookmarkStart w:id="90" w:name="_Hlt26668975"/>
      <w:bookmarkEnd w:id="90"/>
      <w:bookmarkStart w:id="91" w:name="_Toc20823296"/>
      <w:bookmarkStart w:id="92" w:name="_Toc120614217"/>
      <w:bookmarkStart w:id="93" w:name="_Toc16938540"/>
      <w:bookmarkStart w:id="94" w:name="_Toc513029224"/>
      <w:r>
        <w:rPr>
          <w:rFonts w:hint="eastAsia" w:ascii="宋体" w:hAnsi="宋体" w:eastAsia="宋体" w:cs="宋体"/>
          <w:b/>
          <w:bCs/>
          <w:color w:val="000000" w:themeColor="text1"/>
          <w:sz w:val="24"/>
          <w:szCs w:val="24"/>
          <w:highlight w:val="none"/>
          <w14:textFill>
            <w14:solidFill>
              <w14:schemeClr w14:val="tx1"/>
            </w14:solidFill>
          </w14:textFill>
        </w:rPr>
        <w:t>11、与评审有关的其他资料</w:t>
      </w:r>
    </w:p>
    <w:p w14:paraId="55B421A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供应商可在响应文件中提供认为需要的其他技术文件或说明。</w:t>
      </w:r>
    </w:p>
    <w:p w14:paraId="2877235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12、服务承诺</w:t>
      </w:r>
    </w:p>
    <w:p w14:paraId="2BFEE70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w:t>
      </w:r>
      <w:r>
        <w:rPr>
          <w:rFonts w:hint="eastAsia" w:ascii="宋体" w:hAnsi="宋体" w:eastAsia="宋体" w:cs="宋体"/>
          <w:color w:val="000000" w:themeColor="text1"/>
          <w:sz w:val="24"/>
          <w:szCs w:val="24"/>
          <w:highlight w:val="none"/>
          <w:lang w:val="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需根据</w:t>
      </w:r>
      <w:r>
        <w:rPr>
          <w:rFonts w:hint="eastAsia" w:ascii="宋体" w:hAnsi="宋体" w:eastAsia="宋体" w:cs="宋体"/>
          <w:color w:val="000000" w:themeColor="text1"/>
          <w:sz w:val="24"/>
          <w:szCs w:val="24"/>
          <w:highlight w:val="none"/>
          <w:lang w:val="zh-CN"/>
          <w14:textFill>
            <w14:solidFill>
              <w14:schemeClr w14:val="tx1"/>
            </w14:solidFill>
          </w14:textFill>
        </w:rPr>
        <w:t>征集文件</w:t>
      </w:r>
      <w:r>
        <w:rPr>
          <w:rFonts w:hint="eastAsia" w:ascii="宋体" w:hAnsi="宋体" w:eastAsia="宋体" w:cs="宋体"/>
          <w:color w:val="000000" w:themeColor="text1"/>
          <w:sz w:val="24"/>
          <w:szCs w:val="24"/>
          <w:highlight w:val="none"/>
          <w14:textFill>
            <w14:solidFill>
              <w14:schemeClr w14:val="tx1"/>
            </w14:solidFill>
          </w14:textFill>
        </w:rPr>
        <w:t>要求提供有关售后服务的管理制度，售后服务机构的分布情况，售后服务人员的数量、素质、技术水平及售后服务的反应能力等。</w:t>
      </w:r>
    </w:p>
    <w:p w14:paraId="2D65C33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95" w:name="_Toc14577359"/>
      <w:bookmarkStart w:id="96" w:name="_Toc49090510"/>
      <w:r>
        <w:rPr>
          <w:rFonts w:hint="eastAsia" w:ascii="宋体" w:hAnsi="宋体" w:eastAsia="宋体" w:cs="宋体"/>
          <w:b/>
          <w:bCs/>
          <w:color w:val="000000" w:themeColor="text1"/>
          <w:sz w:val="24"/>
          <w:szCs w:val="24"/>
          <w:highlight w:val="none"/>
          <w14:textFill>
            <w14:solidFill>
              <w14:schemeClr w14:val="tx1"/>
            </w14:solidFill>
          </w14:textFill>
        </w:rPr>
        <w:t>13、响应函和报价一览表</w:t>
      </w:r>
    </w:p>
    <w:p w14:paraId="546DDC9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13.1供应商应按照征集文件中提供的格式完整、正确填写响应函、报价一览表。</w:t>
      </w:r>
      <w:bookmarkEnd w:id="95"/>
      <w:bookmarkEnd w:id="96"/>
    </w:p>
    <w:p w14:paraId="61123F7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97" w:name="_Toc49090511"/>
      <w:bookmarkStart w:id="98" w:name="_Toc14577360"/>
      <w:r>
        <w:rPr>
          <w:rFonts w:hint="eastAsia" w:ascii="宋体" w:hAnsi="宋体" w:eastAsia="宋体" w:cs="宋体"/>
          <w:b/>
          <w:bCs/>
          <w:color w:val="000000" w:themeColor="text1"/>
          <w:sz w:val="24"/>
          <w:szCs w:val="24"/>
          <w:highlight w:val="none"/>
          <w14:textFill>
            <w14:solidFill>
              <w14:schemeClr w14:val="tx1"/>
            </w14:solidFill>
          </w14:textFill>
        </w:rPr>
        <w:t>14、响应文件有效期</w:t>
      </w:r>
      <w:bookmarkEnd w:id="97"/>
      <w:bookmarkEnd w:id="98"/>
    </w:p>
    <w:p w14:paraId="1F9F1B0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14.1响应文件有效期为征集人规定的开标之日后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九十（90）天</w:t>
      </w:r>
      <w:r>
        <w:rPr>
          <w:rFonts w:hint="eastAsia" w:ascii="宋体" w:hAnsi="宋体" w:eastAsia="宋体" w:cs="宋体"/>
          <w:color w:val="000000" w:themeColor="text1"/>
          <w:sz w:val="24"/>
          <w:szCs w:val="24"/>
          <w:highlight w:val="none"/>
          <w14:textFill>
            <w14:solidFill>
              <w14:schemeClr w14:val="tx1"/>
            </w14:solidFill>
          </w14:textFill>
        </w:rPr>
        <w:t>。响应文件有效期比规定短的将被视为未实质性响应征集文件而予以拒绝。</w:t>
      </w:r>
    </w:p>
    <w:p w14:paraId="67A832C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15、响应文件有效期的延长</w:t>
      </w:r>
    </w:p>
    <w:p w14:paraId="1A17C0D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p>
    <w:bookmarkEnd w:id="91"/>
    <w:bookmarkEnd w:id="92"/>
    <w:bookmarkEnd w:id="93"/>
    <w:bookmarkEnd w:id="94"/>
    <w:p w14:paraId="3A013B9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四、响应文件的递交</w:t>
      </w:r>
    </w:p>
    <w:p w14:paraId="609B425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99" w:name="_Toc462564084"/>
      <w:bookmarkStart w:id="100" w:name="_Toc513029225"/>
      <w:bookmarkStart w:id="101" w:name="_Toc20823297"/>
      <w:bookmarkStart w:id="102" w:name="_Toc16938541"/>
      <w:r>
        <w:rPr>
          <w:rFonts w:hint="eastAsia" w:ascii="宋体" w:hAnsi="宋体" w:eastAsia="宋体" w:cs="宋体"/>
          <w:b/>
          <w:bCs/>
          <w:color w:val="000000" w:themeColor="text1"/>
          <w:sz w:val="24"/>
          <w:szCs w:val="24"/>
          <w:highlight w:val="none"/>
          <w14:textFill>
            <w14:solidFill>
              <w14:schemeClr w14:val="tx1"/>
            </w14:solidFill>
          </w14:textFill>
        </w:rPr>
        <w:t>16、电子响应文件</w:t>
      </w:r>
      <w:bookmarkEnd w:id="99"/>
      <w:bookmarkEnd w:id="100"/>
      <w:bookmarkEnd w:id="101"/>
      <w:bookmarkEnd w:id="102"/>
      <w:r>
        <w:rPr>
          <w:rFonts w:hint="eastAsia" w:ascii="宋体" w:hAnsi="宋体" w:eastAsia="宋体" w:cs="宋体"/>
          <w:b/>
          <w:bCs/>
          <w:color w:val="000000" w:themeColor="text1"/>
          <w:sz w:val="24"/>
          <w:szCs w:val="24"/>
          <w:highlight w:val="none"/>
          <w14:textFill>
            <w14:solidFill>
              <w14:schemeClr w14:val="tx1"/>
            </w14:solidFill>
          </w14:textFill>
        </w:rPr>
        <w:t>的递交</w:t>
      </w:r>
    </w:p>
    <w:p w14:paraId="52DD33B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16.1供应商应当按照《操作手册》规定，在响应文件提交截止时间前制作并上传电子响应文件。</w:t>
      </w:r>
      <w:bookmarkStart w:id="103" w:name="_Toc513029226"/>
      <w:bookmarkStart w:id="104" w:name="_Toc16938542"/>
      <w:bookmarkStart w:id="105" w:name="_Toc20823298"/>
    </w:p>
    <w:p w14:paraId="18870D1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w:t>
      </w:r>
      <w:bookmarkEnd w:id="103"/>
      <w:bookmarkEnd w:id="104"/>
      <w:bookmarkEnd w:id="105"/>
      <w:r>
        <w:rPr>
          <w:rFonts w:hint="eastAsia" w:ascii="宋体" w:hAnsi="宋体" w:eastAsia="宋体" w:cs="宋体"/>
          <w:b/>
          <w:bCs/>
          <w:color w:val="000000" w:themeColor="text1"/>
          <w:sz w:val="24"/>
          <w:szCs w:val="24"/>
          <w:highlight w:val="none"/>
          <w14:textFill>
            <w14:solidFill>
              <w14:schemeClr w14:val="tx1"/>
            </w14:solidFill>
          </w14:textFill>
        </w:rPr>
        <w:t>响应文件提交截止时间</w:t>
      </w:r>
    </w:p>
    <w:p w14:paraId="77EC13F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17.1供应商上传电子响应文件的时间不得迟于征集公告中规定的截止时间。</w:t>
      </w:r>
    </w:p>
    <w:p w14:paraId="023092A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供应商应充分考虑到网络环境、网络带宽等风险因素，如因供应商自身原因造成的电子响应文件上传不成功的按照本征集文件第二章第25.1.2条规定做无效响应处理。</w:t>
      </w:r>
    </w:p>
    <w:p w14:paraId="6EE53A3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17.2征集人可以按照规定，通过修改征集文件酌情延长截止日期，在此情况下，供应商的所有权利和义务以及供应商受制的截止日期均应以延长后新的截止日期为准。</w:t>
      </w:r>
    </w:p>
    <w:p w14:paraId="150D9DE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06" w:name="_Toc513029227"/>
      <w:bookmarkStart w:id="107" w:name="_Toc16938543"/>
      <w:bookmarkStart w:id="108" w:name="_Toc20823299"/>
      <w:r>
        <w:rPr>
          <w:rFonts w:hint="eastAsia" w:ascii="宋体" w:hAnsi="宋体" w:eastAsia="宋体" w:cs="宋体"/>
          <w:b/>
          <w:bCs/>
          <w:color w:val="000000" w:themeColor="text1"/>
          <w:sz w:val="24"/>
          <w:szCs w:val="24"/>
          <w:highlight w:val="none"/>
          <w14:textFill>
            <w14:solidFill>
              <w14:schemeClr w14:val="tx1"/>
            </w14:solidFill>
          </w14:textFill>
        </w:rPr>
        <w:t>18、</w:t>
      </w:r>
      <w:bookmarkEnd w:id="106"/>
      <w:bookmarkEnd w:id="107"/>
      <w:bookmarkEnd w:id="108"/>
      <w:r>
        <w:rPr>
          <w:rFonts w:hint="eastAsia" w:ascii="宋体" w:hAnsi="宋体" w:eastAsia="宋体" w:cs="宋体"/>
          <w:b/>
          <w:bCs/>
          <w:color w:val="000000" w:themeColor="text1"/>
          <w:sz w:val="24"/>
          <w:szCs w:val="24"/>
          <w:highlight w:val="none"/>
          <w14:textFill>
            <w14:solidFill>
              <w14:schemeClr w14:val="tx1"/>
            </w14:solidFill>
          </w14:textFill>
        </w:rPr>
        <w:t>响应文件的拒收</w:t>
      </w:r>
    </w:p>
    <w:p w14:paraId="5E02DBB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18.1征集人拒绝接收在其规定的响应文件提交截止时间后上传的任何响应文件。</w:t>
      </w:r>
    </w:p>
    <w:p w14:paraId="6C5A3D1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09" w:name="_Toc513029228"/>
      <w:bookmarkStart w:id="110" w:name="_Toc20823300"/>
      <w:bookmarkStart w:id="111" w:name="_Toc16938544"/>
      <w:r>
        <w:rPr>
          <w:rFonts w:hint="eastAsia" w:ascii="宋体" w:hAnsi="宋体" w:eastAsia="宋体" w:cs="宋体"/>
          <w:b/>
          <w:bCs/>
          <w:color w:val="000000" w:themeColor="text1"/>
          <w:sz w:val="24"/>
          <w:szCs w:val="24"/>
          <w:highlight w:val="none"/>
          <w14:textFill>
            <w14:solidFill>
              <w14:schemeClr w14:val="tx1"/>
            </w14:solidFill>
          </w14:textFill>
        </w:rPr>
        <w:t>19、响应文件的撤回和修改</w:t>
      </w:r>
      <w:bookmarkEnd w:id="109"/>
      <w:bookmarkEnd w:id="110"/>
      <w:bookmarkEnd w:id="111"/>
    </w:p>
    <w:p w14:paraId="623F5B6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19.1响应文件的撤回</w:t>
      </w:r>
    </w:p>
    <w:p w14:paraId="1B92D26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19.1.1电子响应文件的撤回</w:t>
      </w:r>
    </w:p>
    <w:p w14:paraId="15C628B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供应商可在响应文件提交截止时间前，撤回其电子响应文件，具体操作方法见《操作手册》。</w:t>
      </w:r>
    </w:p>
    <w:p w14:paraId="6E3A567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19.1.2供应商撤回电子响应文件，则认为其不再参与本项采购活动。</w:t>
      </w:r>
    </w:p>
    <w:p w14:paraId="697EE5D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19.2响应文件的修改</w:t>
      </w:r>
    </w:p>
    <w:p w14:paraId="79378C4D">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供应商可在响应文件提交截止时间前，对其电子响应文件进行修改，具体操作方法见《操作手册》。</w:t>
      </w:r>
    </w:p>
    <w:p w14:paraId="5D71BE2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19.3在响应文件提交截止时间之后，供应商不得对其电子响应文件作任何修改。</w:t>
      </w:r>
    </w:p>
    <w:p w14:paraId="25B6E31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19.4在响应文件提交截止时间至征集文件中规定的响应文件有效期满之间的这段时间内，供应商不得撤回其电子响应文件。</w:t>
      </w:r>
    </w:p>
    <w:p w14:paraId="58D5204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12" w:name="_Toc120614218"/>
      <w:bookmarkStart w:id="113" w:name="_Toc20823301"/>
      <w:bookmarkStart w:id="114" w:name="_Toc16938545"/>
      <w:bookmarkStart w:id="115" w:name="_Toc513029229"/>
      <w:r>
        <w:rPr>
          <w:rFonts w:hint="eastAsia" w:ascii="宋体" w:hAnsi="宋体" w:eastAsia="宋体" w:cs="宋体"/>
          <w:b/>
          <w:bCs/>
          <w:color w:val="000000" w:themeColor="text1"/>
          <w:sz w:val="24"/>
          <w:szCs w:val="24"/>
          <w:highlight w:val="none"/>
          <w14:textFill>
            <w14:solidFill>
              <w14:schemeClr w14:val="tx1"/>
            </w14:solidFill>
          </w14:textFill>
        </w:rPr>
        <w:t>五、响应文件的开启与</w:t>
      </w:r>
      <w:bookmarkEnd w:id="112"/>
      <w:bookmarkEnd w:id="113"/>
      <w:bookmarkEnd w:id="114"/>
      <w:bookmarkEnd w:id="115"/>
      <w:r>
        <w:rPr>
          <w:rFonts w:hint="eastAsia" w:ascii="宋体" w:hAnsi="宋体" w:eastAsia="宋体" w:cs="宋体"/>
          <w:b/>
          <w:bCs/>
          <w:color w:val="000000" w:themeColor="text1"/>
          <w:sz w:val="24"/>
          <w:szCs w:val="24"/>
          <w:highlight w:val="none"/>
          <w14:textFill>
            <w14:solidFill>
              <w14:schemeClr w14:val="tx1"/>
            </w14:solidFill>
          </w14:textFill>
        </w:rPr>
        <w:t>评审</w:t>
      </w:r>
    </w:p>
    <w:p w14:paraId="6A252E7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16" w:name="_Toc20823302"/>
      <w:bookmarkStart w:id="117" w:name="_Toc16938546"/>
      <w:bookmarkStart w:id="118" w:name="_Toc513029230"/>
      <w:r>
        <w:rPr>
          <w:rFonts w:hint="eastAsia" w:ascii="宋体" w:hAnsi="宋体" w:eastAsia="宋体" w:cs="宋体"/>
          <w:b/>
          <w:bCs/>
          <w:color w:val="000000" w:themeColor="text1"/>
          <w:sz w:val="24"/>
          <w:szCs w:val="24"/>
          <w:highlight w:val="none"/>
          <w14:textFill>
            <w14:solidFill>
              <w14:schemeClr w14:val="tx1"/>
            </w14:solidFill>
          </w14:textFill>
        </w:rPr>
        <w:t>20、</w:t>
      </w:r>
      <w:bookmarkEnd w:id="116"/>
      <w:bookmarkEnd w:id="117"/>
      <w:bookmarkEnd w:id="118"/>
      <w:r>
        <w:rPr>
          <w:rFonts w:hint="eastAsia" w:ascii="宋体" w:hAnsi="宋体" w:eastAsia="宋体" w:cs="宋体"/>
          <w:b/>
          <w:bCs/>
          <w:color w:val="000000" w:themeColor="text1"/>
          <w:sz w:val="24"/>
          <w:szCs w:val="24"/>
          <w:highlight w:val="none"/>
          <w14:textFill>
            <w14:solidFill>
              <w14:schemeClr w14:val="tx1"/>
            </w14:solidFill>
          </w14:textFill>
        </w:rPr>
        <w:t>响应文件的开启</w:t>
      </w:r>
    </w:p>
    <w:p w14:paraId="74F8AA8D">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20.1</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将在征集公告中规定的时间和地点组织开启响应文件。供应商应当按照《操作手册》规定，参加响应文件开启和在“苏采云”系统规定的时间内对电子响应文件进行解密。</w:t>
      </w:r>
    </w:p>
    <w:p w14:paraId="4537CCF3">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20.2响应文件开启仪式由</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组织,苏采云系统将自动公布各供应商的报价。</w:t>
      </w:r>
    </w:p>
    <w:p w14:paraId="3D5E4E9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20.3供应商在响应文件开启过程中涉及到的响应文件解密、结果确认等工作，应按照《操作手册》规定执行。</w:t>
      </w:r>
    </w:p>
    <w:p w14:paraId="2D4CD2F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20.4供应商如果对响应文件开启过程和开启记录有疑义，应当根据《操作手册》规定提出，如“苏采云”系统中《报价一览表》宣布后5分钟内未提出的，视同认可开启结果。</w:t>
      </w:r>
    </w:p>
    <w:p w14:paraId="4CFBF58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19" w:name="_Toc20823303"/>
      <w:bookmarkStart w:id="120" w:name="_Toc16938547"/>
      <w:bookmarkStart w:id="121" w:name="_Toc513029231"/>
      <w:r>
        <w:rPr>
          <w:rFonts w:hint="eastAsia" w:ascii="宋体" w:hAnsi="宋体" w:eastAsia="宋体" w:cs="宋体"/>
          <w:b/>
          <w:bCs/>
          <w:color w:val="000000" w:themeColor="text1"/>
          <w:sz w:val="24"/>
          <w:szCs w:val="24"/>
          <w:highlight w:val="none"/>
          <w14:textFill>
            <w14:solidFill>
              <w14:schemeClr w14:val="tx1"/>
            </w14:solidFill>
          </w14:textFill>
        </w:rPr>
        <w:t>21、评审小组</w:t>
      </w:r>
    </w:p>
    <w:p w14:paraId="0E16F24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21.1响应文件开启后，</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将立即组织评审小组进行项目评审。</w:t>
      </w:r>
    </w:p>
    <w:p w14:paraId="14B36D9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21.2评审小组由技术、经济等方面的专家组成，且人员构成符合政府采购有关规定。</w:t>
      </w:r>
    </w:p>
    <w:p w14:paraId="690AC11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21.3评审小组独立工作，负责评审所有响应文件并确定入围供应商。</w:t>
      </w:r>
    </w:p>
    <w:p w14:paraId="173B4E1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22、评审过程的保密与公正</w:t>
      </w:r>
      <w:bookmarkEnd w:id="119"/>
      <w:bookmarkEnd w:id="120"/>
      <w:bookmarkEnd w:id="121"/>
    </w:p>
    <w:p w14:paraId="1C575C3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22.1凡是与审查、澄清、评价和比较的有关资料以及授标建议等，</w:t>
      </w:r>
      <w:r>
        <w:rPr>
          <w:rFonts w:hint="eastAsia" w:ascii="宋体" w:hAnsi="宋体" w:cs="宋体"/>
          <w:color w:val="000000" w:themeColor="text1"/>
          <w:sz w:val="24"/>
          <w:szCs w:val="24"/>
          <w:highlight w:val="none"/>
          <w:lang w:eastAsia="zh-CN"/>
          <w14:textFill>
            <w14:solidFill>
              <w14:schemeClr w14:val="tx1"/>
            </w14:solidFill>
          </w14:textFill>
        </w:rPr>
        <w:t>评审小组成员、征集人</w:t>
      </w:r>
      <w:r>
        <w:rPr>
          <w:rFonts w:hint="eastAsia" w:ascii="宋体" w:hAnsi="宋体" w:eastAsia="宋体" w:cs="宋体"/>
          <w:color w:val="000000" w:themeColor="text1"/>
          <w:sz w:val="24"/>
          <w:szCs w:val="24"/>
          <w:highlight w:val="none"/>
          <w14:textFill>
            <w14:solidFill>
              <w14:schemeClr w14:val="tx1"/>
            </w14:solidFill>
          </w14:textFill>
        </w:rPr>
        <w:t>均不得向供应商或与评审工作无关的其他人员透露。</w:t>
      </w:r>
    </w:p>
    <w:p w14:paraId="6DCC6FD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22.2在评审过程中，供应商不得以任何行为影响评审过程，否则其响应文件将被作为无效响应文件。</w:t>
      </w:r>
    </w:p>
    <w:p w14:paraId="328F54C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33B95AF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22" w:name="_Toc16938548"/>
      <w:bookmarkStart w:id="123" w:name="_Toc513029232"/>
      <w:bookmarkStart w:id="124" w:name="_Toc20823304"/>
      <w:r>
        <w:rPr>
          <w:rFonts w:hint="eastAsia" w:ascii="宋体" w:hAnsi="宋体" w:eastAsia="宋体" w:cs="宋体"/>
          <w:b/>
          <w:bCs/>
          <w:color w:val="000000" w:themeColor="text1"/>
          <w:sz w:val="24"/>
          <w:szCs w:val="24"/>
          <w:highlight w:val="none"/>
          <w14:textFill>
            <w14:solidFill>
              <w14:schemeClr w14:val="tx1"/>
            </w14:solidFill>
          </w14:textFill>
        </w:rPr>
        <w:t>23、响应文件的澄清</w:t>
      </w:r>
      <w:bookmarkEnd w:id="122"/>
      <w:bookmarkEnd w:id="123"/>
      <w:bookmarkEnd w:id="124"/>
    </w:p>
    <w:p w14:paraId="7AC7BAF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23.1评审期间，对于响应文件中含义不明确、同类问题表述不一致或者有明显文字和计算错误的内容，评审小组将在苏采云系统中要求供应商作出必要的澄清、说明和补正。</w:t>
      </w:r>
    </w:p>
    <w:p w14:paraId="7198C2F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p>
    <w:p w14:paraId="5273F21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23.3供应商如未按规定做出澄清、说明和补正，其风险由供应商自行承担。</w:t>
      </w:r>
    </w:p>
    <w:p w14:paraId="3E7C241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25" w:name="_Toc513029233"/>
      <w:bookmarkStart w:id="126" w:name="_Toc16938549"/>
      <w:bookmarkStart w:id="127" w:name="_Toc20823305"/>
      <w:r>
        <w:rPr>
          <w:rFonts w:hint="eastAsia" w:ascii="宋体" w:hAnsi="宋体" w:eastAsia="宋体" w:cs="宋体"/>
          <w:b/>
          <w:bCs/>
          <w:color w:val="000000" w:themeColor="text1"/>
          <w:sz w:val="24"/>
          <w:szCs w:val="24"/>
          <w:highlight w:val="none"/>
          <w14:textFill>
            <w14:solidFill>
              <w14:schemeClr w14:val="tx1"/>
            </w14:solidFill>
          </w14:textFill>
        </w:rPr>
        <w:t>24、对响应文件的初审</w:t>
      </w:r>
      <w:bookmarkEnd w:id="125"/>
      <w:bookmarkEnd w:id="126"/>
      <w:bookmarkEnd w:id="127"/>
    </w:p>
    <w:p w14:paraId="791ED9B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24.1响应文件初审分为资格审查和符合性审查。</w:t>
      </w:r>
    </w:p>
    <w:p w14:paraId="3E56B74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24.1.1资格审查：依据法律法规和征集文件规定的资格要求对供应商的资格证明文件进行审查。</w:t>
      </w:r>
    </w:p>
    <w:p w14:paraId="05872AB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在进行资格审查的同时，</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将在“信用中国”网站（www.creditchina.gov.cn）查询供应商的信用记录，以确定供应商是否具备参加本次采购活动的资格。查询结果将以网页打印的形式留存并归档。</w:t>
      </w:r>
    </w:p>
    <w:p w14:paraId="4C7A428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24.1.2符合性审查：依据征集文件的规定，由评审小组从响应文件的有效性、完整性和对征集文件的响应程度进行审查，以确定是否对征集文件的实质性要求作出响应。</w:t>
      </w:r>
    </w:p>
    <w:p w14:paraId="7C32887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24.1.3未通过资格审查或符合性审查的供应商，征集人将在“苏采云”系统中告知未通过资格审查或符合性审查的原因，评审结束后，征集人将不再告知未通过资格审查或符合性审查的原因。</w:t>
      </w:r>
    </w:p>
    <w:p w14:paraId="5029820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24.2在详细评审之前，评审小组将首先审查每份响应文件是否实质性响应了征集文件的要求。实质性响应是与征集文件要求的全部条款、条件和规格相符，没有重大偏离或保留的响应。</w:t>
      </w:r>
    </w:p>
    <w:p w14:paraId="21E8D96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0143FC2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24.3如果响应文件实质上没有响应征集文件的要求，评审小组将予以拒绝，供应商不得通过修改或撤销不合要求的偏离或保留而使其响应文件成为实质性响应文件。</w:t>
      </w:r>
    </w:p>
    <w:p w14:paraId="2D857AB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24.4评审小组将允许修正响应文件中不构成重大偏离的、微小的、非正规的、不一致的或不规则的地方，但这些修改不能影响任何供应商相应的名次排列。</w:t>
      </w:r>
    </w:p>
    <w:p w14:paraId="2A24DB9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bookmarkStart w:id="128" w:name="_Toc513029234"/>
      <w:bookmarkStart w:id="129" w:name="_Toc16938550"/>
      <w:bookmarkStart w:id="130" w:name="_Toc20823306"/>
      <w:r>
        <w:rPr>
          <w:rFonts w:hint="eastAsia" w:ascii="宋体" w:hAnsi="宋体" w:eastAsia="宋体" w:cs="宋体"/>
          <w:color w:val="000000" w:themeColor="text1"/>
          <w:sz w:val="24"/>
          <w:szCs w:val="24"/>
          <w:highlight w:val="none"/>
          <w14:textFill>
            <w14:solidFill>
              <w14:schemeClr w14:val="tx1"/>
            </w14:solidFill>
          </w14:textFill>
        </w:rPr>
        <w:t>5供应商在响应文件开启及项目评审全过程中应保持通讯畅通，及时登录“苏采云”系统查阅、答复相关信息，并安排专人与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及评审小组联系。</w:t>
      </w:r>
    </w:p>
    <w:p w14:paraId="01311D0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25、</w:t>
      </w:r>
      <w:bookmarkEnd w:id="128"/>
      <w:bookmarkEnd w:id="129"/>
      <w:bookmarkEnd w:id="130"/>
      <w:r>
        <w:rPr>
          <w:rFonts w:hint="eastAsia" w:ascii="宋体" w:hAnsi="宋体" w:eastAsia="宋体" w:cs="宋体"/>
          <w:b/>
          <w:bCs/>
          <w:color w:val="000000" w:themeColor="text1"/>
          <w:sz w:val="24"/>
          <w:szCs w:val="24"/>
          <w:highlight w:val="none"/>
          <w14:textFill>
            <w14:solidFill>
              <w14:schemeClr w14:val="tx1"/>
            </w14:solidFill>
          </w14:textFill>
        </w:rPr>
        <w:t>无效响应条款和采购活动终止条款</w:t>
      </w:r>
    </w:p>
    <w:p w14:paraId="08B979D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31" w:name="_Toc16938551"/>
      <w:bookmarkStart w:id="132" w:name="_Toc513029235"/>
      <w:bookmarkStart w:id="133" w:name="_Toc120614219"/>
      <w:bookmarkStart w:id="134" w:name="_Toc20823307"/>
      <w:r>
        <w:rPr>
          <w:rFonts w:hint="eastAsia" w:ascii="宋体" w:hAnsi="宋体" w:eastAsia="宋体" w:cs="宋体"/>
          <w:color w:val="000000" w:themeColor="text1"/>
          <w:sz w:val="24"/>
          <w:szCs w:val="24"/>
          <w:highlight w:val="none"/>
          <w14:textFill>
            <w14:solidFill>
              <w14:schemeClr w14:val="tx1"/>
            </w14:solidFill>
          </w14:textFill>
        </w:rPr>
        <w:t>25.1无效响应条款</w:t>
      </w:r>
    </w:p>
    <w:p w14:paraId="0E84466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25.1.1供应商在“苏采云”系统规定的时间内未成功解密电子响应文件的。</w:t>
      </w:r>
    </w:p>
    <w:p w14:paraId="28B940A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25.1.2 供应商未按照征集文件要求上传电子响应文件的。</w:t>
      </w:r>
    </w:p>
    <w:p w14:paraId="136250E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25.1.3供应商同一分包提交两个（含两个）以上不同的报价的。</w:t>
      </w:r>
    </w:p>
    <w:p w14:paraId="54EAAAC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25.1.4供应商不具备征集文件中规定资格要求的。</w:t>
      </w:r>
    </w:p>
    <w:p w14:paraId="3AAA5297">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25.1.5供应商未通过符合性审查的。</w:t>
      </w:r>
    </w:p>
    <w:p w14:paraId="51BC473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25.1.6不符合征集文件中规定的实质性要求和条件的。</w:t>
      </w:r>
    </w:p>
    <w:p w14:paraId="2247A82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2301CC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25.1.8 响应文件含有征集人不能接受的附加条件的。</w:t>
      </w:r>
    </w:p>
    <w:p w14:paraId="0131EEE0">
      <w:pPr>
        <w:keepNext w:val="0"/>
        <w:keepLines w:val="0"/>
        <w:pageBreakBefore w:val="0"/>
        <w:widowControl w:val="0"/>
        <w:spacing w:line="500" w:lineRule="exact"/>
        <w:ind w:firstLine="42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9投标人不能证明其报价合理性的，评标委员会应当将其作为无效投标处理。</w:t>
      </w:r>
    </w:p>
    <w:p w14:paraId="68B5DF1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评审过程中出现下列情形之一的，评审委员会应当启动异常低价投标审查程序：</w:t>
      </w:r>
    </w:p>
    <w:p w14:paraId="60FAA8B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35" w:name="OLE_LINK56"/>
      <w:bookmarkStart w:id="136" w:name="OLE_LINK57"/>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投标报价低于采购项目最高限价45%的，即</w:t>
      </w:r>
      <w:r>
        <w:rPr>
          <w:rFonts w:hint="eastAsia" w:ascii="宋体" w:hAnsi="宋体" w:eastAsia="宋体" w:cs="宋体"/>
          <w:color w:val="000000"/>
          <w:sz w:val="24"/>
          <w:szCs w:val="24"/>
          <w:highlight w:val="none"/>
          <w:lang w:val="en-US" w:eastAsia="zh-CN" w:bidi="ar-SA"/>
        </w:rPr>
        <w:t>投标报价&lt;采购项目最高限价×45%</w:t>
      </w:r>
      <w:r>
        <w:rPr>
          <w:rFonts w:hint="eastAsia" w:ascii="宋体" w:hAnsi="宋体" w:eastAsia="宋体" w:cs="宋体"/>
          <w:color w:val="000000" w:themeColor="text1"/>
          <w:sz w:val="24"/>
          <w:szCs w:val="24"/>
          <w:highlight w:val="none"/>
          <w14:textFill>
            <w14:solidFill>
              <w14:schemeClr w14:val="tx1"/>
            </w14:solidFill>
          </w14:textFill>
        </w:rPr>
        <w:t>；</w:t>
      </w:r>
    </w:p>
    <w:p w14:paraId="77AC945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评审委员会认定的供应商报价过低、有可能影响产品质量或者不能诚信履约的其他情形。</w:t>
      </w:r>
      <w:bookmarkEnd w:id="135"/>
      <w:bookmarkEnd w:id="136"/>
    </w:p>
    <w:p w14:paraId="7607168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71C60E2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p>
    <w:p w14:paraId="13A0740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响应文件未按照征集文件要求加盖电子签章。</w:t>
      </w:r>
    </w:p>
    <w:p w14:paraId="38E9179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其他法律、法规及本征集文件规定的属无效响应的情形。</w:t>
      </w:r>
    </w:p>
    <w:p w14:paraId="001E916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25.2采购活动终止条款</w:t>
      </w:r>
    </w:p>
    <w:p w14:paraId="1E6BAD63">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25.2.1出现影响采购公正的违法、违规行为。</w:t>
      </w:r>
    </w:p>
    <w:p w14:paraId="6262D48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25.2.2因重大变故，采购任务取消的。</w:t>
      </w:r>
    </w:p>
    <w:p w14:paraId="5E9C2D8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25.2.3评审小组认定征集文件存在歧义、重大缺陷导致评审工作无法进行。</w:t>
      </w:r>
    </w:p>
    <w:p w14:paraId="15FEDBC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25.2.4 因苏采云系统系统故障原因造成响应文件开启不成功的。</w:t>
      </w:r>
    </w:p>
    <w:p w14:paraId="2F11771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25.2.5 提交响应文件和通过资格审查、符合性审查的供应商数量少于2家。</w:t>
      </w:r>
    </w:p>
    <w:p w14:paraId="4FF9F1FB">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w:t>
      </w:r>
      <w:bookmarkEnd w:id="131"/>
      <w:bookmarkEnd w:id="132"/>
      <w:bookmarkEnd w:id="133"/>
      <w:bookmarkEnd w:id="134"/>
      <w:r>
        <w:rPr>
          <w:rFonts w:hint="eastAsia" w:ascii="宋体" w:hAnsi="宋体" w:eastAsia="宋体" w:cs="宋体"/>
          <w:b/>
          <w:bCs/>
          <w:color w:val="000000" w:themeColor="text1"/>
          <w:sz w:val="24"/>
          <w:szCs w:val="24"/>
          <w:highlight w:val="none"/>
          <w14:textFill>
            <w14:solidFill>
              <w14:schemeClr w14:val="tx1"/>
            </w14:solidFill>
          </w14:textFill>
        </w:rPr>
        <w:t>入围</w:t>
      </w:r>
    </w:p>
    <w:p w14:paraId="259E860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37" w:name="_Toc513029238"/>
      <w:bookmarkStart w:id="138" w:name="_Toc20823310"/>
      <w:bookmarkStart w:id="139" w:name="_Toc16938554"/>
      <w:r>
        <w:rPr>
          <w:rFonts w:hint="eastAsia" w:ascii="宋体" w:hAnsi="宋体" w:eastAsia="宋体" w:cs="宋体"/>
          <w:b/>
          <w:bCs/>
          <w:color w:val="000000" w:themeColor="text1"/>
          <w:sz w:val="24"/>
          <w:szCs w:val="24"/>
          <w:highlight w:val="none"/>
          <w14:textFill>
            <w14:solidFill>
              <w14:schemeClr w14:val="tx1"/>
            </w14:solidFill>
          </w14:textFill>
        </w:rPr>
        <w:t>26、</w:t>
      </w:r>
      <w:bookmarkEnd w:id="137"/>
      <w:r>
        <w:rPr>
          <w:rFonts w:hint="eastAsia" w:ascii="宋体" w:hAnsi="宋体" w:eastAsia="宋体" w:cs="宋体"/>
          <w:b/>
          <w:bCs/>
          <w:color w:val="000000" w:themeColor="text1"/>
          <w:sz w:val="24"/>
          <w:szCs w:val="24"/>
          <w:highlight w:val="none"/>
          <w14:textFill>
            <w14:solidFill>
              <w14:schemeClr w14:val="tx1"/>
            </w14:solidFill>
          </w14:textFill>
        </w:rPr>
        <w:t>确定</w:t>
      </w:r>
      <w:bookmarkEnd w:id="138"/>
      <w:bookmarkEnd w:id="139"/>
      <w:r>
        <w:rPr>
          <w:rFonts w:hint="eastAsia" w:ascii="宋体" w:hAnsi="宋体" w:eastAsia="宋体" w:cs="宋体"/>
          <w:b/>
          <w:bCs/>
          <w:color w:val="000000" w:themeColor="text1"/>
          <w:sz w:val="24"/>
          <w:szCs w:val="24"/>
          <w:highlight w:val="none"/>
          <w14:textFill>
            <w14:solidFill>
              <w14:schemeClr w14:val="tx1"/>
            </w14:solidFill>
          </w14:textFill>
        </w:rPr>
        <w:t>入围供应商</w:t>
      </w:r>
    </w:p>
    <w:p w14:paraId="0308417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26.1入围供应商的选取原则和数量见征集文件第五章规定。</w:t>
      </w:r>
    </w:p>
    <w:p w14:paraId="092B2E63">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26.2</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将在“中国政府采购网”、“江苏政府采购网”、“盐城市政府采购网”发布“入围结果公告”，公告期限为1个工作日。</w:t>
      </w:r>
    </w:p>
    <w:p w14:paraId="52A99ED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26.3入围供应商有下列情形之一，尚未签订框架协议的，取消其入围资格；已经签订框架协议的，解除与其签订的框架协议：</w:t>
      </w:r>
    </w:p>
    <w:p w14:paraId="38844DA4">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26.3.1恶意串通谋取入围或者合同成交的。</w:t>
      </w:r>
    </w:p>
    <w:p w14:paraId="13F1BCC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26.3.2提供虚假材料谋取入围或者合同成交的。</w:t>
      </w:r>
    </w:p>
    <w:p w14:paraId="721BC35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26.3.3无正当理由拒不接受合同授予的。</w:t>
      </w:r>
    </w:p>
    <w:p w14:paraId="66B2978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26.3.4不履行合同义务或者履行合同义务不符合约定，经采购人请求履行后仍不履行或者仍未按约定履行的。</w:t>
      </w:r>
    </w:p>
    <w:p w14:paraId="2AAF6F7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26.3.5框架协议有效期内，因违法行为被禁止或限制参加政府采购活动的。</w:t>
      </w:r>
    </w:p>
    <w:p w14:paraId="09287EE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26.3.6框架协议约定的其他情形。</w:t>
      </w:r>
    </w:p>
    <w:p w14:paraId="75B1C17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26.3.7被取消入围资格或者被解除框架协议的供应商不得参加同一封闭式框架协议补充征集。</w:t>
      </w:r>
    </w:p>
    <w:p w14:paraId="5FC6952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40" w:name="_Toc200451960"/>
      <w:r>
        <w:rPr>
          <w:rFonts w:hint="eastAsia" w:ascii="宋体" w:hAnsi="宋体" w:eastAsia="宋体" w:cs="宋体"/>
          <w:b/>
          <w:bCs/>
          <w:color w:val="000000" w:themeColor="text1"/>
          <w:sz w:val="24"/>
          <w:szCs w:val="24"/>
          <w:highlight w:val="none"/>
          <w14:textFill>
            <w14:solidFill>
              <w14:schemeClr w14:val="tx1"/>
            </w14:solidFill>
          </w14:textFill>
        </w:rPr>
        <w:t>27、质疑处理</w:t>
      </w:r>
      <w:bookmarkEnd w:id="140"/>
    </w:p>
    <w:p w14:paraId="670C1901">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27.1提出质疑的供应商应当是参与所质疑封闭式框架协议项目采购活动的供应商。潜在供应商依法获取其可质疑的征集文件的，可以对征集文件提出质疑。</w:t>
      </w:r>
    </w:p>
    <w:p w14:paraId="4430547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27.2供应商认为征集文件、采购过程和入围结果使自己的权益受到损害的，可以在知道或应知其权益受到损害之日起七个工作日内，以书面形式向征集人提出质疑。上述应知其权益受到损害之日，是指：</w:t>
      </w:r>
    </w:p>
    <w:p w14:paraId="0F21D8F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27.2.1对可以质疑的征集文件提出质疑的，为收到征集文件之日或者征集文件公告期限届满之日；</w:t>
      </w:r>
    </w:p>
    <w:p w14:paraId="73D4C68D">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27.2.2对采购过程提出质疑的，为各采购程序环节结束之日；</w:t>
      </w:r>
    </w:p>
    <w:p w14:paraId="23FD61E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27.2.3对入围结果提出质疑的，为入围结果公告期限届满之日。</w:t>
      </w:r>
    </w:p>
    <w:p w14:paraId="284EBAD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供应商应当在法定质疑期内一次性提出针对同一征集程序环节的质疑。供应商如在法定期限内对同一征集程序环节提出多次质疑的，征集人将只对供应商第一次质疑作出答复。</w:t>
      </w:r>
    </w:p>
    <w:p w14:paraId="45A7BCD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27.3质疑函必须按照本征集文件中《质疑函范本》要求的格式和内容进行填写。</w:t>
      </w:r>
    </w:p>
    <w:p w14:paraId="72AB0AB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27.4征集人只接收以纸质原件形式送达的质疑,不接受未填写快递运单的快件。</w:t>
      </w:r>
    </w:p>
    <w:p w14:paraId="231BA87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27.5以下情形的质疑不予受理</w:t>
      </w:r>
    </w:p>
    <w:p w14:paraId="7869E52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27.5.1内容不符合《政府采购质疑和投诉办法》第十二条规定的质疑。</w:t>
      </w:r>
    </w:p>
    <w:p w14:paraId="691ECAF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27.5.2超出政府采购法定期限的质疑。</w:t>
      </w:r>
    </w:p>
    <w:p w14:paraId="5FF847AD">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27.5.3以传真、电子邮件等方式递交的非原件形式的质疑。</w:t>
      </w:r>
    </w:p>
    <w:p w14:paraId="433B1490">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27.5.4未参加采购活动的供应商或在采购活动中自身权益未受到损害的供应商所提出的质疑。</w:t>
      </w:r>
    </w:p>
    <w:p w14:paraId="57D9820D">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p>
    <w:p w14:paraId="764571A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28、入围通知书</w:t>
      </w:r>
    </w:p>
    <w:p w14:paraId="52012D8C">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13588BA2">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和入围供应商均具有法律效力。入围通知书发出后，入围供应商无正当理由，不得主动放弃入围资格或者退出框架协议，否则应当依法承担法律责任。</w:t>
      </w:r>
    </w:p>
    <w:p w14:paraId="2805CA15">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41" w:name="_Toc120614220"/>
      <w:bookmarkStart w:id="142" w:name="_Toc16938552"/>
      <w:bookmarkStart w:id="143" w:name="_Toc513029236"/>
      <w:bookmarkStart w:id="144" w:name="_Toc20823308"/>
      <w:r>
        <w:rPr>
          <w:rFonts w:hint="eastAsia" w:ascii="宋体" w:hAnsi="宋体" w:eastAsia="宋体" w:cs="宋体"/>
          <w:b/>
          <w:bCs/>
          <w:color w:val="000000" w:themeColor="text1"/>
          <w:sz w:val="24"/>
          <w:szCs w:val="24"/>
          <w:highlight w:val="none"/>
          <w14:textFill>
            <w14:solidFill>
              <w14:schemeClr w14:val="tx1"/>
            </w14:solidFill>
          </w14:textFill>
        </w:rPr>
        <w:t>七、</w:t>
      </w:r>
      <w:bookmarkEnd w:id="141"/>
      <w:r>
        <w:rPr>
          <w:rFonts w:hint="eastAsia" w:ascii="宋体" w:hAnsi="宋体" w:eastAsia="宋体" w:cs="宋体"/>
          <w:b/>
          <w:bCs/>
          <w:color w:val="000000" w:themeColor="text1"/>
          <w:sz w:val="24"/>
          <w:szCs w:val="24"/>
          <w:highlight w:val="none"/>
          <w14:textFill>
            <w14:solidFill>
              <w14:schemeClr w14:val="tx1"/>
            </w14:solidFill>
          </w14:textFill>
        </w:rPr>
        <w:t>签订框架协议</w:t>
      </w:r>
      <w:bookmarkEnd w:id="142"/>
      <w:bookmarkEnd w:id="143"/>
      <w:bookmarkEnd w:id="144"/>
    </w:p>
    <w:p w14:paraId="3D8BCDC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bookmarkStart w:id="145" w:name="_Toc513029237"/>
      <w:bookmarkStart w:id="146" w:name="_Toc16938553"/>
      <w:bookmarkStart w:id="147" w:name="_Toc20823309"/>
      <w:r>
        <w:rPr>
          <w:rFonts w:hint="eastAsia" w:ascii="宋体" w:hAnsi="宋体" w:eastAsia="宋体" w:cs="宋体"/>
          <w:b/>
          <w:bCs/>
          <w:color w:val="000000" w:themeColor="text1"/>
          <w:sz w:val="24"/>
          <w:szCs w:val="24"/>
          <w:highlight w:val="none"/>
          <w14:textFill>
            <w14:solidFill>
              <w14:schemeClr w14:val="tx1"/>
            </w14:solidFill>
          </w14:textFill>
        </w:rPr>
        <w:t>29、签订框架协议</w:t>
      </w:r>
    </w:p>
    <w:p w14:paraId="4B3EEC0E">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29.l征集人在入围通知书发出之日起30日内和入围供应商签订电子框架协议，入围供应商在接到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征集人</w:t>
      </w:r>
      <w:r>
        <w:rPr>
          <w:rFonts w:hint="eastAsia" w:ascii="宋体" w:hAnsi="宋体" w:eastAsia="宋体" w:cs="宋体"/>
          <w:color w:val="000000" w:themeColor="text1"/>
          <w:sz w:val="24"/>
          <w:szCs w:val="24"/>
          <w:highlight w:val="none"/>
          <w14:textFill>
            <w14:solidFill>
              <w14:schemeClr w14:val="tx1"/>
            </w14:solidFill>
          </w14:textFill>
        </w:rPr>
        <w:t>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1EB1A5B9">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29.2征集文件、入围供应商的响应文件及评审过程中有关澄清、承诺文件均应作为框架协议的附件。</w:t>
      </w:r>
    </w:p>
    <w:p w14:paraId="54E1CE16">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45"/>
      <w:bookmarkEnd w:id="146"/>
      <w:bookmarkEnd w:id="147"/>
    </w:p>
    <w:p w14:paraId="40E52A2A">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八、入围供应商的清退和补充规则</w:t>
      </w:r>
    </w:p>
    <w:p w14:paraId="7EFD9E08">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p>
    <w:p w14:paraId="5642E45F">
      <w:pPr>
        <w:keepNext w:val="0"/>
        <w:keepLines w:val="0"/>
        <w:pageBreakBefore w:val="0"/>
        <w:widowControl w:val="0"/>
        <w:spacing w:line="50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补充征集遵守原框架协议的有效期</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补充征集期间，原框架协议继续履行。</w:t>
      </w:r>
    </w:p>
    <w:p w14:paraId="1968CB21">
      <w:pPr>
        <w:pStyle w:val="6"/>
        <w:spacing w:before="145" w:after="145" w:line="360" w:lineRule="auto"/>
        <w:ind w:firstLine="643"/>
        <w:rPr>
          <w:rFonts w:hint="eastAsia"/>
          <w:highlight w:val="none"/>
          <w:lang w:val="en-US" w:eastAsia="zh-CN"/>
        </w:rPr>
      </w:pPr>
      <w:r>
        <w:rPr>
          <w:rFonts w:hint="eastAsia"/>
          <w:highlight w:val="none"/>
          <w:lang w:val="en-US" w:eastAsia="zh-CN"/>
        </w:rPr>
        <w:t>九、反馈和评价</w:t>
      </w:r>
    </w:p>
    <w:p w14:paraId="7D385F66">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1</w:t>
      </w:r>
      <w:r>
        <w:rPr>
          <w:rFonts w:hint="eastAsia" w:ascii="宋体" w:hAnsi="宋体" w:eastAsiaTheme="minorEastAsia" w:cstheme="minorBidi"/>
          <w:b w:val="0"/>
          <w:bCs/>
          <w:sz w:val="24"/>
          <w:szCs w:val="24"/>
          <w:highlight w:val="none"/>
          <w:lang w:val="en-US" w:eastAsia="zh-CN" w:bidi="ar-SA"/>
        </w:rPr>
        <w:t>.1 采购中心将建立用户反馈和评价机制，接受采购人对入围供应商履行框架协议和采购合同情况的反馈与评价，并将用户反馈和评价情况在”苏采云”系统中向采购人公开，作为第二阶段直接选定成交供应商的参考。</w:t>
      </w:r>
    </w:p>
    <w:p w14:paraId="01784303">
      <w:pPr>
        <w:spacing w:line="500" w:lineRule="exact"/>
        <w:ind w:firstLine="60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lang w:val="en-US" w:eastAsia="zh-CN"/>
        </w:rPr>
        <w:t>1</w:t>
      </w:r>
      <w:r>
        <w:rPr>
          <w:rFonts w:ascii="宋体" w:hAnsi="宋体"/>
          <w:sz w:val="24"/>
          <w:szCs w:val="24"/>
          <w:highlight w:val="none"/>
        </w:rPr>
        <w:t>.2 入围供应商可以委托一家或者</w:t>
      </w:r>
      <w:r>
        <w:rPr>
          <w:rFonts w:hint="eastAsia" w:ascii="宋体" w:hAnsi="宋体"/>
          <w:sz w:val="24"/>
          <w:szCs w:val="24"/>
          <w:highlight w:val="none"/>
        </w:rPr>
        <w:t>授权分支机构</w:t>
      </w:r>
      <w:r>
        <w:rPr>
          <w:rFonts w:ascii="宋体" w:hAnsi="宋体"/>
          <w:sz w:val="24"/>
          <w:szCs w:val="24"/>
          <w:highlight w:val="none"/>
        </w:rPr>
        <w:t>，按照框架协议约定接受采购人合同授予，并履行采购合同。</w:t>
      </w:r>
    </w:p>
    <w:p w14:paraId="4A7979BF">
      <w:pPr>
        <w:pageBreakBefore w:val="0"/>
        <w:widowControl w:val="0"/>
        <w:spacing w:line="400" w:lineRule="exact"/>
        <w:ind w:firstLine="643"/>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十、政府采购政策功能落实</w:t>
      </w:r>
    </w:p>
    <w:p w14:paraId="6477CE77">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.1政府采购线上合同信用融资政策</w:t>
      </w:r>
    </w:p>
    <w:p w14:paraId="46417E4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266EFE7">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.2进口产品</w:t>
      </w:r>
    </w:p>
    <w:p w14:paraId="23539EB0">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DD2548F">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cstheme="minorBidi"/>
          <w:b w:val="0"/>
          <w:bCs/>
          <w:sz w:val="24"/>
          <w:szCs w:val="24"/>
          <w:highlight w:val="none"/>
          <w:lang w:val="en-US" w:eastAsia="zh-CN" w:bidi="ar-SA"/>
        </w:rPr>
        <w:t>32</w:t>
      </w:r>
      <w:r>
        <w:rPr>
          <w:rFonts w:hint="eastAsia" w:ascii="宋体" w:hAnsi="宋体" w:eastAsiaTheme="minorEastAsia" w:cstheme="minorBidi"/>
          <w:b w:val="0"/>
          <w:bCs/>
          <w:sz w:val="24"/>
          <w:szCs w:val="24"/>
          <w:highlight w:val="none"/>
          <w:lang w:val="en-US" w:eastAsia="zh-CN" w:bidi="ar-SA"/>
        </w:rPr>
        <w:t>.3中小企业、监狱企业及残疾人福利性单位</w:t>
      </w:r>
    </w:p>
    <w:p w14:paraId="5A88D4B0">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.3.1中小企业定义：</w:t>
      </w:r>
    </w:p>
    <w:p w14:paraId="3472962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p>
    <w:p w14:paraId="5CCA8DC6">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.3.2供应商提供的货物、工程或者服务符合下列情形的，享受中小企业扶持政策：</w:t>
      </w:r>
    </w:p>
    <w:p w14:paraId="2EB7A733">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.3.2.1在货物采购项目中，货物由中小企业制造，即货物由中小企业生产且使用该中小企业商号或者注册商标；</w:t>
      </w:r>
    </w:p>
    <w:p w14:paraId="67CF4029">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.3.2.2在工程采购项目中，工程由中小企业承建，即工程施工单位为中小企业；</w:t>
      </w:r>
    </w:p>
    <w:p w14:paraId="2BDE20B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.3.2.3在服务采购项目中，服务由中小企业承接，即提供服务的人员为中小企业依照《中华人民共和国劳动合同法》订立劳动合同的从业人员。</w:t>
      </w:r>
    </w:p>
    <w:p w14:paraId="596BD47A">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.3.3在货物采购项目中，供应商提供的货物既有中小企业制造货物，也有大型企业制造货物的，不享受中小企业扶持政策。</w:t>
      </w:r>
    </w:p>
    <w:p w14:paraId="621A3EA2">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.3.4以联合体形式参加政府采购活动，联合体各方均为中小企业的，联合体视同中小企业。其中，联合体各方均为小微企业的，联合体视同小微企业。</w:t>
      </w:r>
    </w:p>
    <w:p w14:paraId="6711979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w:t>
      </w:r>
      <w:r>
        <w:rPr>
          <w:rFonts w:hint="eastAsia" w:ascii="宋体" w:hAnsi="宋体" w:cstheme="minorBidi"/>
          <w:b w:val="0"/>
          <w:bCs/>
          <w:sz w:val="24"/>
          <w:szCs w:val="24"/>
          <w:highlight w:val="none"/>
          <w:lang w:val="en-US" w:eastAsia="zh-CN" w:bidi="ar-SA"/>
        </w:rPr>
        <w:t>。</w:t>
      </w:r>
    </w:p>
    <w:p w14:paraId="0D88A85E">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cstheme="minorBidi"/>
          <w:b w:val="0"/>
          <w:bCs/>
          <w:sz w:val="24"/>
          <w:szCs w:val="24"/>
          <w:highlight w:val="none"/>
          <w:lang w:val="en-US" w:eastAsia="zh-CN" w:bidi="ar-SA"/>
        </w:rPr>
        <w:t>32</w:t>
      </w:r>
      <w:r>
        <w:rPr>
          <w:rFonts w:hint="eastAsia" w:ascii="宋体" w:hAnsi="宋体" w:eastAsiaTheme="minorEastAsia" w:cstheme="minorBidi"/>
          <w:b w:val="0"/>
          <w:bCs/>
          <w:sz w:val="24"/>
          <w:szCs w:val="24"/>
          <w:highlight w:val="none"/>
          <w:lang w:val="en-US" w:eastAsia="zh-CN" w:bidi="ar-SA"/>
        </w:rPr>
        <w:t>.3.6残疾人福利单位定义：享受政府采购支持政策的残疾人福利性单位应当同时满足以下条件：</w:t>
      </w:r>
    </w:p>
    <w:p w14:paraId="0149AED1">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.3.6.1安置的残疾人占本单位在职职工人数的比例不低于25%（含25%），并且安置的残疾人人数不少于10 人（含10 人）；</w:t>
      </w:r>
    </w:p>
    <w:p w14:paraId="0C1D372A">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.3.6.2依法与安置的每位残疾人签订了一年以上（含一年）的劳动合同或服务协议；</w:t>
      </w:r>
    </w:p>
    <w:p w14:paraId="5F3A222C">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.3.6.3为安置的每位残疾人按月足额缴纳了基本养老保险、基本医疗保险、失业保险、工伤保险和生育保险等社会保险费；</w:t>
      </w:r>
    </w:p>
    <w:p w14:paraId="0A6AC2FF">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.3.6.4通过银行等金融机构向安置的每位残疾人，按月支付了不低于单位所在区县适用的经省级人民政府批准的月最低工资标准的工资；</w:t>
      </w:r>
    </w:p>
    <w:p w14:paraId="7898E8B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.3.6.5提供本单位制造的货物、承担的工程或者服务（以下简称产品），或者提供其他残疾人福利性单位制造的货物（不包括使用非残疾人福利性单位注册商标的货物）；</w:t>
      </w:r>
    </w:p>
    <w:p w14:paraId="354EB190">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4820DA7">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.3.7本项目是否专门面向中小企业预留采购份额见第一章《参加征集活动的邀请》。</w:t>
      </w:r>
    </w:p>
    <w:p w14:paraId="02509E9E">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.3.8采购标的对应的中小企业划分标准所属行业见第四章《采购需求》。</w:t>
      </w:r>
    </w:p>
    <w:p w14:paraId="52652307">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2</w:t>
      </w:r>
      <w:r>
        <w:rPr>
          <w:rFonts w:hint="eastAsia" w:ascii="宋体" w:hAnsi="宋体" w:eastAsiaTheme="minorEastAsia" w:cstheme="minorBidi"/>
          <w:b w:val="0"/>
          <w:bCs/>
          <w:sz w:val="24"/>
          <w:szCs w:val="24"/>
          <w:highlight w:val="none"/>
          <w:lang w:val="en-US" w:eastAsia="zh-CN" w:bidi="ar-SA"/>
        </w:rPr>
        <w:t>.3.9小微企业价格评审优惠的政策：见第五章《评标方法和评标标准》。</w:t>
      </w:r>
    </w:p>
    <w:p w14:paraId="25AA5762">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.4政府采购节能产品、环境标志产品</w:t>
      </w:r>
    </w:p>
    <w:p w14:paraId="4D720C4E">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37C162E">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B76C775">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.5绿色包装</w:t>
      </w:r>
    </w:p>
    <w:p w14:paraId="1CBB6879">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64C071">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.6政府采购创新产品</w:t>
      </w:r>
    </w:p>
    <w:p w14:paraId="2964569A">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采购人优先采购各级政府部门公开发布的有效期内的创新产品、创新服务、首台套、首购首用等《目录》的创新产品。</w:t>
      </w:r>
    </w:p>
    <w:p w14:paraId="2085EA03">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 xml:space="preserve">.7绿色数据中心政策 </w:t>
      </w:r>
    </w:p>
    <w:p w14:paraId="0EF8239E">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F872970">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.8履约保证金政策</w:t>
      </w:r>
    </w:p>
    <w:p w14:paraId="3A554700">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确需收取履约保证金的，履约保证金的缴纳形式：</w:t>
      </w:r>
    </w:p>
    <w:p w14:paraId="58FD0733">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BE6854A">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28B4676D">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履约保证金金额不得超过合同金额的10%，采购人对第三方信用服务机构依据标准规范评定为AA级及以上的政府采购供应商（需在签订采购合同前提供信用管理 部门备案的第三方信用报告，且信用报告通过“信用盐城网”可查实），免收履约保证金或降低履约保证金缴纳比例。</w:t>
      </w:r>
    </w:p>
    <w:p w14:paraId="650879FA">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3</w:t>
      </w:r>
      <w:r>
        <w:rPr>
          <w:rFonts w:hint="eastAsia" w:ascii="宋体" w:hAnsi="宋体" w:cstheme="minorBidi"/>
          <w:b w:val="0"/>
          <w:bCs/>
          <w:sz w:val="24"/>
          <w:szCs w:val="24"/>
          <w:highlight w:val="none"/>
          <w:lang w:val="en-US" w:eastAsia="zh-CN" w:bidi="ar-SA"/>
        </w:rPr>
        <w:t>3</w:t>
      </w:r>
      <w:r>
        <w:rPr>
          <w:rFonts w:hint="eastAsia" w:ascii="宋体" w:hAnsi="宋体" w:eastAsiaTheme="minorEastAsia" w:cstheme="minorBidi"/>
          <w:b w:val="0"/>
          <w:bCs/>
          <w:sz w:val="24"/>
          <w:szCs w:val="24"/>
          <w:highlight w:val="none"/>
          <w:lang w:val="en-US" w:eastAsia="zh-CN" w:bidi="ar-SA"/>
        </w:rPr>
        <w:t>.9预付款制度</w:t>
      </w:r>
    </w:p>
    <w:p w14:paraId="5E310A74">
      <w:pPr>
        <w:spacing w:line="500" w:lineRule="exact"/>
        <w:ind w:firstLine="600"/>
        <w:rPr>
          <w:rFonts w:hint="eastAsia" w:ascii="宋体" w:hAnsi="宋体" w:eastAsiaTheme="minorEastAsia" w:cstheme="minorBidi"/>
          <w:b w:val="0"/>
          <w:bCs/>
          <w:sz w:val="24"/>
          <w:szCs w:val="24"/>
          <w:highlight w:val="none"/>
          <w:lang w:val="en-US" w:eastAsia="zh-CN" w:bidi="ar-SA"/>
        </w:rPr>
      </w:pPr>
      <w:r>
        <w:rPr>
          <w:rFonts w:hint="eastAsia" w:ascii="宋体" w:hAnsi="宋体" w:cstheme="minorBidi"/>
          <w:b w:val="0"/>
          <w:bCs/>
          <w:sz w:val="24"/>
          <w:szCs w:val="24"/>
          <w:highlight w:val="none"/>
          <w:lang w:val="en-US" w:eastAsia="zh-CN" w:bidi="ar-SA"/>
        </w:rPr>
        <w:t>采购人与入围供应商</w:t>
      </w:r>
      <w:r>
        <w:rPr>
          <w:rFonts w:hint="eastAsia" w:ascii="宋体" w:hAnsi="宋体" w:eastAsiaTheme="minorEastAsia" w:cstheme="minorBidi"/>
          <w:b w:val="0"/>
          <w:bCs/>
          <w:sz w:val="24"/>
          <w:szCs w:val="24"/>
          <w:highlight w:val="none"/>
          <w:lang w:val="en-US" w:eastAsia="zh-CN" w:bidi="ar-SA"/>
        </w:rPr>
        <w:t>在签订合同时，</w:t>
      </w:r>
      <w:r>
        <w:rPr>
          <w:rFonts w:hint="eastAsia" w:ascii="宋体" w:hAnsi="宋体" w:cstheme="minorBidi"/>
          <w:b w:val="0"/>
          <w:bCs/>
          <w:sz w:val="24"/>
          <w:szCs w:val="24"/>
          <w:highlight w:val="none"/>
          <w:lang w:val="en-US" w:eastAsia="zh-CN" w:bidi="ar-SA"/>
        </w:rPr>
        <w:t>需</w:t>
      </w:r>
      <w:r>
        <w:rPr>
          <w:rFonts w:hint="eastAsia" w:ascii="宋体" w:hAnsi="宋体" w:eastAsiaTheme="minorEastAsia" w:cstheme="minorBidi"/>
          <w:b w:val="0"/>
          <w:bCs/>
          <w:sz w:val="24"/>
          <w:szCs w:val="24"/>
          <w:highlight w:val="none"/>
          <w:lang w:val="en-US" w:eastAsia="zh-CN" w:bidi="ar-SA"/>
        </w:rPr>
        <w:t>落实预付款制度，预付款比例为30%</w:t>
      </w:r>
      <w:r>
        <w:rPr>
          <w:rFonts w:hint="eastAsia" w:ascii="宋体" w:hAnsi="宋体" w:cstheme="minorBidi"/>
          <w:b w:val="0"/>
          <w:bCs/>
          <w:sz w:val="24"/>
          <w:szCs w:val="24"/>
          <w:highlight w:val="none"/>
          <w:lang w:val="en-US" w:eastAsia="zh-CN" w:bidi="ar-SA"/>
        </w:rPr>
        <w:t>，若</w:t>
      </w:r>
      <w:r>
        <w:rPr>
          <w:rFonts w:hint="eastAsia" w:ascii="宋体" w:hAnsi="宋体" w:eastAsiaTheme="minorEastAsia" w:cstheme="minorBidi"/>
          <w:b w:val="0"/>
          <w:bCs/>
          <w:sz w:val="24"/>
          <w:szCs w:val="24"/>
          <w:highlight w:val="none"/>
          <w:lang w:val="en-US" w:eastAsia="zh-CN" w:bidi="ar-SA"/>
        </w:rPr>
        <w:t>入围供应商明确书面表示无需预付款或者主动要求降低预付款比例的，采购人可就预付款比例作相应调整。</w:t>
      </w:r>
    </w:p>
    <w:p w14:paraId="4417F05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bookmarkStart w:id="148" w:name="_Toc128039580"/>
    </w:p>
    <w:p w14:paraId="44EB942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3A8EA27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4D60E3C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3A69F862">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49233A8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2FB6328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0A2739CD">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52E8DB6B">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7834B2B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0D5C27E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0984ED78">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4A0270E4">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4C1F6892">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574EDEC2">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34E5F630">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53394F1C">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p>
    <w:p w14:paraId="2E1ABAC9">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rFonts w:ascii="黑体" w:eastAsia="黑体"/>
          <w:bCs/>
          <w:sz w:val="44"/>
          <w:highlight w:val="none"/>
        </w:rPr>
      </w:pPr>
    </w:p>
    <w:p w14:paraId="40D47783">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ascii="黑体" w:eastAsia="黑体"/>
          <w:bCs/>
          <w:sz w:val="44"/>
          <w:highlight w:val="none"/>
        </w:rPr>
      </w:pPr>
      <w:r>
        <w:rPr>
          <w:rFonts w:ascii="黑体" w:eastAsia="黑体"/>
          <w:bCs/>
          <w:sz w:val="44"/>
          <w:highlight w:val="none"/>
        </w:rPr>
        <w:t>第三章  框架协议文本</w:t>
      </w:r>
      <w:bookmarkEnd w:id="148"/>
    </w:p>
    <w:p w14:paraId="633A68C4">
      <w:pPr>
        <w:pStyle w:val="190"/>
        <w:ind w:left="1440" w:hanging="1440"/>
        <w:jc w:val="left"/>
        <w:rPr>
          <w:rFonts w:hint="eastAsia" w:hAnsi="宋体"/>
          <w:sz w:val="24"/>
          <w:szCs w:val="24"/>
          <w:highlight w:val="none"/>
          <w:lang w:val="en-US" w:eastAsia="zh-CN"/>
        </w:rPr>
      </w:pPr>
      <w:bookmarkStart w:id="149" w:name="_Toc20823315"/>
      <w:bookmarkStart w:id="150" w:name="_Toc16938559"/>
      <w:bookmarkStart w:id="151" w:name="_Toc513029243"/>
      <w:bookmarkStart w:id="152" w:name="_Toc128039582"/>
      <w:r>
        <w:rPr>
          <w:rFonts w:hAnsi="宋体"/>
          <w:sz w:val="24"/>
          <w:szCs w:val="24"/>
          <w:highlight w:val="none"/>
        </w:rPr>
        <w:t xml:space="preserve">项目名称： </w:t>
      </w:r>
      <w:r>
        <w:rPr>
          <w:rFonts w:hint="eastAsia" w:cs="宋体" w:asciiTheme="minorEastAsia" w:hAnsiTheme="minorEastAsia"/>
          <w:color w:val="000000"/>
          <w:sz w:val="24"/>
          <w:highlight w:val="none"/>
          <w:lang w:eastAsia="zh-CN"/>
        </w:rPr>
        <w:t>亭湖区行政事业单位2027-2028年度公务用车维保服务框架协议采购项目</w:t>
      </w:r>
    </w:p>
    <w:p w14:paraId="3C73C48C">
      <w:pPr>
        <w:pStyle w:val="190"/>
        <w:ind w:left="1440" w:hanging="1440"/>
        <w:jc w:val="both"/>
        <w:rPr>
          <w:rFonts w:hAnsi="宋体"/>
          <w:sz w:val="24"/>
          <w:szCs w:val="24"/>
          <w:highlight w:val="none"/>
        </w:rPr>
      </w:pPr>
      <w:r>
        <w:rPr>
          <w:rFonts w:hAnsi="宋体"/>
          <w:sz w:val="24"/>
          <w:szCs w:val="24"/>
          <w:highlight w:val="none"/>
        </w:rPr>
        <w:t>项目编号：</w:t>
      </w:r>
    </w:p>
    <w:p w14:paraId="045E10EE">
      <w:pPr>
        <w:pStyle w:val="192"/>
        <w:spacing w:before="120" w:after="120"/>
        <w:rPr>
          <w:rFonts w:hint="eastAsia" w:hAnsi="宋体"/>
          <w:sz w:val="24"/>
          <w:szCs w:val="24"/>
          <w:highlight w:val="none"/>
          <w:lang w:val="en-US" w:eastAsia="zh-CN"/>
        </w:rPr>
      </w:pPr>
      <w:r>
        <w:rPr>
          <w:rFonts w:hAnsi="宋体"/>
          <w:sz w:val="24"/>
          <w:szCs w:val="24"/>
          <w:highlight w:val="none"/>
        </w:rPr>
        <w:t>甲方：</w:t>
      </w:r>
      <w:r>
        <w:rPr>
          <w:rFonts w:hint="eastAsia" w:cs="宋体" w:asciiTheme="minorEastAsia" w:hAnsiTheme="minorEastAsia" w:eastAsiaTheme="minorEastAsia"/>
          <w:color w:val="000000"/>
          <w:sz w:val="24"/>
          <w:highlight w:val="none"/>
        </w:rPr>
        <w:t>盐城市亭湖区机关事务服务中心</w:t>
      </w:r>
    </w:p>
    <w:p w14:paraId="02EE7397">
      <w:pPr>
        <w:pStyle w:val="192"/>
        <w:spacing w:before="120" w:after="120"/>
        <w:rPr>
          <w:rFonts w:hAnsi="宋体"/>
          <w:sz w:val="24"/>
          <w:szCs w:val="24"/>
          <w:highlight w:val="none"/>
        </w:rPr>
      </w:pPr>
      <w:r>
        <w:rPr>
          <w:rFonts w:hAnsi="宋体"/>
          <w:sz w:val="24"/>
          <w:szCs w:val="24"/>
          <w:highlight w:val="none"/>
        </w:rPr>
        <w:t>乙方：（入围供应商）</w:t>
      </w:r>
    </w:p>
    <w:p w14:paraId="7C788796">
      <w:pPr>
        <w:pStyle w:val="190"/>
        <w:numPr>
          <w:ilvl w:val="0"/>
          <w:numId w:val="0"/>
        </w:numPr>
        <w:ind w:firstLine="480"/>
        <w:jc w:val="left"/>
        <w:rPr>
          <w:rFonts w:hint="eastAsia" w:ascii="Arial" w:hAnsi="宋体" w:eastAsiaTheme="minorEastAsia" w:cstheme="minorBidi"/>
          <w:sz w:val="24"/>
          <w:szCs w:val="24"/>
          <w:highlight w:val="none"/>
          <w:lang w:val="en-US" w:eastAsia="zh-CN" w:bidi="ar-SA"/>
        </w:rPr>
      </w:pPr>
      <w:r>
        <w:rPr>
          <w:rFonts w:hint="eastAsia" w:hAnsi="宋体"/>
          <w:sz w:val="24"/>
          <w:szCs w:val="24"/>
          <w:highlight w:val="none"/>
          <w:lang w:val="en-US" w:eastAsia="zh-CN"/>
        </w:rPr>
        <w:t>根据</w:t>
      </w:r>
      <w:r>
        <w:rPr>
          <w:rFonts w:hint="eastAsia" w:hAnsi="宋体"/>
          <w:sz w:val="24"/>
          <w:szCs w:val="24"/>
          <w:highlight w:val="none"/>
          <w:u w:val="single"/>
          <w:lang w:eastAsia="zh-CN"/>
        </w:rPr>
        <w:t>亭湖区行政事业单位2027-2028年度公务用车维保服务框架协议采购项目</w:t>
      </w:r>
      <w:r>
        <w:rPr>
          <w:rFonts w:hint="eastAsia" w:ascii="Arial" w:hAnsi="宋体" w:eastAsiaTheme="minorEastAsia" w:cstheme="minorBidi"/>
          <w:sz w:val="24"/>
          <w:szCs w:val="24"/>
          <w:highlight w:val="none"/>
          <w:lang w:val="en-US" w:eastAsia="zh-CN" w:bidi="ar-SA"/>
        </w:rPr>
        <w:t xml:space="preserve">需求和《中华人民共和国民法典》、《中华人民共和国政府采购法》、《政府采购框架协议采购方式管理暂行办法》等相关法律法规要求，双方经协商，达成以下条款： </w:t>
      </w:r>
    </w:p>
    <w:p w14:paraId="5BD9247E">
      <w:pPr>
        <w:pStyle w:val="192"/>
        <w:spacing w:before="120" w:after="120"/>
        <w:rPr>
          <w:rFonts w:hAnsi="宋体"/>
          <w:b/>
          <w:sz w:val="24"/>
          <w:szCs w:val="24"/>
          <w:highlight w:val="none"/>
        </w:rPr>
      </w:pPr>
      <w:r>
        <w:rPr>
          <w:rFonts w:hAnsi="宋体"/>
          <w:b/>
          <w:sz w:val="24"/>
          <w:szCs w:val="24"/>
          <w:highlight w:val="none"/>
        </w:rPr>
        <w:t>一、项目基本情况</w:t>
      </w:r>
    </w:p>
    <w:p w14:paraId="79D0B395">
      <w:pPr>
        <w:pStyle w:val="192"/>
        <w:spacing w:before="120" w:after="120"/>
        <w:rPr>
          <w:rFonts w:hAnsi="宋体"/>
          <w:sz w:val="24"/>
          <w:szCs w:val="24"/>
          <w:highlight w:val="none"/>
          <w:u w:val="single"/>
        </w:rPr>
      </w:pPr>
      <w:r>
        <w:rPr>
          <w:rFonts w:hAnsi="宋体"/>
          <w:sz w:val="24"/>
          <w:szCs w:val="24"/>
          <w:highlight w:val="none"/>
        </w:rPr>
        <w:t>1.1 采购需求：</w:t>
      </w:r>
      <w:r>
        <w:rPr>
          <w:rFonts w:hAnsi="宋体"/>
          <w:sz w:val="24"/>
          <w:szCs w:val="24"/>
          <w:highlight w:val="none"/>
          <w:u w:val="single"/>
        </w:rPr>
        <w:t>见征集文件需求</w:t>
      </w:r>
    </w:p>
    <w:p w14:paraId="44E834E6">
      <w:pPr>
        <w:pStyle w:val="192"/>
        <w:spacing w:before="120" w:after="120"/>
        <w:rPr>
          <w:rFonts w:hAnsi="宋体"/>
          <w:sz w:val="24"/>
          <w:szCs w:val="24"/>
          <w:highlight w:val="none"/>
          <w:u w:val="single"/>
        </w:rPr>
      </w:pPr>
      <w:r>
        <w:rPr>
          <w:rFonts w:hAnsi="宋体"/>
          <w:sz w:val="24"/>
          <w:szCs w:val="24"/>
          <w:highlight w:val="none"/>
        </w:rPr>
        <w:t>1.2 产品最高限制单价：</w:t>
      </w:r>
      <w:r>
        <w:rPr>
          <w:rFonts w:hAnsi="宋体"/>
          <w:sz w:val="24"/>
          <w:szCs w:val="24"/>
          <w:highlight w:val="none"/>
          <w:u w:val="single"/>
        </w:rPr>
        <w:t>见征集文件</w:t>
      </w:r>
    </w:p>
    <w:p w14:paraId="461CB3AF">
      <w:pPr>
        <w:pStyle w:val="192"/>
        <w:spacing w:before="120" w:after="120"/>
        <w:rPr>
          <w:rFonts w:hint="default" w:hAnsi="宋体" w:eastAsiaTheme="minorEastAsia"/>
          <w:sz w:val="24"/>
          <w:szCs w:val="24"/>
          <w:highlight w:val="none"/>
          <w:u w:val="single"/>
          <w:lang w:val="en-US" w:eastAsia="zh-CN"/>
        </w:rPr>
      </w:pPr>
      <w:r>
        <w:rPr>
          <w:rFonts w:hint="eastAsia" w:hAnsi="宋体"/>
          <w:sz w:val="24"/>
          <w:szCs w:val="24"/>
          <w:highlight w:val="none"/>
          <w:u w:val="none"/>
          <w:lang w:val="en-US" w:eastAsia="zh-CN"/>
        </w:rPr>
        <w:t>1.3采购数量和计量方式：</w:t>
      </w:r>
      <w:r>
        <w:rPr>
          <w:rFonts w:hAnsi="宋体"/>
          <w:sz w:val="24"/>
          <w:szCs w:val="24"/>
          <w:highlight w:val="none"/>
          <w:u w:val="single"/>
        </w:rPr>
        <w:t>见征集文件</w:t>
      </w:r>
    </w:p>
    <w:p w14:paraId="4E93F9E7">
      <w:pPr>
        <w:pStyle w:val="192"/>
        <w:spacing w:before="120" w:after="120"/>
        <w:rPr>
          <w:rFonts w:hint="default" w:hAnsi="宋体" w:eastAsiaTheme="minorEastAsia"/>
          <w:color w:val="000000" w:themeColor="text1"/>
          <w:sz w:val="24"/>
          <w:szCs w:val="24"/>
          <w:highlight w:val="none"/>
          <w:u w:val="single"/>
          <w:lang w:val="en-US" w:eastAsia="zh-CN"/>
          <w14:textFill>
            <w14:solidFill>
              <w14:schemeClr w14:val="tx1"/>
            </w14:solidFill>
          </w14:textFill>
        </w:rPr>
      </w:pPr>
      <w:r>
        <w:rPr>
          <w:rFonts w:hAnsi="宋体"/>
          <w:sz w:val="24"/>
          <w:szCs w:val="24"/>
          <w:highlight w:val="none"/>
        </w:rPr>
        <w:t>1.3适用本次框架协议的采购人或服务对象范围：</w:t>
      </w:r>
      <w:r>
        <w:rPr>
          <w:rFonts w:hint="eastAsia" w:ascii="宋体" w:hAnsi="宋体"/>
          <w:sz w:val="24"/>
          <w:szCs w:val="24"/>
          <w:highlight w:val="none"/>
          <w:u w:val="single"/>
        </w:rPr>
        <w:t>盐城市亭湖区全区政府机构、事业单位公务用车</w:t>
      </w:r>
      <w:r>
        <w:rPr>
          <w:rFonts w:ascii="宋体" w:hAnsi="宋体"/>
          <w:sz w:val="24"/>
          <w:szCs w:val="24"/>
          <w:highlight w:val="none"/>
          <w:u w:val="single"/>
        </w:rPr>
        <w:t>。</w:t>
      </w:r>
    </w:p>
    <w:p w14:paraId="47773C84">
      <w:pPr>
        <w:pStyle w:val="192"/>
        <w:spacing w:before="120" w:after="120"/>
        <w:rPr>
          <w:rFonts w:hAnsi="宋体"/>
          <w:sz w:val="24"/>
          <w:szCs w:val="24"/>
          <w:highlight w:val="none"/>
          <w:u w:val="single"/>
        </w:rPr>
      </w:pPr>
      <w:r>
        <w:rPr>
          <w:rFonts w:hAnsi="宋体"/>
          <w:sz w:val="24"/>
          <w:szCs w:val="24"/>
          <w:highlight w:val="none"/>
        </w:rPr>
        <w:t>1.4 履行合同的地域范围：</w:t>
      </w:r>
      <w:r>
        <w:rPr>
          <w:rFonts w:hAnsi="宋体"/>
          <w:sz w:val="24"/>
          <w:szCs w:val="24"/>
          <w:highlight w:val="none"/>
          <w:u w:val="single"/>
        </w:rPr>
        <w:t>由使用单位指定</w:t>
      </w:r>
    </w:p>
    <w:p w14:paraId="3E8664E9">
      <w:pPr>
        <w:pStyle w:val="192"/>
        <w:spacing w:before="120" w:after="120"/>
        <w:rPr>
          <w:rFonts w:hAnsi="宋体"/>
          <w:b/>
          <w:sz w:val="24"/>
          <w:szCs w:val="24"/>
          <w:highlight w:val="none"/>
        </w:rPr>
      </w:pPr>
      <w:r>
        <w:rPr>
          <w:rFonts w:hAnsi="宋体"/>
          <w:b/>
          <w:sz w:val="24"/>
          <w:szCs w:val="24"/>
          <w:highlight w:val="none"/>
        </w:rPr>
        <w:t>二、第一阶段入围产品的相关信息</w:t>
      </w:r>
    </w:p>
    <w:p w14:paraId="4239325D">
      <w:pPr>
        <w:pStyle w:val="192"/>
        <w:spacing w:before="120" w:after="120"/>
        <w:rPr>
          <w:rFonts w:hAnsi="宋体"/>
          <w:sz w:val="24"/>
          <w:szCs w:val="24"/>
          <w:highlight w:val="none"/>
          <w:u w:val="single"/>
        </w:rPr>
      </w:pPr>
      <w:r>
        <w:rPr>
          <w:rFonts w:hAnsi="宋体"/>
          <w:sz w:val="24"/>
          <w:szCs w:val="24"/>
          <w:highlight w:val="none"/>
        </w:rPr>
        <w:t>2.1 入围产品详细技术规格：</w:t>
      </w:r>
      <w:r>
        <w:rPr>
          <w:rFonts w:hAnsi="宋体"/>
          <w:sz w:val="24"/>
          <w:szCs w:val="24"/>
          <w:highlight w:val="none"/>
          <w:u w:val="single"/>
        </w:rPr>
        <w:t>见响应文件</w:t>
      </w:r>
    </w:p>
    <w:p w14:paraId="0B726149">
      <w:pPr>
        <w:pStyle w:val="192"/>
        <w:spacing w:before="120" w:after="120"/>
        <w:rPr>
          <w:rFonts w:hAnsi="宋体"/>
          <w:sz w:val="24"/>
          <w:szCs w:val="24"/>
          <w:highlight w:val="none"/>
          <w:u w:val="single"/>
        </w:rPr>
      </w:pPr>
      <w:r>
        <w:rPr>
          <w:rFonts w:hAnsi="宋体"/>
          <w:sz w:val="24"/>
          <w:szCs w:val="24"/>
          <w:highlight w:val="none"/>
        </w:rPr>
        <w:t>2.2 服务标准：</w:t>
      </w:r>
      <w:r>
        <w:rPr>
          <w:rFonts w:hAnsi="宋体"/>
          <w:sz w:val="24"/>
          <w:szCs w:val="24"/>
          <w:highlight w:val="none"/>
          <w:u w:val="single"/>
        </w:rPr>
        <w:t>见响应文件</w:t>
      </w:r>
    </w:p>
    <w:p w14:paraId="7D67CF28">
      <w:pPr>
        <w:pStyle w:val="192"/>
        <w:spacing w:before="120" w:after="120"/>
        <w:rPr>
          <w:rFonts w:hAnsi="宋体"/>
          <w:b/>
          <w:sz w:val="24"/>
          <w:szCs w:val="24"/>
          <w:highlight w:val="none"/>
        </w:rPr>
      </w:pPr>
      <w:r>
        <w:rPr>
          <w:rFonts w:hAnsi="宋体"/>
          <w:b/>
          <w:sz w:val="24"/>
          <w:szCs w:val="24"/>
          <w:highlight w:val="none"/>
        </w:rPr>
        <w:t>三、入围产品升级换代规则</w:t>
      </w:r>
    </w:p>
    <w:p w14:paraId="58652295">
      <w:pPr>
        <w:spacing w:before="120" w:after="12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本项目框架协议期内，不对入围服务进行升级换代。</w:t>
      </w:r>
    </w:p>
    <w:p w14:paraId="30E24B1B">
      <w:pPr>
        <w:pStyle w:val="192"/>
        <w:spacing w:before="120" w:after="120"/>
        <w:rPr>
          <w:rFonts w:hAnsi="宋体"/>
          <w:b/>
          <w:sz w:val="24"/>
          <w:szCs w:val="24"/>
          <w:highlight w:val="none"/>
        </w:rPr>
      </w:pPr>
      <w:r>
        <w:rPr>
          <w:rFonts w:hAnsi="宋体"/>
          <w:b/>
          <w:sz w:val="24"/>
          <w:szCs w:val="24"/>
          <w:highlight w:val="none"/>
        </w:rPr>
        <w:t>四、确定第二阶段成交供应商的方式</w:t>
      </w:r>
    </w:p>
    <w:p w14:paraId="570AB3EB">
      <w:pPr>
        <w:pStyle w:val="192"/>
        <w:spacing w:before="120" w:after="120"/>
        <w:rPr>
          <w:rFonts w:hAnsi="宋体"/>
          <w:sz w:val="24"/>
          <w:szCs w:val="24"/>
          <w:highlight w:val="none"/>
        </w:rPr>
      </w:pPr>
      <w:r>
        <w:rPr>
          <w:rFonts w:hAnsi="宋体"/>
          <w:sz w:val="24"/>
          <w:szCs w:val="24"/>
          <w:highlight w:val="none"/>
        </w:rPr>
        <w:t>采购人依据入围服务价格、质量以及服务便利性、用户评价等因素，从第一阶段入围供应商中直接选定。</w:t>
      </w:r>
    </w:p>
    <w:p w14:paraId="3CC75BD3">
      <w:pPr>
        <w:pStyle w:val="192"/>
        <w:spacing w:before="120" w:after="120"/>
        <w:rPr>
          <w:rFonts w:hAnsi="宋体"/>
          <w:b/>
          <w:sz w:val="24"/>
          <w:szCs w:val="24"/>
          <w:highlight w:val="none"/>
        </w:rPr>
      </w:pPr>
      <w:r>
        <w:rPr>
          <w:rFonts w:hAnsi="宋体"/>
          <w:b/>
          <w:sz w:val="24"/>
          <w:szCs w:val="24"/>
          <w:highlight w:val="none"/>
        </w:rPr>
        <w:t>五、资金支付方式、时间和条件</w:t>
      </w:r>
    </w:p>
    <w:p w14:paraId="598D7F5F">
      <w:pPr>
        <w:pStyle w:val="192"/>
        <w:spacing w:before="120" w:after="120"/>
        <w:rPr>
          <w:rFonts w:hAnsi="宋体"/>
          <w:sz w:val="24"/>
          <w:szCs w:val="24"/>
          <w:highlight w:val="none"/>
        </w:rPr>
      </w:pPr>
      <w:r>
        <w:rPr>
          <w:rFonts w:hAnsi="宋体"/>
          <w:sz w:val="24"/>
          <w:szCs w:val="24"/>
          <w:highlight w:val="none"/>
        </w:rPr>
        <w:t>5.1</w:t>
      </w:r>
      <w:r>
        <w:rPr>
          <w:rFonts w:hint="eastAsia" w:hAnsi="宋体"/>
          <w:sz w:val="24"/>
          <w:szCs w:val="24"/>
          <w:highlight w:val="none"/>
          <w:lang w:val="en-US" w:eastAsia="zh-CN"/>
        </w:rPr>
        <w:t>维修费用一事一结按月支付</w:t>
      </w:r>
      <w:r>
        <w:rPr>
          <w:rFonts w:hAnsi="宋体"/>
          <w:sz w:val="24"/>
          <w:szCs w:val="24"/>
          <w:highlight w:val="none"/>
        </w:rPr>
        <w:t>。</w:t>
      </w:r>
    </w:p>
    <w:p w14:paraId="5DB8CAF5">
      <w:pPr>
        <w:pStyle w:val="192"/>
        <w:spacing w:before="120" w:after="120"/>
        <w:rPr>
          <w:rFonts w:hAnsi="宋体"/>
          <w:b/>
          <w:sz w:val="24"/>
          <w:szCs w:val="24"/>
          <w:highlight w:val="none"/>
        </w:rPr>
      </w:pPr>
      <w:r>
        <w:rPr>
          <w:rFonts w:hAnsi="宋体"/>
          <w:b/>
          <w:sz w:val="24"/>
          <w:szCs w:val="24"/>
          <w:highlight w:val="none"/>
        </w:rPr>
        <w:t>六、框架协议期限</w:t>
      </w:r>
    </w:p>
    <w:p w14:paraId="49FD9C32">
      <w:pPr>
        <w:pStyle w:val="192"/>
        <w:spacing w:before="120" w:after="120"/>
        <w:rPr>
          <w:rFonts w:hAnsi="宋体"/>
          <w:sz w:val="24"/>
          <w:szCs w:val="24"/>
          <w:highlight w:val="none"/>
        </w:rPr>
      </w:pPr>
      <w:r>
        <w:rPr>
          <w:rFonts w:hint="eastAsia" w:hAnsi="宋体"/>
          <w:sz w:val="24"/>
          <w:szCs w:val="24"/>
          <w:highlight w:val="none"/>
          <w:lang w:val="en-US" w:eastAsia="zh-CN"/>
        </w:rPr>
        <w:t>两</w:t>
      </w:r>
      <w:r>
        <w:rPr>
          <w:rFonts w:hAnsi="宋体"/>
          <w:sz w:val="24"/>
          <w:szCs w:val="24"/>
          <w:highlight w:val="none"/>
        </w:rPr>
        <w:t>年（</w:t>
      </w:r>
      <w:r>
        <w:rPr>
          <w:rFonts w:hint="eastAsia" w:ascii="宋体" w:hAnsi="宋体"/>
          <w:sz w:val="24"/>
          <w:szCs w:val="24"/>
          <w:highlight w:val="none"/>
          <w:lang w:val="en-US" w:eastAsia="zh-CN"/>
        </w:rPr>
        <w:t>202</w:t>
      </w:r>
      <w:r>
        <w:rPr>
          <w:rFonts w:hint="eastAsia" w:hAnsi="宋体"/>
          <w:sz w:val="24"/>
          <w:szCs w:val="24"/>
          <w:highlight w:val="none"/>
          <w:lang w:val="en-US" w:eastAsia="zh-CN"/>
        </w:rPr>
        <w:t>7</w:t>
      </w:r>
      <w:r>
        <w:rPr>
          <w:rFonts w:hint="eastAsia" w:ascii="宋体" w:hAnsi="宋体"/>
          <w:sz w:val="24"/>
          <w:szCs w:val="24"/>
          <w:highlight w:val="none"/>
          <w:lang w:val="en-US" w:eastAsia="zh-CN"/>
        </w:rPr>
        <w:t>年1月1日至202</w:t>
      </w:r>
      <w:r>
        <w:rPr>
          <w:rFonts w:hint="eastAsia" w:hAnsi="宋体"/>
          <w:sz w:val="24"/>
          <w:szCs w:val="24"/>
          <w:highlight w:val="none"/>
          <w:lang w:val="en-US" w:eastAsia="zh-CN"/>
        </w:rPr>
        <w:t>8</w:t>
      </w:r>
      <w:r>
        <w:rPr>
          <w:rFonts w:hint="eastAsia" w:ascii="宋体" w:hAnsi="宋体"/>
          <w:sz w:val="24"/>
          <w:szCs w:val="24"/>
          <w:highlight w:val="none"/>
          <w:lang w:val="en-US" w:eastAsia="zh-CN"/>
        </w:rPr>
        <w:t>年12月31日</w:t>
      </w:r>
      <w:r>
        <w:rPr>
          <w:rFonts w:hAnsi="宋体"/>
          <w:sz w:val="24"/>
          <w:szCs w:val="24"/>
          <w:highlight w:val="none"/>
        </w:rPr>
        <w:t>）</w:t>
      </w:r>
    </w:p>
    <w:p w14:paraId="6EC7B36D">
      <w:pPr>
        <w:pStyle w:val="192"/>
        <w:spacing w:before="120" w:after="120"/>
        <w:rPr>
          <w:rFonts w:hAnsi="宋体"/>
          <w:b/>
          <w:sz w:val="24"/>
          <w:szCs w:val="24"/>
          <w:highlight w:val="none"/>
        </w:rPr>
      </w:pPr>
      <w:r>
        <w:rPr>
          <w:rFonts w:hAnsi="宋体"/>
          <w:b/>
          <w:sz w:val="24"/>
          <w:szCs w:val="24"/>
          <w:highlight w:val="none"/>
        </w:rPr>
        <w:t>七、入围供应商的清退和补充规则</w:t>
      </w:r>
    </w:p>
    <w:p w14:paraId="4EED0E7A">
      <w:pPr>
        <w:pStyle w:val="192"/>
        <w:spacing w:before="120" w:after="120"/>
        <w:rPr>
          <w:rFonts w:hAnsi="宋体"/>
          <w:sz w:val="24"/>
          <w:szCs w:val="24"/>
          <w:highlight w:val="none"/>
        </w:rPr>
      </w:pPr>
      <w:r>
        <w:rPr>
          <w:rFonts w:hAnsi="宋体"/>
          <w:sz w:val="24"/>
          <w:szCs w:val="24"/>
          <w:highlight w:val="none"/>
        </w:rPr>
        <w:t>7.1 清退规则 入围供应商存在《政府采购框架协议采购方式管理暂行办法》第十九条规定情形的，尚未签订框架协议的，取消其入围资格；已经签订框架协议的，解除与其签订的框架协议。</w:t>
      </w:r>
    </w:p>
    <w:p w14:paraId="35D54814">
      <w:pPr>
        <w:pStyle w:val="192"/>
        <w:spacing w:before="120" w:after="120"/>
        <w:rPr>
          <w:rFonts w:hAnsi="宋体"/>
          <w:sz w:val="24"/>
          <w:szCs w:val="24"/>
          <w:highlight w:val="none"/>
        </w:rPr>
      </w:pPr>
      <w:r>
        <w:rPr>
          <w:rFonts w:hAnsi="宋体"/>
          <w:sz w:val="24"/>
          <w:szCs w:val="24"/>
          <w:highlight w:val="none"/>
        </w:rPr>
        <w:t>7.2 补充规则如出现剩余入围供应商不足入围供应商总数</w:t>
      </w:r>
      <w:r>
        <w:rPr>
          <w:rFonts w:hint="eastAsia" w:hAnsi="宋体" w:eastAsia="宋体"/>
          <w:sz w:val="24"/>
          <w:szCs w:val="24"/>
          <w:highlight w:val="none"/>
          <w:lang w:val="en-US" w:eastAsia="zh-CN"/>
        </w:rPr>
        <w:t>7</w:t>
      </w:r>
      <w:r>
        <w:rPr>
          <w:rFonts w:hAnsi="宋体"/>
          <w:sz w:val="24"/>
          <w:szCs w:val="24"/>
          <w:highlight w:val="none"/>
        </w:rPr>
        <w:t>0%且影响框架协议执行的情形时，采购中心报监管部门同意后，将进行补充征集供应商。补充征集的条件、程序、评审方法和淘汰比例与初次征集相同。补充征集遵守原框架协议的有效期。补充征集期间，原框架协议继续履行。</w:t>
      </w:r>
    </w:p>
    <w:p w14:paraId="0F4219C8">
      <w:pPr>
        <w:pStyle w:val="192"/>
        <w:spacing w:before="120" w:after="120"/>
        <w:rPr>
          <w:rFonts w:hAnsi="宋体"/>
          <w:b/>
          <w:sz w:val="24"/>
          <w:szCs w:val="24"/>
          <w:highlight w:val="none"/>
        </w:rPr>
      </w:pPr>
      <w:r>
        <w:rPr>
          <w:rFonts w:hAnsi="宋体"/>
          <w:b/>
          <w:sz w:val="24"/>
          <w:szCs w:val="24"/>
          <w:highlight w:val="none"/>
        </w:rPr>
        <w:t>八、采购合同文本</w:t>
      </w:r>
    </w:p>
    <w:p w14:paraId="340997DC">
      <w:pPr>
        <w:pStyle w:val="192"/>
        <w:spacing w:before="120" w:after="120"/>
        <w:rPr>
          <w:rFonts w:hAnsi="宋体"/>
          <w:sz w:val="24"/>
          <w:szCs w:val="24"/>
          <w:highlight w:val="none"/>
        </w:rPr>
      </w:pPr>
      <w:r>
        <w:rPr>
          <w:rFonts w:hAnsi="宋体"/>
          <w:sz w:val="24"/>
          <w:szCs w:val="24"/>
          <w:highlight w:val="none"/>
        </w:rPr>
        <w:t>见“框架协议文本附件1”（乙方在”苏采云”系统中与采购人签订电子采购合同）</w:t>
      </w:r>
    </w:p>
    <w:p w14:paraId="0A69D376">
      <w:pPr>
        <w:pStyle w:val="192"/>
        <w:spacing w:before="120" w:after="120"/>
        <w:rPr>
          <w:rFonts w:hAnsi="宋体"/>
          <w:b/>
          <w:sz w:val="24"/>
          <w:szCs w:val="24"/>
          <w:highlight w:val="none"/>
        </w:rPr>
      </w:pPr>
      <w:r>
        <w:rPr>
          <w:rFonts w:hAnsi="宋体"/>
          <w:b/>
          <w:sz w:val="24"/>
          <w:szCs w:val="24"/>
          <w:highlight w:val="none"/>
        </w:rPr>
        <w:t>九、甲乙双方的权利和义务</w:t>
      </w:r>
    </w:p>
    <w:p w14:paraId="6D7FDF94">
      <w:pPr>
        <w:pStyle w:val="192"/>
        <w:spacing w:before="120" w:after="120"/>
        <w:rPr>
          <w:rFonts w:hAnsi="宋体"/>
          <w:sz w:val="24"/>
          <w:szCs w:val="24"/>
          <w:highlight w:val="none"/>
        </w:rPr>
      </w:pPr>
      <w:r>
        <w:rPr>
          <w:rFonts w:hAnsi="宋体"/>
          <w:sz w:val="24"/>
          <w:szCs w:val="24"/>
          <w:highlight w:val="none"/>
        </w:rPr>
        <w:t>9.1 甲方的权利</w:t>
      </w:r>
    </w:p>
    <w:p w14:paraId="64F3B9F4">
      <w:pPr>
        <w:pStyle w:val="192"/>
        <w:spacing w:before="120" w:after="120"/>
        <w:rPr>
          <w:rFonts w:hAnsi="宋体"/>
          <w:sz w:val="24"/>
          <w:szCs w:val="24"/>
          <w:highlight w:val="none"/>
        </w:rPr>
      </w:pPr>
      <w:r>
        <w:rPr>
          <w:rFonts w:hAnsi="宋体"/>
          <w:sz w:val="24"/>
          <w:szCs w:val="24"/>
          <w:highlight w:val="none"/>
        </w:rPr>
        <w:t>（1）确定框架协议采购需求。</w:t>
      </w:r>
    </w:p>
    <w:p w14:paraId="3E2A14B8">
      <w:pPr>
        <w:pStyle w:val="192"/>
        <w:spacing w:before="120" w:after="120"/>
        <w:rPr>
          <w:rFonts w:hAnsi="宋体"/>
          <w:sz w:val="24"/>
          <w:szCs w:val="24"/>
          <w:highlight w:val="none"/>
        </w:rPr>
      </w:pPr>
      <w:r>
        <w:rPr>
          <w:rFonts w:hAnsi="宋体"/>
          <w:sz w:val="24"/>
          <w:szCs w:val="24"/>
          <w:highlight w:val="none"/>
        </w:rPr>
        <w:t>（2）确定最高限制单价。</w:t>
      </w:r>
    </w:p>
    <w:p w14:paraId="46919C28">
      <w:pPr>
        <w:pStyle w:val="192"/>
        <w:spacing w:before="120" w:after="120"/>
        <w:rPr>
          <w:rFonts w:hAnsi="宋体"/>
          <w:sz w:val="24"/>
          <w:szCs w:val="24"/>
          <w:highlight w:val="none"/>
        </w:rPr>
      </w:pPr>
      <w:r>
        <w:rPr>
          <w:rFonts w:hAnsi="宋体"/>
          <w:sz w:val="24"/>
          <w:szCs w:val="24"/>
          <w:highlight w:val="none"/>
        </w:rPr>
        <w:t>（3）确定框架协议有限期。</w:t>
      </w:r>
    </w:p>
    <w:p w14:paraId="625D3F32">
      <w:pPr>
        <w:pStyle w:val="192"/>
        <w:spacing w:before="120" w:after="120"/>
        <w:rPr>
          <w:rFonts w:hAnsi="宋体"/>
          <w:sz w:val="24"/>
          <w:szCs w:val="24"/>
          <w:highlight w:val="none"/>
        </w:rPr>
      </w:pPr>
      <w:r>
        <w:rPr>
          <w:rFonts w:hAnsi="宋体"/>
          <w:sz w:val="24"/>
          <w:szCs w:val="24"/>
          <w:highlight w:val="none"/>
        </w:rPr>
        <w:t>（4）制定统一的采购合同文本供采购人、供应商使用，并明确要求采购人、供应商不得擅自改变框架协议约定的合同实质性条款。</w:t>
      </w:r>
    </w:p>
    <w:p w14:paraId="247F541F">
      <w:pPr>
        <w:pStyle w:val="192"/>
        <w:spacing w:before="120" w:after="120"/>
        <w:rPr>
          <w:rFonts w:hAnsi="宋体"/>
          <w:sz w:val="24"/>
          <w:szCs w:val="24"/>
          <w:highlight w:val="none"/>
        </w:rPr>
      </w:pPr>
      <w:r>
        <w:rPr>
          <w:rFonts w:hAnsi="宋体"/>
          <w:sz w:val="24"/>
          <w:szCs w:val="24"/>
          <w:highlight w:val="none"/>
        </w:rPr>
        <w:t>（5）乙方存在《政府采购框架协议采购方式管理暂行办法》第十九条第一款规定的情形时，取消入围供应商的入围资格，或解除与其签订的框架协议。</w:t>
      </w:r>
    </w:p>
    <w:p w14:paraId="115772F4">
      <w:pPr>
        <w:pStyle w:val="192"/>
        <w:spacing w:before="120" w:after="120"/>
        <w:rPr>
          <w:rFonts w:hAnsi="宋体"/>
          <w:sz w:val="24"/>
          <w:szCs w:val="24"/>
          <w:highlight w:val="none"/>
        </w:rPr>
      </w:pPr>
      <w:r>
        <w:rPr>
          <w:rFonts w:hAnsi="宋体"/>
          <w:sz w:val="24"/>
          <w:szCs w:val="24"/>
          <w:highlight w:val="none"/>
        </w:rPr>
        <w:t xml:space="preserve">（6）在框架协议期内，随时对乙方及其委托的授权分支机构履约情况进行检查。 </w:t>
      </w:r>
    </w:p>
    <w:p w14:paraId="6BBCC859">
      <w:pPr>
        <w:pStyle w:val="192"/>
        <w:spacing w:line="0" w:lineRule="atLeast"/>
        <w:rPr>
          <w:rFonts w:hAnsi="宋体"/>
          <w:sz w:val="24"/>
          <w:szCs w:val="24"/>
          <w:highlight w:val="none"/>
        </w:rPr>
      </w:pPr>
    </w:p>
    <w:p w14:paraId="268DA64F">
      <w:pPr>
        <w:pStyle w:val="192"/>
        <w:spacing w:before="120" w:after="120"/>
        <w:rPr>
          <w:rFonts w:hAnsi="宋体"/>
          <w:sz w:val="24"/>
          <w:szCs w:val="24"/>
          <w:highlight w:val="none"/>
        </w:rPr>
      </w:pPr>
      <w:r>
        <w:rPr>
          <w:rFonts w:hAnsi="宋体"/>
          <w:sz w:val="24"/>
          <w:szCs w:val="24"/>
          <w:highlight w:val="none"/>
        </w:rPr>
        <w:t>9.2 甲方的义务</w:t>
      </w:r>
    </w:p>
    <w:p w14:paraId="06B0B698">
      <w:pPr>
        <w:pStyle w:val="192"/>
        <w:spacing w:before="120" w:after="120"/>
        <w:rPr>
          <w:rFonts w:hAnsi="宋体"/>
          <w:sz w:val="24"/>
          <w:szCs w:val="24"/>
          <w:highlight w:val="none"/>
        </w:rPr>
      </w:pPr>
      <w:r>
        <w:rPr>
          <w:rFonts w:hAnsi="宋体"/>
          <w:sz w:val="24"/>
          <w:szCs w:val="24"/>
          <w:highlight w:val="none"/>
        </w:rPr>
        <w:t>（1）为第二阶段合同授予提供工作便利。 </w:t>
      </w:r>
    </w:p>
    <w:p w14:paraId="1CC0356F">
      <w:pPr>
        <w:pStyle w:val="192"/>
        <w:spacing w:before="120" w:after="120"/>
        <w:rPr>
          <w:rFonts w:hAnsi="宋体"/>
          <w:sz w:val="24"/>
          <w:szCs w:val="24"/>
          <w:highlight w:val="none"/>
        </w:rPr>
      </w:pPr>
      <w:r>
        <w:rPr>
          <w:rFonts w:hAnsi="宋体"/>
          <w:sz w:val="24"/>
          <w:szCs w:val="24"/>
          <w:highlight w:val="none"/>
        </w:rPr>
        <w:t>（2）对第二阶段最高限价和需求标准执行情况进行管理。</w:t>
      </w:r>
    </w:p>
    <w:p w14:paraId="5044A825">
      <w:pPr>
        <w:pStyle w:val="192"/>
        <w:spacing w:before="120" w:after="120"/>
        <w:rPr>
          <w:rFonts w:hAnsi="宋体"/>
          <w:sz w:val="24"/>
          <w:szCs w:val="24"/>
          <w:highlight w:val="none"/>
        </w:rPr>
      </w:pPr>
      <w:r>
        <w:rPr>
          <w:rFonts w:hAnsi="宋体"/>
          <w:sz w:val="24"/>
          <w:szCs w:val="24"/>
          <w:highlight w:val="none"/>
        </w:rPr>
        <w:t>（3）对第二阶段确定成交供应商情况进行管理。 </w:t>
      </w:r>
    </w:p>
    <w:p w14:paraId="135E56E2">
      <w:pPr>
        <w:pStyle w:val="192"/>
        <w:spacing w:before="120" w:after="120"/>
        <w:rPr>
          <w:rFonts w:hAnsi="宋体"/>
          <w:sz w:val="24"/>
          <w:szCs w:val="24"/>
          <w:highlight w:val="none"/>
        </w:rPr>
      </w:pPr>
      <w:r>
        <w:rPr>
          <w:rFonts w:hAnsi="宋体"/>
          <w:sz w:val="24"/>
          <w:szCs w:val="24"/>
          <w:highlight w:val="none"/>
        </w:rPr>
        <w:t>（4）根据框架协议约定，在质量不降低、价格不提高的前提下，对入围供应商因服务升级换代、用新服务替代原入围服务的情形进行审核。 </w:t>
      </w:r>
    </w:p>
    <w:p w14:paraId="44FE35C1">
      <w:pPr>
        <w:pStyle w:val="192"/>
        <w:spacing w:before="120" w:after="120"/>
        <w:rPr>
          <w:rFonts w:hAnsi="宋体"/>
          <w:sz w:val="24"/>
          <w:szCs w:val="24"/>
          <w:highlight w:val="none"/>
        </w:rPr>
      </w:pPr>
      <w:r>
        <w:rPr>
          <w:rFonts w:hAnsi="宋体"/>
          <w:sz w:val="24"/>
          <w:szCs w:val="24"/>
          <w:highlight w:val="none"/>
        </w:rPr>
        <w:t>（5）建立用户反馈和评价机制，接受采购人和服务对象对入围供应商履行框架协议和采购合同情况的反馈与评价，并将用户反馈和评价情况向采购人和服务对象公开，作为第二阶段直接选定成交供应商的参考。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6A816CC0">
      <w:pPr>
        <w:pStyle w:val="192"/>
        <w:spacing w:before="120" w:after="120"/>
        <w:rPr>
          <w:rFonts w:hAnsi="宋体"/>
          <w:sz w:val="24"/>
          <w:szCs w:val="24"/>
          <w:highlight w:val="none"/>
        </w:rPr>
      </w:pPr>
      <w:r>
        <w:rPr>
          <w:rFonts w:hAnsi="宋体"/>
          <w:sz w:val="24"/>
          <w:szCs w:val="24"/>
          <w:highlight w:val="none"/>
        </w:rPr>
        <w:t>（6）公开封闭式框架协议的第二阶段成交结果。 </w:t>
      </w:r>
    </w:p>
    <w:p w14:paraId="53FEB692">
      <w:pPr>
        <w:pStyle w:val="192"/>
        <w:spacing w:before="120" w:after="120"/>
        <w:rPr>
          <w:rFonts w:hAnsi="宋体"/>
          <w:sz w:val="24"/>
          <w:szCs w:val="24"/>
          <w:highlight w:val="none"/>
        </w:rPr>
      </w:pPr>
      <w:r>
        <w:rPr>
          <w:rFonts w:hAnsi="宋体"/>
          <w:sz w:val="24"/>
          <w:szCs w:val="24"/>
          <w:highlight w:val="none"/>
        </w:rPr>
        <w:t>（7）办理入围供应商清退和补充相关事宜。</w:t>
      </w:r>
    </w:p>
    <w:p w14:paraId="41783E83">
      <w:pPr>
        <w:pStyle w:val="192"/>
        <w:spacing w:before="120" w:after="120"/>
        <w:rPr>
          <w:rFonts w:hAnsi="宋体"/>
          <w:sz w:val="24"/>
          <w:szCs w:val="24"/>
          <w:highlight w:val="none"/>
        </w:rPr>
      </w:pPr>
      <w:r>
        <w:rPr>
          <w:rFonts w:hAnsi="宋体"/>
          <w:sz w:val="24"/>
          <w:szCs w:val="24"/>
          <w:highlight w:val="none"/>
        </w:rPr>
        <w:t>（8）建立真实完整的框架协议采购档案，妥善保存每项采购活动的采购文件资料。</w:t>
      </w:r>
    </w:p>
    <w:p w14:paraId="7BF6B728">
      <w:pPr>
        <w:pStyle w:val="192"/>
        <w:spacing w:before="120" w:after="120"/>
        <w:rPr>
          <w:rFonts w:hAnsi="宋体"/>
          <w:sz w:val="24"/>
          <w:szCs w:val="24"/>
          <w:highlight w:val="none"/>
        </w:rPr>
      </w:pPr>
    </w:p>
    <w:p w14:paraId="72005101">
      <w:pPr>
        <w:pStyle w:val="192"/>
        <w:spacing w:before="120" w:after="120"/>
        <w:rPr>
          <w:rFonts w:hAnsi="宋体"/>
          <w:sz w:val="24"/>
          <w:szCs w:val="24"/>
          <w:highlight w:val="none"/>
        </w:rPr>
      </w:pPr>
      <w:r>
        <w:rPr>
          <w:rFonts w:hAnsi="宋体"/>
          <w:sz w:val="24"/>
          <w:szCs w:val="24"/>
          <w:highlight w:val="none"/>
        </w:rPr>
        <w:t>9.3 乙方的权利</w:t>
      </w:r>
    </w:p>
    <w:p w14:paraId="539829CF">
      <w:pPr>
        <w:pStyle w:val="192"/>
        <w:spacing w:before="120" w:after="120"/>
        <w:rPr>
          <w:rFonts w:hAnsi="宋体"/>
          <w:sz w:val="24"/>
          <w:szCs w:val="24"/>
          <w:highlight w:val="none"/>
        </w:rPr>
      </w:pPr>
      <w:r>
        <w:rPr>
          <w:rFonts w:hAnsi="宋体"/>
          <w:sz w:val="24"/>
          <w:szCs w:val="24"/>
          <w:highlight w:val="none"/>
        </w:rPr>
        <w:t>（1）乙方（及其委托的授权分支机构，以下统称乙方）具有为采购人提供相关服务的资格。</w:t>
      </w:r>
    </w:p>
    <w:p w14:paraId="11D2D46D">
      <w:pPr>
        <w:pStyle w:val="192"/>
        <w:spacing w:before="120" w:after="120"/>
        <w:rPr>
          <w:rFonts w:hAnsi="宋体"/>
          <w:sz w:val="24"/>
          <w:szCs w:val="24"/>
          <w:highlight w:val="none"/>
        </w:rPr>
      </w:pPr>
      <w:r>
        <w:rPr>
          <w:rFonts w:hAnsi="宋体"/>
          <w:sz w:val="24"/>
          <w:szCs w:val="24"/>
          <w:highlight w:val="none"/>
        </w:rPr>
        <w:t xml:space="preserve">（2）乙方有权拒绝采购人提出的以本次框架协议采购名义购买非入围货物、服务、配件或满足采购人超出响应承诺以外的其他要求。 </w:t>
      </w:r>
    </w:p>
    <w:p w14:paraId="5A9EBAAE">
      <w:pPr>
        <w:pStyle w:val="192"/>
        <w:spacing w:before="120" w:after="120"/>
        <w:rPr>
          <w:rFonts w:hAnsi="宋体"/>
          <w:sz w:val="24"/>
          <w:szCs w:val="24"/>
          <w:highlight w:val="none"/>
        </w:rPr>
      </w:pPr>
      <w:r>
        <w:rPr>
          <w:rFonts w:hAnsi="宋体"/>
          <w:sz w:val="24"/>
          <w:szCs w:val="24"/>
          <w:highlight w:val="none"/>
        </w:rPr>
        <w:t xml:space="preserve">（3）对采购人在购买入围服务过程中的不正当要求和违规行为进行投诉，并要求有关部门做出处理。 </w:t>
      </w:r>
    </w:p>
    <w:p w14:paraId="1E9CE8C7">
      <w:pPr>
        <w:pStyle w:val="192"/>
        <w:spacing w:before="120" w:after="120"/>
        <w:rPr>
          <w:rFonts w:hAnsi="宋体"/>
          <w:sz w:val="24"/>
          <w:szCs w:val="24"/>
          <w:highlight w:val="none"/>
        </w:rPr>
      </w:pPr>
      <w:r>
        <w:rPr>
          <w:rFonts w:hAnsi="宋体"/>
          <w:sz w:val="24"/>
          <w:szCs w:val="24"/>
          <w:highlight w:val="none"/>
        </w:rPr>
        <w:t>（4）有权拒绝任何个人以采购人名义按照协议价格购买入围服务和进行现金交易。</w:t>
      </w:r>
    </w:p>
    <w:p w14:paraId="249006C1">
      <w:pPr>
        <w:pStyle w:val="192"/>
        <w:spacing w:before="120" w:after="120"/>
        <w:rPr>
          <w:rFonts w:hAnsi="宋体"/>
          <w:sz w:val="24"/>
          <w:szCs w:val="24"/>
          <w:highlight w:val="none"/>
        </w:rPr>
      </w:pPr>
    </w:p>
    <w:p w14:paraId="6B96DC06">
      <w:pPr>
        <w:pStyle w:val="192"/>
        <w:spacing w:before="120" w:after="120"/>
        <w:rPr>
          <w:rFonts w:hAnsi="宋体"/>
          <w:sz w:val="24"/>
          <w:szCs w:val="24"/>
          <w:highlight w:val="none"/>
        </w:rPr>
      </w:pPr>
      <w:r>
        <w:rPr>
          <w:rFonts w:hAnsi="宋体"/>
          <w:sz w:val="24"/>
          <w:szCs w:val="24"/>
          <w:highlight w:val="none"/>
        </w:rPr>
        <w:t>9.4 乙方的义务</w:t>
      </w:r>
    </w:p>
    <w:p w14:paraId="4BBA39C0">
      <w:pPr>
        <w:pStyle w:val="192"/>
        <w:spacing w:before="120" w:after="120"/>
        <w:rPr>
          <w:rFonts w:hAnsi="宋体"/>
          <w:sz w:val="24"/>
          <w:szCs w:val="24"/>
          <w:highlight w:val="none"/>
        </w:rPr>
      </w:pPr>
      <w:r>
        <w:rPr>
          <w:rFonts w:hAnsi="宋体"/>
          <w:sz w:val="24"/>
          <w:szCs w:val="24"/>
          <w:highlight w:val="none"/>
        </w:rPr>
        <w:t xml:space="preserve">（1）严格执行国家法律法规，严格按照响应文件承诺的价格和服务履约，遵守本合同条款。 </w:t>
      </w:r>
    </w:p>
    <w:p w14:paraId="0C4CFCF6">
      <w:pPr>
        <w:pStyle w:val="192"/>
        <w:spacing w:before="120" w:after="120"/>
        <w:rPr>
          <w:rFonts w:hAnsi="宋体"/>
          <w:sz w:val="24"/>
          <w:szCs w:val="24"/>
          <w:highlight w:val="none"/>
        </w:rPr>
      </w:pPr>
      <w:r>
        <w:rPr>
          <w:rFonts w:hAnsi="宋体"/>
          <w:sz w:val="24"/>
          <w:szCs w:val="24"/>
          <w:highlight w:val="none"/>
        </w:rPr>
        <w:t>（2）乙方如授权分支机构代其接受采购人合同授予并履行采购合同，在签订框架协议时需提供授权分支机构名单，作为框架协议的附件。</w:t>
      </w:r>
    </w:p>
    <w:p w14:paraId="37509352">
      <w:pPr>
        <w:pStyle w:val="192"/>
        <w:spacing w:before="120" w:after="120"/>
        <w:rPr>
          <w:rFonts w:hAnsi="宋体"/>
          <w:sz w:val="24"/>
          <w:szCs w:val="24"/>
          <w:highlight w:val="none"/>
        </w:rPr>
      </w:pPr>
      <w:r>
        <w:rPr>
          <w:rFonts w:hAnsi="宋体"/>
          <w:sz w:val="24"/>
          <w:szCs w:val="24"/>
          <w:highlight w:val="none"/>
        </w:rPr>
        <w:t xml:space="preserve">（3）随时接受并配合甲方的监督检查，并配合财政部门对采购人和其他入围供应商对框架协议执行情况进行监督，发现违规违约情形的，及时向财政部门报告。 </w:t>
      </w:r>
    </w:p>
    <w:p w14:paraId="2DF285C3">
      <w:pPr>
        <w:pStyle w:val="192"/>
        <w:spacing w:before="120" w:after="120"/>
        <w:rPr>
          <w:rFonts w:hAnsi="宋体"/>
          <w:sz w:val="24"/>
          <w:szCs w:val="24"/>
          <w:highlight w:val="none"/>
        </w:rPr>
      </w:pPr>
      <w:r>
        <w:rPr>
          <w:rFonts w:hAnsi="宋体"/>
          <w:sz w:val="24"/>
          <w:szCs w:val="24"/>
          <w:highlight w:val="none"/>
        </w:rPr>
        <w:t xml:space="preserve">（4）在框架协议有效期内，按照不高于协议价格的价格，向采购人提供相关服务。 </w:t>
      </w:r>
    </w:p>
    <w:p w14:paraId="48CC8799">
      <w:pPr>
        <w:pStyle w:val="192"/>
        <w:spacing w:before="120" w:after="120"/>
        <w:rPr>
          <w:rFonts w:hAnsi="宋体"/>
          <w:sz w:val="24"/>
          <w:szCs w:val="24"/>
          <w:highlight w:val="none"/>
        </w:rPr>
      </w:pPr>
      <w:r>
        <w:rPr>
          <w:rFonts w:hAnsi="宋体"/>
          <w:sz w:val="24"/>
          <w:szCs w:val="24"/>
          <w:highlight w:val="none"/>
        </w:rPr>
        <w:t xml:space="preserve">（5）乙方及其委托的聘用专家对本项目承担连带责任，乙方委托的聘用专家必须履行乙方在响应文件中承诺的责任和义务。 </w:t>
      </w:r>
    </w:p>
    <w:p w14:paraId="27D22A6D">
      <w:pPr>
        <w:pStyle w:val="192"/>
        <w:spacing w:before="120" w:after="120"/>
        <w:rPr>
          <w:rFonts w:hAnsi="宋体"/>
          <w:sz w:val="24"/>
          <w:szCs w:val="24"/>
          <w:highlight w:val="none"/>
        </w:rPr>
      </w:pPr>
      <w:r>
        <w:rPr>
          <w:rFonts w:hAnsi="宋体"/>
          <w:sz w:val="24"/>
          <w:szCs w:val="24"/>
          <w:highlight w:val="none"/>
        </w:rPr>
        <w:t>（6）框架协议期内，在质量不降低、价格不提高的前提下，乙方如出现因服务升级换代，需用新服务替代原入围服务情形时，必须在”苏采云”系统中向甲方提出申请。</w:t>
      </w:r>
    </w:p>
    <w:p w14:paraId="189340CD">
      <w:pPr>
        <w:spacing w:before="145" w:after="145"/>
        <w:rPr>
          <w:rFonts w:ascii="宋体" w:hAnsi="宋体" w:eastAsia="仿宋_GB2312"/>
          <w:b/>
          <w:sz w:val="24"/>
          <w:szCs w:val="24"/>
          <w:highlight w:val="none"/>
        </w:rPr>
      </w:pPr>
      <w:r>
        <w:rPr>
          <w:rFonts w:ascii="宋体" w:hAnsi="宋体"/>
          <w:b/>
          <w:sz w:val="24"/>
          <w:szCs w:val="24"/>
          <w:highlight w:val="none"/>
        </w:rPr>
        <w:t>十、税费</w:t>
      </w:r>
    </w:p>
    <w:p w14:paraId="36D6F9AC">
      <w:pPr>
        <w:spacing w:before="145" w:after="145"/>
        <w:rPr>
          <w:rFonts w:ascii="宋体" w:hAnsi="宋体"/>
          <w:sz w:val="24"/>
          <w:szCs w:val="24"/>
          <w:highlight w:val="none"/>
        </w:rPr>
      </w:pPr>
      <w:r>
        <w:rPr>
          <w:rFonts w:ascii="宋体" w:hAnsi="宋体"/>
          <w:sz w:val="24"/>
          <w:szCs w:val="24"/>
          <w:highlight w:val="none"/>
        </w:rPr>
        <w:t>10.1本框架协议执行中相关的一切税费均由乙方负担。</w:t>
      </w:r>
    </w:p>
    <w:p w14:paraId="5230C61A">
      <w:pPr>
        <w:pStyle w:val="192"/>
        <w:spacing w:before="120" w:after="120"/>
        <w:rPr>
          <w:rFonts w:hAnsi="宋体"/>
          <w:b/>
          <w:sz w:val="24"/>
          <w:szCs w:val="24"/>
          <w:highlight w:val="none"/>
        </w:rPr>
      </w:pPr>
      <w:r>
        <w:rPr>
          <w:rFonts w:hAnsi="宋体"/>
          <w:b/>
          <w:sz w:val="24"/>
          <w:szCs w:val="24"/>
          <w:highlight w:val="none"/>
        </w:rPr>
        <w:t>十一、框架协议文本的生效及其它</w:t>
      </w:r>
    </w:p>
    <w:p w14:paraId="66AE0733">
      <w:pPr>
        <w:pStyle w:val="192"/>
        <w:spacing w:before="120" w:after="120"/>
        <w:rPr>
          <w:rFonts w:hAnsi="宋体"/>
          <w:sz w:val="24"/>
          <w:szCs w:val="24"/>
          <w:highlight w:val="none"/>
        </w:rPr>
      </w:pPr>
      <w:r>
        <w:rPr>
          <w:rFonts w:hAnsi="宋体"/>
          <w:sz w:val="24"/>
          <w:szCs w:val="24"/>
          <w:highlight w:val="none"/>
        </w:rPr>
        <w:t>11.1 本框架协议文本经甲乙双方法定代表人或授权委托代表人签字并加盖单位公章后生效。</w:t>
      </w:r>
    </w:p>
    <w:p w14:paraId="27EE0755">
      <w:pPr>
        <w:pStyle w:val="192"/>
        <w:spacing w:before="120" w:after="120"/>
        <w:rPr>
          <w:rFonts w:hAnsi="宋体"/>
          <w:sz w:val="24"/>
          <w:szCs w:val="24"/>
          <w:highlight w:val="none"/>
        </w:rPr>
      </w:pPr>
      <w:r>
        <w:rPr>
          <w:rFonts w:hAnsi="宋体"/>
          <w:sz w:val="24"/>
          <w:szCs w:val="24"/>
          <w:highlight w:val="none"/>
        </w:rPr>
        <w:t>11.2本框架协议文本未尽事宜，遵照</w:t>
      </w:r>
      <w:r>
        <w:rPr>
          <w:rFonts w:hint="eastAsia" w:ascii="Arial" w:hAnsi="宋体" w:eastAsiaTheme="minorEastAsia" w:cstheme="minorBidi"/>
          <w:sz w:val="24"/>
          <w:szCs w:val="24"/>
          <w:highlight w:val="none"/>
          <w:lang w:val="en-US" w:eastAsia="zh-CN" w:bidi="ar-SA"/>
        </w:rPr>
        <w:t>《中华人民共和国民法典》</w:t>
      </w:r>
      <w:r>
        <w:rPr>
          <w:rFonts w:hAnsi="宋体"/>
          <w:sz w:val="24"/>
          <w:szCs w:val="24"/>
          <w:highlight w:val="none"/>
        </w:rPr>
        <w:t>有关条文执行。</w:t>
      </w:r>
    </w:p>
    <w:p w14:paraId="7ADEB792">
      <w:pPr>
        <w:pStyle w:val="192"/>
        <w:spacing w:before="120" w:after="120"/>
        <w:rPr>
          <w:rFonts w:hAnsi="宋体"/>
          <w:sz w:val="24"/>
          <w:szCs w:val="24"/>
          <w:highlight w:val="none"/>
        </w:rPr>
      </w:pPr>
      <w:r>
        <w:rPr>
          <w:rFonts w:hAnsi="宋体"/>
          <w:sz w:val="24"/>
          <w:szCs w:val="24"/>
          <w:highlight w:val="none"/>
        </w:rPr>
        <w:t>11.3 本框架协议文本正本一式两份，具有同等法律效力，甲方、乙方各执一份。</w:t>
      </w:r>
    </w:p>
    <w:p w14:paraId="5438AF5E">
      <w:pPr>
        <w:pStyle w:val="192"/>
        <w:spacing w:before="120" w:after="120" w:line="0" w:lineRule="atLeast"/>
        <w:ind w:left="450" w:hanging="240"/>
        <w:rPr>
          <w:rFonts w:hAnsi="宋体"/>
          <w:sz w:val="24"/>
          <w:szCs w:val="24"/>
          <w:highlight w:val="none"/>
        </w:rPr>
      </w:pPr>
      <w:r>
        <w:rPr>
          <w:rFonts w:hAnsi="宋体"/>
          <w:sz w:val="24"/>
          <w:szCs w:val="24"/>
          <w:highlight w:val="none"/>
        </w:rPr>
        <w:t xml:space="preserve">甲方：                                        乙方： </w:t>
      </w:r>
    </w:p>
    <w:p w14:paraId="1402FBCF">
      <w:pPr>
        <w:pStyle w:val="192"/>
        <w:spacing w:before="120" w:after="120" w:line="0" w:lineRule="atLeast"/>
        <w:rPr>
          <w:rFonts w:hAnsi="宋体"/>
          <w:sz w:val="24"/>
          <w:szCs w:val="24"/>
          <w:highlight w:val="none"/>
        </w:rPr>
      </w:pPr>
      <w:r>
        <w:rPr>
          <w:rFonts w:hAnsi="宋体"/>
          <w:sz w:val="24"/>
          <w:szCs w:val="24"/>
          <w:highlight w:val="none"/>
        </w:rPr>
        <w:t xml:space="preserve">  地址：                                        地址： </w:t>
      </w:r>
    </w:p>
    <w:p w14:paraId="427F8EA2">
      <w:pPr>
        <w:pStyle w:val="192"/>
        <w:spacing w:before="120" w:after="120" w:line="0" w:lineRule="atLeast"/>
        <w:rPr>
          <w:rFonts w:hAnsi="宋体"/>
          <w:sz w:val="24"/>
          <w:szCs w:val="24"/>
          <w:highlight w:val="none"/>
        </w:rPr>
      </w:pPr>
      <w:r>
        <w:rPr>
          <w:rFonts w:hAnsi="宋体"/>
          <w:sz w:val="24"/>
          <w:szCs w:val="24"/>
          <w:highlight w:val="none"/>
        </w:rPr>
        <w:t xml:space="preserve">  法定代表人或授权代表：                        法定代表人或授权代表：</w:t>
      </w:r>
    </w:p>
    <w:p w14:paraId="635E0C5A">
      <w:pPr>
        <w:pStyle w:val="192"/>
        <w:spacing w:before="120" w:after="120" w:line="0" w:lineRule="atLeast"/>
        <w:ind w:firstLine="240"/>
        <w:rPr>
          <w:highlight w:val="none"/>
        </w:rPr>
      </w:pPr>
      <w:r>
        <w:rPr>
          <w:rFonts w:hAnsi="宋体"/>
          <w:sz w:val="24"/>
          <w:szCs w:val="24"/>
          <w:highlight w:val="none"/>
        </w:rPr>
        <w:t xml:space="preserve">联系电话：                                    联系电话：          </w:t>
      </w:r>
    </w:p>
    <w:p w14:paraId="4044E6AC">
      <w:pPr>
        <w:pStyle w:val="192"/>
        <w:spacing w:before="120" w:after="120" w:line="0" w:lineRule="atLeast"/>
        <w:jc w:val="center"/>
        <w:rPr>
          <w:rFonts w:hAnsi="宋体"/>
          <w:sz w:val="24"/>
          <w:szCs w:val="24"/>
          <w:highlight w:val="none"/>
        </w:rPr>
      </w:pPr>
      <w:r>
        <w:rPr>
          <w:rFonts w:hAnsi="宋体"/>
          <w:sz w:val="24"/>
          <w:szCs w:val="24"/>
          <w:highlight w:val="none"/>
        </w:rPr>
        <w:t xml:space="preserve">                    签订日期：      年    月   日</w:t>
      </w:r>
      <w:bookmarkEnd w:id="149"/>
      <w:bookmarkEnd w:id="150"/>
      <w:bookmarkEnd w:id="151"/>
      <w:bookmarkStart w:id="153" w:name="_Hlt16619369"/>
      <w:bookmarkEnd w:id="153"/>
    </w:p>
    <w:p w14:paraId="7D4AEDC9">
      <w:pPr>
        <w:ind w:firstLine="645"/>
        <w:jc w:val="center"/>
        <w:rPr>
          <w:rFonts w:ascii="宋体" w:hAnsi="宋体"/>
          <w:b/>
          <w:bCs/>
          <w:sz w:val="30"/>
          <w:szCs w:val="30"/>
          <w:highlight w:val="none"/>
        </w:rPr>
      </w:pPr>
      <w:r>
        <w:rPr>
          <w:rFonts w:hAnsi="宋体"/>
          <w:sz w:val="24"/>
          <w:szCs w:val="24"/>
          <w:highlight w:val="none"/>
        </w:rPr>
        <w:br w:type="page" w:clear="all"/>
      </w:r>
      <w:r>
        <w:rPr>
          <w:rFonts w:hint="eastAsia" w:hAnsi="宋体" w:eastAsia="宋体"/>
          <w:b/>
          <w:bCs/>
          <w:sz w:val="30"/>
          <w:szCs w:val="30"/>
          <w:highlight w:val="none"/>
          <w:lang w:val="en-US" w:eastAsia="zh-CN"/>
        </w:rPr>
        <w:t>采购合同</w:t>
      </w:r>
      <w:r>
        <w:rPr>
          <w:rFonts w:hint="eastAsia" w:hAnsi="宋体"/>
          <w:b/>
          <w:bCs/>
          <w:sz w:val="30"/>
          <w:szCs w:val="30"/>
          <w:highlight w:val="none"/>
        </w:rPr>
        <w:t>文本</w:t>
      </w:r>
    </w:p>
    <w:p w14:paraId="2DE70DED">
      <w:pPr>
        <w:ind w:firstLine="645"/>
        <w:rPr>
          <w:rFonts w:hint="eastAsia" w:hAnsi="宋体"/>
          <w:sz w:val="24"/>
          <w:szCs w:val="24"/>
          <w:highlight w:val="none"/>
        </w:rPr>
      </w:pPr>
    </w:p>
    <w:p w14:paraId="5586A271">
      <w:pPr>
        <w:spacing w:line="500" w:lineRule="exact"/>
        <w:jc w:val="center"/>
        <w:rPr>
          <w:rFonts w:hint="eastAsia" w:ascii="仿宋" w:hAnsi="仿宋" w:eastAsia="仿宋" w:cs="宋体"/>
          <w:sz w:val="36"/>
          <w:szCs w:val="36"/>
          <w:highlight w:val="none"/>
        </w:rPr>
      </w:pPr>
      <w:r>
        <w:rPr>
          <w:rFonts w:hint="eastAsia" w:ascii="仿宋" w:hAnsi="仿宋" w:eastAsia="仿宋" w:cs="宋体"/>
          <w:sz w:val="36"/>
          <w:szCs w:val="36"/>
          <w:highlight w:val="none"/>
        </w:rPr>
        <w:t>本项目的</w:t>
      </w:r>
      <w:r>
        <w:rPr>
          <w:rFonts w:hint="eastAsia" w:ascii="仿宋" w:hAnsi="仿宋" w:eastAsia="仿宋" w:cs="宋体"/>
          <w:sz w:val="36"/>
          <w:szCs w:val="36"/>
          <w:highlight w:val="none"/>
          <w:lang w:val="en-US" w:eastAsia="zh-CN"/>
        </w:rPr>
        <w:t>采购合同</w:t>
      </w:r>
      <w:r>
        <w:rPr>
          <w:rFonts w:hint="eastAsia" w:ascii="仿宋" w:hAnsi="仿宋" w:eastAsia="仿宋" w:cs="宋体"/>
          <w:sz w:val="36"/>
          <w:szCs w:val="36"/>
          <w:highlight w:val="none"/>
        </w:rPr>
        <w:t>文本即具有合同性质的凭单、订单。</w:t>
      </w:r>
    </w:p>
    <w:p w14:paraId="0818C04E">
      <w:pPr>
        <w:rPr>
          <w:rFonts w:hAnsi="宋体"/>
          <w:sz w:val="24"/>
          <w:szCs w:val="24"/>
          <w:highlight w:val="none"/>
        </w:rPr>
      </w:pPr>
    </w:p>
    <w:p w14:paraId="254EF54E">
      <w:pPr>
        <w:rPr>
          <w:rFonts w:ascii="仿宋" w:hAnsi="仿宋" w:eastAsia="仿宋"/>
          <w:highlight w:val="none"/>
        </w:rPr>
      </w:pPr>
      <w:r>
        <w:rPr>
          <w:rFonts w:hint="eastAsia" w:ascii="仿宋" w:hAnsi="仿宋" w:eastAsia="仿宋" w:cs="宋体"/>
          <w:sz w:val="24"/>
          <w:highlight w:val="none"/>
        </w:rPr>
        <w:t xml:space="preserve">附件一： </w:t>
      </w:r>
    </w:p>
    <w:p w14:paraId="00710FC0">
      <w:pPr>
        <w:spacing w:line="500" w:lineRule="exact"/>
        <w:jc w:val="center"/>
        <w:rPr>
          <w:rFonts w:ascii="仿宋" w:hAnsi="仿宋" w:eastAsia="仿宋" w:cs="宋体"/>
          <w:sz w:val="36"/>
          <w:szCs w:val="36"/>
          <w:highlight w:val="none"/>
        </w:rPr>
      </w:pPr>
      <w:r>
        <w:rPr>
          <w:rFonts w:hint="eastAsia" w:ascii="仿宋" w:hAnsi="仿宋" w:eastAsia="仿宋" w:cs="宋体"/>
          <w:sz w:val="36"/>
          <w:szCs w:val="36"/>
          <w:highlight w:val="none"/>
        </w:rPr>
        <w:t>公务用车维修费用执行价格一览表</w:t>
      </w:r>
    </w:p>
    <w:p w14:paraId="13BC0719">
      <w:pPr>
        <w:spacing w:line="500" w:lineRule="exact"/>
        <w:jc w:val="center"/>
        <w:rPr>
          <w:rFonts w:ascii="仿宋" w:hAnsi="仿宋" w:eastAsia="仿宋" w:cs="宋体"/>
          <w:sz w:val="36"/>
          <w:szCs w:val="36"/>
          <w:highlight w:val="none"/>
        </w:rPr>
      </w:pPr>
    </w:p>
    <w:tbl>
      <w:tblPr>
        <w:tblStyle w:val="33"/>
        <w:tblW w:w="8680" w:type="dxa"/>
        <w:jc w:val="center"/>
        <w:tblLayout w:type="fixed"/>
        <w:tblCellMar>
          <w:top w:w="0" w:type="dxa"/>
          <w:left w:w="0" w:type="dxa"/>
          <w:bottom w:w="0" w:type="dxa"/>
          <w:right w:w="0" w:type="dxa"/>
        </w:tblCellMar>
      </w:tblPr>
      <w:tblGrid>
        <w:gridCol w:w="640"/>
        <w:gridCol w:w="1601"/>
        <w:gridCol w:w="1399"/>
        <w:gridCol w:w="1381"/>
        <w:gridCol w:w="2070"/>
        <w:gridCol w:w="1589"/>
      </w:tblGrid>
      <w:tr w14:paraId="6161F9BD">
        <w:tblPrEx>
          <w:tblCellMar>
            <w:top w:w="0" w:type="dxa"/>
            <w:left w:w="0" w:type="dxa"/>
            <w:bottom w:w="0" w:type="dxa"/>
            <w:right w:w="0" w:type="dxa"/>
          </w:tblCellMar>
        </w:tblPrEx>
        <w:trPr>
          <w:trHeight w:val="285" w:hRule="atLeast"/>
          <w:jc w:val="center"/>
        </w:trPr>
        <w:tc>
          <w:tcPr>
            <w:tcW w:w="640"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14:paraId="37C6D219">
            <w:pPr>
              <w:jc w:val="center"/>
              <w:rPr>
                <w:rFonts w:ascii="仿宋" w:hAnsi="仿宋" w:eastAsia="仿宋" w:cs="宋体"/>
                <w:sz w:val="24"/>
                <w:highlight w:val="none"/>
              </w:rPr>
            </w:pPr>
            <w:r>
              <w:rPr>
                <w:rFonts w:hint="eastAsia" w:ascii="仿宋" w:hAnsi="仿宋" w:eastAsia="仿宋" w:cs="宋体"/>
                <w:sz w:val="24"/>
                <w:highlight w:val="none"/>
              </w:rPr>
              <w:t>序号</w:t>
            </w:r>
          </w:p>
        </w:tc>
        <w:tc>
          <w:tcPr>
            <w:tcW w:w="1601"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14:paraId="6C171E41">
            <w:pPr>
              <w:jc w:val="center"/>
              <w:rPr>
                <w:rFonts w:ascii="仿宋" w:hAnsi="仿宋" w:eastAsia="仿宋" w:cs="宋体"/>
                <w:sz w:val="24"/>
                <w:highlight w:val="none"/>
              </w:rPr>
            </w:pPr>
            <w:r>
              <w:rPr>
                <w:rFonts w:hint="eastAsia" w:ascii="仿宋" w:hAnsi="仿宋" w:eastAsia="仿宋" w:cs="宋体"/>
                <w:sz w:val="24"/>
                <w:highlight w:val="none"/>
              </w:rPr>
              <w:t>公务用车维修单位（承修方）</w:t>
            </w:r>
          </w:p>
        </w:tc>
        <w:tc>
          <w:tcPr>
            <w:tcW w:w="1399"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14:paraId="394C0F89">
            <w:pPr>
              <w:jc w:val="center"/>
              <w:rPr>
                <w:rFonts w:ascii="仿宋" w:hAnsi="仿宋" w:eastAsia="仿宋" w:cs="宋体"/>
                <w:sz w:val="24"/>
                <w:highlight w:val="none"/>
              </w:rPr>
            </w:pPr>
            <w:r>
              <w:rPr>
                <w:rFonts w:hint="eastAsia" w:ascii="仿宋" w:hAnsi="仿宋" w:eastAsia="仿宋" w:cs="宋体"/>
                <w:sz w:val="24"/>
                <w:highlight w:val="none"/>
              </w:rPr>
              <w:t>故障诊断、维修项目、作业内容：</w:t>
            </w:r>
          </w:p>
        </w:tc>
        <w:tc>
          <w:tcPr>
            <w:tcW w:w="504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C43676E">
            <w:pPr>
              <w:jc w:val="center"/>
              <w:rPr>
                <w:rFonts w:ascii="仿宋" w:hAnsi="仿宋" w:eastAsia="仿宋" w:cs="宋体"/>
                <w:sz w:val="24"/>
                <w:highlight w:val="none"/>
              </w:rPr>
            </w:pPr>
            <w:r>
              <w:rPr>
                <w:rFonts w:hint="eastAsia" w:ascii="仿宋" w:hAnsi="仿宋" w:eastAsia="仿宋" w:cs="宋体"/>
                <w:sz w:val="24"/>
                <w:highlight w:val="none"/>
              </w:rPr>
              <w:t>维修费用执行价格</w:t>
            </w:r>
          </w:p>
        </w:tc>
      </w:tr>
      <w:tr w14:paraId="358C9697">
        <w:tblPrEx>
          <w:tblCellMar>
            <w:top w:w="0" w:type="dxa"/>
            <w:left w:w="0" w:type="dxa"/>
            <w:bottom w:w="0" w:type="dxa"/>
            <w:right w:w="0" w:type="dxa"/>
          </w:tblCellMar>
        </w:tblPrEx>
        <w:trPr>
          <w:trHeight w:val="285" w:hRule="atLeast"/>
          <w:jc w:val="center"/>
        </w:trPr>
        <w:tc>
          <w:tcPr>
            <w:tcW w:w="640" w:type="dxa"/>
            <w:vMerge w:val="continue"/>
            <w:tcBorders>
              <w:top w:val="single" w:color="auto" w:sz="4" w:space="0"/>
              <w:left w:val="single" w:color="auto" w:sz="4" w:space="0"/>
              <w:bottom w:val="single" w:color="000000" w:sz="4" w:space="0"/>
              <w:right w:val="single" w:color="auto" w:sz="4" w:space="0"/>
            </w:tcBorders>
            <w:noWrap w:val="0"/>
            <w:vAlign w:val="center"/>
          </w:tcPr>
          <w:p w14:paraId="6C8C531E">
            <w:pPr>
              <w:jc w:val="center"/>
              <w:rPr>
                <w:rFonts w:ascii="仿宋" w:hAnsi="仿宋" w:eastAsia="仿宋" w:cs="宋体"/>
                <w:sz w:val="24"/>
                <w:highlight w:val="none"/>
              </w:rPr>
            </w:pPr>
          </w:p>
        </w:tc>
        <w:tc>
          <w:tcPr>
            <w:tcW w:w="1601" w:type="dxa"/>
            <w:vMerge w:val="continue"/>
            <w:tcBorders>
              <w:top w:val="single" w:color="auto" w:sz="4" w:space="0"/>
              <w:left w:val="single" w:color="auto" w:sz="4" w:space="0"/>
              <w:bottom w:val="single" w:color="000000" w:sz="4" w:space="0"/>
              <w:right w:val="single" w:color="auto" w:sz="4" w:space="0"/>
            </w:tcBorders>
            <w:noWrap w:val="0"/>
            <w:vAlign w:val="center"/>
          </w:tcPr>
          <w:p w14:paraId="7B270C13">
            <w:pPr>
              <w:jc w:val="center"/>
              <w:rPr>
                <w:rFonts w:ascii="仿宋" w:hAnsi="仿宋" w:eastAsia="仿宋" w:cs="宋体"/>
                <w:sz w:val="24"/>
                <w:highlight w:val="none"/>
              </w:rPr>
            </w:pPr>
          </w:p>
        </w:tc>
        <w:tc>
          <w:tcPr>
            <w:tcW w:w="1399" w:type="dxa"/>
            <w:vMerge w:val="continue"/>
            <w:tcBorders>
              <w:top w:val="single" w:color="auto" w:sz="4" w:space="0"/>
              <w:left w:val="single" w:color="auto" w:sz="4" w:space="0"/>
              <w:bottom w:val="single" w:color="000000" w:sz="4" w:space="0"/>
              <w:right w:val="single" w:color="auto" w:sz="4" w:space="0"/>
            </w:tcBorders>
            <w:noWrap w:val="0"/>
            <w:vAlign w:val="center"/>
          </w:tcPr>
          <w:p w14:paraId="50F4EDA1">
            <w:pPr>
              <w:jc w:val="center"/>
              <w:rPr>
                <w:rFonts w:ascii="仿宋" w:hAnsi="仿宋" w:eastAsia="仿宋" w:cs="宋体"/>
                <w:sz w:val="24"/>
                <w:highlight w:val="none"/>
              </w:rPr>
            </w:pPr>
          </w:p>
        </w:tc>
        <w:tc>
          <w:tcPr>
            <w:tcW w:w="3451" w:type="dxa"/>
            <w:gridSpan w:val="2"/>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DC62B60">
            <w:pPr>
              <w:jc w:val="center"/>
              <w:rPr>
                <w:rFonts w:ascii="仿宋" w:hAnsi="仿宋" w:eastAsia="仿宋" w:cs="宋体"/>
                <w:sz w:val="24"/>
                <w:highlight w:val="none"/>
              </w:rPr>
            </w:pPr>
            <w:r>
              <w:rPr>
                <w:rFonts w:hint="eastAsia" w:ascii="仿宋" w:hAnsi="仿宋" w:eastAsia="仿宋" w:cs="宋体"/>
                <w:sz w:val="24"/>
                <w:highlight w:val="none"/>
              </w:rPr>
              <w:t>工时费用</w:t>
            </w:r>
          </w:p>
        </w:tc>
        <w:tc>
          <w:tcPr>
            <w:tcW w:w="1589" w:type="dxa"/>
            <w:vMerge w:val="restart"/>
            <w:tcBorders>
              <w:top w:val="nil"/>
              <w:left w:val="single" w:color="auto" w:sz="4" w:space="0"/>
              <w:right w:val="single" w:color="auto" w:sz="4" w:space="0"/>
            </w:tcBorders>
            <w:noWrap w:val="0"/>
            <w:tcMar>
              <w:top w:w="15" w:type="dxa"/>
              <w:left w:w="15" w:type="dxa"/>
              <w:bottom w:w="0" w:type="dxa"/>
              <w:right w:w="15" w:type="dxa"/>
            </w:tcMar>
            <w:vAlign w:val="center"/>
          </w:tcPr>
          <w:p w14:paraId="35BFAEA4">
            <w:pPr>
              <w:jc w:val="center"/>
              <w:rPr>
                <w:rFonts w:ascii="仿宋" w:hAnsi="仿宋" w:eastAsia="仿宋" w:cs="宋体"/>
                <w:sz w:val="24"/>
                <w:highlight w:val="none"/>
              </w:rPr>
            </w:pPr>
            <w:r>
              <w:rPr>
                <w:rFonts w:hint="eastAsia" w:ascii="仿宋" w:hAnsi="仿宋" w:eastAsia="仿宋" w:cs="宋体"/>
                <w:sz w:val="24"/>
                <w:highlight w:val="none"/>
              </w:rPr>
              <w:t>材料进销差价率%</w:t>
            </w:r>
          </w:p>
        </w:tc>
      </w:tr>
      <w:tr w14:paraId="31989321">
        <w:tblPrEx>
          <w:tblCellMar>
            <w:top w:w="0" w:type="dxa"/>
            <w:left w:w="0" w:type="dxa"/>
            <w:bottom w:w="0" w:type="dxa"/>
            <w:right w:w="0" w:type="dxa"/>
          </w:tblCellMar>
        </w:tblPrEx>
        <w:trPr>
          <w:trHeight w:val="855" w:hRule="atLeast"/>
          <w:jc w:val="center"/>
        </w:trPr>
        <w:tc>
          <w:tcPr>
            <w:tcW w:w="640" w:type="dxa"/>
            <w:vMerge w:val="continue"/>
            <w:tcBorders>
              <w:top w:val="single" w:color="auto" w:sz="4" w:space="0"/>
              <w:left w:val="single" w:color="auto" w:sz="4" w:space="0"/>
              <w:bottom w:val="single" w:color="000000" w:sz="4" w:space="0"/>
              <w:right w:val="single" w:color="auto" w:sz="4" w:space="0"/>
            </w:tcBorders>
            <w:noWrap w:val="0"/>
            <w:vAlign w:val="center"/>
          </w:tcPr>
          <w:p w14:paraId="2F7EF336">
            <w:pPr>
              <w:jc w:val="center"/>
              <w:rPr>
                <w:rFonts w:ascii="仿宋" w:hAnsi="仿宋" w:eastAsia="仿宋" w:cs="宋体"/>
                <w:sz w:val="24"/>
                <w:highlight w:val="none"/>
              </w:rPr>
            </w:pPr>
          </w:p>
        </w:tc>
        <w:tc>
          <w:tcPr>
            <w:tcW w:w="1601" w:type="dxa"/>
            <w:vMerge w:val="continue"/>
            <w:tcBorders>
              <w:top w:val="single" w:color="auto" w:sz="4" w:space="0"/>
              <w:left w:val="single" w:color="auto" w:sz="4" w:space="0"/>
              <w:bottom w:val="single" w:color="000000" w:sz="4" w:space="0"/>
              <w:right w:val="single" w:color="auto" w:sz="4" w:space="0"/>
            </w:tcBorders>
            <w:noWrap w:val="0"/>
            <w:vAlign w:val="center"/>
          </w:tcPr>
          <w:p w14:paraId="1330FFCD">
            <w:pPr>
              <w:rPr>
                <w:rFonts w:ascii="仿宋" w:hAnsi="仿宋" w:eastAsia="仿宋" w:cs="宋体"/>
                <w:sz w:val="24"/>
                <w:highlight w:val="none"/>
              </w:rPr>
            </w:pPr>
          </w:p>
        </w:tc>
        <w:tc>
          <w:tcPr>
            <w:tcW w:w="1399" w:type="dxa"/>
            <w:vMerge w:val="continue"/>
            <w:tcBorders>
              <w:top w:val="single" w:color="auto" w:sz="4" w:space="0"/>
              <w:left w:val="single" w:color="auto" w:sz="4" w:space="0"/>
              <w:bottom w:val="single" w:color="000000" w:sz="4" w:space="0"/>
              <w:right w:val="single" w:color="auto" w:sz="4" w:space="0"/>
            </w:tcBorders>
            <w:noWrap w:val="0"/>
            <w:vAlign w:val="center"/>
          </w:tcPr>
          <w:p w14:paraId="549FF547">
            <w:pPr>
              <w:rPr>
                <w:rFonts w:ascii="仿宋" w:hAnsi="仿宋" w:eastAsia="仿宋" w:cs="宋体"/>
                <w:sz w:val="24"/>
                <w:highlight w:val="none"/>
              </w:rPr>
            </w:pPr>
          </w:p>
        </w:tc>
        <w:tc>
          <w:tcPr>
            <w:tcW w:w="138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0160AA">
            <w:pPr>
              <w:rPr>
                <w:rFonts w:ascii="仿宋" w:hAnsi="仿宋" w:eastAsia="仿宋" w:cs="宋体"/>
                <w:sz w:val="24"/>
                <w:highlight w:val="none"/>
              </w:rPr>
            </w:pPr>
            <w:r>
              <w:rPr>
                <w:rFonts w:hint="eastAsia" w:ascii="仿宋" w:hAnsi="仿宋" w:eastAsia="仿宋" w:cs="宋体"/>
                <w:sz w:val="24"/>
                <w:highlight w:val="none"/>
              </w:rPr>
              <w:t>工时单价(元/工时)</w:t>
            </w:r>
          </w:p>
        </w:tc>
        <w:tc>
          <w:tcPr>
            <w:tcW w:w="2070"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1689B53">
            <w:pPr>
              <w:jc w:val="center"/>
              <w:rPr>
                <w:rFonts w:ascii="仿宋" w:hAnsi="仿宋" w:eastAsia="仿宋" w:cs="宋体"/>
                <w:sz w:val="24"/>
                <w:highlight w:val="none"/>
              </w:rPr>
            </w:pPr>
            <w:r>
              <w:rPr>
                <w:rFonts w:hint="eastAsia" w:ascii="仿宋" w:hAnsi="仿宋" w:eastAsia="仿宋"/>
                <w:sz w:val="24"/>
                <w:highlight w:val="none"/>
              </w:rPr>
              <w:t>工时</w:t>
            </w:r>
            <w:r>
              <w:rPr>
                <w:rFonts w:hint="eastAsia" w:ascii="仿宋" w:hAnsi="仿宋" w:eastAsia="仿宋" w:cs="宋体"/>
                <w:sz w:val="24"/>
                <w:highlight w:val="none"/>
              </w:rPr>
              <w:t>定额</w:t>
            </w:r>
          </w:p>
        </w:tc>
        <w:tc>
          <w:tcPr>
            <w:tcW w:w="1589" w:type="dxa"/>
            <w:vMerge w:val="continue"/>
            <w:tcBorders>
              <w:left w:val="single" w:color="auto" w:sz="4" w:space="0"/>
              <w:bottom w:val="single" w:color="000000" w:sz="4" w:space="0"/>
              <w:right w:val="single" w:color="auto" w:sz="4" w:space="0"/>
            </w:tcBorders>
            <w:noWrap w:val="0"/>
            <w:vAlign w:val="center"/>
          </w:tcPr>
          <w:p w14:paraId="01A8B557">
            <w:pPr>
              <w:rPr>
                <w:rFonts w:ascii="仿宋" w:hAnsi="仿宋" w:eastAsia="仿宋" w:cs="宋体"/>
                <w:sz w:val="24"/>
                <w:highlight w:val="none"/>
              </w:rPr>
            </w:pPr>
          </w:p>
        </w:tc>
      </w:tr>
      <w:tr w14:paraId="7632E79B">
        <w:tblPrEx>
          <w:tblCellMar>
            <w:top w:w="0" w:type="dxa"/>
            <w:left w:w="0" w:type="dxa"/>
            <w:bottom w:w="0" w:type="dxa"/>
            <w:right w:w="0" w:type="dxa"/>
          </w:tblCellMar>
        </w:tblPrEx>
        <w:trPr>
          <w:trHeight w:val="315" w:hRule="atLeast"/>
          <w:jc w:val="center"/>
        </w:trPr>
        <w:tc>
          <w:tcPr>
            <w:tcW w:w="6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E0F547">
            <w:pPr>
              <w:spacing w:line="400" w:lineRule="exact"/>
              <w:ind w:firstLine="480"/>
              <w:rPr>
                <w:rFonts w:hint="eastAsia" w:ascii="仿宋" w:hAnsi="仿宋" w:eastAsia="仿宋" w:cs="宋体"/>
                <w:sz w:val="24"/>
                <w:highlight w:val="none"/>
              </w:rPr>
            </w:pPr>
            <w:r>
              <w:rPr>
                <w:rFonts w:hint="eastAsia" w:ascii="仿宋" w:hAnsi="仿宋" w:eastAsia="仿宋" w:cs="宋体"/>
                <w:sz w:val="24"/>
                <w:highlight w:val="none"/>
              </w:rPr>
              <w:t>1</w:t>
            </w:r>
          </w:p>
        </w:tc>
        <w:tc>
          <w:tcPr>
            <w:tcW w:w="160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F0D94C5">
            <w:pPr>
              <w:spacing w:line="400" w:lineRule="exact"/>
              <w:ind w:firstLine="480"/>
              <w:rPr>
                <w:rFonts w:hint="eastAsia" w:ascii="仿宋" w:hAnsi="仿宋" w:eastAsia="仿宋" w:cs="宋体"/>
                <w:sz w:val="24"/>
                <w:highlight w:val="none"/>
              </w:rPr>
            </w:pPr>
          </w:p>
        </w:tc>
        <w:tc>
          <w:tcPr>
            <w:tcW w:w="1399"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0885198">
            <w:pPr>
              <w:spacing w:line="400" w:lineRule="exact"/>
              <w:ind w:firstLine="480"/>
              <w:rPr>
                <w:rFonts w:hint="eastAsia" w:ascii="仿宋" w:hAnsi="仿宋" w:eastAsia="仿宋" w:cs="宋体"/>
                <w:sz w:val="24"/>
                <w:highlight w:val="none"/>
              </w:rPr>
            </w:pPr>
          </w:p>
        </w:tc>
        <w:tc>
          <w:tcPr>
            <w:tcW w:w="138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B5BA32">
            <w:pPr>
              <w:spacing w:line="400" w:lineRule="exact"/>
              <w:ind w:firstLine="480"/>
              <w:rPr>
                <w:rFonts w:hint="eastAsia" w:ascii="仿宋" w:hAnsi="仿宋" w:eastAsia="仿宋" w:cs="宋体"/>
                <w:sz w:val="24"/>
                <w:highlight w:val="none"/>
              </w:rPr>
            </w:pPr>
          </w:p>
        </w:tc>
        <w:tc>
          <w:tcPr>
            <w:tcW w:w="2070" w:type="dxa"/>
            <w:tcBorders>
              <w:top w:val="nil"/>
              <w:left w:val="single" w:color="auto" w:sz="4" w:space="0"/>
              <w:bottom w:val="single" w:color="000000" w:sz="4" w:space="0"/>
              <w:right w:val="single" w:color="auto" w:sz="4" w:space="0"/>
            </w:tcBorders>
            <w:noWrap w:val="0"/>
            <w:tcMar>
              <w:top w:w="15" w:type="dxa"/>
              <w:left w:w="15" w:type="dxa"/>
              <w:bottom w:w="0" w:type="dxa"/>
              <w:right w:w="15" w:type="dxa"/>
            </w:tcMar>
            <w:vAlign w:val="center"/>
          </w:tcPr>
          <w:p w14:paraId="7573F78C">
            <w:pPr>
              <w:spacing w:line="400" w:lineRule="exact"/>
              <w:rPr>
                <w:rFonts w:hint="eastAsia"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江苏省机动车维修结算工时定额与收费指南</w:t>
            </w:r>
            <w:r>
              <w:rPr>
                <w:rFonts w:hint="eastAsia" w:ascii="仿宋" w:hAnsi="仿宋" w:eastAsia="仿宋" w:cs="宋体"/>
                <w:sz w:val="24"/>
                <w:highlight w:val="none"/>
              </w:rPr>
              <w:t>》（201</w:t>
            </w:r>
            <w:r>
              <w:rPr>
                <w:rFonts w:hint="eastAsia" w:ascii="仿宋" w:hAnsi="仿宋" w:eastAsia="仿宋" w:cs="宋体"/>
                <w:sz w:val="24"/>
                <w:highlight w:val="none"/>
                <w:lang w:val="en-US" w:eastAsia="zh-CN"/>
              </w:rPr>
              <w:t>4</w:t>
            </w:r>
            <w:r>
              <w:rPr>
                <w:rFonts w:hint="eastAsia" w:ascii="仿宋" w:hAnsi="仿宋" w:eastAsia="仿宋" w:cs="宋体"/>
                <w:sz w:val="24"/>
                <w:highlight w:val="none"/>
              </w:rPr>
              <w:t>版）</w:t>
            </w:r>
          </w:p>
        </w:tc>
        <w:tc>
          <w:tcPr>
            <w:tcW w:w="1589"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284B4BC">
            <w:pPr>
              <w:spacing w:line="400" w:lineRule="exact"/>
              <w:ind w:firstLine="480"/>
              <w:rPr>
                <w:rFonts w:hint="eastAsia" w:ascii="仿宋" w:hAnsi="仿宋" w:eastAsia="仿宋" w:cs="宋体"/>
                <w:sz w:val="24"/>
                <w:highlight w:val="none"/>
              </w:rPr>
            </w:pPr>
          </w:p>
        </w:tc>
      </w:tr>
    </w:tbl>
    <w:p w14:paraId="71677BF6">
      <w:pPr>
        <w:spacing w:line="400" w:lineRule="exact"/>
        <w:ind w:firstLine="480"/>
        <w:rPr>
          <w:rFonts w:hint="eastAsia" w:ascii="仿宋" w:hAnsi="仿宋" w:eastAsia="仿宋" w:cs="宋体"/>
          <w:sz w:val="24"/>
          <w:highlight w:val="none"/>
        </w:rPr>
      </w:pPr>
    </w:p>
    <w:p w14:paraId="67EBC0B0">
      <w:pPr>
        <w:spacing w:line="400" w:lineRule="exact"/>
        <w:ind w:firstLine="480"/>
        <w:rPr>
          <w:rFonts w:hint="eastAsia" w:ascii="仿宋" w:hAnsi="仿宋" w:eastAsia="仿宋" w:cs="宋体"/>
          <w:sz w:val="24"/>
          <w:highlight w:val="none"/>
        </w:rPr>
      </w:pPr>
      <w:r>
        <w:rPr>
          <w:rFonts w:hint="eastAsia" w:ascii="仿宋" w:hAnsi="仿宋" w:eastAsia="仿宋" w:cs="宋体"/>
          <w:sz w:val="24"/>
          <w:highlight w:val="none"/>
        </w:rPr>
        <w:t>说明：</w:t>
      </w:r>
    </w:p>
    <w:p w14:paraId="0F1C0A51">
      <w:pPr>
        <w:spacing w:line="400" w:lineRule="exact"/>
        <w:ind w:firstLine="480"/>
        <w:rPr>
          <w:rFonts w:ascii="仿宋" w:hAnsi="仿宋" w:eastAsia="仿宋" w:cs="宋体"/>
          <w:sz w:val="24"/>
          <w:highlight w:val="none"/>
        </w:rPr>
      </w:pPr>
      <w:r>
        <w:rPr>
          <w:rFonts w:hint="eastAsia" w:ascii="仿宋" w:hAnsi="仿宋" w:eastAsia="仿宋" w:cs="宋体"/>
          <w:sz w:val="24"/>
          <w:highlight w:val="none"/>
        </w:rPr>
        <w:t>1、乙方执行《</w:t>
      </w:r>
      <w:r>
        <w:rPr>
          <w:rFonts w:hint="eastAsia" w:ascii="仿宋" w:hAnsi="仿宋" w:eastAsia="仿宋" w:cs="宋体"/>
          <w:sz w:val="24"/>
          <w:highlight w:val="none"/>
          <w:lang w:val="en-US" w:eastAsia="zh-CN"/>
        </w:rPr>
        <w:t>江苏省机动车维修结算工时定额与收费指南</w:t>
      </w:r>
      <w:r>
        <w:rPr>
          <w:rFonts w:hint="eastAsia" w:ascii="仿宋" w:hAnsi="仿宋" w:eastAsia="仿宋" w:cs="宋体"/>
          <w:sz w:val="24"/>
          <w:highlight w:val="none"/>
        </w:rPr>
        <w:t>》（（201</w:t>
      </w:r>
      <w:r>
        <w:rPr>
          <w:rFonts w:hint="eastAsia" w:ascii="仿宋" w:hAnsi="仿宋" w:eastAsia="仿宋" w:cs="宋体"/>
          <w:sz w:val="24"/>
          <w:highlight w:val="none"/>
          <w:lang w:val="en-US" w:eastAsia="zh-CN"/>
        </w:rPr>
        <w:t>4</w:t>
      </w:r>
      <w:r>
        <w:rPr>
          <w:rFonts w:hint="eastAsia" w:ascii="仿宋" w:hAnsi="仿宋" w:eastAsia="仿宋" w:cs="宋体"/>
          <w:sz w:val="24"/>
          <w:highlight w:val="none"/>
        </w:rPr>
        <w:t>版）。</w:t>
      </w:r>
    </w:p>
    <w:p w14:paraId="5B934CC7">
      <w:pPr>
        <w:spacing w:line="400" w:lineRule="exact"/>
        <w:ind w:firstLine="480"/>
        <w:rPr>
          <w:rFonts w:ascii="仿宋" w:hAnsi="仿宋" w:eastAsia="仿宋" w:cs="宋体"/>
          <w:sz w:val="24"/>
          <w:highlight w:val="none"/>
        </w:rPr>
      </w:pPr>
      <w:r>
        <w:rPr>
          <w:rFonts w:hint="eastAsia" w:ascii="仿宋" w:hAnsi="仿宋" w:eastAsia="仿宋" w:cs="宋体"/>
          <w:sz w:val="24"/>
          <w:highlight w:val="none"/>
        </w:rPr>
        <w:t>2、乙方同意按“附件一”中确定的价格为框架协议期限内的最高限价。允许乙方根据实际情况自行降低价格。</w:t>
      </w:r>
    </w:p>
    <w:p w14:paraId="2B8EF9F2">
      <w:pPr>
        <w:spacing w:line="400" w:lineRule="exact"/>
        <w:ind w:firstLine="480"/>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3、维修结算总费用=工时费用（工时单价×工时定额）＋材料费用[材料购进价格×（1＋材料进销差价率%）]。上述所有费用均为含税价。</w:t>
      </w:r>
    </w:p>
    <w:p w14:paraId="311516D8">
      <w:pPr>
        <w:spacing w:line="400" w:lineRule="exact"/>
        <w:ind w:firstLine="540"/>
        <w:rPr>
          <w:rFonts w:ascii="仿宋" w:hAnsi="仿宋" w:eastAsia="仿宋" w:cs="宋体"/>
          <w:sz w:val="24"/>
          <w:highlight w:val="none"/>
        </w:rPr>
      </w:pPr>
      <w:r>
        <w:rPr>
          <w:rFonts w:ascii="仿宋" w:hAnsi="仿宋" w:eastAsia="仿宋" w:cs="宋体"/>
          <w:sz w:val="24"/>
          <w:highlight w:val="none"/>
        </w:rPr>
        <w:t>4</w:t>
      </w:r>
      <w:r>
        <w:rPr>
          <w:rFonts w:hint="eastAsia" w:ascii="仿宋" w:hAnsi="仿宋" w:eastAsia="仿宋" w:cs="宋体"/>
          <w:sz w:val="24"/>
          <w:highlight w:val="none"/>
        </w:rPr>
        <w:t>、未尽事项见</w:t>
      </w:r>
      <w:r>
        <w:rPr>
          <w:rFonts w:hint="eastAsia" w:ascii="仿宋" w:hAnsi="仿宋" w:eastAsia="仿宋" w:cs="宋体"/>
          <w:sz w:val="24"/>
          <w:highlight w:val="none"/>
          <w:lang w:val="en-US" w:eastAsia="zh-CN"/>
        </w:rPr>
        <w:t>江苏省质量技术监督局发布的</w:t>
      </w:r>
      <w:r>
        <w:rPr>
          <w:rFonts w:hint="eastAsia" w:ascii="仿宋" w:hAnsi="仿宋" w:eastAsia="仿宋"/>
          <w:sz w:val="24"/>
          <w:highlight w:val="none"/>
        </w:rPr>
        <w:t>《机动车维修费用结算规范》（DB 32/T 2665-2014）。</w:t>
      </w:r>
    </w:p>
    <w:p w14:paraId="6CFBE1F1">
      <w:pPr>
        <w:spacing w:line="400" w:lineRule="exact"/>
        <w:rPr>
          <w:rFonts w:ascii="仿宋" w:hAnsi="仿宋" w:eastAsia="仿宋" w:cs="宋体"/>
          <w:sz w:val="24"/>
          <w:highlight w:val="none"/>
        </w:rPr>
      </w:pPr>
    </w:p>
    <w:p w14:paraId="4C4FFDF2">
      <w:pPr>
        <w:spacing w:line="360" w:lineRule="exact"/>
        <w:ind w:firstLine="540"/>
        <w:rPr>
          <w:rFonts w:ascii="仿宋" w:hAnsi="仿宋" w:eastAsia="仿宋"/>
          <w:sz w:val="24"/>
          <w:highlight w:val="none"/>
        </w:rPr>
      </w:pPr>
      <w:r>
        <w:rPr>
          <w:rFonts w:hint="eastAsia" w:ascii="仿宋" w:hAnsi="仿宋" w:eastAsia="仿宋"/>
          <w:sz w:val="24"/>
          <w:highlight w:val="none"/>
        </w:rPr>
        <w:t xml:space="preserve">甲方（单位盖章）：                   乙方（单位盖章）： </w:t>
      </w:r>
    </w:p>
    <w:p w14:paraId="14CF84F6">
      <w:pPr>
        <w:spacing w:line="360" w:lineRule="exact"/>
        <w:ind w:firstLine="540"/>
        <w:rPr>
          <w:rFonts w:ascii="仿宋" w:hAnsi="仿宋" w:eastAsia="仿宋"/>
          <w:sz w:val="24"/>
          <w:highlight w:val="none"/>
        </w:rPr>
      </w:pPr>
    </w:p>
    <w:p w14:paraId="23EC9EB4">
      <w:pPr>
        <w:spacing w:line="360" w:lineRule="exact"/>
        <w:ind w:firstLine="540"/>
        <w:rPr>
          <w:rFonts w:ascii="仿宋" w:hAnsi="仿宋" w:eastAsia="仿宋"/>
          <w:sz w:val="24"/>
          <w:highlight w:val="none"/>
        </w:rPr>
      </w:pPr>
      <w:r>
        <w:rPr>
          <w:rFonts w:hint="eastAsia" w:ascii="仿宋" w:hAnsi="仿宋" w:eastAsia="仿宋"/>
          <w:sz w:val="24"/>
          <w:highlight w:val="none"/>
        </w:rPr>
        <w:t>法定代表人（签字或盖章）：           法定代表人：（签字或盖章）</w:t>
      </w:r>
    </w:p>
    <w:p w14:paraId="2563BA35">
      <w:pPr>
        <w:spacing w:line="360" w:lineRule="exact"/>
        <w:ind w:firstLine="540"/>
        <w:rPr>
          <w:rFonts w:ascii="仿宋" w:hAnsi="仿宋" w:eastAsia="仿宋"/>
          <w:sz w:val="24"/>
          <w:highlight w:val="none"/>
        </w:rPr>
      </w:pPr>
    </w:p>
    <w:p w14:paraId="33040D23">
      <w:pPr>
        <w:spacing w:line="360" w:lineRule="exact"/>
        <w:ind w:firstLine="900"/>
        <w:rPr>
          <w:rFonts w:ascii="仿宋" w:hAnsi="仿宋" w:eastAsia="仿宋" w:cs="宋体"/>
          <w:sz w:val="24"/>
          <w:highlight w:val="none"/>
        </w:rPr>
      </w:pPr>
      <w:r>
        <w:rPr>
          <w:rFonts w:hint="eastAsia" w:ascii="仿宋" w:hAnsi="仿宋" w:eastAsia="仿宋"/>
          <w:sz w:val="24"/>
          <w:highlight w:val="none"/>
        </w:rPr>
        <w:t>年    月   日                      年   月   日</w:t>
      </w:r>
    </w:p>
    <w:p w14:paraId="55173269">
      <w:pPr>
        <w:rPr>
          <w:rFonts w:ascii="仿宋" w:hAnsi="仿宋" w:eastAsia="仿宋" w:cs="宋体"/>
          <w:sz w:val="24"/>
          <w:highlight w:val="none"/>
        </w:rPr>
      </w:pPr>
      <w:r>
        <w:rPr>
          <w:rFonts w:hAnsi="宋体"/>
          <w:sz w:val="24"/>
          <w:szCs w:val="24"/>
          <w:highlight w:val="none"/>
        </w:rPr>
        <w:br w:type="page" w:clear="all"/>
      </w:r>
      <w:r>
        <w:rPr>
          <w:rFonts w:hint="eastAsia" w:ascii="仿宋" w:hAnsi="仿宋" w:eastAsia="仿宋" w:cs="宋体"/>
          <w:sz w:val="24"/>
          <w:highlight w:val="none"/>
        </w:rPr>
        <w:t>附件二</w:t>
      </w:r>
    </w:p>
    <w:p w14:paraId="0FB2DAD8">
      <w:pPr>
        <w:rPr>
          <w:rFonts w:ascii="仿宋" w:hAnsi="仿宋" w:eastAsia="仿宋" w:cs="宋体"/>
          <w:sz w:val="24"/>
          <w:highlight w:val="none"/>
        </w:rPr>
      </w:pPr>
    </w:p>
    <w:p w14:paraId="66AD3024">
      <w:pPr>
        <w:widowControl/>
        <w:spacing w:line="600" w:lineRule="exact"/>
        <w:jc w:val="center"/>
        <w:rPr>
          <w:rStyle w:val="195"/>
          <w:rFonts w:ascii="Times New Roman" w:hAnsi="Times New Roman" w:eastAsia="方正小标宋_GBK"/>
          <w:color w:val="000000" w:themeColor="text1"/>
          <w:sz w:val="44"/>
          <w:szCs w:val="44"/>
          <w:highlight w:val="none"/>
          <w14:textFill>
            <w14:solidFill>
              <w14:schemeClr w14:val="tx1"/>
            </w14:solidFill>
          </w14:textFill>
        </w:rPr>
      </w:pPr>
      <w:r>
        <w:rPr>
          <w:rStyle w:val="195"/>
          <w:rFonts w:hint="eastAsia" w:ascii="Times New Roman" w:hAnsi="Times New Roman" w:eastAsia="方正小标宋_GBK"/>
          <w:color w:val="000000" w:themeColor="text1"/>
          <w:sz w:val="44"/>
          <w:szCs w:val="44"/>
          <w:highlight w:val="none"/>
          <w14:textFill>
            <w14:solidFill>
              <w14:schemeClr w14:val="tx1"/>
            </w14:solidFill>
          </w14:textFill>
        </w:rPr>
        <w:t>机动车维修费用结算清单</w:t>
      </w:r>
    </w:p>
    <w:tbl>
      <w:tblPr>
        <w:tblStyle w:val="33"/>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 w:type="dxa"/>
          <w:bottom w:w="0" w:type="dxa"/>
          <w:right w:w="10" w:type="dxa"/>
        </w:tblCellMar>
      </w:tblPr>
      <w:tblGrid>
        <w:gridCol w:w="529"/>
        <w:gridCol w:w="1513"/>
        <w:gridCol w:w="1441"/>
        <w:gridCol w:w="1063"/>
        <w:gridCol w:w="1318"/>
        <w:gridCol w:w="1184"/>
        <w:gridCol w:w="1693"/>
      </w:tblGrid>
      <w:tr w14:paraId="339F1A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459" w:hRule="exact"/>
        </w:trPr>
        <w:tc>
          <w:tcPr>
            <w:tcW w:w="303" w:type="pct"/>
            <w:vMerge w:val="restart"/>
            <w:tcBorders>
              <w:top w:val="single" w:color="auto" w:sz="8" w:space="0"/>
            </w:tcBorders>
            <w:shd w:val="clear" w:color="auto" w:fill="FFFFFF"/>
            <w:noWrap w:val="0"/>
            <w:vAlign w:val="center"/>
          </w:tcPr>
          <w:p w14:paraId="38A03E07">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托</w:t>
            </w:r>
          </w:p>
          <w:p w14:paraId="100AD05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修</w:t>
            </w:r>
          </w:p>
          <w:p w14:paraId="57A2A119">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方</w:t>
            </w:r>
          </w:p>
        </w:tc>
        <w:tc>
          <w:tcPr>
            <w:tcW w:w="865" w:type="pct"/>
            <w:tcBorders>
              <w:top w:val="single" w:color="auto" w:sz="8" w:space="0"/>
            </w:tcBorders>
            <w:shd w:val="clear" w:color="auto" w:fill="FFFFFF"/>
            <w:noWrap w:val="0"/>
            <w:vAlign w:val="center"/>
          </w:tcPr>
          <w:p w14:paraId="079C561C">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单位名称</w:t>
            </w:r>
          </w:p>
          <w:p w14:paraId="433C4F4D">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w:t>
            </w:r>
            <w:r>
              <w:rPr>
                <w:rFonts w:hint="eastAsia" w:ascii="Times New Roman" w:hAnsi="Times New Roman" w:cs="仿宋_GB2312"/>
                <w:color w:val="000000" w:themeColor="text1"/>
                <w:szCs w:val="21"/>
                <w:highlight w:val="none"/>
                <w:lang w:val="zh-TW"/>
                <w14:textFill>
                  <w14:solidFill>
                    <w14:schemeClr w14:val="tx1"/>
                  </w14:solidFill>
                </w14:textFill>
              </w:rPr>
              <w:t>车</w:t>
            </w:r>
            <w:r>
              <w:rPr>
                <w:rFonts w:hint="eastAsia" w:ascii="Times New Roman" w:hAnsi="Times New Roman" w:cs="仿宋_GB2312"/>
                <w:color w:val="000000" w:themeColor="text1"/>
                <w:szCs w:val="21"/>
                <w:highlight w:val="none"/>
                <w:lang w:val="zh-TW" w:eastAsia="zh-TW"/>
                <w14:textFill>
                  <w14:solidFill>
                    <w14:schemeClr w14:val="tx1"/>
                  </w14:solidFill>
                </w14:textFill>
              </w:rPr>
              <w:t>主姓</w:t>
            </w:r>
            <w:r>
              <w:rPr>
                <w:rFonts w:hint="eastAsia" w:ascii="Times New Roman" w:hAnsi="Times New Roman" w:cs="仿宋_GB2312"/>
                <w:color w:val="000000" w:themeColor="text1"/>
                <w:szCs w:val="21"/>
                <w:highlight w:val="none"/>
                <w:lang w:val="zh-CN"/>
                <w14:textFill>
                  <w14:solidFill>
                    <w14:schemeClr w14:val="tx1"/>
                  </w14:solidFill>
                </w14:textFill>
              </w:rPr>
              <w:t>名）</w:t>
            </w:r>
          </w:p>
        </w:tc>
        <w:tc>
          <w:tcPr>
            <w:tcW w:w="2186" w:type="pct"/>
            <w:gridSpan w:val="3"/>
            <w:tcBorders>
              <w:top w:val="single" w:color="auto" w:sz="8" w:space="0"/>
            </w:tcBorders>
            <w:shd w:val="clear" w:color="auto" w:fill="FFFFFF"/>
            <w:noWrap w:val="0"/>
            <w:vAlign w:val="center"/>
          </w:tcPr>
          <w:p w14:paraId="171FBCAC">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p>
        </w:tc>
        <w:tc>
          <w:tcPr>
            <w:tcW w:w="677" w:type="pct"/>
            <w:tcBorders>
              <w:top w:val="single" w:color="auto" w:sz="8" w:space="0"/>
            </w:tcBorders>
            <w:shd w:val="clear" w:color="auto" w:fill="FFFFFF"/>
            <w:noWrap w:val="0"/>
            <w:vAlign w:val="center"/>
          </w:tcPr>
          <w:p w14:paraId="46FA53C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送修人</w:t>
            </w:r>
          </w:p>
        </w:tc>
        <w:tc>
          <w:tcPr>
            <w:tcW w:w="967" w:type="pct"/>
            <w:tcBorders>
              <w:top w:val="single" w:color="auto" w:sz="8" w:space="0"/>
            </w:tcBorders>
            <w:shd w:val="clear" w:color="auto" w:fill="FFFFFF"/>
            <w:noWrap w:val="0"/>
            <w:vAlign w:val="center"/>
          </w:tcPr>
          <w:p w14:paraId="5F61AE2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1DC15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73" w:hRule="exact"/>
        </w:trPr>
        <w:tc>
          <w:tcPr>
            <w:tcW w:w="303" w:type="pct"/>
            <w:vMerge w:val="continue"/>
            <w:shd w:val="clear" w:color="auto" w:fill="FFFFFF"/>
            <w:noWrap w:val="0"/>
            <w:vAlign w:val="center"/>
          </w:tcPr>
          <w:p w14:paraId="1552F1B3">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6C8906B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车牌号码</w:t>
            </w:r>
          </w:p>
        </w:tc>
        <w:tc>
          <w:tcPr>
            <w:tcW w:w="824" w:type="pct"/>
            <w:shd w:val="clear" w:color="auto" w:fill="FFFFFF"/>
            <w:noWrap w:val="0"/>
            <w:vAlign w:val="center"/>
          </w:tcPr>
          <w:p w14:paraId="3901355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1D1E285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厂牌型号</w:t>
            </w:r>
          </w:p>
        </w:tc>
        <w:tc>
          <w:tcPr>
            <w:tcW w:w="754" w:type="pct"/>
            <w:shd w:val="clear" w:color="auto" w:fill="FFFFFF"/>
            <w:noWrap w:val="0"/>
            <w:vAlign w:val="center"/>
          </w:tcPr>
          <w:p w14:paraId="41A1388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7" w:type="pct"/>
            <w:shd w:val="clear" w:color="auto" w:fill="FFFFFF"/>
            <w:noWrap w:val="0"/>
            <w:vAlign w:val="center"/>
          </w:tcPr>
          <w:p w14:paraId="2101E041">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维修类别</w:t>
            </w:r>
          </w:p>
        </w:tc>
        <w:tc>
          <w:tcPr>
            <w:tcW w:w="967" w:type="pct"/>
            <w:shd w:val="clear" w:color="auto" w:fill="FFFFFF"/>
            <w:noWrap w:val="0"/>
            <w:vAlign w:val="center"/>
          </w:tcPr>
          <w:p w14:paraId="2B7C3FC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7B7FC1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73" w:hRule="exact"/>
        </w:trPr>
        <w:tc>
          <w:tcPr>
            <w:tcW w:w="303" w:type="pct"/>
            <w:vMerge w:val="continue"/>
            <w:shd w:val="clear" w:color="auto" w:fill="FFFFFF"/>
            <w:noWrap w:val="0"/>
            <w:vAlign w:val="center"/>
          </w:tcPr>
          <w:p w14:paraId="4D1E263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1194B9B3">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进厂日期</w:t>
            </w:r>
          </w:p>
        </w:tc>
        <w:tc>
          <w:tcPr>
            <w:tcW w:w="824" w:type="pct"/>
            <w:shd w:val="clear" w:color="auto" w:fill="FFFFFF"/>
            <w:noWrap w:val="0"/>
            <w:vAlign w:val="center"/>
          </w:tcPr>
          <w:p w14:paraId="6E44F01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0212EC88">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合同编号</w:t>
            </w:r>
          </w:p>
        </w:tc>
        <w:tc>
          <w:tcPr>
            <w:tcW w:w="754" w:type="pct"/>
            <w:shd w:val="clear" w:color="auto" w:fill="FFFFFF"/>
            <w:noWrap w:val="0"/>
            <w:vAlign w:val="center"/>
          </w:tcPr>
          <w:p w14:paraId="7CB85C45">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p>
        </w:tc>
        <w:tc>
          <w:tcPr>
            <w:tcW w:w="677" w:type="pct"/>
            <w:shd w:val="clear" w:color="auto" w:fill="FFFFFF"/>
            <w:noWrap w:val="0"/>
            <w:vAlign w:val="center"/>
          </w:tcPr>
          <w:p w14:paraId="6EC69CD0">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工单号</w:t>
            </w:r>
          </w:p>
        </w:tc>
        <w:tc>
          <w:tcPr>
            <w:tcW w:w="967" w:type="pct"/>
            <w:shd w:val="clear" w:color="auto" w:fill="FFFFFF"/>
            <w:noWrap w:val="0"/>
            <w:vAlign w:val="center"/>
          </w:tcPr>
          <w:p w14:paraId="6A922580">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1EF044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73" w:hRule="exact"/>
        </w:trPr>
        <w:tc>
          <w:tcPr>
            <w:tcW w:w="303" w:type="pct"/>
            <w:vMerge w:val="continue"/>
            <w:shd w:val="clear" w:color="auto" w:fill="FFFFFF"/>
            <w:noWrap w:val="0"/>
            <w:vAlign w:val="center"/>
          </w:tcPr>
          <w:p w14:paraId="6DE18E2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12024356">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底盘号</w:t>
            </w:r>
          </w:p>
        </w:tc>
        <w:tc>
          <w:tcPr>
            <w:tcW w:w="824" w:type="pct"/>
            <w:shd w:val="clear" w:color="auto" w:fill="FFFFFF"/>
            <w:noWrap w:val="0"/>
            <w:vAlign w:val="center"/>
          </w:tcPr>
          <w:p w14:paraId="25D6CD6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148AB4C8">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发动机号</w:t>
            </w:r>
          </w:p>
        </w:tc>
        <w:tc>
          <w:tcPr>
            <w:tcW w:w="754" w:type="pct"/>
            <w:shd w:val="clear" w:color="auto" w:fill="FFFFFF"/>
            <w:noWrap w:val="0"/>
            <w:vAlign w:val="center"/>
          </w:tcPr>
          <w:p w14:paraId="1880221C">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p>
        </w:tc>
        <w:tc>
          <w:tcPr>
            <w:tcW w:w="677" w:type="pct"/>
            <w:shd w:val="clear" w:color="auto" w:fill="FFFFFF"/>
            <w:noWrap w:val="0"/>
            <w:vAlign w:val="center"/>
          </w:tcPr>
          <w:p w14:paraId="650A1A85">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购车日期</w:t>
            </w:r>
          </w:p>
        </w:tc>
        <w:tc>
          <w:tcPr>
            <w:tcW w:w="967" w:type="pct"/>
            <w:shd w:val="clear" w:color="auto" w:fill="FFFFFF"/>
            <w:noWrap w:val="0"/>
            <w:vAlign w:val="center"/>
          </w:tcPr>
          <w:p w14:paraId="651C13E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09885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73" w:hRule="exact"/>
        </w:trPr>
        <w:tc>
          <w:tcPr>
            <w:tcW w:w="303" w:type="pct"/>
            <w:vMerge w:val="continue"/>
            <w:shd w:val="clear" w:color="auto" w:fill="FFFFFF"/>
            <w:noWrap w:val="0"/>
            <w:vAlign w:val="center"/>
          </w:tcPr>
          <w:p w14:paraId="6896655C">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5AE96A1D">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出厂里程表读数</w:t>
            </w:r>
          </w:p>
        </w:tc>
        <w:tc>
          <w:tcPr>
            <w:tcW w:w="824" w:type="pct"/>
            <w:shd w:val="clear" w:color="auto" w:fill="FFFFFF"/>
            <w:noWrap w:val="0"/>
            <w:vAlign w:val="center"/>
          </w:tcPr>
          <w:p w14:paraId="0224DC5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r>
              <w:rPr>
                <w:rFonts w:ascii="Times New Roman" w:hAnsi="Times New Roman" w:cs="仿宋_GB2312"/>
                <w:color w:val="000000" w:themeColor="text1"/>
                <w:szCs w:val="21"/>
                <w:highlight w:val="none"/>
                <w:lang w:eastAsia="en-US"/>
                <w14:textFill>
                  <w14:solidFill>
                    <w14:schemeClr w14:val="tx1"/>
                  </w14:solidFill>
                </w14:textFill>
              </w:rPr>
              <w:t>km</w:t>
            </w:r>
          </w:p>
        </w:tc>
        <w:tc>
          <w:tcPr>
            <w:tcW w:w="608" w:type="pct"/>
            <w:shd w:val="clear" w:color="auto" w:fill="FFFFFF"/>
            <w:noWrap w:val="0"/>
            <w:vAlign w:val="center"/>
          </w:tcPr>
          <w:p w14:paraId="241ABEE9">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联系电话</w:t>
            </w:r>
          </w:p>
        </w:tc>
        <w:tc>
          <w:tcPr>
            <w:tcW w:w="754" w:type="pct"/>
            <w:shd w:val="clear" w:color="auto" w:fill="FFFFFF"/>
            <w:noWrap w:val="0"/>
            <w:vAlign w:val="center"/>
          </w:tcPr>
          <w:p w14:paraId="5AF68D0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c>
          <w:tcPr>
            <w:tcW w:w="677" w:type="pct"/>
            <w:shd w:val="clear" w:color="auto" w:fill="FFFFFF"/>
            <w:noWrap w:val="0"/>
            <w:vAlign w:val="center"/>
          </w:tcPr>
          <w:p w14:paraId="2D8289C2">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合格证号</w:t>
            </w:r>
          </w:p>
        </w:tc>
        <w:tc>
          <w:tcPr>
            <w:tcW w:w="967" w:type="pct"/>
            <w:shd w:val="clear" w:color="auto" w:fill="FFFFFF"/>
            <w:noWrap w:val="0"/>
            <w:vAlign w:val="center"/>
          </w:tcPr>
          <w:p w14:paraId="2DACD47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4E72FD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4" w:hRule="exact"/>
        </w:trPr>
        <w:tc>
          <w:tcPr>
            <w:tcW w:w="303" w:type="pct"/>
            <w:vMerge w:val="restart"/>
            <w:shd w:val="clear" w:color="auto" w:fill="FFFFFF"/>
            <w:noWrap w:val="0"/>
            <w:vAlign w:val="center"/>
          </w:tcPr>
          <w:p w14:paraId="763DE38D">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承</w:t>
            </w:r>
          </w:p>
          <w:p w14:paraId="48BA5743">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修</w:t>
            </w:r>
          </w:p>
          <w:p w14:paraId="0456CC47">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方</w:t>
            </w:r>
          </w:p>
        </w:tc>
        <w:tc>
          <w:tcPr>
            <w:tcW w:w="865" w:type="pct"/>
            <w:shd w:val="clear" w:color="auto" w:fill="FFFFFF"/>
            <w:noWrap w:val="0"/>
            <w:vAlign w:val="center"/>
          </w:tcPr>
          <w:p w14:paraId="32044131">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单位名称</w:t>
            </w:r>
          </w:p>
        </w:tc>
        <w:tc>
          <w:tcPr>
            <w:tcW w:w="2186" w:type="pct"/>
            <w:gridSpan w:val="3"/>
            <w:shd w:val="clear" w:color="auto" w:fill="FFFFFF"/>
            <w:noWrap w:val="0"/>
            <w:vAlign w:val="center"/>
          </w:tcPr>
          <w:p w14:paraId="183E619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7" w:type="pct"/>
            <w:shd w:val="clear" w:color="auto" w:fill="FFFFFF"/>
            <w:noWrap w:val="0"/>
            <w:vAlign w:val="center"/>
          </w:tcPr>
          <w:p w14:paraId="0E050E20">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联系电话</w:t>
            </w:r>
          </w:p>
        </w:tc>
        <w:tc>
          <w:tcPr>
            <w:tcW w:w="967" w:type="pct"/>
            <w:shd w:val="clear" w:color="auto" w:fill="FFFFFF"/>
            <w:noWrap w:val="0"/>
            <w:vAlign w:val="center"/>
          </w:tcPr>
          <w:p w14:paraId="4F981BD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45F4F7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65" w:hRule="exact"/>
        </w:trPr>
        <w:tc>
          <w:tcPr>
            <w:tcW w:w="303" w:type="pct"/>
            <w:vMerge w:val="continue"/>
            <w:shd w:val="clear" w:color="auto" w:fill="FFFFFF"/>
            <w:noWrap w:val="0"/>
            <w:vAlign w:val="center"/>
          </w:tcPr>
          <w:p w14:paraId="151B437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706DDDF1">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单位地址</w:t>
            </w:r>
          </w:p>
        </w:tc>
        <w:tc>
          <w:tcPr>
            <w:tcW w:w="2186" w:type="pct"/>
            <w:gridSpan w:val="3"/>
            <w:shd w:val="clear" w:color="auto" w:fill="FFFFFF"/>
            <w:noWrap w:val="0"/>
            <w:vAlign w:val="center"/>
          </w:tcPr>
          <w:p w14:paraId="48E4FDE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7" w:type="pct"/>
            <w:shd w:val="clear" w:color="auto" w:fill="FFFFFF"/>
            <w:noWrap w:val="0"/>
            <w:vAlign w:val="center"/>
          </w:tcPr>
          <w:p w14:paraId="180078CD">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r>
              <w:rPr>
                <w:rFonts w:ascii="Times New Roman" w:hAnsi="Times New Roman" w:cs="仿宋_GB2312"/>
                <w:color w:val="000000" w:themeColor="text1"/>
                <w:szCs w:val="21"/>
                <w:highlight w:val="none"/>
                <w14:textFill>
                  <w14:solidFill>
                    <w14:schemeClr w14:val="tx1"/>
                  </w14:solidFill>
                </w14:textFill>
              </w:rPr>
              <w:t>E-mail</w:t>
            </w:r>
          </w:p>
        </w:tc>
        <w:tc>
          <w:tcPr>
            <w:tcW w:w="967" w:type="pct"/>
            <w:shd w:val="clear" w:color="auto" w:fill="FFFFFF"/>
            <w:noWrap w:val="0"/>
            <w:vAlign w:val="center"/>
          </w:tcPr>
          <w:p w14:paraId="55F4BC6B">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7F7AC5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335" w:hRule="exact"/>
        </w:trPr>
        <w:tc>
          <w:tcPr>
            <w:tcW w:w="303" w:type="pct"/>
            <w:vMerge w:val="continue"/>
            <w:shd w:val="clear" w:color="auto" w:fill="FFFFFF"/>
            <w:noWrap w:val="0"/>
            <w:vAlign w:val="center"/>
          </w:tcPr>
          <w:p w14:paraId="15ACB8F0">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shd w:val="clear" w:color="auto" w:fill="FFFFFF"/>
            <w:noWrap w:val="0"/>
            <w:vAlign w:val="center"/>
          </w:tcPr>
          <w:p w14:paraId="16853FE2">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开户银行</w:t>
            </w:r>
          </w:p>
        </w:tc>
        <w:tc>
          <w:tcPr>
            <w:tcW w:w="1432" w:type="pct"/>
            <w:gridSpan w:val="2"/>
            <w:shd w:val="clear" w:color="auto" w:fill="FFFFFF"/>
            <w:noWrap w:val="0"/>
            <w:vAlign w:val="center"/>
          </w:tcPr>
          <w:p w14:paraId="5E84F73B">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54" w:type="pct"/>
            <w:shd w:val="clear" w:color="auto" w:fill="FFFFFF"/>
            <w:noWrap w:val="0"/>
            <w:vAlign w:val="center"/>
          </w:tcPr>
          <w:p w14:paraId="6D19886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帐号</w:t>
            </w:r>
          </w:p>
        </w:tc>
        <w:tc>
          <w:tcPr>
            <w:tcW w:w="1644" w:type="pct"/>
            <w:gridSpan w:val="2"/>
            <w:shd w:val="clear" w:color="auto" w:fill="FFFFFF"/>
            <w:noWrap w:val="0"/>
            <w:vAlign w:val="center"/>
          </w:tcPr>
          <w:p w14:paraId="1C8F148C">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2F23AF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335" w:hRule="exact"/>
        </w:trPr>
        <w:tc>
          <w:tcPr>
            <w:tcW w:w="303" w:type="pct"/>
            <w:vMerge w:val="continue"/>
            <w:tcBorders>
              <w:bottom w:val="single" w:color="auto" w:sz="8" w:space="0"/>
            </w:tcBorders>
            <w:shd w:val="clear" w:color="auto" w:fill="FFFFFF"/>
            <w:noWrap w:val="0"/>
            <w:vAlign w:val="center"/>
          </w:tcPr>
          <w:p w14:paraId="0C63094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65" w:type="pct"/>
            <w:tcBorders>
              <w:bottom w:val="single" w:color="auto" w:sz="8" w:space="0"/>
            </w:tcBorders>
            <w:shd w:val="clear" w:color="auto" w:fill="FFFFFF"/>
            <w:noWrap w:val="0"/>
            <w:vAlign w:val="center"/>
          </w:tcPr>
          <w:p w14:paraId="68551A5C">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r>
              <w:rPr>
                <w:rFonts w:hint="eastAsia" w:ascii="Times New Roman" w:hAnsi="Times New Roman" w:cs="仿宋_GB2312"/>
                <w:color w:val="000000" w:themeColor="text1"/>
                <w:szCs w:val="21"/>
                <w:highlight w:val="none"/>
                <w14:textFill>
                  <w14:solidFill>
                    <w14:schemeClr w14:val="tx1"/>
                  </w14:solidFill>
                </w14:textFill>
              </w:rPr>
              <w:t>服务顾问</w:t>
            </w:r>
          </w:p>
        </w:tc>
        <w:tc>
          <w:tcPr>
            <w:tcW w:w="3831" w:type="pct"/>
            <w:gridSpan w:val="5"/>
            <w:tcBorders>
              <w:bottom w:val="single" w:color="auto" w:sz="8" w:space="0"/>
            </w:tcBorders>
            <w:shd w:val="clear" w:color="auto" w:fill="FFFFFF"/>
            <w:noWrap w:val="0"/>
            <w:vAlign w:val="center"/>
          </w:tcPr>
          <w:p w14:paraId="4B64C673">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bl>
    <w:p w14:paraId="67C13537">
      <w:pPr>
        <w:tabs>
          <w:tab w:val="left" w:pos="4489"/>
          <w:tab w:val="left" w:pos="5835"/>
        </w:tabs>
        <w:spacing w:line="20" w:lineRule="exact"/>
        <w:ind w:firstLine="317"/>
        <w:rPr>
          <w:rFonts w:ascii="Times New Roman" w:hAnsi="Times New Roman" w:eastAsia="仿宋_GB2312" w:cs="仿宋_GB2312"/>
          <w:color w:val="000000" w:themeColor="text1"/>
          <w:szCs w:val="21"/>
          <w:highlight w:val="none"/>
          <w:lang w:val="zh-TW" w:eastAsia="zh-TW"/>
          <w14:textFill>
            <w14:solidFill>
              <w14:schemeClr w14:val="tx1"/>
            </w14:solidFill>
          </w14:textFill>
        </w:rPr>
      </w:pPr>
    </w:p>
    <w:p w14:paraId="3ECE78D7">
      <w:pPr>
        <w:tabs>
          <w:tab w:val="left" w:pos="4489"/>
          <w:tab w:val="left" w:pos="5835"/>
        </w:tabs>
        <w:spacing w:line="240" w:lineRule="exact"/>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表一维修费用结算表</w:t>
      </w:r>
    </w:p>
    <w:tbl>
      <w:tblPr>
        <w:tblStyle w:val="33"/>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 w:type="dxa"/>
          <w:bottom w:w="0" w:type="dxa"/>
          <w:right w:w="10" w:type="dxa"/>
        </w:tblCellMar>
      </w:tblPr>
      <w:tblGrid>
        <w:gridCol w:w="532"/>
        <w:gridCol w:w="1521"/>
        <w:gridCol w:w="3802"/>
        <w:gridCol w:w="1175"/>
        <w:gridCol w:w="1711"/>
      </w:tblGrid>
      <w:tr w14:paraId="798873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2" w:hRule="exact"/>
          <w:jc w:val="center"/>
        </w:trPr>
        <w:tc>
          <w:tcPr>
            <w:tcW w:w="304" w:type="pct"/>
            <w:tcBorders>
              <w:top w:val="single" w:color="auto" w:sz="8" w:space="0"/>
            </w:tcBorders>
            <w:shd w:val="clear" w:color="auto" w:fill="FFFFFF"/>
            <w:noWrap w:val="0"/>
            <w:vAlign w:val="bottom"/>
          </w:tcPr>
          <w:p w14:paraId="0D860049">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序号</w:t>
            </w:r>
          </w:p>
        </w:tc>
        <w:tc>
          <w:tcPr>
            <w:tcW w:w="870" w:type="pct"/>
            <w:tcBorders>
              <w:top w:val="single" w:color="auto" w:sz="8" w:space="0"/>
            </w:tcBorders>
            <w:shd w:val="clear" w:color="auto" w:fill="FFFFFF"/>
            <w:noWrap w:val="0"/>
            <w:vAlign w:val="bottom"/>
          </w:tcPr>
          <w:p w14:paraId="761106A2">
            <w:pPr>
              <w:spacing w:line="220" w:lineRule="exact"/>
              <w:ind w:firstLine="460"/>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名称</w:t>
            </w:r>
          </w:p>
        </w:tc>
        <w:tc>
          <w:tcPr>
            <w:tcW w:w="2174" w:type="pct"/>
            <w:tcBorders>
              <w:top w:val="single" w:color="auto" w:sz="8" w:space="0"/>
            </w:tcBorders>
            <w:shd w:val="clear" w:color="auto" w:fill="FFFFFF"/>
            <w:noWrap w:val="0"/>
            <w:vAlign w:val="bottom"/>
          </w:tcPr>
          <w:p w14:paraId="733BC947">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金额</w:t>
            </w:r>
          </w:p>
        </w:tc>
        <w:tc>
          <w:tcPr>
            <w:tcW w:w="1650" w:type="pct"/>
            <w:gridSpan w:val="2"/>
            <w:tcBorders>
              <w:top w:val="single" w:color="auto" w:sz="8" w:space="0"/>
            </w:tcBorders>
            <w:shd w:val="clear" w:color="auto" w:fill="FFFFFF"/>
            <w:noWrap w:val="0"/>
            <w:vAlign w:val="bottom"/>
          </w:tcPr>
          <w:p w14:paraId="415FC3DC">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备注</w:t>
            </w:r>
          </w:p>
        </w:tc>
      </w:tr>
      <w:tr w14:paraId="6B4FAC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4" w:type="pct"/>
            <w:shd w:val="clear" w:color="auto" w:fill="FFFFFF"/>
            <w:noWrap w:val="0"/>
            <w:vAlign w:val="center"/>
          </w:tcPr>
          <w:p w14:paraId="28B52108">
            <w:pPr>
              <w:spacing w:line="220" w:lineRule="exact"/>
              <w:jc w:val="center"/>
              <w:rPr>
                <w:rFonts w:hint="eastAsia" w:ascii="Times New Roman" w:hAnsi="Times New Roman" w:cs="仿宋_GB2312"/>
                <w:color w:val="000000" w:themeColor="text1"/>
                <w:szCs w:val="21"/>
                <w:highlight w:val="none"/>
                <w:lang w:val="zh-TW" w:eastAsia="zh-CN"/>
                <w14:textFill>
                  <w14:solidFill>
                    <w14:schemeClr w14:val="tx1"/>
                  </w14:solidFill>
                </w14:textFill>
              </w:rPr>
            </w:pPr>
            <w:r>
              <w:rPr>
                <w:rFonts w:hint="eastAsia" w:ascii="Times New Roman" w:hAnsi="Times New Roman" w:cs="仿宋_GB2312"/>
                <w:color w:val="000000" w:themeColor="text1"/>
                <w:szCs w:val="21"/>
                <w:highlight w:val="none"/>
                <w:lang w:val="en-US" w:eastAsia="zh-CN"/>
                <w14:textFill>
                  <w14:solidFill>
                    <w14:schemeClr w14:val="tx1"/>
                  </w14:solidFill>
                </w14:textFill>
              </w:rPr>
              <w:t>1</w:t>
            </w:r>
          </w:p>
        </w:tc>
        <w:tc>
          <w:tcPr>
            <w:tcW w:w="870" w:type="pct"/>
            <w:shd w:val="clear" w:color="auto" w:fill="FFFFFF"/>
            <w:noWrap w:val="0"/>
            <w:vAlign w:val="center"/>
          </w:tcPr>
          <w:p w14:paraId="5591CF4E">
            <w:pPr>
              <w:spacing w:line="220" w:lineRule="exact"/>
              <w:jc w:val="center"/>
              <w:rPr>
                <w:rFonts w:hint="eastAsia"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工时费</w:t>
            </w:r>
          </w:p>
        </w:tc>
        <w:tc>
          <w:tcPr>
            <w:tcW w:w="2174" w:type="pct"/>
            <w:shd w:val="clear" w:color="auto" w:fill="FFFFFF"/>
            <w:noWrap w:val="0"/>
            <w:vAlign w:val="center"/>
          </w:tcPr>
          <w:p w14:paraId="32F293F6">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c>
          <w:tcPr>
            <w:tcW w:w="1650" w:type="pct"/>
            <w:gridSpan w:val="2"/>
            <w:shd w:val="clear" w:color="auto" w:fill="FFFFFF"/>
            <w:noWrap w:val="0"/>
            <w:vAlign w:val="center"/>
          </w:tcPr>
          <w:p w14:paraId="782C44E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3D7EFE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33" w:hRule="exact"/>
          <w:jc w:val="center"/>
        </w:trPr>
        <w:tc>
          <w:tcPr>
            <w:tcW w:w="304" w:type="pct"/>
            <w:shd w:val="clear" w:color="auto" w:fill="FFFFFF"/>
            <w:noWrap w:val="0"/>
            <w:vAlign w:val="center"/>
          </w:tcPr>
          <w:p w14:paraId="4A97239C">
            <w:pPr>
              <w:spacing w:line="220" w:lineRule="exact"/>
              <w:jc w:val="center"/>
              <w:rPr>
                <w:rFonts w:hint="eastAsia" w:ascii="Times New Roman" w:hAnsi="Times New Roman" w:cs="仿宋_GB2312"/>
                <w:color w:val="000000" w:themeColor="text1"/>
                <w:szCs w:val="21"/>
                <w:highlight w:val="none"/>
                <w:lang w:val="zh-TW" w:eastAsia="zh-CN"/>
                <w14:textFill>
                  <w14:solidFill>
                    <w14:schemeClr w14:val="tx1"/>
                  </w14:solidFill>
                </w14:textFill>
              </w:rPr>
            </w:pPr>
            <w:r>
              <w:rPr>
                <w:rFonts w:hint="eastAsia" w:ascii="Times New Roman" w:hAnsi="Times New Roman" w:cs="仿宋_GB2312"/>
                <w:color w:val="000000" w:themeColor="text1"/>
                <w:szCs w:val="21"/>
                <w:highlight w:val="none"/>
                <w:lang w:val="en-US" w:eastAsia="zh-CN"/>
                <w14:textFill>
                  <w14:solidFill>
                    <w14:schemeClr w14:val="tx1"/>
                  </w14:solidFill>
                </w14:textFill>
              </w:rPr>
              <w:t>2</w:t>
            </w:r>
          </w:p>
        </w:tc>
        <w:tc>
          <w:tcPr>
            <w:tcW w:w="870" w:type="pct"/>
            <w:shd w:val="clear" w:color="auto" w:fill="FFFFFF"/>
            <w:noWrap w:val="0"/>
            <w:vAlign w:val="center"/>
          </w:tcPr>
          <w:p w14:paraId="55D30DD8">
            <w:pPr>
              <w:spacing w:line="220" w:lineRule="exact"/>
              <w:jc w:val="center"/>
              <w:rPr>
                <w:rFonts w:hint="eastAsia"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材料费</w:t>
            </w:r>
          </w:p>
        </w:tc>
        <w:tc>
          <w:tcPr>
            <w:tcW w:w="2174" w:type="pct"/>
            <w:shd w:val="clear" w:color="auto" w:fill="FFFFFF"/>
            <w:noWrap w:val="0"/>
            <w:vAlign w:val="center"/>
          </w:tcPr>
          <w:p w14:paraId="0898C9A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650" w:type="pct"/>
            <w:gridSpan w:val="2"/>
            <w:shd w:val="clear" w:color="auto" w:fill="FFFFFF"/>
            <w:noWrap w:val="0"/>
            <w:vAlign w:val="center"/>
          </w:tcPr>
          <w:p w14:paraId="3ECADB00">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605E4A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40" w:hRule="exact"/>
          <w:jc w:val="center"/>
        </w:trPr>
        <w:tc>
          <w:tcPr>
            <w:tcW w:w="304" w:type="pct"/>
            <w:shd w:val="clear" w:color="auto" w:fill="FFFFFF"/>
            <w:noWrap w:val="0"/>
            <w:vAlign w:val="center"/>
          </w:tcPr>
          <w:p w14:paraId="658F8B18">
            <w:pPr>
              <w:spacing w:line="220" w:lineRule="exact"/>
              <w:jc w:val="center"/>
              <w:rPr>
                <w:rFonts w:hint="eastAsia" w:ascii="Times New Roman" w:hAnsi="Times New Roman" w:cs="仿宋_GB2312"/>
                <w:color w:val="000000" w:themeColor="text1"/>
                <w:szCs w:val="21"/>
                <w:highlight w:val="none"/>
                <w:lang w:val="zh-TW" w:eastAsia="zh-CN"/>
                <w14:textFill>
                  <w14:solidFill>
                    <w14:schemeClr w14:val="tx1"/>
                  </w14:solidFill>
                </w14:textFill>
              </w:rPr>
            </w:pPr>
            <w:r>
              <w:rPr>
                <w:rFonts w:hint="eastAsia" w:ascii="Times New Roman" w:hAnsi="Times New Roman" w:cs="仿宋_GB2312"/>
                <w:color w:val="000000" w:themeColor="text1"/>
                <w:szCs w:val="21"/>
                <w:highlight w:val="none"/>
                <w:lang w:val="en-US" w:eastAsia="zh-CN"/>
                <w14:textFill>
                  <w14:solidFill>
                    <w14:schemeClr w14:val="tx1"/>
                  </w14:solidFill>
                </w14:textFill>
              </w:rPr>
              <w:t>3</w:t>
            </w:r>
          </w:p>
        </w:tc>
        <w:tc>
          <w:tcPr>
            <w:tcW w:w="870" w:type="pct"/>
            <w:shd w:val="clear" w:color="auto" w:fill="FFFFFF"/>
            <w:noWrap w:val="0"/>
            <w:vAlign w:val="center"/>
          </w:tcPr>
          <w:p w14:paraId="354514A8">
            <w:pPr>
              <w:spacing w:line="220" w:lineRule="exact"/>
              <w:jc w:val="center"/>
              <w:rPr>
                <w:rFonts w:hint="eastAsia"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合计金额</w:t>
            </w:r>
          </w:p>
        </w:tc>
        <w:tc>
          <w:tcPr>
            <w:tcW w:w="2174" w:type="pct"/>
            <w:shd w:val="clear" w:color="auto" w:fill="FFFFFF"/>
            <w:noWrap w:val="0"/>
            <w:vAlign w:val="center"/>
          </w:tcPr>
          <w:p w14:paraId="1E6CB60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650" w:type="pct"/>
            <w:gridSpan w:val="2"/>
            <w:shd w:val="clear" w:color="auto" w:fill="FFFFFF"/>
            <w:noWrap w:val="0"/>
            <w:vAlign w:val="center"/>
          </w:tcPr>
          <w:p w14:paraId="5290742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71F6E7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61" w:hRule="exact"/>
          <w:jc w:val="center"/>
        </w:trPr>
        <w:tc>
          <w:tcPr>
            <w:tcW w:w="1174" w:type="pct"/>
            <w:gridSpan w:val="2"/>
            <w:tcBorders>
              <w:bottom w:val="single" w:color="auto" w:sz="8" w:space="0"/>
            </w:tcBorders>
            <w:shd w:val="clear" w:color="auto" w:fill="FFFFFF"/>
            <w:noWrap w:val="0"/>
            <w:vAlign w:val="bottom"/>
          </w:tcPr>
          <w:p w14:paraId="464D70CE">
            <w:pPr>
              <w:spacing w:line="220" w:lineRule="exact"/>
              <w:ind w:firstLine="160"/>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实收金额大写（元）</w:t>
            </w:r>
          </w:p>
        </w:tc>
        <w:tc>
          <w:tcPr>
            <w:tcW w:w="2174" w:type="pct"/>
            <w:tcBorders>
              <w:bottom w:val="single" w:color="auto" w:sz="8" w:space="0"/>
            </w:tcBorders>
            <w:shd w:val="clear" w:color="auto" w:fill="FFFFFF"/>
            <w:noWrap w:val="0"/>
          </w:tcPr>
          <w:p w14:paraId="7073CBE3">
            <w:pPr>
              <w:spacing w:line="220" w:lineRule="exact"/>
              <w:jc w:val="left"/>
              <w:rPr>
                <w:rFonts w:ascii="Times New Roman" w:hAnsi="Times New Roman" w:cs="仿宋_GB2312"/>
                <w:color w:val="000000" w:themeColor="text1"/>
                <w:szCs w:val="21"/>
                <w:highlight w:val="none"/>
                <w:lang w:eastAsia="en-US"/>
                <w14:textFill>
                  <w14:solidFill>
                    <w14:schemeClr w14:val="tx1"/>
                  </w14:solidFill>
                </w14:textFill>
              </w:rPr>
            </w:pPr>
          </w:p>
        </w:tc>
        <w:tc>
          <w:tcPr>
            <w:tcW w:w="672" w:type="pct"/>
            <w:tcBorders>
              <w:bottom w:val="single" w:color="auto" w:sz="8" w:space="0"/>
            </w:tcBorders>
            <w:shd w:val="clear" w:color="auto" w:fill="FFFFFF"/>
            <w:noWrap w:val="0"/>
            <w:vAlign w:val="bottom"/>
          </w:tcPr>
          <w:p w14:paraId="49A0BE39">
            <w:pPr>
              <w:tabs>
                <w:tab w:val="left" w:pos="1670"/>
              </w:tabs>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结算方式</w:t>
            </w:r>
          </w:p>
        </w:tc>
        <w:tc>
          <w:tcPr>
            <w:tcW w:w="978" w:type="pct"/>
            <w:tcBorders>
              <w:bottom w:val="single" w:color="auto" w:sz="8" w:space="0"/>
            </w:tcBorders>
            <w:shd w:val="clear" w:color="auto" w:fill="FFFFFF"/>
            <w:noWrap w:val="0"/>
            <w:vAlign w:val="bottom"/>
          </w:tcPr>
          <w:p w14:paraId="36528C6E">
            <w:pPr>
              <w:tabs>
                <w:tab w:val="left" w:pos="1670"/>
              </w:tabs>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hint="eastAsia" w:ascii="Times New Roman" w:hAnsi="Times New Roman" w:cs="仿宋_GB2312"/>
                <w:color w:val="000000" w:themeColor="text1"/>
                <w:szCs w:val="21"/>
                <w:highlight w:val="none"/>
                <w:lang w:val="zh-TW"/>
                <w14:textFill>
                  <w14:solidFill>
                    <w14:schemeClr w14:val="tx1"/>
                  </w14:solidFill>
                </w14:textFill>
              </w:rPr>
              <w:t>挂帐</w:t>
            </w:r>
          </w:p>
        </w:tc>
      </w:tr>
    </w:tbl>
    <w:p w14:paraId="5F3D7517">
      <w:pPr>
        <w:spacing w:line="1" w:lineRule="exact"/>
        <w:jc w:val="left"/>
        <w:rPr>
          <w:rFonts w:ascii="Times New Roman" w:hAnsi="Times New Roman" w:eastAsia="仿宋_GB2312" w:cs="仿宋_GB2312"/>
          <w:color w:val="000000" w:themeColor="text1"/>
          <w:szCs w:val="21"/>
          <w:highlight w:val="none"/>
          <w:lang w:eastAsia="en-US"/>
          <w14:textFill>
            <w14:solidFill>
              <w14:schemeClr w14:val="tx1"/>
            </w14:solidFill>
          </w14:textFill>
        </w:rPr>
      </w:pPr>
    </w:p>
    <w:p w14:paraId="69B3A130">
      <w:pPr>
        <w:tabs>
          <w:tab w:val="left" w:pos="4489"/>
          <w:tab w:val="left" w:pos="5835"/>
        </w:tabs>
        <w:spacing w:line="240" w:lineRule="exact"/>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表二工时费</w:t>
      </w:r>
    </w:p>
    <w:tbl>
      <w:tblPr>
        <w:tblStyle w:val="33"/>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 w:type="dxa"/>
          <w:bottom w:w="0" w:type="dxa"/>
          <w:right w:w="10" w:type="dxa"/>
        </w:tblCellMar>
      </w:tblPr>
      <w:tblGrid>
        <w:gridCol w:w="536"/>
        <w:gridCol w:w="1520"/>
        <w:gridCol w:w="1434"/>
        <w:gridCol w:w="1065"/>
        <w:gridCol w:w="2490"/>
        <w:gridCol w:w="1696"/>
      </w:tblGrid>
      <w:tr w14:paraId="565A79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6" w:hRule="exact"/>
          <w:jc w:val="center"/>
        </w:trPr>
        <w:tc>
          <w:tcPr>
            <w:tcW w:w="307" w:type="pct"/>
            <w:tcBorders>
              <w:top w:val="single" w:color="auto" w:sz="8" w:space="0"/>
            </w:tcBorders>
            <w:shd w:val="clear" w:color="auto" w:fill="FFFFFF"/>
            <w:noWrap w:val="0"/>
            <w:vAlign w:val="center"/>
          </w:tcPr>
          <w:p w14:paraId="1559072A">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序号</w:t>
            </w:r>
          </w:p>
        </w:tc>
        <w:tc>
          <w:tcPr>
            <w:tcW w:w="868" w:type="pct"/>
            <w:tcBorders>
              <w:top w:val="single" w:color="auto" w:sz="8" w:space="0"/>
            </w:tcBorders>
            <w:shd w:val="clear" w:color="auto" w:fill="FFFFFF"/>
            <w:noWrap w:val="0"/>
            <w:vAlign w:val="center"/>
          </w:tcPr>
          <w:p w14:paraId="71C223C2">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维修项目</w:t>
            </w:r>
          </w:p>
        </w:tc>
        <w:tc>
          <w:tcPr>
            <w:tcW w:w="820" w:type="pct"/>
            <w:tcBorders>
              <w:top w:val="single" w:color="auto" w:sz="8" w:space="0"/>
            </w:tcBorders>
            <w:shd w:val="clear" w:color="auto" w:fill="FFFFFF"/>
            <w:noWrap w:val="0"/>
            <w:vAlign w:val="center"/>
          </w:tcPr>
          <w:p w14:paraId="7C824107">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结算工时（个）</w:t>
            </w:r>
          </w:p>
        </w:tc>
        <w:tc>
          <w:tcPr>
            <w:tcW w:w="609" w:type="pct"/>
            <w:tcBorders>
              <w:top w:val="single" w:color="auto" w:sz="8" w:space="0"/>
            </w:tcBorders>
            <w:shd w:val="clear" w:color="auto" w:fill="FFFFFF"/>
            <w:noWrap w:val="0"/>
            <w:vAlign w:val="center"/>
          </w:tcPr>
          <w:p w14:paraId="738CCFF3">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单价（元）</w:t>
            </w:r>
          </w:p>
        </w:tc>
        <w:tc>
          <w:tcPr>
            <w:tcW w:w="1424" w:type="pct"/>
            <w:tcBorders>
              <w:top w:val="single" w:color="auto" w:sz="8" w:space="0"/>
            </w:tcBorders>
            <w:shd w:val="clear" w:color="auto" w:fill="FFFFFF"/>
            <w:noWrap w:val="0"/>
            <w:vAlign w:val="center"/>
          </w:tcPr>
          <w:p w14:paraId="3332EE1A">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金额（元）</w:t>
            </w:r>
          </w:p>
        </w:tc>
        <w:tc>
          <w:tcPr>
            <w:tcW w:w="970" w:type="pct"/>
            <w:tcBorders>
              <w:top w:val="single" w:color="auto" w:sz="8" w:space="0"/>
            </w:tcBorders>
            <w:shd w:val="clear" w:color="auto" w:fill="FFFFFF"/>
            <w:noWrap w:val="0"/>
            <w:vAlign w:val="center"/>
          </w:tcPr>
          <w:p w14:paraId="221AC615">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备注</w:t>
            </w:r>
          </w:p>
        </w:tc>
      </w:tr>
      <w:tr w14:paraId="58826A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354FBC95">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1</w:t>
            </w:r>
          </w:p>
        </w:tc>
        <w:tc>
          <w:tcPr>
            <w:tcW w:w="868" w:type="pct"/>
            <w:shd w:val="clear" w:color="auto" w:fill="FFFFFF"/>
            <w:noWrap w:val="0"/>
            <w:vAlign w:val="center"/>
          </w:tcPr>
          <w:p w14:paraId="010129B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6868A99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3C9A9BB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6F749B2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1EBB14B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4DA607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60C94E43">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2</w:t>
            </w:r>
          </w:p>
        </w:tc>
        <w:tc>
          <w:tcPr>
            <w:tcW w:w="868" w:type="pct"/>
            <w:shd w:val="clear" w:color="auto" w:fill="FFFFFF"/>
            <w:noWrap w:val="0"/>
            <w:vAlign w:val="center"/>
          </w:tcPr>
          <w:p w14:paraId="7818F540">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298EEAC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67994A0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70E0D75E">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2339371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651915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734F6384">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3</w:t>
            </w:r>
          </w:p>
        </w:tc>
        <w:tc>
          <w:tcPr>
            <w:tcW w:w="868" w:type="pct"/>
            <w:shd w:val="clear" w:color="auto" w:fill="FFFFFF"/>
            <w:noWrap w:val="0"/>
            <w:vAlign w:val="center"/>
          </w:tcPr>
          <w:p w14:paraId="2CE959B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0D8CFA4E">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6309F00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3E23E30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335F263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6B2640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6EEAB99D">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4</w:t>
            </w:r>
          </w:p>
        </w:tc>
        <w:tc>
          <w:tcPr>
            <w:tcW w:w="868" w:type="pct"/>
            <w:shd w:val="clear" w:color="auto" w:fill="FFFFFF"/>
            <w:noWrap w:val="0"/>
            <w:vAlign w:val="center"/>
          </w:tcPr>
          <w:p w14:paraId="34A3AE5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0A8E368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5BBDE68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1DCA6FF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0D3D41E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5098D1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3CADA018">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5</w:t>
            </w:r>
          </w:p>
        </w:tc>
        <w:tc>
          <w:tcPr>
            <w:tcW w:w="868" w:type="pct"/>
            <w:shd w:val="clear" w:color="auto" w:fill="FFFFFF"/>
            <w:noWrap w:val="0"/>
            <w:vAlign w:val="center"/>
          </w:tcPr>
          <w:p w14:paraId="61F5C08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6A97BE4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65545C3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311B291B">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2C8A62E3">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7A7BC7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0" w:hRule="exact"/>
          <w:jc w:val="center"/>
        </w:trPr>
        <w:tc>
          <w:tcPr>
            <w:tcW w:w="307" w:type="pct"/>
            <w:shd w:val="clear" w:color="auto" w:fill="FFFFFF"/>
            <w:noWrap w:val="0"/>
            <w:vAlign w:val="center"/>
          </w:tcPr>
          <w:p w14:paraId="44D28DD0">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6</w:t>
            </w:r>
          </w:p>
        </w:tc>
        <w:tc>
          <w:tcPr>
            <w:tcW w:w="868" w:type="pct"/>
            <w:shd w:val="clear" w:color="auto" w:fill="FFFFFF"/>
            <w:noWrap w:val="0"/>
            <w:vAlign w:val="center"/>
          </w:tcPr>
          <w:p w14:paraId="74E1AA33">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20" w:type="pct"/>
            <w:shd w:val="clear" w:color="auto" w:fill="FFFFFF"/>
            <w:noWrap w:val="0"/>
            <w:vAlign w:val="center"/>
          </w:tcPr>
          <w:p w14:paraId="667516C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9" w:type="pct"/>
            <w:shd w:val="clear" w:color="auto" w:fill="FFFFFF"/>
            <w:noWrap w:val="0"/>
            <w:vAlign w:val="center"/>
          </w:tcPr>
          <w:p w14:paraId="793A29BB">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1424" w:type="pct"/>
            <w:shd w:val="clear" w:color="auto" w:fill="FFFFFF"/>
            <w:noWrap w:val="0"/>
            <w:vAlign w:val="center"/>
          </w:tcPr>
          <w:p w14:paraId="20F42D8E">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0" w:type="pct"/>
            <w:shd w:val="clear" w:color="auto" w:fill="FFFFFF"/>
            <w:noWrap w:val="0"/>
            <w:vAlign w:val="center"/>
          </w:tcPr>
          <w:p w14:paraId="105C8A1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72D75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5" w:hRule="exact"/>
          <w:jc w:val="center"/>
        </w:trPr>
        <w:tc>
          <w:tcPr>
            <w:tcW w:w="1176" w:type="pct"/>
            <w:gridSpan w:val="2"/>
            <w:tcBorders>
              <w:bottom w:val="single" w:color="auto" w:sz="8" w:space="0"/>
            </w:tcBorders>
            <w:shd w:val="clear" w:color="auto" w:fill="FFFFFF"/>
            <w:noWrap w:val="0"/>
            <w:vAlign w:val="center"/>
          </w:tcPr>
          <w:p w14:paraId="12F34848">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工时费合计金额（元）</w:t>
            </w:r>
          </w:p>
        </w:tc>
        <w:tc>
          <w:tcPr>
            <w:tcW w:w="3823" w:type="pct"/>
            <w:gridSpan w:val="4"/>
            <w:tcBorders>
              <w:bottom w:val="single" w:color="auto" w:sz="8" w:space="0"/>
            </w:tcBorders>
            <w:shd w:val="clear" w:color="auto" w:fill="FFFFFF"/>
            <w:noWrap w:val="0"/>
            <w:vAlign w:val="center"/>
          </w:tcPr>
          <w:p w14:paraId="5AB88A8F">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bl>
    <w:p w14:paraId="22C0358C">
      <w:pPr>
        <w:spacing w:line="1" w:lineRule="exact"/>
        <w:jc w:val="left"/>
        <w:rPr>
          <w:rFonts w:ascii="Times New Roman" w:hAnsi="Times New Roman" w:eastAsia="仿宋_GB2312" w:cs="仿宋_GB2312"/>
          <w:color w:val="000000" w:themeColor="text1"/>
          <w:szCs w:val="21"/>
          <w:highlight w:val="none"/>
          <w14:textFill>
            <w14:solidFill>
              <w14:schemeClr w14:val="tx1"/>
            </w14:solidFill>
          </w14:textFill>
        </w:rPr>
      </w:pPr>
    </w:p>
    <w:p w14:paraId="6911633B">
      <w:pPr>
        <w:tabs>
          <w:tab w:val="left" w:pos="4489"/>
          <w:tab w:val="left" w:pos="5835"/>
        </w:tabs>
        <w:spacing w:line="240" w:lineRule="exact"/>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表三材料费</w:t>
      </w:r>
    </w:p>
    <w:tbl>
      <w:tblPr>
        <w:tblStyle w:val="33"/>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 w:type="dxa"/>
          <w:bottom w:w="0" w:type="dxa"/>
          <w:right w:w="10" w:type="dxa"/>
        </w:tblCellMar>
      </w:tblPr>
      <w:tblGrid>
        <w:gridCol w:w="536"/>
        <w:gridCol w:w="1527"/>
        <w:gridCol w:w="1432"/>
        <w:gridCol w:w="1063"/>
        <w:gridCol w:w="1303"/>
        <w:gridCol w:w="1182"/>
        <w:gridCol w:w="1698"/>
      </w:tblGrid>
      <w:tr w14:paraId="05165C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66" w:hRule="exact"/>
          <w:jc w:val="center"/>
        </w:trPr>
        <w:tc>
          <w:tcPr>
            <w:tcW w:w="307" w:type="pct"/>
            <w:tcBorders>
              <w:top w:val="single" w:color="auto" w:sz="8" w:space="0"/>
            </w:tcBorders>
            <w:shd w:val="clear" w:color="auto" w:fill="FFFFFF"/>
            <w:noWrap w:val="0"/>
            <w:vAlign w:val="center"/>
          </w:tcPr>
          <w:p w14:paraId="483A16C2">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序号</w:t>
            </w:r>
          </w:p>
        </w:tc>
        <w:tc>
          <w:tcPr>
            <w:tcW w:w="872" w:type="pct"/>
            <w:tcBorders>
              <w:top w:val="single" w:color="auto" w:sz="8" w:space="0"/>
            </w:tcBorders>
            <w:shd w:val="clear" w:color="auto" w:fill="FFFFFF"/>
            <w:noWrap w:val="0"/>
            <w:vAlign w:val="center"/>
          </w:tcPr>
          <w:p w14:paraId="2255FD7C">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材料名称</w:t>
            </w:r>
          </w:p>
        </w:tc>
        <w:tc>
          <w:tcPr>
            <w:tcW w:w="819" w:type="pct"/>
            <w:tcBorders>
              <w:top w:val="single" w:color="auto" w:sz="8" w:space="0"/>
            </w:tcBorders>
            <w:shd w:val="clear" w:color="auto" w:fill="FFFFFF"/>
            <w:noWrap w:val="0"/>
            <w:vAlign w:val="center"/>
          </w:tcPr>
          <w:p w14:paraId="71C4C690">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厂牌规格</w:t>
            </w:r>
          </w:p>
        </w:tc>
        <w:tc>
          <w:tcPr>
            <w:tcW w:w="608" w:type="pct"/>
            <w:tcBorders>
              <w:top w:val="single" w:color="auto" w:sz="8" w:space="0"/>
            </w:tcBorders>
            <w:shd w:val="clear" w:color="auto" w:fill="FFFFFF"/>
            <w:noWrap w:val="0"/>
            <w:vAlign w:val="center"/>
          </w:tcPr>
          <w:p w14:paraId="1A070E53">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单位</w:t>
            </w:r>
          </w:p>
        </w:tc>
        <w:tc>
          <w:tcPr>
            <w:tcW w:w="745" w:type="pct"/>
            <w:tcBorders>
              <w:top w:val="single" w:color="auto" w:sz="8" w:space="0"/>
            </w:tcBorders>
            <w:shd w:val="clear" w:color="auto" w:fill="FFFFFF"/>
            <w:noWrap w:val="0"/>
            <w:vAlign w:val="center"/>
          </w:tcPr>
          <w:p w14:paraId="0E70B116">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数量</w:t>
            </w:r>
          </w:p>
        </w:tc>
        <w:tc>
          <w:tcPr>
            <w:tcW w:w="676" w:type="pct"/>
            <w:tcBorders>
              <w:top w:val="single" w:color="auto" w:sz="8" w:space="0"/>
            </w:tcBorders>
            <w:shd w:val="clear" w:color="auto" w:fill="FFFFFF"/>
            <w:noWrap w:val="0"/>
            <w:vAlign w:val="center"/>
          </w:tcPr>
          <w:p w14:paraId="0679445F">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单价（元）</w:t>
            </w:r>
          </w:p>
        </w:tc>
        <w:tc>
          <w:tcPr>
            <w:tcW w:w="971" w:type="pct"/>
            <w:tcBorders>
              <w:top w:val="single" w:color="auto" w:sz="8" w:space="0"/>
            </w:tcBorders>
            <w:shd w:val="clear" w:color="auto" w:fill="FFFFFF"/>
            <w:noWrap w:val="0"/>
            <w:vAlign w:val="center"/>
          </w:tcPr>
          <w:p w14:paraId="2E3D7400">
            <w:pPr>
              <w:spacing w:line="220" w:lineRule="exact"/>
              <w:jc w:val="center"/>
              <w:rPr>
                <w:rFonts w:ascii="Times New Roman" w:hAnsi="Times New Roman" w:eastAsia="方正黑体_GBK" w:cs="仿宋_GB2312"/>
                <w:color w:val="000000" w:themeColor="text1"/>
                <w:szCs w:val="21"/>
                <w:highlight w:val="none"/>
                <w:lang w:val="zh-TW" w:eastAsia="zh-TW"/>
                <w14:textFill>
                  <w14:solidFill>
                    <w14:schemeClr w14:val="tx1"/>
                  </w14:solidFill>
                </w14:textFill>
              </w:rPr>
            </w:pPr>
            <w:r>
              <w:rPr>
                <w:rFonts w:hint="eastAsia" w:ascii="Times New Roman" w:hAnsi="Times New Roman" w:eastAsia="方正黑体_GBK" w:cs="仿宋_GB2312"/>
                <w:color w:val="000000" w:themeColor="text1"/>
                <w:szCs w:val="21"/>
                <w:highlight w:val="none"/>
                <w:lang w:val="zh-TW" w:eastAsia="zh-TW"/>
                <w14:textFill>
                  <w14:solidFill>
                    <w14:schemeClr w14:val="tx1"/>
                  </w14:solidFill>
                </w14:textFill>
              </w:rPr>
              <w:t>金额（元）</w:t>
            </w:r>
          </w:p>
        </w:tc>
      </w:tr>
      <w:tr w14:paraId="595610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7EF89359">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1</w:t>
            </w:r>
          </w:p>
        </w:tc>
        <w:tc>
          <w:tcPr>
            <w:tcW w:w="872" w:type="pct"/>
            <w:shd w:val="clear" w:color="auto" w:fill="FFFFFF"/>
            <w:noWrap w:val="0"/>
            <w:vAlign w:val="center"/>
          </w:tcPr>
          <w:p w14:paraId="6B4464ED">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295CA61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15712CD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01991F4D">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755A2F3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1" w:type="pct"/>
            <w:shd w:val="clear" w:color="auto" w:fill="FFFFFF"/>
            <w:noWrap w:val="0"/>
            <w:vAlign w:val="center"/>
          </w:tcPr>
          <w:p w14:paraId="0FDB6504">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r w14:paraId="41416E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6CC86C1C">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2</w:t>
            </w:r>
          </w:p>
        </w:tc>
        <w:tc>
          <w:tcPr>
            <w:tcW w:w="872" w:type="pct"/>
            <w:shd w:val="clear" w:color="auto" w:fill="FFFFFF"/>
            <w:noWrap w:val="0"/>
            <w:vAlign w:val="center"/>
          </w:tcPr>
          <w:p w14:paraId="65CDF3E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514E117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777BE65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5239284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70AC481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1" w:type="pct"/>
            <w:shd w:val="clear" w:color="auto" w:fill="FFFFFF"/>
            <w:noWrap w:val="0"/>
            <w:vAlign w:val="center"/>
          </w:tcPr>
          <w:p w14:paraId="26DC69CA">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r w14:paraId="679411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43324315">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3</w:t>
            </w:r>
          </w:p>
        </w:tc>
        <w:tc>
          <w:tcPr>
            <w:tcW w:w="872" w:type="pct"/>
            <w:shd w:val="clear" w:color="auto" w:fill="FFFFFF"/>
            <w:noWrap w:val="0"/>
            <w:vAlign w:val="center"/>
          </w:tcPr>
          <w:p w14:paraId="3189414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5B3748FE">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5D4FCD1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0339511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16C61D5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1" w:type="pct"/>
            <w:shd w:val="clear" w:color="auto" w:fill="FFFFFF"/>
            <w:noWrap w:val="0"/>
            <w:vAlign w:val="center"/>
          </w:tcPr>
          <w:p w14:paraId="1A40DCC2">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r w14:paraId="4EC328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45" w:hRule="exact"/>
          <w:jc w:val="center"/>
        </w:trPr>
        <w:tc>
          <w:tcPr>
            <w:tcW w:w="307" w:type="pct"/>
            <w:shd w:val="clear" w:color="auto" w:fill="FFFFFF"/>
            <w:noWrap w:val="0"/>
            <w:vAlign w:val="center"/>
          </w:tcPr>
          <w:p w14:paraId="20F1214D">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4</w:t>
            </w:r>
          </w:p>
        </w:tc>
        <w:tc>
          <w:tcPr>
            <w:tcW w:w="872" w:type="pct"/>
            <w:shd w:val="clear" w:color="auto" w:fill="FFFFFF"/>
            <w:noWrap w:val="0"/>
            <w:vAlign w:val="center"/>
          </w:tcPr>
          <w:p w14:paraId="6B7144DB">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6C6B169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5903A05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127000AD">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20F779D1">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c>
          <w:tcPr>
            <w:tcW w:w="971" w:type="pct"/>
            <w:shd w:val="clear" w:color="auto" w:fill="FFFFFF"/>
            <w:noWrap w:val="0"/>
            <w:vAlign w:val="center"/>
          </w:tcPr>
          <w:p w14:paraId="0A4CF3E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3ACD09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06260E20">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5</w:t>
            </w:r>
          </w:p>
        </w:tc>
        <w:tc>
          <w:tcPr>
            <w:tcW w:w="872" w:type="pct"/>
            <w:shd w:val="clear" w:color="auto" w:fill="FFFFFF"/>
            <w:noWrap w:val="0"/>
            <w:vAlign w:val="center"/>
          </w:tcPr>
          <w:p w14:paraId="742FF0CC">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178CBA1D">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4183D7B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0B41C56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3F98677F">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c>
          <w:tcPr>
            <w:tcW w:w="971" w:type="pct"/>
            <w:shd w:val="clear" w:color="auto" w:fill="FFFFFF"/>
            <w:noWrap w:val="0"/>
            <w:vAlign w:val="center"/>
          </w:tcPr>
          <w:p w14:paraId="27DE5E20">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r w14:paraId="7F3D7F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5D293A5D">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6</w:t>
            </w:r>
          </w:p>
        </w:tc>
        <w:tc>
          <w:tcPr>
            <w:tcW w:w="872" w:type="pct"/>
            <w:shd w:val="clear" w:color="auto" w:fill="FFFFFF"/>
            <w:noWrap w:val="0"/>
            <w:vAlign w:val="center"/>
          </w:tcPr>
          <w:p w14:paraId="3E42C32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351B766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58F207E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2D384F3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6149EBE1">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1" w:type="pct"/>
            <w:shd w:val="clear" w:color="auto" w:fill="FFFFFF"/>
            <w:noWrap w:val="0"/>
            <w:vAlign w:val="center"/>
          </w:tcPr>
          <w:p w14:paraId="395FA516">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1A31E0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571A5A04">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ascii="Times New Roman" w:hAnsi="Times New Roman" w:cs="仿宋_GB2312"/>
                <w:color w:val="000000" w:themeColor="text1"/>
                <w:szCs w:val="21"/>
                <w:highlight w:val="none"/>
                <w:lang w:val="zh-TW" w:eastAsia="zh-TW"/>
                <w14:textFill>
                  <w14:solidFill>
                    <w14:schemeClr w14:val="tx1"/>
                  </w14:solidFill>
                </w14:textFill>
              </w:rPr>
              <w:t>7</w:t>
            </w:r>
          </w:p>
        </w:tc>
        <w:tc>
          <w:tcPr>
            <w:tcW w:w="872" w:type="pct"/>
            <w:shd w:val="clear" w:color="auto" w:fill="FFFFFF"/>
            <w:noWrap w:val="0"/>
            <w:vAlign w:val="center"/>
          </w:tcPr>
          <w:p w14:paraId="733AA70A">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7EDC7FC4">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17790FC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1FD65F2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3E5EAEE8">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971" w:type="pct"/>
            <w:shd w:val="clear" w:color="auto" w:fill="FFFFFF"/>
            <w:noWrap w:val="0"/>
            <w:vAlign w:val="center"/>
          </w:tcPr>
          <w:p w14:paraId="36FB8924">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r>
      <w:tr w14:paraId="02488F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307" w:type="pct"/>
            <w:shd w:val="clear" w:color="auto" w:fill="FFFFFF"/>
            <w:noWrap w:val="0"/>
            <w:vAlign w:val="center"/>
          </w:tcPr>
          <w:p w14:paraId="048E9A25">
            <w:pPr>
              <w:spacing w:line="220" w:lineRule="exact"/>
              <w:jc w:val="center"/>
              <w:rPr>
                <w:rFonts w:ascii="Times New Roman" w:hAnsi="Times New Roman" w:cs="仿宋_GB2312"/>
                <w:color w:val="000000" w:themeColor="text1"/>
                <w:szCs w:val="21"/>
                <w:highlight w:val="none"/>
                <w:lang w:val="zh-TW"/>
                <w14:textFill>
                  <w14:solidFill>
                    <w14:schemeClr w14:val="tx1"/>
                  </w14:solidFill>
                </w14:textFill>
              </w:rPr>
            </w:pPr>
            <w:r>
              <w:rPr>
                <w:rFonts w:ascii="Times New Roman" w:hAnsi="Times New Roman" w:cs="仿宋_GB2312"/>
                <w:color w:val="000000" w:themeColor="text1"/>
                <w:szCs w:val="21"/>
                <w:highlight w:val="none"/>
                <w14:textFill>
                  <w14:solidFill>
                    <w14:schemeClr w14:val="tx1"/>
                  </w14:solidFill>
                </w14:textFill>
              </w:rPr>
              <w:t>8</w:t>
            </w:r>
          </w:p>
        </w:tc>
        <w:tc>
          <w:tcPr>
            <w:tcW w:w="872" w:type="pct"/>
            <w:shd w:val="clear" w:color="auto" w:fill="FFFFFF"/>
            <w:noWrap w:val="0"/>
            <w:vAlign w:val="center"/>
          </w:tcPr>
          <w:p w14:paraId="185DB2F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819" w:type="pct"/>
            <w:shd w:val="clear" w:color="auto" w:fill="FFFFFF"/>
            <w:noWrap w:val="0"/>
            <w:vAlign w:val="center"/>
          </w:tcPr>
          <w:p w14:paraId="6D70C465">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08" w:type="pct"/>
            <w:shd w:val="clear" w:color="auto" w:fill="FFFFFF"/>
            <w:noWrap w:val="0"/>
            <w:vAlign w:val="center"/>
          </w:tcPr>
          <w:p w14:paraId="731C9CBF">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745" w:type="pct"/>
            <w:shd w:val="clear" w:color="auto" w:fill="FFFFFF"/>
            <w:noWrap w:val="0"/>
            <w:vAlign w:val="center"/>
          </w:tcPr>
          <w:p w14:paraId="031CEB07">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c>
          <w:tcPr>
            <w:tcW w:w="676" w:type="pct"/>
            <w:shd w:val="clear" w:color="auto" w:fill="FFFFFF"/>
            <w:noWrap w:val="0"/>
            <w:vAlign w:val="center"/>
          </w:tcPr>
          <w:p w14:paraId="51AC93C3">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p>
        </w:tc>
        <w:tc>
          <w:tcPr>
            <w:tcW w:w="971" w:type="pct"/>
            <w:shd w:val="clear" w:color="auto" w:fill="FFFFFF"/>
            <w:noWrap w:val="0"/>
            <w:vAlign w:val="center"/>
          </w:tcPr>
          <w:p w14:paraId="672200A2">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05E0A4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53" w:hRule="exact"/>
          <w:jc w:val="center"/>
        </w:trPr>
        <w:tc>
          <w:tcPr>
            <w:tcW w:w="1180" w:type="pct"/>
            <w:gridSpan w:val="2"/>
            <w:shd w:val="clear" w:color="auto" w:fill="FFFFFF"/>
            <w:noWrap w:val="0"/>
            <w:vAlign w:val="center"/>
          </w:tcPr>
          <w:p w14:paraId="3D60C064">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托修方自带配件：</w:t>
            </w:r>
          </w:p>
        </w:tc>
        <w:tc>
          <w:tcPr>
            <w:tcW w:w="3819" w:type="pct"/>
            <w:gridSpan w:val="5"/>
            <w:shd w:val="clear" w:color="auto" w:fill="FFFFFF"/>
            <w:noWrap w:val="0"/>
            <w:vAlign w:val="center"/>
          </w:tcPr>
          <w:p w14:paraId="5D1779F9">
            <w:pPr>
              <w:spacing w:line="220" w:lineRule="exact"/>
              <w:jc w:val="center"/>
              <w:rPr>
                <w:rFonts w:ascii="Times New Roman" w:hAnsi="Times New Roman" w:cs="仿宋_GB2312"/>
                <w:color w:val="000000" w:themeColor="text1"/>
                <w:szCs w:val="21"/>
                <w:highlight w:val="none"/>
                <w:lang w:eastAsia="en-US"/>
                <w14:textFill>
                  <w14:solidFill>
                    <w14:schemeClr w14:val="tx1"/>
                  </w14:solidFill>
                </w14:textFill>
              </w:rPr>
            </w:pPr>
          </w:p>
        </w:tc>
      </w:tr>
      <w:tr w14:paraId="03DEE5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 w:type="dxa"/>
            <w:bottom w:w="0" w:type="dxa"/>
            <w:right w:w="10" w:type="dxa"/>
          </w:tblCellMar>
        </w:tblPrEx>
        <w:trPr>
          <w:trHeight w:val="275" w:hRule="exact"/>
          <w:jc w:val="center"/>
        </w:trPr>
        <w:tc>
          <w:tcPr>
            <w:tcW w:w="1180" w:type="pct"/>
            <w:gridSpan w:val="2"/>
            <w:tcBorders>
              <w:bottom w:val="single" w:color="auto" w:sz="8" w:space="0"/>
            </w:tcBorders>
            <w:shd w:val="clear" w:color="auto" w:fill="FFFFFF"/>
            <w:noWrap w:val="0"/>
            <w:vAlign w:val="center"/>
          </w:tcPr>
          <w:p w14:paraId="55630582">
            <w:pPr>
              <w:spacing w:line="220" w:lineRule="exact"/>
              <w:jc w:val="center"/>
              <w:rPr>
                <w:rFonts w:ascii="Times New Roman" w:hAnsi="Times New Roman" w:cs="仿宋_GB2312"/>
                <w:color w:val="000000" w:themeColor="text1"/>
                <w:szCs w:val="21"/>
                <w:highlight w:val="none"/>
                <w:lang w:val="zh-TW" w:eastAsia="zh-TW"/>
                <w14:textFill>
                  <w14:solidFill>
                    <w14:schemeClr w14:val="tx1"/>
                  </w14:solidFill>
                </w14:textFill>
              </w:rPr>
            </w:pPr>
            <w:r>
              <w:rPr>
                <w:rFonts w:hint="eastAsia" w:ascii="Times New Roman" w:hAnsi="Times New Roman" w:cs="仿宋_GB2312"/>
                <w:color w:val="000000" w:themeColor="text1"/>
                <w:szCs w:val="21"/>
                <w:highlight w:val="none"/>
                <w:lang w:val="zh-TW" w:eastAsia="zh-TW"/>
                <w14:textFill>
                  <w14:solidFill>
                    <w14:schemeClr w14:val="tx1"/>
                  </w14:solidFill>
                </w14:textFill>
              </w:rPr>
              <w:t>材料费合计金额（元）</w:t>
            </w:r>
          </w:p>
        </w:tc>
        <w:tc>
          <w:tcPr>
            <w:tcW w:w="3819" w:type="pct"/>
            <w:gridSpan w:val="5"/>
            <w:tcBorders>
              <w:bottom w:val="single" w:color="auto" w:sz="8" w:space="0"/>
            </w:tcBorders>
            <w:shd w:val="clear" w:color="auto" w:fill="FFFFFF"/>
            <w:noWrap w:val="0"/>
            <w:vAlign w:val="center"/>
          </w:tcPr>
          <w:p w14:paraId="36858FDE">
            <w:pPr>
              <w:spacing w:line="220" w:lineRule="exact"/>
              <w:jc w:val="center"/>
              <w:rPr>
                <w:rFonts w:ascii="Times New Roman" w:hAnsi="Times New Roman" w:cs="仿宋_GB2312"/>
                <w:color w:val="000000" w:themeColor="text1"/>
                <w:szCs w:val="21"/>
                <w:highlight w:val="none"/>
                <w14:textFill>
                  <w14:solidFill>
                    <w14:schemeClr w14:val="tx1"/>
                  </w14:solidFill>
                </w14:textFill>
              </w:rPr>
            </w:pPr>
          </w:p>
        </w:tc>
      </w:tr>
    </w:tbl>
    <w:p w14:paraId="29BE0E10">
      <w:pPr>
        <w:spacing w:line="1" w:lineRule="exact"/>
        <w:jc w:val="left"/>
        <w:rPr>
          <w:rFonts w:ascii="Times New Roman" w:hAnsi="Times New Roman" w:eastAsia="仿宋_GB2312" w:cs="仿宋_GB2312"/>
          <w:color w:val="000000" w:themeColor="text1"/>
          <w:szCs w:val="21"/>
          <w:highlight w:val="none"/>
          <w14:textFill>
            <w14:solidFill>
              <w14:schemeClr w14:val="tx1"/>
            </w14:solidFill>
          </w14:textFill>
        </w:rPr>
      </w:pPr>
    </w:p>
    <w:p w14:paraId="5F506F63">
      <w:pPr>
        <w:spacing w:line="260" w:lineRule="exact"/>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友情提醒：</w:t>
      </w:r>
    </w:p>
    <w:p w14:paraId="797F520B">
      <w:pPr>
        <w:tabs>
          <w:tab w:val="left" w:pos="344"/>
        </w:tabs>
        <w:spacing w:line="260" w:lineRule="exact"/>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1</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、是否有托修人支付费用更换的旧配件：</w:t>
      </w:r>
    </w:p>
    <w:p w14:paraId="20794F35">
      <w:pPr>
        <w:spacing w:line="260" w:lineRule="exact"/>
        <w:ind w:firstLine="320"/>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方正楷体_GBK" w:hAnsi="方正楷体_GBK" w:eastAsia="方正楷体_GBK" w:cs="方正楷体_GBK"/>
          <w:color w:val="000000" w:themeColor="text1"/>
          <w:sz w:val="22"/>
          <w:highlight w:val="none"/>
          <w:lang w:val="zh-TW" w:eastAsia="zh-TW"/>
          <w14:textFill>
            <w14:solidFill>
              <w14:schemeClr w14:val="tx1"/>
            </w14:solidFill>
          </w14:textFill>
        </w:rPr>
        <w:t>□</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旧配件已确认，并由托修方回收</w:t>
      </w:r>
      <w:r>
        <w:rPr>
          <w:rFonts w:hint="eastAsia" w:ascii="方正楷体_GBK" w:hAnsi="方正楷体_GBK" w:eastAsia="方正楷体_GBK" w:cs="方正楷体_GBK"/>
          <w:color w:val="000000" w:themeColor="text1"/>
          <w:sz w:val="22"/>
          <w:highlight w:val="none"/>
          <w:lang w:val="zh-TW" w:eastAsia="zh-TW"/>
          <w14:textFill>
            <w14:solidFill>
              <w14:schemeClr w14:val="tx1"/>
            </w14:solidFill>
          </w14:textFill>
        </w:rPr>
        <w:t>□</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旧配件已确认，托修方声明放弃</w:t>
      </w:r>
      <w:r>
        <w:rPr>
          <w:rFonts w:ascii="Wingdings 2" w:hAnsi="Wingdings 2" w:eastAsia="Wingdings 2" w:cs="Wingdings 2"/>
          <w:color w:val="000000" w:themeColor="text1"/>
          <w:sz w:val="22"/>
          <w:highlight w:val="none"/>
          <w:lang w:val="zh-TW" w:eastAsia="zh-TW"/>
          <w14:textFill>
            <w14:solidFill>
              <w14:schemeClr w14:val="tx1"/>
            </w14:solidFill>
          </w14:textFill>
        </w:rPr>
        <w:t>£</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无旧配件</w:t>
      </w:r>
    </w:p>
    <w:p w14:paraId="6D1060DE">
      <w:pPr>
        <w:tabs>
          <w:tab w:val="left" w:pos="351"/>
        </w:tabs>
        <w:spacing w:line="260" w:lineRule="exact"/>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2</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、结算清单项目及应付金额经双方核实，客户签字后生效。</w:t>
      </w:r>
    </w:p>
    <w:p w14:paraId="601B3076">
      <w:pPr>
        <w:spacing w:line="260" w:lineRule="exact"/>
        <w:ind w:left="4540"/>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承修方（盖章）：</w:t>
      </w:r>
    </w:p>
    <w:p w14:paraId="20C4A26C">
      <w:pPr>
        <w:tabs>
          <w:tab w:val="left" w:pos="4489"/>
          <w:tab w:val="left" w:pos="5835"/>
        </w:tabs>
        <w:spacing w:line="260" w:lineRule="exact"/>
        <w:ind w:firstLine="320"/>
        <w:rPr>
          <w:rFonts w:ascii="Times New Roman" w:hAnsi="Times New Roman" w:eastAsia="方正楷体_GBK" w:cs="仿宋_GB2312"/>
          <w:color w:val="000000" w:themeColor="text1"/>
          <w:sz w:val="22"/>
          <w:highlight w:val="none"/>
          <w:lang w:val="zh-TW" w:eastAsia="zh-TW"/>
          <w14:textFill>
            <w14:solidFill>
              <w14:schemeClr w14:val="tx1"/>
            </w14:solidFill>
          </w14:textFill>
        </w:rPr>
        <w:sectPr>
          <w:footerReference r:id="rId3" w:type="default"/>
          <w:pgSz w:w="11900" w:h="16838"/>
          <w:pgMar w:top="1814" w:right="1588" w:bottom="1588" w:left="1588" w:header="0" w:footer="1191" w:gutter="0"/>
          <w:cols w:space="0" w:num="1"/>
          <w:docGrid w:linePitch="360" w:charSpace="0"/>
        </w:sect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客户签字：</w:t>
      </w: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ab/>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日期：年月日</w:t>
      </w:r>
    </w:p>
    <w:p w14:paraId="2FD1CDD2">
      <w:pPr>
        <w:pStyle w:val="3"/>
        <w:rPr>
          <w:rFonts w:ascii="黑体" w:eastAsia="黑体"/>
          <w:bCs/>
          <w:sz w:val="44"/>
          <w:highlight w:val="none"/>
        </w:rPr>
      </w:pPr>
      <w:r>
        <w:rPr>
          <w:rFonts w:ascii="黑体" w:eastAsia="黑体"/>
          <w:bCs/>
          <w:sz w:val="44"/>
          <w:highlight w:val="none"/>
        </w:rPr>
        <w:t>第四章 采购需求</w:t>
      </w:r>
      <w:bookmarkEnd w:id="152"/>
    </w:p>
    <w:p w14:paraId="1D80EF1E">
      <w:pPr>
        <w:widowControl w:val="0"/>
        <w:spacing w:before="120" w:after="120" w:line="480" w:lineRule="exact"/>
        <w:ind w:firstLine="643"/>
        <w:rPr>
          <w:rFonts w:eastAsia="仿宋" w:cs="Calibri"/>
          <w:b/>
          <w:sz w:val="32"/>
          <w:szCs w:val="32"/>
          <w:highlight w:val="none"/>
        </w:rPr>
      </w:pPr>
      <w:r>
        <w:rPr>
          <w:rFonts w:hint="eastAsia" w:eastAsia="仿宋" w:cs="Calibri"/>
          <w:b/>
          <w:sz w:val="32"/>
          <w:szCs w:val="32"/>
          <w:highlight w:val="none"/>
        </w:rPr>
        <w:t>一、服务内容</w:t>
      </w:r>
    </w:p>
    <w:p w14:paraId="4DAB87A2">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rPr>
        <w:t>我中心拟对</w:t>
      </w:r>
      <w:r>
        <w:rPr>
          <w:rFonts w:hint="eastAsia" w:cs="宋体" w:asciiTheme="minorEastAsia" w:hAnsiTheme="minorEastAsia"/>
          <w:color w:val="000000"/>
          <w:sz w:val="24"/>
          <w:highlight w:val="none"/>
          <w:lang w:eastAsia="zh-CN"/>
        </w:rPr>
        <w:t>亭湖区行政事业单位2027-2028年度公务用车维保服务框架协议采购项目</w:t>
      </w:r>
      <w:r>
        <w:rPr>
          <w:rFonts w:hint="eastAsia" w:cs="宋体" w:asciiTheme="minorEastAsia" w:hAnsiTheme="minorEastAsia" w:eastAsiaTheme="minorEastAsia"/>
          <w:color w:val="000000"/>
          <w:sz w:val="24"/>
          <w:highlight w:val="none"/>
          <w:lang w:eastAsia="zh-CN"/>
        </w:rPr>
        <w:t>（不见面开标）</w:t>
      </w:r>
      <w:r>
        <w:rPr>
          <w:rFonts w:hint="eastAsia" w:ascii="宋体" w:hAnsi="宋体"/>
          <w:sz w:val="24"/>
          <w:szCs w:val="24"/>
          <w:highlight w:val="none"/>
        </w:rPr>
        <w:t>采购实行框架协议采购</w:t>
      </w:r>
      <w:r>
        <w:rPr>
          <w:rFonts w:hint="eastAsia" w:ascii="宋体" w:hAnsi="宋体"/>
          <w:sz w:val="24"/>
          <w:szCs w:val="24"/>
          <w:highlight w:val="none"/>
          <w:lang w:eastAsia="zh-CN"/>
        </w:rPr>
        <w:t>，</w:t>
      </w:r>
      <w:r>
        <w:rPr>
          <w:rFonts w:hint="eastAsia" w:ascii="宋体" w:hAnsi="宋体"/>
          <w:sz w:val="24"/>
          <w:szCs w:val="24"/>
          <w:highlight w:val="none"/>
          <w:lang w:val="en-US" w:eastAsia="zh-CN"/>
        </w:rPr>
        <w:t>对公务用车进行维修、维护和保养等，</w:t>
      </w:r>
      <w:r>
        <w:rPr>
          <w:rFonts w:hint="eastAsia" w:ascii="宋体" w:hAnsi="宋体"/>
          <w:sz w:val="24"/>
          <w:szCs w:val="24"/>
          <w:highlight w:val="none"/>
        </w:rPr>
        <w:t>车辆总数为</w:t>
      </w:r>
      <w:r>
        <w:rPr>
          <w:rFonts w:hint="eastAsia" w:ascii="宋体" w:hAnsi="宋体" w:eastAsia="宋体"/>
          <w:sz w:val="24"/>
          <w:szCs w:val="24"/>
          <w:highlight w:val="none"/>
          <w:lang w:val="en-US" w:eastAsia="zh-CN"/>
        </w:rPr>
        <w:t>312</w:t>
      </w:r>
      <w:r>
        <w:rPr>
          <w:rFonts w:hint="eastAsia" w:ascii="宋体" w:hAnsi="宋体"/>
          <w:sz w:val="24"/>
          <w:szCs w:val="24"/>
          <w:highlight w:val="none"/>
        </w:rPr>
        <w:t>辆左右，主要车型为轿车、商务车、普通面包车、客车、客货两用车等。</w:t>
      </w:r>
    </w:p>
    <w:p w14:paraId="539043EB">
      <w:pPr>
        <w:widowControl w:val="0"/>
        <w:spacing w:line="480" w:lineRule="exact"/>
        <w:ind w:firstLine="480"/>
        <w:rPr>
          <w:rFonts w:ascii="宋体" w:hAnsi="宋体"/>
          <w:sz w:val="24"/>
          <w:szCs w:val="24"/>
          <w:highlight w:val="none"/>
        </w:rPr>
      </w:pPr>
      <w:r>
        <w:rPr>
          <w:rFonts w:hint="eastAsia" w:ascii="宋体" w:hAnsi="宋体"/>
          <w:sz w:val="24"/>
          <w:szCs w:val="24"/>
          <w:highlight w:val="none"/>
        </w:rPr>
        <w:t>服务内容包括相应车型的整车修理、总成修理、整车维护、小修、维修救援、汽车轮胎更换、专项修理、维修竣工检验工作和其他有关项目的服务。不包含摩托车、新车质保期内的免费维保、汽车装潢。</w:t>
      </w:r>
    </w:p>
    <w:p w14:paraId="3D8A4A3B">
      <w:pPr>
        <w:widowControl w:val="0"/>
        <w:spacing w:line="480" w:lineRule="exact"/>
        <w:ind w:firstLine="480"/>
        <w:rPr>
          <w:rFonts w:ascii="宋体" w:hAnsi="宋体" w:cs="宋体"/>
          <w:sz w:val="24"/>
          <w:szCs w:val="24"/>
          <w:highlight w:val="none"/>
        </w:rPr>
      </w:pPr>
      <w:r>
        <w:rPr>
          <w:rFonts w:hint="eastAsia" w:ascii="宋体" w:hAnsi="宋体"/>
          <w:sz w:val="24"/>
          <w:szCs w:val="24"/>
          <w:highlight w:val="none"/>
        </w:rPr>
        <w:t>适用范围：</w:t>
      </w:r>
      <w:r>
        <w:rPr>
          <w:rFonts w:hint="eastAsia" w:ascii="宋体" w:hAnsi="宋体" w:cs="宋体"/>
          <w:sz w:val="24"/>
          <w:szCs w:val="24"/>
          <w:highlight w:val="none"/>
        </w:rPr>
        <w:t>本次框架协议采购人的范围是</w:t>
      </w:r>
      <w:r>
        <w:rPr>
          <w:rFonts w:hint="eastAsia" w:cs="宋体" w:asciiTheme="minorEastAsia" w:hAnsiTheme="minorEastAsia" w:eastAsiaTheme="minorEastAsia"/>
          <w:color w:val="000000"/>
          <w:sz w:val="24"/>
          <w:highlight w:val="none"/>
        </w:rPr>
        <w:t>盐城市亭湖区全区政府机构、事业单位公务用车</w:t>
      </w:r>
      <w:r>
        <w:rPr>
          <w:rFonts w:hint="eastAsia" w:ascii="宋体" w:hAnsi="宋体" w:cs="宋体"/>
          <w:sz w:val="24"/>
          <w:szCs w:val="24"/>
          <w:highlight w:val="none"/>
        </w:rPr>
        <w:t>，响应供应商不得对采购人的范围作任何附加条件的限定。</w:t>
      </w:r>
    </w:p>
    <w:p w14:paraId="410BE956">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rPr>
        <w:t>限额标准：</w:t>
      </w:r>
      <w:r>
        <w:rPr>
          <w:rFonts w:hint="eastAsia" w:ascii="宋体" w:hAnsi="宋体"/>
          <w:sz w:val="24"/>
          <w:szCs w:val="24"/>
          <w:highlight w:val="none"/>
          <w:lang w:val="en-US" w:eastAsia="zh-CN"/>
        </w:rPr>
        <w:t>盐城</w:t>
      </w:r>
      <w:r>
        <w:rPr>
          <w:rFonts w:hint="eastAsia" w:ascii="宋体" w:hAnsi="宋体"/>
          <w:sz w:val="24"/>
          <w:szCs w:val="24"/>
          <w:highlight w:val="none"/>
        </w:rPr>
        <w:t>市本级</w:t>
      </w:r>
      <w:r>
        <w:rPr>
          <w:rFonts w:hint="eastAsia" w:ascii="宋体" w:hAnsi="宋体"/>
          <w:sz w:val="24"/>
          <w:szCs w:val="24"/>
          <w:highlight w:val="none"/>
          <w:lang w:val="en-US" w:eastAsia="zh-CN"/>
        </w:rPr>
        <w:t>10</w:t>
      </w:r>
      <w:r>
        <w:rPr>
          <w:rFonts w:hint="eastAsia" w:ascii="宋体" w:hAnsi="宋体"/>
          <w:sz w:val="24"/>
          <w:szCs w:val="24"/>
          <w:highlight w:val="none"/>
        </w:rPr>
        <w:t>0万元（202</w:t>
      </w:r>
      <w:r>
        <w:rPr>
          <w:rFonts w:hint="eastAsia" w:ascii="宋体" w:hAnsi="宋体"/>
          <w:sz w:val="24"/>
          <w:szCs w:val="24"/>
          <w:highlight w:val="none"/>
          <w:lang w:val="en-US" w:eastAsia="zh-CN"/>
        </w:rPr>
        <w:t>7</w:t>
      </w:r>
      <w:r>
        <w:rPr>
          <w:rFonts w:hint="eastAsia" w:ascii="宋体" w:hAnsi="宋体"/>
          <w:sz w:val="24"/>
          <w:szCs w:val="24"/>
          <w:highlight w:val="none"/>
        </w:rPr>
        <w:t>年限额标准依据江苏省印发的202</w:t>
      </w:r>
      <w:r>
        <w:rPr>
          <w:rFonts w:hint="eastAsia" w:ascii="宋体" w:hAnsi="宋体"/>
          <w:sz w:val="24"/>
          <w:szCs w:val="24"/>
          <w:highlight w:val="none"/>
          <w:lang w:val="en-US" w:eastAsia="zh-CN"/>
        </w:rPr>
        <w:t>7</w:t>
      </w:r>
      <w:r>
        <w:rPr>
          <w:rFonts w:hint="eastAsia" w:ascii="宋体" w:hAnsi="宋体"/>
          <w:sz w:val="24"/>
          <w:szCs w:val="24"/>
          <w:highlight w:val="none"/>
        </w:rPr>
        <w:t>年度集采目录进行调整）</w:t>
      </w:r>
      <w:r>
        <w:rPr>
          <w:rFonts w:hint="eastAsia" w:ascii="宋体" w:hAnsi="宋体"/>
          <w:sz w:val="24"/>
          <w:szCs w:val="24"/>
          <w:highlight w:val="none"/>
          <w:lang w:eastAsia="zh-CN"/>
        </w:rPr>
        <w:t>，</w:t>
      </w:r>
      <w:r>
        <w:rPr>
          <w:rFonts w:hint="eastAsia" w:ascii="宋体" w:hAnsi="宋体"/>
          <w:sz w:val="24"/>
          <w:szCs w:val="24"/>
          <w:highlight w:val="none"/>
        </w:rPr>
        <w:t>预算金额属于小额零星采购（</w:t>
      </w:r>
      <w:r>
        <w:rPr>
          <w:rFonts w:hint="eastAsia" w:ascii="宋体" w:hAnsi="宋体"/>
          <w:sz w:val="24"/>
          <w:szCs w:val="24"/>
          <w:highlight w:val="none"/>
          <w:lang w:val="en-US" w:eastAsia="zh-CN"/>
        </w:rPr>
        <w:t>10</w:t>
      </w:r>
      <w:r>
        <w:rPr>
          <w:rFonts w:hint="eastAsia" w:ascii="宋体" w:hAnsi="宋体"/>
          <w:sz w:val="24"/>
          <w:szCs w:val="24"/>
          <w:highlight w:val="none"/>
        </w:rPr>
        <w:t>0万元以下）可实行框架协议采购的公务用车入围维修服务项目。</w:t>
      </w:r>
    </w:p>
    <w:p w14:paraId="16340CD8">
      <w:pPr>
        <w:widowControl w:val="0"/>
        <w:spacing w:line="480" w:lineRule="exact"/>
        <w:ind w:firstLine="480"/>
        <w:rPr>
          <w:rFonts w:ascii="宋体" w:hAnsi="宋体" w:cs="宋体"/>
          <w:sz w:val="24"/>
          <w:szCs w:val="24"/>
          <w:highlight w:val="none"/>
        </w:rPr>
      </w:pPr>
      <w:r>
        <w:rPr>
          <w:rFonts w:hint="eastAsia" w:ascii="宋体" w:hAnsi="宋体" w:cs="宋体"/>
          <w:sz w:val="24"/>
          <w:szCs w:val="24"/>
          <w:highlight w:val="none"/>
        </w:rPr>
        <w:t>框架协议期限：本次框架协议期从</w:t>
      </w:r>
      <w:r>
        <w:rPr>
          <w:rFonts w:hint="eastAsia" w:ascii="宋体" w:hAnsi="宋体" w:cs="宋体"/>
          <w:sz w:val="24"/>
          <w:szCs w:val="24"/>
          <w:highlight w:val="none"/>
          <w:lang w:val="en-US" w:eastAsia="zh-CN"/>
        </w:rPr>
        <w:t>2027年1月1日至2028年12月31日</w:t>
      </w:r>
      <w:r>
        <w:rPr>
          <w:rFonts w:hint="eastAsia" w:ascii="宋体" w:hAnsi="宋体" w:cs="宋体"/>
          <w:sz w:val="24"/>
          <w:szCs w:val="24"/>
          <w:highlight w:val="none"/>
        </w:rPr>
        <w:t>止。</w:t>
      </w:r>
    </w:p>
    <w:p w14:paraId="3C264291">
      <w:pPr>
        <w:widowControl w:val="0"/>
        <w:spacing w:line="480" w:lineRule="exact"/>
        <w:ind w:firstLine="480"/>
        <w:rPr>
          <w:rFonts w:ascii="宋体" w:hAnsi="宋体"/>
          <w:sz w:val="24"/>
          <w:szCs w:val="24"/>
          <w:highlight w:val="none"/>
        </w:rPr>
      </w:pPr>
      <w:r>
        <w:rPr>
          <w:rFonts w:hint="eastAsia" w:ascii="宋体" w:hAnsi="宋体" w:cs="宋体"/>
          <w:sz w:val="24"/>
          <w:szCs w:val="24"/>
          <w:highlight w:val="none"/>
        </w:rPr>
        <w:t>框</w:t>
      </w:r>
      <w:r>
        <w:rPr>
          <w:rFonts w:hint="eastAsia" w:ascii="宋体" w:hAnsi="宋体"/>
          <w:sz w:val="24"/>
          <w:szCs w:val="24"/>
          <w:highlight w:val="none"/>
        </w:rPr>
        <w:t>架协议履约期间，若国家、江苏省及</w:t>
      </w:r>
      <w:r>
        <w:rPr>
          <w:rFonts w:hint="eastAsia" w:ascii="宋体" w:hAnsi="宋体"/>
          <w:sz w:val="24"/>
          <w:szCs w:val="24"/>
          <w:highlight w:val="none"/>
          <w:lang w:val="en-US" w:eastAsia="zh-CN"/>
        </w:rPr>
        <w:t>盐城</w:t>
      </w:r>
      <w:r>
        <w:rPr>
          <w:rFonts w:hint="eastAsia" w:ascii="宋体" w:hAnsi="宋体"/>
          <w:sz w:val="24"/>
          <w:szCs w:val="24"/>
          <w:highlight w:val="none"/>
        </w:rPr>
        <w:t>市相关部门出台与政府采购框架协议及公务用车维修相关的政策、规定，按新的政策、规定执行。</w:t>
      </w:r>
    </w:p>
    <w:p w14:paraId="215F5374">
      <w:pPr>
        <w:widowControl w:val="0"/>
        <w:numPr>
          <w:ilvl w:val="0"/>
          <w:numId w:val="3"/>
        </w:numPr>
        <w:spacing w:line="480" w:lineRule="exact"/>
        <w:ind w:firstLine="643"/>
        <w:jc w:val="both"/>
        <w:rPr>
          <w:rFonts w:eastAsia="仿宋" w:cs="Calibri"/>
          <w:b/>
          <w:sz w:val="32"/>
          <w:szCs w:val="32"/>
          <w:highlight w:val="none"/>
        </w:rPr>
      </w:pPr>
      <w:r>
        <w:rPr>
          <w:rFonts w:hint="eastAsia" w:eastAsia="仿宋" w:cs="Calibri"/>
          <w:b/>
          <w:sz w:val="32"/>
          <w:szCs w:val="32"/>
          <w:highlight w:val="none"/>
        </w:rPr>
        <w:t>服务条款</w:t>
      </w:r>
    </w:p>
    <w:p w14:paraId="1F034AEE">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1</w:t>
      </w:r>
      <w:r>
        <w:rPr>
          <w:rFonts w:hint="eastAsia" w:ascii="宋体" w:hAnsi="宋体" w:cs="Courier New"/>
          <w:sz w:val="24"/>
          <w:szCs w:val="24"/>
          <w:highlight w:val="none"/>
        </w:rPr>
        <w:t>、对托修方所送车辆随到随修，急用急修，小修不过夜，大修不超过预定期限，保证托修方及时用车。</w:t>
      </w:r>
    </w:p>
    <w:p w14:paraId="3E8CEC12">
      <w:pPr>
        <w:widowControl w:val="0"/>
        <w:spacing w:line="480" w:lineRule="exact"/>
        <w:ind w:firstLine="480"/>
        <w:rPr>
          <w:rFonts w:hint="eastAsia" w:ascii="宋体" w:hAnsi="宋体" w:cs="Courier New"/>
          <w:b w:val="0"/>
          <w:bCs w:val="0"/>
          <w:i/>
          <w:iCs/>
          <w:sz w:val="24"/>
          <w:szCs w:val="24"/>
          <w:highlight w:val="none"/>
          <w:u w:val="single"/>
        </w:rPr>
      </w:pPr>
      <w:r>
        <w:rPr>
          <w:rFonts w:hint="eastAsia" w:ascii="宋体" w:hAnsi="宋体" w:cs="Courier New"/>
          <w:b w:val="0"/>
          <w:bCs w:val="0"/>
          <w:i/>
          <w:iCs/>
          <w:sz w:val="24"/>
          <w:szCs w:val="24"/>
          <w:highlight w:val="none"/>
          <w:u w:val="single"/>
          <w:lang w:val="en-US" w:eastAsia="zh-CN"/>
        </w:rPr>
        <w:t>2</w:t>
      </w:r>
      <w:r>
        <w:rPr>
          <w:rFonts w:hint="eastAsia" w:ascii="宋体" w:hAnsi="宋体" w:cs="Courier New"/>
          <w:b w:val="0"/>
          <w:bCs w:val="0"/>
          <w:i/>
          <w:iCs/>
          <w:sz w:val="24"/>
          <w:szCs w:val="24"/>
          <w:highlight w:val="none"/>
          <w:u w:val="single"/>
        </w:rPr>
        <w:t>、须承诺应设有24小时服务电话，在接到送修的采购人报修电话后半小时内予以响应，并能提供上门维修服务。（承诺函加盖供应商CA公章）。</w:t>
      </w:r>
    </w:p>
    <w:p w14:paraId="36263942">
      <w:pPr>
        <w:widowControl w:val="0"/>
        <w:spacing w:line="480" w:lineRule="exact"/>
        <w:ind w:firstLine="480"/>
        <w:rPr>
          <w:rFonts w:hint="eastAsia" w:ascii="宋体" w:hAnsi="宋体" w:cs="Courier New"/>
          <w:b w:val="0"/>
          <w:bCs w:val="0"/>
          <w:i/>
          <w:iCs/>
          <w:sz w:val="24"/>
          <w:szCs w:val="24"/>
          <w:highlight w:val="none"/>
          <w:u w:val="single"/>
        </w:rPr>
      </w:pPr>
      <w:r>
        <w:rPr>
          <w:rFonts w:hint="eastAsia" w:ascii="宋体" w:hAnsi="宋体" w:cs="Courier New"/>
          <w:b w:val="0"/>
          <w:bCs w:val="0"/>
          <w:i/>
          <w:iCs/>
          <w:sz w:val="24"/>
          <w:szCs w:val="24"/>
          <w:highlight w:val="none"/>
          <w:u w:val="single"/>
          <w:lang w:val="en-US" w:eastAsia="zh-CN"/>
        </w:rPr>
        <w:t>3</w:t>
      </w:r>
      <w:r>
        <w:rPr>
          <w:rFonts w:hint="eastAsia" w:ascii="宋体" w:hAnsi="宋体" w:cs="Courier New"/>
          <w:b w:val="0"/>
          <w:bCs w:val="0"/>
          <w:i/>
          <w:iCs/>
          <w:sz w:val="24"/>
          <w:szCs w:val="24"/>
          <w:highlight w:val="none"/>
          <w:u w:val="single"/>
        </w:rPr>
        <w:t>、须承诺应为送修的采购人提供紧急救援服务，配备有明显标志的抢修车，</w:t>
      </w:r>
      <w:r>
        <w:rPr>
          <w:rFonts w:hint="eastAsia" w:ascii="宋体" w:hAnsi="宋体" w:cs="Courier New"/>
          <w:b w:val="0"/>
          <w:bCs w:val="0"/>
          <w:i/>
          <w:iCs/>
          <w:sz w:val="24"/>
          <w:szCs w:val="24"/>
          <w:highlight w:val="none"/>
          <w:u w:val="single"/>
          <w:lang w:val="en-US" w:eastAsia="zh-CN"/>
        </w:rPr>
        <w:t>盐城</w:t>
      </w:r>
      <w:r>
        <w:rPr>
          <w:rFonts w:hint="eastAsia" w:ascii="宋体" w:hAnsi="宋体" w:cs="Courier New"/>
          <w:b w:val="0"/>
          <w:bCs w:val="0"/>
          <w:i/>
          <w:iCs/>
          <w:sz w:val="24"/>
          <w:szCs w:val="24"/>
          <w:highlight w:val="none"/>
          <w:u w:val="single"/>
        </w:rPr>
        <w:t>市区</w:t>
      </w:r>
      <w:r>
        <w:rPr>
          <w:rFonts w:hint="eastAsia" w:ascii="宋体" w:hAnsi="宋体" w:cs="Courier New"/>
          <w:b w:val="0"/>
          <w:bCs w:val="0"/>
          <w:i/>
          <w:iCs/>
          <w:sz w:val="24"/>
          <w:szCs w:val="24"/>
          <w:highlight w:val="none"/>
          <w:u w:val="single"/>
          <w:lang w:val="en-US" w:eastAsia="zh-CN"/>
        </w:rPr>
        <w:t>范围内</w:t>
      </w:r>
      <w:r>
        <w:rPr>
          <w:rFonts w:hint="eastAsia" w:ascii="宋体" w:hAnsi="宋体" w:cs="Courier New"/>
          <w:b w:val="0"/>
          <w:bCs w:val="0"/>
          <w:i/>
          <w:iCs/>
          <w:sz w:val="24"/>
          <w:szCs w:val="24"/>
          <w:highlight w:val="none"/>
          <w:u w:val="single"/>
        </w:rPr>
        <w:t>应能在1小时内派人赶到救援现场。（承诺函加盖供应商CA公章）。</w:t>
      </w:r>
    </w:p>
    <w:p w14:paraId="15D90DA3">
      <w:pPr>
        <w:widowControl w:val="0"/>
        <w:spacing w:line="480" w:lineRule="exact"/>
        <w:ind w:firstLine="480"/>
        <w:rPr>
          <w:rFonts w:hint="eastAsia" w:ascii="宋体" w:hAnsi="宋体" w:cs="Courier New"/>
          <w:sz w:val="24"/>
          <w:szCs w:val="24"/>
          <w:highlight w:val="none"/>
          <w:lang w:val="en-US" w:eastAsia="zh-CN"/>
        </w:rPr>
      </w:pPr>
      <w:r>
        <w:rPr>
          <w:rFonts w:hint="eastAsia" w:ascii="宋体" w:hAnsi="宋体" w:cs="Courier New"/>
          <w:sz w:val="24"/>
          <w:szCs w:val="24"/>
          <w:highlight w:val="none"/>
          <w:lang w:val="en-US" w:eastAsia="zh-CN"/>
        </w:rPr>
        <w:t>4、设施条件应符合《汽车维修业开业条件》（</w:t>
      </w:r>
      <w:r>
        <w:rPr>
          <w:rFonts w:hint="eastAsia" w:ascii="宋体" w:hAnsi="宋体" w:cs="Courier New"/>
          <w:sz w:val="24"/>
          <w:szCs w:val="24"/>
          <w:highlight w:val="none"/>
        </w:rPr>
        <w:t>GB/T 16739</w:t>
      </w:r>
      <w:r>
        <w:rPr>
          <w:rFonts w:hint="eastAsia" w:ascii="宋体" w:hAnsi="宋体" w:cs="Courier New"/>
          <w:sz w:val="24"/>
          <w:szCs w:val="24"/>
          <w:highlight w:val="none"/>
          <w:lang w:val="en-US" w:eastAsia="zh-CN"/>
        </w:rPr>
        <w:t>-2023）要求，设有接待室（含客户休息室）、停车场、生产厂房及场地，并标识清楚。</w:t>
      </w:r>
    </w:p>
    <w:p w14:paraId="1771B257">
      <w:pPr>
        <w:widowControl w:val="0"/>
        <w:spacing w:line="480" w:lineRule="exact"/>
        <w:ind w:firstLine="480"/>
        <w:rPr>
          <w:rFonts w:hint="eastAsia" w:ascii="宋体" w:hAnsi="宋体" w:cs="Courier New"/>
          <w:sz w:val="24"/>
          <w:szCs w:val="24"/>
          <w:highlight w:val="none"/>
          <w:lang w:val="en-US" w:eastAsia="zh-CN"/>
        </w:rPr>
      </w:pPr>
      <w:r>
        <w:rPr>
          <w:rFonts w:hint="eastAsia" w:ascii="宋体" w:hAnsi="宋体" w:cs="Courier New"/>
          <w:sz w:val="24"/>
          <w:szCs w:val="24"/>
          <w:highlight w:val="none"/>
          <w:lang w:val="en-US" w:eastAsia="zh-CN"/>
        </w:rPr>
        <w:t>5、人员配置应满足《汽车维修业开业条件》（</w:t>
      </w:r>
      <w:r>
        <w:rPr>
          <w:rFonts w:hint="eastAsia" w:ascii="宋体" w:hAnsi="宋体" w:cs="Courier New"/>
          <w:sz w:val="24"/>
          <w:szCs w:val="24"/>
          <w:highlight w:val="none"/>
        </w:rPr>
        <w:t>GB/T 16739</w:t>
      </w:r>
      <w:r>
        <w:rPr>
          <w:rFonts w:hint="eastAsia" w:ascii="宋体" w:hAnsi="宋体" w:cs="Courier New"/>
          <w:sz w:val="24"/>
          <w:szCs w:val="24"/>
          <w:highlight w:val="none"/>
          <w:lang w:val="en-US" w:eastAsia="zh-CN"/>
        </w:rPr>
        <w:t>-2023）要求，具有技术负责人、安全生产管理人员、质量检验人员、业务接待人员以及从事机修、电器、钣金（车身修复）和涂漆（车身涂装）的维修技术人员、低压电工特种作业操作证，从业人员应该持证上岗。</w:t>
      </w:r>
    </w:p>
    <w:p w14:paraId="09B8C9AA">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6、设备配置应满足《汽车维修业开业条件》（</w:t>
      </w:r>
      <w:r>
        <w:rPr>
          <w:rFonts w:hint="eastAsia" w:ascii="宋体" w:hAnsi="宋体" w:cs="Courier New"/>
          <w:sz w:val="24"/>
          <w:szCs w:val="24"/>
          <w:highlight w:val="none"/>
        </w:rPr>
        <w:t>GB/T 16739</w:t>
      </w:r>
      <w:r>
        <w:rPr>
          <w:rFonts w:hint="eastAsia" w:ascii="宋体" w:hAnsi="宋体" w:cs="Courier New"/>
          <w:sz w:val="24"/>
          <w:szCs w:val="24"/>
          <w:highlight w:val="none"/>
          <w:lang w:val="en-US" w:eastAsia="zh-CN"/>
        </w:rPr>
        <w:t>-2023）要求，设备清</w:t>
      </w:r>
      <w:r>
        <w:rPr>
          <w:rFonts w:hint="eastAsia" w:ascii="宋体" w:hAnsi="宋体" w:cs="Courier New"/>
          <w:sz w:val="24"/>
          <w:szCs w:val="24"/>
          <w:highlight w:val="none"/>
        </w:rPr>
        <w:t>单参考如下：</w:t>
      </w:r>
    </w:p>
    <w:p w14:paraId="28F44A00">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（1）仪表工具：</w:t>
      </w:r>
      <w:r>
        <w:rPr>
          <w:rFonts w:hint="eastAsia" w:ascii="宋体" w:hAnsi="宋体" w:eastAsia="宋体" w:cs="Courier New"/>
          <w:sz w:val="24"/>
          <w:szCs w:val="24"/>
          <w:highlight w:val="none"/>
          <w:lang w:eastAsia="zh-CN"/>
        </w:rPr>
        <w:t>气缸压力表、燃油压力表、</w:t>
      </w:r>
      <w:r>
        <w:rPr>
          <w:rFonts w:hint="eastAsia" w:ascii="宋体" w:hAnsi="宋体" w:cs="Courier New"/>
          <w:sz w:val="24"/>
          <w:szCs w:val="24"/>
          <w:highlight w:val="none"/>
        </w:rPr>
        <w:t>液压油压力表、</w:t>
      </w:r>
      <w:r>
        <w:rPr>
          <w:rFonts w:hint="eastAsia" w:ascii="宋体" w:hAnsi="宋体" w:eastAsia="宋体" w:cs="Courier New"/>
          <w:sz w:val="24"/>
          <w:szCs w:val="24"/>
          <w:highlight w:val="none"/>
          <w:lang w:eastAsia="zh-CN"/>
        </w:rPr>
        <w:t>真空表、</w:t>
      </w:r>
      <w:r>
        <w:rPr>
          <w:rFonts w:hint="eastAsia" w:ascii="宋体" w:hAnsi="宋体" w:cs="Courier New"/>
          <w:sz w:val="24"/>
          <w:szCs w:val="24"/>
          <w:highlight w:val="none"/>
        </w:rPr>
        <w:t>空调检漏设备、轮胎气压表、扭力扳手。</w:t>
      </w:r>
    </w:p>
    <w:p w14:paraId="2C2691C9">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（2）专用设备：废油收集设备、齿轮油加注设备、液压油加注设备、制动液更换加注器、脂类加注器、轮胎</w:t>
      </w:r>
      <w:r>
        <w:rPr>
          <w:rFonts w:hint="eastAsia" w:ascii="宋体" w:hAnsi="宋体" w:eastAsia="宋体" w:cs="Courier New"/>
          <w:sz w:val="24"/>
          <w:szCs w:val="24"/>
          <w:highlight w:val="none"/>
          <w:lang w:eastAsia="zh-CN"/>
        </w:rPr>
        <w:t>（</w:t>
      </w:r>
      <w:r>
        <w:rPr>
          <w:rFonts w:hint="eastAsia" w:ascii="宋体" w:hAnsi="宋体" w:cs="Courier New"/>
          <w:sz w:val="24"/>
          <w:szCs w:val="24"/>
          <w:highlight w:val="none"/>
        </w:rPr>
        <w:t>轮辋</w:t>
      </w:r>
      <w:r>
        <w:rPr>
          <w:rFonts w:hint="eastAsia" w:ascii="宋体" w:hAnsi="宋体" w:eastAsia="宋体" w:cs="Courier New"/>
          <w:sz w:val="24"/>
          <w:szCs w:val="24"/>
          <w:highlight w:val="none"/>
          <w:lang w:eastAsia="zh-CN"/>
        </w:rPr>
        <w:t>）</w:t>
      </w:r>
      <w:r>
        <w:rPr>
          <w:rFonts w:hint="eastAsia" w:ascii="宋体" w:hAnsi="宋体" w:cs="Courier New"/>
          <w:sz w:val="24"/>
          <w:szCs w:val="24"/>
          <w:highlight w:val="none"/>
        </w:rPr>
        <w:t>拆装设备、</w:t>
      </w:r>
      <w:r>
        <w:rPr>
          <w:rFonts w:hint="eastAsia" w:ascii="宋体" w:hAnsi="宋体" w:eastAsia="宋体" w:cs="Courier New"/>
          <w:sz w:val="24"/>
          <w:szCs w:val="24"/>
          <w:highlight w:val="none"/>
          <w:lang w:eastAsia="zh-CN"/>
        </w:rPr>
        <w:t>轮胎轮母拆装设备、</w:t>
      </w:r>
      <w:r>
        <w:rPr>
          <w:rFonts w:hint="eastAsia" w:ascii="宋体" w:hAnsi="宋体" w:cs="Courier New"/>
          <w:sz w:val="24"/>
          <w:szCs w:val="24"/>
          <w:highlight w:val="none"/>
        </w:rPr>
        <w:t>车轮动平衡机、四轮定位仪、四轮定位仪</w:t>
      </w:r>
      <w:r>
        <w:rPr>
          <w:rFonts w:hint="eastAsia" w:ascii="宋体" w:hAnsi="宋体" w:eastAsia="宋体" w:cs="Courier New"/>
          <w:sz w:val="24"/>
          <w:szCs w:val="24"/>
          <w:highlight w:val="none"/>
          <w:lang w:eastAsia="zh-CN"/>
        </w:rPr>
        <w:t>或转向轮定位仪、</w:t>
      </w:r>
      <w:r>
        <w:rPr>
          <w:rFonts w:hint="eastAsia" w:ascii="宋体" w:hAnsi="宋体" w:cs="Courier New"/>
          <w:sz w:val="24"/>
          <w:szCs w:val="24"/>
          <w:highlight w:val="none"/>
        </w:rPr>
        <w:t>汽车空调</w:t>
      </w:r>
      <w:r>
        <w:rPr>
          <w:rFonts w:hint="eastAsia" w:ascii="宋体" w:hAnsi="宋体" w:eastAsia="宋体" w:cs="Courier New"/>
          <w:sz w:val="24"/>
          <w:szCs w:val="24"/>
          <w:highlight w:val="none"/>
          <w:lang w:eastAsia="zh-CN"/>
        </w:rPr>
        <w:t>冷剂回收净化加注设备</w:t>
      </w:r>
      <w:r>
        <w:rPr>
          <w:rFonts w:hint="eastAsia" w:ascii="宋体" w:hAnsi="宋体" w:cs="Courier New"/>
          <w:sz w:val="24"/>
          <w:szCs w:val="24"/>
          <w:highlight w:val="none"/>
        </w:rPr>
        <w:t>、总成吊装设备或变速箱等总成顶举设备、汽车举升设备（不少于2台）、汽车故障电脑诊断仪、蓄电池检查、充电设备、打磨抛光设备、除尘除垢设备、车身整形设备、车</w:t>
      </w:r>
      <w:r>
        <w:rPr>
          <w:rFonts w:hint="eastAsia" w:ascii="宋体" w:hAnsi="宋体" w:eastAsia="宋体" w:cs="Courier New"/>
          <w:sz w:val="24"/>
          <w:szCs w:val="24"/>
          <w:highlight w:val="none"/>
          <w:lang w:eastAsia="zh-CN"/>
        </w:rPr>
        <w:t>体</w:t>
      </w:r>
      <w:r>
        <w:rPr>
          <w:rFonts w:hint="eastAsia" w:ascii="宋体" w:hAnsi="宋体" w:cs="Courier New"/>
          <w:sz w:val="24"/>
          <w:szCs w:val="24"/>
          <w:highlight w:val="none"/>
        </w:rPr>
        <w:t>校正设备、喷烤漆房及设备。</w:t>
      </w:r>
    </w:p>
    <w:p w14:paraId="582D603D">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（3）抢修服务车。</w:t>
      </w:r>
    </w:p>
    <w:p w14:paraId="2794E10C">
      <w:pPr>
        <w:widowControl w:val="0"/>
        <w:spacing w:line="480" w:lineRule="exact"/>
        <w:ind w:firstLine="480"/>
        <w:rPr>
          <w:rFonts w:hint="eastAsia" w:ascii="宋体" w:hAnsi="宋体" w:cs="Courier New"/>
          <w:sz w:val="24"/>
          <w:szCs w:val="24"/>
          <w:highlight w:val="none"/>
          <w:lang w:eastAsia="zh-CN"/>
        </w:rPr>
      </w:pPr>
      <w:r>
        <w:rPr>
          <w:rFonts w:hint="eastAsia" w:ascii="宋体" w:hAnsi="宋体" w:cs="Courier New"/>
          <w:sz w:val="24"/>
          <w:szCs w:val="24"/>
          <w:highlight w:val="none"/>
          <w:lang w:eastAsia="zh-CN"/>
        </w:rPr>
        <w:t>（</w:t>
      </w:r>
      <w:r>
        <w:rPr>
          <w:rFonts w:hint="eastAsia" w:ascii="宋体" w:hAnsi="宋体" w:cs="Courier New"/>
          <w:sz w:val="24"/>
          <w:szCs w:val="24"/>
          <w:highlight w:val="none"/>
          <w:lang w:val="en-US" w:eastAsia="zh-CN"/>
        </w:rPr>
        <w:t>4</w:t>
      </w:r>
      <w:r>
        <w:rPr>
          <w:rFonts w:hint="eastAsia" w:ascii="宋体" w:hAnsi="宋体" w:cs="Courier New"/>
          <w:sz w:val="24"/>
          <w:szCs w:val="24"/>
          <w:highlight w:val="none"/>
          <w:lang w:eastAsia="zh-CN"/>
        </w:rPr>
        <w:t>）电动汽车维修专用设备：绝缘电阻测试仪、气密性检测仪、动力电池充放电机、动力电池模组充放电机、动力电池均衡设备、动力电池诊断设备、绝缘手套、绝缘鞋、防护面罩或眼镜。</w:t>
      </w:r>
    </w:p>
    <w:p w14:paraId="38DAEB25">
      <w:pPr>
        <w:widowControl w:val="0"/>
        <w:spacing w:line="480" w:lineRule="exact"/>
        <w:ind w:firstLine="420"/>
        <w:rPr>
          <w:color w:val="000000"/>
          <w:sz w:val="24"/>
          <w:szCs w:val="24"/>
          <w:highlight w:val="none"/>
        </w:rPr>
      </w:pPr>
      <w:r>
        <w:rPr>
          <w:rFonts w:hint="eastAsia"/>
          <w:highlight w:val="none"/>
          <w:lang w:val="en-US" w:eastAsia="zh-CN"/>
        </w:rPr>
        <w:t>7</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须承诺单独建立公务用车维修管理档案，认真记录车辆的维修情况，单独核算维修费用，并认真、及时、准确地编报公务用车维修情况统计表。</w:t>
      </w:r>
      <w:r>
        <w:rPr>
          <w:rFonts w:hint="eastAsia" w:ascii="宋体" w:hAnsi="宋体" w:cs="Courier New"/>
          <w:sz w:val="24"/>
          <w:szCs w:val="24"/>
          <w:highlight w:val="none"/>
        </w:rPr>
        <w:t>（承诺函加盖供应商CA公章）</w:t>
      </w:r>
      <w:r>
        <w:rPr>
          <w:rFonts w:hint="eastAsia" w:ascii="宋体" w:hAnsi="宋体" w:cs="Courier New"/>
          <w:sz w:val="24"/>
          <w:szCs w:val="24"/>
          <w:highlight w:val="none"/>
          <w:lang w:eastAsia="zh-CN"/>
        </w:rPr>
        <w:t>。</w:t>
      </w:r>
    </w:p>
    <w:p w14:paraId="267C88EE">
      <w:pPr>
        <w:widowControl w:val="0"/>
        <w:spacing w:line="480" w:lineRule="exact"/>
        <w:ind w:firstLine="480"/>
        <w:rPr>
          <w:rFonts w:ascii="宋体" w:hAnsi="宋体" w:cs="Courier New"/>
          <w:sz w:val="24"/>
          <w:szCs w:val="24"/>
          <w:highlight w:val="none"/>
        </w:rPr>
      </w:pPr>
      <w:r>
        <w:rPr>
          <w:rFonts w:hint="eastAsia"/>
          <w:color w:val="000000"/>
          <w:sz w:val="24"/>
          <w:szCs w:val="24"/>
          <w:highlight w:val="none"/>
          <w:lang w:val="en-US" w:eastAsia="zh-CN"/>
        </w:rPr>
        <w:t>8、</w:t>
      </w:r>
      <w:r>
        <w:rPr>
          <w:rFonts w:hint="eastAsia"/>
          <w:color w:val="000000"/>
          <w:sz w:val="24"/>
          <w:szCs w:val="24"/>
          <w:highlight w:val="none"/>
        </w:rPr>
        <w:t xml:space="preserve"> </w:t>
      </w:r>
      <w:r>
        <w:rPr>
          <w:rFonts w:hint="eastAsia" w:ascii="宋体" w:hAnsi="宋体" w:cs="Courier New"/>
          <w:i/>
          <w:iCs/>
          <w:sz w:val="24"/>
          <w:szCs w:val="24"/>
          <w:highlight w:val="none"/>
          <w:u w:val="single"/>
        </w:rPr>
        <w:t>须承诺为送修的采购人定期保养的车辆办理优惠索赔，定期免费检测调整制动、灯光、空调等系统。</w:t>
      </w:r>
      <w:r>
        <w:rPr>
          <w:rFonts w:hint="eastAsia" w:ascii="宋体" w:hAnsi="宋体" w:cs="Courier New"/>
          <w:sz w:val="24"/>
          <w:szCs w:val="24"/>
          <w:highlight w:val="none"/>
        </w:rPr>
        <w:t>（承诺函加盖供应商CA公章）。</w:t>
      </w:r>
    </w:p>
    <w:p w14:paraId="77E68B0E">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9</w:t>
      </w:r>
      <w:r>
        <w:rPr>
          <w:rFonts w:hint="eastAsia" w:ascii="宋体" w:hAnsi="宋体" w:cs="Courier New"/>
          <w:sz w:val="24"/>
          <w:szCs w:val="24"/>
          <w:highlight w:val="none"/>
        </w:rPr>
        <w:t>、协助有关部门做好对送修的采购人经办人的廉政工作，防止腐败现象的出现。</w:t>
      </w:r>
    </w:p>
    <w:p w14:paraId="0D28C4E9">
      <w:pPr>
        <w:widowControl w:val="0"/>
        <w:spacing w:line="480" w:lineRule="exact"/>
        <w:ind w:firstLine="480"/>
        <w:rPr>
          <w:rFonts w:hint="default" w:ascii="宋体" w:hAnsi="宋体" w:cs="Courier New"/>
          <w:sz w:val="24"/>
          <w:szCs w:val="24"/>
          <w:highlight w:val="none"/>
          <w:lang w:val="en-US" w:eastAsia="zh-CN"/>
        </w:rPr>
      </w:pPr>
      <w:r>
        <w:rPr>
          <w:rFonts w:hint="eastAsia" w:ascii="宋体" w:hAnsi="宋体" w:cs="Courier New"/>
          <w:sz w:val="24"/>
          <w:szCs w:val="24"/>
          <w:highlight w:val="none"/>
          <w:lang w:val="en-US" w:eastAsia="zh-CN"/>
        </w:rPr>
        <w:t>10</w:t>
      </w:r>
      <w:r>
        <w:rPr>
          <w:rFonts w:hint="eastAsia" w:ascii="宋体" w:hAnsi="宋体" w:cs="Courier New"/>
          <w:sz w:val="24"/>
          <w:szCs w:val="24"/>
          <w:highlight w:val="none"/>
        </w:rPr>
        <w:t>、</w:t>
      </w:r>
      <w:r>
        <w:rPr>
          <w:rFonts w:hint="eastAsia" w:ascii="宋体" w:hAnsi="宋体" w:cs="Courier New"/>
          <w:sz w:val="24"/>
          <w:szCs w:val="24"/>
          <w:highlight w:val="none"/>
          <w:lang w:val="en-US" w:eastAsia="zh-CN"/>
        </w:rPr>
        <w:t>送修车辆15公里内免费拖车施救，过路过桥费、燃油费全免，免费对维修的车辆进行洗车。送修车辆15公里外按每公里2元计算（往返双程计算），由送修方承担（该费用不包含在维修费用内）。</w:t>
      </w:r>
    </w:p>
    <w:p w14:paraId="1D8277E1">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11</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须承诺将无条件的配合政府采购</w:t>
      </w:r>
      <w:r>
        <w:rPr>
          <w:rFonts w:hint="eastAsia" w:ascii="宋体" w:hAnsi="宋体" w:cs="Courier New"/>
          <w:i/>
          <w:iCs/>
          <w:sz w:val="24"/>
          <w:szCs w:val="24"/>
          <w:highlight w:val="none"/>
          <w:u w:val="single"/>
          <w:lang w:val="en-US" w:eastAsia="zh-CN"/>
        </w:rPr>
        <w:t>中心、政府采购监管部门</w:t>
      </w:r>
      <w:r>
        <w:rPr>
          <w:rFonts w:hint="eastAsia" w:ascii="宋体" w:hAnsi="宋体" w:cs="Courier New"/>
          <w:i/>
          <w:iCs/>
          <w:sz w:val="24"/>
          <w:szCs w:val="24"/>
          <w:highlight w:val="none"/>
          <w:u w:val="single"/>
        </w:rPr>
        <w:t>在</w:t>
      </w:r>
      <w:r>
        <w:rPr>
          <w:rFonts w:hint="eastAsia" w:ascii="宋体" w:hAnsi="宋体" w:cs="Courier New"/>
          <w:i/>
          <w:iCs/>
          <w:sz w:val="24"/>
          <w:szCs w:val="24"/>
          <w:highlight w:val="none"/>
          <w:u w:val="single"/>
          <w:lang w:val="en-US" w:eastAsia="zh-CN"/>
        </w:rPr>
        <w:t>相关</w:t>
      </w:r>
      <w:r>
        <w:rPr>
          <w:rFonts w:hint="eastAsia" w:ascii="宋体" w:hAnsi="宋体" w:cs="Courier New"/>
          <w:i/>
          <w:iCs/>
          <w:sz w:val="24"/>
          <w:szCs w:val="24"/>
          <w:highlight w:val="none"/>
          <w:u w:val="single"/>
        </w:rPr>
        <w:t>系统中及时进行车辆维修信息录入工作，单独核算维修费用，且录入的信息真实、准确。</w:t>
      </w:r>
      <w:r>
        <w:rPr>
          <w:rFonts w:hint="eastAsia" w:ascii="宋体" w:hAnsi="宋体" w:cs="Courier New"/>
          <w:sz w:val="24"/>
          <w:szCs w:val="24"/>
          <w:highlight w:val="none"/>
        </w:rPr>
        <w:t>（承诺函加盖供应商CA公章）。</w:t>
      </w:r>
    </w:p>
    <w:p w14:paraId="1F3DA827">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12</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须承诺如成交后不将维修业务转包至非成交供应商，不替非成交供应商代开具框架协议维修车辆范围的车辆维修发票。</w:t>
      </w:r>
      <w:r>
        <w:rPr>
          <w:rFonts w:hint="eastAsia" w:ascii="宋体" w:hAnsi="宋体" w:cs="Courier New"/>
          <w:sz w:val="24"/>
          <w:szCs w:val="24"/>
          <w:highlight w:val="none"/>
        </w:rPr>
        <w:t>（承诺函</w:t>
      </w:r>
      <w:r>
        <w:rPr>
          <w:rFonts w:hint="eastAsia" w:ascii="宋体" w:hAnsi="宋体" w:cs="Courier New"/>
          <w:i/>
          <w:iCs/>
          <w:sz w:val="24"/>
          <w:szCs w:val="24"/>
          <w:highlight w:val="none"/>
          <w:u w:val="single"/>
          <w:lang w:eastAsia="zh-CN"/>
        </w:rPr>
        <w:t>加盖</w:t>
      </w:r>
      <w:r>
        <w:rPr>
          <w:rFonts w:hint="eastAsia" w:ascii="宋体" w:hAnsi="宋体" w:cs="Courier New"/>
          <w:sz w:val="24"/>
          <w:szCs w:val="24"/>
          <w:highlight w:val="none"/>
        </w:rPr>
        <w:t>供应商CA公章）。</w:t>
      </w:r>
    </w:p>
    <w:p w14:paraId="11B238E6">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13</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须承诺应将服务承诺对外公示，接受送修的采购人监督并让送修的采购人放心，提供</w:t>
      </w:r>
      <w:r>
        <w:rPr>
          <w:rFonts w:hint="eastAsia" w:ascii="宋体" w:hAnsi="宋体" w:cs="Courier New"/>
          <w:i/>
          <w:iCs/>
          <w:sz w:val="24"/>
          <w:szCs w:val="24"/>
          <w:highlight w:val="none"/>
          <w:u w:val="single"/>
          <w:lang w:eastAsia="zh-CN"/>
        </w:rPr>
        <w:t>《</w:t>
      </w:r>
      <w:r>
        <w:rPr>
          <w:rFonts w:hint="eastAsia" w:ascii="宋体" w:hAnsi="宋体" w:cs="Courier New"/>
          <w:i/>
          <w:iCs/>
          <w:sz w:val="24"/>
          <w:szCs w:val="24"/>
          <w:highlight w:val="none"/>
          <w:u w:val="single"/>
          <w:lang w:val="en-US" w:eastAsia="zh-CN"/>
        </w:rPr>
        <w:t>江苏省机动车维修结算工时定额与收费指南</w:t>
      </w:r>
      <w:r>
        <w:rPr>
          <w:rFonts w:hint="eastAsia" w:ascii="宋体" w:hAnsi="宋体" w:cs="Courier New"/>
          <w:i/>
          <w:iCs/>
          <w:sz w:val="24"/>
          <w:szCs w:val="24"/>
          <w:highlight w:val="none"/>
          <w:u w:val="single"/>
        </w:rPr>
        <w:t>》</w:t>
      </w:r>
      <w:r>
        <w:rPr>
          <w:rFonts w:hint="eastAsia" w:ascii="宋体" w:hAnsi="宋体" w:cs="Courier New"/>
          <w:i/>
          <w:iCs/>
          <w:sz w:val="24"/>
          <w:szCs w:val="24"/>
          <w:highlight w:val="none"/>
          <w:u w:val="single"/>
          <w:lang w:val="en-US" w:eastAsia="zh-CN"/>
        </w:rPr>
        <w:t>（</w:t>
      </w:r>
      <w:r>
        <w:rPr>
          <w:rFonts w:hint="eastAsia" w:ascii="宋体" w:hAnsi="宋体" w:cs="Courier New"/>
          <w:i/>
          <w:iCs/>
          <w:sz w:val="24"/>
          <w:szCs w:val="24"/>
          <w:highlight w:val="none"/>
          <w:u w:val="single"/>
        </w:rPr>
        <w:t>201</w:t>
      </w:r>
      <w:r>
        <w:rPr>
          <w:rFonts w:hint="eastAsia" w:ascii="宋体" w:hAnsi="宋体" w:cs="Courier New"/>
          <w:i/>
          <w:iCs/>
          <w:sz w:val="24"/>
          <w:szCs w:val="24"/>
          <w:highlight w:val="none"/>
          <w:u w:val="single"/>
          <w:lang w:val="en-US" w:eastAsia="zh-CN"/>
        </w:rPr>
        <w:t>4</w:t>
      </w:r>
      <w:r>
        <w:rPr>
          <w:rFonts w:hint="eastAsia" w:ascii="宋体" w:hAnsi="宋体" w:cs="Courier New"/>
          <w:i/>
          <w:iCs/>
          <w:sz w:val="24"/>
          <w:szCs w:val="24"/>
          <w:highlight w:val="none"/>
          <w:u w:val="single"/>
        </w:rPr>
        <w:t>版），便于送修的采购人对价格的直接查询、核对。另也要将工时单价、材料进销差价率与结算有关的制度告知送修人。</w:t>
      </w:r>
      <w:r>
        <w:rPr>
          <w:rFonts w:hint="eastAsia" w:ascii="宋体" w:hAnsi="宋体" w:cs="Courier New"/>
          <w:sz w:val="24"/>
          <w:szCs w:val="24"/>
          <w:highlight w:val="none"/>
        </w:rPr>
        <w:t>（承诺函加盖供应商CA公章）。</w:t>
      </w:r>
    </w:p>
    <w:p w14:paraId="4814113E">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14</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须承诺按交通运输部的要求，严格执行汽车维修技术标准和工艺规范，执行“三级”检验制度、机动车维修竣工出厂合格证制度、竣工出厂质量保证期制度及从业人员</w:t>
      </w:r>
      <w:r>
        <w:rPr>
          <w:rFonts w:hint="eastAsia" w:ascii="宋体" w:hAnsi="宋体" w:eastAsia="宋体" w:cs="Courier New"/>
          <w:i/>
          <w:iCs/>
          <w:sz w:val="24"/>
          <w:szCs w:val="24"/>
          <w:highlight w:val="none"/>
          <w:u w:val="single"/>
          <w:lang w:val="en-US" w:eastAsia="zh-CN"/>
        </w:rPr>
        <w:t>管理</w:t>
      </w:r>
      <w:r>
        <w:rPr>
          <w:rFonts w:hint="eastAsia" w:ascii="宋体" w:hAnsi="宋体" w:cs="Courier New"/>
          <w:i/>
          <w:iCs/>
          <w:sz w:val="24"/>
          <w:szCs w:val="24"/>
          <w:highlight w:val="none"/>
          <w:u w:val="single"/>
        </w:rPr>
        <w:t>制度。在质量保证期内， 因维修质量造成车辆故障、损坏、无法正常使用的，成交供应商必须承担全部责任。</w:t>
      </w:r>
      <w:r>
        <w:rPr>
          <w:rFonts w:hint="eastAsia" w:ascii="宋体" w:hAnsi="宋体" w:cs="Courier New"/>
          <w:sz w:val="24"/>
          <w:szCs w:val="24"/>
          <w:highlight w:val="none"/>
        </w:rPr>
        <w:t>（承诺函加盖供应商CA公章）。</w:t>
      </w:r>
    </w:p>
    <w:p w14:paraId="2414A14C">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15</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须承诺如盐城市亭湖区全区政府机构、事业单位公务用车的公务车辆需到成交供应商处维修，应在本次采购承诺和报价（最高限价）范围内提供服务。</w:t>
      </w:r>
      <w:r>
        <w:rPr>
          <w:rFonts w:hint="eastAsia" w:ascii="宋体" w:hAnsi="宋体" w:cs="Courier New"/>
          <w:sz w:val="24"/>
          <w:szCs w:val="24"/>
          <w:highlight w:val="none"/>
        </w:rPr>
        <w:t>（承诺函加盖供应商CA公章）。</w:t>
      </w:r>
    </w:p>
    <w:p w14:paraId="1AA81AD7">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16</w:t>
      </w:r>
      <w:r>
        <w:rPr>
          <w:rFonts w:hint="eastAsia" w:ascii="宋体" w:hAnsi="宋体" w:cs="Courier New"/>
          <w:sz w:val="24"/>
          <w:szCs w:val="24"/>
          <w:highlight w:val="none"/>
        </w:rPr>
        <w:t>、</w:t>
      </w:r>
      <w:r>
        <w:rPr>
          <w:rFonts w:hint="eastAsia" w:ascii="宋体" w:hAnsi="宋体" w:cs="Courier New"/>
          <w:i/>
          <w:iCs/>
          <w:sz w:val="24"/>
          <w:szCs w:val="24"/>
          <w:highlight w:val="none"/>
          <w:u w:val="single"/>
        </w:rPr>
        <w:t>须承诺</w:t>
      </w:r>
      <w:r>
        <w:rPr>
          <w:rFonts w:hint="eastAsia" w:ascii="宋体" w:hAnsi="宋体" w:cs="Courier New"/>
          <w:i/>
          <w:iCs/>
          <w:sz w:val="24"/>
          <w:szCs w:val="24"/>
          <w:highlight w:val="none"/>
          <w:u w:val="single"/>
          <w:lang w:val="en-US" w:eastAsia="zh-CN"/>
        </w:rPr>
        <w:t>投标时所提供的经营场所与实际服务场所一致。</w:t>
      </w:r>
      <w:r>
        <w:rPr>
          <w:rFonts w:hint="eastAsia" w:ascii="宋体" w:hAnsi="宋体" w:cs="Courier New"/>
          <w:i/>
          <w:iCs/>
          <w:sz w:val="24"/>
          <w:szCs w:val="24"/>
          <w:highlight w:val="none"/>
          <w:u w:val="single"/>
        </w:rPr>
        <w:t>如在合同期内发生经营场所变更，应于变更后三个工作日内报</w:t>
      </w:r>
      <w:r>
        <w:rPr>
          <w:rFonts w:hint="eastAsia" w:ascii="宋体" w:hAnsi="宋体" w:cs="Courier New"/>
          <w:i/>
          <w:iCs/>
          <w:sz w:val="24"/>
          <w:szCs w:val="24"/>
          <w:highlight w:val="none"/>
          <w:u w:val="single"/>
          <w:lang w:val="en-US" w:eastAsia="zh-CN"/>
        </w:rPr>
        <w:t>政府</w:t>
      </w:r>
      <w:r>
        <w:rPr>
          <w:rFonts w:hint="eastAsia" w:ascii="宋体" w:hAnsi="宋体" w:cs="Courier New"/>
          <w:i/>
          <w:iCs/>
          <w:sz w:val="24"/>
          <w:szCs w:val="24"/>
          <w:highlight w:val="none"/>
          <w:u w:val="single"/>
        </w:rPr>
        <w:t>采购中心，经</w:t>
      </w:r>
      <w:r>
        <w:rPr>
          <w:rFonts w:hint="eastAsia" w:ascii="宋体" w:hAnsi="宋体" w:cs="Courier New"/>
          <w:i/>
          <w:iCs/>
          <w:sz w:val="24"/>
          <w:szCs w:val="24"/>
          <w:highlight w:val="none"/>
          <w:u w:val="single"/>
          <w:lang w:val="en-US" w:eastAsia="zh-CN"/>
        </w:rPr>
        <w:t>政府</w:t>
      </w:r>
      <w:r>
        <w:rPr>
          <w:rFonts w:hint="eastAsia" w:ascii="宋体" w:hAnsi="宋体" w:cs="Courier New"/>
          <w:i/>
          <w:iCs/>
          <w:sz w:val="24"/>
          <w:szCs w:val="24"/>
          <w:highlight w:val="none"/>
          <w:u w:val="single"/>
        </w:rPr>
        <w:t>采购中心确认变更后的经营场所不低于采购时的条件，方可继续履行合同。</w:t>
      </w:r>
      <w:r>
        <w:rPr>
          <w:rFonts w:hint="eastAsia" w:ascii="宋体" w:hAnsi="宋体" w:cs="Courier New"/>
          <w:sz w:val="24"/>
          <w:szCs w:val="24"/>
          <w:highlight w:val="none"/>
        </w:rPr>
        <w:t>（承诺函加盖供应商CA公章）。</w:t>
      </w:r>
    </w:p>
    <w:p w14:paraId="3371253C">
      <w:pPr>
        <w:widowControl w:val="0"/>
        <w:spacing w:line="480" w:lineRule="exact"/>
        <w:ind w:firstLine="480"/>
        <w:rPr>
          <w:rFonts w:hint="eastAsia" w:ascii="宋体" w:hAnsi="宋体" w:cs="Courier New" w:eastAsiaTheme="minorEastAsia"/>
          <w:sz w:val="24"/>
          <w:szCs w:val="24"/>
          <w:highlight w:val="none"/>
          <w:lang w:val="en-US" w:eastAsia="zh-CN" w:bidi="ar-SA"/>
        </w:rPr>
      </w:pPr>
      <w:r>
        <w:rPr>
          <w:rFonts w:hint="eastAsia" w:ascii="宋体" w:hAnsi="宋体" w:cs="Courier New" w:eastAsiaTheme="minorEastAsia"/>
          <w:sz w:val="24"/>
          <w:szCs w:val="24"/>
          <w:highlight w:val="none"/>
          <w:lang w:val="en-US" w:eastAsia="zh-CN" w:bidi="ar-SA"/>
        </w:rPr>
        <w:t>17、维修企业须服从政府采购中心、公务用车主管部门、行业主管部门、政府采购监管部门的监督、管理。</w:t>
      </w:r>
    </w:p>
    <w:p w14:paraId="3AA89F6D">
      <w:pPr>
        <w:widowControl w:val="0"/>
        <w:spacing w:line="480" w:lineRule="exact"/>
        <w:ind w:firstLine="480"/>
        <w:rPr>
          <w:rFonts w:hint="eastAsia" w:ascii="宋体" w:hAnsi="宋体" w:cs="Courier New" w:eastAsiaTheme="minorEastAsia"/>
          <w:sz w:val="24"/>
          <w:szCs w:val="24"/>
          <w:highlight w:val="none"/>
          <w:lang w:val="en-US" w:eastAsia="zh-CN" w:bidi="ar-SA"/>
        </w:rPr>
      </w:pPr>
      <w:r>
        <w:rPr>
          <w:rFonts w:hint="eastAsia" w:ascii="宋体" w:hAnsi="宋体" w:cs="Courier New" w:eastAsiaTheme="minorEastAsia"/>
          <w:sz w:val="24"/>
          <w:szCs w:val="24"/>
          <w:highlight w:val="none"/>
          <w:lang w:val="en-US" w:eastAsia="zh-CN" w:bidi="ar-SA"/>
        </w:rPr>
        <w:t>18、成交供应商可提供的其他免费及优惠服务。</w:t>
      </w:r>
    </w:p>
    <w:p w14:paraId="6AB452B6">
      <w:pPr>
        <w:widowControl w:val="0"/>
        <w:spacing w:line="480" w:lineRule="exact"/>
        <w:ind w:firstLine="482"/>
        <w:rPr>
          <w:rFonts w:hint="default" w:ascii="宋体" w:hAnsi="宋体" w:cs="Courier New"/>
          <w:sz w:val="24"/>
          <w:szCs w:val="24"/>
          <w:highlight w:val="none"/>
          <w:lang w:val="en-US" w:eastAsia="zh-CN"/>
        </w:rPr>
      </w:pPr>
      <w:r>
        <w:rPr>
          <w:rFonts w:hint="eastAsia" w:ascii="宋体" w:hAnsi="宋体" w:cs="Courier New"/>
          <w:b/>
          <w:bCs/>
          <w:sz w:val="24"/>
          <w:szCs w:val="24"/>
          <w:highlight w:val="none"/>
        </w:rPr>
        <w:t>注：以上各条</w:t>
      </w:r>
      <w:r>
        <w:rPr>
          <w:rFonts w:hint="eastAsia" w:ascii="宋体" w:hAnsi="宋体" w:cs="Courier New"/>
          <w:b/>
          <w:bCs/>
          <w:sz w:val="24"/>
          <w:szCs w:val="24"/>
          <w:highlight w:val="none"/>
          <w:lang w:val="en-US" w:eastAsia="zh-CN"/>
        </w:rPr>
        <w:t>斜线部分</w:t>
      </w:r>
      <w:r>
        <w:rPr>
          <w:rFonts w:hint="eastAsia" w:ascii="宋体" w:hAnsi="宋体" w:cs="Courier New"/>
          <w:b/>
          <w:bCs/>
          <w:sz w:val="24"/>
          <w:szCs w:val="24"/>
          <w:highlight w:val="none"/>
        </w:rPr>
        <w:t>须进行逐条响应或表述</w:t>
      </w:r>
      <w:r>
        <w:rPr>
          <w:rFonts w:hint="eastAsia" w:ascii="宋体" w:hAnsi="宋体" w:cs="Courier New"/>
          <w:b/>
          <w:bCs/>
          <w:sz w:val="24"/>
          <w:szCs w:val="24"/>
          <w:highlight w:val="none"/>
          <w:lang w:eastAsia="zh-CN"/>
        </w:rPr>
        <w:t>，</w:t>
      </w:r>
      <w:r>
        <w:rPr>
          <w:rFonts w:hint="eastAsia" w:ascii="宋体" w:hAnsi="宋体" w:cs="Courier New"/>
          <w:b/>
          <w:bCs/>
          <w:sz w:val="24"/>
          <w:szCs w:val="24"/>
          <w:highlight w:val="none"/>
          <w:lang w:val="en-US" w:eastAsia="zh-CN"/>
        </w:rPr>
        <w:t>否则视为符合性不响应。</w:t>
      </w:r>
    </w:p>
    <w:p w14:paraId="493F03F7">
      <w:pPr>
        <w:widowControl w:val="0"/>
        <w:spacing w:line="480" w:lineRule="exact"/>
        <w:ind w:firstLine="643"/>
        <w:rPr>
          <w:rFonts w:eastAsia="仿宋" w:cs="Calibri"/>
          <w:b/>
          <w:sz w:val="32"/>
          <w:szCs w:val="32"/>
          <w:highlight w:val="none"/>
        </w:rPr>
      </w:pPr>
      <w:r>
        <w:rPr>
          <w:rFonts w:hint="eastAsia" w:eastAsia="仿宋" w:cs="Calibri"/>
          <w:b/>
          <w:sz w:val="32"/>
          <w:szCs w:val="32"/>
          <w:highlight w:val="none"/>
        </w:rPr>
        <w:t>三、质量要求</w:t>
      </w:r>
    </w:p>
    <w:p w14:paraId="062A351D">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1、成交供应商提供维修服务时，本项目包含的各项内容均须符合《机动车维修管理规定》（交通运输部令20</w:t>
      </w:r>
      <w:r>
        <w:rPr>
          <w:rFonts w:hint="eastAsia" w:ascii="宋体" w:hAnsi="宋体" w:cs="Courier New"/>
          <w:sz w:val="24"/>
          <w:szCs w:val="24"/>
          <w:highlight w:val="none"/>
          <w:lang w:val="en-US" w:eastAsia="zh-CN"/>
        </w:rPr>
        <w:t>23</w:t>
      </w:r>
      <w:r>
        <w:rPr>
          <w:rFonts w:hint="eastAsia" w:ascii="宋体" w:hAnsi="宋体" w:cs="Courier New"/>
          <w:sz w:val="24"/>
          <w:szCs w:val="24"/>
          <w:highlight w:val="none"/>
        </w:rPr>
        <w:t>年第1</w:t>
      </w:r>
      <w:r>
        <w:rPr>
          <w:rFonts w:hint="eastAsia" w:ascii="宋体" w:hAnsi="宋体" w:cs="Courier New"/>
          <w:sz w:val="24"/>
          <w:szCs w:val="24"/>
          <w:highlight w:val="none"/>
          <w:lang w:val="en-US" w:eastAsia="zh-CN"/>
        </w:rPr>
        <w:t>4</w:t>
      </w:r>
      <w:r>
        <w:rPr>
          <w:rFonts w:hint="eastAsia" w:ascii="宋体" w:hAnsi="宋体" w:cs="Courier New"/>
          <w:sz w:val="24"/>
          <w:szCs w:val="24"/>
          <w:highlight w:val="none"/>
        </w:rPr>
        <w:t>号）、《江苏省机动车维修管理条例》、《</w:t>
      </w:r>
      <w:r>
        <w:rPr>
          <w:rFonts w:hint="eastAsia" w:ascii="宋体" w:hAnsi="宋体" w:cs="Courier New"/>
          <w:sz w:val="24"/>
          <w:szCs w:val="24"/>
          <w:highlight w:val="none"/>
          <w:lang w:val="en-US" w:eastAsia="zh-CN"/>
        </w:rPr>
        <w:t>江苏省机动车维修结算工时定额与收费指南</w:t>
      </w:r>
      <w:r>
        <w:rPr>
          <w:rFonts w:hint="eastAsia" w:ascii="宋体" w:hAnsi="宋体" w:cs="Courier New"/>
          <w:sz w:val="24"/>
          <w:szCs w:val="24"/>
          <w:highlight w:val="none"/>
        </w:rPr>
        <w:t>》</w:t>
      </w:r>
      <w:r>
        <w:rPr>
          <w:rFonts w:hint="eastAsia" w:ascii="宋体" w:hAnsi="宋体" w:cs="Courier New"/>
          <w:sz w:val="24"/>
          <w:szCs w:val="24"/>
          <w:highlight w:val="none"/>
          <w:lang w:eastAsia="zh-CN"/>
        </w:rPr>
        <w:t>、</w:t>
      </w:r>
      <w:r>
        <w:rPr>
          <w:rFonts w:hint="eastAsia" w:ascii="宋体" w:hAnsi="宋体" w:cs="Courier New"/>
          <w:sz w:val="24"/>
          <w:szCs w:val="24"/>
          <w:highlight w:val="none"/>
        </w:rPr>
        <w:t>《机动车维修服务规范》（JT/T 816）以及相关法规的规定。</w:t>
      </w:r>
    </w:p>
    <w:p w14:paraId="0AA09D49">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2、在采购人与成交供应商约定的质量保证期内，因维修质量造成的汽车故障、损坏、无法正常使用等，成交供应商应负全部责任。</w:t>
      </w:r>
    </w:p>
    <w:p w14:paraId="51CD14D9">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p>
    <w:p w14:paraId="07656B2F">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由成交供应商负担。</w:t>
      </w:r>
    </w:p>
    <w:p w14:paraId="379D3521">
      <w:pPr>
        <w:widowControl w:val="0"/>
        <w:spacing w:line="480" w:lineRule="exact"/>
        <w:ind w:firstLine="643"/>
        <w:rPr>
          <w:rFonts w:hint="eastAsia" w:ascii="宋体" w:hAnsi="宋体"/>
          <w:bCs/>
          <w:sz w:val="24"/>
          <w:szCs w:val="24"/>
          <w:highlight w:val="none"/>
          <w:lang w:eastAsia="zh-CN"/>
        </w:rPr>
      </w:pPr>
      <w:r>
        <w:rPr>
          <w:rFonts w:hint="eastAsia" w:eastAsia="仿宋" w:cs="Calibri"/>
          <w:b/>
          <w:sz w:val="32"/>
          <w:szCs w:val="32"/>
          <w:highlight w:val="none"/>
          <w:lang w:val="en-US" w:eastAsia="zh-CN"/>
        </w:rPr>
        <w:t>四</w:t>
      </w:r>
      <w:r>
        <w:rPr>
          <w:rFonts w:hint="eastAsia" w:eastAsia="仿宋" w:cs="Calibri"/>
          <w:b/>
          <w:sz w:val="32"/>
          <w:szCs w:val="32"/>
          <w:highlight w:val="none"/>
        </w:rPr>
        <w:t>、维修程序</w:t>
      </w:r>
      <w:r>
        <w:rPr>
          <w:rFonts w:hint="eastAsia" w:ascii="宋体" w:hAnsi="宋体"/>
          <w:bCs/>
          <w:sz w:val="24"/>
          <w:szCs w:val="24"/>
          <w:highlight w:val="none"/>
          <w:lang w:eastAsia="zh-CN"/>
        </w:rPr>
        <w:tab/>
      </w:r>
    </w:p>
    <w:p w14:paraId="1D3AE074">
      <w:pPr>
        <w:pStyle w:val="41"/>
        <w:ind w:firstLine="240"/>
        <w:rPr>
          <w:rFonts w:hint="default" w:ascii="宋体" w:hAnsi="宋体" w:cs="Courier New" w:eastAsiaTheme="minorEastAsia"/>
          <w:caps w:val="0"/>
          <w:sz w:val="24"/>
          <w:szCs w:val="24"/>
          <w:highlight w:val="none"/>
          <w:lang w:val="en-US" w:eastAsia="zh-CN" w:bidi="ar-SA"/>
        </w:rPr>
      </w:pPr>
      <w:r>
        <w:rPr>
          <w:rFonts w:hint="eastAsia" w:ascii="宋体" w:hAnsi="宋体" w:cs="Courier New" w:eastAsiaTheme="minorEastAsia"/>
          <w:caps w:val="0"/>
          <w:sz w:val="24"/>
          <w:szCs w:val="24"/>
          <w:highlight w:val="none"/>
          <w:lang w:val="en-US" w:eastAsia="zh-CN" w:bidi="ar-SA"/>
        </w:rPr>
        <w:t>（一）</w:t>
      </w:r>
      <w:r>
        <w:rPr>
          <w:rFonts w:hint="eastAsia" w:cs="Courier New"/>
          <w:caps w:val="0"/>
          <w:sz w:val="24"/>
          <w:szCs w:val="24"/>
          <w:highlight w:val="none"/>
          <w:lang w:val="en-US" w:eastAsia="zh-CN" w:bidi="ar-SA"/>
        </w:rPr>
        <w:t>送修手续</w:t>
      </w:r>
    </w:p>
    <w:p w14:paraId="69C91766">
      <w:pPr>
        <w:pStyle w:val="41"/>
        <w:ind w:firstLine="480"/>
        <w:rPr>
          <w:rFonts w:hint="eastAsia" w:ascii="宋体" w:hAnsi="宋体" w:cs="Courier New" w:eastAsiaTheme="minorEastAsia"/>
          <w:caps w:val="0"/>
          <w:sz w:val="24"/>
          <w:szCs w:val="24"/>
          <w:highlight w:val="none"/>
          <w:lang w:val="en-US" w:eastAsia="zh-CN" w:bidi="ar-SA"/>
        </w:rPr>
      </w:pPr>
      <w:r>
        <w:rPr>
          <w:rFonts w:hint="eastAsia" w:cstheme="minorBidi"/>
          <w:bCs/>
          <w:caps w:val="0"/>
          <w:sz w:val="24"/>
          <w:szCs w:val="24"/>
          <w:highlight w:val="none"/>
          <w:lang w:val="en-US" w:eastAsia="zh-CN" w:bidi="ar-SA"/>
        </w:rPr>
        <w:t>1、</w:t>
      </w:r>
      <w:r>
        <w:rPr>
          <w:rFonts w:hint="eastAsia" w:ascii="宋体" w:hAnsi="宋体" w:cs="Courier New" w:eastAsiaTheme="minorEastAsia"/>
          <w:caps w:val="0"/>
          <w:sz w:val="24"/>
          <w:szCs w:val="24"/>
          <w:highlight w:val="none"/>
          <w:lang w:val="en-US" w:eastAsia="zh-CN" w:bidi="ar-SA"/>
        </w:rPr>
        <w:t>采购人在“预算管理一体化系统”执行版块填报采购实施计划（采购方式选择框架协议采购），并关联政府采购指标，采购实施计划经审核后自动推送至</w:t>
      </w:r>
      <w:r>
        <w:rPr>
          <w:rFonts w:hint="eastAsia" w:cs="Courier New"/>
          <w:caps w:val="0"/>
          <w:sz w:val="24"/>
          <w:szCs w:val="24"/>
          <w:highlight w:val="none"/>
          <w:lang w:val="en-US" w:eastAsia="zh-CN" w:bidi="ar-SA"/>
        </w:rPr>
        <w:t>“</w:t>
      </w:r>
      <w:r>
        <w:rPr>
          <w:rFonts w:hint="eastAsia" w:ascii="宋体" w:hAnsi="宋体" w:cs="Courier New" w:eastAsiaTheme="minorEastAsia"/>
          <w:caps w:val="0"/>
          <w:sz w:val="24"/>
          <w:szCs w:val="24"/>
          <w:highlight w:val="none"/>
          <w:lang w:val="en-US" w:eastAsia="zh-CN" w:bidi="ar-SA"/>
        </w:rPr>
        <w:t>苏采云</w:t>
      </w:r>
      <w:r>
        <w:rPr>
          <w:rFonts w:hint="eastAsia" w:cs="Courier New"/>
          <w:caps w:val="0"/>
          <w:sz w:val="24"/>
          <w:szCs w:val="24"/>
          <w:highlight w:val="none"/>
          <w:lang w:val="en-US" w:eastAsia="zh-CN" w:bidi="ar-SA"/>
        </w:rPr>
        <w:t>”</w:t>
      </w:r>
      <w:r>
        <w:rPr>
          <w:rFonts w:hint="eastAsia" w:ascii="宋体" w:hAnsi="宋体" w:cs="Courier New" w:eastAsiaTheme="minorEastAsia"/>
          <w:caps w:val="0"/>
          <w:sz w:val="24"/>
          <w:szCs w:val="24"/>
          <w:highlight w:val="none"/>
          <w:lang w:val="en-US" w:eastAsia="zh-CN" w:bidi="ar-SA"/>
        </w:rPr>
        <w:t>系统，方可实施后续采购内容。</w:t>
      </w:r>
    </w:p>
    <w:p w14:paraId="067AD8CB">
      <w:pPr>
        <w:widowControl w:val="0"/>
        <w:spacing w:line="480" w:lineRule="exact"/>
        <w:ind w:firstLine="480"/>
        <w:rPr>
          <w:rFonts w:hint="eastAsia"/>
          <w:highlight w:val="none"/>
          <w:lang w:val="en-US" w:eastAsia="zh-CN"/>
        </w:rPr>
      </w:pPr>
      <w:r>
        <w:rPr>
          <w:rFonts w:hint="eastAsia" w:ascii="宋体" w:hAnsi="宋体"/>
          <w:sz w:val="24"/>
          <w:szCs w:val="24"/>
          <w:highlight w:val="none"/>
          <w:lang w:val="en-US" w:eastAsia="zh-CN"/>
        </w:rPr>
        <w:t>2、按照《关于启用江苏省政府采购框架协议电子采购平台的通知》（苏财购〔2023〕35号）要求，采购人登录“苏采云”系统框架协议电子采购平台，</w:t>
      </w:r>
      <w:r>
        <w:rPr>
          <w:rFonts w:hint="eastAsia" w:ascii="宋体" w:hAnsi="宋体"/>
          <w:bCs/>
          <w:sz w:val="24"/>
          <w:szCs w:val="24"/>
          <w:highlight w:val="none"/>
        </w:rPr>
        <w:t>结合自身实际需要，详细比对各家入围供应商的基本服务承诺与各项限价，确定供应商</w:t>
      </w:r>
      <w:r>
        <w:rPr>
          <w:rFonts w:hint="eastAsia" w:ascii="宋体" w:hAnsi="宋体"/>
          <w:bCs/>
          <w:sz w:val="24"/>
          <w:szCs w:val="24"/>
          <w:highlight w:val="none"/>
          <w:lang w:val="en-US" w:eastAsia="zh-CN"/>
        </w:rPr>
        <w:t>后</w:t>
      </w:r>
      <w:r>
        <w:rPr>
          <w:rFonts w:hint="eastAsia" w:ascii="宋体" w:hAnsi="宋体"/>
          <w:sz w:val="24"/>
          <w:szCs w:val="24"/>
          <w:highlight w:val="none"/>
          <w:lang w:val="en-US" w:eastAsia="zh-CN"/>
        </w:rPr>
        <w:t>，进行合同签订、合同备案等工作。</w:t>
      </w:r>
    </w:p>
    <w:p w14:paraId="517C982F">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lang w:val="en-US" w:eastAsia="zh-CN"/>
        </w:rPr>
        <w:t>3</w:t>
      </w:r>
      <w:r>
        <w:rPr>
          <w:rFonts w:hint="eastAsia" w:ascii="宋体" w:hAnsi="宋体" w:cs="Courier New"/>
          <w:sz w:val="24"/>
          <w:szCs w:val="24"/>
          <w:highlight w:val="none"/>
        </w:rPr>
        <w:t>.承修方接收维修车辆时，应对送修车辆进行细致检查，详细填写《公务用车维修费用执行价格一览表》中相关内容（“故障诊断、维修项目、作业内容”、工时单价、工时定额、材料进销差价率），交由托修方确认，确认完毕后双方盖章。</w:t>
      </w:r>
    </w:p>
    <w:p w14:paraId="037A0238">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4</w:t>
      </w:r>
      <w:r>
        <w:rPr>
          <w:rFonts w:hint="eastAsia" w:ascii="宋体" w:hAnsi="宋体" w:cs="Courier New"/>
          <w:sz w:val="24"/>
          <w:szCs w:val="24"/>
          <w:highlight w:val="none"/>
        </w:rPr>
        <w:t>.对维修车辆承修方应以修复为主，能不更换的零部件尽量不予更换，确实不能修复或修复不经济的零部件，在征得托修方同意的情况下，方可进行更换。</w:t>
      </w:r>
    </w:p>
    <w:p w14:paraId="5540068C">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5</w:t>
      </w:r>
      <w:r>
        <w:rPr>
          <w:rFonts w:hint="eastAsia" w:ascii="宋体" w:hAnsi="宋体" w:cs="Courier New"/>
          <w:sz w:val="24"/>
          <w:szCs w:val="24"/>
          <w:highlight w:val="none"/>
        </w:rPr>
        <w:t>. 使用公务车辆定点维修送修单，经送修单位领导签字同意，定点厂凭单修理。</w:t>
      </w:r>
    </w:p>
    <w:p w14:paraId="49449AD0">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6</w:t>
      </w:r>
      <w:r>
        <w:rPr>
          <w:rFonts w:hint="eastAsia" w:ascii="宋体" w:hAnsi="宋体" w:cs="Courier New"/>
          <w:sz w:val="24"/>
          <w:szCs w:val="24"/>
          <w:highlight w:val="none"/>
        </w:rPr>
        <w:t>. 定点厂方设立政府采购定点维修服务承诺公示牌，公布承诺内容。做好优质、量化服务。</w:t>
      </w:r>
    </w:p>
    <w:p w14:paraId="682FE36F">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lang w:val="en-US" w:eastAsia="zh-CN"/>
        </w:rPr>
        <w:t>7.</w:t>
      </w:r>
      <w:r>
        <w:rPr>
          <w:rFonts w:hint="eastAsia" w:ascii="宋体" w:hAnsi="宋体" w:cs="Courier New"/>
          <w:sz w:val="24"/>
          <w:szCs w:val="24"/>
          <w:highlight w:val="none"/>
        </w:rPr>
        <w:t>大修车辆根据管理要求履行相关手续。</w:t>
      </w:r>
    </w:p>
    <w:p w14:paraId="1C6B4905">
      <w:pPr>
        <w:widowControl w:val="0"/>
        <w:spacing w:line="480" w:lineRule="exact"/>
        <w:rPr>
          <w:rFonts w:ascii="宋体" w:hAnsi="宋体" w:cs="Courier New"/>
          <w:sz w:val="24"/>
          <w:szCs w:val="24"/>
          <w:highlight w:val="none"/>
        </w:rPr>
      </w:pPr>
      <w:r>
        <w:rPr>
          <w:rFonts w:hint="eastAsia" w:ascii="宋体" w:hAnsi="宋体" w:cs="Courier New"/>
          <w:sz w:val="24"/>
          <w:szCs w:val="24"/>
          <w:highlight w:val="none"/>
        </w:rPr>
        <w:t>（二）维修费用</w:t>
      </w:r>
    </w:p>
    <w:p w14:paraId="427ECCC4">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1、成交供应商应按照《</w:t>
      </w:r>
      <w:r>
        <w:rPr>
          <w:rFonts w:hint="eastAsia" w:ascii="宋体" w:hAnsi="宋体" w:cs="Courier New"/>
          <w:sz w:val="24"/>
          <w:szCs w:val="24"/>
          <w:highlight w:val="none"/>
          <w:lang w:val="en-US" w:eastAsia="zh-CN"/>
        </w:rPr>
        <w:t>江苏省机动车维修就结算工时定额与收费指南</w:t>
      </w:r>
      <w:r>
        <w:rPr>
          <w:rFonts w:hint="eastAsia" w:ascii="宋体" w:hAnsi="宋体" w:cs="Courier New"/>
          <w:sz w:val="24"/>
          <w:szCs w:val="24"/>
          <w:highlight w:val="none"/>
        </w:rPr>
        <w:t>》（201</w:t>
      </w:r>
      <w:r>
        <w:rPr>
          <w:rFonts w:hint="eastAsia" w:ascii="宋体" w:hAnsi="宋体" w:cs="Courier New"/>
          <w:sz w:val="24"/>
          <w:szCs w:val="24"/>
          <w:highlight w:val="none"/>
          <w:lang w:val="en-US" w:eastAsia="zh-CN"/>
        </w:rPr>
        <w:t>4</w:t>
      </w:r>
      <w:r>
        <w:rPr>
          <w:rFonts w:hint="eastAsia" w:ascii="宋体" w:hAnsi="宋体" w:cs="Courier New"/>
          <w:sz w:val="24"/>
          <w:szCs w:val="24"/>
          <w:highlight w:val="none"/>
        </w:rPr>
        <w:t>版）所确定工时定额标准及不高于响应文件承诺的工时单价、材料进销差价率计算维修费用。</w:t>
      </w:r>
    </w:p>
    <w:p w14:paraId="497AF8FE">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2、维修总费用＝（工时定额×工时单价）＋材料进价×（1＋材料进销差价率）。</w:t>
      </w:r>
    </w:p>
    <w:p w14:paraId="528CF71E">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3、上述工时单价、材料进</w:t>
      </w:r>
      <w:r>
        <w:rPr>
          <w:rFonts w:hint="eastAsia" w:ascii="宋体" w:hAnsi="宋体" w:cs="Courier New"/>
          <w:sz w:val="24"/>
          <w:szCs w:val="24"/>
          <w:highlight w:val="none"/>
          <w:lang w:val="en-US" w:eastAsia="zh-CN"/>
        </w:rPr>
        <w:t>销</w:t>
      </w:r>
      <w:r>
        <w:rPr>
          <w:rFonts w:hint="eastAsia" w:ascii="宋体" w:hAnsi="宋体" w:cs="Courier New"/>
          <w:sz w:val="24"/>
          <w:szCs w:val="24"/>
          <w:highlight w:val="none"/>
        </w:rPr>
        <w:t>差价率均为含税金额。</w:t>
      </w:r>
    </w:p>
    <w:p w14:paraId="53FE840A">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4、工时定额：按照省交通主管部门制定的《</w:t>
      </w:r>
      <w:r>
        <w:rPr>
          <w:rFonts w:hint="eastAsia" w:ascii="宋体" w:hAnsi="宋体" w:cs="Courier New"/>
          <w:sz w:val="24"/>
          <w:szCs w:val="24"/>
          <w:highlight w:val="none"/>
          <w:lang w:val="en-US" w:eastAsia="zh-CN"/>
        </w:rPr>
        <w:t>江苏省机动车维修就结算工时定额与收费指南</w:t>
      </w:r>
      <w:r>
        <w:rPr>
          <w:rFonts w:hint="eastAsia" w:ascii="宋体" w:hAnsi="宋体" w:cs="Courier New"/>
          <w:sz w:val="24"/>
          <w:szCs w:val="24"/>
          <w:highlight w:val="none"/>
        </w:rPr>
        <w:t>》（201</w:t>
      </w:r>
      <w:r>
        <w:rPr>
          <w:rFonts w:hint="eastAsia" w:ascii="宋体" w:hAnsi="宋体" w:cs="Courier New"/>
          <w:sz w:val="24"/>
          <w:szCs w:val="24"/>
          <w:highlight w:val="none"/>
          <w:lang w:val="en-US" w:eastAsia="zh-CN"/>
        </w:rPr>
        <w:t>4</w:t>
      </w:r>
      <w:r>
        <w:rPr>
          <w:rFonts w:hint="eastAsia" w:ascii="宋体" w:hAnsi="宋体" w:cs="Courier New"/>
          <w:sz w:val="24"/>
          <w:szCs w:val="24"/>
          <w:highlight w:val="none"/>
        </w:rPr>
        <w:t>版）执行。</w:t>
      </w:r>
    </w:p>
    <w:p w14:paraId="25B28D74">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5、最高限价</w:t>
      </w:r>
    </w:p>
    <w:p w14:paraId="4CA982E2">
      <w:pPr>
        <w:ind w:firstLine="4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标段A-D，工</w:t>
      </w:r>
      <w:r>
        <w:rPr>
          <w:rFonts w:hint="eastAsia" w:ascii="宋体" w:hAnsi="宋体"/>
          <w:color w:val="000000" w:themeColor="text1"/>
          <w:sz w:val="24"/>
          <w:szCs w:val="24"/>
          <w:highlight w:val="none"/>
          <w14:textFill>
            <w14:solidFill>
              <w14:schemeClr w14:val="tx1"/>
            </w14:solidFill>
          </w14:textFill>
        </w:rPr>
        <w:t>时单价限价：不高于</w:t>
      </w:r>
      <w:r>
        <w:rPr>
          <w:rFonts w:hint="eastAsia" w:ascii="宋体" w:hAnsi="宋体"/>
          <w:color w:val="000000" w:themeColor="text1"/>
          <w:sz w:val="24"/>
          <w:szCs w:val="24"/>
          <w:highlight w:val="none"/>
          <w:lang w:val="en-US" w:eastAsia="zh-CN"/>
          <w14:textFill>
            <w14:solidFill>
              <w14:schemeClr w14:val="tx1"/>
            </w14:solidFill>
          </w14:textFill>
        </w:rPr>
        <w:t>15</w:t>
      </w:r>
      <w:r>
        <w:rPr>
          <w:rFonts w:hint="eastAsia" w:ascii="宋体" w:hAnsi="宋体"/>
          <w:color w:val="000000" w:themeColor="text1"/>
          <w:sz w:val="24"/>
          <w:szCs w:val="24"/>
          <w:highlight w:val="none"/>
          <w14:textFill>
            <w14:solidFill>
              <w14:schemeClr w14:val="tx1"/>
            </w14:solidFill>
          </w14:textFill>
        </w:rPr>
        <w:t>元/工时，材料进销差价率限价： 不高于2</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w:t>
      </w:r>
    </w:p>
    <w:p w14:paraId="65F4CFFE">
      <w:pPr>
        <w:ind w:firstLine="425"/>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6、在框架协议有效期内，入围价格不受市场价格变化的影响，供应商须综合考虑在报价中。</w:t>
      </w:r>
    </w:p>
    <w:p w14:paraId="6FA45AA8">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7、在框架协议期间，入围供应商第一阶段工时单价和材料进销差价率</w:t>
      </w:r>
      <w:r>
        <w:rPr>
          <w:rFonts w:hint="eastAsia" w:ascii="宋体" w:hAnsi="宋体" w:cs="Courier New"/>
          <w:sz w:val="24"/>
          <w:szCs w:val="24"/>
          <w:highlight w:val="none"/>
          <w:lang w:val="en-US" w:eastAsia="zh-CN"/>
        </w:rPr>
        <w:t>报价</w:t>
      </w:r>
      <w:r>
        <w:rPr>
          <w:rFonts w:hint="eastAsia" w:ascii="宋体" w:hAnsi="宋体" w:cs="Courier New"/>
          <w:sz w:val="24"/>
          <w:szCs w:val="24"/>
          <w:highlight w:val="none"/>
        </w:rPr>
        <w:t>是采购人确定第二阶段成交供应商的最高限价，不得上调。</w:t>
      </w:r>
    </w:p>
    <w:p w14:paraId="5828E45D">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（三）车辆交接手续</w:t>
      </w:r>
    </w:p>
    <w:p w14:paraId="7887478C">
      <w:pPr>
        <w:widowControl w:val="0"/>
        <w:spacing w:line="48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1、在注明完成维修的时间内，承修方在对车辆进行准确而全面的检验合格后，应主动通知送修方前来办理交接手续，进行二级维护</w:t>
      </w:r>
      <w:r>
        <w:rPr>
          <w:rFonts w:hint="eastAsia" w:ascii="宋体" w:hAnsi="宋体" w:eastAsia="宋体" w:cs="Courier New"/>
          <w:sz w:val="24"/>
          <w:szCs w:val="24"/>
          <w:highlight w:val="none"/>
          <w:lang w:eastAsia="zh-CN"/>
        </w:rPr>
        <w:t>、</w:t>
      </w:r>
      <w:r>
        <w:rPr>
          <w:rFonts w:hint="eastAsia" w:ascii="宋体" w:hAnsi="宋体" w:eastAsia="宋体" w:cs="Courier New"/>
          <w:sz w:val="24"/>
          <w:szCs w:val="24"/>
          <w:highlight w:val="none"/>
          <w:lang w:val="en-US" w:eastAsia="zh-CN"/>
        </w:rPr>
        <w:t>总成修理和整车修理</w:t>
      </w:r>
      <w:r>
        <w:rPr>
          <w:rFonts w:hint="eastAsia" w:ascii="宋体" w:hAnsi="宋体" w:cs="Courier New"/>
          <w:sz w:val="24"/>
          <w:szCs w:val="24"/>
          <w:highlight w:val="none"/>
        </w:rPr>
        <w:t>须出具一份维修出厂合格证和承修方盖章的《</w:t>
      </w:r>
      <w:r>
        <w:rPr>
          <w:rFonts w:hint="eastAsia" w:ascii="宋体" w:hAnsi="宋体" w:cs="Courier New"/>
          <w:sz w:val="24"/>
          <w:szCs w:val="24"/>
          <w:highlight w:val="none"/>
          <w:lang w:val="en-US" w:eastAsia="zh-CN"/>
        </w:rPr>
        <w:t>江苏省</w:t>
      </w:r>
      <w:r>
        <w:rPr>
          <w:rFonts w:hint="eastAsia" w:ascii="宋体" w:hAnsi="宋体" w:cs="Courier New"/>
          <w:sz w:val="24"/>
          <w:szCs w:val="24"/>
          <w:highlight w:val="none"/>
        </w:rPr>
        <w:t>机动车维修费用结算清单》。</w:t>
      </w:r>
    </w:p>
    <w:p w14:paraId="27CDE5A8">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p>
    <w:p w14:paraId="0B21FE8F">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3、</w:t>
      </w:r>
      <w:r>
        <w:rPr>
          <w:rFonts w:hint="eastAsia" w:ascii="宋体" w:hAnsi="宋体" w:cs="Courier New"/>
          <w:sz w:val="24"/>
          <w:szCs w:val="24"/>
          <w:highlight w:val="none"/>
          <w:lang w:val="en-US" w:eastAsia="zh-CN"/>
        </w:rPr>
        <w:t>机</w:t>
      </w:r>
      <w:r>
        <w:rPr>
          <w:rFonts w:hint="eastAsia" w:ascii="宋体" w:hAnsi="宋体" w:cs="Courier New"/>
          <w:sz w:val="24"/>
          <w:szCs w:val="24"/>
          <w:highlight w:val="none"/>
        </w:rPr>
        <w:t>动车维修中换下的旧件，承修方应主动交给托修方，由托修方确认收回或声明放弃，并在结算单上认真填写车辆维修的具体部位和消耗的材料、部件及计价情况，注明优惠事宜，以利用核查。</w:t>
      </w:r>
    </w:p>
    <w:p w14:paraId="5C3D9CEA">
      <w:pPr>
        <w:widowControl w:val="0"/>
        <w:spacing w:line="480" w:lineRule="exact"/>
        <w:ind w:firstLine="480"/>
        <w:rPr>
          <w:rFonts w:ascii="宋体" w:hAnsi="宋体" w:cs="Courier New"/>
          <w:sz w:val="24"/>
          <w:szCs w:val="24"/>
          <w:highlight w:val="none"/>
        </w:rPr>
      </w:pPr>
      <w:r>
        <w:rPr>
          <w:rFonts w:hint="eastAsia" w:ascii="宋体" w:hAnsi="宋体" w:cs="Courier New"/>
          <w:sz w:val="24"/>
          <w:szCs w:val="24"/>
          <w:highlight w:val="none"/>
        </w:rPr>
        <w:t>4、如送修方在车辆完工之日起5日内，没有以书面形式向成交人提出问题，而又不在结算单上盖章，则视为送修方同意接受结算单中的内容。</w:t>
      </w:r>
    </w:p>
    <w:p w14:paraId="70C56148">
      <w:pPr>
        <w:pStyle w:val="2"/>
        <w:ind w:firstLine="480"/>
        <w:rPr>
          <w:rFonts w:cs="Courier New"/>
          <w:highlight w:val="none"/>
        </w:rPr>
      </w:pPr>
      <w:r>
        <w:rPr>
          <w:rFonts w:hint="eastAsia" w:cs="Courier New"/>
          <w:highlight w:val="none"/>
        </w:rPr>
        <w:t>5、结算单一式两份，由送修方和承修方各自保管。</w:t>
      </w:r>
    </w:p>
    <w:p w14:paraId="640FC303">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rPr>
        <w:t>6、</w:t>
      </w:r>
      <w:r>
        <w:rPr>
          <w:rFonts w:hint="eastAsia" w:ascii="宋体" w:hAnsi="宋体" w:eastAsia="宋体"/>
          <w:sz w:val="24"/>
          <w:szCs w:val="24"/>
          <w:highlight w:val="none"/>
          <w:lang w:val="en-US" w:eastAsia="zh-CN"/>
        </w:rPr>
        <w:t>送</w:t>
      </w:r>
      <w:r>
        <w:rPr>
          <w:rFonts w:hint="eastAsia" w:ascii="宋体" w:hAnsi="宋体"/>
          <w:sz w:val="24"/>
          <w:szCs w:val="24"/>
          <w:highlight w:val="none"/>
        </w:rPr>
        <w:t>修方将确认后的结算单相关内容，在“苏采云”电子交易系统进行信息录入。</w:t>
      </w:r>
    </w:p>
    <w:p w14:paraId="711249F7">
      <w:pPr>
        <w:widowControl w:val="0"/>
        <w:spacing w:line="480" w:lineRule="exact"/>
        <w:ind w:firstLine="643"/>
        <w:rPr>
          <w:rFonts w:hint="eastAsia" w:eastAsia="仿宋" w:cs="Calibri"/>
          <w:b/>
          <w:sz w:val="32"/>
          <w:szCs w:val="32"/>
          <w:highlight w:val="none"/>
        </w:rPr>
      </w:pPr>
      <w:r>
        <w:rPr>
          <w:rFonts w:hint="eastAsia" w:eastAsia="仿宋" w:cs="Calibri"/>
          <w:b/>
          <w:sz w:val="32"/>
          <w:szCs w:val="32"/>
          <w:highlight w:val="none"/>
        </w:rPr>
        <w:t>五、框架协议合同授予</w:t>
      </w:r>
    </w:p>
    <w:p w14:paraId="3C922394">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lang w:val="en-US" w:eastAsia="zh-CN"/>
        </w:rPr>
        <w:t>1、</w:t>
      </w:r>
      <w:r>
        <w:rPr>
          <w:rFonts w:hint="default" w:ascii="宋体" w:hAnsi="宋体"/>
          <w:sz w:val="24"/>
          <w:szCs w:val="24"/>
          <w:highlight w:val="none"/>
          <w:lang w:val="en-US" w:eastAsia="zh-CN"/>
        </w:rPr>
        <w:t>第一阶段入围供应商确定后，供应商应当在</w:t>
      </w:r>
      <w:r>
        <w:rPr>
          <w:rFonts w:hint="eastAsia" w:ascii="宋体" w:hAnsi="宋体"/>
          <w:sz w:val="24"/>
          <w:szCs w:val="24"/>
          <w:highlight w:val="none"/>
          <w:lang w:val="en-US" w:eastAsia="zh-CN"/>
        </w:rPr>
        <w:t>“</w:t>
      </w:r>
      <w:r>
        <w:rPr>
          <w:rFonts w:hint="default" w:ascii="宋体" w:hAnsi="宋体"/>
          <w:sz w:val="24"/>
          <w:szCs w:val="24"/>
          <w:highlight w:val="none"/>
          <w:lang w:val="en-US" w:eastAsia="zh-CN"/>
        </w:rPr>
        <w:t>苏采云</w:t>
      </w:r>
      <w:r>
        <w:rPr>
          <w:rFonts w:hint="eastAsia" w:ascii="宋体" w:hAnsi="宋体"/>
          <w:sz w:val="24"/>
          <w:szCs w:val="24"/>
          <w:highlight w:val="none"/>
          <w:lang w:val="en-US" w:eastAsia="zh-CN"/>
        </w:rPr>
        <w:t>”</w:t>
      </w:r>
      <w:r>
        <w:rPr>
          <w:rFonts w:hint="default" w:ascii="宋体" w:hAnsi="宋体"/>
          <w:sz w:val="24"/>
          <w:szCs w:val="24"/>
          <w:highlight w:val="none"/>
          <w:lang w:val="en-US" w:eastAsia="zh-CN"/>
        </w:rPr>
        <w:t>系统框架协议电子采购平台维护并展示其具体的服务信息，便于用车人线上下单采购</w:t>
      </w:r>
      <w:r>
        <w:rPr>
          <w:rFonts w:hint="eastAsia" w:ascii="宋体" w:hAnsi="宋体"/>
          <w:sz w:val="24"/>
          <w:szCs w:val="24"/>
          <w:highlight w:val="none"/>
          <w:lang w:val="en-US" w:eastAsia="zh-CN"/>
        </w:rPr>
        <w:t>。</w:t>
      </w:r>
    </w:p>
    <w:p w14:paraId="27CCF9D0">
      <w:pPr>
        <w:widowControl w:val="0"/>
        <w:spacing w:line="480" w:lineRule="exact"/>
        <w:ind w:firstLine="480"/>
        <w:rPr>
          <w:rFonts w:hint="default"/>
          <w:highlight w:val="none"/>
          <w:lang w:val="en-US"/>
        </w:rPr>
      </w:pPr>
      <w:r>
        <w:rPr>
          <w:rFonts w:hint="eastAsia" w:ascii="宋体" w:hAnsi="宋体"/>
          <w:sz w:val="24"/>
          <w:szCs w:val="24"/>
          <w:highlight w:val="none"/>
          <w:lang w:val="en-US" w:eastAsia="zh-CN"/>
        </w:rPr>
        <w:t>2</w:t>
      </w:r>
      <w:r>
        <w:rPr>
          <w:rFonts w:hint="eastAsia" w:ascii="宋体" w:hAnsi="宋体"/>
          <w:sz w:val="24"/>
          <w:szCs w:val="24"/>
          <w:highlight w:val="none"/>
        </w:rPr>
        <w:t>、确定第二阶段成交供应商应当由采购人或者服务对象依据</w:t>
      </w:r>
      <w:r>
        <w:rPr>
          <w:rFonts w:hint="eastAsia" w:ascii="宋体" w:hAnsi="宋体"/>
          <w:sz w:val="24"/>
          <w:szCs w:val="24"/>
          <w:highlight w:val="none"/>
          <w:lang w:val="en-US" w:eastAsia="zh-CN"/>
        </w:rPr>
        <w:t>入围产品价格</w:t>
      </w:r>
      <w:r>
        <w:rPr>
          <w:rFonts w:hint="eastAsia" w:ascii="宋体" w:hAnsi="宋体"/>
          <w:sz w:val="24"/>
          <w:szCs w:val="24"/>
          <w:highlight w:val="none"/>
        </w:rPr>
        <w:t>、质量以及服务便利性、用户评价等因素，从第一阶段入围供应商中直接选定</w:t>
      </w:r>
      <w:r>
        <w:rPr>
          <w:rFonts w:hint="eastAsia" w:ascii="宋体" w:hAnsi="宋体"/>
          <w:sz w:val="24"/>
          <w:szCs w:val="24"/>
          <w:highlight w:val="none"/>
          <w:lang w:eastAsia="zh-CN"/>
        </w:rPr>
        <w:t>。</w:t>
      </w:r>
      <w:r>
        <w:rPr>
          <w:rFonts w:hint="eastAsia" w:ascii="宋体" w:hAnsi="宋体"/>
          <w:sz w:val="24"/>
          <w:szCs w:val="24"/>
          <w:highlight w:val="none"/>
          <w:lang w:val="en-US" w:eastAsia="zh-CN"/>
        </w:rPr>
        <w:t xml:space="preserve">                                                                                                                                                                                                                                                                                                                                                                                                                                                                                                                                                                                                                                                                                                                                                                                                                                                                                                                                                                                                                                                                                                                                                                                                                                                                                                                                                                                                                                                                                                                                                                                                                                                                                                                                                                                                  </w:t>
      </w:r>
    </w:p>
    <w:p w14:paraId="4CDF30F4">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、采购人原则上不得采购框架协议采购范围以外的服务。</w:t>
      </w:r>
    </w:p>
    <w:p w14:paraId="1B8C5512">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政府采购中心并发布单笔成交结果公告。</w:t>
      </w:r>
    </w:p>
    <w:p w14:paraId="4A404DF8">
      <w:pPr>
        <w:widowControl w:val="0"/>
        <w:spacing w:line="480" w:lineRule="exact"/>
        <w:ind w:firstLine="643"/>
        <w:rPr>
          <w:rFonts w:eastAsia="仿宋" w:cs="Calibri"/>
          <w:b/>
          <w:sz w:val="32"/>
          <w:szCs w:val="32"/>
          <w:highlight w:val="none"/>
        </w:rPr>
      </w:pPr>
      <w:r>
        <w:rPr>
          <w:rFonts w:hint="eastAsia" w:eastAsia="仿宋" w:cs="Calibri"/>
          <w:b/>
          <w:sz w:val="32"/>
          <w:szCs w:val="32"/>
          <w:highlight w:val="none"/>
        </w:rPr>
        <w:t>六、履约管理要求</w:t>
      </w:r>
    </w:p>
    <w:p w14:paraId="740019FF">
      <w:pPr>
        <w:widowControl w:val="0"/>
        <w:spacing w:line="480" w:lineRule="exact"/>
        <w:ind w:firstLine="480"/>
        <w:rPr>
          <w:rFonts w:ascii="宋体" w:hAnsi="宋体"/>
          <w:sz w:val="24"/>
          <w:szCs w:val="24"/>
          <w:highlight w:val="none"/>
        </w:rPr>
      </w:pPr>
      <w:r>
        <w:rPr>
          <w:rFonts w:hint="eastAsia" w:ascii="宋体" w:hAnsi="宋体"/>
          <w:sz w:val="24"/>
          <w:szCs w:val="24"/>
          <w:highlight w:val="none"/>
        </w:rPr>
        <w:t>1、管理形式</w:t>
      </w:r>
    </w:p>
    <w:p w14:paraId="08296DA5">
      <w:pPr>
        <w:widowControl w:val="0"/>
        <w:spacing w:line="480" w:lineRule="exact"/>
        <w:ind w:firstLine="480"/>
        <w:rPr>
          <w:rFonts w:ascii="宋体" w:hAnsi="宋体"/>
          <w:sz w:val="24"/>
          <w:szCs w:val="24"/>
          <w:highlight w:val="none"/>
        </w:rPr>
      </w:pPr>
      <w:r>
        <w:rPr>
          <w:rFonts w:hint="eastAsia" w:ascii="宋体" w:hAnsi="宋体"/>
          <w:sz w:val="24"/>
          <w:szCs w:val="24"/>
          <w:highlight w:val="none"/>
        </w:rPr>
        <w:t>采购中心通过满意度调查、随机抽查、投诉举报处理等方式，对框架协议入围供应商开展履约及售后服务监督，检查和处理结果将在框架协议系统公布。若国家及江苏省相关部门出台与机动车维修相关的规定，按规定执行。</w:t>
      </w:r>
    </w:p>
    <w:p w14:paraId="4EE0DA2F">
      <w:pPr>
        <w:widowControl w:val="0"/>
        <w:spacing w:line="480" w:lineRule="exact"/>
        <w:ind w:firstLine="480"/>
        <w:rPr>
          <w:rFonts w:hint="eastAsia" w:ascii="宋体" w:hAnsi="宋体"/>
          <w:sz w:val="24"/>
          <w:szCs w:val="24"/>
          <w:highlight w:val="none"/>
        </w:rPr>
      </w:pPr>
      <w:r>
        <w:rPr>
          <w:rFonts w:hint="eastAsia" w:ascii="宋体" w:hAnsi="宋体"/>
          <w:sz w:val="24"/>
          <w:szCs w:val="24"/>
          <w:highlight w:val="none"/>
        </w:rPr>
        <w:t>2、管理标准</w:t>
      </w:r>
    </w:p>
    <w:p w14:paraId="647CBB1F">
      <w:pPr>
        <w:widowControl w:val="0"/>
        <w:spacing w:line="480" w:lineRule="exact"/>
        <w:ind w:firstLine="480"/>
        <w:rPr>
          <w:rFonts w:ascii="宋体" w:hAnsi="宋体"/>
          <w:sz w:val="24"/>
          <w:szCs w:val="24"/>
          <w:highlight w:val="none"/>
        </w:rPr>
      </w:pPr>
      <w:r>
        <w:rPr>
          <w:rFonts w:hint="eastAsia" w:ascii="宋体" w:hAnsi="宋体"/>
          <w:sz w:val="24"/>
          <w:szCs w:val="24"/>
          <w:highlight w:val="none"/>
        </w:rPr>
        <w:t xml:space="preserve">在监管检查中，如发现以下情形，视为不合格项。采购中心在核实情况后将对相关责任供应商予以处理： </w:t>
      </w:r>
    </w:p>
    <w:p w14:paraId="708CDDE1">
      <w:pPr>
        <w:widowControl w:val="0"/>
        <w:spacing w:line="480" w:lineRule="exact"/>
        <w:ind w:firstLine="480"/>
        <w:rPr>
          <w:rFonts w:ascii="宋体" w:hAnsi="宋体"/>
          <w:sz w:val="24"/>
          <w:szCs w:val="24"/>
          <w:highlight w:val="none"/>
        </w:rPr>
      </w:pPr>
      <w:r>
        <w:rPr>
          <w:rFonts w:hint="eastAsia" w:ascii="宋体" w:hAnsi="宋体"/>
          <w:sz w:val="24"/>
          <w:szCs w:val="24"/>
          <w:highlight w:val="none"/>
        </w:rPr>
        <w:t>2.1入围产品质量、数量或提供的服务不符合国家有关规定、服务承诺和框架协议规定。</w:t>
      </w:r>
    </w:p>
    <w:p w14:paraId="7F723F0E">
      <w:pPr>
        <w:widowControl w:val="0"/>
        <w:spacing w:line="480" w:lineRule="exact"/>
        <w:ind w:firstLine="480"/>
        <w:rPr>
          <w:rFonts w:ascii="宋体" w:hAnsi="宋体"/>
          <w:sz w:val="24"/>
          <w:szCs w:val="24"/>
          <w:highlight w:val="none"/>
        </w:rPr>
      </w:pPr>
      <w:r>
        <w:rPr>
          <w:rFonts w:hint="eastAsia" w:ascii="宋体" w:hAnsi="宋体"/>
          <w:sz w:val="24"/>
          <w:szCs w:val="24"/>
          <w:highlight w:val="none"/>
        </w:rPr>
        <w:t>2.2无正当理由不按照承诺供货或提供售后服务。</w:t>
      </w:r>
    </w:p>
    <w:p w14:paraId="39B849E3">
      <w:pPr>
        <w:widowControl w:val="0"/>
        <w:spacing w:line="480" w:lineRule="exact"/>
        <w:ind w:firstLine="480"/>
        <w:rPr>
          <w:rFonts w:ascii="宋体" w:hAnsi="宋体"/>
          <w:sz w:val="24"/>
          <w:szCs w:val="24"/>
          <w:highlight w:val="none"/>
        </w:rPr>
      </w:pPr>
      <w:r>
        <w:rPr>
          <w:rFonts w:hint="eastAsia" w:ascii="宋体" w:hAnsi="宋体"/>
          <w:sz w:val="24"/>
          <w:szCs w:val="24"/>
          <w:highlight w:val="none"/>
        </w:rPr>
        <w:t>2.3具体项目成交价高于其入围价格或服务承诺。</w:t>
      </w:r>
    </w:p>
    <w:p w14:paraId="3EFF41AA">
      <w:pPr>
        <w:widowControl w:val="0"/>
        <w:spacing w:line="480" w:lineRule="exact"/>
        <w:ind w:firstLine="480"/>
        <w:rPr>
          <w:rFonts w:ascii="宋体" w:hAnsi="宋体"/>
          <w:sz w:val="24"/>
          <w:szCs w:val="24"/>
          <w:highlight w:val="none"/>
        </w:rPr>
      </w:pPr>
      <w:r>
        <w:rPr>
          <w:rFonts w:hint="eastAsia" w:ascii="宋体" w:hAnsi="宋体"/>
          <w:sz w:val="24"/>
          <w:szCs w:val="24"/>
          <w:highlight w:val="none"/>
        </w:rPr>
        <w:t>2.4使用不正当竞争手段，影响采购单位正常采购活动。</w:t>
      </w:r>
    </w:p>
    <w:p w14:paraId="1F780C4C">
      <w:pPr>
        <w:widowControl w:val="0"/>
        <w:spacing w:line="480" w:lineRule="exact"/>
        <w:ind w:firstLine="480"/>
        <w:rPr>
          <w:rFonts w:ascii="宋体" w:hAnsi="宋体"/>
          <w:sz w:val="24"/>
          <w:szCs w:val="24"/>
          <w:highlight w:val="none"/>
        </w:rPr>
      </w:pPr>
      <w:r>
        <w:rPr>
          <w:rFonts w:hint="eastAsia" w:ascii="宋体" w:hAnsi="宋体"/>
          <w:sz w:val="24"/>
          <w:szCs w:val="24"/>
          <w:highlight w:val="none"/>
        </w:rPr>
        <w:t>2.5满意度调查中采购人反馈不满意，经核实确系供应商责任。</w:t>
      </w:r>
    </w:p>
    <w:p w14:paraId="64B204BB">
      <w:pPr>
        <w:widowControl w:val="0"/>
        <w:spacing w:line="480" w:lineRule="exact"/>
        <w:ind w:firstLine="480"/>
        <w:rPr>
          <w:rFonts w:ascii="宋体" w:hAnsi="宋体"/>
          <w:sz w:val="24"/>
          <w:szCs w:val="24"/>
          <w:highlight w:val="none"/>
        </w:rPr>
      </w:pPr>
      <w:r>
        <w:rPr>
          <w:rFonts w:hint="eastAsia" w:ascii="宋体" w:hAnsi="宋体"/>
          <w:sz w:val="24"/>
          <w:szCs w:val="24"/>
          <w:highlight w:val="none"/>
        </w:rPr>
        <w:t>2.6无正当理由放弃入围资格或退出框架协议。</w:t>
      </w:r>
    </w:p>
    <w:p w14:paraId="18BA9391">
      <w:pPr>
        <w:widowControl w:val="0"/>
        <w:spacing w:line="480" w:lineRule="exact"/>
        <w:ind w:firstLine="480"/>
        <w:rPr>
          <w:rFonts w:ascii="宋体" w:hAnsi="宋体"/>
          <w:sz w:val="24"/>
          <w:szCs w:val="24"/>
          <w:highlight w:val="none"/>
        </w:rPr>
      </w:pPr>
      <w:r>
        <w:rPr>
          <w:rFonts w:hint="eastAsia" w:ascii="宋体" w:hAnsi="宋体"/>
          <w:sz w:val="24"/>
          <w:szCs w:val="24"/>
          <w:highlight w:val="none"/>
        </w:rPr>
        <w:t>2.7其他违法违规行为。</w:t>
      </w:r>
    </w:p>
    <w:p w14:paraId="628622E6">
      <w:pPr>
        <w:widowControl w:val="0"/>
        <w:spacing w:line="480" w:lineRule="exact"/>
        <w:ind w:firstLine="480"/>
        <w:rPr>
          <w:rFonts w:ascii="宋体" w:hAnsi="宋体"/>
          <w:sz w:val="24"/>
          <w:szCs w:val="24"/>
          <w:highlight w:val="none"/>
        </w:rPr>
      </w:pPr>
      <w:r>
        <w:rPr>
          <w:rFonts w:hint="eastAsia" w:ascii="宋体" w:hAnsi="宋体"/>
          <w:sz w:val="24"/>
          <w:szCs w:val="24"/>
          <w:highlight w:val="none"/>
        </w:rPr>
        <w:t>3、管理措施</w:t>
      </w:r>
    </w:p>
    <w:p w14:paraId="1C20654B">
      <w:pPr>
        <w:widowControl w:val="0"/>
        <w:spacing w:line="480" w:lineRule="exact"/>
        <w:ind w:firstLine="480"/>
        <w:rPr>
          <w:rFonts w:ascii="宋体" w:hAnsi="宋体"/>
          <w:sz w:val="24"/>
          <w:szCs w:val="24"/>
          <w:highlight w:val="none"/>
        </w:rPr>
      </w:pPr>
      <w:r>
        <w:rPr>
          <w:rFonts w:hint="eastAsia" w:ascii="宋体" w:hAnsi="宋体"/>
          <w:sz w:val="24"/>
          <w:szCs w:val="24"/>
          <w:highlight w:val="none"/>
        </w:rPr>
        <w:t>对履约监管中发现的不合格行为，按以下措施处理：</w:t>
      </w:r>
    </w:p>
    <w:p w14:paraId="7231D35A">
      <w:pPr>
        <w:widowControl w:val="0"/>
        <w:spacing w:line="480" w:lineRule="exact"/>
        <w:ind w:firstLine="480"/>
        <w:rPr>
          <w:rFonts w:ascii="宋体" w:hAnsi="宋体"/>
          <w:sz w:val="24"/>
          <w:szCs w:val="24"/>
          <w:highlight w:val="none"/>
        </w:rPr>
      </w:pPr>
      <w:r>
        <w:rPr>
          <w:rFonts w:hint="eastAsia" w:ascii="宋体" w:hAnsi="宋体"/>
          <w:sz w:val="24"/>
          <w:szCs w:val="24"/>
          <w:highlight w:val="none"/>
        </w:rPr>
        <w:t>3.1整改</w:t>
      </w:r>
    </w:p>
    <w:p w14:paraId="56394091">
      <w:pPr>
        <w:widowControl w:val="0"/>
        <w:spacing w:line="480" w:lineRule="exact"/>
        <w:ind w:firstLine="480"/>
        <w:rPr>
          <w:rFonts w:ascii="宋体" w:hAnsi="宋体"/>
          <w:sz w:val="24"/>
          <w:szCs w:val="24"/>
          <w:highlight w:val="none"/>
        </w:rPr>
      </w:pPr>
      <w:r>
        <w:rPr>
          <w:rFonts w:hint="eastAsia" w:ascii="宋体" w:hAnsi="宋体"/>
          <w:sz w:val="24"/>
          <w:szCs w:val="24"/>
          <w:highlight w:val="none"/>
        </w:rPr>
        <w:t>入围供应商在框架协议系统中存在不合格行为，采购中心出具《责令整改通知书》，限定时间完成整改。被开具《责令整改通知书》的供应商，视作差评，记录在案。</w:t>
      </w:r>
    </w:p>
    <w:p w14:paraId="5FA79515">
      <w:pPr>
        <w:widowControl w:val="0"/>
        <w:spacing w:line="480" w:lineRule="exact"/>
        <w:ind w:firstLine="480"/>
        <w:rPr>
          <w:rFonts w:ascii="宋体" w:hAnsi="宋体"/>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2</w:t>
      </w:r>
      <w:r>
        <w:rPr>
          <w:rFonts w:hint="eastAsia" w:ascii="宋体" w:hAnsi="宋体"/>
          <w:sz w:val="24"/>
          <w:szCs w:val="24"/>
          <w:highlight w:val="none"/>
        </w:rPr>
        <w:t>暂停交易资格</w:t>
      </w:r>
    </w:p>
    <w:p w14:paraId="1C64CF81">
      <w:pPr>
        <w:widowControl w:val="0"/>
        <w:spacing w:line="480" w:lineRule="exact"/>
        <w:ind w:firstLine="480"/>
        <w:rPr>
          <w:rFonts w:ascii="宋体" w:hAnsi="宋体"/>
          <w:sz w:val="24"/>
          <w:szCs w:val="24"/>
          <w:highlight w:val="none"/>
        </w:rPr>
      </w:pPr>
      <w:r>
        <w:rPr>
          <w:rFonts w:hint="eastAsia" w:ascii="宋体" w:hAnsi="宋体"/>
          <w:sz w:val="24"/>
          <w:szCs w:val="24"/>
          <w:highlight w:val="none"/>
        </w:rPr>
        <w:t>对拒不接受采购中心约谈，或者规定时间未按《责令整改通知书》完成整改的供应商，暂停其框架协议交易资格三个月，并在框架协议系统公示。</w:t>
      </w:r>
    </w:p>
    <w:p w14:paraId="4C9EB88A">
      <w:pPr>
        <w:widowControl w:val="0"/>
        <w:tabs>
          <w:tab w:val="left" w:pos="831"/>
        </w:tabs>
        <w:spacing w:line="480" w:lineRule="exact"/>
        <w:ind w:firstLine="480"/>
        <w:rPr>
          <w:rFonts w:ascii="宋体" w:hAnsi="宋体"/>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.3</w:t>
      </w:r>
      <w:r>
        <w:rPr>
          <w:rFonts w:hint="eastAsia" w:ascii="宋体" w:hAnsi="宋体"/>
          <w:sz w:val="24"/>
          <w:szCs w:val="24"/>
          <w:highlight w:val="none"/>
        </w:rPr>
        <w:t>终止交易资格</w:t>
      </w:r>
    </w:p>
    <w:p w14:paraId="437E1A8E">
      <w:pPr>
        <w:widowControl w:val="0"/>
        <w:spacing w:line="480" w:lineRule="exact"/>
        <w:ind w:firstLine="480"/>
        <w:rPr>
          <w:rFonts w:ascii="宋体" w:hAnsi="宋体"/>
          <w:sz w:val="24"/>
          <w:szCs w:val="24"/>
          <w:highlight w:val="none"/>
        </w:rPr>
      </w:pPr>
      <w:r>
        <w:rPr>
          <w:rFonts w:hint="eastAsia" w:ascii="宋体" w:hAnsi="宋体"/>
          <w:sz w:val="24"/>
          <w:szCs w:val="24"/>
          <w:highlight w:val="none"/>
        </w:rPr>
        <w:t>供应商在被发现存在恶意违规，造成严重后果，或在框架协议有效期内两次被开具《责令整改通知单》，解除当期框架协议，同时报请财政部门，列入供应商诚信档案。</w:t>
      </w:r>
    </w:p>
    <w:p w14:paraId="3DD554EC">
      <w:pPr>
        <w:widowControl w:val="0"/>
        <w:spacing w:line="480" w:lineRule="exact"/>
        <w:ind w:firstLine="643"/>
        <w:rPr>
          <w:rFonts w:eastAsia="仿宋" w:cs="Calibri"/>
          <w:b/>
          <w:sz w:val="32"/>
          <w:szCs w:val="32"/>
          <w:highlight w:val="none"/>
        </w:rPr>
      </w:pPr>
      <w:r>
        <w:rPr>
          <w:rFonts w:hint="eastAsia" w:eastAsia="仿宋" w:cs="Calibri"/>
          <w:b/>
          <w:sz w:val="32"/>
          <w:szCs w:val="32"/>
          <w:highlight w:val="none"/>
        </w:rPr>
        <w:t>七</w:t>
      </w:r>
      <w:r>
        <w:rPr>
          <w:rFonts w:eastAsia="仿宋" w:cs="Calibri"/>
          <w:b/>
          <w:sz w:val="32"/>
          <w:szCs w:val="32"/>
          <w:highlight w:val="none"/>
        </w:rPr>
        <w:t>、入围供应商服务要求</w:t>
      </w:r>
    </w:p>
    <w:p w14:paraId="025F31D2">
      <w:pPr>
        <w:widowControl w:val="0"/>
        <w:spacing w:line="480" w:lineRule="exact"/>
        <w:ind w:firstLine="480"/>
        <w:rPr>
          <w:rFonts w:ascii="宋体" w:hAnsi="宋体"/>
          <w:sz w:val="24"/>
          <w:szCs w:val="24"/>
          <w:highlight w:val="none"/>
        </w:rPr>
      </w:pPr>
      <w:r>
        <w:rPr>
          <w:rFonts w:ascii="宋体" w:hAnsi="宋体"/>
          <w:sz w:val="24"/>
          <w:szCs w:val="24"/>
          <w:highlight w:val="none"/>
        </w:rPr>
        <w:t>1、针对本项目成立服务小组，指派专人负责日常管理及联络工作。</w:t>
      </w:r>
    </w:p>
    <w:p w14:paraId="59444F70">
      <w:pPr>
        <w:widowControl w:val="0"/>
        <w:spacing w:line="480" w:lineRule="exact"/>
        <w:ind w:firstLine="480"/>
        <w:rPr>
          <w:rFonts w:ascii="宋体" w:hAnsi="宋体"/>
          <w:sz w:val="24"/>
          <w:szCs w:val="24"/>
          <w:highlight w:val="none"/>
        </w:rPr>
      </w:pPr>
      <w:r>
        <w:rPr>
          <w:rFonts w:hint="eastAsia" w:ascii="宋体" w:hAnsi="宋体"/>
          <w:sz w:val="24"/>
          <w:szCs w:val="24"/>
          <w:highlight w:val="none"/>
          <w:lang w:val="en-US" w:eastAsia="zh-CN"/>
        </w:rPr>
        <w:t>2</w:t>
      </w:r>
      <w:r>
        <w:rPr>
          <w:rFonts w:ascii="宋体" w:hAnsi="宋体"/>
          <w:sz w:val="24"/>
          <w:szCs w:val="24"/>
          <w:highlight w:val="none"/>
        </w:rPr>
        <w:t>、服从征集人管理要求，通过“苏采云”系统框架协议采购管理模块执行本次框架协议采购合同。</w:t>
      </w:r>
    </w:p>
    <w:p w14:paraId="19C0ECDC">
      <w:pPr>
        <w:widowControl w:val="0"/>
        <w:spacing w:line="480" w:lineRule="exact"/>
        <w:ind w:firstLine="480"/>
        <w:rPr>
          <w:rFonts w:ascii="宋体" w:hAnsi="宋体"/>
          <w:sz w:val="24"/>
          <w:szCs w:val="24"/>
          <w:highlight w:val="none"/>
        </w:rPr>
      </w:pPr>
      <w:r>
        <w:rPr>
          <w:rFonts w:hint="eastAsia" w:ascii="宋体" w:hAnsi="宋体"/>
          <w:sz w:val="24"/>
          <w:szCs w:val="24"/>
          <w:highlight w:val="none"/>
          <w:lang w:val="en-US" w:eastAsia="zh-CN"/>
        </w:rPr>
        <w:t>3</w:t>
      </w:r>
      <w:r>
        <w:rPr>
          <w:rFonts w:ascii="宋体" w:hAnsi="宋体"/>
          <w:sz w:val="24"/>
          <w:szCs w:val="24"/>
          <w:highlight w:val="none"/>
        </w:rPr>
        <w:t>、响应供应商提供的其他服务承诺。</w:t>
      </w:r>
    </w:p>
    <w:p w14:paraId="64DEA2AB">
      <w:pPr>
        <w:widowControl w:val="0"/>
        <w:spacing w:line="480" w:lineRule="exact"/>
        <w:ind w:firstLine="480"/>
        <w:rPr>
          <w:rFonts w:ascii="宋体" w:hAnsi="宋体"/>
          <w:sz w:val="24"/>
          <w:szCs w:val="24"/>
          <w:highlight w:val="none"/>
        </w:rPr>
      </w:pPr>
      <w:r>
        <w:rPr>
          <w:rFonts w:hint="eastAsia" w:ascii="宋体" w:hAnsi="宋体"/>
          <w:sz w:val="24"/>
          <w:szCs w:val="24"/>
          <w:highlight w:val="none"/>
          <w:lang w:val="en-US" w:eastAsia="zh-CN"/>
        </w:rPr>
        <w:t>4</w:t>
      </w:r>
      <w:r>
        <w:rPr>
          <w:rFonts w:ascii="宋体" w:hAnsi="宋体"/>
          <w:sz w:val="24"/>
          <w:szCs w:val="24"/>
          <w:highlight w:val="none"/>
        </w:rPr>
        <w:t>、入围供应商应按照框架协议管理相关规定，主动配合征集人和财政部门的管理，按照相关的要求实施框架协议采购，并应做好入围产品的信息维护、授权分支机构履约管理等工作。</w:t>
      </w:r>
    </w:p>
    <w:p w14:paraId="4E6D2081">
      <w:pPr>
        <w:widowControl w:val="0"/>
        <w:spacing w:line="480" w:lineRule="exact"/>
        <w:ind w:firstLine="480"/>
        <w:rPr>
          <w:rFonts w:ascii="宋体" w:hAnsi="宋体"/>
          <w:sz w:val="24"/>
          <w:szCs w:val="24"/>
          <w:highlight w:val="none"/>
        </w:rPr>
      </w:pPr>
      <w:r>
        <w:rPr>
          <w:rFonts w:hint="eastAsia" w:ascii="宋体" w:hAnsi="宋体"/>
          <w:sz w:val="24"/>
          <w:szCs w:val="24"/>
          <w:highlight w:val="none"/>
          <w:lang w:val="en-US" w:eastAsia="zh-CN"/>
        </w:rPr>
        <w:t>5</w:t>
      </w:r>
      <w:r>
        <w:rPr>
          <w:rFonts w:ascii="宋体" w:hAnsi="宋体"/>
          <w:sz w:val="24"/>
          <w:szCs w:val="24"/>
          <w:highlight w:val="none"/>
        </w:rPr>
        <w:t>、付款要求：按照采购人和入围供应商的合同约定。</w:t>
      </w:r>
    </w:p>
    <w:p w14:paraId="618E8567">
      <w:pPr>
        <w:spacing w:line="560" w:lineRule="exact"/>
        <w:ind w:firstLine="48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本项目所属其他未列明行业，根据《工业和信息化部、国家统计局、国家发展和改革委员会、财政部关于印发中小企业划型标准规定的通知》（工信部联企业[2011]300号）规定的划分标准填写。</w:t>
      </w:r>
    </w:p>
    <w:p w14:paraId="48EF0A46">
      <w:pPr>
        <w:spacing w:line="560" w:lineRule="exact"/>
        <w:ind w:firstLine="480"/>
        <w:rPr>
          <w:rFonts w:ascii="黑体" w:eastAsia="黑体"/>
          <w:bCs/>
          <w:sz w:val="44"/>
          <w:highlight w:val="none"/>
        </w:rPr>
      </w:pPr>
      <w:r>
        <w:rPr>
          <w:highlight w:val="none"/>
        </w:rPr>
        <w:br w:type="page" w:clear="all"/>
      </w:r>
      <w:bookmarkStart w:id="154" w:name="_Toc128039583"/>
    </w:p>
    <w:p w14:paraId="38C9696F">
      <w:pPr>
        <w:pStyle w:val="3"/>
        <w:rPr>
          <w:rFonts w:ascii="黑体" w:eastAsia="黑体"/>
          <w:bCs/>
          <w:sz w:val="44"/>
          <w:highlight w:val="none"/>
        </w:rPr>
      </w:pPr>
      <w:r>
        <w:rPr>
          <w:rFonts w:ascii="黑体" w:eastAsia="黑体"/>
          <w:bCs/>
          <w:sz w:val="44"/>
          <w:highlight w:val="none"/>
        </w:rPr>
        <w:t xml:space="preserve">第五章  </w:t>
      </w:r>
      <w:r>
        <w:rPr>
          <w:rFonts w:ascii="黑体" w:eastAsia="黑体"/>
          <w:b/>
          <w:bCs/>
          <w:sz w:val="44"/>
          <w:highlight w:val="none"/>
        </w:rPr>
        <w:t>确定入围及成交供应商</w:t>
      </w:r>
      <w:bookmarkEnd w:id="154"/>
    </w:p>
    <w:p w14:paraId="16F6BAA1">
      <w:pPr>
        <w:rPr>
          <w:highlight w:val="none"/>
        </w:rPr>
      </w:pPr>
    </w:p>
    <w:p w14:paraId="4A6B0A09">
      <w:pPr>
        <w:pStyle w:val="190"/>
        <w:ind w:firstLine="513"/>
        <w:jc w:val="both"/>
        <w:rPr>
          <w:b/>
          <w:sz w:val="28"/>
          <w:szCs w:val="28"/>
          <w:highlight w:val="none"/>
        </w:rPr>
      </w:pPr>
      <w:r>
        <w:rPr>
          <w:b/>
          <w:sz w:val="28"/>
          <w:szCs w:val="28"/>
          <w:highlight w:val="none"/>
        </w:rPr>
        <w:t>一、确定第一阶段入围供应商的评审方法</w:t>
      </w:r>
    </w:p>
    <w:p w14:paraId="4B83AE8B">
      <w:pPr>
        <w:pStyle w:val="190"/>
        <w:ind w:firstLine="439"/>
        <w:rPr>
          <w:rFonts w:hint="eastAsia"/>
          <w:highlight w:val="none"/>
        </w:rPr>
      </w:pPr>
      <w:r>
        <w:rPr>
          <w:highlight w:val="none"/>
        </w:rPr>
        <w:t>1、</w:t>
      </w:r>
      <w:r>
        <w:rPr>
          <w:rFonts w:hint="eastAsia"/>
          <w:highlight w:val="none"/>
        </w:rPr>
        <w:t>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7CE841B5">
      <w:pPr>
        <w:pStyle w:val="190"/>
        <w:ind w:firstLine="439"/>
        <w:rPr>
          <w:rFonts w:hint="eastAsia" w:eastAsiaTheme="minorEastAsia"/>
          <w:highlight w:val="none"/>
          <w:lang w:val="en-US" w:eastAsia="zh-CN"/>
        </w:rPr>
      </w:pPr>
      <w:r>
        <w:rPr>
          <w:rFonts w:hint="eastAsia"/>
          <w:highlight w:val="none"/>
          <w:lang w:val="en-US" w:eastAsia="zh-CN"/>
        </w:rPr>
        <w:t>报价一览表中的工时单价和材料经销差价率为必报项，供应商须根据计算公式算出综合计算得数，该综合计算得数为评审价，评标委员会按照评审价从</w:t>
      </w:r>
      <w:r>
        <w:rPr>
          <w:rFonts w:hint="eastAsia"/>
          <w:highlight w:val="none"/>
        </w:rPr>
        <w:t>低到高</w:t>
      </w:r>
      <w:r>
        <w:rPr>
          <w:rFonts w:hint="eastAsia"/>
          <w:highlight w:val="none"/>
          <w:lang w:val="en-US" w:eastAsia="zh-CN"/>
        </w:rPr>
        <w:t>进行</w:t>
      </w:r>
      <w:r>
        <w:rPr>
          <w:rFonts w:hint="eastAsia"/>
          <w:highlight w:val="none"/>
        </w:rPr>
        <w:t>排序</w:t>
      </w:r>
      <w:r>
        <w:rPr>
          <w:rFonts w:hint="eastAsia"/>
          <w:highlight w:val="none"/>
          <w:lang w:eastAsia="zh-CN"/>
        </w:rPr>
        <w:t>。</w:t>
      </w:r>
    </w:p>
    <w:p w14:paraId="6909EEE4">
      <w:pPr>
        <w:pStyle w:val="190"/>
        <w:numPr>
          <w:ilvl w:val="0"/>
          <w:numId w:val="0"/>
        </w:numPr>
        <w:ind w:firstLine="439" w:firstLineChars="0"/>
        <w:rPr>
          <w:rFonts w:hint="default" w:ascii="Arial" w:hAnsi="Arial" w:eastAsiaTheme="minorEastAsia" w:cstheme="minorBidi"/>
          <w:sz w:val="24"/>
          <w:szCs w:val="24"/>
          <w:lang w:val="en-US" w:eastAsia="zh-CN" w:bidi="ar-SA"/>
        </w:rPr>
      </w:pPr>
      <w:r>
        <w:rPr>
          <w:rFonts w:hint="default" w:ascii="Arial" w:hAnsi="Arial" w:eastAsiaTheme="minorEastAsia" w:cstheme="minorBidi"/>
          <w:sz w:val="24"/>
          <w:szCs w:val="24"/>
          <w:lang w:val="en-US" w:eastAsia="zh-CN" w:bidi="ar-SA"/>
        </w:rPr>
        <w:t>2、</w:t>
      </w:r>
      <w:r>
        <w:rPr>
          <w:rFonts w:hint="eastAsia" w:cs="Arial"/>
          <w:highlight w:val="none"/>
        </w:rPr>
        <w:t>入围供应商的淘汰比例</w:t>
      </w:r>
      <w:r>
        <w:rPr>
          <w:rFonts w:hint="eastAsia" w:cs="Arial"/>
          <w:highlight w:val="none"/>
          <w:lang w:val="en-US" w:eastAsia="zh-CN"/>
        </w:rPr>
        <w:t>为2</w:t>
      </w:r>
      <w:r>
        <w:rPr>
          <w:rFonts w:hint="eastAsia" w:cs="Arial"/>
          <w:highlight w:val="none"/>
        </w:rPr>
        <w:t>0%，淘汰家数按照逢点进位</w:t>
      </w:r>
      <w:r>
        <w:rPr>
          <w:rFonts w:hint="eastAsia" w:ascii="宋体" w:hAnsi="宋体"/>
          <w:sz w:val="24"/>
          <w:szCs w:val="24"/>
          <w:highlight w:val="none"/>
          <w:lang w:eastAsia="zh-CN"/>
        </w:rPr>
        <w:t>（如</w:t>
      </w:r>
      <w:r>
        <w:rPr>
          <w:rFonts w:hint="eastAsia" w:ascii="宋体" w:hAnsi="宋体"/>
          <w:sz w:val="24"/>
          <w:szCs w:val="24"/>
          <w:highlight w:val="none"/>
          <w:lang w:val="en-US" w:eastAsia="zh-CN"/>
        </w:rPr>
        <w:t>供应商共17家，按照淘汰比例计算得出3.4家，则淘汰4家；如供应商共20家，按照淘汰比例计算得出4家，则淘汰4家）</w:t>
      </w:r>
      <w:r>
        <w:rPr>
          <w:rFonts w:hint="eastAsia" w:cs="Arial"/>
          <w:highlight w:val="none"/>
        </w:rPr>
        <w:t>，且至少淘汰一家供应商</w:t>
      </w:r>
      <w:r>
        <w:rPr>
          <w:rFonts w:hint="eastAsia" w:cs="Arial"/>
          <w:highlight w:val="none"/>
          <w:lang w:eastAsia="zh-CN"/>
        </w:rPr>
        <w:t>，</w:t>
      </w:r>
      <w:r>
        <w:rPr>
          <w:rFonts w:ascii="宋体" w:hAnsi="宋体"/>
          <w:highlight w:val="none"/>
        </w:rPr>
        <w:t>提交响应文</w:t>
      </w:r>
      <w:r>
        <w:rPr>
          <w:rFonts w:hint="default" w:ascii="Arial" w:hAnsi="Arial" w:eastAsiaTheme="minorEastAsia" w:cstheme="minorBidi"/>
          <w:sz w:val="24"/>
          <w:szCs w:val="24"/>
          <w:lang w:val="en-US" w:eastAsia="zh-CN" w:bidi="ar-SA"/>
        </w:rPr>
        <w:t>件和符合资格条件、实质性要求的供应商少于2家时，采购活动终止。</w:t>
      </w:r>
    </w:p>
    <w:p w14:paraId="1CAFF516">
      <w:pPr>
        <w:pStyle w:val="190"/>
        <w:numPr>
          <w:ilvl w:val="0"/>
          <w:numId w:val="0"/>
        </w:numPr>
        <w:ind w:firstLine="439" w:firstLineChars="0"/>
        <w:rPr>
          <w:rFonts w:hint="default" w:ascii="Arial" w:hAnsi="Arial" w:eastAsiaTheme="minorEastAsia" w:cstheme="minorBidi"/>
          <w:b/>
          <w:bCs/>
          <w:sz w:val="24"/>
          <w:szCs w:val="24"/>
          <w:lang w:val="en-US" w:eastAsia="zh-CN" w:bidi="ar-SA"/>
        </w:rPr>
      </w:pPr>
      <w:r>
        <w:rPr>
          <w:rFonts w:hint="eastAsia" w:ascii="Arial" w:hAnsi="Arial" w:eastAsiaTheme="minorEastAsia" w:cstheme="minorBidi"/>
          <w:b/>
          <w:bCs/>
          <w:sz w:val="24"/>
          <w:szCs w:val="24"/>
          <w:lang w:val="en-US" w:eastAsia="zh-CN" w:bidi="ar-SA"/>
        </w:rPr>
        <w:t>注☆1、供应商的工时单价报价必须精确并保留小数点后两位，且小数点后两位不得为“00”元，评审价精确到小数点后两位（四舍五入），如供应商评审价相同，导致淘汰比例低于20%时，末位评审价相同的供应商均淘汰（例：供应商家数为20家×淘汰率20%=16家入围，如排名第16名和第17名的评审价相同时，则排名第16名和第17名供应商均被淘汰，以此类推）。</w:t>
      </w:r>
    </w:p>
    <w:p w14:paraId="61CAEF63">
      <w:pPr>
        <w:numPr>
          <w:ilvl w:val="0"/>
          <w:numId w:val="0"/>
        </w:numPr>
        <w:spacing w:line="560" w:lineRule="exact"/>
        <w:ind w:firstLine="48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政府采购政策功能落实</w:t>
      </w:r>
    </w:p>
    <w:p w14:paraId="2808B211">
      <w:pPr>
        <w:numPr>
          <w:ilvl w:val="0"/>
          <w:numId w:val="0"/>
        </w:numPr>
        <w:spacing w:line="560" w:lineRule="exact"/>
        <w:ind w:firstLine="48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1、小微型企业价格扣除</w:t>
      </w:r>
    </w:p>
    <w:p w14:paraId="4CD1CF2A">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（1）因本项目属专门面向中小企业采购项目，只接受中小微企业投标，故本项目在评审时，不再对小型和微型企业响应（投标）价格给予扣除，请各供应商予以关注。</w:t>
      </w:r>
    </w:p>
    <w:p w14:paraId="2A29ABCF">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（2）中小微企业供应商参加本项目政府采购活动的，应当按照采购文件的要求提供相应的《中小企业声明函》。除此之外，供应商无需提供《中小企业声明函》之外的中小企业身份证明文件。</w:t>
      </w:r>
    </w:p>
    <w:p w14:paraId="532D255A">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（3）企业标准请参照《关于印发中小企业划型标准规定的通知》（工信部联企业[2011]300号）文件规定自行填写。</w:t>
      </w:r>
    </w:p>
    <w:p w14:paraId="14CF057D">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2D0E785A">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3B94CD76">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2、★符合本采购文件优先采购 “环境标志产品”或“节能产品”的；必须提供“环境标志产品”或“节能产品”证明，否则不予认可。</w:t>
      </w:r>
    </w:p>
    <w:p w14:paraId="6A69E93F">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676822BC">
      <w:pPr>
        <w:numPr>
          <w:ilvl w:val="0"/>
          <w:numId w:val="0"/>
        </w:numPr>
        <w:spacing w:line="5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3、本文件中采购的商品包装要求应按照《关于印发&lt;商品包装政府采购需求标准（试行）&gt;、 &lt;快递包装政府采购需求标准（试行）&gt;的通知》（财办库〔2020〕123 号）执行。</w:t>
      </w:r>
    </w:p>
    <w:p w14:paraId="2F0A1971">
      <w:pPr>
        <w:pStyle w:val="190"/>
        <w:spacing w:line="400" w:lineRule="exact"/>
        <w:ind w:firstLine="419"/>
        <w:rPr>
          <w:rFonts w:hint="eastAsia" w:ascii="宋体" w:hAnsi="宋体"/>
          <w:b/>
          <w:sz w:val="28"/>
          <w:szCs w:val="28"/>
          <w:highlight w:val="none"/>
        </w:rPr>
      </w:pPr>
      <w:r>
        <w:rPr>
          <w:rFonts w:hint="eastAsia" w:ascii="宋体" w:hAnsi="宋体"/>
          <w:b/>
          <w:sz w:val="28"/>
          <w:szCs w:val="28"/>
          <w:highlight w:val="none"/>
        </w:rPr>
        <w:t>二</w:t>
      </w:r>
      <w:r>
        <w:rPr>
          <w:rFonts w:ascii="宋体" w:hAnsi="宋体"/>
          <w:b/>
          <w:sz w:val="28"/>
          <w:szCs w:val="28"/>
          <w:highlight w:val="none"/>
        </w:rPr>
        <w:t>、确定第二阶段成交供应商的方</w:t>
      </w:r>
      <w:r>
        <w:rPr>
          <w:rFonts w:hint="eastAsia" w:ascii="宋体" w:hAnsi="宋体"/>
          <w:b/>
          <w:sz w:val="28"/>
          <w:szCs w:val="28"/>
          <w:highlight w:val="none"/>
        </w:rPr>
        <w:t>式</w:t>
      </w:r>
    </w:p>
    <w:p w14:paraId="0146D04A">
      <w:pPr>
        <w:pStyle w:val="190"/>
        <w:spacing w:line="400" w:lineRule="exact"/>
        <w:ind w:firstLine="477"/>
        <w:rPr>
          <w:rFonts w:ascii="宋体" w:hAnsi="宋体"/>
          <w:highlight w:val="none"/>
        </w:rPr>
      </w:pPr>
      <w:r>
        <w:rPr>
          <w:rFonts w:hint="eastAsia" w:ascii="宋体" w:hAnsi="宋体"/>
          <w:highlight w:val="none"/>
        </w:rPr>
        <w:t>1.确定第二阶段成交供应商的方式为</w:t>
      </w:r>
      <w:r>
        <w:rPr>
          <w:rFonts w:ascii="宋体" w:hAnsi="宋体"/>
          <w:highlight w:val="none"/>
        </w:rPr>
        <w:t>直接选定。</w:t>
      </w:r>
      <w:r>
        <w:rPr>
          <w:rFonts w:hint="eastAsia" w:ascii="宋体" w:hAnsi="宋体"/>
          <w:highlight w:val="none"/>
        </w:rPr>
        <w:t>由采购人或者服务对象依据入围产品价格、质量以及服务便利性、用户评价等因素，从第一阶段入围供应商中直接选定。第一阶段</w:t>
      </w:r>
      <w:r>
        <w:rPr>
          <w:rFonts w:ascii="宋体" w:hAnsi="宋体"/>
          <w:highlight w:val="none"/>
        </w:rPr>
        <w:t>入围供应商的</w:t>
      </w:r>
      <w:r>
        <w:rPr>
          <w:rFonts w:hint="eastAsia" w:ascii="宋体" w:hAnsi="宋体"/>
          <w:highlight w:val="none"/>
        </w:rPr>
        <w:t>协议</w:t>
      </w:r>
      <w:r>
        <w:rPr>
          <w:rFonts w:ascii="宋体" w:hAnsi="宋体"/>
          <w:highlight w:val="none"/>
        </w:rPr>
        <w:t>价格</w:t>
      </w:r>
      <w:r>
        <w:rPr>
          <w:rFonts w:hint="eastAsia" w:ascii="宋体" w:hAnsi="宋体"/>
          <w:highlight w:val="none"/>
        </w:rPr>
        <w:t>是</w:t>
      </w:r>
      <w:r>
        <w:rPr>
          <w:rFonts w:ascii="宋体" w:hAnsi="宋体"/>
          <w:highlight w:val="none"/>
        </w:rPr>
        <w:t>采购人确定第二</w:t>
      </w:r>
      <w:r>
        <w:rPr>
          <w:rFonts w:hint="eastAsia" w:ascii="宋体" w:hAnsi="宋体"/>
          <w:highlight w:val="none"/>
        </w:rPr>
        <w:t>阶段成交</w:t>
      </w:r>
      <w:r>
        <w:rPr>
          <w:rFonts w:ascii="宋体" w:hAnsi="宋体"/>
          <w:highlight w:val="none"/>
        </w:rPr>
        <w:t>供应商的最高</w:t>
      </w:r>
      <w:r>
        <w:rPr>
          <w:rFonts w:hint="eastAsia" w:ascii="宋体" w:hAnsi="宋体"/>
          <w:highlight w:val="none"/>
        </w:rPr>
        <w:t>限价</w:t>
      </w:r>
      <w:r>
        <w:rPr>
          <w:rFonts w:ascii="宋体" w:hAnsi="宋体"/>
          <w:highlight w:val="none"/>
        </w:rPr>
        <w:t>。</w:t>
      </w:r>
    </w:p>
    <w:p w14:paraId="0909F880">
      <w:pPr>
        <w:pStyle w:val="190"/>
        <w:spacing w:line="400" w:lineRule="exact"/>
        <w:ind w:firstLine="477"/>
        <w:rPr>
          <w:rFonts w:ascii="宋体" w:hAnsi="宋体"/>
          <w:highlight w:val="none"/>
        </w:rPr>
      </w:pPr>
      <w:r>
        <w:rPr>
          <w:rFonts w:hint="eastAsia" w:ascii="宋体" w:hAnsi="宋体"/>
          <w:highlight w:val="none"/>
        </w:rPr>
        <w:t>2.采购人在</w:t>
      </w:r>
      <w:r>
        <w:rPr>
          <w:rFonts w:ascii="宋体" w:hAnsi="宋体"/>
          <w:highlight w:val="none"/>
        </w:rPr>
        <w:t>确定成交</w:t>
      </w:r>
      <w:r>
        <w:rPr>
          <w:rFonts w:hint="eastAsia" w:ascii="宋体" w:hAnsi="宋体"/>
          <w:highlight w:val="none"/>
        </w:rPr>
        <w:t>供应商</w:t>
      </w:r>
      <w:r>
        <w:rPr>
          <w:rFonts w:ascii="宋体" w:hAnsi="宋体"/>
          <w:highlight w:val="none"/>
        </w:rPr>
        <w:t>后，</w:t>
      </w:r>
      <w:r>
        <w:rPr>
          <w:rFonts w:hint="eastAsia" w:ascii="宋体" w:hAnsi="宋体"/>
          <w:highlight w:val="none"/>
        </w:rPr>
        <w:t>双方</w:t>
      </w:r>
      <w:r>
        <w:rPr>
          <w:rFonts w:ascii="宋体" w:hAnsi="宋体"/>
          <w:highlight w:val="none"/>
        </w:rPr>
        <w:t>应当按照</w:t>
      </w:r>
      <w:r>
        <w:rPr>
          <w:rFonts w:hint="eastAsia" w:ascii="宋体" w:hAnsi="宋体"/>
          <w:highlight w:val="none"/>
        </w:rPr>
        <w:t>框架协议</w:t>
      </w:r>
      <w:r>
        <w:rPr>
          <w:rFonts w:ascii="宋体" w:hAnsi="宋体"/>
          <w:highlight w:val="none"/>
        </w:rPr>
        <w:t>中规定的</w:t>
      </w:r>
      <w:r>
        <w:rPr>
          <w:rFonts w:hint="eastAsia" w:ascii="宋体" w:hAnsi="宋体"/>
          <w:highlight w:val="none"/>
        </w:rPr>
        <w:t>“采购</w:t>
      </w:r>
      <w:r>
        <w:rPr>
          <w:rFonts w:ascii="宋体" w:hAnsi="宋体"/>
          <w:highlight w:val="none"/>
        </w:rPr>
        <w:t>合同文本</w:t>
      </w:r>
      <w:r>
        <w:rPr>
          <w:rFonts w:hint="eastAsia" w:ascii="宋体" w:hAnsi="宋体"/>
          <w:highlight w:val="none"/>
        </w:rPr>
        <w:t>”格式</w:t>
      </w:r>
      <w:r>
        <w:rPr>
          <w:rFonts w:ascii="宋体" w:hAnsi="宋体"/>
          <w:highlight w:val="none"/>
        </w:rPr>
        <w:t>签订</w:t>
      </w:r>
      <w:r>
        <w:rPr>
          <w:rFonts w:hint="eastAsia" w:ascii="宋体" w:hAnsi="宋体"/>
          <w:highlight w:val="none"/>
        </w:rPr>
        <w:t>电子</w:t>
      </w:r>
      <w:r>
        <w:rPr>
          <w:rFonts w:ascii="宋体" w:hAnsi="宋体"/>
          <w:highlight w:val="none"/>
        </w:rPr>
        <w:t>采购合同，</w:t>
      </w:r>
      <w:r>
        <w:rPr>
          <w:rFonts w:hint="eastAsia" w:ascii="宋体" w:hAnsi="宋体"/>
          <w:highlight w:val="none"/>
        </w:rPr>
        <w:t>不得擅自改变框架协议约定的合同实质性条款。</w:t>
      </w:r>
    </w:p>
    <w:p w14:paraId="04F8F954">
      <w:pPr>
        <w:rPr>
          <w:rFonts w:ascii="黑体" w:eastAsia="黑体"/>
          <w:bCs/>
          <w:sz w:val="44"/>
          <w:highlight w:val="none"/>
        </w:rPr>
      </w:pPr>
      <w:bookmarkStart w:id="155" w:name="_Toc128039584"/>
    </w:p>
    <w:p w14:paraId="0EBC0B4C">
      <w:pPr>
        <w:rPr>
          <w:rFonts w:ascii="黑体" w:eastAsia="黑体"/>
          <w:bCs/>
          <w:sz w:val="44"/>
          <w:highlight w:val="none"/>
        </w:rPr>
      </w:pPr>
      <w:r>
        <w:rPr>
          <w:rFonts w:ascii="黑体" w:eastAsia="黑体"/>
          <w:bCs/>
          <w:sz w:val="44"/>
          <w:highlight w:val="none"/>
        </w:rPr>
        <w:br w:type="page" w:clear="all"/>
      </w:r>
    </w:p>
    <w:p w14:paraId="2ED893AE">
      <w:pPr>
        <w:ind w:firstLine="440"/>
        <w:jc w:val="center"/>
        <w:rPr>
          <w:rFonts w:ascii="黑体" w:eastAsia="黑体"/>
          <w:bCs/>
          <w:sz w:val="44"/>
          <w:highlight w:val="none"/>
        </w:rPr>
      </w:pPr>
      <w:r>
        <w:rPr>
          <w:rFonts w:ascii="黑体" w:eastAsia="黑体"/>
          <w:bCs/>
          <w:sz w:val="44"/>
          <w:highlight w:val="none"/>
        </w:rPr>
        <w:t>第六章  响应文件格式</w:t>
      </w:r>
      <w:bookmarkEnd w:id="155"/>
    </w:p>
    <w:p w14:paraId="31F319AC">
      <w:pPr>
        <w:jc w:val="center"/>
        <w:rPr>
          <w:rFonts w:ascii="宋体" w:hAnsi="宋体"/>
          <w:b/>
          <w:sz w:val="72"/>
          <w:highlight w:val="none"/>
        </w:rPr>
      </w:pPr>
      <w:bookmarkStart w:id="156" w:name="_Hlt26955039"/>
      <w:bookmarkEnd w:id="156"/>
      <w:bookmarkStart w:id="157" w:name="_Hlt26671244"/>
      <w:bookmarkEnd w:id="157"/>
    </w:p>
    <w:p w14:paraId="1C628C54">
      <w:pPr>
        <w:jc w:val="center"/>
        <w:rPr>
          <w:rFonts w:ascii="宋体" w:hAnsi="宋体"/>
          <w:b/>
          <w:sz w:val="72"/>
          <w:highlight w:val="none"/>
        </w:rPr>
      </w:pPr>
      <w:r>
        <w:rPr>
          <w:rFonts w:ascii="宋体" w:hAnsi="宋体"/>
          <w:b/>
          <w:sz w:val="72"/>
          <w:highlight w:val="none"/>
        </w:rPr>
        <w:t>响  应  文  件</w:t>
      </w:r>
    </w:p>
    <w:p w14:paraId="565408B4">
      <w:pPr>
        <w:jc w:val="center"/>
        <w:rPr>
          <w:rFonts w:ascii="宋体" w:hAnsi="宋体"/>
          <w:b/>
          <w:sz w:val="72"/>
          <w:highlight w:val="none"/>
        </w:rPr>
      </w:pPr>
    </w:p>
    <w:p w14:paraId="087C88F1">
      <w:pPr>
        <w:jc w:val="center"/>
        <w:rPr>
          <w:rFonts w:ascii="宋体" w:hAnsi="宋体"/>
          <w:b/>
          <w:sz w:val="72"/>
          <w:highlight w:val="none"/>
        </w:rPr>
      </w:pPr>
    </w:p>
    <w:p w14:paraId="086FC460">
      <w:pPr>
        <w:jc w:val="center"/>
        <w:rPr>
          <w:rFonts w:ascii="宋体" w:hAnsi="宋体"/>
          <w:b/>
          <w:sz w:val="36"/>
          <w:highlight w:val="none"/>
        </w:rPr>
      </w:pPr>
    </w:p>
    <w:p w14:paraId="42386263">
      <w:pPr>
        <w:jc w:val="center"/>
        <w:rPr>
          <w:rFonts w:ascii="宋体" w:hAnsi="宋体"/>
          <w:b/>
          <w:sz w:val="36"/>
          <w:highlight w:val="none"/>
        </w:rPr>
      </w:pPr>
    </w:p>
    <w:p w14:paraId="4171A59A">
      <w:pPr>
        <w:jc w:val="center"/>
        <w:rPr>
          <w:rFonts w:ascii="宋体" w:hAnsi="宋体"/>
          <w:b/>
          <w:sz w:val="36"/>
          <w:highlight w:val="none"/>
        </w:rPr>
      </w:pPr>
    </w:p>
    <w:p w14:paraId="5AABEA4B">
      <w:pPr>
        <w:ind w:firstLine="1081"/>
        <w:rPr>
          <w:rFonts w:ascii="宋体" w:hAnsi="宋体"/>
          <w:b/>
          <w:sz w:val="36"/>
          <w:highlight w:val="none"/>
        </w:rPr>
      </w:pPr>
      <w:r>
        <w:rPr>
          <w:rFonts w:ascii="宋体" w:hAnsi="宋体"/>
          <w:b/>
          <w:sz w:val="36"/>
          <w:highlight w:val="none"/>
        </w:rPr>
        <w:t>项 目 名 称：</w:t>
      </w:r>
      <w:r>
        <w:rPr>
          <w:rFonts w:ascii="宋体" w:hAnsi="宋体"/>
          <w:b/>
          <w:sz w:val="36"/>
          <w:highlight w:val="none"/>
          <w:u w:val="single"/>
        </w:rPr>
        <w:t xml:space="preserve">               </w:t>
      </w:r>
    </w:p>
    <w:p w14:paraId="19E9D5D1">
      <w:pPr>
        <w:ind w:firstLine="1081"/>
        <w:rPr>
          <w:rFonts w:ascii="宋体" w:hAnsi="宋体"/>
          <w:b/>
          <w:sz w:val="36"/>
          <w:highlight w:val="none"/>
          <w:u w:val="single"/>
        </w:rPr>
      </w:pPr>
      <w:r>
        <w:rPr>
          <w:rFonts w:ascii="宋体" w:hAnsi="宋体"/>
          <w:b/>
          <w:sz w:val="36"/>
          <w:highlight w:val="none"/>
        </w:rPr>
        <w:t>项 目 编 号：</w:t>
      </w:r>
      <w:r>
        <w:rPr>
          <w:rFonts w:ascii="宋体" w:hAnsi="宋体"/>
          <w:b/>
          <w:sz w:val="36"/>
          <w:highlight w:val="none"/>
          <w:u w:val="single"/>
        </w:rPr>
        <w:t xml:space="preserve">               </w:t>
      </w:r>
    </w:p>
    <w:p w14:paraId="54EF03F2">
      <w:pPr>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（加盖CA电子公章）</w:t>
      </w:r>
    </w:p>
    <w:p w14:paraId="629270F0">
      <w:pPr>
        <w:rPr>
          <w:rFonts w:ascii="宋体" w:hAnsi="宋体"/>
          <w:b/>
          <w:sz w:val="36"/>
          <w:highlight w:val="none"/>
          <w:u w:val="single"/>
        </w:rPr>
      </w:pPr>
      <w:r>
        <w:rPr>
          <w:rFonts w:ascii="宋体" w:hAnsi="宋体"/>
          <w:b/>
          <w:sz w:val="36"/>
          <w:highlight w:val="none"/>
        </w:rPr>
        <w:t xml:space="preserve">      日      期 ：</w:t>
      </w:r>
      <w:r>
        <w:rPr>
          <w:rFonts w:ascii="宋体" w:hAnsi="宋体"/>
          <w:b/>
          <w:sz w:val="36"/>
          <w:highlight w:val="none"/>
          <w:u w:val="single"/>
        </w:rPr>
        <w:t xml:space="preserve">               </w:t>
      </w:r>
    </w:p>
    <w:p w14:paraId="4A016C7D">
      <w:pPr>
        <w:spacing w:line="440" w:lineRule="exact"/>
        <w:jc w:val="center"/>
        <w:rPr>
          <w:rFonts w:ascii="宋体" w:hAnsi="宋体"/>
          <w:b/>
          <w:bCs/>
          <w:sz w:val="32"/>
          <w:szCs w:val="32"/>
          <w:highlight w:val="none"/>
        </w:rPr>
      </w:pPr>
    </w:p>
    <w:p w14:paraId="5FAF37CF">
      <w:pPr>
        <w:rPr>
          <w:rFonts w:ascii="宋体" w:hAnsi="宋体"/>
          <w:sz w:val="24"/>
          <w:szCs w:val="24"/>
          <w:highlight w:val="none"/>
        </w:rPr>
      </w:pPr>
      <w:r>
        <w:rPr>
          <w:rFonts w:ascii="宋体" w:hAnsi="宋体"/>
          <w:sz w:val="24"/>
          <w:szCs w:val="24"/>
          <w:highlight w:val="none"/>
        </w:rPr>
        <w:br w:type="page" w:clear="all"/>
      </w:r>
    </w:p>
    <w:p w14:paraId="0D5C3056">
      <w:pPr>
        <w:spacing w:line="440" w:lineRule="exact"/>
        <w:jc w:val="center"/>
        <w:rPr>
          <w:rFonts w:ascii="宋体" w:hAnsi="宋体"/>
          <w:b/>
          <w:bCs/>
          <w:sz w:val="32"/>
          <w:szCs w:val="32"/>
          <w:highlight w:val="none"/>
        </w:rPr>
      </w:pPr>
      <w:r>
        <w:rPr>
          <w:rFonts w:ascii="宋体" w:hAnsi="宋体"/>
          <w:b/>
          <w:bCs/>
          <w:sz w:val="32"/>
          <w:szCs w:val="32"/>
          <w:highlight w:val="none"/>
        </w:rPr>
        <w:t>响应文件目录</w:t>
      </w:r>
    </w:p>
    <w:p w14:paraId="58C4FF3F">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1E89371E">
      <w:pPr>
        <w:pStyle w:val="30"/>
        <w:spacing w:beforeAutospacing="0" w:afterAutospacing="0"/>
        <w:ind w:left="480"/>
        <w:jc w:val="both"/>
        <w:rPr>
          <w:rFonts w:hint="default" w:ascii="宋体" w:hAnsi="宋体" w:eastAsia="宋体" w:cs="宋体"/>
          <w:i w:val="0"/>
          <w:iCs/>
          <w:color w:val="auto"/>
          <w:highlight w:val="none"/>
          <w:u w:val="none"/>
          <w:lang w:val="en-US"/>
        </w:rPr>
      </w:pPr>
      <w:r>
        <w:rPr>
          <w:rFonts w:hint="eastAsia" w:ascii="宋体" w:hAnsi="宋体" w:eastAsia="宋体" w:cs="宋体"/>
          <w:i w:val="0"/>
          <w:iCs/>
          <w:color w:val="auto"/>
          <w:highlight w:val="none"/>
          <w:u w:val="none"/>
          <w:lang w:val="en-US" w:eastAsia="zh-CN"/>
        </w:rPr>
        <w:t>二、上一年度的财务状况报告（至少提供资产负债表、利润表、现金流量表，成立不满一年无需提供）</w:t>
      </w:r>
    </w:p>
    <w:p w14:paraId="3E6CFF9F">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4E8E4053">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909B828">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w:t>
      </w:r>
      <w:r>
        <w:rPr>
          <w:rFonts w:hint="eastAsia" w:ascii="宋体" w:hAnsi="宋体" w:eastAsia="宋体" w:cs="宋体"/>
          <w:i w:val="0"/>
          <w:iCs/>
          <w:color w:val="auto"/>
          <w:highlight w:val="none"/>
          <w:u w:val="none"/>
          <w:lang w:val="en-US" w:eastAsia="zh-CN"/>
        </w:rPr>
        <w:t>3</w:t>
      </w:r>
      <w:r>
        <w:rPr>
          <w:rFonts w:hint="eastAsia" w:ascii="宋体" w:hAnsi="宋体" w:eastAsia="宋体" w:cs="宋体"/>
          <w:i w:val="0"/>
          <w:iCs/>
          <w:color w:val="auto"/>
          <w:highlight w:val="none"/>
          <w:u w:val="none"/>
        </w:rPr>
        <w:t>年内在经营活动中没有重大违法记录的书面声明</w:t>
      </w:r>
    </w:p>
    <w:p w14:paraId="20994BEF">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w:t>
      </w:r>
    </w:p>
    <w:p w14:paraId="0DE2FFAB">
      <w:pPr>
        <w:pStyle w:val="30"/>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rPr>
        <w:t>非独立法人参与响应的，需提供上级法人单位的授权文件。</w:t>
      </w:r>
      <w:r>
        <w:rPr>
          <w:rFonts w:hint="eastAsia" w:ascii="宋体" w:hAnsi="宋体" w:eastAsia="宋体" w:cs="宋体"/>
          <w:i w:val="0"/>
          <w:iCs/>
          <w:color w:val="auto"/>
          <w:highlight w:val="none"/>
          <w:u w:val="none"/>
          <w:lang w:val="en-US" w:eastAsia="zh-CN"/>
        </w:rPr>
        <w:t xml:space="preserve">   </w:t>
      </w:r>
    </w:p>
    <w:p w14:paraId="753BB366">
      <w:pPr>
        <w:pStyle w:val="30"/>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A标段：供应商具有道路运输管理机构许可或备案维修企业资质在有效期内的二类汽车（含二类）及以上维修企业，并承诺在服务期限内具备该资质，承诺函格式自拟。</w:t>
      </w:r>
    </w:p>
    <w:p w14:paraId="5E5C7E23">
      <w:pPr>
        <w:pStyle w:val="30"/>
        <w:numPr>
          <w:ilvl w:val="0"/>
          <w:numId w:val="4"/>
        </w:numPr>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D标段：供应商必须具有道路运输管理机构许可或备案维修企业资质在有效期内的二类汽车（含二类）及以上维修企业、具备对应的汽车厂家授权售后服务资格，并承诺在服务期限内具备该资质，承诺函格式自拟。</w:t>
      </w:r>
    </w:p>
    <w:p w14:paraId="670CA3DD">
      <w:pPr>
        <w:pStyle w:val="30"/>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七、法人授权书</w:t>
      </w:r>
    </w:p>
    <w:p w14:paraId="36A9F69D">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八、</w:t>
      </w:r>
      <w:r>
        <w:rPr>
          <w:rFonts w:hint="eastAsia" w:ascii="宋体" w:hAnsi="宋体" w:eastAsia="宋体" w:cs="宋体"/>
          <w:i w:val="0"/>
          <w:iCs/>
          <w:color w:val="auto"/>
          <w:highlight w:val="none"/>
          <w:u w:val="none"/>
          <w:lang w:val="en-US" w:eastAsia="zh-CN"/>
        </w:rPr>
        <w:t>响应</w:t>
      </w:r>
      <w:r>
        <w:rPr>
          <w:rFonts w:hint="eastAsia" w:ascii="宋体" w:hAnsi="宋体" w:eastAsia="宋体" w:cs="宋体"/>
          <w:i w:val="0"/>
          <w:iCs/>
          <w:color w:val="auto"/>
          <w:highlight w:val="none"/>
          <w:u w:val="none"/>
        </w:rPr>
        <w:t>函</w:t>
      </w:r>
    </w:p>
    <w:p w14:paraId="16D7EE53">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424883D">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5D68C966">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val="en-US" w:eastAsia="zh-CN"/>
        </w:rPr>
        <w:t>符合性性要求</w:t>
      </w:r>
      <w:r>
        <w:rPr>
          <w:rFonts w:hint="eastAsia" w:ascii="宋体" w:hAnsi="宋体" w:eastAsia="宋体" w:cs="宋体"/>
          <w:i w:val="0"/>
          <w:iCs/>
          <w:color w:val="auto"/>
          <w:highlight w:val="none"/>
          <w:u w:val="none"/>
        </w:rPr>
        <w:t>响应及偏离表</w:t>
      </w:r>
    </w:p>
    <w:p w14:paraId="7E5FE4BF">
      <w:pPr>
        <w:pStyle w:val="30"/>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cs="宋体"/>
          <w:i w:val="0"/>
          <w:iCs/>
          <w:color w:val="auto"/>
          <w:highlight w:val="none"/>
          <w:u w:val="none"/>
          <w:lang w:val="en-US" w:eastAsia="zh-CN"/>
        </w:rPr>
        <w:t>二</w:t>
      </w:r>
      <w:r>
        <w:rPr>
          <w:rFonts w:hint="eastAsia" w:ascii="宋体" w:hAnsi="宋体" w:eastAsia="宋体" w:cs="宋体"/>
          <w:i w:val="0"/>
          <w:iCs/>
          <w:color w:val="auto"/>
          <w:highlight w:val="none"/>
          <w:u w:val="none"/>
        </w:rPr>
        <w:t>、</w:t>
      </w:r>
      <w:r>
        <w:rPr>
          <w:rFonts w:hint="eastAsia" w:eastAsia="宋体" w:cs="宋体"/>
          <w:i w:val="0"/>
          <w:iCs/>
          <w:color w:val="auto"/>
          <w:highlight w:val="none"/>
          <w:u w:val="none"/>
          <w:lang w:val="en-US" w:eastAsia="zh-CN"/>
        </w:rPr>
        <w:t>报价</w:t>
      </w:r>
      <w:r>
        <w:rPr>
          <w:rFonts w:hint="eastAsia" w:ascii="宋体" w:hAnsi="宋体" w:eastAsia="宋体" w:cs="宋体"/>
          <w:i w:val="0"/>
          <w:iCs/>
          <w:color w:val="auto"/>
          <w:highlight w:val="none"/>
          <w:u w:val="none"/>
        </w:rPr>
        <w:t>一览表</w:t>
      </w:r>
    </w:p>
    <w:p w14:paraId="7E1A967E">
      <w:pPr>
        <w:pStyle w:val="41"/>
        <w:ind w:firstLine="480"/>
        <w:rPr>
          <w:rFonts w:hint="eastAsia" w:ascii="宋体" w:hAnsi="宋体"/>
          <w:sz w:val="24"/>
          <w:highlight w:val="none"/>
          <w:lang w:val="en-US" w:eastAsia="zh-CN"/>
        </w:rPr>
      </w:pPr>
      <w:r>
        <w:rPr>
          <w:rFonts w:hint="eastAsia" w:ascii="宋体" w:hAnsi="宋体"/>
          <w:sz w:val="24"/>
          <w:highlight w:val="none"/>
          <w:lang w:val="en-US" w:eastAsia="zh-CN"/>
        </w:rPr>
        <w:t>十三、汽车维修企业状况一览表</w:t>
      </w:r>
    </w:p>
    <w:p w14:paraId="09899CC4">
      <w:pPr>
        <w:pStyle w:val="41"/>
        <w:ind w:firstLine="480"/>
        <w:rPr>
          <w:rFonts w:hint="default" w:eastAsiaTheme="minorEastAsia"/>
          <w:highlight w:val="none"/>
          <w:lang w:val="en-US" w:eastAsia="zh-CN"/>
        </w:rPr>
      </w:pPr>
      <w:r>
        <w:rPr>
          <w:rFonts w:hint="eastAsia"/>
          <w:sz w:val="24"/>
          <w:highlight w:val="none"/>
          <w:lang w:val="en-US" w:eastAsia="zh-CN"/>
        </w:rPr>
        <w:t>十四、征集</w:t>
      </w:r>
      <w:bookmarkStart w:id="164" w:name="_GoBack"/>
      <w:bookmarkEnd w:id="164"/>
      <w:r>
        <w:rPr>
          <w:rFonts w:hint="eastAsia"/>
          <w:sz w:val="24"/>
          <w:highlight w:val="none"/>
          <w:lang w:val="en-US" w:eastAsia="zh-CN"/>
        </w:rPr>
        <w:t>文件中需要提供的其他材料</w:t>
      </w:r>
    </w:p>
    <w:p w14:paraId="7F13DAF5">
      <w:pPr>
        <w:spacing w:line="440" w:lineRule="exact"/>
        <w:ind w:firstLine="480"/>
        <w:rPr>
          <w:rFonts w:hint="eastAsia" w:ascii="宋体" w:hAnsi="宋体"/>
          <w:sz w:val="24"/>
          <w:highlight w:val="none"/>
          <w:lang w:val="en-US" w:eastAsia="zh-CN"/>
        </w:rPr>
      </w:pPr>
      <w:r>
        <w:rPr>
          <w:rFonts w:hint="eastAsia" w:ascii="宋体" w:hAnsi="宋体"/>
          <w:sz w:val="24"/>
          <w:highlight w:val="none"/>
          <w:lang w:val="en-US" w:eastAsia="zh-CN"/>
        </w:rPr>
        <w:t>十五</w:t>
      </w:r>
      <w:r>
        <w:rPr>
          <w:rFonts w:hint="eastAsia" w:ascii="宋体" w:hAnsi="宋体"/>
          <w:sz w:val="24"/>
          <w:highlight w:val="none"/>
        </w:rPr>
        <w:t>、质量保证书</w:t>
      </w:r>
    </w:p>
    <w:p w14:paraId="5226A1A1">
      <w:pPr>
        <w:pStyle w:val="30"/>
        <w:spacing w:beforeAutospacing="0" w:afterAutospacing="0"/>
        <w:ind w:left="480"/>
        <w:jc w:val="both"/>
        <w:rPr>
          <w:rFonts w:hint="eastAsia" w:ascii="宋体" w:hAnsi="宋体" w:eastAsia="宋体" w:cs="宋体"/>
          <w:sz w:val="24"/>
          <w:szCs w:val="24"/>
          <w:highlight w:val="none"/>
        </w:rPr>
      </w:pPr>
      <w:r>
        <w:rPr>
          <w:rFonts w:hint="eastAsia" w:eastAsia="宋体" w:cs="宋体"/>
          <w:i w:val="0"/>
          <w:iCs/>
          <w:color w:val="auto"/>
          <w:highlight w:val="none"/>
          <w:u w:val="none"/>
          <w:lang w:val="en-US" w:eastAsia="zh-CN"/>
        </w:rPr>
        <w:t>十六</w:t>
      </w:r>
      <w:r>
        <w:rPr>
          <w:rFonts w:hint="eastAsia" w:ascii="宋体" w:hAnsi="宋体" w:eastAsia="宋体" w:cs="宋体"/>
          <w:i w:val="0"/>
          <w:iCs/>
          <w:color w:val="auto"/>
          <w:highlight w:val="none"/>
          <w:u w:val="none"/>
        </w:rPr>
        <w:t>、盐城市政府采购事前信用承诺书</w:t>
      </w:r>
    </w:p>
    <w:p w14:paraId="5D0715D7">
      <w:pPr>
        <w:rPr>
          <w:rFonts w:ascii="宋体" w:hAnsi="宋体"/>
          <w:b/>
          <w:bCs/>
          <w:sz w:val="32"/>
          <w:szCs w:val="32"/>
          <w:highlight w:val="none"/>
        </w:rPr>
      </w:pPr>
    </w:p>
    <w:p w14:paraId="168E577C">
      <w:pPr>
        <w:rPr>
          <w:rFonts w:ascii="黑体" w:hAnsi="黑体" w:eastAsia="黑体"/>
          <w:i/>
          <w:sz w:val="32"/>
          <w:szCs w:val="32"/>
          <w:highlight w:val="none"/>
          <w:u w:val="single"/>
        </w:rPr>
      </w:pPr>
    </w:p>
    <w:p w14:paraId="74CE0635">
      <w:pPr>
        <w:spacing w:line="460" w:lineRule="exact"/>
        <w:rPr>
          <w:rFonts w:ascii="宋体" w:hAnsi="宋体"/>
          <w:sz w:val="24"/>
          <w:highlight w:val="none"/>
        </w:rPr>
      </w:pPr>
      <w:r>
        <w:rPr>
          <w:rFonts w:ascii="宋体" w:hAnsi="宋体"/>
          <w:sz w:val="24"/>
          <w:highlight w:val="none"/>
        </w:rPr>
        <w:t xml:space="preserve">  </w:t>
      </w:r>
      <w:bookmarkStart w:id="158" w:name="_Toc120614284"/>
    </w:p>
    <w:p w14:paraId="6255ED6C">
      <w:pPr>
        <w:rPr>
          <w:rFonts w:ascii="宋体" w:hAnsi="宋体"/>
          <w:sz w:val="24"/>
          <w:highlight w:val="none"/>
        </w:rPr>
      </w:pPr>
      <w:r>
        <w:rPr>
          <w:rFonts w:ascii="宋体" w:hAnsi="宋体"/>
          <w:sz w:val="24"/>
          <w:highlight w:val="none"/>
        </w:rPr>
        <w:br w:type="page" w:clear="all"/>
      </w:r>
    </w:p>
    <w:p w14:paraId="06BB9E74">
      <w:pPr>
        <w:pStyle w:val="30"/>
        <w:spacing w:beforeAutospacing="0" w:afterAutospacing="0"/>
        <w:jc w:val="both"/>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60EC772C">
      <w:pPr>
        <w:rPr>
          <w:color w:val="auto"/>
          <w:highlight w:val="none"/>
        </w:rPr>
      </w:pPr>
    </w:p>
    <w:p w14:paraId="0DE5B535">
      <w:pPr>
        <w:rPr>
          <w:color w:val="auto"/>
          <w:highlight w:val="none"/>
        </w:rPr>
      </w:pPr>
    </w:p>
    <w:p w14:paraId="39A7A303">
      <w:pPr>
        <w:rPr>
          <w:color w:val="auto"/>
          <w:highlight w:val="none"/>
        </w:rPr>
      </w:pPr>
    </w:p>
    <w:p w14:paraId="1B366743">
      <w:pPr>
        <w:rPr>
          <w:color w:val="auto"/>
          <w:highlight w:val="none"/>
        </w:rPr>
      </w:pPr>
    </w:p>
    <w:p w14:paraId="2D0815C3">
      <w:pPr>
        <w:rPr>
          <w:color w:val="auto"/>
          <w:highlight w:val="none"/>
        </w:rPr>
      </w:pPr>
    </w:p>
    <w:p w14:paraId="679EE2B3">
      <w:pPr>
        <w:rPr>
          <w:color w:val="auto"/>
          <w:highlight w:val="none"/>
        </w:rPr>
      </w:pPr>
    </w:p>
    <w:p w14:paraId="41DAFE09">
      <w:pPr>
        <w:rPr>
          <w:color w:val="auto"/>
          <w:highlight w:val="none"/>
        </w:rPr>
      </w:pPr>
    </w:p>
    <w:p w14:paraId="274E9E22">
      <w:pPr>
        <w:rPr>
          <w:color w:val="auto"/>
          <w:highlight w:val="none"/>
        </w:rPr>
      </w:pPr>
    </w:p>
    <w:p w14:paraId="1CB7EA1E">
      <w:pPr>
        <w:rPr>
          <w:color w:val="auto"/>
          <w:highlight w:val="none"/>
        </w:rPr>
      </w:pPr>
    </w:p>
    <w:p w14:paraId="77DA0738">
      <w:pPr>
        <w:rPr>
          <w:color w:val="auto"/>
          <w:highlight w:val="none"/>
        </w:rPr>
      </w:pPr>
    </w:p>
    <w:p w14:paraId="7518A415">
      <w:pPr>
        <w:rPr>
          <w:color w:val="auto"/>
          <w:highlight w:val="none"/>
        </w:rPr>
      </w:pPr>
    </w:p>
    <w:p w14:paraId="364BB77D">
      <w:pPr>
        <w:rPr>
          <w:color w:val="auto"/>
          <w:highlight w:val="none"/>
        </w:rPr>
      </w:pPr>
    </w:p>
    <w:p w14:paraId="3927F0B0">
      <w:pPr>
        <w:rPr>
          <w:color w:val="auto"/>
          <w:highlight w:val="none"/>
        </w:rPr>
      </w:pPr>
    </w:p>
    <w:p w14:paraId="18A12EA6">
      <w:pPr>
        <w:rPr>
          <w:color w:val="auto"/>
          <w:highlight w:val="none"/>
        </w:rPr>
      </w:pPr>
    </w:p>
    <w:p w14:paraId="26E765CF">
      <w:pPr>
        <w:rPr>
          <w:color w:val="auto"/>
          <w:highlight w:val="none"/>
        </w:rPr>
      </w:pPr>
    </w:p>
    <w:p w14:paraId="184D711D">
      <w:pPr>
        <w:rPr>
          <w:color w:val="auto"/>
          <w:highlight w:val="none"/>
        </w:rPr>
      </w:pPr>
    </w:p>
    <w:p w14:paraId="01E583BC">
      <w:pPr>
        <w:rPr>
          <w:color w:val="auto"/>
          <w:highlight w:val="none"/>
        </w:rPr>
      </w:pPr>
    </w:p>
    <w:p w14:paraId="3CF0B2B6">
      <w:pPr>
        <w:rPr>
          <w:color w:val="auto"/>
          <w:highlight w:val="none"/>
        </w:rPr>
      </w:pPr>
    </w:p>
    <w:p w14:paraId="11084983">
      <w:pPr>
        <w:rPr>
          <w:color w:val="auto"/>
          <w:highlight w:val="none"/>
        </w:rPr>
      </w:pPr>
    </w:p>
    <w:p w14:paraId="57D408C1">
      <w:pPr>
        <w:rPr>
          <w:color w:val="auto"/>
          <w:highlight w:val="none"/>
        </w:rPr>
      </w:pPr>
    </w:p>
    <w:p w14:paraId="41E6CCD8">
      <w:pPr>
        <w:rPr>
          <w:color w:val="auto"/>
          <w:highlight w:val="none"/>
        </w:rPr>
      </w:pPr>
    </w:p>
    <w:p w14:paraId="1161773C">
      <w:pPr>
        <w:rPr>
          <w:color w:val="auto"/>
          <w:highlight w:val="none"/>
        </w:rPr>
      </w:pPr>
    </w:p>
    <w:p w14:paraId="425065EC">
      <w:pPr>
        <w:rPr>
          <w:color w:val="auto"/>
          <w:highlight w:val="none"/>
        </w:rPr>
      </w:pPr>
    </w:p>
    <w:p w14:paraId="1243B003">
      <w:pPr>
        <w:rPr>
          <w:color w:val="auto"/>
          <w:highlight w:val="none"/>
        </w:rPr>
      </w:pPr>
    </w:p>
    <w:p w14:paraId="3C66C9C7">
      <w:pPr>
        <w:rPr>
          <w:color w:val="auto"/>
          <w:highlight w:val="none"/>
        </w:rPr>
      </w:pPr>
    </w:p>
    <w:p w14:paraId="633F4185">
      <w:pPr>
        <w:rPr>
          <w:color w:val="auto"/>
          <w:highlight w:val="none"/>
        </w:rPr>
      </w:pPr>
    </w:p>
    <w:p w14:paraId="5EA2F78A">
      <w:pPr>
        <w:rPr>
          <w:color w:val="auto"/>
          <w:highlight w:val="none"/>
        </w:rPr>
      </w:pPr>
    </w:p>
    <w:p w14:paraId="1456179A">
      <w:pPr>
        <w:rPr>
          <w:color w:val="auto"/>
          <w:highlight w:val="none"/>
        </w:rPr>
      </w:pPr>
    </w:p>
    <w:p w14:paraId="11B4DBC5">
      <w:pPr>
        <w:rPr>
          <w:color w:val="auto"/>
          <w:highlight w:val="none"/>
        </w:rPr>
      </w:pPr>
    </w:p>
    <w:p w14:paraId="3A5AAC3B">
      <w:pPr>
        <w:rPr>
          <w:color w:val="auto"/>
          <w:highlight w:val="none"/>
        </w:rPr>
      </w:pPr>
    </w:p>
    <w:p w14:paraId="33A05EB4">
      <w:pPr>
        <w:rPr>
          <w:color w:val="auto"/>
          <w:highlight w:val="none"/>
        </w:rPr>
      </w:pPr>
    </w:p>
    <w:p w14:paraId="702C4105">
      <w:pPr>
        <w:rPr>
          <w:color w:val="auto"/>
          <w:highlight w:val="none"/>
        </w:rPr>
      </w:pPr>
    </w:p>
    <w:p w14:paraId="4BC1E816">
      <w:pPr>
        <w:rPr>
          <w:color w:val="auto"/>
          <w:highlight w:val="none"/>
        </w:rPr>
      </w:pPr>
    </w:p>
    <w:p w14:paraId="278A4891">
      <w:pPr>
        <w:rPr>
          <w:color w:val="auto"/>
          <w:highlight w:val="none"/>
        </w:rPr>
      </w:pPr>
    </w:p>
    <w:p w14:paraId="1939B81A">
      <w:pPr>
        <w:rPr>
          <w:color w:val="auto"/>
          <w:highlight w:val="none"/>
        </w:rPr>
      </w:pPr>
    </w:p>
    <w:p w14:paraId="5D3BAAA5">
      <w:pPr>
        <w:rPr>
          <w:color w:val="auto"/>
          <w:highlight w:val="none"/>
        </w:rPr>
      </w:pPr>
    </w:p>
    <w:p w14:paraId="2FD1136B">
      <w:pPr>
        <w:rPr>
          <w:color w:val="auto"/>
          <w:highlight w:val="none"/>
        </w:rPr>
      </w:pPr>
    </w:p>
    <w:p w14:paraId="08BCC87F">
      <w:pPr>
        <w:rPr>
          <w:color w:val="auto"/>
          <w:highlight w:val="none"/>
        </w:rPr>
      </w:pPr>
    </w:p>
    <w:p w14:paraId="2FB52CDF">
      <w:pPr>
        <w:rPr>
          <w:color w:val="auto"/>
          <w:highlight w:val="none"/>
        </w:rPr>
      </w:pPr>
    </w:p>
    <w:p w14:paraId="471DEA05">
      <w:pPr>
        <w:rPr>
          <w:color w:val="auto"/>
          <w:highlight w:val="none"/>
        </w:rPr>
      </w:pPr>
    </w:p>
    <w:p w14:paraId="5D633E7E">
      <w:pPr>
        <w:rPr>
          <w:color w:val="auto"/>
          <w:highlight w:val="none"/>
        </w:rPr>
      </w:pPr>
    </w:p>
    <w:p w14:paraId="02F55887">
      <w:pPr>
        <w:rPr>
          <w:color w:val="auto"/>
          <w:highlight w:val="none"/>
        </w:rPr>
      </w:pPr>
    </w:p>
    <w:p w14:paraId="63F4622F">
      <w:pPr>
        <w:rPr>
          <w:color w:val="auto"/>
          <w:highlight w:val="none"/>
        </w:rPr>
      </w:pPr>
    </w:p>
    <w:p w14:paraId="29137F0F">
      <w:pPr>
        <w:rPr>
          <w:color w:val="auto"/>
          <w:highlight w:val="none"/>
        </w:rPr>
      </w:pPr>
    </w:p>
    <w:p w14:paraId="3A021482">
      <w:pPr>
        <w:rPr>
          <w:color w:val="auto"/>
          <w:highlight w:val="none"/>
        </w:rPr>
      </w:pPr>
    </w:p>
    <w:p w14:paraId="715953B4">
      <w:pPr>
        <w:rPr>
          <w:color w:val="auto"/>
          <w:highlight w:val="none"/>
        </w:rPr>
      </w:pPr>
    </w:p>
    <w:p w14:paraId="347985B3">
      <w:pPr>
        <w:rPr>
          <w:color w:val="auto"/>
          <w:highlight w:val="none"/>
        </w:rPr>
      </w:pPr>
    </w:p>
    <w:p w14:paraId="1F51CE2E">
      <w:pPr>
        <w:rPr>
          <w:color w:val="auto"/>
          <w:highlight w:val="none"/>
        </w:rPr>
      </w:pPr>
    </w:p>
    <w:p w14:paraId="69754AB5">
      <w:pPr>
        <w:rPr>
          <w:color w:val="auto"/>
          <w:highlight w:val="none"/>
        </w:rPr>
      </w:pPr>
      <w:r>
        <w:rPr>
          <w:color w:val="auto"/>
          <w:highlight w:val="none"/>
        </w:rPr>
        <w:t> </w:t>
      </w:r>
    </w:p>
    <w:p w14:paraId="5EB5D6CB">
      <w:pPr>
        <w:pStyle w:val="30"/>
        <w:spacing w:beforeAutospacing="0" w:afterAutospacing="0"/>
        <w:jc w:val="both"/>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告（至少提供现金流量表、资产负债表、利润表）</w:t>
      </w:r>
    </w:p>
    <w:p w14:paraId="29DF81AD">
      <w:pPr>
        <w:pStyle w:val="30"/>
        <w:spacing w:beforeAutospacing="0" w:afterAutospacing="0"/>
        <w:jc w:val="both"/>
        <w:rPr>
          <w:color w:val="auto"/>
          <w:highlight w:val="none"/>
        </w:rPr>
      </w:pPr>
      <w:r>
        <w:rPr>
          <w:rFonts w:hint="eastAsia" w:ascii="宋体" w:hAnsi="宋体" w:eastAsia="宋体" w:cs="宋体"/>
          <w:color w:val="auto"/>
          <w:highlight w:val="none"/>
        </w:rPr>
        <w:t>投标人成立不满一年不需提供</w:t>
      </w:r>
    </w:p>
    <w:p w14:paraId="7C6BB4D5">
      <w:pPr>
        <w:rPr>
          <w:rFonts w:hint="eastAsia" w:ascii="黑体" w:hAnsi="宋体" w:eastAsia="黑体" w:cs="黑体"/>
          <w:i/>
          <w:color w:val="auto"/>
          <w:sz w:val="32"/>
          <w:szCs w:val="32"/>
          <w:highlight w:val="none"/>
          <w:u w:val="single"/>
          <w:lang w:val="en-US" w:eastAsia="zh-CN"/>
        </w:rPr>
      </w:pPr>
    </w:p>
    <w:p w14:paraId="6A025656">
      <w:pPr>
        <w:pStyle w:val="30"/>
        <w:spacing w:beforeAutospacing="0" w:afterAutospacing="0"/>
        <w:jc w:val="both"/>
        <w:rPr>
          <w:rFonts w:hint="default" w:ascii="黑体" w:hAnsi="宋体" w:eastAsia="黑体" w:cs="黑体"/>
          <w:i/>
          <w:color w:val="auto"/>
          <w:sz w:val="32"/>
          <w:szCs w:val="32"/>
          <w:highlight w:val="none"/>
          <w:u w:val="single"/>
          <w:lang w:val="en-US" w:eastAsia="zh-CN"/>
        </w:rPr>
      </w:pPr>
    </w:p>
    <w:p w14:paraId="098856DD">
      <w:pPr>
        <w:pStyle w:val="30"/>
        <w:spacing w:beforeAutospacing="0" w:afterAutospacing="0"/>
        <w:jc w:val="both"/>
        <w:rPr>
          <w:color w:val="auto"/>
          <w:highlight w:val="none"/>
        </w:rPr>
      </w:pPr>
    </w:p>
    <w:p w14:paraId="1B2AC528">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p>
    <w:p w14:paraId="1854FB83">
      <w:pPr>
        <w:pStyle w:val="3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w:t>
      </w:r>
      <w:r>
        <w:rPr>
          <w:rFonts w:hint="eastAsia" w:ascii="黑体" w:hAnsi="宋体" w:eastAsia="黑体" w:cs="黑体"/>
          <w:i/>
          <w:color w:val="auto"/>
          <w:sz w:val="32"/>
          <w:szCs w:val="32"/>
          <w:highlight w:val="none"/>
          <w:u w:val="single"/>
          <w:lang w:val="en-US" w:eastAsia="zh-CN"/>
        </w:rPr>
        <w:t>技术</w:t>
      </w:r>
      <w:r>
        <w:rPr>
          <w:rFonts w:hint="eastAsia" w:ascii="黑体" w:hAnsi="宋体" w:eastAsia="黑体" w:cs="黑体"/>
          <w:i/>
          <w:color w:val="auto"/>
          <w:sz w:val="32"/>
          <w:szCs w:val="32"/>
          <w:highlight w:val="none"/>
          <w:u w:val="single"/>
        </w:rPr>
        <w:t>能力的书面声明</w:t>
      </w:r>
    </w:p>
    <w:p w14:paraId="5817EC14">
      <w:pPr>
        <w:pStyle w:val="3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C6EE558">
      <w:pPr>
        <w:pStyle w:val="3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CA79D99">
      <w:pPr>
        <w:pStyle w:val="30"/>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5784E8B">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p>
    <w:p w14:paraId="01F48671">
      <w:pPr>
        <w:pStyle w:val="30"/>
        <w:spacing w:beforeAutospacing="0" w:afterAutospacing="0"/>
        <w:jc w:val="center"/>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21309B">
      <w:pPr>
        <w:pStyle w:val="30"/>
        <w:spacing w:beforeAutospacing="0" w:afterAutospacing="0"/>
        <w:ind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507586DC">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p>
    <w:p w14:paraId="40D2A696">
      <w:pPr>
        <w:pStyle w:val="3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3025D1D5">
      <w:pPr>
        <w:pStyle w:val="30"/>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759A7A49">
      <w:pPr>
        <w:pStyle w:val="30"/>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4E0C12A">
      <w:pPr>
        <w:pStyle w:val="30"/>
        <w:spacing w:beforeAutospacing="0" w:afterAutospacing="0"/>
        <w:jc w:val="both"/>
        <w:rPr>
          <w:color w:val="auto"/>
          <w:highlight w:val="none"/>
        </w:rPr>
      </w:pPr>
      <w:r>
        <w:rPr>
          <w:color w:val="auto"/>
          <w:highlight w:val="none"/>
        </w:rPr>
        <w:t> </w:t>
      </w:r>
    </w:p>
    <w:p w14:paraId="4729AEC4">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p>
    <w:p w14:paraId="2FC163FE">
      <w:pPr>
        <w:pStyle w:val="3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六、特定资格要求的证明文件</w:t>
      </w:r>
    </w:p>
    <w:p w14:paraId="62889323">
      <w:pPr>
        <w:pStyle w:val="30"/>
        <w:spacing w:beforeAutospacing="0" w:afterAutospacing="0" w:line="0" w:lineRule="atLeast"/>
        <w:jc w:val="center"/>
        <w:rPr>
          <w:color w:val="auto"/>
          <w:highlight w:val="none"/>
        </w:rPr>
      </w:pPr>
      <w:r>
        <w:rPr>
          <w:rFonts w:hint="eastAsia" w:ascii="宋体" w:hAnsi="宋体" w:eastAsia="宋体" w:cs="宋体"/>
          <w:color w:val="auto"/>
          <w:highlight w:val="none"/>
        </w:rPr>
        <w:t>如果本项目申请人的特定资格要求中要求提供的，必须提供。</w:t>
      </w:r>
    </w:p>
    <w:p w14:paraId="2C684643">
      <w:pPr>
        <w:pStyle w:val="30"/>
        <w:spacing w:beforeAutospacing="0" w:afterAutospacing="0" w:line="0" w:lineRule="atLeast"/>
        <w:jc w:val="both"/>
        <w:rPr>
          <w:color w:val="auto"/>
          <w:highlight w:val="none"/>
        </w:rPr>
      </w:pPr>
      <w:r>
        <w:rPr>
          <w:color w:val="auto"/>
          <w:highlight w:val="none"/>
        </w:rPr>
        <w:t> </w:t>
      </w:r>
    </w:p>
    <w:p w14:paraId="11390722">
      <w:pPr>
        <w:rPr>
          <w:highlight w:val="none"/>
        </w:rPr>
      </w:pPr>
      <w:r>
        <w:rPr>
          <w:highlight w:val="none"/>
        </w:rPr>
        <w:br w:type="page" w:clear="all"/>
      </w:r>
    </w:p>
    <w:p w14:paraId="0BB5612D">
      <w:pPr>
        <w:rPr>
          <w:highlight w:val="none"/>
        </w:rPr>
      </w:pPr>
    </w:p>
    <w:p w14:paraId="45C2C8A7">
      <w:pPr>
        <w:pStyle w:val="3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7E382B2C">
      <w:pPr>
        <w:pStyle w:val="193"/>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本授权书声明：____________（供应商名称）授权________________（被授权人的姓名）为我方就</w:t>
      </w:r>
      <w:r>
        <w:rPr>
          <w:rFonts w:hint="eastAsia" w:ascii="宋体" w:hAnsi="宋体" w:eastAsiaTheme="minorEastAsia" w:cstheme="minorBidi"/>
          <w:sz w:val="24"/>
          <w:szCs w:val="24"/>
          <w:highlight w:val="none"/>
          <w:lang w:val="en-US" w:eastAsia="zh-CN" w:bidi="ar-SA"/>
        </w:rPr>
        <w:t xml:space="preserve">   </w:t>
      </w:r>
      <w:r>
        <w:rPr>
          <w:rFonts w:ascii="宋体" w:hAnsi="宋体" w:eastAsiaTheme="minorEastAsia" w:cstheme="minorBidi"/>
          <w:sz w:val="24"/>
          <w:szCs w:val="24"/>
          <w:highlight w:val="none"/>
          <w:lang w:val="en-US" w:eastAsia="zh-CN" w:bidi="ar-SA"/>
        </w:rPr>
        <w:t>号项目框架协议采购活动的合法代理人，以本单位名义全权处理一切与该项目采购有关的事务。</w:t>
      </w:r>
    </w:p>
    <w:p w14:paraId="06CC5FA3">
      <w:pPr>
        <w:pStyle w:val="193"/>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本授权书于______年____月____日起生效，特此声明。</w:t>
      </w:r>
    </w:p>
    <w:p w14:paraId="794256B3">
      <w:pPr>
        <w:pStyle w:val="193"/>
        <w:ind w:firstLine="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被授权人身份证号码：                              </w:t>
      </w:r>
    </w:p>
    <w:p w14:paraId="75F056ED">
      <w:pPr>
        <w:pStyle w:val="193"/>
        <w:ind w:firstLine="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被授权人联系电话：（手机）                          </w:t>
      </w:r>
    </w:p>
    <w:p w14:paraId="2BB1EEB3">
      <w:pPr>
        <w:pStyle w:val="193"/>
        <w:ind w:firstLine="120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授权单位名称：（加盖CA电子公章）</w:t>
      </w:r>
    </w:p>
    <w:p w14:paraId="3743A241">
      <w:pPr>
        <w:pStyle w:val="193"/>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单位地址：                                         </w:t>
      </w:r>
    </w:p>
    <w:p w14:paraId="207DFF98">
      <w:pPr>
        <w:pStyle w:val="193"/>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日期：</w:t>
      </w:r>
      <w:bookmarkStart w:id="159" w:name="_格式3__银行出具的资信证明"/>
      <w:bookmarkEnd w:id="159"/>
      <w:bookmarkStart w:id="160" w:name="_Hlt26671380"/>
      <w:bookmarkEnd w:id="160"/>
      <w:bookmarkStart w:id="161" w:name="_Hlt26955070"/>
      <w:bookmarkEnd w:id="161"/>
      <w:r>
        <w:rPr>
          <w:rFonts w:ascii="宋体" w:hAnsi="宋体" w:eastAsiaTheme="minorEastAsia" w:cstheme="minorBidi"/>
          <w:sz w:val="24"/>
          <w:szCs w:val="24"/>
          <w:highlight w:val="none"/>
          <w:lang w:val="en-US" w:eastAsia="zh-CN" w:bidi="ar-SA"/>
        </w:rPr>
        <w:t xml:space="preserve">                                         </w:t>
      </w:r>
    </w:p>
    <w:p w14:paraId="093CFF8E">
      <w:pPr>
        <w:pStyle w:val="193"/>
        <w:ind w:firstLine="480"/>
        <w:rPr>
          <w:rFonts w:ascii="宋体" w:hAnsi="宋体" w:eastAsiaTheme="minorEastAsia" w:cstheme="minorBidi"/>
          <w:sz w:val="24"/>
          <w:szCs w:val="24"/>
          <w:highlight w:val="none"/>
          <w:lang w:val="en-US" w:eastAsia="zh-CN" w:bidi="ar-SA"/>
        </w:rPr>
      </w:pPr>
    </w:p>
    <w:p w14:paraId="4733520B">
      <w:pPr>
        <w:jc w:val="center"/>
        <w:outlineLvl w:val="0"/>
        <w:rPr>
          <w:rFonts w:ascii="宋体" w:hAnsi="宋体"/>
          <w:b/>
          <w:sz w:val="32"/>
          <w:szCs w:val="32"/>
          <w:highlight w:val="none"/>
        </w:rPr>
      </w:pPr>
      <w:bookmarkStart w:id="162" w:name="_Toc87696341"/>
      <w:r>
        <w:rPr>
          <w:rFonts w:hint="eastAsia" w:ascii="宋体" w:hAnsi="宋体"/>
          <w:b/>
          <w:sz w:val="32"/>
          <w:szCs w:val="32"/>
          <w:highlight w:val="none"/>
        </w:rPr>
        <w:t>上级法人单位针对本项目授权文件</w:t>
      </w:r>
      <w:bookmarkEnd w:id="162"/>
    </w:p>
    <w:p w14:paraId="1BB17D20">
      <w:pPr>
        <w:jc w:val="center"/>
        <w:outlineLvl w:val="0"/>
        <w:rPr>
          <w:rFonts w:ascii="宋体" w:hAnsi="宋体"/>
          <w:b/>
          <w:sz w:val="32"/>
          <w:szCs w:val="32"/>
          <w:highlight w:val="none"/>
        </w:rPr>
      </w:pPr>
      <w:bookmarkStart w:id="163" w:name="_Toc87696342"/>
      <w:r>
        <w:rPr>
          <w:rFonts w:hint="eastAsia" w:ascii="宋体" w:hAnsi="宋体"/>
          <w:b/>
          <w:sz w:val="32"/>
          <w:szCs w:val="32"/>
          <w:highlight w:val="none"/>
        </w:rPr>
        <w:t>（非独立法人响应需提供）</w:t>
      </w:r>
      <w:bookmarkEnd w:id="163"/>
    </w:p>
    <w:p w14:paraId="73D37269">
      <w:pPr>
        <w:spacing w:line="360" w:lineRule="auto"/>
        <w:rPr>
          <w:rFonts w:ascii="仿宋_GB2312" w:eastAsia="仿宋_GB2312" w:cs="仿宋_GB2312"/>
          <w:sz w:val="24"/>
          <w:highlight w:val="none"/>
          <w:lang w:val="zh-CN"/>
        </w:rPr>
      </w:pPr>
    </w:p>
    <w:p w14:paraId="40A72C89">
      <w:pPr>
        <w:spacing w:line="240" w:lineRule="atLeast"/>
        <w:ind w:left="426" w:firstLine="480"/>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我单位是         的上级法人单位，我单位同意由该单位在</w:t>
      </w:r>
      <w:r>
        <w:rPr>
          <w:rFonts w:hint="eastAsia" w:ascii="宋体" w:hAnsi="宋体" w:cstheme="minorBidi"/>
          <w:sz w:val="24"/>
          <w:szCs w:val="24"/>
          <w:highlight w:val="none"/>
          <w:lang w:val="en-US" w:eastAsia="zh-CN" w:bidi="ar-SA"/>
        </w:rPr>
        <w:t xml:space="preserve">   </w:t>
      </w:r>
      <w:r>
        <w:rPr>
          <w:rFonts w:hint="eastAsia" w:ascii="宋体" w:hAnsi="宋体" w:eastAsiaTheme="minorEastAsia" w:cstheme="minorBidi"/>
          <w:sz w:val="24"/>
          <w:szCs w:val="24"/>
          <w:highlight w:val="none"/>
          <w:lang w:val="en-US" w:eastAsia="zh-CN" w:bidi="ar-SA"/>
        </w:rPr>
        <w:t>号亭湖区行政事业单位2027-2028年度公务用车维保服务框架协议采购项目中提供具体维修和保养服务。在本次征集活动和签订、履行政府采购合同中出现的所有法律责任，均由我单位和该服务单位共同承担。</w:t>
      </w:r>
    </w:p>
    <w:p w14:paraId="7ECE7D2D">
      <w:pPr>
        <w:spacing w:line="240" w:lineRule="atLeast"/>
        <w:ind w:left="141"/>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  </w:t>
      </w:r>
    </w:p>
    <w:p w14:paraId="016B438D">
      <w:pPr>
        <w:spacing w:line="240" w:lineRule="atLeast"/>
        <w:ind w:left="141"/>
        <w:rPr>
          <w:rFonts w:ascii="宋体" w:hAnsi="宋体" w:eastAsiaTheme="minorEastAsia" w:cstheme="minorBidi"/>
          <w:sz w:val="24"/>
          <w:szCs w:val="24"/>
          <w:highlight w:val="none"/>
          <w:lang w:val="en-US" w:eastAsia="zh-CN" w:bidi="ar-SA"/>
        </w:rPr>
      </w:pPr>
    </w:p>
    <w:p w14:paraId="271A2CD3">
      <w:pPr>
        <w:spacing w:line="240" w:lineRule="atLeast"/>
        <w:ind w:left="141"/>
        <w:rPr>
          <w:rFonts w:ascii="宋体" w:hAnsi="宋体" w:eastAsiaTheme="minorEastAsia" w:cstheme="minorBidi"/>
          <w:sz w:val="24"/>
          <w:szCs w:val="24"/>
          <w:highlight w:val="none"/>
          <w:lang w:val="en-US" w:eastAsia="zh-CN" w:bidi="ar-SA"/>
        </w:rPr>
      </w:pPr>
    </w:p>
    <w:p w14:paraId="3A0746A2">
      <w:pPr>
        <w:spacing w:line="240" w:lineRule="atLeast"/>
        <w:ind w:left="141"/>
        <w:jc w:val="center"/>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授权人（公章）：</w:t>
      </w:r>
    </w:p>
    <w:p w14:paraId="49DB2891">
      <w:pPr>
        <w:spacing w:line="240" w:lineRule="atLeast"/>
        <w:ind w:firstLine="3360"/>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法定代表人：</w:t>
      </w:r>
    </w:p>
    <w:p w14:paraId="32E21A49">
      <w:pPr>
        <w:spacing w:line="240" w:lineRule="atLeast"/>
        <w:ind w:left="141" w:firstLine="282"/>
        <w:jc w:val="center"/>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被授权人（公章）：</w:t>
      </w:r>
    </w:p>
    <w:p w14:paraId="4A917BDB">
      <w:pPr>
        <w:spacing w:line="240" w:lineRule="atLeast"/>
        <w:ind w:left="993" w:firstLine="2400"/>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负责人：</w:t>
      </w:r>
    </w:p>
    <w:p w14:paraId="7C060258">
      <w:pPr>
        <w:spacing w:line="360" w:lineRule="auto"/>
        <w:ind w:firstLine="42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ab/>
      </w:r>
      <w:r>
        <w:rPr>
          <w:rFonts w:hint="eastAsia" w:ascii="宋体" w:hAnsi="宋体" w:eastAsiaTheme="minorEastAsia" w:cstheme="minorBidi"/>
          <w:sz w:val="24"/>
          <w:szCs w:val="24"/>
          <w:highlight w:val="none"/>
          <w:lang w:val="en-US" w:eastAsia="zh-CN" w:bidi="ar-SA"/>
        </w:rPr>
        <w:t xml:space="preserve">                     日期：202</w:t>
      </w:r>
      <w:r>
        <w:rPr>
          <w:rFonts w:hint="eastAsia" w:ascii="宋体" w:hAnsi="宋体" w:cstheme="minorBidi"/>
          <w:sz w:val="24"/>
          <w:szCs w:val="24"/>
          <w:highlight w:val="none"/>
          <w:lang w:val="en-US" w:eastAsia="zh-CN" w:bidi="ar-SA"/>
        </w:rPr>
        <w:t>6</w:t>
      </w:r>
      <w:r>
        <w:rPr>
          <w:rFonts w:hint="eastAsia" w:ascii="宋体" w:hAnsi="宋体" w:eastAsiaTheme="minorEastAsia" w:cstheme="minorBidi"/>
          <w:sz w:val="24"/>
          <w:szCs w:val="24"/>
          <w:highlight w:val="none"/>
          <w:lang w:val="en-US" w:eastAsia="zh-CN" w:bidi="ar-SA"/>
        </w:rPr>
        <w:t>年  月   日</w:t>
      </w:r>
    </w:p>
    <w:p w14:paraId="5E3100DB">
      <w:pPr>
        <w:pStyle w:val="193"/>
        <w:ind w:firstLine="480"/>
        <w:rPr>
          <w:rFonts w:ascii="宋体" w:hAnsi="宋体" w:eastAsiaTheme="minorEastAsia" w:cstheme="minorBidi"/>
          <w:sz w:val="24"/>
          <w:szCs w:val="24"/>
          <w:highlight w:val="none"/>
          <w:lang w:val="en-US" w:eastAsia="zh-CN" w:bidi="ar-SA"/>
        </w:rPr>
      </w:pPr>
    </w:p>
    <w:p w14:paraId="5005D16D">
      <w:pPr>
        <w:pStyle w:val="193"/>
        <w:ind w:firstLine="480"/>
        <w:rPr>
          <w:sz w:val="24"/>
          <w:szCs w:val="24"/>
          <w:highlight w:val="none"/>
          <w:u w:val="single"/>
        </w:rPr>
      </w:pPr>
    </w:p>
    <w:p w14:paraId="2976B9EC">
      <w:pPr>
        <w:pStyle w:val="5"/>
        <w:rPr>
          <w:i/>
          <w:sz w:val="24"/>
          <w:szCs w:val="24"/>
          <w:highlight w:val="none"/>
          <w:u w:val="single"/>
          <w:lang w:eastAsia="zh-CN"/>
        </w:rPr>
      </w:pPr>
    </w:p>
    <w:p w14:paraId="302FA08C">
      <w:pPr>
        <w:pStyle w:val="5"/>
        <w:ind w:firstLine="0"/>
        <w:rPr>
          <w:highlight w:val="none"/>
          <w:lang w:eastAsia="zh-CN"/>
        </w:rPr>
      </w:pPr>
    </w:p>
    <w:p w14:paraId="24C4F7FA">
      <w:pPr>
        <w:spacing w:line="460" w:lineRule="exact"/>
        <w:rPr>
          <w:rFonts w:ascii="宋体" w:hAnsi="宋体"/>
          <w:bCs/>
          <w:sz w:val="24"/>
          <w:highlight w:val="none"/>
        </w:rPr>
      </w:pPr>
    </w:p>
    <w:p w14:paraId="45FAFF9A">
      <w:pP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p>
    <w:p w14:paraId="5F7F77E7">
      <w:pPr>
        <w:pStyle w:val="30"/>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w:t>
      </w:r>
      <w:r>
        <w:rPr>
          <w:rFonts w:hint="eastAsia" w:ascii="黑体" w:hAnsi="宋体" w:eastAsia="黑体" w:cs="黑体"/>
          <w:b/>
          <w:color w:val="auto"/>
          <w:sz w:val="32"/>
          <w:szCs w:val="32"/>
          <w:highlight w:val="none"/>
          <w:lang w:val="en-US" w:eastAsia="zh-CN"/>
        </w:rPr>
        <w:t>响应</w:t>
      </w:r>
      <w:r>
        <w:rPr>
          <w:rFonts w:hint="eastAsia" w:ascii="黑体" w:hAnsi="宋体" w:eastAsia="黑体" w:cs="黑体"/>
          <w:b/>
          <w:color w:val="auto"/>
          <w:sz w:val="32"/>
          <w:szCs w:val="32"/>
          <w:highlight w:val="none"/>
        </w:rPr>
        <w:t>函</w:t>
      </w:r>
    </w:p>
    <w:p w14:paraId="4461C40C">
      <w:pPr>
        <w:pStyle w:val="190"/>
        <w:spacing w:before="0" w:after="0" w:line="420" w:lineRule="exact"/>
        <w:ind w:firstLine="0"/>
        <w:rPr>
          <w:rFonts w:hint="eastAsia" w:ascii="宋体" w:hAnsi="宋体" w:eastAsia="宋体"/>
          <w:color w:val="000000"/>
          <w:szCs w:val="21"/>
          <w:highlight w:val="none"/>
          <w:lang w:eastAsia="zh-CN"/>
        </w:rPr>
      </w:pPr>
      <w:r>
        <w:rPr>
          <w:rFonts w:hint="eastAsia" w:ascii="宋体" w:hAnsi="宋体"/>
          <w:color w:val="000000"/>
          <w:szCs w:val="21"/>
          <w:highlight w:val="none"/>
        </w:rPr>
        <w:t>致：</w:t>
      </w:r>
      <w:r>
        <w:rPr>
          <w:rFonts w:hint="eastAsia" w:ascii="宋体" w:hAnsi="宋体"/>
          <w:color w:val="000000"/>
          <w:szCs w:val="21"/>
          <w:highlight w:val="none"/>
          <w:lang w:val="en-US" w:eastAsia="zh-CN"/>
        </w:rPr>
        <w:t>盐城</w:t>
      </w:r>
      <w:r>
        <w:rPr>
          <w:rFonts w:hint="eastAsia" w:ascii="宋体" w:hAnsi="宋体"/>
          <w:color w:val="000000"/>
          <w:szCs w:val="21"/>
          <w:highlight w:val="none"/>
          <w:lang w:eastAsia="zh-CN"/>
        </w:rPr>
        <w:t>市政府采购中心</w:t>
      </w:r>
    </w:p>
    <w:p w14:paraId="16D2E10E">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根据贵方的</w:t>
      </w:r>
      <w:r>
        <w:rPr>
          <w:rFonts w:hint="eastAsia" w:ascii="宋体" w:hAnsi="宋体" w:eastAsia="宋体"/>
          <w:color w:val="000000"/>
          <w:szCs w:val="21"/>
          <w:highlight w:val="none"/>
          <w:u w:val="single"/>
          <w:lang w:val="en-US" w:eastAsia="zh-CN"/>
        </w:rPr>
        <w:t xml:space="preserve">                 </w:t>
      </w:r>
      <w:r>
        <w:rPr>
          <w:rFonts w:hint="eastAsia" w:ascii="宋体" w:hAnsi="宋体"/>
          <w:color w:val="000000"/>
          <w:szCs w:val="21"/>
          <w:highlight w:val="none"/>
        </w:rPr>
        <w:t>号封闭式框架协议</w:t>
      </w:r>
      <w:r>
        <w:rPr>
          <w:rFonts w:ascii="宋体" w:hAnsi="宋体"/>
          <w:color w:val="000000"/>
          <w:szCs w:val="21"/>
          <w:highlight w:val="none"/>
        </w:rPr>
        <w:t>采购征集</w:t>
      </w:r>
      <w:r>
        <w:rPr>
          <w:rFonts w:hint="eastAsia" w:ascii="宋体" w:hAnsi="宋体"/>
          <w:color w:val="000000"/>
          <w:szCs w:val="21"/>
          <w:highlight w:val="none"/>
        </w:rPr>
        <w:t>文件，正式授权下述签字人_______(姓名)代表我方______________（供应商的名称），全权处理本次项目的有关事宜。</w:t>
      </w:r>
    </w:p>
    <w:p w14:paraId="3EECD978">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据此函，__________签字人兹宣布同意如下：</w:t>
      </w:r>
    </w:p>
    <w:p w14:paraId="20FFA81F">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1.按</w:t>
      </w:r>
      <w:r>
        <w:rPr>
          <w:rFonts w:ascii="宋体" w:hAnsi="宋体"/>
          <w:color w:val="000000"/>
          <w:szCs w:val="21"/>
          <w:highlight w:val="none"/>
        </w:rPr>
        <w:t>征集</w:t>
      </w:r>
      <w:r>
        <w:rPr>
          <w:rFonts w:hint="eastAsia" w:ascii="宋体" w:hAnsi="宋体"/>
          <w:color w:val="000000"/>
          <w:szCs w:val="21"/>
          <w:highlight w:val="none"/>
        </w:rPr>
        <w:t>文件规定的各项要求，向采购人提供所需货物与服务。</w:t>
      </w:r>
    </w:p>
    <w:p w14:paraId="3747093A">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2.我们完全理解采购人不一定将采购合同授予协议价格</w:t>
      </w:r>
      <w:r>
        <w:rPr>
          <w:rFonts w:ascii="宋体" w:hAnsi="宋体"/>
          <w:color w:val="000000"/>
          <w:szCs w:val="21"/>
          <w:highlight w:val="none"/>
        </w:rPr>
        <w:t>最低</w:t>
      </w:r>
      <w:r>
        <w:rPr>
          <w:rFonts w:hint="eastAsia" w:ascii="宋体" w:hAnsi="宋体"/>
          <w:color w:val="000000"/>
          <w:szCs w:val="21"/>
          <w:highlight w:val="none"/>
        </w:rPr>
        <w:t>的供应商。</w:t>
      </w:r>
    </w:p>
    <w:p w14:paraId="334D7A1F">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3.我们已详细审核全部</w:t>
      </w:r>
      <w:r>
        <w:rPr>
          <w:rFonts w:ascii="宋体" w:hAnsi="宋体"/>
          <w:color w:val="000000"/>
          <w:szCs w:val="21"/>
          <w:highlight w:val="none"/>
        </w:rPr>
        <w:t>征集</w:t>
      </w:r>
      <w:r>
        <w:rPr>
          <w:rFonts w:hint="eastAsia" w:ascii="宋体" w:hAnsi="宋体"/>
          <w:color w:val="000000"/>
          <w:szCs w:val="21"/>
          <w:highlight w:val="none"/>
        </w:rPr>
        <w:t>文件及其有效补充文件，我们知道必须放弃提出含糊不清或误解问题的权利。</w:t>
      </w:r>
    </w:p>
    <w:p w14:paraId="72BBA5FA">
      <w:pPr>
        <w:pStyle w:val="19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4.我们同意从规定的响应</w:t>
      </w:r>
      <w:r>
        <w:rPr>
          <w:rFonts w:ascii="宋体" w:hAnsi="宋体"/>
          <w:color w:val="000000"/>
          <w:szCs w:val="21"/>
          <w:highlight w:val="none"/>
        </w:rPr>
        <w:t>文件开启</w:t>
      </w:r>
      <w:r>
        <w:rPr>
          <w:rFonts w:hint="eastAsia" w:ascii="宋体" w:hAnsi="宋体"/>
          <w:color w:val="000000"/>
          <w:szCs w:val="21"/>
          <w:highlight w:val="none"/>
        </w:rPr>
        <w:t>日期起遵循本响应文件，并在规定的响应文件有效期期满之前均具有约束力。</w:t>
      </w:r>
    </w:p>
    <w:p w14:paraId="1ACC85D5">
      <w:pPr>
        <w:pStyle w:val="190"/>
        <w:spacing w:before="0" w:after="0" w:line="420" w:lineRule="exact"/>
        <w:rPr>
          <w:rFonts w:hint="eastAsia" w:ascii="宋体" w:hAnsi="宋体"/>
          <w:color w:val="000000"/>
          <w:szCs w:val="21"/>
          <w:highlight w:val="none"/>
        </w:rPr>
      </w:pPr>
      <w:r>
        <w:rPr>
          <w:rFonts w:ascii="宋体" w:hAnsi="宋体"/>
          <w:color w:val="000000"/>
          <w:szCs w:val="21"/>
          <w:highlight w:val="none"/>
        </w:rPr>
        <w:t>5</w:t>
      </w:r>
      <w:r>
        <w:rPr>
          <w:rFonts w:hint="eastAsia" w:ascii="宋体" w:hAnsi="宋体"/>
          <w:color w:val="000000"/>
          <w:szCs w:val="21"/>
          <w:highlight w:val="none"/>
        </w:rPr>
        <w:t>.同意向贵方提供贵方可能另外要求的与本次采购</w:t>
      </w:r>
      <w:r>
        <w:rPr>
          <w:rFonts w:ascii="宋体" w:hAnsi="宋体"/>
          <w:color w:val="000000"/>
          <w:szCs w:val="21"/>
          <w:highlight w:val="none"/>
        </w:rPr>
        <w:t>活动</w:t>
      </w:r>
      <w:r>
        <w:rPr>
          <w:rFonts w:hint="eastAsia" w:ascii="宋体" w:hAnsi="宋体"/>
          <w:color w:val="000000"/>
          <w:szCs w:val="21"/>
          <w:highlight w:val="none"/>
        </w:rPr>
        <w:t>有关的任何证据或资料，并保证我方已提供和将要提供的文件是真实的、准确的。</w:t>
      </w:r>
    </w:p>
    <w:p w14:paraId="04AA0426">
      <w:pPr>
        <w:pStyle w:val="190"/>
        <w:spacing w:before="0" w:after="0" w:line="420" w:lineRule="exact"/>
        <w:rPr>
          <w:rFonts w:hint="eastAsia"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.一旦我方成为入围</w:t>
      </w:r>
      <w:r>
        <w:rPr>
          <w:rFonts w:ascii="宋体" w:hAnsi="宋体"/>
          <w:color w:val="000000"/>
          <w:szCs w:val="21"/>
          <w:highlight w:val="none"/>
        </w:rPr>
        <w:t>供应商</w:t>
      </w:r>
      <w:r>
        <w:rPr>
          <w:rFonts w:hint="eastAsia" w:ascii="宋体" w:hAnsi="宋体"/>
          <w:color w:val="000000"/>
          <w:szCs w:val="21"/>
          <w:highlight w:val="none"/>
        </w:rPr>
        <w:t>,我方将根据征集文件的规定，严格履行合同的责任和义务,并保证在征集文件规定的时间完成项目，交付采购人验收、使用。</w:t>
      </w:r>
    </w:p>
    <w:p w14:paraId="14947900">
      <w:pPr>
        <w:pStyle w:val="190"/>
        <w:spacing w:before="0" w:after="0" w:line="420" w:lineRule="exact"/>
        <w:ind w:left="425" w:firstLine="0"/>
        <w:rPr>
          <w:rFonts w:hint="eastAsia" w:ascii="宋体" w:hAnsi="宋体"/>
          <w:color w:val="000000"/>
          <w:szCs w:val="21"/>
          <w:highlight w:val="none"/>
        </w:rPr>
      </w:pPr>
      <w:r>
        <w:rPr>
          <w:rFonts w:ascii="宋体" w:hAnsi="宋体"/>
          <w:color w:val="000000"/>
          <w:szCs w:val="21"/>
          <w:highlight w:val="none"/>
        </w:rPr>
        <w:t>7</w:t>
      </w:r>
      <w:r>
        <w:rPr>
          <w:rFonts w:hint="eastAsia" w:ascii="宋体" w:hAnsi="宋体"/>
          <w:color w:val="000000"/>
          <w:szCs w:val="21"/>
          <w:highlight w:val="none"/>
        </w:rPr>
        <w:t>.与本次</w:t>
      </w:r>
      <w:r>
        <w:rPr>
          <w:rFonts w:ascii="宋体" w:hAnsi="宋体"/>
          <w:color w:val="000000"/>
          <w:szCs w:val="21"/>
          <w:highlight w:val="none"/>
        </w:rPr>
        <w:t>采购活动</w:t>
      </w:r>
      <w:r>
        <w:rPr>
          <w:rFonts w:hint="eastAsia" w:ascii="宋体" w:hAnsi="宋体"/>
          <w:color w:val="000000"/>
          <w:szCs w:val="21"/>
          <w:highlight w:val="none"/>
        </w:rPr>
        <w:t>有关的正式通讯地址为：</w:t>
      </w:r>
    </w:p>
    <w:p w14:paraId="077D6BD4">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地          址：</w:t>
      </w:r>
    </w:p>
    <w:p w14:paraId="5FB15C90">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邮          编：</w:t>
      </w:r>
    </w:p>
    <w:p w14:paraId="350E2A91">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电          话：</w:t>
      </w:r>
    </w:p>
    <w:p w14:paraId="675A944D">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传          真：</w:t>
      </w:r>
    </w:p>
    <w:p w14:paraId="31AB69EB">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供应商开户行：</w:t>
      </w:r>
    </w:p>
    <w:p w14:paraId="69455348">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 xml:space="preserve">账          号： </w:t>
      </w:r>
    </w:p>
    <w:p w14:paraId="01A79428">
      <w:pPr>
        <w:pStyle w:val="190"/>
        <w:spacing w:before="0" w:after="0" w:line="420" w:lineRule="exact"/>
        <w:ind w:left="420"/>
        <w:rPr>
          <w:rFonts w:hint="eastAsia" w:ascii="宋体" w:hAnsi="宋体"/>
          <w:color w:val="000000"/>
          <w:szCs w:val="21"/>
          <w:highlight w:val="none"/>
        </w:rPr>
      </w:pPr>
      <w:r>
        <w:rPr>
          <w:rFonts w:hint="eastAsia" w:ascii="宋体" w:hAnsi="宋体"/>
          <w:color w:val="000000"/>
          <w:szCs w:val="21"/>
          <w:highlight w:val="none"/>
        </w:rPr>
        <w:t>日           期：________年____月____日</w:t>
      </w:r>
    </w:p>
    <w:p w14:paraId="240F37AF">
      <w:pPr>
        <w:spacing w:line="360" w:lineRule="auto"/>
        <w:ind w:firstLine="240"/>
        <w:jc w:val="center"/>
        <w:rPr>
          <w:rFonts w:ascii="宋体" w:hAnsi="宋体"/>
          <w:bCs/>
          <w:sz w:val="24"/>
          <w:szCs w:val="24"/>
          <w:highlight w:val="none"/>
        </w:rPr>
      </w:pPr>
    </w:p>
    <w:p w14:paraId="74B8E278">
      <w:pPr>
        <w:rPr>
          <w:rFonts w:hint="eastAsia" w:ascii="宋体" w:hAnsi="宋体"/>
          <w:b/>
          <w:sz w:val="32"/>
          <w:szCs w:val="32"/>
          <w:highlight w:val="none"/>
        </w:rPr>
      </w:pPr>
      <w:r>
        <w:rPr>
          <w:rFonts w:hint="eastAsia" w:ascii="宋体" w:hAnsi="宋体"/>
          <w:b/>
          <w:sz w:val="32"/>
          <w:szCs w:val="32"/>
          <w:highlight w:val="none"/>
        </w:rPr>
        <w:br w:type="page" w:clear="all"/>
      </w:r>
    </w:p>
    <w:p w14:paraId="6DD1D5E7">
      <w:pPr>
        <w:pStyle w:val="3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423D8FA3">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s="宋体" w:asciiTheme="minorEastAsia" w:hAnsiTheme="minorEastAsia" w:eastAsiaTheme="minorEastAsia"/>
          <w:color w:val="000000"/>
          <w:sz w:val="24"/>
          <w:highlight w:val="none"/>
        </w:rPr>
        <w:t>盐城市亭湖区公共资源交易中心</w:t>
      </w:r>
      <w:r>
        <w:rPr>
          <w:rFonts w:hint="eastAsia"/>
          <w:color w:val="auto"/>
          <w:sz w:val="24"/>
          <w:highlight w:val="none"/>
        </w:rPr>
        <w:t>组织的</w:t>
      </w:r>
      <w:r>
        <w:rPr>
          <w:rFonts w:hint="eastAsia" w:ascii="宋体" w:hAnsi="宋体"/>
          <w:color w:val="000000"/>
          <w:sz w:val="24"/>
          <w:szCs w:val="24"/>
          <w:highlight w:val="none"/>
          <w:u w:val="single"/>
        </w:rPr>
        <w:t>项目编号为</w:t>
      </w:r>
      <w:r>
        <w:rPr>
          <w:rFonts w:hint="eastAsia"/>
          <w:color w:val="auto"/>
          <w:sz w:val="24"/>
          <w:highlight w:val="none"/>
          <w:u w:val="single"/>
          <w:lang w:val="en-US" w:eastAsia="zh-CN"/>
        </w:rPr>
        <w:t xml:space="preserve">     </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u w:val="single"/>
          <w:lang w:val="en-US" w:eastAsia="zh-CN"/>
        </w:rPr>
        <w:t xml:space="preserve">为    </w:t>
      </w:r>
      <w:r>
        <w:rPr>
          <w:rFonts w:hint="eastAsia" w:ascii="宋体" w:hAnsi="宋体"/>
          <w:color w:val="000000"/>
          <w:sz w:val="24"/>
          <w:szCs w:val="24"/>
          <w:highlight w:val="none"/>
          <w:u w:val="single"/>
        </w:rPr>
        <w:t>封闭式</w:t>
      </w:r>
      <w:r>
        <w:rPr>
          <w:rFonts w:ascii="宋体" w:hAnsi="宋体"/>
          <w:color w:val="000000"/>
          <w:sz w:val="24"/>
          <w:szCs w:val="24"/>
          <w:highlight w:val="none"/>
          <w:u w:val="single"/>
        </w:rPr>
        <w:t>框架协议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7E0E919B">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ascii="宋体" w:hAnsi="宋体"/>
          <w:color w:val="000000"/>
          <w:sz w:val="24"/>
          <w:szCs w:val="24"/>
          <w:highlight w:val="none"/>
          <w:u w:val="single"/>
        </w:rPr>
        <w:t>（供应商填写征集文件中明确的所属行业）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4CD99420">
      <w:pPr>
        <w:numPr>
          <w:ilvl w:val="0"/>
          <w:numId w:val="5"/>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ascii="宋体" w:hAnsi="宋体"/>
          <w:color w:val="000000"/>
          <w:sz w:val="24"/>
          <w:szCs w:val="24"/>
          <w:highlight w:val="none"/>
          <w:u w:val="single"/>
        </w:rPr>
        <w:t>（供应商填写征集文件中明确的所属行业）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5E603089">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00681105">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010F15BE">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27DECCF6">
      <w:pPr>
        <w:pStyle w:val="30"/>
        <w:spacing w:beforeAutospacing="0" w:afterAutospacing="0" w:line="0" w:lineRule="atLeast"/>
        <w:ind w:right="720"/>
        <w:jc w:val="both"/>
        <w:rPr>
          <w:color w:val="auto"/>
          <w:highlight w:val="none"/>
        </w:rPr>
      </w:pPr>
      <w:r>
        <w:rPr>
          <w:color w:val="auto"/>
          <w:highlight w:val="none"/>
        </w:rPr>
        <w:t> </w:t>
      </w:r>
    </w:p>
    <w:p w14:paraId="191E5598">
      <w:pPr>
        <w:pStyle w:val="3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3DE3A386">
      <w:pPr>
        <w:pStyle w:val="3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2E7CB1E9">
      <w:pPr>
        <w:pStyle w:val="30"/>
        <w:spacing w:beforeAutospacing="0" w:afterAutospacing="0" w:line="0" w:lineRule="atLeast"/>
        <w:ind w:firstLine="240"/>
        <w:jc w:val="both"/>
        <w:rPr>
          <w:color w:val="auto"/>
          <w:highlight w:val="none"/>
        </w:rPr>
      </w:pPr>
      <w:r>
        <w:rPr>
          <w:color w:val="auto"/>
          <w:highlight w:val="none"/>
        </w:rPr>
        <w:t> </w:t>
      </w:r>
    </w:p>
    <w:p w14:paraId="559D6C86">
      <w:pPr>
        <w:pStyle w:val="30"/>
        <w:spacing w:beforeAutospacing="0" w:afterAutospacing="0" w:line="0" w:lineRule="atLeast"/>
        <w:ind w:firstLine="480"/>
        <w:jc w:val="left"/>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17DDA5CD">
      <w:pPr>
        <w:pStyle w:val="30"/>
        <w:spacing w:beforeAutospacing="0" w:afterAutospacing="0" w:line="0" w:lineRule="atLeast"/>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ADC9353">
      <w:pPr>
        <w:pStyle w:val="30"/>
        <w:spacing w:beforeAutospacing="0" w:afterAutospacing="0" w:line="0" w:lineRule="atLeast"/>
        <w:ind w:firstLine="480"/>
        <w:jc w:val="center"/>
        <w:rPr>
          <w:color w:val="auto"/>
          <w:highlight w:val="none"/>
        </w:rPr>
      </w:pPr>
      <w:r>
        <w:rPr>
          <w:rFonts w:hint="eastAsia" w:ascii="宋体" w:hAnsi="宋体"/>
          <w:color w:val="000000"/>
          <w:sz w:val="24"/>
          <w:szCs w:val="24"/>
          <w:highlight w:val="none"/>
          <w:lang w:val="en-US" w:eastAsia="zh-CN"/>
        </w:rPr>
        <w:t>备注</w:t>
      </w:r>
      <w:r>
        <w:rPr>
          <w:rFonts w:hint="eastAsia" w:ascii="宋体" w:hAnsi="宋体"/>
          <w:color w:val="000000"/>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供应商</w:t>
      </w:r>
      <w:r>
        <w:rPr>
          <w:rFonts w:ascii="宋体" w:hAnsi="宋体"/>
          <w:color w:val="000000"/>
          <w:sz w:val="24"/>
          <w:szCs w:val="24"/>
          <w:highlight w:val="none"/>
        </w:rPr>
        <w:t>自行勾选</w:t>
      </w:r>
      <w:r>
        <w:rPr>
          <w:rFonts w:hint="eastAsia" w:ascii="宋体" w:hAnsi="宋体"/>
          <w:color w:val="000000"/>
          <w:sz w:val="24"/>
          <w:szCs w:val="24"/>
          <w:highlight w:val="none"/>
        </w:rPr>
        <w:t>承接企业</w:t>
      </w:r>
      <w:r>
        <w:rPr>
          <w:rFonts w:ascii="宋体" w:hAnsi="宋体"/>
          <w:color w:val="000000"/>
          <w:sz w:val="24"/>
          <w:szCs w:val="24"/>
          <w:highlight w:val="none"/>
        </w:rPr>
        <w:t>的企业</w:t>
      </w:r>
      <w:r>
        <w:rPr>
          <w:rFonts w:hint="eastAsia" w:ascii="宋体" w:hAnsi="宋体"/>
          <w:color w:val="000000"/>
          <w:sz w:val="24"/>
          <w:szCs w:val="24"/>
          <w:highlight w:val="none"/>
        </w:rPr>
        <w:t>规模类型</w:t>
      </w:r>
      <w:r>
        <w:rPr>
          <w:rFonts w:ascii="宋体" w:hAnsi="宋体"/>
          <w:color w:val="000000"/>
          <w:sz w:val="24"/>
          <w:szCs w:val="24"/>
          <w:highlight w:val="none"/>
        </w:rPr>
        <w:t>。</w:t>
      </w: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十、残疾人福利性单位声明函</w:t>
      </w:r>
    </w:p>
    <w:p w14:paraId="4D88306A">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6EE8FB97">
      <w:pPr>
        <w:pStyle w:val="3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474E37D6">
      <w:pPr>
        <w:pStyle w:val="30"/>
        <w:spacing w:beforeAutospacing="0" w:afterAutospacing="0" w:line="0" w:lineRule="atLeast"/>
        <w:ind w:firstLine="480"/>
        <w:jc w:val="both"/>
        <w:rPr>
          <w:color w:val="auto"/>
          <w:highlight w:val="none"/>
        </w:rPr>
      </w:pPr>
      <w:r>
        <w:rPr>
          <w:color w:val="auto"/>
          <w:highlight w:val="none"/>
        </w:rPr>
        <w:t> </w:t>
      </w:r>
    </w:p>
    <w:p w14:paraId="6BFF29EF">
      <w:pPr>
        <w:spacing w:line="0" w:lineRule="atLeast"/>
        <w:ind w:firstLine="480"/>
        <w:rPr>
          <w:rFonts w:ascii="宋体" w:hAnsi="宋体"/>
          <w:color w:val="000000"/>
          <w:sz w:val="24"/>
          <w:highlight w:val="none"/>
        </w:rPr>
      </w:pPr>
      <w:r>
        <w:rPr>
          <w:rFonts w:hint="eastAsia" w:ascii="宋体" w:hAnsi="宋体"/>
          <w:color w:val="000000"/>
          <w:sz w:val="24"/>
          <w:highlight w:val="none"/>
        </w:rPr>
        <w:t>备注：1</w:t>
      </w:r>
      <w:r>
        <w:rPr>
          <w:rFonts w:ascii="宋体" w:hAnsi="宋体"/>
          <w:color w:val="000000"/>
          <w:sz w:val="24"/>
          <w:highlight w:val="none"/>
        </w:rPr>
        <w:t>.</w:t>
      </w:r>
      <w:r>
        <w:rPr>
          <w:rFonts w:hint="eastAsia" w:ascii="宋体" w:hAnsi="宋体"/>
          <w:color w:val="000000"/>
          <w:sz w:val="24"/>
          <w:highlight w:val="none"/>
        </w:rPr>
        <w:t>专门面向中小型企业采购的</w:t>
      </w:r>
      <w:r>
        <w:rPr>
          <w:rFonts w:ascii="宋体" w:hAnsi="宋体"/>
          <w:color w:val="000000"/>
          <w:sz w:val="24"/>
          <w:highlight w:val="none"/>
        </w:rPr>
        <w:t>项目</w:t>
      </w:r>
      <w:r>
        <w:rPr>
          <w:rFonts w:hint="eastAsia" w:ascii="宋体" w:hAnsi="宋体"/>
          <w:color w:val="000000"/>
          <w:sz w:val="24"/>
          <w:highlight w:val="none"/>
        </w:rPr>
        <w:t>，供应商为残疾人福利性单位并提供服务的必须提供此</w:t>
      </w:r>
      <w:r>
        <w:rPr>
          <w:rFonts w:ascii="宋体" w:hAnsi="宋体"/>
          <w:color w:val="000000"/>
          <w:sz w:val="24"/>
          <w:highlight w:val="none"/>
        </w:rPr>
        <w:t>声明函</w:t>
      </w:r>
      <w:r>
        <w:rPr>
          <w:rFonts w:hint="eastAsia" w:ascii="宋体" w:hAnsi="宋体"/>
          <w:color w:val="000000"/>
          <w:sz w:val="24"/>
          <w:highlight w:val="none"/>
        </w:rPr>
        <w:t>，</w:t>
      </w:r>
      <w:r>
        <w:rPr>
          <w:rFonts w:ascii="宋体" w:hAnsi="宋体"/>
          <w:color w:val="000000"/>
          <w:sz w:val="24"/>
          <w:highlight w:val="none"/>
        </w:rPr>
        <w:t>否则将</w:t>
      </w:r>
      <w:r>
        <w:rPr>
          <w:rFonts w:hint="eastAsia" w:ascii="宋体" w:hAnsi="宋体"/>
          <w:color w:val="000000"/>
          <w:sz w:val="24"/>
          <w:highlight w:val="none"/>
        </w:rPr>
        <w:t>不能</w:t>
      </w:r>
      <w:r>
        <w:rPr>
          <w:rFonts w:ascii="宋体" w:hAnsi="宋体"/>
          <w:color w:val="000000"/>
          <w:sz w:val="24"/>
          <w:highlight w:val="none"/>
        </w:rPr>
        <w:t>通过资格审查</w:t>
      </w:r>
      <w:r>
        <w:rPr>
          <w:rFonts w:hint="eastAsia" w:ascii="宋体" w:hAnsi="宋体"/>
          <w:color w:val="000000"/>
          <w:sz w:val="24"/>
          <w:highlight w:val="none"/>
        </w:rPr>
        <w:t>。</w:t>
      </w:r>
    </w:p>
    <w:p w14:paraId="75D06719">
      <w:pPr>
        <w:spacing w:line="0" w:lineRule="atLeast"/>
        <w:ind w:firstLine="1262"/>
        <w:rPr>
          <w:rFonts w:ascii="宋体" w:hAnsi="宋体"/>
          <w:color w:val="000000"/>
          <w:sz w:val="24"/>
          <w:highlight w:val="none"/>
        </w:rPr>
      </w:pPr>
      <w:r>
        <w:rPr>
          <w:rFonts w:hint="eastAsia" w:ascii="宋体" w:hAnsi="宋体"/>
          <w:color w:val="000000"/>
          <w:sz w:val="24"/>
          <w:highlight w:val="none"/>
        </w:rPr>
        <w:t>2. 非专门面向中小型企业采购的</w:t>
      </w:r>
      <w:r>
        <w:rPr>
          <w:rFonts w:ascii="宋体" w:hAnsi="宋体"/>
          <w:color w:val="000000"/>
          <w:sz w:val="24"/>
          <w:highlight w:val="none"/>
        </w:rPr>
        <w:t>项目</w:t>
      </w:r>
      <w:r>
        <w:rPr>
          <w:rFonts w:hint="eastAsia" w:ascii="宋体" w:hAnsi="宋体"/>
          <w:color w:val="000000"/>
          <w:sz w:val="24"/>
          <w:highlight w:val="none"/>
        </w:rPr>
        <w:t>，供应商如不提供此声明函，价格将不做相应扣除。</w:t>
      </w:r>
    </w:p>
    <w:p w14:paraId="3D496CB4">
      <w:pPr>
        <w:spacing w:line="0" w:lineRule="atLeast"/>
        <w:ind w:firstLine="1262"/>
        <w:rPr>
          <w:rFonts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.入围供应商为残疾人福利性单位的，此声明函将随</w:t>
      </w:r>
      <w:r>
        <w:rPr>
          <w:rFonts w:ascii="宋体" w:hAnsi="宋体"/>
          <w:color w:val="000000"/>
          <w:sz w:val="24"/>
          <w:highlight w:val="none"/>
        </w:rPr>
        <w:t>入围</w:t>
      </w:r>
      <w:r>
        <w:rPr>
          <w:rFonts w:hint="eastAsia" w:ascii="宋体" w:hAnsi="宋体"/>
          <w:color w:val="000000"/>
          <w:sz w:val="24"/>
          <w:highlight w:val="none"/>
        </w:rPr>
        <w:t>结果同时公告，接受社会监督</w:t>
      </w:r>
    </w:p>
    <w:p w14:paraId="7A48105E">
      <w:pPr>
        <w:pStyle w:val="30"/>
        <w:spacing w:beforeAutospacing="0" w:afterAutospacing="0" w:line="0" w:lineRule="atLeast"/>
        <w:ind w:firstLine="624"/>
        <w:jc w:val="both"/>
        <w:rPr>
          <w:color w:val="auto"/>
          <w:highlight w:val="none"/>
        </w:rPr>
      </w:pPr>
      <w:r>
        <w:rPr>
          <w:color w:val="auto"/>
          <w:highlight w:val="none"/>
        </w:rPr>
        <w:t> </w:t>
      </w:r>
    </w:p>
    <w:p w14:paraId="6E7AE0FB">
      <w:pPr>
        <w:pStyle w:val="30"/>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6200723F">
      <w:pPr>
        <w:pStyle w:val="30"/>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7BAB4C1B">
      <w:pPr>
        <w:jc w:val="center"/>
        <w:rPr>
          <w:rFonts w:hint="eastAsia" w:ascii="黑体" w:hAnsi="宋体" w:eastAsia="黑体" w:cs="黑体"/>
          <w:b/>
          <w:i/>
          <w:iCs/>
          <w:color w:val="auto"/>
          <w:sz w:val="32"/>
          <w:szCs w:val="32"/>
          <w:highlight w:val="none"/>
          <w:u w:val="singl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i/>
          <w:iCs/>
          <w:sz w:val="32"/>
          <w:szCs w:val="32"/>
          <w:highlight w:val="none"/>
          <w:u w:val="single"/>
          <w:lang w:val="en-US" w:eastAsia="zh-CN"/>
        </w:rPr>
        <w:t>十一、</w:t>
      </w:r>
      <w:r>
        <w:rPr>
          <w:rFonts w:hint="eastAsia" w:ascii="黑体" w:hAnsi="宋体" w:eastAsia="黑体" w:cs="黑体"/>
          <w:b/>
          <w:i/>
          <w:iCs/>
          <w:color w:val="auto"/>
          <w:sz w:val="32"/>
          <w:szCs w:val="32"/>
          <w:highlight w:val="none"/>
          <w:u w:val="single"/>
          <w:lang w:val="en-US" w:eastAsia="zh-CN"/>
        </w:rPr>
        <w:t>实质性要求响应及偏离表</w:t>
      </w:r>
    </w:p>
    <w:p w14:paraId="544C54C8">
      <w:pPr>
        <w:pStyle w:val="199"/>
        <w:numPr>
          <w:ilvl w:val="0"/>
          <w:numId w:val="0"/>
        </w:numPr>
        <w:ind w:left="420"/>
        <w:rPr>
          <w:rFonts w:hint="eastAsia"/>
        </w:rPr>
      </w:pP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4199"/>
        <w:gridCol w:w="2429"/>
        <w:gridCol w:w="1438"/>
      </w:tblGrid>
      <w:tr w14:paraId="0C184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0" w:type="auto"/>
            <w:noWrap w:val="0"/>
            <w:vAlign w:val="center"/>
          </w:tcPr>
          <w:p w14:paraId="4F1A37B8">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序号</w:t>
            </w:r>
          </w:p>
        </w:tc>
        <w:tc>
          <w:tcPr>
            <w:tcW w:w="4229" w:type="dxa"/>
            <w:noWrap w:val="0"/>
            <w:vAlign w:val="center"/>
          </w:tcPr>
          <w:p w14:paraId="3FD3991B">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技术</w:t>
            </w:r>
            <w:r>
              <w:rPr>
                <w:rFonts w:ascii="宋体" w:hAnsi="宋体"/>
                <w:i/>
                <w:iCs/>
                <w:color w:val="000000"/>
                <w:sz w:val="24"/>
                <w:szCs w:val="24"/>
                <w:highlight w:val="none"/>
                <w:u w:val="single"/>
              </w:rPr>
              <w:t>要求和商务要求中的实质性要求</w:t>
            </w:r>
            <w:r>
              <w:rPr>
                <w:rFonts w:hint="eastAsia" w:ascii="宋体" w:hAnsi="宋体"/>
                <w:b/>
                <w:bCs/>
                <w:i/>
                <w:iCs/>
                <w:color w:val="000000"/>
                <w:highlight w:val="none"/>
                <w:u w:val="single"/>
              </w:rPr>
              <w:t>（斜体且有下划线部分条款）</w:t>
            </w:r>
          </w:p>
        </w:tc>
        <w:tc>
          <w:tcPr>
            <w:tcW w:w="2446" w:type="dxa"/>
            <w:noWrap w:val="0"/>
            <w:vAlign w:val="center"/>
          </w:tcPr>
          <w:p w14:paraId="7E744C3E">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响应情况</w:t>
            </w:r>
          </w:p>
        </w:tc>
        <w:tc>
          <w:tcPr>
            <w:tcW w:w="1444" w:type="dxa"/>
            <w:noWrap w:val="0"/>
            <w:vAlign w:val="center"/>
          </w:tcPr>
          <w:p w14:paraId="20243A62">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超出、符合或偏离</w:t>
            </w:r>
          </w:p>
        </w:tc>
      </w:tr>
      <w:tr w14:paraId="24EF3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4" w:hRule="atLeast"/>
          <w:jc w:val="center"/>
        </w:trPr>
        <w:tc>
          <w:tcPr>
            <w:tcW w:w="0" w:type="auto"/>
            <w:noWrap w:val="0"/>
            <w:vAlign w:val="center"/>
          </w:tcPr>
          <w:p w14:paraId="23F35D49">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1</w:t>
            </w:r>
          </w:p>
        </w:tc>
        <w:tc>
          <w:tcPr>
            <w:tcW w:w="4229" w:type="dxa"/>
            <w:noWrap w:val="0"/>
            <w:vAlign w:val="center"/>
          </w:tcPr>
          <w:p w14:paraId="3558489B">
            <w:pPr>
              <w:spacing w:line="400" w:lineRule="exact"/>
              <w:jc w:val="center"/>
              <w:rPr>
                <w:rFonts w:hint="eastAsia" w:ascii="宋体" w:hAnsi="宋体"/>
                <w:bCs/>
                <w:i/>
                <w:color w:val="000000"/>
                <w:sz w:val="24"/>
                <w:szCs w:val="24"/>
                <w:highlight w:val="none"/>
                <w:u w:val="single"/>
              </w:rPr>
            </w:pPr>
          </w:p>
        </w:tc>
        <w:tc>
          <w:tcPr>
            <w:tcW w:w="2446" w:type="dxa"/>
            <w:noWrap w:val="0"/>
            <w:vAlign w:val="center"/>
          </w:tcPr>
          <w:p w14:paraId="17EB84A3">
            <w:pPr>
              <w:spacing w:line="400" w:lineRule="exact"/>
              <w:jc w:val="center"/>
              <w:rPr>
                <w:rFonts w:hint="eastAsia" w:ascii="宋体" w:hAnsi="宋体"/>
                <w:bCs/>
                <w:i/>
                <w:color w:val="000000"/>
                <w:sz w:val="24"/>
                <w:szCs w:val="24"/>
                <w:highlight w:val="none"/>
                <w:u w:val="single"/>
              </w:rPr>
            </w:pPr>
          </w:p>
        </w:tc>
        <w:tc>
          <w:tcPr>
            <w:tcW w:w="1444" w:type="dxa"/>
            <w:noWrap w:val="0"/>
            <w:vAlign w:val="center"/>
          </w:tcPr>
          <w:p w14:paraId="7395A94B">
            <w:pPr>
              <w:spacing w:line="400" w:lineRule="exact"/>
              <w:jc w:val="center"/>
              <w:rPr>
                <w:rFonts w:hint="eastAsia" w:ascii="宋体" w:hAnsi="宋体"/>
                <w:bCs/>
                <w:i/>
                <w:color w:val="000000"/>
                <w:sz w:val="24"/>
                <w:szCs w:val="24"/>
                <w:highlight w:val="none"/>
                <w:u w:val="single"/>
              </w:rPr>
            </w:pPr>
          </w:p>
        </w:tc>
      </w:tr>
      <w:tr w14:paraId="36140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0" w:hRule="atLeast"/>
          <w:jc w:val="center"/>
        </w:trPr>
        <w:tc>
          <w:tcPr>
            <w:tcW w:w="0" w:type="auto"/>
            <w:noWrap w:val="0"/>
            <w:vAlign w:val="center"/>
          </w:tcPr>
          <w:p w14:paraId="7DC3748C">
            <w:pPr>
              <w:spacing w:line="400" w:lineRule="exact"/>
              <w:jc w:val="center"/>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2</w:t>
            </w:r>
          </w:p>
        </w:tc>
        <w:tc>
          <w:tcPr>
            <w:tcW w:w="4229" w:type="dxa"/>
            <w:noWrap w:val="0"/>
            <w:vAlign w:val="center"/>
          </w:tcPr>
          <w:p w14:paraId="2BA5EBD5">
            <w:pPr>
              <w:spacing w:line="400" w:lineRule="exact"/>
              <w:jc w:val="center"/>
              <w:rPr>
                <w:rFonts w:hint="eastAsia" w:ascii="宋体" w:hAnsi="宋体"/>
                <w:bCs/>
                <w:i/>
                <w:color w:val="000000"/>
                <w:sz w:val="24"/>
                <w:szCs w:val="24"/>
                <w:highlight w:val="none"/>
                <w:u w:val="single"/>
              </w:rPr>
            </w:pPr>
          </w:p>
        </w:tc>
        <w:tc>
          <w:tcPr>
            <w:tcW w:w="2446" w:type="dxa"/>
            <w:noWrap w:val="0"/>
            <w:vAlign w:val="center"/>
          </w:tcPr>
          <w:p w14:paraId="1A2D5DAB">
            <w:pPr>
              <w:spacing w:line="400" w:lineRule="exact"/>
              <w:jc w:val="center"/>
              <w:rPr>
                <w:rFonts w:hint="eastAsia" w:ascii="宋体" w:hAnsi="宋体"/>
                <w:bCs/>
                <w:i/>
                <w:color w:val="000000"/>
                <w:sz w:val="24"/>
                <w:szCs w:val="24"/>
                <w:highlight w:val="none"/>
                <w:u w:val="single"/>
              </w:rPr>
            </w:pPr>
          </w:p>
        </w:tc>
        <w:tc>
          <w:tcPr>
            <w:tcW w:w="1444" w:type="dxa"/>
            <w:noWrap w:val="0"/>
            <w:vAlign w:val="center"/>
          </w:tcPr>
          <w:p w14:paraId="13473165">
            <w:pPr>
              <w:spacing w:line="400" w:lineRule="exact"/>
              <w:jc w:val="center"/>
              <w:rPr>
                <w:rFonts w:hint="eastAsia" w:ascii="宋体" w:hAnsi="宋体"/>
                <w:bCs/>
                <w:i/>
                <w:color w:val="000000"/>
                <w:sz w:val="24"/>
                <w:szCs w:val="24"/>
                <w:highlight w:val="none"/>
                <w:u w:val="single"/>
              </w:rPr>
            </w:pPr>
          </w:p>
        </w:tc>
      </w:tr>
      <w:tr w14:paraId="23385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5" w:hRule="atLeast"/>
          <w:jc w:val="center"/>
        </w:trPr>
        <w:tc>
          <w:tcPr>
            <w:tcW w:w="0" w:type="auto"/>
            <w:noWrap w:val="0"/>
            <w:vAlign w:val="center"/>
          </w:tcPr>
          <w:p w14:paraId="1E68C42A">
            <w:pPr>
              <w:spacing w:line="400" w:lineRule="exact"/>
              <w:jc w:val="center"/>
              <w:rPr>
                <w:rFonts w:hint="eastAsia" w:ascii="宋体" w:hAnsi="宋体" w:eastAsia="宋体"/>
                <w:bCs/>
                <w:i/>
                <w:color w:val="000000"/>
                <w:sz w:val="24"/>
                <w:szCs w:val="24"/>
                <w:highlight w:val="none"/>
                <w:u w:val="single"/>
              </w:rPr>
            </w:pPr>
            <w:r>
              <w:rPr>
                <w:rFonts w:hint="eastAsia" w:ascii="宋体" w:hAnsi="宋体"/>
                <w:i/>
                <w:iCs/>
                <w:color w:val="000000"/>
                <w:sz w:val="24"/>
                <w:szCs w:val="24"/>
                <w:highlight w:val="none"/>
                <w:u w:val="single"/>
                <w:lang w:val="en-US" w:eastAsia="zh-CN"/>
              </w:rPr>
              <w:t>3</w:t>
            </w:r>
          </w:p>
        </w:tc>
        <w:tc>
          <w:tcPr>
            <w:tcW w:w="4229" w:type="dxa"/>
            <w:noWrap w:val="0"/>
            <w:vAlign w:val="center"/>
          </w:tcPr>
          <w:p w14:paraId="4CCB7D65">
            <w:pPr>
              <w:spacing w:line="400" w:lineRule="exact"/>
              <w:jc w:val="center"/>
              <w:rPr>
                <w:rFonts w:hint="eastAsia" w:ascii="宋体" w:hAnsi="宋体"/>
                <w:bCs/>
                <w:i/>
                <w:color w:val="000000"/>
                <w:sz w:val="24"/>
                <w:szCs w:val="24"/>
                <w:highlight w:val="none"/>
                <w:u w:val="single"/>
              </w:rPr>
            </w:pPr>
            <w:r>
              <w:rPr>
                <w:rFonts w:ascii="宋体" w:hAnsi="宋体"/>
                <w:i/>
                <w:iCs/>
                <w:color w:val="000000"/>
                <w:sz w:val="24"/>
                <w:szCs w:val="24"/>
                <w:highlight w:val="none"/>
                <w:u w:val="single"/>
              </w:rPr>
              <w:t>……</w:t>
            </w:r>
          </w:p>
        </w:tc>
        <w:tc>
          <w:tcPr>
            <w:tcW w:w="2446" w:type="dxa"/>
            <w:noWrap w:val="0"/>
            <w:vAlign w:val="center"/>
          </w:tcPr>
          <w:p w14:paraId="6F7DD1F3">
            <w:pPr>
              <w:spacing w:line="400" w:lineRule="exact"/>
              <w:jc w:val="center"/>
              <w:rPr>
                <w:rFonts w:hint="eastAsia" w:ascii="宋体" w:hAnsi="宋体"/>
                <w:bCs/>
                <w:i/>
                <w:color w:val="000000"/>
                <w:sz w:val="24"/>
                <w:szCs w:val="24"/>
                <w:highlight w:val="none"/>
                <w:u w:val="single"/>
              </w:rPr>
            </w:pPr>
          </w:p>
        </w:tc>
        <w:tc>
          <w:tcPr>
            <w:tcW w:w="1444" w:type="dxa"/>
            <w:noWrap w:val="0"/>
            <w:vAlign w:val="center"/>
          </w:tcPr>
          <w:p w14:paraId="1656E17B">
            <w:pPr>
              <w:spacing w:line="400" w:lineRule="exact"/>
              <w:jc w:val="center"/>
              <w:rPr>
                <w:rFonts w:hint="eastAsia" w:ascii="宋体" w:hAnsi="宋体"/>
                <w:bCs/>
                <w:i/>
                <w:color w:val="000000"/>
                <w:sz w:val="24"/>
                <w:szCs w:val="24"/>
                <w:highlight w:val="none"/>
                <w:u w:val="single"/>
              </w:rPr>
            </w:pPr>
          </w:p>
        </w:tc>
      </w:tr>
    </w:tbl>
    <w:p w14:paraId="6EC9BDAF">
      <w:pPr>
        <w:spacing w:line="400" w:lineRule="exact"/>
        <w:rPr>
          <w:rFonts w:ascii="宋体" w:hAnsi="宋体"/>
          <w:bCs/>
          <w:i/>
          <w:color w:val="000000"/>
          <w:sz w:val="24"/>
          <w:szCs w:val="24"/>
          <w:highlight w:val="none"/>
          <w:u w:val="single"/>
        </w:rPr>
      </w:pPr>
    </w:p>
    <w:p w14:paraId="45634F48">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rPr>
        <w:t>备注</w:t>
      </w:r>
      <w:r>
        <w:rPr>
          <w:rFonts w:ascii="宋体" w:hAnsi="宋体"/>
          <w:i/>
          <w:iCs/>
          <w:color w:val="000000"/>
          <w:sz w:val="24"/>
          <w:szCs w:val="24"/>
          <w:highlight w:val="none"/>
          <w:u w:val="single"/>
        </w:rPr>
        <w:t>：</w:t>
      </w:r>
    </w:p>
    <w:p w14:paraId="2EC70A1A">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rPr>
        <w:t>1.供应商必须</w:t>
      </w:r>
      <w:r>
        <w:rPr>
          <w:rFonts w:ascii="宋体" w:hAnsi="宋体"/>
          <w:i/>
          <w:iCs/>
          <w:color w:val="000000"/>
          <w:sz w:val="24"/>
          <w:szCs w:val="24"/>
          <w:highlight w:val="none"/>
          <w:u w:val="single"/>
        </w:rPr>
        <w:t>对实质性要求</w:t>
      </w:r>
      <w:r>
        <w:rPr>
          <w:rFonts w:hint="eastAsia" w:ascii="宋体" w:hAnsi="宋体"/>
          <w:i/>
          <w:iCs/>
          <w:color w:val="000000"/>
          <w:sz w:val="24"/>
          <w:szCs w:val="24"/>
          <w:highlight w:val="none"/>
          <w:u w:val="single"/>
          <w:lang w:val="en-US" w:eastAsia="zh-CN"/>
        </w:rPr>
        <w:t>响应及偏离表</w:t>
      </w:r>
      <w:r>
        <w:rPr>
          <w:rFonts w:hint="eastAsia" w:ascii="宋体" w:hAnsi="宋体"/>
          <w:b/>
          <w:bCs/>
          <w:i/>
          <w:iCs/>
          <w:color w:val="000000"/>
          <w:sz w:val="24"/>
          <w:szCs w:val="32"/>
          <w:highlight w:val="none"/>
          <w:u w:val="single"/>
        </w:rPr>
        <w:t>（斜体且有下划线部分条款为实质性要求）</w:t>
      </w:r>
      <w:r>
        <w:rPr>
          <w:rFonts w:ascii="宋体" w:hAnsi="宋体"/>
          <w:i/>
          <w:iCs/>
          <w:color w:val="000000"/>
          <w:sz w:val="24"/>
          <w:szCs w:val="24"/>
          <w:highlight w:val="none"/>
          <w:u w:val="single"/>
        </w:rPr>
        <w:t>逐条做出明确响应</w:t>
      </w:r>
      <w:r>
        <w:rPr>
          <w:rFonts w:hint="eastAsia" w:ascii="宋体" w:hAnsi="宋体"/>
          <w:i/>
          <w:iCs/>
          <w:color w:val="000000"/>
          <w:sz w:val="24"/>
          <w:szCs w:val="24"/>
          <w:highlight w:val="none"/>
          <w:u w:val="single"/>
        </w:rPr>
        <w:t>，否则作无效响应处理。</w:t>
      </w:r>
    </w:p>
    <w:p w14:paraId="56413700">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lang w:val="en-US" w:eastAsia="zh-CN"/>
        </w:rPr>
        <w:t>2</w:t>
      </w:r>
      <w:r>
        <w:rPr>
          <w:rFonts w:hint="eastAsia" w:ascii="宋体" w:hAnsi="宋体"/>
          <w:i/>
          <w:iCs/>
          <w:color w:val="000000"/>
          <w:sz w:val="24"/>
          <w:szCs w:val="24"/>
          <w:highlight w:val="none"/>
          <w:u w:val="single"/>
        </w:rPr>
        <w:t>.如果征集</w:t>
      </w:r>
      <w:r>
        <w:rPr>
          <w:rFonts w:ascii="宋体" w:hAnsi="宋体"/>
          <w:i/>
          <w:iCs/>
          <w:color w:val="000000"/>
          <w:sz w:val="24"/>
          <w:szCs w:val="24"/>
          <w:highlight w:val="none"/>
          <w:u w:val="single"/>
        </w:rPr>
        <w:t>文件要求提供</w:t>
      </w:r>
      <w:r>
        <w:rPr>
          <w:rFonts w:hint="eastAsia" w:ascii="宋体" w:hAnsi="宋体"/>
          <w:i/>
          <w:iCs/>
          <w:color w:val="000000"/>
          <w:sz w:val="24"/>
          <w:szCs w:val="24"/>
          <w:highlight w:val="none"/>
          <w:u w:val="single"/>
        </w:rPr>
        <w:t>证明</w:t>
      </w:r>
      <w:r>
        <w:rPr>
          <w:rFonts w:ascii="宋体" w:hAnsi="宋体"/>
          <w:i/>
          <w:iCs/>
          <w:color w:val="000000"/>
          <w:sz w:val="24"/>
          <w:szCs w:val="24"/>
          <w:highlight w:val="none"/>
          <w:u w:val="single"/>
        </w:rPr>
        <w:t>材料，</w:t>
      </w:r>
      <w:r>
        <w:rPr>
          <w:rFonts w:hint="eastAsia" w:ascii="宋体" w:hAnsi="宋体"/>
          <w:i/>
          <w:iCs/>
          <w:color w:val="000000"/>
          <w:sz w:val="24"/>
          <w:szCs w:val="24"/>
          <w:highlight w:val="none"/>
          <w:u w:val="single"/>
        </w:rPr>
        <w:t>供应商必须</w:t>
      </w:r>
      <w:r>
        <w:rPr>
          <w:rFonts w:ascii="宋体" w:hAnsi="宋体"/>
          <w:i/>
          <w:iCs/>
          <w:color w:val="000000"/>
          <w:sz w:val="24"/>
          <w:szCs w:val="24"/>
          <w:highlight w:val="none"/>
          <w:u w:val="single"/>
        </w:rPr>
        <w:t>将证明材料</w:t>
      </w:r>
      <w:r>
        <w:rPr>
          <w:rFonts w:hint="eastAsia" w:ascii="宋体" w:hAnsi="宋体"/>
          <w:i/>
          <w:iCs/>
          <w:color w:val="000000"/>
          <w:sz w:val="24"/>
          <w:szCs w:val="24"/>
          <w:highlight w:val="none"/>
          <w:u w:val="single"/>
        </w:rPr>
        <w:t>列于</w:t>
      </w:r>
      <w:r>
        <w:rPr>
          <w:rFonts w:ascii="宋体" w:hAnsi="宋体"/>
          <w:i/>
          <w:iCs/>
          <w:color w:val="000000"/>
          <w:sz w:val="24"/>
          <w:szCs w:val="24"/>
          <w:highlight w:val="none"/>
          <w:u w:val="single"/>
        </w:rPr>
        <w:t>该表之下。</w:t>
      </w:r>
    </w:p>
    <w:p w14:paraId="6B11A6FD">
      <w:pP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lang w:val="en-US" w:eastAsia="zh-CN"/>
        </w:rPr>
        <w:t>3</w:t>
      </w:r>
      <w:r>
        <w:rPr>
          <w:rFonts w:hint="eastAsia" w:ascii="宋体" w:hAnsi="宋体"/>
          <w:i/>
          <w:iCs/>
          <w:color w:val="000000"/>
          <w:sz w:val="24"/>
          <w:szCs w:val="24"/>
          <w:highlight w:val="none"/>
          <w:u w:val="single"/>
        </w:rPr>
        <w:t>.供应商未对实质性要求逐条作出明确响应的，或未按征集文件要求提供证明材料的，该</w:t>
      </w:r>
      <w:r>
        <w:rPr>
          <w:rFonts w:hint="eastAsia" w:ascii="宋体" w:hAnsi="宋体"/>
          <w:i/>
          <w:iCs/>
          <w:color w:val="000000"/>
          <w:sz w:val="24"/>
          <w:szCs w:val="24"/>
          <w:highlight w:val="none"/>
          <w:u w:val="single"/>
          <w:lang w:val="en-US" w:eastAsia="zh-CN"/>
        </w:rPr>
        <w:t>项目</w:t>
      </w:r>
      <w:r>
        <w:rPr>
          <w:rFonts w:hint="eastAsia" w:ascii="宋体" w:hAnsi="宋体"/>
          <w:i/>
          <w:iCs/>
          <w:color w:val="000000"/>
          <w:sz w:val="24"/>
          <w:szCs w:val="24"/>
          <w:highlight w:val="none"/>
          <w:u w:val="single"/>
        </w:rPr>
        <w:t>作无效响应处理。</w:t>
      </w:r>
    </w:p>
    <w:p w14:paraId="75018B4C">
      <w:pPr>
        <w:pStyle w:val="30"/>
        <w:spacing w:beforeAutospacing="0" w:afterAutospacing="0"/>
        <w:jc w:val="center"/>
        <w:rPr>
          <w:color w:val="auto"/>
          <w:highlight w:val="none"/>
        </w:rPr>
      </w:pPr>
      <w:r>
        <w:rPr>
          <w:color w:val="auto"/>
          <w:highlight w:val="none"/>
        </w:rPr>
        <w:t> </w:t>
      </w:r>
    </w:p>
    <w:p w14:paraId="3BCA8150">
      <w:pPr>
        <w:pStyle w:val="30"/>
        <w:spacing w:beforeAutospacing="0" w:afterAutospacing="0"/>
        <w:jc w:val="center"/>
        <w:rPr>
          <w:color w:val="auto"/>
          <w:highlight w:val="none"/>
        </w:rPr>
      </w:pPr>
      <w:r>
        <w:rPr>
          <w:color w:val="auto"/>
          <w:highlight w:val="none"/>
        </w:rPr>
        <w:t> </w:t>
      </w:r>
    </w:p>
    <w:p w14:paraId="286243DE">
      <w:pPr>
        <w:rPr>
          <w:rFonts w:hint="eastAsia" w:ascii="方正小标宋简体" w:hAnsi="方正小标宋简体" w:eastAsia="方正小标宋简体" w:cs="方正小标宋简体"/>
          <w:b w:val="0"/>
          <w:bCs w:val="0"/>
          <w:sz w:val="32"/>
          <w:szCs w:val="32"/>
          <w:highlight w:val="none"/>
          <w:lang w:val="en-US" w:eastAsia="zh-CN"/>
        </w:rPr>
      </w:pPr>
    </w:p>
    <w:p w14:paraId="2C8CF462">
      <w:pP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p>
    <w:p w14:paraId="1910F095">
      <w:pPr>
        <w:numPr>
          <w:ilvl w:val="0"/>
          <w:numId w:val="0"/>
        </w:numPr>
        <w:spacing w:before="50" w:after="50"/>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十二、报价一览表（格式）</w:t>
      </w:r>
    </w:p>
    <w:p w14:paraId="4C7C6E50">
      <w:pPr>
        <w:spacing w:line="360" w:lineRule="auto"/>
        <w:rPr>
          <w:rFonts w:hint="eastAsia" w:ascii="黑体" w:eastAsia="黑体"/>
          <w:bCs/>
          <w:color w:val="000000" w:themeColor="text1"/>
          <w:sz w:val="24"/>
          <w:szCs w:val="24"/>
          <w:highlight w:val="none"/>
          <w14:textFill>
            <w14:solidFill>
              <w14:schemeClr w14:val="tx1"/>
            </w14:solidFill>
          </w14:textFill>
        </w:rPr>
      </w:pPr>
    </w:p>
    <w:p w14:paraId="68E43D5C">
      <w:pPr>
        <w:ind w:firstLine="480"/>
        <w:rPr>
          <w:rFonts w:ascii="宋体" w:hAnsi="宋体"/>
          <w:sz w:val="24"/>
          <w:szCs w:val="24"/>
          <w:highlight w:val="none"/>
        </w:rPr>
      </w:pPr>
      <w:r>
        <w:rPr>
          <w:rFonts w:ascii="宋体" w:hAnsi="宋体"/>
          <w:sz w:val="24"/>
          <w:szCs w:val="24"/>
          <w:highlight w:val="none"/>
        </w:rPr>
        <w:t>供应商全称（加盖CA电子签章）：</w:t>
      </w:r>
    </w:p>
    <w:p w14:paraId="0A086BBA">
      <w:pPr>
        <w:ind w:firstLine="480"/>
        <w:rPr>
          <w:sz w:val="24"/>
          <w:szCs w:val="24"/>
          <w:highlight w:val="none"/>
        </w:rPr>
      </w:pPr>
      <w:r>
        <w:rPr>
          <w:rFonts w:ascii="宋体" w:hAnsi="宋体"/>
          <w:sz w:val="24"/>
          <w:szCs w:val="24"/>
          <w:highlight w:val="none"/>
        </w:rPr>
        <w:t>项目名称：</w:t>
      </w:r>
    </w:p>
    <w:p w14:paraId="66D74968">
      <w:pPr>
        <w:ind w:firstLine="480"/>
        <w:rPr>
          <w:rFonts w:ascii="宋体" w:hAnsi="宋体"/>
          <w:sz w:val="24"/>
          <w:szCs w:val="24"/>
          <w:highlight w:val="none"/>
        </w:rPr>
      </w:pPr>
      <w:r>
        <w:rPr>
          <w:rFonts w:ascii="宋体" w:hAnsi="宋体"/>
          <w:sz w:val="24"/>
          <w:szCs w:val="24"/>
          <w:highlight w:val="none"/>
        </w:rPr>
        <w:t xml:space="preserve">项目编号：                                   </w:t>
      </w:r>
      <w:r>
        <w:rPr>
          <w:rFonts w:hint="eastAsia" w:ascii="宋体" w:hAnsi="宋体"/>
          <w:sz w:val="24"/>
          <w:szCs w:val="24"/>
          <w:highlight w:val="none"/>
          <w:lang w:val="en-US" w:eastAsia="zh-CN"/>
        </w:rPr>
        <w:t>标段</w:t>
      </w:r>
      <w:r>
        <w:rPr>
          <w:rFonts w:ascii="宋体" w:hAnsi="宋体"/>
          <w:sz w:val="24"/>
          <w:szCs w:val="24"/>
          <w:highlight w:val="none"/>
        </w:rPr>
        <w:t>号：</w:t>
      </w:r>
    </w:p>
    <w:p w14:paraId="5A826836">
      <w:pPr>
        <w:ind w:firstLine="309"/>
        <w:rPr>
          <w:rFonts w:ascii="宋体" w:hAnsi="宋体"/>
          <w:sz w:val="30"/>
          <w:szCs w:val="30"/>
          <w:highlight w:val="none"/>
        </w:rPr>
      </w:pPr>
      <w:r>
        <w:rPr>
          <w:rFonts w:hint="eastAsia" w:ascii="宋体" w:hAnsi="宋体"/>
          <w:sz w:val="28"/>
          <w:highlight w:val="none"/>
        </w:rPr>
        <w:t xml:space="preserve">    </w:t>
      </w:r>
    </w:p>
    <w:tbl>
      <w:tblPr>
        <w:tblStyle w:val="33"/>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2"/>
        <w:gridCol w:w="6490"/>
      </w:tblGrid>
      <w:tr w14:paraId="2331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jc w:val="center"/>
        </w:trPr>
        <w:tc>
          <w:tcPr>
            <w:tcW w:w="3192" w:type="dxa"/>
            <w:noWrap w:val="0"/>
            <w:vAlign w:val="center"/>
          </w:tcPr>
          <w:p w14:paraId="6A6BE6CA">
            <w:pPr>
              <w:jc w:val="center"/>
              <w:rPr>
                <w:rFonts w:ascii="宋体" w:hAnsi="宋体"/>
                <w:sz w:val="28"/>
                <w:szCs w:val="28"/>
                <w:highlight w:val="none"/>
              </w:rPr>
            </w:pPr>
            <w:r>
              <w:rPr>
                <w:rFonts w:hint="eastAsia" w:ascii="宋体" w:hAnsi="宋体"/>
                <w:sz w:val="28"/>
                <w:szCs w:val="28"/>
                <w:highlight w:val="none"/>
              </w:rPr>
              <w:t>工时单价</w:t>
            </w:r>
          </w:p>
        </w:tc>
        <w:tc>
          <w:tcPr>
            <w:tcW w:w="6490" w:type="dxa"/>
            <w:noWrap w:val="0"/>
            <w:vAlign w:val="center"/>
          </w:tcPr>
          <w:p w14:paraId="664F601F">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none"/>
              </w:rPr>
              <w:t>元/工时</w:t>
            </w:r>
          </w:p>
        </w:tc>
      </w:tr>
      <w:tr w14:paraId="76F2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3192" w:type="dxa"/>
            <w:noWrap w:val="0"/>
            <w:vAlign w:val="center"/>
          </w:tcPr>
          <w:p w14:paraId="540296FB">
            <w:pPr>
              <w:jc w:val="center"/>
              <w:rPr>
                <w:rFonts w:ascii="宋体" w:hAnsi="宋体"/>
                <w:sz w:val="28"/>
                <w:szCs w:val="28"/>
                <w:highlight w:val="none"/>
              </w:rPr>
            </w:pPr>
            <w:r>
              <w:rPr>
                <w:rFonts w:hint="eastAsia" w:ascii="宋体" w:hAnsi="宋体"/>
                <w:sz w:val="28"/>
                <w:szCs w:val="28"/>
                <w:highlight w:val="none"/>
              </w:rPr>
              <w:t>工时单价除以最高限价的数值</w:t>
            </w:r>
          </w:p>
        </w:tc>
        <w:tc>
          <w:tcPr>
            <w:tcW w:w="6490" w:type="dxa"/>
            <w:noWrap w:val="0"/>
            <w:vAlign w:val="center"/>
          </w:tcPr>
          <w:p w14:paraId="034ED21F">
            <w:pPr>
              <w:jc w:val="center"/>
              <w:rPr>
                <w:rFonts w:ascii="宋体" w:hAnsi="宋体"/>
                <w:sz w:val="28"/>
                <w:szCs w:val="28"/>
                <w:highlight w:val="none"/>
                <w:u w:val="single"/>
              </w:rPr>
            </w:pPr>
            <w:r>
              <w:rPr>
                <w:rFonts w:hint="eastAsia" w:ascii="宋体" w:hAnsi="宋体"/>
                <w:sz w:val="28"/>
                <w:szCs w:val="28"/>
                <w:highlight w:val="none"/>
                <w:u w:val="single"/>
              </w:rPr>
              <w:t xml:space="preserve">    a  </w:t>
            </w:r>
            <w:r>
              <w:rPr>
                <w:rFonts w:ascii="宋体" w:hAnsi="宋体"/>
                <w:sz w:val="28"/>
                <w:szCs w:val="28"/>
                <w:highlight w:val="none"/>
                <w:u w:val="single"/>
              </w:rPr>
              <w:t xml:space="preserve"> </w:t>
            </w:r>
            <w:r>
              <w:rPr>
                <w:rFonts w:hint="eastAsia" w:ascii="宋体" w:hAnsi="宋体"/>
                <w:sz w:val="28"/>
                <w:szCs w:val="28"/>
                <w:highlight w:val="none"/>
              </w:rPr>
              <w:t>%</w:t>
            </w:r>
          </w:p>
        </w:tc>
      </w:tr>
      <w:tr w14:paraId="5820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3192" w:type="dxa"/>
            <w:noWrap w:val="0"/>
            <w:vAlign w:val="center"/>
          </w:tcPr>
          <w:p w14:paraId="75EFB288">
            <w:pPr>
              <w:jc w:val="center"/>
              <w:rPr>
                <w:rFonts w:ascii="宋体" w:hAnsi="宋体"/>
                <w:b/>
                <w:bCs/>
                <w:sz w:val="28"/>
                <w:szCs w:val="28"/>
                <w:highlight w:val="none"/>
              </w:rPr>
            </w:pPr>
            <w:r>
              <w:rPr>
                <w:rFonts w:hint="eastAsia" w:ascii="宋体" w:hAnsi="宋体"/>
                <w:sz w:val="28"/>
                <w:szCs w:val="28"/>
                <w:highlight w:val="none"/>
              </w:rPr>
              <w:t>材料进销差价率</w:t>
            </w:r>
          </w:p>
        </w:tc>
        <w:tc>
          <w:tcPr>
            <w:tcW w:w="6490" w:type="dxa"/>
            <w:noWrap w:val="0"/>
            <w:vAlign w:val="center"/>
          </w:tcPr>
          <w:p w14:paraId="481775CD">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b</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rPr>
              <w:t>%</w:t>
            </w:r>
          </w:p>
        </w:tc>
      </w:tr>
      <w:tr w14:paraId="4A5B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3192" w:type="dxa"/>
            <w:noWrap w:val="0"/>
            <w:vAlign w:val="center"/>
          </w:tcPr>
          <w:p w14:paraId="7DB2103E">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综合计算得数</w:t>
            </w:r>
          </w:p>
        </w:tc>
        <w:tc>
          <w:tcPr>
            <w:tcW w:w="6490" w:type="dxa"/>
            <w:noWrap w:val="0"/>
            <w:vAlign w:val="center"/>
          </w:tcPr>
          <w:p w14:paraId="5B95BF31">
            <w:pPr>
              <w:jc w:val="center"/>
              <w:rPr>
                <w:rFonts w:hint="eastAsia" w:ascii="宋体" w:hAnsi="宋体" w:eastAsiaTheme="minorEastAsia"/>
                <w:sz w:val="28"/>
                <w:szCs w:val="28"/>
                <w:highlight w:val="none"/>
                <w:u w:val="single"/>
                <w:lang w:val="en-US" w:eastAsia="zh-CN"/>
              </w:rPr>
            </w:pPr>
            <w:r>
              <w:rPr>
                <w:rFonts w:hint="eastAsia" w:ascii="宋体" w:hAnsi="宋体"/>
                <w:sz w:val="28"/>
                <w:szCs w:val="28"/>
                <w:highlight w:val="none"/>
                <w:u w:val="none"/>
                <w:lang w:val="en-US" w:eastAsia="zh-CN"/>
              </w:rPr>
              <w:t>Y</w:t>
            </w:r>
          </w:p>
        </w:tc>
      </w:tr>
    </w:tbl>
    <w:p w14:paraId="5A54C4C3">
      <w:pPr>
        <w:ind w:firstLine="480"/>
        <w:rPr>
          <w:rFonts w:ascii="宋体" w:hAnsi="宋体"/>
          <w:sz w:val="24"/>
          <w:szCs w:val="24"/>
          <w:highlight w:val="none"/>
        </w:rPr>
      </w:pPr>
      <w:r>
        <w:rPr>
          <w:rFonts w:hint="eastAsia" w:ascii="宋体" w:hAnsi="宋体"/>
          <w:sz w:val="28"/>
          <w:highlight w:val="none"/>
        </w:rPr>
        <w:t xml:space="preserve">       </w:t>
      </w:r>
      <w:r>
        <w:rPr>
          <w:rFonts w:ascii="宋体" w:hAnsi="宋体"/>
          <w:sz w:val="24"/>
          <w:szCs w:val="24"/>
          <w:highlight w:val="none"/>
        </w:rPr>
        <w:t xml:space="preserve">                               日期：  </w:t>
      </w:r>
      <w:r>
        <w:rPr>
          <w:rFonts w:ascii="宋体" w:hAnsi="宋体"/>
          <w:sz w:val="24"/>
          <w:szCs w:val="24"/>
          <w:highlight w:val="none"/>
          <w:u w:val="single"/>
        </w:rPr>
        <w:t xml:space="preserve">     </w:t>
      </w:r>
      <w:r>
        <w:rPr>
          <w:rFonts w:ascii="宋体" w:hAnsi="宋体"/>
          <w:sz w:val="24"/>
          <w:szCs w:val="24"/>
          <w:highlight w:val="none"/>
        </w:rPr>
        <w:t>年</w:t>
      </w:r>
      <w:r>
        <w:rPr>
          <w:rFonts w:ascii="宋体" w:hAnsi="宋体"/>
          <w:sz w:val="24"/>
          <w:szCs w:val="24"/>
          <w:highlight w:val="none"/>
          <w:u w:val="single"/>
        </w:rPr>
        <w:t xml:space="preserve">   </w:t>
      </w:r>
      <w:r>
        <w:rPr>
          <w:rFonts w:ascii="宋体" w:hAnsi="宋体"/>
          <w:sz w:val="24"/>
          <w:szCs w:val="24"/>
          <w:highlight w:val="none"/>
        </w:rPr>
        <w:t>月</w:t>
      </w:r>
      <w:r>
        <w:rPr>
          <w:rFonts w:ascii="宋体" w:hAnsi="宋体"/>
          <w:sz w:val="24"/>
          <w:szCs w:val="24"/>
          <w:highlight w:val="none"/>
          <w:u w:val="single"/>
        </w:rPr>
        <w:t xml:space="preserve">   </w:t>
      </w:r>
      <w:r>
        <w:rPr>
          <w:rFonts w:ascii="宋体" w:hAnsi="宋体"/>
          <w:sz w:val="24"/>
          <w:szCs w:val="24"/>
          <w:highlight w:val="none"/>
        </w:rPr>
        <w:t>日</w:t>
      </w:r>
    </w:p>
    <w:p w14:paraId="59E11A8C">
      <w:pPr>
        <w:ind w:firstLine="480"/>
        <w:rPr>
          <w:rFonts w:ascii="宋体" w:hAnsi="宋体"/>
          <w:sz w:val="24"/>
          <w:szCs w:val="24"/>
          <w:highlight w:val="none"/>
        </w:rPr>
      </w:pPr>
    </w:p>
    <w:p w14:paraId="001BE07B">
      <w:pPr>
        <w:shd w:val="clear" w:color="auto" w:fill="FFFFFF"/>
        <w:spacing w:after="150" w:line="450" w:lineRule="atLeast"/>
        <w:ind w:firstLine="480"/>
        <w:jc w:val="both"/>
        <w:rPr>
          <w:rFonts w:ascii="微软雅黑" w:hAnsi="微软雅黑" w:eastAsia="微软雅黑" w:cs="宋体"/>
          <w:sz w:val="24"/>
          <w:szCs w:val="24"/>
          <w:highlight w:val="none"/>
        </w:rPr>
      </w:pPr>
      <w:r>
        <w:rPr>
          <w:rFonts w:hint="eastAsia" w:ascii="微软雅黑" w:hAnsi="微软雅黑" w:eastAsia="微软雅黑" w:cs="宋体"/>
          <w:sz w:val="24"/>
          <w:szCs w:val="24"/>
          <w:highlight w:val="none"/>
        </w:rPr>
        <w:t>说明：</w:t>
      </w:r>
    </w:p>
    <w:p w14:paraId="39E6F465">
      <w:pPr>
        <w:numPr>
          <w:ilvl w:val="0"/>
          <w:numId w:val="0"/>
        </w:numPr>
        <w:spacing w:line="460" w:lineRule="exact"/>
        <w:ind w:firstLine="480"/>
        <w:rPr>
          <w:rFonts w:hint="eastAsia" w:ascii="仿宋_GB2312" w:hAnsi="宋体" w:eastAsia="仿宋_GB2312"/>
          <w:b/>
          <w:bCs/>
          <w:sz w:val="28"/>
          <w:szCs w:val="28"/>
          <w:highlight w:val="none"/>
          <w:lang w:val="en-US" w:eastAsia="zh-CN"/>
        </w:rPr>
      </w:pPr>
      <w:r>
        <w:rPr>
          <w:rFonts w:hint="eastAsia" w:ascii="仿宋_GB2312" w:hAnsi="宋体" w:eastAsia="仿宋_GB2312" w:cstheme="minorBidi"/>
          <w:b/>
          <w:bCs/>
          <w:sz w:val="28"/>
          <w:szCs w:val="28"/>
          <w:highlight w:val="none"/>
          <w:lang w:val="en-US" w:eastAsia="zh-CN" w:bidi="ar-SA"/>
        </w:rPr>
        <w:t>注☆1、</w:t>
      </w:r>
      <w:r>
        <w:rPr>
          <w:rFonts w:hint="eastAsia" w:ascii="仿宋_GB2312" w:hAnsi="宋体" w:eastAsia="仿宋_GB2312"/>
          <w:b/>
          <w:bCs/>
          <w:sz w:val="28"/>
          <w:szCs w:val="28"/>
          <w:highlight w:val="none"/>
          <w:lang w:val="en-US" w:eastAsia="zh-CN"/>
        </w:rPr>
        <w:t>供应商的工时单价报价必须精确并保留小数点后两位，且小数点后两位不得为“00”元，评审价精确到小数点后两位（四舍五入），如供应商评审价相同，导致淘汰比例低于20%时，末位评审价相同的供应商均淘汰（例：供应商家数为20家×淘汰率20%=16家入围，如排名第16名和第17名的评审价相同时，则排名第16名和第17名供应商均被淘汰，以此类推）。</w:t>
      </w:r>
    </w:p>
    <w:p w14:paraId="4A8A5027">
      <w:pPr>
        <w:numPr>
          <w:ilvl w:val="0"/>
          <w:numId w:val="0"/>
        </w:numPr>
        <w:spacing w:line="460" w:lineRule="exact"/>
        <w:ind w:firstLine="480"/>
        <w:rPr>
          <w:rFonts w:hint="eastAsia" w:ascii="仿宋_GB2312" w:hAnsi="宋体" w:eastAsia="仿宋_GB2312"/>
          <w:sz w:val="24"/>
          <w:highlight w:val="none"/>
          <w:lang w:val="en-US" w:eastAsia="zh-CN"/>
        </w:rPr>
      </w:pPr>
      <w:r>
        <w:rPr>
          <w:rFonts w:hint="eastAsia" w:ascii="仿宋_GB2312" w:hAnsi="宋体" w:eastAsia="仿宋_GB2312" w:cstheme="minorBidi"/>
          <w:sz w:val="24"/>
          <w:szCs w:val="24"/>
          <w:highlight w:val="none"/>
          <w:lang w:val="en-US" w:eastAsia="zh-CN" w:bidi="ar-SA"/>
        </w:rPr>
        <w:t>2、</w:t>
      </w:r>
      <w:r>
        <w:rPr>
          <w:rFonts w:hint="eastAsia" w:ascii="仿宋_GB2312" w:hAnsi="宋体" w:eastAsia="仿宋_GB2312"/>
          <w:sz w:val="24"/>
          <w:highlight w:val="none"/>
          <w:lang w:val="en-US" w:eastAsia="zh-CN"/>
        </w:rPr>
        <w:t>维修结算价格=（结算工时定额*工时单价）+材料进价*（1+进销差率）。</w:t>
      </w:r>
    </w:p>
    <w:p w14:paraId="5805B992">
      <w:pPr>
        <w:numPr>
          <w:ilvl w:val="255"/>
          <w:numId w:val="0"/>
        </w:numPr>
        <w:shd w:val="clear" w:color="auto" w:fill="FFFFFF"/>
        <w:spacing w:after="150" w:line="450" w:lineRule="atLeast"/>
        <w:ind w:firstLine="480"/>
        <w:jc w:val="both"/>
        <w:rPr>
          <w:rFonts w:ascii="仿宋_GB2312" w:hAnsi="宋体" w:eastAsia="仿宋_GB2312"/>
          <w:sz w:val="24"/>
          <w:highlight w:val="none"/>
        </w:rPr>
      </w:pPr>
      <w:r>
        <w:rPr>
          <w:rFonts w:ascii="仿宋_GB2312" w:hAnsi="宋体" w:eastAsia="仿宋_GB2312"/>
          <w:sz w:val="24"/>
          <w:highlight w:val="none"/>
        </w:rPr>
        <w:t>“</w:t>
      </w:r>
      <w:r>
        <w:rPr>
          <w:rFonts w:hint="eastAsia" w:ascii="仿宋_GB2312" w:hAnsi="宋体" w:eastAsia="仿宋_GB2312"/>
          <w:sz w:val="24"/>
          <w:highlight w:val="none"/>
        </w:rPr>
        <w:t>结算</w:t>
      </w:r>
      <w:r>
        <w:rPr>
          <w:rFonts w:ascii="仿宋_GB2312" w:hAnsi="宋体" w:eastAsia="仿宋_GB2312"/>
          <w:sz w:val="24"/>
          <w:highlight w:val="none"/>
        </w:rPr>
        <w:t>工时定额”按江苏省</w:t>
      </w:r>
      <w:r>
        <w:rPr>
          <w:rFonts w:hint="eastAsia" w:ascii="仿宋_GB2312" w:hAnsi="宋体" w:eastAsia="仿宋_GB2312"/>
          <w:sz w:val="24"/>
          <w:highlight w:val="none"/>
        </w:rPr>
        <w:t>2014年</w:t>
      </w:r>
      <w:r>
        <w:rPr>
          <w:rFonts w:hint="eastAsia" w:ascii="仿宋_GB2312" w:hAnsi="宋体" w:eastAsia="仿宋_GB2312"/>
          <w:sz w:val="24"/>
          <w:highlight w:val="none"/>
          <w:lang w:val="en-US" w:eastAsia="zh-CN"/>
        </w:rPr>
        <w:t>3</w:t>
      </w:r>
      <w:r>
        <w:rPr>
          <w:rFonts w:hint="eastAsia" w:ascii="仿宋_GB2312" w:hAnsi="宋体" w:eastAsia="仿宋_GB2312"/>
          <w:sz w:val="24"/>
          <w:highlight w:val="none"/>
        </w:rPr>
        <w:t>月</w:t>
      </w:r>
      <w:r>
        <w:rPr>
          <w:rFonts w:hint="eastAsia" w:ascii="仿宋_GB2312" w:hAnsi="宋体" w:eastAsia="仿宋_GB2312"/>
          <w:sz w:val="24"/>
          <w:highlight w:val="none"/>
          <w:lang w:val="en-US" w:eastAsia="zh-CN"/>
        </w:rPr>
        <w:t>30日</w:t>
      </w:r>
      <w:r>
        <w:rPr>
          <w:rFonts w:hint="eastAsia" w:ascii="仿宋_GB2312" w:hAnsi="宋体" w:eastAsia="仿宋_GB2312"/>
          <w:sz w:val="24"/>
          <w:highlight w:val="none"/>
        </w:rPr>
        <w:t>制定的</w:t>
      </w:r>
      <w:r>
        <w:rPr>
          <w:rFonts w:ascii="仿宋_GB2312" w:hAnsi="宋体" w:eastAsia="仿宋_GB2312"/>
          <w:sz w:val="24"/>
          <w:highlight w:val="none"/>
        </w:rPr>
        <w:t>《江苏省</w:t>
      </w:r>
      <w:r>
        <w:rPr>
          <w:rFonts w:hint="eastAsia" w:ascii="仿宋_GB2312" w:hAnsi="宋体" w:eastAsia="仿宋_GB2312"/>
          <w:sz w:val="24"/>
          <w:highlight w:val="none"/>
        </w:rPr>
        <w:t>机动车维修结算工时定额与收费指南</w:t>
      </w:r>
      <w:r>
        <w:rPr>
          <w:rFonts w:ascii="仿宋_GB2312" w:hAnsi="宋体" w:eastAsia="仿宋_GB2312"/>
          <w:sz w:val="24"/>
          <w:highlight w:val="none"/>
        </w:rPr>
        <w:t>》</w:t>
      </w:r>
      <w:r>
        <w:rPr>
          <w:rFonts w:hint="eastAsia" w:ascii="仿宋_GB2312" w:hAnsi="宋体" w:eastAsia="仿宋_GB2312"/>
          <w:sz w:val="24"/>
          <w:highlight w:val="none"/>
        </w:rPr>
        <w:t>执行</w:t>
      </w:r>
      <w:r>
        <w:rPr>
          <w:rFonts w:ascii="仿宋_GB2312" w:hAnsi="宋体" w:eastAsia="仿宋_GB2312"/>
          <w:sz w:val="24"/>
          <w:highlight w:val="none"/>
        </w:rPr>
        <w:t>。</w:t>
      </w:r>
    </w:p>
    <w:p w14:paraId="4076C0DE">
      <w:pPr>
        <w:pStyle w:val="197"/>
        <w:keepNext w:val="0"/>
        <w:keepLines w:val="0"/>
        <w:pageBreakBefore w:val="0"/>
        <w:widowControl w:val="0"/>
        <w:tabs>
          <w:tab w:val="left" w:pos="739"/>
        </w:tabs>
        <w:spacing w:line="500" w:lineRule="exact"/>
        <w:ind w:right="193" w:firstLine="470"/>
        <w:rPr>
          <w:rFonts w:hint="default" w:ascii="仿宋_GB2312" w:hAnsi="宋体" w:eastAsia="仿宋_GB2312" w:cstheme="minorBidi"/>
          <w:sz w:val="24"/>
          <w:szCs w:val="24"/>
          <w:highlight w:val="none"/>
          <w:lang w:val="en-US" w:eastAsia="zh-CN" w:bidi="ar-SA"/>
        </w:rPr>
      </w:pPr>
      <w:r>
        <w:rPr>
          <w:rFonts w:hint="eastAsia" w:ascii="仿宋_GB2312" w:eastAsia="仿宋_GB2312" w:cstheme="minorBidi"/>
          <w:sz w:val="24"/>
          <w:szCs w:val="24"/>
          <w:highlight w:val="none"/>
          <w:lang w:val="en-US" w:eastAsia="zh-CN" w:bidi="ar-SA"/>
        </w:rPr>
        <w:t>3</w:t>
      </w:r>
      <w:r>
        <w:rPr>
          <w:rFonts w:hint="eastAsia" w:ascii="仿宋_GB2312" w:hAnsi="宋体" w:eastAsia="仿宋_GB2312" w:cstheme="minorBidi"/>
          <w:sz w:val="24"/>
          <w:szCs w:val="24"/>
          <w:highlight w:val="none"/>
          <w:lang w:val="en-US" w:eastAsia="zh-CN" w:bidi="ar-SA"/>
        </w:rPr>
        <w:t>.供应商报价的工时单价、材料进销差价率为必报项。为方便系统唱标与</w:t>
      </w:r>
      <w:r>
        <w:rPr>
          <w:rFonts w:hint="eastAsia" w:ascii="仿宋_GB2312" w:eastAsia="仿宋_GB2312" w:cstheme="minorBidi"/>
          <w:sz w:val="24"/>
          <w:szCs w:val="24"/>
          <w:highlight w:val="none"/>
          <w:lang w:val="en-US" w:eastAsia="zh-CN" w:bidi="ar-SA"/>
        </w:rPr>
        <w:t>评审价</w:t>
      </w:r>
      <w:r>
        <w:rPr>
          <w:rFonts w:hint="eastAsia" w:ascii="仿宋_GB2312" w:hAnsi="宋体" w:eastAsia="仿宋_GB2312" w:cstheme="minorBidi"/>
          <w:sz w:val="24"/>
          <w:szCs w:val="24"/>
          <w:highlight w:val="none"/>
          <w:lang w:val="en-US" w:eastAsia="zh-CN" w:bidi="ar-SA"/>
        </w:rPr>
        <w:t>计算，供应商应根据第三条款计算公式算出综合计算得数。</w:t>
      </w:r>
    </w:p>
    <w:p w14:paraId="385480A1">
      <w:pPr>
        <w:numPr>
          <w:ilvl w:val="255"/>
          <w:numId w:val="0"/>
        </w:numPr>
        <w:shd w:val="clear" w:color="auto" w:fill="FFFFFF"/>
        <w:spacing w:after="150" w:line="450" w:lineRule="atLeast"/>
        <w:ind w:firstLine="480"/>
        <w:jc w:val="both"/>
        <w:rPr>
          <w:rFonts w:ascii="仿宋_GB2312" w:hAnsi="宋体" w:eastAsia="仿宋_GB2312"/>
          <w:sz w:val="24"/>
          <w:highlight w:val="none"/>
        </w:rPr>
      </w:pPr>
      <w:r>
        <w:rPr>
          <w:rFonts w:hint="eastAsia" w:ascii="仿宋_GB2312" w:hAnsi="宋体" w:eastAsia="仿宋_GB2312"/>
          <w:sz w:val="24"/>
          <w:highlight w:val="none"/>
          <w:lang w:val="en-US" w:eastAsia="zh-CN"/>
        </w:rPr>
        <w:t>4</w:t>
      </w:r>
      <w:r>
        <w:rPr>
          <w:rFonts w:hint="eastAsia" w:ascii="仿宋_GB2312" w:hAnsi="宋体" w:eastAsia="仿宋_GB2312"/>
          <w:sz w:val="24"/>
          <w:highlight w:val="none"/>
          <w:lang w:val="en-US"/>
        </w:rPr>
        <w:t>.</w:t>
      </w:r>
      <w:r>
        <w:rPr>
          <w:rFonts w:hint="eastAsia" w:ascii="仿宋_GB2312" w:hAnsi="宋体" w:eastAsia="仿宋_GB2312" w:cstheme="minorBidi"/>
          <w:sz w:val="24"/>
          <w:szCs w:val="24"/>
          <w:highlight w:val="none"/>
          <w:lang w:val="en-US" w:eastAsia="zh-CN" w:bidi="ar-SA"/>
        </w:rPr>
        <w:t>综合计算得数即</w:t>
      </w:r>
      <w:r>
        <w:rPr>
          <w:rFonts w:hint="eastAsia" w:ascii="仿宋_GB2312" w:hAnsi="宋体" w:eastAsia="仿宋_GB2312"/>
          <w:sz w:val="24"/>
          <w:highlight w:val="none"/>
        </w:rPr>
        <w:t>评审价Y计算公式为：Y=a×</w:t>
      </w:r>
      <w:r>
        <w:rPr>
          <w:rFonts w:hint="eastAsia" w:ascii="仿宋_GB2312" w:hAnsi="宋体" w:eastAsia="仿宋_GB2312"/>
          <w:sz w:val="24"/>
          <w:highlight w:val="none"/>
          <w:lang w:val="en-US" w:eastAsia="zh-CN"/>
        </w:rPr>
        <w:t>3</w:t>
      </w:r>
      <w:r>
        <w:rPr>
          <w:rFonts w:hint="eastAsia" w:ascii="仿宋_GB2312" w:hAnsi="宋体" w:eastAsia="仿宋_GB2312"/>
          <w:sz w:val="24"/>
          <w:highlight w:val="none"/>
        </w:rPr>
        <w:t>0%+b×</w:t>
      </w:r>
      <w:r>
        <w:rPr>
          <w:rFonts w:hint="eastAsia" w:ascii="仿宋_GB2312" w:hAnsi="宋体" w:eastAsia="仿宋_GB2312"/>
          <w:sz w:val="24"/>
          <w:highlight w:val="none"/>
          <w:lang w:val="en-US" w:eastAsia="zh-CN"/>
        </w:rPr>
        <w:t>7</w:t>
      </w:r>
      <w:r>
        <w:rPr>
          <w:rFonts w:hint="eastAsia" w:ascii="仿宋_GB2312" w:hAnsi="宋体" w:eastAsia="仿宋_GB2312"/>
          <w:sz w:val="24"/>
          <w:highlight w:val="none"/>
        </w:rPr>
        <w:t>0%。评审价中工时单价计算权重为</w:t>
      </w:r>
      <w:r>
        <w:rPr>
          <w:rFonts w:hint="eastAsia" w:ascii="仿宋_GB2312" w:hAnsi="宋体" w:eastAsia="仿宋_GB2312"/>
          <w:sz w:val="24"/>
          <w:highlight w:val="none"/>
          <w:lang w:val="en-US" w:eastAsia="zh-CN"/>
        </w:rPr>
        <w:t>3</w:t>
      </w:r>
      <w:r>
        <w:rPr>
          <w:rFonts w:hint="eastAsia" w:ascii="仿宋_GB2312" w:hAnsi="宋体" w:eastAsia="仿宋_GB2312"/>
          <w:sz w:val="24"/>
          <w:highlight w:val="none"/>
        </w:rPr>
        <w:t>0%，材料进销差价率计算权重为</w:t>
      </w:r>
      <w:r>
        <w:rPr>
          <w:rFonts w:hint="eastAsia" w:ascii="仿宋_GB2312" w:hAnsi="宋体" w:eastAsia="仿宋_GB2312"/>
          <w:sz w:val="24"/>
          <w:highlight w:val="none"/>
          <w:lang w:val="en-US" w:eastAsia="zh-CN"/>
        </w:rPr>
        <w:t>7</w:t>
      </w:r>
      <w:r>
        <w:rPr>
          <w:rFonts w:hint="eastAsia" w:ascii="仿宋_GB2312" w:hAnsi="宋体" w:eastAsia="仿宋_GB2312"/>
          <w:sz w:val="24"/>
          <w:highlight w:val="none"/>
        </w:rPr>
        <w:t>0%。综合计算后，得数（价格）低的供应商，排序在前。</w:t>
      </w:r>
    </w:p>
    <w:p w14:paraId="05B477E8">
      <w:pPr>
        <w:numPr>
          <w:ilvl w:val="255"/>
          <w:numId w:val="0"/>
        </w:numPr>
        <w:shd w:val="clear" w:color="auto" w:fill="FFFFFF"/>
        <w:spacing w:after="150" w:line="450" w:lineRule="atLeast"/>
        <w:ind w:firstLine="480"/>
        <w:jc w:val="both"/>
        <w:rPr>
          <w:rFonts w:ascii="仿宋_GB2312" w:hAnsi="宋体" w:eastAsia="仿宋_GB2312"/>
          <w:sz w:val="24"/>
          <w:highlight w:val="none"/>
        </w:rPr>
      </w:pPr>
      <w:r>
        <w:rPr>
          <w:rFonts w:hint="eastAsia" w:ascii="仿宋_GB2312" w:hAnsi="宋体" w:eastAsia="仿宋_GB2312"/>
          <w:sz w:val="24"/>
          <w:highlight w:val="none"/>
        </w:rPr>
        <w:t>例：如工时单价除以最高限价的数值为</w:t>
      </w:r>
      <w:r>
        <w:rPr>
          <w:rFonts w:ascii="仿宋_GB2312" w:hAnsi="宋体" w:eastAsia="仿宋_GB2312"/>
          <w:sz w:val="24"/>
          <w:highlight w:val="none"/>
        </w:rPr>
        <w:t>7</w:t>
      </w:r>
      <w:r>
        <w:rPr>
          <w:rFonts w:hint="eastAsia" w:ascii="仿宋_GB2312" w:hAnsi="宋体" w:eastAsia="仿宋_GB2312"/>
          <w:sz w:val="24"/>
          <w:highlight w:val="none"/>
        </w:rPr>
        <w:t>0%，则a为70；如材料进销差价率为 20%，则b为20。该评审价即Y=70×</w:t>
      </w:r>
      <w:r>
        <w:rPr>
          <w:rFonts w:hint="eastAsia" w:ascii="仿宋_GB2312" w:hAnsi="宋体" w:eastAsia="仿宋_GB2312"/>
          <w:sz w:val="24"/>
          <w:highlight w:val="none"/>
          <w:lang w:val="en-US" w:eastAsia="zh-CN"/>
        </w:rPr>
        <w:t>3</w:t>
      </w:r>
      <w:r>
        <w:rPr>
          <w:rFonts w:hint="eastAsia" w:ascii="仿宋_GB2312" w:hAnsi="宋体" w:eastAsia="仿宋_GB2312"/>
          <w:sz w:val="24"/>
          <w:highlight w:val="none"/>
        </w:rPr>
        <w:t>0%+20×</w:t>
      </w:r>
      <w:r>
        <w:rPr>
          <w:rFonts w:hint="eastAsia" w:ascii="仿宋_GB2312" w:hAnsi="宋体" w:eastAsia="仿宋_GB2312"/>
          <w:sz w:val="24"/>
          <w:highlight w:val="none"/>
          <w:lang w:val="en-US" w:eastAsia="zh-CN"/>
        </w:rPr>
        <w:t>7</w:t>
      </w:r>
      <w:r>
        <w:rPr>
          <w:rFonts w:hint="eastAsia" w:ascii="仿宋_GB2312" w:hAnsi="宋体" w:eastAsia="仿宋_GB2312"/>
          <w:sz w:val="24"/>
          <w:highlight w:val="none"/>
        </w:rPr>
        <w:t>0%=</w:t>
      </w:r>
      <w:r>
        <w:rPr>
          <w:rFonts w:hint="eastAsia" w:ascii="仿宋_GB2312" w:hAnsi="宋体" w:eastAsia="仿宋_GB2312"/>
          <w:sz w:val="24"/>
          <w:highlight w:val="none"/>
          <w:lang w:val="en-US" w:eastAsia="zh-CN"/>
        </w:rPr>
        <w:t>3</w:t>
      </w:r>
      <w:r>
        <w:rPr>
          <w:rFonts w:hint="eastAsia" w:ascii="仿宋_GB2312" w:hAnsi="宋体" w:eastAsia="仿宋_GB2312"/>
          <w:sz w:val="24"/>
          <w:highlight w:val="none"/>
        </w:rPr>
        <w:t>5。</w:t>
      </w:r>
      <w:r>
        <w:rPr>
          <w:rFonts w:ascii="仿宋_GB2312" w:hAnsi="宋体" w:eastAsia="仿宋_GB2312"/>
          <w:sz w:val="24"/>
          <w:highlight w:val="none"/>
        </w:rPr>
        <w:t xml:space="preserve"> </w:t>
      </w:r>
    </w:p>
    <w:p w14:paraId="2CF3FD98">
      <w:pPr>
        <w:spacing w:line="460" w:lineRule="exact"/>
        <w:ind w:firstLine="480"/>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5、供应商报价应该充分考虑盐城市劳务人员最低工资标准。评审过程中出现下列情形之一的，评标委员会将启动异常低价投标审查程序：</w:t>
      </w:r>
    </w:p>
    <w:p w14:paraId="355B7511">
      <w:pPr>
        <w:spacing w:line="460" w:lineRule="exact"/>
        <w:ind w:firstLine="480"/>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①投标报价低于采购项目最高限价45%的，即投标报价&lt;采购项目最高限价×45%；</w:t>
      </w:r>
    </w:p>
    <w:p w14:paraId="0D27D301">
      <w:pPr>
        <w:spacing w:line="460" w:lineRule="exact"/>
        <w:ind w:firstLine="480"/>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②评审委员会认定的供应商报价过低、有可能影响产品质量或者不能诚信履约的其他情形。</w:t>
      </w:r>
    </w:p>
    <w:p w14:paraId="13AA0DBC">
      <w:pPr>
        <w:spacing w:line="460" w:lineRule="exact"/>
        <w:ind w:firstLine="480"/>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③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7E87838A">
      <w:pPr>
        <w:spacing w:line="460" w:lineRule="exact"/>
        <w:ind w:firstLine="480"/>
        <w:rPr>
          <w:rFonts w:hint="eastAsia" w:ascii="仿宋_GB2312" w:hAnsi="宋体" w:eastAsia="仿宋_GB2312"/>
          <w:sz w:val="24"/>
          <w:highlight w:val="none"/>
          <w:lang w:val="en-US" w:eastAsia="zh-CN"/>
        </w:rPr>
      </w:pPr>
    </w:p>
    <w:p w14:paraId="4A467FF0">
      <w:pPr>
        <w:spacing w:line="460" w:lineRule="exact"/>
        <w:ind w:firstLine="480"/>
        <w:rPr>
          <w:rFonts w:hint="eastAsia" w:ascii="微软雅黑" w:hAnsi="微软雅黑" w:eastAsia="微软雅黑" w:cs="宋体"/>
          <w:sz w:val="24"/>
          <w:szCs w:val="24"/>
          <w:highlight w:val="none"/>
          <w:lang w:val="en-US" w:eastAsia="zh-CN"/>
        </w:rPr>
      </w:pPr>
    </w:p>
    <w:p w14:paraId="4B9A686A">
      <w:pPr>
        <w:spacing w:line="560" w:lineRule="exact"/>
        <w:ind w:firstLine="240"/>
        <w:jc w:val="center"/>
        <w:rPr>
          <w:rFonts w:ascii="宋体" w:hAnsi="宋体"/>
          <w:bCs/>
          <w:sz w:val="24"/>
          <w:highlight w:val="none"/>
        </w:rPr>
      </w:pPr>
    </w:p>
    <w:p w14:paraId="3A18CF1C">
      <w:pPr>
        <w:rPr>
          <w:rFonts w:ascii="宋体" w:hAnsi="宋体"/>
          <w:bCs/>
          <w:sz w:val="24"/>
          <w:highlight w:val="none"/>
        </w:rPr>
      </w:pPr>
      <w:r>
        <w:rPr>
          <w:rFonts w:ascii="宋体" w:hAnsi="宋体"/>
          <w:bCs/>
          <w:sz w:val="24"/>
          <w:highlight w:val="none"/>
        </w:rPr>
        <w:br w:type="page" w:clear="all"/>
      </w:r>
    </w:p>
    <w:bookmarkEnd w:id="158"/>
    <w:p w14:paraId="57D68446">
      <w:pPr>
        <w:pStyle w:val="4"/>
        <w:rPr>
          <w:rFonts w:ascii="宋体" w:hAnsi="宋体" w:eastAsia="宋体"/>
          <w:bCs w:val="0"/>
          <w:sz w:val="32"/>
          <w:szCs w:val="32"/>
        </w:rPr>
      </w:pPr>
      <w:r>
        <w:rPr>
          <w:rFonts w:hint="eastAsia" w:ascii="宋体" w:hAnsi="宋体" w:eastAsia="宋体"/>
          <w:bCs w:val="0"/>
          <w:sz w:val="32"/>
          <w:szCs w:val="32"/>
        </w:rPr>
        <w:t>维修材料报价一览表</w:t>
      </w:r>
    </w:p>
    <w:p w14:paraId="34F26BC3">
      <w:pPr>
        <w:rPr>
          <w:rFonts w:ascii="宋体" w:hAnsi="宋体"/>
          <w:sz w:val="30"/>
          <w:szCs w:val="30"/>
        </w:rPr>
      </w:pPr>
      <w:r>
        <w:rPr>
          <w:rFonts w:hint="eastAsia" w:ascii="宋体" w:hAnsi="宋体"/>
          <w:sz w:val="30"/>
          <w:szCs w:val="30"/>
        </w:rPr>
        <w:t>供应商名称（加盖公章）：</w:t>
      </w:r>
    </w:p>
    <w:tbl>
      <w:tblPr>
        <w:tblStyle w:val="33"/>
        <w:tblW w:w="863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3"/>
        <w:gridCol w:w="5916"/>
      </w:tblGrid>
      <w:tr w14:paraId="0FF4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3582E139">
            <w:pPr>
              <w:jc w:val="center"/>
              <w:rPr>
                <w:rFonts w:ascii="宋体" w:hAnsi="宋体"/>
                <w:sz w:val="30"/>
                <w:szCs w:val="30"/>
              </w:rPr>
            </w:pPr>
            <w:r>
              <w:rPr>
                <w:rFonts w:hint="eastAsia" w:ascii="宋体" w:hAnsi="宋体"/>
                <w:sz w:val="30"/>
                <w:szCs w:val="30"/>
              </w:rPr>
              <w:t>主修车型</w:t>
            </w:r>
          </w:p>
        </w:tc>
        <w:tc>
          <w:tcPr>
            <w:tcW w:w="5916" w:type="dxa"/>
            <w:noWrap w:val="0"/>
          </w:tcPr>
          <w:p w14:paraId="0B9B01B3">
            <w:pPr>
              <w:jc w:val="center"/>
              <w:rPr>
                <w:rFonts w:ascii="宋体" w:hAnsi="宋体"/>
                <w:sz w:val="30"/>
                <w:szCs w:val="30"/>
              </w:rPr>
            </w:pPr>
            <w:r>
              <w:rPr>
                <w:rFonts w:hint="eastAsia" w:ascii="宋体" w:hAnsi="宋体"/>
                <w:sz w:val="30"/>
                <w:szCs w:val="30"/>
              </w:rPr>
              <w:t>主要零件来源</w:t>
            </w:r>
          </w:p>
        </w:tc>
      </w:tr>
      <w:tr w14:paraId="0181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37692A3D">
            <w:pPr>
              <w:jc w:val="center"/>
              <w:rPr>
                <w:rFonts w:ascii="宋体" w:hAnsi="宋体"/>
                <w:sz w:val="30"/>
                <w:szCs w:val="30"/>
              </w:rPr>
            </w:pPr>
          </w:p>
        </w:tc>
        <w:tc>
          <w:tcPr>
            <w:tcW w:w="5916" w:type="dxa"/>
            <w:noWrap w:val="0"/>
          </w:tcPr>
          <w:p w14:paraId="1EA3AFC2">
            <w:pPr>
              <w:jc w:val="center"/>
              <w:rPr>
                <w:rFonts w:ascii="宋体" w:hAnsi="宋体"/>
                <w:sz w:val="30"/>
                <w:szCs w:val="30"/>
              </w:rPr>
            </w:pPr>
          </w:p>
        </w:tc>
      </w:tr>
      <w:tr w14:paraId="2403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0F17D180">
            <w:pPr>
              <w:jc w:val="center"/>
              <w:rPr>
                <w:rFonts w:ascii="宋体" w:hAnsi="宋体"/>
                <w:sz w:val="30"/>
                <w:szCs w:val="30"/>
              </w:rPr>
            </w:pPr>
          </w:p>
        </w:tc>
        <w:tc>
          <w:tcPr>
            <w:tcW w:w="5916" w:type="dxa"/>
            <w:noWrap w:val="0"/>
          </w:tcPr>
          <w:p w14:paraId="5B860F67">
            <w:pPr>
              <w:jc w:val="center"/>
              <w:rPr>
                <w:rFonts w:ascii="宋体" w:hAnsi="宋体"/>
                <w:sz w:val="30"/>
                <w:szCs w:val="30"/>
              </w:rPr>
            </w:pPr>
          </w:p>
        </w:tc>
      </w:tr>
      <w:tr w14:paraId="7FFF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1370BE72">
            <w:pPr>
              <w:jc w:val="center"/>
              <w:rPr>
                <w:rFonts w:ascii="宋体" w:hAnsi="宋体"/>
                <w:sz w:val="30"/>
                <w:szCs w:val="30"/>
              </w:rPr>
            </w:pPr>
          </w:p>
        </w:tc>
        <w:tc>
          <w:tcPr>
            <w:tcW w:w="5916" w:type="dxa"/>
            <w:noWrap w:val="0"/>
          </w:tcPr>
          <w:p w14:paraId="15044407">
            <w:pPr>
              <w:jc w:val="center"/>
              <w:rPr>
                <w:rFonts w:ascii="宋体" w:hAnsi="宋体"/>
                <w:sz w:val="30"/>
                <w:szCs w:val="30"/>
              </w:rPr>
            </w:pPr>
          </w:p>
        </w:tc>
      </w:tr>
      <w:tr w14:paraId="1634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061588CC">
            <w:pPr>
              <w:jc w:val="center"/>
              <w:rPr>
                <w:rFonts w:ascii="宋体" w:hAnsi="宋体"/>
                <w:sz w:val="30"/>
                <w:szCs w:val="30"/>
              </w:rPr>
            </w:pPr>
          </w:p>
        </w:tc>
        <w:tc>
          <w:tcPr>
            <w:tcW w:w="5916" w:type="dxa"/>
            <w:noWrap w:val="0"/>
          </w:tcPr>
          <w:p w14:paraId="4A873187">
            <w:pPr>
              <w:jc w:val="center"/>
              <w:rPr>
                <w:rFonts w:ascii="宋体" w:hAnsi="宋体"/>
                <w:sz w:val="30"/>
                <w:szCs w:val="30"/>
              </w:rPr>
            </w:pPr>
          </w:p>
        </w:tc>
      </w:tr>
      <w:tr w14:paraId="3527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7C8CB9B1">
            <w:pPr>
              <w:jc w:val="center"/>
              <w:rPr>
                <w:rFonts w:ascii="宋体" w:hAnsi="宋体"/>
                <w:sz w:val="30"/>
                <w:szCs w:val="30"/>
              </w:rPr>
            </w:pPr>
          </w:p>
        </w:tc>
        <w:tc>
          <w:tcPr>
            <w:tcW w:w="5916" w:type="dxa"/>
            <w:noWrap w:val="0"/>
          </w:tcPr>
          <w:p w14:paraId="396952A6">
            <w:pPr>
              <w:jc w:val="center"/>
              <w:rPr>
                <w:rFonts w:ascii="宋体" w:hAnsi="宋体"/>
                <w:sz w:val="30"/>
                <w:szCs w:val="30"/>
              </w:rPr>
            </w:pPr>
          </w:p>
        </w:tc>
      </w:tr>
      <w:tr w14:paraId="02AD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7C642F04">
            <w:pPr>
              <w:jc w:val="center"/>
              <w:rPr>
                <w:rFonts w:ascii="宋体" w:hAnsi="宋体"/>
                <w:sz w:val="30"/>
                <w:szCs w:val="30"/>
              </w:rPr>
            </w:pPr>
          </w:p>
        </w:tc>
        <w:tc>
          <w:tcPr>
            <w:tcW w:w="5916" w:type="dxa"/>
            <w:noWrap w:val="0"/>
          </w:tcPr>
          <w:p w14:paraId="666D53EC">
            <w:pPr>
              <w:jc w:val="center"/>
              <w:rPr>
                <w:rFonts w:ascii="宋体" w:hAnsi="宋体"/>
                <w:sz w:val="30"/>
                <w:szCs w:val="30"/>
              </w:rPr>
            </w:pPr>
          </w:p>
        </w:tc>
      </w:tr>
      <w:tr w14:paraId="5789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732F7651">
            <w:pPr>
              <w:jc w:val="center"/>
              <w:rPr>
                <w:rFonts w:ascii="宋体" w:hAnsi="宋体"/>
                <w:sz w:val="30"/>
                <w:szCs w:val="30"/>
              </w:rPr>
            </w:pPr>
          </w:p>
        </w:tc>
        <w:tc>
          <w:tcPr>
            <w:tcW w:w="5916" w:type="dxa"/>
            <w:noWrap w:val="0"/>
          </w:tcPr>
          <w:p w14:paraId="219514AF">
            <w:pPr>
              <w:jc w:val="center"/>
              <w:rPr>
                <w:rFonts w:ascii="宋体" w:hAnsi="宋体"/>
                <w:sz w:val="30"/>
                <w:szCs w:val="30"/>
              </w:rPr>
            </w:pPr>
          </w:p>
        </w:tc>
      </w:tr>
      <w:tr w14:paraId="2C6E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56460F46">
            <w:pPr>
              <w:jc w:val="center"/>
              <w:rPr>
                <w:rFonts w:ascii="宋体" w:hAnsi="宋体"/>
                <w:sz w:val="30"/>
                <w:szCs w:val="30"/>
              </w:rPr>
            </w:pPr>
          </w:p>
        </w:tc>
        <w:tc>
          <w:tcPr>
            <w:tcW w:w="5916" w:type="dxa"/>
            <w:noWrap w:val="0"/>
          </w:tcPr>
          <w:p w14:paraId="6DBB7BE8">
            <w:pPr>
              <w:jc w:val="center"/>
              <w:rPr>
                <w:rFonts w:ascii="宋体" w:hAnsi="宋体"/>
                <w:sz w:val="30"/>
                <w:szCs w:val="30"/>
              </w:rPr>
            </w:pPr>
          </w:p>
        </w:tc>
      </w:tr>
      <w:tr w14:paraId="3DBE2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2723" w:type="dxa"/>
            <w:noWrap w:val="0"/>
          </w:tcPr>
          <w:p w14:paraId="45B9B52E">
            <w:pPr>
              <w:jc w:val="center"/>
              <w:rPr>
                <w:rFonts w:ascii="宋体" w:hAnsi="宋体"/>
                <w:sz w:val="30"/>
                <w:szCs w:val="30"/>
              </w:rPr>
            </w:pPr>
          </w:p>
        </w:tc>
        <w:tc>
          <w:tcPr>
            <w:tcW w:w="5916" w:type="dxa"/>
            <w:noWrap w:val="0"/>
          </w:tcPr>
          <w:p w14:paraId="16238E60">
            <w:pPr>
              <w:jc w:val="center"/>
              <w:rPr>
                <w:rFonts w:ascii="宋体" w:hAnsi="宋体"/>
                <w:sz w:val="30"/>
                <w:szCs w:val="30"/>
              </w:rPr>
            </w:pPr>
          </w:p>
        </w:tc>
      </w:tr>
      <w:tr w14:paraId="7A6D4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rPr>
        <w:tc>
          <w:tcPr>
            <w:tcW w:w="2723" w:type="dxa"/>
            <w:noWrap w:val="0"/>
          </w:tcPr>
          <w:p w14:paraId="598D6B3F">
            <w:pPr>
              <w:jc w:val="center"/>
              <w:rPr>
                <w:rFonts w:ascii="宋体" w:hAnsi="宋体"/>
                <w:sz w:val="30"/>
                <w:szCs w:val="30"/>
              </w:rPr>
            </w:pPr>
            <w:r>
              <w:rPr>
                <w:rFonts w:hint="eastAsia" w:ascii="宋体" w:hAnsi="宋体"/>
                <w:b/>
                <w:sz w:val="30"/>
                <w:szCs w:val="30"/>
              </w:rPr>
              <w:t>材料进销差价率</w:t>
            </w:r>
          </w:p>
        </w:tc>
        <w:tc>
          <w:tcPr>
            <w:tcW w:w="5916" w:type="dxa"/>
            <w:noWrap w:val="0"/>
            <w:vAlign w:val="center"/>
          </w:tcPr>
          <w:p w14:paraId="277EA6CD">
            <w:pPr>
              <w:jc w:val="center"/>
              <w:rPr>
                <w:rFonts w:ascii="宋体" w:hAnsi="宋体"/>
                <w:sz w:val="30"/>
                <w:szCs w:val="30"/>
              </w:rPr>
            </w:pPr>
            <w:r>
              <w:rPr>
                <w:rFonts w:hint="eastAsia" w:ascii="宋体" w:hAnsi="宋体"/>
                <w:b/>
                <w:sz w:val="30"/>
                <w:szCs w:val="30"/>
                <w:u w:val="single"/>
              </w:rPr>
              <w:t xml:space="preserve">     </w:t>
            </w:r>
            <w:r>
              <w:rPr>
                <w:rFonts w:hint="eastAsia" w:ascii="宋体" w:hAnsi="宋体"/>
                <w:b/>
                <w:sz w:val="30"/>
                <w:szCs w:val="30"/>
              </w:rPr>
              <w:t>％</w:t>
            </w:r>
          </w:p>
        </w:tc>
      </w:tr>
    </w:tbl>
    <w:p w14:paraId="3383D9EC">
      <w:pPr>
        <w:jc w:val="right"/>
        <w:rPr>
          <w:rFonts w:ascii="宋体" w:hAnsi="宋体"/>
          <w:sz w:val="30"/>
          <w:szCs w:val="30"/>
        </w:rPr>
      </w:pPr>
      <w:r>
        <w:rPr>
          <w:rFonts w:ascii="宋体" w:hAnsi="宋体"/>
          <w:sz w:val="24"/>
        </w:rPr>
        <w:t xml:space="preserve">  供应商全称（加盖CA电子公章）：</w:t>
      </w:r>
    </w:p>
    <w:p w14:paraId="5C6ABE79">
      <w:pPr>
        <w:rPr>
          <w:rFonts w:ascii="宋体" w:hAnsi="宋体"/>
          <w:sz w:val="24"/>
          <w:szCs w:val="24"/>
        </w:rPr>
      </w:pPr>
      <w:r>
        <w:rPr>
          <w:rFonts w:hint="eastAsia" w:ascii="宋体" w:hAnsi="宋体"/>
          <w:sz w:val="24"/>
          <w:szCs w:val="24"/>
        </w:rPr>
        <w:t>注：</w:t>
      </w:r>
    </w:p>
    <w:p w14:paraId="586B4D41">
      <w:pPr>
        <w:ind w:firstLine="600"/>
        <w:rPr>
          <w:rFonts w:ascii="宋体" w:hAnsi="宋体"/>
          <w:sz w:val="24"/>
          <w:szCs w:val="24"/>
        </w:rPr>
      </w:pPr>
      <w:r>
        <w:rPr>
          <w:rFonts w:hint="eastAsia" w:ascii="宋体" w:hAnsi="宋体"/>
          <w:sz w:val="24"/>
          <w:szCs w:val="24"/>
        </w:rPr>
        <w:t>1、主修车型填写供应商维修有优势的各类车型；</w:t>
      </w:r>
    </w:p>
    <w:p w14:paraId="764B28F3">
      <w:pPr>
        <w:ind w:firstLine="600"/>
        <w:rPr>
          <w:rFonts w:ascii="宋体" w:hAnsi="宋体"/>
          <w:sz w:val="24"/>
          <w:szCs w:val="24"/>
        </w:rPr>
      </w:pPr>
      <w:r>
        <w:rPr>
          <w:rFonts w:hint="eastAsia" w:ascii="宋体" w:hAnsi="宋体"/>
          <w:sz w:val="24"/>
          <w:szCs w:val="24"/>
        </w:rPr>
        <w:t>2、主要零件来源指供应商维修主修车型时的零配件的进货来源；如供应商提供的进货来源与实际不符，一旦查实，将取消成交资格，并取消资格；</w:t>
      </w:r>
    </w:p>
    <w:p w14:paraId="0773C13A">
      <w:pPr>
        <w:ind w:firstLine="600"/>
        <w:rPr>
          <w:rFonts w:ascii="宋体" w:hAnsi="宋体"/>
          <w:sz w:val="24"/>
          <w:szCs w:val="24"/>
        </w:rPr>
      </w:pPr>
      <w:r>
        <w:rPr>
          <w:rFonts w:hint="eastAsia" w:ascii="宋体" w:hAnsi="宋体"/>
          <w:sz w:val="24"/>
          <w:szCs w:val="24"/>
        </w:rPr>
        <w:t>3、如本表格不能满足需要，供应商可根据此表格式自行划表填写；</w:t>
      </w:r>
    </w:p>
    <w:p w14:paraId="3FCE7C4F">
      <w:pPr>
        <w:rPr>
          <w:rFonts w:hint="eastAsia" w:ascii="方正小标宋简体" w:hAnsi="方正小标宋简体" w:eastAsia="方正小标宋简体" w:cs="方正小标宋简体"/>
          <w:b w:val="0"/>
          <w:bCs w:val="0"/>
          <w:sz w:val="32"/>
          <w:szCs w:val="32"/>
          <w:highlight w:val="none"/>
          <w:lang w:val="en-US" w:eastAsia="zh-CN" w:bidi="ar-SA"/>
        </w:rPr>
      </w:pPr>
      <w:r>
        <w:rPr>
          <w:rFonts w:hint="eastAsia" w:ascii="方正小标宋简体" w:hAnsi="方正小标宋简体" w:eastAsia="方正小标宋简体" w:cs="方正小标宋简体"/>
          <w:b w:val="0"/>
          <w:bCs w:val="0"/>
          <w:sz w:val="32"/>
          <w:szCs w:val="32"/>
          <w:highlight w:val="none"/>
          <w:lang w:val="en-US" w:eastAsia="zh-CN" w:bidi="ar-SA"/>
        </w:rPr>
        <w:br w:type="page" w:clear="all"/>
      </w:r>
    </w:p>
    <w:p w14:paraId="4BBF794B">
      <w:pPr>
        <w:pStyle w:val="4"/>
        <w:rPr>
          <w:rFonts w:hint="eastAsia" w:ascii="方正小标宋简体" w:hAnsi="方正小标宋简体" w:eastAsia="方正小标宋简体" w:cs="方正小标宋简体"/>
          <w:b w:val="0"/>
          <w:bCs w:val="0"/>
          <w:sz w:val="32"/>
          <w:szCs w:val="32"/>
          <w:highlight w:val="none"/>
          <w:lang w:val="en-US" w:eastAsia="zh-CN" w:bidi="ar-SA"/>
        </w:rPr>
      </w:pPr>
      <w:r>
        <w:rPr>
          <w:rFonts w:hint="eastAsia" w:ascii="方正小标宋简体" w:hAnsi="方正小标宋简体" w:eastAsia="方正小标宋简体" w:cs="方正小标宋简体"/>
          <w:b w:val="0"/>
          <w:bCs w:val="0"/>
          <w:sz w:val="32"/>
          <w:szCs w:val="32"/>
          <w:highlight w:val="none"/>
          <w:lang w:val="en-US" w:eastAsia="zh-CN" w:bidi="ar-SA"/>
        </w:rPr>
        <w:t>十二、汽车维修企业状况一览表</w:t>
      </w:r>
    </w:p>
    <w:p w14:paraId="0365EB26">
      <w:pPr>
        <w:spacing w:before="50" w:after="50"/>
        <w:jc w:val="center"/>
        <w:rPr>
          <w:rFonts w:ascii="宋体" w:hAnsi="宋体"/>
          <w:b/>
          <w:sz w:val="32"/>
          <w:szCs w:val="32"/>
          <w:highlight w:val="none"/>
        </w:rPr>
      </w:pPr>
    </w:p>
    <w:p w14:paraId="339E5A29">
      <w:pPr>
        <w:widowControl w:val="0"/>
        <w:numPr>
          <w:ilvl w:val="0"/>
          <w:numId w:val="6"/>
        </w:numPr>
        <w:jc w:val="both"/>
        <w:rPr>
          <w:rFonts w:ascii="宋体" w:hAnsi="宋体"/>
          <w:sz w:val="30"/>
          <w:szCs w:val="30"/>
          <w:highlight w:val="none"/>
        </w:rPr>
      </w:pPr>
      <w:r>
        <w:rPr>
          <w:rFonts w:hint="eastAsia" w:ascii="宋体" w:hAnsi="宋体"/>
          <w:sz w:val="30"/>
          <w:szCs w:val="30"/>
          <w:highlight w:val="none"/>
        </w:rPr>
        <w:t>基本情况一览表</w:t>
      </w:r>
    </w:p>
    <w:tbl>
      <w:tblPr>
        <w:tblStyle w:val="33"/>
        <w:tblW w:w="933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285"/>
        <w:gridCol w:w="1632"/>
        <w:gridCol w:w="1254"/>
        <w:gridCol w:w="1801"/>
        <w:gridCol w:w="2771"/>
      </w:tblGrid>
      <w:tr w14:paraId="5D26F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noWrap w:val="0"/>
          </w:tcPr>
          <w:p w14:paraId="0B0E80EE">
            <w:pPr>
              <w:rPr>
                <w:rFonts w:ascii="宋体" w:hAnsi="宋体"/>
                <w:sz w:val="28"/>
                <w:szCs w:val="28"/>
                <w:highlight w:val="none"/>
              </w:rPr>
            </w:pPr>
            <w:r>
              <w:rPr>
                <w:rFonts w:hint="eastAsia" w:ascii="宋体" w:hAnsi="宋体"/>
                <w:sz w:val="28"/>
                <w:szCs w:val="28"/>
                <w:highlight w:val="none"/>
              </w:rPr>
              <w:t>企业名称</w:t>
            </w:r>
          </w:p>
        </w:tc>
        <w:tc>
          <w:tcPr>
            <w:tcW w:w="2886" w:type="dxa"/>
            <w:gridSpan w:val="2"/>
            <w:noWrap w:val="0"/>
          </w:tcPr>
          <w:p w14:paraId="0874ADA7">
            <w:pPr>
              <w:rPr>
                <w:rFonts w:ascii="宋体" w:hAnsi="宋体"/>
                <w:sz w:val="28"/>
                <w:szCs w:val="28"/>
                <w:highlight w:val="none"/>
              </w:rPr>
            </w:pPr>
          </w:p>
        </w:tc>
        <w:tc>
          <w:tcPr>
            <w:tcW w:w="1801" w:type="dxa"/>
            <w:noWrap w:val="0"/>
          </w:tcPr>
          <w:p w14:paraId="6C1FC2F6">
            <w:pPr>
              <w:rPr>
                <w:rFonts w:ascii="宋体" w:hAnsi="宋体"/>
                <w:sz w:val="28"/>
                <w:szCs w:val="28"/>
                <w:highlight w:val="none"/>
              </w:rPr>
            </w:pPr>
            <w:r>
              <w:rPr>
                <w:rFonts w:hint="eastAsia" w:ascii="宋体" w:hAnsi="宋体"/>
                <w:sz w:val="28"/>
                <w:szCs w:val="28"/>
                <w:highlight w:val="none"/>
              </w:rPr>
              <w:t>邮编</w:t>
            </w:r>
          </w:p>
        </w:tc>
        <w:tc>
          <w:tcPr>
            <w:tcW w:w="2771" w:type="dxa"/>
            <w:noWrap w:val="0"/>
          </w:tcPr>
          <w:p w14:paraId="64EBCE62">
            <w:pPr>
              <w:rPr>
                <w:rFonts w:ascii="宋体" w:hAnsi="宋体"/>
                <w:sz w:val="28"/>
                <w:szCs w:val="28"/>
                <w:highlight w:val="none"/>
              </w:rPr>
            </w:pPr>
          </w:p>
        </w:tc>
      </w:tr>
      <w:tr w14:paraId="568D7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noWrap w:val="0"/>
          </w:tcPr>
          <w:p w14:paraId="6EBC1EC4">
            <w:pPr>
              <w:rPr>
                <w:rFonts w:ascii="宋体" w:hAnsi="宋体"/>
                <w:sz w:val="28"/>
                <w:szCs w:val="28"/>
                <w:highlight w:val="none"/>
              </w:rPr>
            </w:pPr>
            <w:r>
              <w:rPr>
                <w:rFonts w:hint="eastAsia" w:ascii="宋体" w:hAnsi="宋体"/>
                <w:sz w:val="28"/>
                <w:szCs w:val="28"/>
                <w:highlight w:val="none"/>
              </w:rPr>
              <w:t>企业地址</w:t>
            </w:r>
          </w:p>
        </w:tc>
        <w:tc>
          <w:tcPr>
            <w:tcW w:w="2886" w:type="dxa"/>
            <w:gridSpan w:val="2"/>
            <w:noWrap w:val="0"/>
          </w:tcPr>
          <w:p w14:paraId="312EA542">
            <w:pPr>
              <w:rPr>
                <w:rFonts w:ascii="宋体" w:hAnsi="宋体"/>
                <w:sz w:val="28"/>
                <w:szCs w:val="28"/>
                <w:highlight w:val="none"/>
              </w:rPr>
            </w:pPr>
          </w:p>
        </w:tc>
        <w:tc>
          <w:tcPr>
            <w:tcW w:w="1801" w:type="dxa"/>
            <w:noWrap w:val="0"/>
          </w:tcPr>
          <w:p w14:paraId="4C0A37E4">
            <w:pPr>
              <w:rPr>
                <w:rFonts w:ascii="宋体" w:hAnsi="宋体"/>
                <w:sz w:val="28"/>
                <w:szCs w:val="28"/>
                <w:highlight w:val="none"/>
              </w:rPr>
            </w:pPr>
            <w:r>
              <w:rPr>
                <w:rFonts w:hint="eastAsia" w:ascii="宋体" w:hAnsi="宋体"/>
                <w:sz w:val="28"/>
                <w:szCs w:val="28"/>
                <w:highlight w:val="none"/>
              </w:rPr>
              <w:t>电话</w:t>
            </w:r>
          </w:p>
        </w:tc>
        <w:tc>
          <w:tcPr>
            <w:tcW w:w="2771" w:type="dxa"/>
            <w:noWrap w:val="0"/>
          </w:tcPr>
          <w:p w14:paraId="3C0D327D">
            <w:pPr>
              <w:rPr>
                <w:rFonts w:ascii="宋体" w:hAnsi="宋体"/>
                <w:sz w:val="28"/>
                <w:szCs w:val="28"/>
                <w:highlight w:val="none"/>
              </w:rPr>
            </w:pPr>
          </w:p>
        </w:tc>
      </w:tr>
      <w:tr w14:paraId="5FDD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noWrap w:val="0"/>
          </w:tcPr>
          <w:p w14:paraId="68CD0B06">
            <w:pP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注册资金</w:t>
            </w:r>
          </w:p>
        </w:tc>
        <w:tc>
          <w:tcPr>
            <w:tcW w:w="2886" w:type="dxa"/>
            <w:gridSpan w:val="2"/>
            <w:noWrap w:val="0"/>
          </w:tcPr>
          <w:p w14:paraId="7B23FDC3">
            <w:pPr>
              <w:rPr>
                <w:rFonts w:ascii="宋体" w:hAnsi="宋体"/>
                <w:sz w:val="28"/>
                <w:szCs w:val="28"/>
                <w:highlight w:val="none"/>
              </w:rPr>
            </w:pPr>
          </w:p>
        </w:tc>
        <w:tc>
          <w:tcPr>
            <w:tcW w:w="1801" w:type="dxa"/>
            <w:noWrap w:val="0"/>
          </w:tcPr>
          <w:p w14:paraId="308AF920">
            <w:pP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固定资产</w:t>
            </w:r>
          </w:p>
        </w:tc>
        <w:tc>
          <w:tcPr>
            <w:tcW w:w="2771" w:type="dxa"/>
            <w:noWrap w:val="0"/>
          </w:tcPr>
          <w:p w14:paraId="7CC8498F">
            <w:pP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万元</w:t>
            </w:r>
          </w:p>
          <w:p w14:paraId="29077E28">
            <w:pPr>
              <w:rPr>
                <w:rFonts w:hint="default" w:ascii="宋体" w:hAnsi="宋体" w:eastAsiaTheme="minorEastAsia"/>
                <w:sz w:val="28"/>
                <w:szCs w:val="28"/>
                <w:highlight w:val="none"/>
                <w:lang w:val="en-US" w:eastAsia="zh-CN"/>
              </w:rPr>
            </w:pPr>
            <w:r>
              <w:rPr>
                <w:rFonts w:hint="eastAsia" w:ascii="宋体" w:hAnsi="宋体"/>
                <w:sz w:val="24"/>
                <w:szCs w:val="24"/>
              </w:rPr>
              <w:t>其中设备：</w:t>
            </w:r>
            <w:r>
              <w:rPr>
                <w:rFonts w:hint="eastAsia" w:ascii="宋体" w:hAnsi="宋体"/>
                <w:sz w:val="24"/>
                <w:szCs w:val="24"/>
                <w:u w:val="single"/>
              </w:rPr>
              <w:t xml:space="preserve">        </w:t>
            </w:r>
            <w:r>
              <w:rPr>
                <w:rFonts w:hint="eastAsia" w:ascii="宋体" w:hAnsi="宋体"/>
                <w:sz w:val="24"/>
                <w:szCs w:val="24"/>
              </w:rPr>
              <w:t xml:space="preserve"> 万元</w:t>
            </w:r>
          </w:p>
        </w:tc>
      </w:tr>
      <w:tr w14:paraId="7FFE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881" w:type="dxa"/>
            <w:gridSpan w:val="2"/>
            <w:noWrap w:val="0"/>
          </w:tcPr>
          <w:p w14:paraId="339E8ACE">
            <w:pPr>
              <w:rPr>
                <w:rFonts w:ascii="宋体" w:hAnsi="宋体"/>
                <w:sz w:val="28"/>
                <w:szCs w:val="28"/>
                <w:highlight w:val="none"/>
              </w:rPr>
            </w:pPr>
            <w:r>
              <w:rPr>
                <w:rFonts w:hint="eastAsia" w:ascii="宋体" w:hAnsi="宋体"/>
                <w:sz w:val="28"/>
                <w:szCs w:val="28"/>
                <w:highlight w:val="none"/>
              </w:rPr>
              <w:t>职工总数</w:t>
            </w:r>
          </w:p>
        </w:tc>
        <w:tc>
          <w:tcPr>
            <w:tcW w:w="2886" w:type="dxa"/>
            <w:gridSpan w:val="2"/>
            <w:noWrap w:val="0"/>
          </w:tcPr>
          <w:p w14:paraId="04F55359">
            <w:pPr>
              <w:rPr>
                <w:rFonts w:ascii="宋体" w:hAnsi="宋体"/>
                <w:sz w:val="28"/>
                <w:szCs w:val="28"/>
                <w:highlight w:val="none"/>
              </w:rPr>
            </w:pPr>
          </w:p>
        </w:tc>
        <w:tc>
          <w:tcPr>
            <w:tcW w:w="1801" w:type="dxa"/>
            <w:noWrap w:val="0"/>
            <w:vAlign w:val="center"/>
          </w:tcPr>
          <w:p w14:paraId="5800455C">
            <w:pPr>
              <w:jc w:val="center"/>
              <w:rPr>
                <w:rFonts w:hint="eastAsia" w:ascii="宋体" w:hAnsi="宋体" w:eastAsiaTheme="minorEastAsia"/>
                <w:sz w:val="28"/>
                <w:szCs w:val="28"/>
                <w:highlight w:val="none"/>
                <w:lang w:eastAsia="zh-CN"/>
              </w:rPr>
            </w:pPr>
            <w:r>
              <w:rPr>
                <w:rFonts w:hint="eastAsia" w:ascii="宋体" w:hAnsi="宋体"/>
                <w:sz w:val="28"/>
                <w:szCs w:val="28"/>
                <w:highlight w:val="none"/>
              </w:rPr>
              <w:t>技术</w:t>
            </w:r>
            <w:r>
              <w:rPr>
                <w:rFonts w:hint="eastAsia" w:ascii="宋体" w:hAnsi="宋体"/>
                <w:sz w:val="28"/>
                <w:szCs w:val="28"/>
                <w:highlight w:val="none"/>
                <w:lang w:val="en-US" w:eastAsia="zh-CN"/>
              </w:rPr>
              <w:t>人员</w:t>
            </w:r>
          </w:p>
        </w:tc>
        <w:tc>
          <w:tcPr>
            <w:tcW w:w="2771" w:type="dxa"/>
            <w:noWrap w:val="0"/>
          </w:tcPr>
          <w:p w14:paraId="54D9F58E">
            <w:pPr>
              <w:rPr>
                <w:rFonts w:ascii="宋体" w:hAnsi="宋体"/>
                <w:sz w:val="28"/>
                <w:szCs w:val="28"/>
                <w:highlight w:val="none"/>
              </w:rPr>
            </w:pPr>
          </w:p>
        </w:tc>
      </w:tr>
      <w:tr w14:paraId="5BEB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5" w:hRule="atLeast"/>
        </w:trPr>
        <w:tc>
          <w:tcPr>
            <w:tcW w:w="596" w:type="dxa"/>
            <w:vMerge w:val="restart"/>
            <w:noWrap w:val="0"/>
          </w:tcPr>
          <w:p w14:paraId="3E4F7048">
            <w:pPr>
              <w:rPr>
                <w:rFonts w:ascii="宋体" w:hAnsi="宋体"/>
                <w:sz w:val="28"/>
                <w:szCs w:val="28"/>
                <w:highlight w:val="none"/>
              </w:rPr>
            </w:pPr>
          </w:p>
          <w:p w14:paraId="31273116">
            <w:pPr>
              <w:rPr>
                <w:rFonts w:ascii="宋体" w:hAnsi="宋体"/>
                <w:sz w:val="28"/>
                <w:szCs w:val="28"/>
                <w:highlight w:val="none"/>
              </w:rPr>
            </w:pPr>
            <w:r>
              <w:rPr>
                <w:rFonts w:hint="eastAsia" w:ascii="宋体" w:hAnsi="宋体"/>
                <w:sz w:val="28"/>
                <w:szCs w:val="28"/>
                <w:highlight w:val="none"/>
              </w:rPr>
              <w:t>经营业绩</w:t>
            </w:r>
          </w:p>
        </w:tc>
        <w:tc>
          <w:tcPr>
            <w:tcW w:w="1285" w:type="dxa"/>
            <w:noWrap w:val="0"/>
            <w:vAlign w:val="center"/>
          </w:tcPr>
          <w:p w14:paraId="0ADF9DDD">
            <w:pPr>
              <w:jc w:val="center"/>
              <w:rPr>
                <w:rFonts w:ascii="宋体" w:hAnsi="宋体"/>
                <w:sz w:val="28"/>
                <w:szCs w:val="28"/>
                <w:highlight w:val="none"/>
              </w:rPr>
            </w:pPr>
            <w:r>
              <w:rPr>
                <w:rFonts w:hint="eastAsia" w:ascii="宋体" w:hAnsi="宋体"/>
                <w:sz w:val="28"/>
                <w:szCs w:val="28"/>
                <w:highlight w:val="none"/>
              </w:rPr>
              <w:t>年度</w:t>
            </w:r>
          </w:p>
        </w:tc>
        <w:tc>
          <w:tcPr>
            <w:tcW w:w="1632" w:type="dxa"/>
            <w:noWrap w:val="0"/>
            <w:vAlign w:val="center"/>
          </w:tcPr>
          <w:p w14:paraId="6AE8730E">
            <w:pPr>
              <w:jc w:val="center"/>
              <w:rPr>
                <w:rFonts w:ascii="宋体" w:hAnsi="宋体"/>
                <w:sz w:val="28"/>
                <w:szCs w:val="28"/>
                <w:highlight w:val="none"/>
              </w:rPr>
            </w:pPr>
            <w:r>
              <w:rPr>
                <w:rFonts w:hint="eastAsia" w:ascii="宋体" w:hAnsi="宋体"/>
                <w:sz w:val="28"/>
                <w:szCs w:val="28"/>
                <w:highlight w:val="none"/>
              </w:rPr>
              <w:t>维修总产值</w:t>
            </w:r>
          </w:p>
          <w:p w14:paraId="2A094C0C">
            <w:pPr>
              <w:jc w:val="center"/>
              <w:rPr>
                <w:rFonts w:ascii="宋体" w:hAnsi="宋体"/>
                <w:sz w:val="28"/>
                <w:szCs w:val="28"/>
                <w:highlight w:val="none"/>
              </w:rPr>
            </w:pPr>
            <w:r>
              <w:rPr>
                <w:rFonts w:hint="eastAsia" w:ascii="宋体" w:hAnsi="宋体"/>
                <w:sz w:val="28"/>
                <w:szCs w:val="28"/>
                <w:highlight w:val="none"/>
              </w:rPr>
              <w:t>（万元）</w:t>
            </w:r>
          </w:p>
        </w:tc>
        <w:tc>
          <w:tcPr>
            <w:tcW w:w="1254" w:type="dxa"/>
            <w:noWrap w:val="0"/>
            <w:vAlign w:val="center"/>
          </w:tcPr>
          <w:p w14:paraId="72CF969A">
            <w:pPr>
              <w:jc w:val="left"/>
              <w:rPr>
                <w:rFonts w:ascii="宋体" w:hAnsi="宋体"/>
                <w:sz w:val="28"/>
                <w:szCs w:val="28"/>
                <w:highlight w:val="none"/>
              </w:rPr>
            </w:pPr>
            <w:r>
              <w:rPr>
                <w:rFonts w:hint="eastAsia" w:ascii="宋体" w:hAnsi="宋体"/>
                <w:sz w:val="28"/>
                <w:szCs w:val="28"/>
                <w:highlight w:val="none"/>
              </w:rPr>
              <w:t>修   理</w:t>
            </w:r>
          </w:p>
          <w:p w14:paraId="421E6859">
            <w:pPr>
              <w:jc w:val="left"/>
              <w:rPr>
                <w:rFonts w:ascii="宋体" w:hAnsi="宋体"/>
                <w:sz w:val="28"/>
                <w:szCs w:val="28"/>
                <w:highlight w:val="none"/>
              </w:rPr>
            </w:pPr>
            <w:r>
              <w:rPr>
                <w:rFonts w:hint="eastAsia" w:ascii="宋体" w:hAnsi="宋体"/>
                <w:sz w:val="28"/>
                <w:szCs w:val="28"/>
                <w:highlight w:val="none"/>
              </w:rPr>
              <w:t>（万元）</w:t>
            </w:r>
          </w:p>
        </w:tc>
        <w:tc>
          <w:tcPr>
            <w:tcW w:w="4572" w:type="dxa"/>
            <w:gridSpan w:val="2"/>
            <w:tcBorders>
              <w:bottom w:val="single" w:color="auto" w:sz="4" w:space="0"/>
            </w:tcBorders>
            <w:noWrap w:val="0"/>
            <w:vAlign w:val="center"/>
          </w:tcPr>
          <w:p w14:paraId="2D57D538">
            <w:pPr>
              <w:ind w:firstLine="645"/>
              <w:jc w:val="center"/>
              <w:rPr>
                <w:rFonts w:ascii="宋体" w:hAnsi="宋体"/>
                <w:sz w:val="28"/>
                <w:szCs w:val="28"/>
                <w:highlight w:val="none"/>
              </w:rPr>
            </w:pPr>
            <w:r>
              <w:rPr>
                <w:rFonts w:hint="eastAsia" w:ascii="宋体" w:hAnsi="宋体"/>
                <w:sz w:val="28"/>
                <w:szCs w:val="28"/>
                <w:highlight w:val="none"/>
              </w:rPr>
              <w:t>维   护</w:t>
            </w:r>
          </w:p>
          <w:p w14:paraId="295DEEFE">
            <w:pPr>
              <w:ind w:firstLine="645"/>
              <w:jc w:val="center"/>
              <w:rPr>
                <w:rFonts w:ascii="宋体" w:hAnsi="宋体"/>
                <w:sz w:val="28"/>
                <w:szCs w:val="28"/>
                <w:highlight w:val="none"/>
              </w:rPr>
            </w:pPr>
            <w:r>
              <w:rPr>
                <w:rFonts w:hint="eastAsia" w:ascii="宋体" w:hAnsi="宋体"/>
                <w:sz w:val="28"/>
                <w:szCs w:val="28"/>
                <w:highlight w:val="none"/>
              </w:rPr>
              <w:t>（万元）</w:t>
            </w:r>
          </w:p>
        </w:tc>
      </w:tr>
      <w:tr w14:paraId="50EE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trPr>
        <w:tc>
          <w:tcPr>
            <w:tcW w:w="596" w:type="dxa"/>
            <w:vMerge w:val="continue"/>
            <w:tcBorders>
              <w:bottom w:val="single" w:color="auto" w:sz="4" w:space="0"/>
            </w:tcBorders>
            <w:noWrap w:val="0"/>
          </w:tcPr>
          <w:p w14:paraId="1184272E">
            <w:pPr>
              <w:rPr>
                <w:rFonts w:ascii="宋体" w:hAnsi="宋体"/>
                <w:sz w:val="28"/>
                <w:szCs w:val="28"/>
                <w:highlight w:val="none"/>
              </w:rPr>
            </w:pPr>
          </w:p>
        </w:tc>
        <w:tc>
          <w:tcPr>
            <w:tcW w:w="1285" w:type="dxa"/>
            <w:noWrap w:val="0"/>
            <w:vAlign w:val="center"/>
          </w:tcPr>
          <w:p w14:paraId="56590C8A">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2024</w:t>
            </w:r>
          </w:p>
        </w:tc>
        <w:tc>
          <w:tcPr>
            <w:tcW w:w="1632" w:type="dxa"/>
            <w:noWrap w:val="0"/>
            <w:vAlign w:val="center"/>
          </w:tcPr>
          <w:p w14:paraId="0B85C280">
            <w:pPr>
              <w:jc w:val="center"/>
              <w:rPr>
                <w:rFonts w:ascii="宋体" w:hAnsi="宋体"/>
                <w:sz w:val="28"/>
                <w:szCs w:val="28"/>
                <w:highlight w:val="none"/>
              </w:rPr>
            </w:pPr>
          </w:p>
        </w:tc>
        <w:tc>
          <w:tcPr>
            <w:tcW w:w="1254" w:type="dxa"/>
            <w:noWrap w:val="0"/>
            <w:vAlign w:val="center"/>
          </w:tcPr>
          <w:p w14:paraId="46EEA5F5">
            <w:pPr>
              <w:jc w:val="center"/>
              <w:rPr>
                <w:rFonts w:ascii="宋体" w:hAnsi="宋体"/>
                <w:sz w:val="28"/>
                <w:szCs w:val="28"/>
                <w:highlight w:val="none"/>
              </w:rPr>
            </w:pPr>
          </w:p>
        </w:tc>
        <w:tc>
          <w:tcPr>
            <w:tcW w:w="4572" w:type="dxa"/>
            <w:gridSpan w:val="2"/>
            <w:noWrap w:val="0"/>
            <w:vAlign w:val="center"/>
          </w:tcPr>
          <w:p w14:paraId="116A3FA7">
            <w:pPr>
              <w:jc w:val="center"/>
              <w:rPr>
                <w:rFonts w:ascii="宋体" w:hAnsi="宋体"/>
                <w:sz w:val="28"/>
                <w:szCs w:val="28"/>
                <w:highlight w:val="none"/>
              </w:rPr>
            </w:pPr>
          </w:p>
        </w:tc>
      </w:tr>
      <w:tr w14:paraId="092A5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4" w:hRule="atLeast"/>
        </w:trPr>
        <w:tc>
          <w:tcPr>
            <w:tcW w:w="596" w:type="dxa"/>
            <w:vMerge w:val="continue"/>
            <w:noWrap w:val="0"/>
          </w:tcPr>
          <w:p w14:paraId="125B820E">
            <w:pPr>
              <w:rPr>
                <w:rFonts w:ascii="宋体" w:hAnsi="宋体"/>
                <w:sz w:val="28"/>
                <w:szCs w:val="28"/>
                <w:highlight w:val="none"/>
              </w:rPr>
            </w:pPr>
          </w:p>
        </w:tc>
        <w:tc>
          <w:tcPr>
            <w:tcW w:w="1285" w:type="dxa"/>
            <w:noWrap w:val="0"/>
            <w:vAlign w:val="center"/>
          </w:tcPr>
          <w:p w14:paraId="41C7BA2B">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2025</w:t>
            </w:r>
          </w:p>
        </w:tc>
        <w:tc>
          <w:tcPr>
            <w:tcW w:w="1632" w:type="dxa"/>
            <w:noWrap w:val="0"/>
          </w:tcPr>
          <w:p w14:paraId="42C31B8C">
            <w:pPr>
              <w:rPr>
                <w:rFonts w:ascii="宋体" w:hAnsi="宋体"/>
                <w:sz w:val="28"/>
                <w:szCs w:val="28"/>
                <w:highlight w:val="none"/>
              </w:rPr>
            </w:pPr>
          </w:p>
        </w:tc>
        <w:tc>
          <w:tcPr>
            <w:tcW w:w="1254" w:type="dxa"/>
            <w:noWrap w:val="0"/>
          </w:tcPr>
          <w:p w14:paraId="336FDA09">
            <w:pPr>
              <w:rPr>
                <w:rFonts w:ascii="宋体" w:hAnsi="宋体"/>
                <w:sz w:val="28"/>
                <w:szCs w:val="28"/>
                <w:highlight w:val="none"/>
              </w:rPr>
            </w:pPr>
          </w:p>
        </w:tc>
        <w:tc>
          <w:tcPr>
            <w:tcW w:w="4572" w:type="dxa"/>
            <w:gridSpan w:val="2"/>
            <w:noWrap w:val="0"/>
          </w:tcPr>
          <w:p w14:paraId="1DA4A5A1">
            <w:pPr>
              <w:rPr>
                <w:rFonts w:ascii="宋体" w:hAnsi="宋体"/>
                <w:sz w:val="28"/>
                <w:szCs w:val="28"/>
                <w:highlight w:val="none"/>
              </w:rPr>
            </w:pPr>
          </w:p>
        </w:tc>
      </w:tr>
      <w:tr w14:paraId="334B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restart"/>
            <w:noWrap w:val="0"/>
            <w:vAlign w:val="center"/>
          </w:tcPr>
          <w:p w14:paraId="67F4719A">
            <w:pPr>
              <w:jc w:val="center"/>
              <w:rPr>
                <w:rFonts w:hint="eastAsia" w:ascii="宋体" w:hAnsi="宋体"/>
                <w:sz w:val="28"/>
                <w:szCs w:val="28"/>
                <w:highlight w:val="none"/>
                <w:lang w:val="en-US" w:eastAsia="zh-CN"/>
              </w:rPr>
            </w:pPr>
            <w:r>
              <w:rPr>
                <w:rFonts w:hint="eastAsia" w:ascii="宋体" w:hAnsi="宋体"/>
                <w:sz w:val="24"/>
                <w:szCs w:val="24"/>
              </w:rPr>
              <w:t>主要的配件生产厂商或供应商</w:t>
            </w:r>
          </w:p>
        </w:tc>
        <w:tc>
          <w:tcPr>
            <w:tcW w:w="7458" w:type="dxa"/>
            <w:gridSpan w:val="4"/>
            <w:noWrap w:val="0"/>
          </w:tcPr>
          <w:p w14:paraId="245CE02F">
            <w:pPr>
              <w:rPr>
                <w:rFonts w:ascii="宋体" w:hAnsi="宋体"/>
                <w:sz w:val="28"/>
                <w:szCs w:val="28"/>
                <w:highlight w:val="none"/>
              </w:rPr>
            </w:pPr>
          </w:p>
        </w:tc>
      </w:tr>
      <w:tr w14:paraId="146B9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continue"/>
            <w:noWrap w:val="0"/>
          </w:tcPr>
          <w:p w14:paraId="3E9BD53D">
            <w:pPr>
              <w:rPr>
                <w:rFonts w:ascii="宋体" w:hAnsi="宋体"/>
                <w:sz w:val="28"/>
                <w:szCs w:val="28"/>
                <w:highlight w:val="none"/>
              </w:rPr>
            </w:pPr>
          </w:p>
        </w:tc>
        <w:tc>
          <w:tcPr>
            <w:tcW w:w="7458" w:type="dxa"/>
            <w:gridSpan w:val="4"/>
            <w:noWrap w:val="0"/>
          </w:tcPr>
          <w:p w14:paraId="5D6E8878">
            <w:pPr>
              <w:rPr>
                <w:rFonts w:ascii="宋体" w:hAnsi="宋体"/>
                <w:sz w:val="28"/>
                <w:szCs w:val="28"/>
                <w:highlight w:val="none"/>
              </w:rPr>
            </w:pPr>
          </w:p>
        </w:tc>
      </w:tr>
      <w:tr w14:paraId="2C9AE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continue"/>
            <w:noWrap w:val="0"/>
          </w:tcPr>
          <w:p w14:paraId="26E9922A">
            <w:pPr>
              <w:rPr>
                <w:rFonts w:ascii="宋体" w:hAnsi="宋体"/>
                <w:sz w:val="28"/>
                <w:szCs w:val="28"/>
                <w:highlight w:val="none"/>
              </w:rPr>
            </w:pPr>
          </w:p>
        </w:tc>
        <w:tc>
          <w:tcPr>
            <w:tcW w:w="7458" w:type="dxa"/>
            <w:gridSpan w:val="4"/>
            <w:noWrap w:val="0"/>
          </w:tcPr>
          <w:p w14:paraId="1DA2AB67">
            <w:pPr>
              <w:rPr>
                <w:rFonts w:ascii="宋体" w:hAnsi="宋体"/>
                <w:sz w:val="28"/>
                <w:szCs w:val="28"/>
                <w:highlight w:val="none"/>
              </w:rPr>
            </w:pPr>
          </w:p>
        </w:tc>
      </w:tr>
      <w:tr w14:paraId="6E53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continue"/>
            <w:noWrap w:val="0"/>
          </w:tcPr>
          <w:p w14:paraId="2B6E9CCA">
            <w:pPr>
              <w:rPr>
                <w:rFonts w:ascii="宋体" w:hAnsi="宋体"/>
                <w:sz w:val="28"/>
                <w:szCs w:val="28"/>
                <w:highlight w:val="none"/>
              </w:rPr>
            </w:pPr>
          </w:p>
        </w:tc>
        <w:tc>
          <w:tcPr>
            <w:tcW w:w="7458" w:type="dxa"/>
            <w:gridSpan w:val="4"/>
            <w:noWrap w:val="0"/>
          </w:tcPr>
          <w:p w14:paraId="52B1F4C7">
            <w:pPr>
              <w:rPr>
                <w:rFonts w:ascii="宋体" w:hAnsi="宋体"/>
                <w:sz w:val="28"/>
                <w:szCs w:val="28"/>
                <w:highlight w:val="none"/>
              </w:rPr>
            </w:pPr>
          </w:p>
        </w:tc>
      </w:tr>
      <w:tr w14:paraId="66A4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restart"/>
            <w:noWrap w:val="0"/>
            <w:vAlign w:val="center"/>
          </w:tcPr>
          <w:p w14:paraId="10BED6F6">
            <w:pPr>
              <w:jc w:val="center"/>
              <w:rPr>
                <w:rFonts w:hint="eastAsia" w:ascii="宋体" w:hAnsi="宋体"/>
                <w:sz w:val="28"/>
                <w:szCs w:val="28"/>
                <w:highlight w:val="none"/>
                <w:lang w:val="en-US" w:eastAsia="zh-CN"/>
              </w:rPr>
            </w:pPr>
            <w:r>
              <w:rPr>
                <w:rFonts w:hint="eastAsia" w:ascii="宋体" w:hAnsi="宋体"/>
                <w:sz w:val="24"/>
                <w:szCs w:val="24"/>
              </w:rPr>
              <w:t>配件配套的车辆品牌和车型</w:t>
            </w:r>
          </w:p>
        </w:tc>
        <w:tc>
          <w:tcPr>
            <w:tcW w:w="7458" w:type="dxa"/>
            <w:gridSpan w:val="4"/>
            <w:noWrap w:val="0"/>
          </w:tcPr>
          <w:p w14:paraId="74442D32">
            <w:pPr>
              <w:rPr>
                <w:rFonts w:ascii="宋体" w:hAnsi="宋体"/>
                <w:sz w:val="28"/>
                <w:szCs w:val="28"/>
                <w:highlight w:val="none"/>
              </w:rPr>
            </w:pPr>
          </w:p>
        </w:tc>
      </w:tr>
      <w:tr w14:paraId="152D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continue"/>
            <w:noWrap w:val="0"/>
          </w:tcPr>
          <w:p w14:paraId="31B3B7F1">
            <w:pPr>
              <w:rPr>
                <w:rFonts w:ascii="宋体" w:hAnsi="宋体"/>
                <w:sz w:val="28"/>
                <w:szCs w:val="28"/>
                <w:highlight w:val="none"/>
              </w:rPr>
            </w:pPr>
          </w:p>
        </w:tc>
        <w:tc>
          <w:tcPr>
            <w:tcW w:w="7458" w:type="dxa"/>
            <w:gridSpan w:val="4"/>
            <w:noWrap w:val="0"/>
          </w:tcPr>
          <w:p w14:paraId="2C445C95">
            <w:pPr>
              <w:rPr>
                <w:rFonts w:ascii="宋体" w:hAnsi="宋体"/>
                <w:sz w:val="28"/>
                <w:szCs w:val="28"/>
                <w:highlight w:val="none"/>
              </w:rPr>
            </w:pPr>
          </w:p>
        </w:tc>
      </w:tr>
      <w:tr w14:paraId="772F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1881" w:type="dxa"/>
            <w:gridSpan w:val="2"/>
            <w:vMerge w:val="continue"/>
            <w:noWrap w:val="0"/>
          </w:tcPr>
          <w:p w14:paraId="56A5EF21">
            <w:pPr>
              <w:rPr>
                <w:rFonts w:ascii="宋体" w:hAnsi="宋体"/>
                <w:sz w:val="28"/>
                <w:szCs w:val="28"/>
                <w:highlight w:val="none"/>
              </w:rPr>
            </w:pPr>
          </w:p>
        </w:tc>
        <w:tc>
          <w:tcPr>
            <w:tcW w:w="7458" w:type="dxa"/>
            <w:gridSpan w:val="4"/>
            <w:noWrap w:val="0"/>
          </w:tcPr>
          <w:p w14:paraId="206A6190">
            <w:pPr>
              <w:rPr>
                <w:rFonts w:ascii="宋体" w:hAnsi="宋体"/>
                <w:sz w:val="28"/>
                <w:szCs w:val="28"/>
                <w:highlight w:val="none"/>
              </w:rPr>
            </w:pPr>
          </w:p>
        </w:tc>
      </w:tr>
      <w:tr w14:paraId="5B1A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1881" w:type="dxa"/>
            <w:gridSpan w:val="2"/>
            <w:vMerge w:val="continue"/>
            <w:noWrap w:val="0"/>
          </w:tcPr>
          <w:p w14:paraId="1C16BB8B">
            <w:pPr>
              <w:rPr>
                <w:rFonts w:ascii="宋体" w:hAnsi="宋体"/>
                <w:sz w:val="28"/>
                <w:szCs w:val="28"/>
                <w:highlight w:val="none"/>
              </w:rPr>
            </w:pPr>
          </w:p>
        </w:tc>
        <w:tc>
          <w:tcPr>
            <w:tcW w:w="7458" w:type="dxa"/>
            <w:gridSpan w:val="4"/>
            <w:noWrap w:val="0"/>
          </w:tcPr>
          <w:p w14:paraId="0B60712A">
            <w:pPr>
              <w:rPr>
                <w:rFonts w:ascii="宋体" w:hAnsi="宋体"/>
                <w:sz w:val="28"/>
                <w:szCs w:val="28"/>
                <w:highlight w:val="none"/>
              </w:rPr>
            </w:pPr>
          </w:p>
        </w:tc>
      </w:tr>
    </w:tbl>
    <w:p w14:paraId="4CC93E31">
      <w:pPr>
        <w:rPr>
          <w:rFonts w:ascii="宋体" w:hAnsi="宋体"/>
          <w:sz w:val="30"/>
          <w:szCs w:val="30"/>
          <w:highlight w:val="none"/>
        </w:rPr>
      </w:pPr>
    </w:p>
    <w:p w14:paraId="133BEB99">
      <w:pPr>
        <w:rPr>
          <w:rFonts w:hint="eastAsia" w:ascii="宋体" w:hAnsi="宋体"/>
          <w:sz w:val="30"/>
          <w:szCs w:val="30"/>
          <w:highlight w:val="none"/>
        </w:rPr>
      </w:pPr>
      <w:r>
        <w:rPr>
          <w:rFonts w:hint="eastAsia" w:ascii="宋体" w:hAnsi="宋体"/>
          <w:sz w:val="30"/>
          <w:szCs w:val="30"/>
          <w:highlight w:val="none"/>
        </w:rPr>
        <w:br w:type="page" w:clear="all"/>
      </w:r>
    </w:p>
    <w:p w14:paraId="59F9AE46">
      <w:pPr>
        <w:numPr>
          <w:ilvl w:val="0"/>
          <w:numId w:val="6"/>
        </w:numPr>
        <w:ind w:left="720" w:hanging="720"/>
        <w:rPr>
          <w:rFonts w:hint="eastAsia" w:ascii="宋体" w:hAnsi="宋体"/>
          <w:sz w:val="30"/>
          <w:szCs w:val="30"/>
          <w:highlight w:val="none"/>
        </w:rPr>
      </w:pPr>
      <w:r>
        <w:rPr>
          <w:rFonts w:hint="eastAsia" w:ascii="宋体" w:hAnsi="宋体"/>
          <w:sz w:val="30"/>
          <w:szCs w:val="30"/>
          <w:highlight w:val="none"/>
        </w:rPr>
        <w:t>主要维修设备一览表</w:t>
      </w:r>
    </w:p>
    <w:p w14:paraId="2B0800EF">
      <w:pPr>
        <w:pStyle w:val="30"/>
        <w:numPr>
          <w:ilvl w:val="0"/>
          <w:numId w:val="0"/>
        </w:numPr>
      </w:pPr>
    </w:p>
    <w:tbl>
      <w:tblPr>
        <w:tblStyle w:val="33"/>
        <w:tblW w:w="915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6"/>
        <w:gridCol w:w="1829"/>
        <w:gridCol w:w="1231"/>
        <w:gridCol w:w="2005"/>
        <w:gridCol w:w="2046"/>
      </w:tblGrid>
      <w:tr w14:paraId="6C45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6BC772B1">
            <w:pPr>
              <w:rPr>
                <w:rFonts w:ascii="宋体" w:hAnsi="宋体"/>
                <w:sz w:val="28"/>
                <w:szCs w:val="28"/>
                <w:highlight w:val="none"/>
              </w:rPr>
            </w:pPr>
            <w:r>
              <w:rPr>
                <w:rFonts w:hint="eastAsia" w:ascii="宋体" w:hAnsi="宋体"/>
                <w:sz w:val="28"/>
                <w:szCs w:val="28"/>
                <w:highlight w:val="none"/>
              </w:rPr>
              <w:t xml:space="preserve">   设备名称</w:t>
            </w:r>
          </w:p>
        </w:tc>
        <w:tc>
          <w:tcPr>
            <w:tcW w:w="1829" w:type="dxa"/>
            <w:noWrap w:val="0"/>
          </w:tcPr>
          <w:p w14:paraId="5EBAB03D">
            <w:pPr>
              <w:rPr>
                <w:rFonts w:ascii="宋体" w:hAnsi="宋体"/>
                <w:sz w:val="28"/>
                <w:szCs w:val="28"/>
                <w:highlight w:val="none"/>
              </w:rPr>
            </w:pPr>
            <w:r>
              <w:rPr>
                <w:rFonts w:hint="eastAsia" w:ascii="宋体" w:hAnsi="宋体"/>
                <w:sz w:val="28"/>
                <w:szCs w:val="28"/>
                <w:highlight w:val="none"/>
              </w:rPr>
              <w:t xml:space="preserve">  规格型号</w:t>
            </w:r>
          </w:p>
        </w:tc>
        <w:tc>
          <w:tcPr>
            <w:tcW w:w="1231" w:type="dxa"/>
            <w:noWrap w:val="0"/>
          </w:tcPr>
          <w:p w14:paraId="41B33CD1">
            <w:pPr>
              <w:rPr>
                <w:rFonts w:ascii="宋体" w:hAnsi="宋体"/>
                <w:sz w:val="28"/>
                <w:szCs w:val="28"/>
                <w:highlight w:val="none"/>
              </w:rPr>
            </w:pPr>
            <w:r>
              <w:rPr>
                <w:rFonts w:hint="eastAsia" w:ascii="宋体" w:hAnsi="宋体"/>
                <w:sz w:val="28"/>
                <w:szCs w:val="28"/>
                <w:highlight w:val="none"/>
              </w:rPr>
              <w:t xml:space="preserve"> 数量</w:t>
            </w:r>
          </w:p>
        </w:tc>
        <w:tc>
          <w:tcPr>
            <w:tcW w:w="2005" w:type="dxa"/>
            <w:noWrap w:val="0"/>
          </w:tcPr>
          <w:p w14:paraId="33C24F15">
            <w:pPr>
              <w:rPr>
                <w:rFonts w:ascii="宋体" w:hAnsi="宋体"/>
                <w:sz w:val="28"/>
                <w:szCs w:val="28"/>
                <w:highlight w:val="none"/>
              </w:rPr>
            </w:pPr>
            <w:r>
              <w:rPr>
                <w:rFonts w:hint="eastAsia" w:ascii="宋体" w:hAnsi="宋体"/>
                <w:sz w:val="28"/>
                <w:szCs w:val="28"/>
                <w:highlight w:val="none"/>
              </w:rPr>
              <w:t xml:space="preserve"> 出厂日期</w:t>
            </w:r>
          </w:p>
        </w:tc>
        <w:tc>
          <w:tcPr>
            <w:tcW w:w="2046" w:type="dxa"/>
            <w:noWrap w:val="0"/>
          </w:tcPr>
          <w:p w14:paraId="0185881D">
            <w:pPr>
              <w:rPr>
                <w:rFonts w:ascii="宋体" w:hAnsi="宋体"/>
                <w:sz w:val="28"/>
                <w:szCs w:val="28"/>
                <w:highlight w:val="none"/>
              </w:rPr>
            </w:pPr>
            <w:r>
              <w:rPr>
                <w:rFonts w:hint="eastAsia" w:ascii="宋体" w:hAnsi="宋体"/>
                <w:sz w:val="28"/>
                <w:szCs w:val="28"/>
                <w:highlight w:val="none"/>
              </w:rPr>
              <w:t xml:space="preserve"> 设备原值</w:t>
            </w:r>
          </w:p>
        </w:tc>
      </w:tr>
      <w:tr w14:paraId="693B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5918E8AD">
            <w:pPr>
              <w:rPr>
                <w:rFonts w:ascii="宋体" w:hAnsi="宋体"/>
                <w:sz w:val="28"/>
                <w:szCs w:val="28"/>
                <w:highlight w:val="none"/>
              </w:rPr>
            </w:pPr>
          </w:p>
        </w:tc>
        <w:tc>
          <w:tcPr>
            <w:tcW w:w="1829" w:type="dxa"/>
            <w:noWrap w:val="0"/>
          </w:tcPr>
          <w:p w14:paraId="5E6B0FC3">
            <w:pPr>
              <w:rPr>
                <w:rFonts w:ascii="宋体" w:hAnsi="宋体"/>
                <w:sz w:val="28"/>
                <w:szCs w:val="28"/>
                <w:highlight w:val="none"/>
              </w:rPr>
            </w:pPr>
          </w:p>
        </w:tc>
        <w:tc>
          <w:tcPr>
            <w:tcW w:w="1231" w:type="dxa"/>
            <w:noWrap w:val="0"/>
          </w:tcPr>
          <w:p w14:paraId="4C5F4AE6">
            <w:pPr>
              <w:rPr>
                <w:rFonts w:ascii="宋体" w:hAnsi="宋体"/>
                <w:sz w:val="28"/>
                <w:szCs w:val="28"/>
                <w:highlight w:val="none"/>
              </w:rPr>
            </w:pPr>
          </w:p>
        </w:tc>
        <w:tc>
          <w:tcPr>
            <w:tcW w:w="2005" w:type="dxa"/>
            <w:noWrap w:val="0"/>
          </w:tcPr>
          <w:p w14:paraId="092CE307">
            <w:pPr>
              <w:rPr>
                <w:rFonts w:ascii="宋体" w:hAnsi="宋体"/>
                <w:sz w:val="28"/>
                <w:szCs w:val="28"/>
                <w:highlight w:val="none"/>
              </w:rPr>
            </w:pPr>
          </w:p>
        </w:tc>
        <w:tc>
          <w:tcPr>
            <w:tcW w:w="2046" w:type="dxa"/>
            <w:noWrap w:val="0"/>
          </w:tcPr>
          <w:p w14:paraId="1E6F26F5">
            <w:pPr>
              <w:rPr>
                <w:rFonts w:ascii="宋体" w:hAnsi="宋体"/>
                <w:sz w:val="28"/>
                <w:szCs w:val="28"/>
                <w:highlight w:val="none"/>
              </w:rPr>
            </w:pPr>
          </w:p>
        </w:tc>
      </w:tr>
      <w:tr w14:paraId="5A3F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68FA3C79">
            <w:pPr>
              <w:rPr>
                <w:rFonts w:ascii="宋体" w:hAnsi="宋体"/>
                <w:sz w:val="28"/>
                <w:szCs w:val="28"/>
                <w:highlight w:val="none"/>
              </w:rPr>
            </w:pPr>
          </w:p>
        </w:tc>
        <w:tc>
          <w:tcPr>
            <w:tcW w:w="1829" w:type="dxa"/>
            <w:noWrap w:val="0"/>
          </w:tcPr>
          <w:p w14:paraId="35FEC209">
            <w:pPr>
              <w:rPr>
                <w:rFonts w:ascii="宋体" w:hAnsi="宋体"/>
                <w:sz w:val="28"/>
                <w:szCs w:val="28"/>
                <w:highlight w:val="none"/>
              </w:rPr>
            </w:pPr>
          </w:p>
        </w:tc>
        <w:tc>
          <w:tcPr>
            <w:tcW w:w="1231" w:type="dxa"/>
            <w:noWrap w:val="0"/>
          </w:tcPr>
          <w:p w14:paraId="64DA5966">
            <w:pPr>
              <w:rPr>
                <w:rFonts w:ascii="宋体" w:hAnsi="宋体"/>
                <w:sz w:val="28"/>
                <w:szCs w:val="28"/>
                <w:highlight w:val="none"/>
              </w:rPr>
            </w:pPr>
          </w:p>
        </w:tc>
        <w:tc>
          <w:tcPr>
            <w:tcW w:w="2005" w:type="dxa"/>
            <w:noWrap w:val="0"/>
          </w:tcPr>
          <w:p w14:paraId="7D969804">
            <w:pPr>
              <w:rPr>
                <w:rFonts w:ascii="宋体" w:hAnsi="宋体"/>
                <w:sz w:val="28"/>
                <w:szCs w:val="28"/>
                <w:highlight w:val="none"/>
              </w:rPr>
            </w:pPr>
          </w:p>
        </w:tc>
        <w:tc>
          <w:tcPr>
            <w:tcW w:w="2046" w:type="dxa"/>
            <w:noWrap w:val="0"/>
          </w:tcPr>
          <w:p w14:paraId="1425D5F6">
            <w:pPr>
              <w:rPr>
                <w:rFonts w:ascii="宋体" w:hAnsi="宋体"/>
                <w:sz w:val="28"/>
                <w:szCs w:val="28"/>
                <w:highlight w:val="none"/>
              </w:rPr>
            </w:pPr>
          </w:p>
        </w:tc>
      </w:tr>
      <w:tr w14:paraId="4C5E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7C397635">
            <w:pPr>
              <w:rPr>
                <w:rFonts w:ascii="宋体" w:hAnsi="宋体"/>
                <w:sz w:val="28"/>
                <w:szCs w:val="28"/>
                <w:highlight w:val="none"/>
              </w:rPr>
            </w:pPr>
          </w:p>
        </w:tc>
        <w:tc>
          <w:tcPr>
            <w:tcW w:w="1829" w:type="dxa"/>
            <w:noWrap w:val="0"/>
          </w:tcPr>
          <w:p w14:paraId="4CD99973">
            <w:pPr>
              <w:rPr>
                <w:rFonts w:ascii="宋体" w:hAnsi="宋体"/>
                <w:sz w:val="28"/>
                <w:szCs w:val="28"/>
                <w:highlight w:val="none"/>
              </w:rPr>
            </w:pPr>
          </w:p>
        </w:tc>
        <w:tc>
          <w:tcPr>
            <w:tcW w:w="1231" w:type="dxa"/>
            <w:noWrap w:val="0"/>
          </w:tcPr>
          <w:p w14:paraId="74F08266">
            <w:pPr>
              <w:rPr>
                <w:rFonts w:ascii="宋体" w:hAnsi="宋体"/>
                <w:sz w:val="28"/>
                <w:szCs w:val="28"/>
                <w:highlight w:val="none"/>
              </w:rPr>
            </w:pPr>
          </w:p>
        </w:tc>
        <w:tc>
          <w:tcPr>
            <w:tcW w:w="2005" w:type="dxa"/>
            <w:noWrap w:val="0"/>
          </w:tcPr>
          <w:p w14:paraId="3156953C">
            <w:pPr>
              <w:rPr>
                <w:rFonts w:ascii="宋体" w:hAnsi="宋体"/>
                <w:sz w:val="28"/>
                <w:szCs w:val="28"/>
                <w:highlight w:val="none"/>
              </w:rPr>
            </w:pPr>
          </w:p>
        </w:tc>
        <w:tc>
          <w:tcPr>
            <w:tcW w:w="2046" w:type="dxa"/>
            <w:noWrap w:val="0"/>
          </w:tcPr>
          <w:p w14:paraId="4128878D">
            <w:pPr>
              <w:rPr>
                <w:rFonts w:ascii="宋体" w:hAnsi="宋体"/>
                <w:sz w:val="28"/>
                <w:szCs w:val="28"/>
                <w:highlight w:val="none"/>
              </w:rPr>
            </w:pPr>
          </w:p>
        </w:tc>
      </w:tr>
      <w:tr w14:paraId="0D21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37A89D14">
            <w:pPr>
              <w:rPr>
                <w:rFonts w:ascii="宋体" w:hAnsi="宋体"/>
                <w:sz w:val="28"/>
                <w:szCs w:val="28"/>
                <w:highlight w:val="none"/>
              </w:rPr>
            </w:pPr>
          </w:p>
        </w:tc>
        <w:tc>
          <w:tcPr>
            <w:tcW w:w="1829" w:type="dxa"/>
            <w:noWrap w:val="0"/>
          </w:tcPr>
          <w:p w14:paraId="2181320B">
            <w:pPr>
              <w:rPr>
                <w:rFonts w:ascii="宋体" w:hAnsi="宋体"/>
                <w:sz w:val="28"/>
                <w:szCs w:val="28"/>
                <w:highlight w:val="none"/>
              </w:rPr>
            </w:pPr>
          </w:p>
        </w:tc>
        <w:tc>
          <w:tcPr>
            <w:tcW w:w="1231" w:type="dxa"/>
            <w:noWrap w:val="0"/>
          </w:tcPr>
          <w:p w14:paraId="100A1F14">
            <w:pPr>
              <w:rPr>
                <w:rFonts w:ascii="宋体" w:hAnsi="宋体"/>
                <w:sz w:val="28"/>
                <w:szCs w:val="28"/>
                <w:highlight w:val="none"/>
              </w:rPr>
            </w:pPr>
          </w:p>
        </w:tc>
        <w:tc>
          <w:tcPr>
            <w:tcW w:w="2005" w:type="dxa"/>
            <w:noWrap w:val="0"/>
          </w:tcPr>
          <w:p w14:paraId="612A85FD">
            <w:pPr>
              <w:rPr>
                <w:rFonts w:ascii="宋体" w:hAnsi="宋体"/>
                <w:sz w:val="28"/>
                <w:szCs w:val="28"/>
                <w:highlight w:val="none"/>
              </w:rPr>
            </w:pPr>
          </w:p>
        </w:tc>
        <w:tc>
          <w:tcPr>
            <w:tcW w:w="2046" w:type="dxa"/>
            <w:noWrap w:val="0"/>
          </w:tcPr>
          <w:p w14:paraId="0CBB09D7">
            <w:pPr>
              <w:rPr>
                <w:rFonts w:ascii="宋体" w:hAnsi="宋体"/>
                <w:sz w:val="28"/>
                <w:szCs w:val="28"/>
                <w:highlight w:val="none"/>
              </w:rPr>
            </w:pPr>
          </w:p>
        </w:tc>
      </w:tr>
      <w:tr w14:paraId="3C756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32EBE49A">
            <w:pPr>
              <w:rPr>
                <w:rFonts w:ascii="宋体" w:hAnsi="宋体"/>
                <w:sz w:val="28"/>
                <w:szCs w:val="28"/>
                <w:highlight w:val="none"/>
              </w:rPr>
            </w:pPr>
          </w:p>
        </w:tc>
        <w:tc>
          <w:tcPr>
            <w:tcW w:w="1829" w:type="dxa"/>
            <w:noWrap w:val="0"/>
          </w:tcPr>
          <w:p w14:paraId="6DF72199">
            <w:pPr>
              <w:rPr>
                <w:rFonts w:ascii="宋体" w:hAnsi="宋体"/>
                <w:sz w:val="28"/>
                <w:szCs w:val="28"/>
                <w:highlight w:val="none"/>
              </w:rPr>
            </w:pPr>
          </w:p>
        </w:tc>
        <w:tc>
          <w:tcPr>
            <w:tcW w:w="1231" w:type="dxa"/>
            <w:noWrap w:val="0"/>
          </w:tcPr>
          <w:p w14:paraId="216885AE">
            <w:pPr>
              <w:rPr>
                <w:rFonts w:ascii="宋体" w:hAnsi="宋体"/>
                <w:sz w:val="28"/>
                <w:szCs w:val="28"/>
                <w:highlight w:val="none"/>
              </w:rPr>
            </w:pPr>
          </w:p>
        </w:tc>
        <w:tc>
          <w:tcPr>
            <w:tcW w:w="2005" w:type="dxa"/>
            <w:noWrap w:val="0"/>
          </w:tcPr>
          <w:p w14:paraId="71885554">
            <w:pPr>
              <w:rPr>
                <w:rFonts w:ascii="宋体" w:hAnsi="宋体"/>
                <w:sz w:val="28"/>
                <w:szCs w:val="28"/>
                <w:highlight w:val="none"/>
              </w:rPr>
            </w:pPr>
          </w:p>
        </w:tc>
        <w:tc>
          <w:tcPr>
            <w:tcW w:w="2046" w:type="dxa"/>
            <w:noWrap w:val="0"/>
          </w:tcPr>
          <w:p w14:paraId="1417B451">
            <w:pPr>
              <w:rPr>
                <w:rFonts w:ascii="宋体" w:hAnsi="宋体"/>
                <w:sz w:val="28"/>
                <w:szCs w:val="28"/>
                <w:highlight w:val="none"/>
              </w:rPr>
            </w:pPr>
          </w:p>
        </w:tc>
      </w:tr>
      <w:tr w14:paraId="6725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02A4F508">
            <w:pPr>
              <w:rPr>
                <w:rFonts w:ascii="宋体" w:hAnsi="宋体"/>
                <w:sz w:val="28"/>
                <w:szCs w:val="28"/>
                <w:highlight w:val="none"/>
              </w:rPr>
            </w:pPr>
          </w:p>
        </w:tc>
        <w:tc>
          <w:tcPr>
            <w:tcW w:w="1829" w:type="dxa"/>
            <w:noWrap w:val="0"/>
          </w:tcPr>
          <w:p w14:paraId="32E5F560">
            <w:pPr>
              <w:rPr>
                <w:rFonts w:ascii="宋体" w:hAnsi="宋体"/>
                <w:sz w:val="28"/>
                <w:szCs w:val="28"/>
                <w:highlight w:val="none"/>
              </w:rPr>
            </w:pPr>
          </w:p>
        </w:tc>
        <w:tc>
          <w:tcPr>
            <w:tcW w:w="1231" w:type="dxa"/>
            <w:noWrap w:val="0"/>
          </w:tcPr>
          <w:p w14:paraId="5383A769">
            <w:pPr>
              <w:rPr>
                <w:rFonts w:ascii="宋体" w:hAnsi="宋体"/>
                <w:sz w:val="28"/>
                <w:szCs w:val="28"/>
                <w:highlight w:val="none"/>
              </w:rPr>
            </w:pPr>
          </w:p>
        </w:tc>
        <w:tc>
          <w:tcPr>
            <w:tcW w:w="2005" w:type="dxa"/>
            <w:noWrap w:val="0"/>
          </w:tcPr>
          <w:p w14:paraId="1DC0EB15">
            <w:pPr>
              <w:rPr>
                <w:rFonts w:ascii="宋体" w:hAnsi="宋体"/>
                <w:sz w:val="28"/>
                <w:szCs w:val="28"/>
                <w:highlight w:val="none"/>
              </w:rPr>
            </w:pPr>
          </w:p>
        </w:tc>
        <w:tc>
          <w:tcPr>
            <w:tcW w:w="2046" w:type="dxa"/>
            <w:noWrap w:val="0"/>
          </w:tcPr>
          <w:p w14:paraId="187170B2">
            <w:pPr>
              <w:rPr>
                <w:rFonts w:ascii="宋体" w:hAnsi="宋体"/>
                <w:sz w:val="28"/>
                <w:szCs w:val="28"/>
                <w:highlight w:val="none"/>
              </w:rPr>
            </w:pPr>
          </w:p>
        </w:tc>
      </w:tr>
      <w:tr w14:paraId="28AC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547260D1">
            <w:pPr>
              <w:rPr>
                <w:rFonts w:ascii="宋体" w:hAnsi="宋体"/>
                <w:sz w:val="28"/>
                <w:szCs w:val="28"/>
                <w:highlight w:val="none"/>
              </w:rPr>
            </w:pPr>
          </w:p>
        </w:tc>
        <w:tc>
          <w:tcPr>
            <w:tcW w:w="1829" w:type="dxa"/>
            <w:noWrap w:val="0"/>
          </w:tcPr>
          <w:p w14:paraId="42F7FA7B">
            <w:pPr>
              <w:rPr>
                <w:rFonts w:ascii="宋体" w:hAnsi="宋体"/>
                <w:sz w:val="28"/>
                <w:szCs w:val="28"/>
                <w:highlight w:val="none"/>
              </w:rPr>
            </w:pPr>
          </w:p>
        </w:tc>
        <w:tc>
          <w:tcPr>
            <w:tcW w:w="1231" w:type="dxa"/>
            <w:noWrap w:val="0"/>
          </w:tcPr>
          <w:p w14:paraId="0B7E4375">
            <w:pPr>
              <w:rPr>
                <w:rFonts w:ascii="宋体" w:hAnsi="宋体"/>
                <w:sz w:val="28"/>
                <w:szCs w:val="28"/>
                <w:highlight w:val="none"/>
              </w:rPr>
            </w:pPr>
          </w:p>
        </w:tc>
        <w:tc>
          <w:tcPr>
            <w:tcW w:w="2005" w:type="dxa"/>
            <w:noWrap w:val="0"/>
          </w:tcPr>
          <w:p w14:paraId="30BDFE9A">
            <w:pPr>
              <w:rPr>
                <w:rFonts w:ascii="宋体" w:hAnsi="宋体"/>
                <w:sz w:val="28"/>
                <w:szCs w:val="28"/>
                <w:highlight w:val="none"/>
              </w:rPr>
            </w:pPr>
          </w:p>
        </w:tc>
        <w:tc>
          <w:tcPr>
            <w:tcW w:w="2046" w:type="dxa"/>
            <w:noWrap w:val="0"/>
          </w:tcPr>
          <w:p w14:paraId="342C4BE5">
            <w:pPr>
              <w:rPr>
                <w:rFonts w:ascii="宋体" w:hAnsi="宋体"/>
                <w:sz w:val="28"/>
                <w:szCs w:val="28"/>
                <w:highlight w:val="none"/>
              </w:rPr>
            </w:pPr>
          </w:p>
        </w:tc>
      </w:tr>
      <w:tr w14:paraId="168B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3B7CA0BA">
            <w:pPr>
              <w:rPr>
                <w:rFonts w:ascii="宋体" w:hAnsi="宋体"/>
                <w:sz w:val="28"/>
                <w:szCs w:val="28"/>
                <w:highlight w:val="none"/>
              </w:rPr>
            </w:pPr>
          </w:p>
        </w:tc>
        <w:tc>
          <w:tcPr>
            <w:tcW w:w="1829" w:type="dxa"/>
            <w:noWrap w:val="0"/>
          </w:tcPr>
          <w:p w14:paraId="1E182944">
            <w:pPr>
              <w:rPr>
                <w:rFonts w:ascii="宋体" w:hAnsi="宋体"/>
                <w:sz w:val="28"/>
                <w:szCs w:val="28"/>
                <w:highlight w:val="none"/>
              </w:rPr>
            </w:pPr>
          </w:p>
        </w:tc>
        <w:tc>
          <w:tcPr>
            <w:tcW w:w="1231" w:type="dxa"/>
            <w:noWrap w:val="0"/>
          </w:tcPr>
          <w:p w14:paraId="5F47EB73">
            <w:pPr>
              <w:rPr>
                <w:rFonts w:ascii="宋体" w:hAnsi="宋体"/>
                <w:sz w:val="28"/>
                <w:szCs w:val="28"/>
                <w:highlight w:val="none"/>
              </w:rPr>
            </w:pPr>
          </w:p>
        </w:tc>
        <w:tc>
          <w:tcPr>
            <w:tcW w:w="2005" w:type="dxa"/>
            <w:noWrap w:val="0"/>
          </w:tcPr>
          <w:p w14:paraId="3D92FE7D">
            <w:pPr>
              <w:rPr>
                <w:rFonts w:ascii="宋体" w:hAnsi="宋体"/>
                <w:sz w:val="28"/>
                <w:szCs w:val="28"/>
                <w:highlight w:val="none"/>
              </w:rPr>
            </w:pPr>
          </w:p>
        </w:tc>
        <w:tc>
          <w:tcPr>
            <w:tcW w:w="2046" w:type="dxa"/>
            <w:noWrap w:val="0"/>
          </w:tcPr>
          <w:p w14:paraId="6E3068AA">
            <w:pPr>
              <w:rPr>
                <w:rFonts w:ascii="宋体" w:hAnsi="宋体"/>
                <w:sz w:val="28"/>
                <w:szCs w:val="28"/>
                <w:highlight w:val="none"/>
              </w:rPr>
            </w:pPr>
          </w:p>
        </w:tc>
      </w:tr>
      <w:tr w14:paraId="2983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69CD40B3">
            <w:pPr>
              <w:rPr>
                <w:rFonts w:ascii="宋体" w:hAnsi="宋体"/>
                <w:sz w:val="28"/>
                <w:szCs w:val="28"/>
                <w:highlight w:val="none"/>
              </w:rPr>
            </w:pPr>
          </w:p>
        </w:tc>
        <w:tc>
          <w:tcPr>
            <w:tcW w:w="1829" w:type="dxa"/>
            <w:noWrap w:val="0"/>
          </w:tcPr>
          <w:p w14:paraId="7E96AE40">
            <w:pPr>
              <w:rPr>
                <w:rFonts w:ascii="宋体" w:hAnsi="宋体"/>
                <w:sz w:val="28"/>
                <w:szCs w:val="28"/>
                <w:highlight w:val="none"/>
              </w:rPr>
            </w:pPr>
          </w:p>
        </w:tc>
        <w:tc>
          <w:tcPr>
            <w:tcW w:w="1231" w:type="dxa"/>
            <w:noWrap w:val="0"/>
          </w:tcPr>
          <w:p w14:paraId="7530C57B">
            <w:pPr>
              <w:rPr>
                <w:rFonts w:ascii="宋体" w:hAnsi="宋体"/>
                <w:sz w:val="28"/>
                <w:szCs w:val="28"/>
                <w:highlight w:val="none"/>
              </w:rPr>
            </w:pPr>
          </w:p>
        </w:tc>
        <w:tc>
          <w:tcPr>
            <w:tcW w:w="2005" w:type="dxa"/>
            <w:noWrap w:val="0"/>
          </w:tcPr>
          <w:p w14:paraId="081C9E42">
            <w:pPr>
              <w:rPr>
                <w:rFonts w:ascii="宋体" w:hAnsi="宋体"/>
                <w:sz w:val="28"/>
                <w:szCs w:val="28"/>
                <w:highlight w:val="none"/>
              </w:rPr>
            </w:pPr>
          </w:p>
        </w:tc>
        <w:tc>
          <w:tcPr>
            <w:tcW w:w="2046" w:type="dxa"/>
            <w:noWrap w:val="0"/>
          </w:tcPr>
          <w:p w14:paraId="7787B17E">
            <w:pPr>
              <w:rPr>
                <w:rFonts w:ascii="宋体" w:hAnsi="宋体"/>
                <w:sz w:val="28"/>
                <w:szCs w:val="28"/>
                <w:highlight w:val="none"/>
              </w:rPr>
            </w:pPr>
          </w:p>
        </w:tc>
      </w:tr>
      <w:tr w14:paraId="6F18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46" w:type="dxa"/>
            <w:noWrap w:val="0"/>
          </w:tcPr>
          <w:p w14:paraId="4887B961">
            <w:pPr>
              <w:rPr>
                <w:rFonts w:ascii="宋体" w:hAnsi="宋体"/>
                <w:sz w:val="28"/>
                <w:szCs w:val="28"/>
                <w:highlight w:val="none"/>
              </w:rPr>
            </w:pPr>
          </w:p>
        </w:tc>
        <w:tc>
          <w:tcPr>
            <w:tcW w:w="1829" w:type="dxa"/>
            <w:noWrap w:val="0"/>
          </w:tcPr>
          <w:p w14:paraId="2EB086B2">
            <w:pPr>
              <w:rPr>
                <w:rFonts w:ascii="宋体" w:hAnsi="宋体"/>
                <w:sz w:val="28"/>
                <w:szCs w:val="28"/>
                <w:highlight w:val="none"/>
              </w:rPr>
            </w:pPr>
          </w:p>
        </w:tc>
        <w:tc>
          <w:tcPr>
            <w:tcW w:w="1231" w:type="dxa"/>
            <w:noWrap w:val="0"/>
          </w:tcPr>
          <w:p w14:paraId="6716C1A1">
            <w:pPr>
              <w:rPr>
                <w:rFonts w:ascii="宋体" w:hAnsi="宋体"/>
                <w:sz w:val="28"/>
                <w:szCs w:val="28"/>
                <w:highlight w:val="none"/>
              </w:rPr>
            </w:pPr>
          </w:p>
        </w:tc>
        <w:tc>
          <w:tcPr>
            <w:tcW w:w="2005" w:type="dxa"/>
            <w:noWrap w:val="0"/>
          </w:tcPr>
          <w:p w14:paraId="5742C074">
            <w:pPr>
              <w:rPr>
                <w:rFonts w:ascii="宋体" w:hAnsi="宋体"/>
                <w:sz w:val="28"/>
                <w:szCs w:val="28"/>
                <w:highlight w:val="none"/>
              </w:rPr>
            </w:pPr>
          </w:p>
        </w:tc>
        <w:tc>
          <w:tcPr>
            <w:tcW w:w="2046" w:type="dxa"/>
            <w:noWrap w:val="0"/>
          </w:tcPr>
          <w:p w14:paraId="2D8590EF">
            <w:pPr>
              <w:rPr>
                <w:rFonts w:ascii="宋体" w:hAnsi="宋体"/>
                <w:sz w:val="28"/>
                <w:szCs w:val="28"/>
                <w:highlight w:val="none"/>
              </w:rPr>
            </w:pPr>
          </w:p>
        </w:tc>
      </w:tr>
      <w:tr w14:paraId="47FE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046" w:type="dxa"/>
            <w:noWrap w:val="0"/>
          </w:tcPr>
          <w:p w14:paraId="078AD7CD">
            <w:pPr>
              <w:rPr>
                <w:rFonts w:ascii="宋体" w:hAnsi="宋体"/>
                <w:sz w:val="28"/>
                <w:szCs w:val="28"/>
                <w:highlight w:val="none"/>
              </w:rPr>
            </w:pPr>
          </w:p>
        </w:tc>
        <w:tc>
          <w:tcPr>
            <w:tcW w:w="1829" w:type="dxa"/>
            <w:noWrap w:val="0"/>
          </w:tcPr>
          <w:p w14:paraId="15FD9040">
            <w:pPr>
              <w:rPr>
                <w:rFonts w:ascii="宋体" w:hAnsi="宋体"/>
                <w:sz w:val="28"/>
                <w:szCs w:val="28"/>
                <w:highlight w:val="none"/>
              </w:rPr>
            </w:pPr>
          </w:p>
        </w:tc>
        <w:tc>
          <w:tcPr>
            <w:tcW w:w="1231" w:type="dxa"/>
            <w:noWrap w:val="0"/>
          </w:tcPr>
          <w:p w14:paraId="7156D7A0">
            <w:pPr>
              <w:rPr>
                <w:rFonts w:ascii="宋体" w:hAnsi="宋体"/>
                <w:sz w:val="28"/>
                <w:szCs w:val="28"/>
                <w:highlight w:val="none"/>
              </w:rPr>
            </w:pPr>
          </w:p>
        </w:tc>
        <w:tc>
          <w:tcPr>
            <w:tcW w:w="2005" w:type="dxa"/>
            <w:noWrap w:val="0"/>
          </w:tcPr>
          <w:p w14:paraId="46CD0DB4">
            <w:pPr>
              <w:rPr>
                <w:rFonts w:ascii="宋体" w:hAnsi="宋体"/>
                <w:sz w:val="28"/>
                <w:szCs w:val="28"/>
                <w:highlight w:val="none"/>
              </w:rPr>
            </w:pPr>
          </w:p>
        </w:tc>
        <w:tc>
          <w:tcPr>
            <w:tcW w:w="2046" w:type="dxa"/>
            <w:noWrap w:val="0"/>
          </w:tcPr>
          <w:p w14:paraId="1EF3FD5C">
            <w:pPr>
              <w:rPr>
                <w:rFonts w:ascii="宋体" w:hAnsi="宋体"/>
                <w:sz w:val="28"/>
                <w:szCs w:val="28"/>
                <w:highlight w:val="none"/>
              </w:rPr>
            </w:pPr>
          </w:p>
        </w:tc>
      </w:tr>
    </w:tbl>
    <w:p w14:paraId="6C691FEF">
      <w:pPr>
        <w:rPr>
          <w:rFonts w:ascii="宋体" w:hAnsi="宋体"/>
          <w:b/>
          <w:sz w:val="30"/>
          <w:szCs w:val="30"/>
          <w:highlight w:val="none"/>
        </w:rPr>
      </w:pPr>
      <w:r>
        <w:rPr>
          <w:rFonts w:ascii="宋体" w:hAnsi="宋体"/>
          <w:sz w:val="24"/>
          <w:highlight w:val="none"/>
        </w:rPr>
        <w:t xml:space="preserve">  供应商全称（加盖CA电子公章）：</w:t>
      </w:r>
    </w:p>
    <w:p w14:paraId="7AC86E30">
      <w:pPr>
        <w:rPr>
          <w:rFonts w:hint="eastAsia" w:ascii="宋体" w:hAnsi="宋体"/>
          <w:sz w:val="28"/>
          <w:szCs w:val="28"/>
          <w:highlight w:val="none"/>
        </w:rPr>
      </w:pPr>
      <w:r>
        <w:rPr>
          <w:rFonts w:ascii="宋体" w:hAnsi="宋体"/>
          <w:sz w:val="30"/>
          <w:szCs w:val="30"/>
          <w:highlight w:val="none"/>
        </w:rPr>
        <w:br w:type="page" w:clear="all"/>
      </w:r>
      <w:r>
        <w:rPr>
          <w:rFonts w:hint="eastAsia" w:ascii="宋体" w:hAnsi="宋体"/>
          <w:sz w:val="28"/>
          <w:szCs w:val="28"/>
          <w:highlight w:val="none"/>
        </w:rPr>
        <w:t>3、基础设施一览表</w:t>
      </w:r>
    </w:p>
    <w:tbl>
      <w:tblPr>
        <w:tblStyle w:val="33"/>
        <w:tblW w:w="837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236"/>
        <w:gridCol w:w="1234"/>
        <w:gridCol w:w="1323"/>
        <w:gridCol w:w="1587"/>
        <w:gridCol w:w="1323"/>
        <w:gridCol w:w="1234"/>
      </w:tblGrid>
      <w:tr w14:paraId="215D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76" w:type="dxa"/>
            <w:gridSpan w:val="2"/>
            <w:noWrap w:val="0"/>
          </w:tcPr>
          <w:p w14:paraId="0704059D">
            <w:pPr>
              <w:jc w:val="center"/>
              <w:rPr>
                <w:rFonts w:ascii="宋体" w:hAnsi="宋体"/>
                <w:sz w:val="28"/>
                <w:szCs w:val="28"/>
                <w:highlight w:val="none"/>
              </w:rPr>
            </w:pPr>
            <w:r>
              <w:rPr>
                <w:rFonts w:hint="eastAsia" w:ascii="宋体" w:hAnsi="宋体"/>
                <w:sz w:val="28"/>
                <w:szCs w:val="28"/>
                <w:highlight w:val="none"/>
              </w:rPr>
              <w:t>名称</w:t>
            </w:r>
          </w:p>
        </w:tc>
        <w:tc>
          <w:tcPr>
            <w:tcW w:w="1234" w:type="dxa"/>
            <w:noWrap w:val="0"/>
          </w:tcPr>
          <w:p w14:paraId="013BD1E2">
            <w:pPr>
              <w:jc w:val="center"/>
              <w:rPr>
                <w:rFonts w:ascii="宋体" w:hAnsi="宋体"/>
                <w:sz w:val="28"/>
                <w:szCs w:val="28"/>
                <w:highlight w:val="none"/>
              </w:rPr>
            </w:pPr>
            <w:r>
              <w:rPr>
                <w:rFonts w:hint="eastAsia" w:ascii="宋体" w:hAnsi="宋体"/>
                <w:sz w:val="28"/>
                <w:szCs w:val="28"/>
                <w:highlight w:val="none"/>
              </w:rPr>
              <w:t>面积</w:t>
            </w:r>
          </w:p>
        </w:tc>
        <w:tc>
          <w:tcPr>
            <w:tcW w:w="1323" w:type="dxa"/>
            <w:noWrap w:val="0"/>
          </w:tcPr>
          <w:p w14:paraId="15A2403F">
            <w:pPr>
              <w:jc w:val="center"/>
              <w:rPr>
                <w:rFonts w:ascii="宋体" w:hAnsi="宋体"/>
                <w:sz w:val="28"/>
                <w:szCs w:val="28"/>
                <w:highlight w:val="none"/>
              </w:rPr>
            </w:pPr>
            <w:r>
              <w:rPr>
                <w:rFonts w:hint="eastAsia" w:ascii="宋体" w:hAnsi="宋体"/>
                <w:sz w:val="28"/>
                <w:szCs w:val="28"/>
                <w:highlight w:val="none"/>
              </w:rPr>
              <w:t>结构</w:t>
            </w:r>
          </w:p>
        </w:tc>
        <w:tc>
          <w:tcPr>
            <w:tcW w:w="1587" w:type="dxa"/>
            <w:noWrap w:val="0"/>
          </w:tcPr>
          <w:p w14:paraId="3CD37059">
            <w:pPr>
              <w:jc w:val="center"/>
              <w:rPr>
                <w:rFonts w:ascii="宋体" w:hAnsi="宋体"/>
                <w:sz w:val="28"/>
                <w:szCs w:val="28"/>
                <w:highlight w:val="none"/>
              </w:rPr>
            </w:pPr>
            <w:r>
              <w:rPr>
                <w:rFonts w:hint="eastAsia" w:ascii="宋体" w:hAnsi="宋体"/>
                <w:sz w:val="28"/>
                <w:szCs w:val="28"/>
                <w:highlight w:val="none"/>
              </w:rPr>
              <w:t>名称</w:t>
            </w:r>
          </w:p>
        </w:tc>
        <w:tc>
          <w:tcPr>
            <w:tcW w:w="1323" w:type="dxa"/>
            <w:noWrap w:val="0"/>
          </w:tcPr>
          <w:p w14:paraId="6C8C7229">
            <w:pPr>
              <w:jc w:val="center"/>
              <w:rPr>
                <w:rFonts w:ascii="宋体" w:hAnsi="宋体"/>
                <w:sz w:val="28"/>
                <w:szCs w:val="28"/>
                <w:highlight w:val="none"/>
              </w:rPr>
            </w:pPr>
            <w:r>
              <w:rPr>
                <w:rFonts w:hint="eastAsia" w:ascii="宋体" w:hAnsi="宋体"/>
                <w:sz w:val="28"/>
                <w:szCs w:val="28"/>
                <w:highlight w:val="none"/>
              </w:rPr>
              <w:t>面积</w:t>
            </w:r>
          </w:p>
        </w:tc>
        <w:tc>
          <w:tcPr>
            <w:tcW w:w="1234" w:type="dxa"/>
            <w:noWrap w:val="0"/>
          </w:tcPr>
          <w:p w14:paraId="013C4095">
            <w:pPr>
              <w:jc w:val="center"/>
              <w:rPr>
                <w:rFonts w:ascii="宋体" w:hAnsi="宋体"/>
                <w:sz w:val="28"/>
                <w:szCs w:val="28"/>
                <w:highlight w:val="none"/>
              </w:rPr>
            </w:pPr>
            <w:r>
              <w:rPr>
                <w:rFonts w:hint="eastAsia" w:ascii="宋体" w:hAnsi="宋体"/>
                <w:sz w:val="28"/>
                <w:szCs w:val="28"/>
                <w:highlight w:val="none"/>
              </w:rPr>
              <w:t>结构</w:t>
            </w:r>
          </w:p>
        </w:tc>
      </w:tr>
      <w:tr w14:paraId="6114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76" w:type="dxa"/>
            <w:gridSpan w:val="2"/>
            <w:noWrap w:val="0"/>
          </w:tcPr>
          <w:p w14:paraId="12DFB0E6">
            <w:pPr>
              <w:jc w:val="center"/>
              <w:rPr>
                <w:rFonts w:ascii="宋体" w:hAnsi="宋体"/>
                <w:sz w:val="28"/>
                <w:szCs w:val="28"/>
                <w:highlight w:val="none"/>
              </w:rPr>
            </w:pPr>
            <w:r>
              <w:rPr>
                <w:rFonts w:hint="eastAsia" w:ascii="宋体" w:hAnsi="宋体"/>
                <w:sz w:val="28"/>
                <w:szCs w:val="28"/>
                <w:highlight w:val="none"/>
              </w:rPr>
              <w:t>厂房、场地总面积</w:t>
            </w:r>
          </w:p>
        </w:tc>
        <w:tc>
          <w:tcPr>
            <w:tcW w:w="1234" w:type="dxa"/>
            <w:noWrap w:val="0"/>
          </w:tcPr>
          <w:p w14:paraId="1AE26A3F">
            <w:pPr>
              <w:jc w:val="center"/>
              <w:rPr>
                <w:rFonts w:ascii="宋体" w:hAnsi="宋体"/>
                <w:sz w:val="28"/>
                <w:szCs w:val="28"/>
                <w:highlight w:val="none"/>
              </w:rPr>
            </w:pPr>
          </w:p>
        </w:tc>
        <w:tc>
          <w:tcPr>
            <w:tcW w:w="1323" w:type="dxa"/>
            <w:noWrap w:val="0"/>
          </w:tcPr>
          <w:p w14:paraId="2B58CA8D">
            <w:pPr>
              <w:jc w:val="center"/>
              <w:rPr>
                <w:rFonts w:ascii="宋体" w:hAnsi="宋体"/>
                <w:sz w:val="28"/>
                <w:szCs w:val="28"/>
                <w:highlight w:val="none"/>
              </w:rPr>
            </w:pPr>
          </w:p>
        </w:tc>
        <w:tc>
          <w:tcPr>
            <w:tcW w:w="1587" w:type="dxa"/>
            <w:noWrap w:val="0"/>
            <w:vAlign w:val="center"/>
          </w:tcPr>
          <w:p w14:paraId="4C057B99">
            <w:pPr>
              <w:jc w:val="center"/>
              <w:rPr>
                <w:rFonts w:ascii="宋体" w:hAnsi="宋体"/>
                <w:sz w:val="28"/>
                <w:szCs w:val="28"/>
                <w:highlight w:val="none"/>
              </w:rPr>
            </w:pPr>
            <w:r>
              <w:rPr>
                <w:rFonts w:hint="eastAsia" w:ascii="宋体" w:hAnsi="宋体"/>
                <w:sz w:val="28"/>
                <w:szCs w:val="28"/>
                <w:highlight w:val="none"/>
              </w:rPr>
              <w:t>充电房</w:t>
            </w:r>
          </w:p>
        </w:tc>
        <w:tc>
          <w:tcPr>
            <w:tcW w:w="1323" w:type="dxa"/>
            <w:noWrap w:val="0"/>
          </w:tcPr>
          <w:p w14:paraId="3AA0ADD0">
            <w:pPr>
              <w:jc w:val="center"/>
              <w:rPr>
                <w:rFonts w:ascii="宋体" w:hAnsi="宋体"/>
                <w:sz w:val="28"/>
                <w:szCs w:val="28"/>
                <w:highlight w:val="none"/>
              </w:rPr>
            </w:pPr>
          </w:p>
        </w:tc>
        <w:tc>
          <w:tcPr>
            <w:tcW w:w="1234" w:type="dxa"/>
            <w:noWrap w:val="0"/>
          </w:tcPr>
          <w:p w14:paraId="418EE461">
            <w:pPr>
              <w:jc w:val="center"/>
              <w:rPr>
                <w:rFonts w:ascii="宋体" w:hAnsi="宋体"/>
                <w:sz w:val="28"/>
                <w:szCs w:val="28"/>
                <w:highlight w:val="none"/>
              </w:rPr>
            </w:pPr>
          </w:p>
        </w:tc>
      </w:tr>
      <w:tr w14:paraId="2EE1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76" w:type="dxa"/>
            <w:gridSpan w:val="2"/>
            <w:noWrap w:val="0"/>
            <w:vAlign w:val="center"/>
          </w:tcPr>
          <w:p w14:paraId="2265B761">
            <w:pPr>
              <w:jc w:val="center"/>
              <w:rPr>
                <w:rFonts w:ascii="宋体" w:hAnsi="宋体"/>
                <w:sz w:val="28"/>
                <w:szCs w:val="28"/>
                <w:highlight w:val="none"/>
              </w:rPr>
            </w:pPr>
            <w:r>
              <w:rPr>
                <w:rFonts w:hint="eastAsia" w:ascii="宋体" w:hAnsi="宋体"/>
                <w:sz w:val="28"/>
                <w:szCs w:val="28"/>
                <w:highlight w:val="none"/>
              </w:rPr>
              <w:t>主修厂房</w:t>
            </w:r>
          </w:p>
        </w:tc>
        <w:tc>
          <w:tcPr>
            <w:tcW w:w="1234" w:type="dxa"/>
            <w:noWrap w:val="0"/>
            <w:vAlign w:val="center"/>
          </w:tcPr>
          <w:p w14:paraId="72F4C1DD">
            <w:pPr>
              <w:jc w:val="center"/>
              <w:rPr>
                <w:rFonts w:ascii="宋体" w:hAnsi="宋体"/>
                <w:sz w:val="28"/>
                <w:szCs w:val="28"/>
                <w:highlight w:val="none"/>
              </w:rPr>
            </w:pPr>
          </w:p>
        </w:tc>
        <w:tc>
          <w:tcPr>
            <w:tcW w:w="1323" w:type="dxa"/>
            <w:noWrap w:val="0"/>
            <w:vAlign w:val="center"/>
          </w:tcPr>
          <w:p w14:paraId="3C184461">
            <w:pPr>
              <w:jc w:val="center"/>
              <w:rPr>
                <w:rFonts w:ascii="宋体" w:hAnsi="宋体"/>
                <w:sz w:val="28"/>
                <w:szCs w:val="28"/>
                <w:highlight w:val="none"/>
              </w:rPr>
            </w:pPr>
          </w:p>
        </w:tc>
        <w:tc>
          <w:tcPr>
            <w:tcW w:w="1587" w:type="dxa"/>
            <w:noWrap w:val="0"/>
            <w:vAlign w:val="center"/>
          </w:tcPr>
          <w:p w14:paraId="04E3F616">
            <w:pPr>
              <w:jc w:val="center"/>
              <w:rPr>
                <w:rFonts w:ascii="宋体" w:hAnsi="宋体"/>
                <w:sz w:val="28"/>
                <w:szCs w:val="28"/>
                <w:highlight w:val="none"/>
              </w:rPr>
            </w:pPr>
            <w:r>
              <w:rPr>
                <w:rFonts w:hint="eastAsia" w:ascii="宋体" w:hAnsi="宋体"/>
                <w:sz w:val="28"/>
                <w:szCs w:val="28"/>
                <w:highlight w:val="none"/>
              </w:rPr>
              <w:t>业务接待室</w:t>
            </w:r>
          </w:p>
        </w:tc>
        <w:tc>
          <w:tcPr>
            <w:tcW w:w="1323" w:type="dxa"/>
            <w:noWrap w:val="0"/>
          </w:tcPr>
          <w:p w14:paraId="6D83D996">
            <w:pPr>
              <w:jc w:val="center"/>
              <w:rPr>
                <w:rFonts w:ascii="宋体" w:hAnsi="宋体"/>
                <w:sz w:val="28"/>
                <w:szCs w:val="28"/>
                <w:highlight w:val="none"/>
              </w:rPr>
            </w:pPr>
          </w:p>
        </w:tc>
        <w:tc>
          <w:tcPr>
            <w:tcW w:w="1234" w:type="dxa"/>
            <w:noWrap w:val="0"/>
          </w:tcPr>
          <w:p w14:paraId="6326CDDB">
            <w:pPr>
              <w:jc w:val="center"/>
              <w:rPr>
                <w:rFonts w:ascii="宋体" w:hAnsi="宋体"/>
                <w:sz w:val="28"/>
                <w:szCs w:val="28"/>
                <w:highlight w:val="none"/>
              </w:rPr>
            </w:pPr>
          </w:p>
        </w:tc>
      </w:tr>
      <w:tr w14:paraId="4FC9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40" w:type="dxa"/>
            <w:vMerge w:val="restart"/>
            <w:noWrap w:val="0"/>
          </w:tcPr>
          <w:p w14:paraId="315D1D22">
            <w:pPr>
              <w:jc w:val="center"/>
              <w:rPr>
                <w:rFonts w:ascii="宋体" w:hAnsi="宋体"/>
                <w:sz w:val="28"/>
                <w:szCs w:val="28"/>
                <w:highlight w:val="none"/>
              </w:rPr>
            </w:pPr>
            <w:r>
              <w:rPr>
                <w:rFonts w:hint="eastAsia" w:ascii="宋体" w:hAnsi="宋体"/>
                <w:sz w:val="28"/>
                <w:szCs w:val="28"/>
                <w:highlight w:val="none"/>
              </w:rPr>
              <w:t>辅助间</w:t>
            </w:r>
          </w:p>
        </w:tc>
        <w:tc>
          <w:tcPr>
            <w:tcW w:w="1236" w:type="dxa"/>
            <w:noWrap w:val="0"/>
          </w:tcPr>
          <w:p w14:paraId="32AB61D7">
            <w:pPr>
              <w:jc w:val="center"/>
              <w:rPr>
                <w:rFonts w:ascii="宋体" w:hAnsi="宋体"/>
                <w:sz w:val="28"/>
                <w:szCs w:val="28"/>
                <w:highlight w:val="none"/>
              </w:rPr>
            </w:pPr>
            <w:r>
              <w:rPr>
                <w:rFonts w:hint="eastAsia" w:ascii="宋体" w:hAnsi="宋体"/>
                <w:sz w:val="28"/>
                <w:szCs w:val="28"/>
                <w:highlight w:val="none"/>
                <w:lang w:val="en-US" w:eastAsia="zh-CN"/>
              </w:rPr>
              <w:t>总成修理</w:t>
            </w:r>
            <w:r>
              <w:rPr>
                <w:rFonts w:hint="eastAsia" w:ascii="宋体" w:hAnsi="宋体"/>
                <w:sz w:val="28"/>
                <w:szCs w:val="28"/>
                <w:highlight w:val="none"/>
              </w:rPr>
              <w:t>间</w:t>
            </w:r>
          </w:p>
        </w:tc>
        <w:tc>
          <w:tcPr>
            <w:tcW w:w="1234" w:type="dxa"/>
            <w:noWrap w:val="0"/>
          </w:tcPr>
          <w:p w14:paraId="3D7E1C94">
            <w:pPr>
              <w:jc w:val="center"/>
              <w:rPr>
                <w:rFonts w:ascii="宋体" w:hAnsi="宋体"/>
                <w:sz w:val="28"/>
                <w:szCs w:val="28"/>
                <w:highlight w:val="none"/>
              </w:rPr>
            </w:pPr>
          </w:p>
        </w:tc>
        <w:tc>
          <w:tcPr>
            <w:tcW w:w="1323" w:type="dxa"/>
            <w:noWrap w:val="0"/>
          </w:tcPr>
          <w:p w14:paraId="1FF9EA2A">
            <w:pPr>
              <w:jc w:val="center"/>
              <w:rPr>
                <w:rFonts w:ascii="宋体" w:hAnsi="宋体"/>
                <w:sz w:val="28"/>
                <w:szCs w:val="28"/>
                <w:highlight w:val="none"/>
              </w:rPr>
            </w:pPr>
          </w:p>
        </w:tc>
        <w:tc>
          <w:tcPr>
            <w:tcW w:w="1587" w:type="dxa"/>
            <w:noWrap w:val="0"/>
          </w:tcPr>
          <w:p w14:paraId="3F5C6063">
            <w:pPr>
              <w:jc w:val="center"/>
              <w:rPr>
                <w:rFonts w:ascii="宋体" w:hAnsi="宋体"/>
                <w:sz w:val="28"/>
                <w:szCs w:val="28"/>
                <w:highlight w:val="none"/>
              </w:rPr>
            </w:pPr>
            <w:r>
              <w:rPr>
                <w:rFonts w:hint="eastAsia" w:ascii="宋体" w:hAnsi="宋体"/>
                <w:sz w:val="28"/>
                <w:szCs w:val="28"/>
                <w:highlight w:val="none"/>
              </w:rPr>
              <w:t>办公用房</w:t>
            </w:r>
          </w:p>
        </w:tc>
        <w:tc>
          <w:tcPr>
            <w:tcW w:w="1323" w:type="dxa"/>
            <w:noWrap w:val="0"/>
          </w:tcPr>
          <w:p w14:paraId="08618760">
            <w:pPr>
              <w:jc w:val="center"/>
              <w:rPr>
                <w:rFonts w:ascii="宋体" w:hAnsi="宋体"/>
                <w:sz w:val="28"/>
                <w:szCs w:val="28"/>
                <w:highlight w:val="none"/>
              </w:rPr>
            </w:pPr>
          </w:p>
        </w:tc>
        <w:tc>
          <w:tcPr>
            <w:tcW w:w="1234" w:type="dxa"/>
            <w:noWrap w:val="0"/>
          </w:tcPr>
          <w:p w14:paraId="65487A9E">
            <w:pPr>
              <w:jc w:val="center"/>
              <w:rPr>
                <w:rFonts w:ascii="宋体" w:hAnsi="宋体"/>
                <w:sz w:val="28"/>
                <w:szCs w:val="28"/>
                <w:highlight w:val="none"/>
              </w:rPr>
            </w:pPr>
          </w:p>
        </w:tc>
      </w:tr>
      <w:tr w14:paraId="5D7B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40" w:type="dxa"/>
            <w:vMerge w:val="continue"/>
            <w:noWrap w:val="0"/>
          </w:tcPr>
          <w:p w14:paraId="37E578EE">
            <w:pPr>
              <w:jc w:val="center"/>
              <w:rPr>
                <w:rFonts w:ascii="宋体" w:hAnsi="宋体"/>
                <w:sz w:val="28"/>
                <w:szCs w:val="28"/>
                <w:highlight w:val="none"/>
              </w:rPr>
            </w:pPr>
          </w:p>
        </w:tc>
        <w:tc>
          <w:tcPr>
            <w:tcW w:w="1236" w:type="dxa"/>
            <w:noWrap w:val="0"/>
          </w:tcPr>
          <w:p w14:paraId="6D485E92">
            <w:pPr>
              <w:jc w:val="center"/>
              <w:rPr>
                <w:rFonts w:ascii="宋体" w:hAnsi="宋体"/>
                <w:sz w:val="28"/>
                <w:szCs w:val="28"/>
                <w:highlight w:val="none"/>
              </w:rPr>
            </w:pPr>
            <w:r>
              <w:rPr>
                <w:rFonts w:hint="eastAsia" w:ascii="宋体" w:hAnsi="宋体"/>
                <w:sz w:val="28"/>
                <w:szCs w:val="28"/>
                <w:highlight w:val="none"/>
              </w:rPr>
              <w:t>喷漆间</w:t>
            </w:r>
          </w:p>
        </w:tc>
        <w:tc>
          <w:tcPr>
            <w:tcW w:w="1234" w:type="dxa"/>
            <w:noWrap w:val="0"/>
          </w:tcPr>
          <w:p w14:paraId="1AFE3307">
            <w:pPr>
              <w:jc w:val="center"/>
              <w:rPr>
                <w:rFonts w:ascii="宋体" w:hAnsi="宋体"/>
                <w:sz w:val="28"/>
                <w:szCs w:val="28"/>
                <w:highlight w:val="none"/>
              </w:rPr>
            </w:pPr>
          </w:p>
        </w:tc>
        <w:tc>
          <w:tcPr>
            <w:tcW w:w="1323" w:type="dxa"/>
            <w:noWrap w:val="0"/>
          </w:tcPr>
          <w:p w14:paraId="454F9DB3">
            <w:pPr>
              <w:jc w:val="center"/>
              <w:rPr>
                <w:rFonts w:ascii="宋体" w:hAnsi="宋体"/>
                <w:sz w:val="28"/>
                <w:szCs w:val="28"/>
                <w:highlight w:val="none"/>
              </w:rPr>
            </w:pPr>
          </w:p>
        </w:tc>
        <w:tc>
          <w:tcPr>
            <w:tcW w:w="1587" w:type="dxa"/>
            <w:noWrap w:val="0"/>
          </w:tcPr>
          <w:p w14:paraId="221F1EFF">
            <w:pPr>
              <w:jc w:val="center"/>
              <w:rPr>
                <w:rFonts w:ascii="宋体" w:hAnsi="宋体"/>
                <w:sz w:val="28"/>
                <w:szCs w:val="28"/>
                <w:highlight w:val="none"/>
              </w:rPr>
            </w:pPr>
            <w:r>
              <w:rPr>
                <w:rFonts w:hint="eastAsia" w:ascii="宋体" w:hAnsi="宋体"/>
                <w:sz w:val="28"/>
                <w:szCs w:val="28"/>
                <w:highlight w:val="none"/>
              </w:rPr>
              <w:t>停车场</w:t>
            </w:r>
          </w:p>
        </w:tc>
        <w:tc>
          <w:tcPr>
            <w:tcW w:w="1323" w:type="dxa"/>
            <w:noWrap w:val="0"/>
          </w:tcPr>
          <w:p w14:paraId="25756BE3">
            <w:pPr>
              <w:jc w:val="center"/>
              <w:rPr>
                <w:rFonts w:ascii="宋体" w:hAnsi="宋体"/>
                <w:sz w:val="28"/>
                <w:szCs w:val="28"/>
                <w:highlight w:val="none"/>
              </w:rPr>
            </w:pPr>
          </w:p>
        </w:tc>
        <w:tc>
          <w:tcPr>
            <w:tcW w:w="1234" w:type="dxa"/>
            <w:noWrap w:val="0"/>
          </w:tcPr>
          <w:p w14:paraId="331E38A3">
            <w:pPr>
              <w:jc w:val="center"/>
              <w:rPr>
                <w:rFonts w:ascii="宋体" w:hAnsi="宋体"/>
                <w:sz w:val="28"/>
                <w:szCs w:val="28"/>
                <w:highlight w:val="none"/>
              </w:rPr>
            </w:pPr>
          </w:p>
        </w:tc>
      </w:tr>
      <w:tr w14:paraId="6FF4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40" w:type="dxa"/>
            <w:vMerge w:val="continue"/>
            <w:noWrap w:val="0"/>
          </w:tcPr>
          <w:p w14:paraId="3E901888">
            <w:pPr>
              <w:jc w:val="center"/>
              <w:rPr>
                <w:rFonts w:ascii="宋体" w:hAnsi="宋体"/>
                <w:sz w:val="28"/>
                <w:szCs w:val="28"/>
                <w:highlight w:val="none"/>
              </w:rPr>
            </w:pPr>
          </w:p>
        </w:tc>
        <w:tc>
          <w:tcPr>
            <w:tcW w:w="1236" w:type="dxa"/>
            <w:noWrap w:val="0"/>
          </w:tcPr>
          <w:p w14:paraId="180691A6">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rPr>
              <w:t>机加工间</w:t>
            </w:r>
            <w:r>
              <w:rPr>
                <w:rFonts w:hint="eastAsia" w:ascii="宋体" w:hAnsi="宋体"/>
                <w:sz w:val="28"/>
                <w:szCs w:val="28"/>
                <w:highlight w:val="none"/>
                <w:lang w:eastAsia="zh-CN"/>
              </w:rPr>
              <w:t>（</w:t>
            </w:r>
            <w:r>
              <w:rPr>
                <w:rFonts w:hint="eastAsia" w:ascii="宋体" w:hAnsi="宋体"/>
                <w:sz w:val="28"/>
                <w:szCs w:val="28"/>
                <w:highlight w:val="none"/>
                <w:lang w:val="en-US" w:eastAsia="zh-CN"/>
              </w:rPr>
              <w:t>或砂轮机间）</w:t>
            </w:r>
          </w:p>
        </w:tc>
        <w:tc>
          <w:tcPr>
            <w:tcW w:w="1234" w:type="dxa"/>
            <w:noWrap w:val="0"/>
          </w:tcPr>
          <w:p w14:paraId="62216EC5">
            <w:pPr>
              <w:jc w:val="center"/>
              <w:rPr>
                <w:rFonts w:ascii="宋体" w:hAnsi="宋体"/>
                <w:sz w:val="28"/>
                <w:szCs w:val="28"/>
                <w:highlight w:val="none"/>
              </w:rPr>
            </w:pPr>
          </w:p>
        </w:tc>
        <w:tc>
          <w:tcPr>
            <w:tcW w:w="1323" w:type="dxa"/>
            <w:noWrap w:val="0"/>
          </w:tcPr>
          <w:p w14:paraId="764983B4">
            <w:pPr>
              <w:jc w:val="center"/>
              <w:rPr>
                <w:rFonts w:ascii="宋体" w:hAnsi="宋体"/>
                <w:sz w:val="28"/>
                <w:szCs w:val="28"/>
                <w:highlight w:val="none"/>
              </w:rPr>
            </w:pPr>
          </w:p>
        </w:tc>
        <w:tc>
          <w:tcPr>
            <w:tcW w:w="1587" w:type="dxa"/>
            <w:noWrap w:val="0"/>
          </w:tcPr>
          <w:p w14:paraId="62583020">
            <w:pPr>
              <w:jc w:val="center"/>
              <w:rPr>
                <w:rFonts w:ascii="宋体" w:hAnsi="宋体"/>
                <w:sz w:val="28"/>
                <w:szCs w:val="28"/>
                <w:highlight w:val="none"/>
              </w:rPr>
            </w:pPr>
          </w:p>
        </w:tc>
        <w:tc>
          <w:tcPr>
            <w:tcW w:w="1323" w:type="dxa"/>
            <w:noWrap w:val="0"/>
          </w:tcPr>
          <w:p w14:paraId="3D6ACF4C">
            <w:pPr>
              <w:jc w:val="center"/>
              <w:rPr>
                <w:rFonts w:ascii="宋体" w:hAnsi="宋体"/>
                <w:sz w:val="28"/>
                <w:szCs w:val="28"/>
                <w:highlight w:val="none"/>
              </w:rPr>
            </w:pPr>
          </w:p>
        </w:tc>
        <w:tc>
          <w:tcPr>
            <w:tcW w:w="1234" w:type="dxa"/>
            <w:noWrap w:val="0"/>
          </w:tcPr>
          <w:p w14:paraId="4614FF0A">
            <w:pPr>
              <w:jc w:val="center"/>
              <w:rPr>
                <w:rFonts w:ascii="宋体" w:hAnsi="宋体"/>
                <w:sz w:val="28"/>
                <w:szCs w:val="28"/>
                <w:highlight w:val="none"/>
              </w:rPr>
            </w:pPr>
          </w:p>
        </w:tc>
      </w:tr>
      <w:tr w14:paraId="7258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77" w:type="dxa"/>
            <w:gridSpan w:val="7"/>
            <w:noWrap w:val="0"/>
          </w:tcPr>
          <w:p w14:paraId="3B5A2F3B">
            <w:pPr>
              <w:rPr>
                <w:rFonts w:ascii="宋体" w:hAnsi="宋体"/>
                <w:sz w:val="28"/>
                <w:szCs w:val="28"/>
                <w:highlight w:val="none"/>
              </w:rPr>
            </w:pPr>
            <w:r>
              <w:rPr>
                <w:rFonts w:hint="eastAsia" w:ascii="宋体" w:hAnsi="宋体"/>
                <w:sz w:val="28"/>
                <w:szCs w:val="28"/>
                <w:highlight w:val="none"/>
              </w:rPr>
              <w:t>经营场所平面示意图：</w:t>
            </w:r>
          </w:p>
          <w:p w14:paraId="0FDA34DC">
            <w:pPr>
              <w:jc w:val="center"/>
              <w:rPr>
                <w:rFonts w:ascii="宋体" w:hAnsi="宋体"/>
                <w:sz w:val="28"/>
                <w:szCs w:val="28"/>
                <w:highlight w:val="none"/>
              </w:rPr>
            </w:pPr>
          </w:p>
          <w:p w14:paraId="38754E2B">
            <w:pPr>
              <w:jc w:val="center"/>
              <w:rPr>
                <w:rFonts w:ascii="宋体" w:hAnsi="宋体"/>
                <w:sz w:val="28"/>
                <w:szCs w:val="28"/>
                <w:highlight w:val="none"/>
              </w:rPr>
            </w:pPr>
          </w:p>
          <w:p w14:paraId="534A13EF">
            <w:pPr>
              <w:jc w:val="center"/>
              <w:rPr>
                <w:rFonts w:ascii="宋体" w:hAnsi="宋体"/>
                <w:sz w:val="28"/>
                <w:szCs w:val="28"/>
                <w:highlight w:val="none"/>
              </w:rPr>
            </w:pPr>
          </w:p>
          <w:p w14:paraId="5C6637EE">
            <w:pPr>
              <w:jc w:val="center"/>
              <w:rPr>
                <w:rFonts w:ascii="宋体" w:hAnsi="宋体"/>
                <w:sz w:val="28"/>
                <w:szCs w:val="28"/>
                <w:highlight w:val="none"/>
              </w:rPr>
            </w:pPr>
          </w:p>
          <w:p w14:paraId="5CB0C427">
            <w:pPr>
              <w:jc w:val="center"/>
              <w:rPr>
                <w:rFonts w:ascii="宋体" w:hAnsi="宋体"/>
                <w:sz w:val="28"/>
                <w:szCs w:val="28"/>
                <w:highlight w:val="none"/>
              </w:rPr>
            </w:pPr>
          </w:p>
          <w:p w14:paraId="437B08E0">
            <w:pPr>
              <w:jc w:val="center"/>
              <w:rPr>
                <w:rFonts w:ascii="宋体" w:hAnsi="宋体"/>
                <w:sz w:val="28"/>
                <w:szCs w:val="28"/>
                <w:highlight w:val="none"/>
              </w:rPr>
            </w:pPr>
          </w:p>
          <w:p w14:paraId="5A045AA7">
            <w:pPr>
              <w:jc w:val="center"/>
              <w:rPr>
                <w:rFonts w:ascii="宋体" w:hAnsi="宋体"/>
                <w:sz w:val="28"/>
                <w:szCs w:val="28"/>
                <w:highlight w:val="none"/>
              </w:rPr>
            </w:pPr>
          </w:p>
          <w:p w14:paraId="0FE8F15D">
            <w:pPr>
              <w:jc w:val="both"/>
              <w:rPr>
                <w:rFonts w:ascii="宋体" w:hAnsi="宋体"/>
                <w:sz w:val="28"/>
                <w:szCs w:val="28"/>
                <w:highlight w:val="none"/>
              </w:rPr>
            </w:pPr>
          </w:p>
        </w:tc>
      </w:tr>
    </w:tbl>
    <w:p w14:paraId="71C5F1AF">
      <w:pPr>
        <w:rPr>
          <w:rFonts w:hint="eastAsia" w:ascii="宋体" w:hAnsi="宋体"/>
          <w:b/>
          <w:bCs/>
          <w:sz w:val="30"/>
          <w:szCs w:val="30"/>
          <w:highlight w:val="none"/>
        </w:rPr>
      </w:pPr>
    </w:p>
    <w:p w14:paraId="576AEAB4">
      <w:pPr>
        <w:rPr>
          <w:rFonts w:hint="eastAsia" w:ascii="宋体" w:hAnsi="宋体"/>
          <w:sz w:val="32"/>
          <w:szCs w:val="32"/>
          <w:highlight w:val="none"/>
          <w:lang w:val="en-US" w:eastAsia="zh-CN"/>
        </w:rPr>
      </w:pPr>
      <w:r>
        <w:rPr>
          <w:rFonts w:hint="eastAsia" w:ascii="宋体" w:hAnsi="宋体"/>
          <w:sz w:val="32"/>
          <w:szCs w:val="32"/>
          <w:highlight w:val="none"/>
          <w:lang w:val="en-US" w:eastAsia="zh-CN"/>
        </w:rPr>
        <w:br w:type="page" w:clear="all"/>
      </w:r>
    </w:p>
    <w:p w14:paraId="72A5361E">
      <w:pPr>
        <w:pStyle w:val="4"/>
        <w:numPr>
          <w:ilvl w:val="0"/>
          <w:numId w:val="0"/>
        </w:numPr>
        <w:rPr>
          <w:rFonts w:hint="eastAsia" w:ascii="宋体" w:hAnsi="宋体"/>
          <w:sz w:val="32"/>
          <w:szCs w:val="32"/>
          <w:highlight w:val="none"/>
          <w:lang w:val="en-US" w:eastAsia="zh-CN"/>
        </w:rPr>
      </w:pPr>
      <w:r>
        <w:rPr>
          <w:rFonts w:hint="eastAsia" w:ascii="宋体" w:hAnsi="宋体"/>
          <w:sz w:val="32"/>
          <w:szCs w:val="32"/>
          <w:highlight w:val="none"/>
          <w:lang w:val="en-US" w:eastAsia="zh-CN"/>
        </w:rPr>
        <w:t>十三、征集文件中要求提供的其他材料</w:t>
      </w:r>
    </w:p>
    <w:p w14:paraId="3F18B0B8">
      <w:pPr>
        <w:rPr>
          <w:rFonts w:hint="eastAsia" w:ascii="宋体" w:hAnsi="宋体"/>
          <w:sz w:val="32"/>
          <w:szCs w:val="32"/>
          <w:highlight w:val="none"/>
        </w:rPr>
      </w:pPr>
      <w:r>
        <w:rPr>
          <w:rFonts w:hint="eastAsia" w:ascii="宋体" w:hAnsi="宋体"/>
          <w:sz w:val="32"/>
          <w:szCs w:val="32"/>
          <w:highlight w:val="none"/>
        </w:rPr>
        <w:br w:type="page" w:clear="all"/>
      </w:r>
    </w:p>
    <w:p w14:paraId="0BEDD5DB">
      <w:pPr>
        <w:pStyle w:val="4"/>
        <w:numPr>
          <w:ilvl w:val="0"/>
          <w:numId w:val="0"/>
        </w:numPr>
        <w:jc w:val="center"/>
        <w:rPr>
          <w:rFonts w:ascii="宋体" w:hAnsi="宋体"/>
          <w:sz w:val="32"/>
          <w:szCs w:val="32"/>
          <w:highlight w:val="none"/>
        </w:rPr>
      </w:pPr>
      <w:r>
        <w:rPr>
          <w:rFonts w:hint="eastAsia" w:ascii="宋体" w:hAnsi="宋体"/>
          <w:sz w:val="32"/>
          <w:szCs w:val="32"/>
          <w:highlight w:val="none"/>
          <w:lang w:val="en-US" w:eastAsia="zh-CN"/>
        </w:rPr>
        <w:t>十四</w:t>
      </w:r>
      <w:r>
        <w:rPr>
          <w:rFonts w:hint="eastAsia" w:ascii="宋体" w:hAnsi="宋体"/>
          <w:sz w:val="32"/>
          <w:szCs w:val="32"/>
          <w:highlight w:val="none"/>
        </w:rPr>
        <w:t>、质量保证书</w:t>
      </w:r>
    </w:p>
    <w:p w14:paraId="09252C87">
      <w:pPr>
        <w:jc w:val="center"/>
        <w:rPr>
          <w:rFonts w:ascii="宋体" w:hAnsi="宋体"/>
          <w:b/>
          <w:sz w:val="30"/>
          <w:szCs w:val="30"/>
          <w:highlight w:val="none"/>
        </w:rPr>
      </w:pPr>
    </w:p>
    <w:p w14:paraId="2173E925">
      <w:pPr>
        <w:rPr>
          <w:rFonts w:ascii="宋体" w:hAnsi="宋体"/>
          <w:sz w:val="28"/>
          <w:szCs w:val="28"/>
          <w:highlight w:val="none"/>
        </w:rPr>
      </w:pPr>
      <w:r>
        <w:rPr>
          <w:rFonts w:hint="eastAsia" w:ascii="宋体" w:hAnsi="宋体"/>
          <w:b/>
          <w:sz w:val="28"/>
          <w:szCs w:val="28"/>
          <w:highlight w:val="none"/>
        </w:rPr>
        <w:t>致：盐城市亭湖区公共资源交易中心</w:t>
      </w:r>
      <w:r>
        <w:rPr>
          <w:rFonts w:hint="eastAsia" w:ascii="宋体" w:hAnsi="宋体"/>
          <w:sz w:val="28"/>
          <w:szCs w:val="28"/>
          <w:highlight w:val="none"/>
        </w:rPr>
        <w:t>：</w:t>
      </w:r>
    </w:p>
    <w:p w14:paraId="5D332161">
      <w:pPr>
        <w:ind w:firstLine="645"/>
        <w:rPr>
          <w:rFonts w:ascii="宋体" w:hAnsi="宋体"/>
          <w:sz w:val="28"/>
          <w:szCs w:val="28"/>
          <w:highlight w:val="none"/>
        </w:rPr>
      </w:pPr>
      <w:r>
        <w:rPr>
          <w:rFonts w:hint="eastAsia" w:ascii="宋体" w:hAnsi="宋体"/>
          <w:sz w:val="28"/>
          <w:szCs w:val="28"/>
          <w:highlight w:val="none"/>
        </w:rPr>
        <w:t>本保证书作为</w:t>
      </w:r>
      <w:r>
        <w:rPr>
          <w:rFonts w:hint="eastAsia" w:ascii="宋体" w:hAnsi="宋体"/>
          <w:sz w:val="28"/>
          <w:szCs w:val="28"/>
          <w:highlight w:val="none"/>
          <w:u w:val="single"/>
        </w:rPr>
        <w:t xml:space="preserve">                 </w:t>
      </w:r>
      <w:r>
        <w:rPr>
          <w:rFonts w:hint="eastAsia" w:ascii="宋体" w:hAnsi="宋体"/>
          <w:sz w:val="28"/>
          <w:szCs w:val="28"/>
          <w:highlight w:val="none"/>
        </w:rPr>
        <w:t>（供应商单位名称）参加</w:t>
      </w:r>
      <w:r>
        <w:rPr>
          <w:rFonts w:hint="eastAsia" w:ascii="宋体" w:hAnsi="宋体"/>
          <w:sz w:val="28"/>
          <w:szCs w:val="28"/>
          <w:highlight w:val="none"/>
          <w:lang w:eastAsia="zh-CN"/>
        </w:rPr>
        <w:t>亭湖区行政事业单位2027-2028年度公务用车维保服务框架协议采购项目</w:t>
      </w:r>
      <w:r>
        <w:rPr>
          <w:rFonts w:hint="eastAsia" w:ascii="宋体" w:hAnsi="宋体"/>
          <w:sz w:val="28"/>
          <w:szCs w:val="28"/>
          <w:highlight w:val="none"/>
        </w:rPr>
        <w:t>封闭式框架协议采购（征集文件编号：JSZC-320902-JZCG-K2026-0059）响应文件的不可分割的一部分。如我单位有幸成为</w:t>
      </w:r>
      <w:r>
        <w:rPr>
          <w:rFonts w:hint="eastAsia" w:ascii="宋体" w:hAnsi="宋体"/>
          <w:sz w:val="28"/>
          <w:szCs w:val="28"/>
          <w:highlight w:val="none"/>
          <w:lang w:eastAsia="zh-CN"/>
        </w:rPr>
        <w:t>亭湖区行政事业单位2027-2028年度公务用车</w:t>
      </w:r>
      <w:r>
        <w:rPr>
          <w:rFonts w:hint="eastAsia" w:ascii="宋体" w:hAnsi="宋体"/>
          <w:sz w:val="28"/>
          <w:szCs w:val="28"/>
          <w:highlight w:val="none"/>
        </w:rPr>
        <w:t>框架协议维修单位，在本次合同有效期内，特向贵方保证，在以下维修合格出厂车辆的质量保证里程或日期内，因维修质量造成的机械事故和经济损失，由我单位承担全部责任。</w:t>
      </w:r>
    </w:p>
    <w:p w14:paraId="2AFA07A5">
      <w:pPr>
        <w:ind w:firstLine="645"/>
        <w:rPr>
          <w:rFonts w:ascii="宋体" w:hAnsi="宋体"/>
          <w:sz w:val="28"/>
          <w:szCs w:val="28"/>
          <w:highlight w:val="none"/>
        </w:rPr>
      </w:pPr>
      <w:r>
        <w:rPr>
          <w:rFonts w:hint="eastAsia" w:ascii="宋体" w:hAnsi="宋体"/>
          <w:sz w:val="28"/>
          <w:szCs w:val="28"/>
          <w:highlight w:val="none"/>
        </w:rPr>
        <w:t>维修合格出厂车辆的质量保证里程或时间为：</w:t>
      </w:r>
    </w:p>
    <w:p w14:paraId="7B5227C1">
      <w:pPr>
        <w:widowControl w:val="0"/>
        <w:numPr>
          <w:ilvl w:val="0"/>
          <w:numId w:val="7"/>
        </w:numPr>
        <w:jc w:val="both"/>
        <w:rPr>
          <w:rFonts w:ascii="宋体" w:hAnsi="宋体"/>
          <w:sz w:val="28"/>
          <w:szCs w:val="28"/>
          <w:highlight w:val="none"/>
        </w:rPr>
      </w:pPr>
      <w:r>
        <w:rPr>
          <w:rFonts w:hint="eastAsia" w:ascii="宋体" w:hAnsi="宋体"/>
          <w:sz w:val="28"/>
          <w:szCs w:val="28"/>
          <w:highlight w:val="none"/>
        </w:rPr>
        <w:t>整车大修和总成大修：</w:t>
      </w:r>
      <w:r>
        <w:rPr>
          <w:rFonts w:hint="eastAsia" w:ascii="宋体" w:hAnsi="宋体"/>
          <w:sz w:val="28"/>
          <w:szCs w:val="28"/>
          <w:highlight w:val="none"/>
          <w:u w:val="single"/>
        </w:rPr>
        <w:t xml:space="preserve">                       </w:t>
      </w:r>
    </w:p>
    <w:p w14:paraId="28300959">
      <w:pPr>
        <w:widowControl w:val="0"/>
        <w:numPr>
          <w:ilvl w:val="0"/>
          <w:numId w:val="7"/>
        </w:numPr>
        <w:jc w:val="both"/>
        <w:rPr>
          <w:rFonts w:ascii="宋体" w:hAnsi="宋体"/>
          <w:sz w:val="28"/>
          <w:szCs w:val="28"/>
          <w:highlight w:val="none"/>
        </w:rPr>
      </w:pPr>
      <w:r>
        <w:rPr>
          <w:rFonts w:hint="eastAsia" w:ascii="宋体" w:hAnsi="宋体"/>
          <w:sz w:val="28"/>
          <w:szCs w:val="28"/>
          <w:highlight w:val="none"/>
        </w:rPr>
        <w:t>二级维护：</w:t>
      </w:r>
      <w:r>
        <w:rPr>
          <w:rFonts w:hint="eastAsia" w:ascii="宋体" w:hAnsi="宋体"/>
          <w:sz w:val="28"/>
          <w:szCs w:val="28"/>
          <w:highlight w:val="none"/>
          <w:u w:val="single"/>
        </w:rPr>
        <w:t xml:space="preserve">                     </w:t>
      </w:r>
    </w:p>
    <w:p w14:paraId="6CEBE934">
      <w:pPr>
        <w:widowControl w:val="0"/>
        <w:numPr>
          <w:ilvl w:val="0"/>
          <w:numId w:val="7"/>
        </w:numPr>
        <w:jc w:val="both"/>
        <w:rPr>
          <w:rFonts w:ascii="宋体" w:hAnsi="宋体"/>
          <w:sz w:val="28"/>
          <w:szCs w:val="28"/>
          <w:highlight w:val="none"/>
        </w:rPr>
      </w:pPr>
      <w:r>
        <w:rPr>
          <w:rFonts w:hint="eastAsia" w:ascii="宋体" w:hAnsi="宋体"/>
          <w:sz w:val="28"/>
          <w:szCs w:val="28"/>
          <w:highlight w:val="none"/>
        </w:rPr>
        <w:t>一级维护、小修：</w:t>
      </w:r>
      <w:r>
        <w:rPr>
          <w:rFonts w:hint="eastAsia" w:ascii="宋体" w:hAnsi="宋体"/>
          <w:sz w:val="28"/>
          <w:szCs w:val="28"/>
          <w:highlight w:val="none"/>
          <w:u w:val="single"/>
        </w:rPr>
        <w:t xml:space="preserve">                      </w:t>
      </w:r>
    </w:p>
    <w:p w14:paraId="15028079">
      <w:pPr>
        <w:ind w:left="645"/>
        <w:rPr>
          <w:rFonts w:ascii="宋体" w:hAnsi="宋体"/>
          <w:sz w:val="28"/>
          <w:szCs w:val="28"/>
          <w:highlight w:val="none"/>
        </w:rPr>
      </w:pPr>
    </w:p>
    <w:p w14:paraId="3FBE08B8">
      <w:pPr>
        <w:jc w:val="center"/>
        <w:rPr>
          <w:rFonts w:ascii="宋体" w:hAnsi="宋体"/>
          <w:sz w:val="28"/>
          <w:szCs w:val="28"/>
          <w:highlight w:val="none"/>
        </w:rPr>
      </w:pPr>
      <w:r>
        <w:rPr>
          <w:rFonts w:ascii="宋体" w:hAnsi="宋体"/>
          <w:sz w:val="24"/>
          <w:highlight w:val="none"/>
        </w:rPr>
        <w:t xml:space="preserve">  供应商全称（加盖CA电子公章）：</w:t>
      </w:r>
    </w:p>
    <w:p w14:paraId="0CA3978E">
      <w:pPr>
        <w:jc w:val="center"/>
        <w:rPr>
          <w:rFonts w:ascii="宋体" w:hAnsi="宋体"/>
          <w:sz w:val="28"/>
          <w:szCs w:val="28"/>
          <w:highlight w:val="none"/>
          <w:u w:val="single"/>
        </w:rPr>
      </w:pPr>
      <w:r>
        <w:rPr>
          <w:rFonts w:hint="eastAsia" w:ascii="宋体" w:hAnsi="宋体"/>
          <w:sz w:val="28"/>
          <w:szCs w:val="28"/>
          <w:highlight w:val="none"/>
        </w:rPr>
        <w:t xml:space="preserve">                                      202</w:t>
      </w:r>
      <w:r>
        <w:rPr>
          <w:rFonts w:hint="eastAsia" w:ascii="宋体" w:hAnsi="宋体"/>
          <w:sz w:val="28"/>
          <w:szCs w:val="28"/>
          <w:highlight w:val="none"/>
          <w:lang w:val="en-US" w:eastAsia="zh-CN"/>
        </w:rPr>
        <w:t>6</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  </w:t>
      </w:r>
    </w:p>
    <w:p w14:paraId="35B980C4">
      <w:pPr>
        <w:spacing w:before="50" w:after="50"/>
        <w:ind w:firstLine="300"/>
        <w:jc w:val="center"/>
        <w:rPr>
          <w:rFonts w:hint="eastAsia" w:eastAsia="黑体"/>
          <w:color w:val="000000"/>
          <w:sz w:val="32"/>
          <w:szCs w:val="32"/>
          <w:highlight w:val="none"/>
        </w:rPr>
      </w:pPr>
      <w:r>
        <w:rPr>
          <w:rFonts w:ascii="宋体" w:hAnsi="宋体"/>
          <w:sz w:val="30"/>
          <w:szCs w:val="30"/>
          <w:highlight w:val="none"/>
        </w:rPr>
        <w:br w:type="page" w:clear="all"/>
      </w:r>
      <w:r>
        <w:rPr>
          <w:rFonts w:hint="eastAsia" w:eastAsia="黑体"/>
          <w:color w:val="000000"/>
          <w:sz w:val="32"/>
          <w:szCs w:val="32"/>
          <w:highlight w:val="none"/>
          <w:lang w:val="en-US" w:eastAsia="zh-CN"/>
        </w:rPr>
        <w:t>十五、</w:t>
      </w:r>
      <w:r>
        <w:rPr>
          <w:rFonts w:hint="eastAsia" w:eastAsia="黑体"/>
          <w:color w:val="000000"/>
          <w:sz w:val="32"/>
          <w:szCs w:val="32"/>
          <w:highlight w:val="none"/>
        </w:rPr>
        <w:t>盐城市政府采购事前信用承诺书</w:t>
      </w:r>
    </w:p>
    <w:p w14:paraId="4519D412">
      <w:pPr>
        <w:widowControl/>
        <w:spacing w:line="500" w:lineRule="exact"/>
        <w:ind w:firstLine="640"/>
        <w:jc w:val="left"/>
        <w:rPr>
          <w:rFonts w:hint="eastAsia" w:eastAsia="方正仿宋_GBK" w:cs="宋体"/>
          <w:sz w:val="32"/>
          <w:szCs w:val="32"/>
          <w:highlight w:val="none"/>
        </w:rPr>
      </w:pPr>
    </w:p>
    <w:p w14:paraId="71CC10DC">
      <w:pPr>
        <w:widowControl/>
        <w:spacing w:line="500" w:lineRule="exact"/>
        <w:ind w:firstLine="480"/>
        <w:jc w:val="left"/>
        <w:rPr>
          <w:rFonts w:hint="eastAsia"/>
          <w:color w:val="000000"/>
          <w:sz w:val="24"/>
          <w:szCs w:val="24"/>
          <w:highlight w:val="none"/>
        </w:rPr>
      </w:pPr>
      <w:r>
        <w:rPr>
          <w:rFonts w:hint="eastAsia"/>
          <w:color w:val="000000"/>
          <w:sz w:val="24"/>
          <w:szCs w:val="24"/>
          <w:highlight w:val="none"/>
        </w:rPr>
        <w:t>为营造我市公开、公平、公正、诚实守信的政府采购交易环境，树立诚信守法的投标人形象，本人代表本单位作出以下承诺：</w:t>
      </w:r>
    </w:p>
    <w:p w14:paraId="4A708F40">
      <w:pPr>
        <w:widowControl/>
        <w:spacing w:line="500" w:lineRule="exact"/>
        <w:jc w:val="left"/>
        <w:rPr>
          <w:rFonts w:hint="eastAsia"/>
          <w:color w:val="000000"/>
          <w:sz w:val="24"/>
          <w:szCs w:val="24"/>
          <w:highlight w:val="none"/>
        </w:rPr>
      </w:pPr>
      <w:r>
        <w:rPr>
          <w:rFonts w:hint="eastAsia"/>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572DAFB">
      <w:pPr>
        <w:widowControl/>
        <w:spacing w:line="500" w:lineRule="exact"/>
        <w:ind w:firstLine="480"/>
        <w:jc w:val="left"/>
        <w:rPr>
          <w:rFonts w:hint="eastAsia"/>
          <w:color w:val="000000"/>
          <w:sz w:val="24"/>
          <w:szCs w:val="24"/>
          <w:highlight w:val="none"/>
        </w:rPr>
      </w:pPr>
      <w:r>
        <w:rPr>
          <w:rFonts w:hint="eastAsia"/>
          <w:color w:val="000000"/>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820FC82">
      <w:pPr>
        <w:widowControl/>
        <w:spacing w:line="500" w:lineRule="exact"/>
        <w:jc w:val="left"/>
        <w:rPr>
          <w:rFonts w:hint="eastAsia"/>
          <w:color w:val="000000"/>
          <w:sz w:val="24"/>
          <w:szCs w:val="24"/>
          <w:highlight w:val="none"/>
        </w:rPr>
      </w:pPr>
      <w:r>
        <w:rPr>
          <w:rFonts w:hint="eastAsia"/>
          <w:color w:val="000000"/>
          <w:sz w:val="24"/>
          <w:szCs w:val="24"/>
          <w:highlight w:val="none"/>
        </w:rPr>
        <w:t xml:space="preserve">   （三）严格依照国家和省、市关于政府采购的法律、法规、规章、规范性文件，参加政府采购投标活动；积极履行社会责任，促进廉政建设； </w:t>
      </w:r>
    </w:p>
    <w:p w14:paraId="748AC26D">
      <w:pPr>
        <w:widowControl/>
        <w:spacing w:line="500" w:lineRule="exact"/>
        <w:jc w:val="left"/>
        <w:rPr>
          <w:rFonts w:hint="eastAsia"/>
          <w:color w:val="000000"/>
          <w:sz w:val="24"/>
          <w:szCs w:val="24"/>
          <w:highlight w:val="none"/>
        </w:rPr>
      </w:pPr>
      <w:r>
        <w:rPr>
          <w:rFonts w:hint="eastAsia"/>
          <w:color w:val="000000"/>
          <w:sz w:val="24"/>
          <w:szCs w:val="24"/>
          <w:highlight w:val="none"/>
        </w:rPr>
        <w:t>   （四）严格遵守即时信息公示规定，及时维护和更新维护和更新盐城市政府采购网中与本单位相关的信息；</w:t>
      </w:r>
    </w:p>
    <w:p w14:paraId="31EF8D0E">
      <w:pPr>
        <w:widowControl/>
        <w:spacing w:line="500" w:lineRule="exact"/>
        <w:jc w:val="left"/>
        <w:rPr>
          <w:rFonts w:hint="eastAsia"/>
          <w:color w:val="000000"/>
          <w:sz w:val="24"/>
          <w:szCs w:val="24"/>
          <w:highlight w:val="none"/>
        </w:rPr>
      </w:pPr>
      <w:r>
        <w:rPr>
          <w:rFonts w:hint="eastAsia"/>
          <w:color w:val="000000"/>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B05436B">
      <w:pPr>
        <w:widowControl/>
        <w:spacing w:line="500" w:lineRule="exact"/>
        <w:jc w:val="left"/>
        <w:rPr>
          <w:rFonts w:hint="eastAsia"/>
          <w:color w:val="000000"/>
          <w:sz w:val="24"/>
          <w:szCs w:val="24"/>
          <w:highlight w:val="none"/>
        </w:rPr>
      </w:pPr>
      <w:r>
        <w:rPr>
          <w:rFonts w:hint="eastAsia"/>
          <w:color w:val="000000"/>
          <w:sz w:val="24"/>
          <w:szCs w:val="24"/>
          <w:highlight w:val="none"/>
        </w:rPr>
        <w:t>   （六）自觉接受政府、行业组织、社会公众、新闻舆论的监督；</w:t>
      </w:r>
    </w:p>
    <w:p w14:paraId="5FF12EE1">
      <w:pPr>
        <w:widowControl/>
        <w:spacing w:line="500" w:lineRule="exact"/>
        <w:ind w:firstLine="480"/>
        <w:jc w:val="left"/>
        <w:rPr>
          <w:rFonts w:hint="eastAsia"/>
          <w:color w:val="000000"/>
          <w:sz w:val="24"/>
          <w:szCs w:val="24"/>
          <w:highlight w:val="none"/>
        </w:rPr>
      </w:pPr>
      <w:r>
        <w:rPr>
          <w:rFonts w:hint="eastAsia"/>
          <w:color w:val="000000"/>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091A217">
      <w:pPr>
        <w:widowControl/>
        <w:spacing w:line="500" w:lineRule="exact"/>
        <w:jc w:val="left"/>
        <w:rPr>
          <w:rFonts w:hint="eastAsia"/>
          <w:color w:val="000000"/>
          <w:sz w:val="24"/>
          <w:szCs w:val="24"/>
          <w:highlight w:val="none"/>
        </w:rPr>
      </w:pPr>
      <w:r>
        <w:rPr>
          <w:rFonts w:hint="eastAsia"/>
          <w:color w:val="000000"/>
          <w:sz w:val="24"/>
          <w:szCs w:val="24"/>
          <w:highlight w:val="none"/>
        </w:rPr>
        <w:t>   （八）本人已认真阅读了上述承诺，并向本单位员工作了宣传教育。</w:t>
      </w:r>
    </w:p>
    <w:p w14:paraId="650A6CE7">
      <w:pPr>
        <w:widowControl/>
        <w:spacing w:line="500" w:lineRule="exact"/>
        <w:ind w:firstLine="4080"/>
        <w:rPr>
          <w:rFonts w:hint="eastAsia"/>
          <w:color w:val="000000"/>
          <w:sz w:val="24"/>
          <w:szCs w:val="24"/>
          <w:highlight w:val="none"/>
        </w:rPr>
      </w:pPr>
      <w:r>
        <w:rPr>
          <w:rFonts w:hint="eastAsia"/>
          <w:color w:val="000000"/>
          <w:sz w:val="24"/>
          <w:szCs w:val="24"/>
          <w:highlight w:val="none"/>
        </w:rPr>
        <w:t>法定代表人签名：</w:t>
      </w:r>
    </w:p>
    <w:p w14:paraId="004F7043">
      <w:pPr>
        <w:widowControl/>
        <w:spacing w:line="500" w:lineRule="exact"/>
        <w:jc w:val="center"/>
        <w:rPr>
          <w:rFonts w:hint="eastAsia"/>
          <w:color w:val="000000"/>
          <w:sz w:val="24"/>
          <w:szCs w:val="24"/>
          <w:highlight w:val="none"/>
        </w:rPr>
      </w:pPr>
      <w:r>
        <w:rPr>
          <w:rFonts w:hint="eastAsia"/>
          <w:color w:val="000000"/>
          <w:sz w:val="24"/>
          <w:szCs w:val="24"/>
          <w:highlight w:val="none"/>
        </w:rPr>
        <w:t xml:space="preserve">              单位名称（盖章）：</w:t>
      </w:r>
    </w:p>
    <w:p w14:paraId="4F899D3B">
      <w:pPr>
        <w:widowControl/>
        <w:spacing w:line="500" w:lineRule="exact"/>
        <w:jc w:val="center"/>
        <w:rPr>
          <w:rFonts w:hint="eastAsia" w:eastAsia="黑体"/>
          <w:color w:val="000000"/>
          <w:sz w:val="32"/>
          <w:szCs w:val="32"/>
          <w:highlight w:val="none"/>
        </w:rPr>
      </w:pPr>
      <w:r>
        <w:rPr>
          <w:rFonts w:hint="eastAsia"/>
          <w:color w:val="000000"/>
          <w:sz w:val="24"/>
          <w:szCs w:val="24"/>
          <w:highlight w:val="none"/>
        </w:rPr>
        <w:t xml:space="preserve">          年    月    日</w:t>
      </w:r>
    </w:p>
    <w:p w14:paraId="6A0B9BA5">
      <w:pPr>
        <w:pStyle w:val="30"/>
        <w:spacing w:beforeAutospacing="0" w:afterAutospacing="0"/>
        <w:jc w:val="center"/>
        <w:rPr>
          <w:rFonts w:hint="eastAsia" w:ascii="宋体" w:hAnsi="宋体" w:eastAsia="宋体" w:cs="宋体"/>
          <w:b/>
          <w:color w:val="auto"/>
          <w:sz w:val="32"/>
          <w:szCs w:val="32"/>
          <w:highlight w:val="none"/>
        </w:rPr>
      </w:pPr>
    </w:p>
    <w:p w14:paraId="1638C3F9">
      <w:pPr>
        <w:pStyle w:val="30"/>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0BC79DCE">
      <w:pPr>
        <w:pStyle w:val="30"/>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66781A9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FD2921E">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3BC165C">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9B57A6">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9FAD10">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3544869">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769E362">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346EC3F">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48AE696">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7462E04">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4D12C7A1">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C7362DC">
      <w:pPr>
        <w:pStyle w:val="3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3EAEFD67">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C62FFA2">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E11DA98">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B2226CD">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E3240E4">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C89F7D1">
      <w:pPr>
        <w:pStyle w:val="3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241E93F">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8C20250">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7F67CFD">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472D6A85">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22500E44">
      <w:pPr>
        <w:pStyle w:val="3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98CDA8D">
      <w:pPr>
        <w:pStyle w:val="3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C02E214">
      <w:pPr>
        <w:pStyle w:val="3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0FD35464">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EF8AB75">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D3EFB5">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24EE302A">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FD9B49F">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77F5FCEC">
      <w:pPr>
        <w:pStyle w:val="3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EC33010">
      <w:pPr>
        <w:pStyle w:val="30"/>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67232A14">
      <w:pPr>
        <w:rPr>
          <w:color w:val="auto"/>
          <w:highlight w:val="none"/>
        </w:rPr>
      </w:pPr>
    </w:p>
    <w:p w14:paraId="27141717">
      <w:pPr>
        <w:rPr>
          <w:color w:val="auto"/>
          <w:highlight w:val="none"/>
        </w:rPr>
      </w:pPr>
    </w:p>
    <w:p w14:paraId="5EC88FD7">
      <w:pPr>
        <w:widowControl/>
        <w:spacing w:before="50" w:after="50"/>
        <w:jc w:val="center"/>
        <w:rPr>
          <w:color w:val="auto"/>
          <w:highlight w:val="none"/>
        </w:rPr>
      </w:pPr>
    </w:p>
    <w:p w14:paraId="6E3B195C">
      <w:pPr>
        <w:widowControl/>
        <w:spacing w:before="50" w:after="50"/>
        <w:jc w:val="center"/>
        <w:rPr>
          <w:color w:val="auto"/>
          <w:highlight w:val="none"/>
        </w:rPr>
      </w:pPr>
    </w:p>
    <w:p w14:paraId="3162989F">
      <w:pPr>
        <w:pStyle w:val="200"/>
        <w:rPr>
          <w:rFonts w:hint="eastAsia"/>
          <w:color w:val="000000"/>
          <w:sz w:val="24"/>
          <w:szCs w:val="24"/>
        </w:rPr>
      </w:pPr>
    </w:p>
    <w:p w14:paraId="3CDA71F1">
      <w:pPr>
        <w:rPr>
          <w:rFonts w:hint="eastAsia" w:ascii="宋体" w:hAnsi="宋体" w:cs="Courier New" w:eastAsiaTheme="minorEastAsia"/>
          <w:i/>
          <w:iCs/>
          <w:sz w:val="24"/>
          <w:szCs w:val="24"/>
          <w:highlight w:val="none"/>
          <w:u w:val="single"/>
          <w:lang w:val="en-US" w:eastAsia="zh-CN"/>
        </w:rPr>
      </w:pPr>
    </w:p>
    <w:p w14:paraId="25455310">
      <w:pPr>
        <w:rPr>
          <w:rFonts w:hint="eastAsia" w:ascii="宋体" w:hAnsi="宋体" w:cs="Courier New" w:eastAsiaTheme="minorEastAsia"/>
          <w:i/>
          <w:iCs/>
          <w:sz w:val="24"/>
          <w:szCs w:val="24"/>
          <w:highlight w:val="none"/>
          <w:u w:val="single"/>
          <w:lang w:val="en-US" w:eastAsia="zh-CN"/>
        </w:rPr>
      </w:pPr>
    </w:p>
    <w:sectPr>
      <w:footerReference r:id="rId4"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方正小标宋简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font>
  <w:font w:name="方正楷体_GBK">
    <w:altName w:val="微软雅黑"/>
    <w:panose1 w:val="020B0503020202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6819F">
    <w:pPr>
      <w:pStyle w:val="21"/>
      <w:ind w:right="360" w:firstLine="360"/>
      <w:rPr>
        <w:rFonts w:asci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BCDD716">
                          <w:pPr>
                            <w:pStyle w:val="21"/>
                            <w:rPr>
                              <w:rStyle w:val="38"/>
                              <w:rFonts w:ascii="宋体"/>
                              <w:sz w:val="28"/>
                            </w:rPr>
                          </w:pPr>
                          <w:r>
                            <w:rPr>
                              <w:rStyle w:val="38"/>
                              <w:rFonts w:hint="eastAsia" w:ascii="宋体" w:hAnsi="宋体"/>
                              <w:color w:val="FFFFFF"/>
                              <w:sz w:val="28"/>
                            </w:rPr>
                            <w:t>□</w:t>
                          </w:r>
                          <w:r>
                            <w:rPr>
                              <w:rStyle w:val="38"/>
                              <w:rFonts w:ascii="宋体" w:hAnsi="宋体"/>
                              <w:sz w:val="28"/>
                            </w:rPr>
                            <w:t xml:space="preserve">— </w:t>
                          </w:r>
                          <w:r>
                            <w:rPr>
                              <w:rStyle w:val="38"/>
                              <w:rFonts w:ascii="Times New Roman" w:hAnsi="Times New Roman"/>
                              <w:sz w:val="28"/>
                            </w:rPr>
                            <w:fldChar w:fldCharType="begin"/>
                          </w:r>
                          <w:r>
                            <w:rPr>
                              <w:rStyle w:val="38"/>
                              <w:rFonts w:ascii="Times New Roman" w:hAnsi="Times New Roman"/>
                              <w:sz w:val="28"/>
                            </w:rPr>
                            <w:instrText xml:space="preserve">PAGE  </w:instrText>
                          </w:r>
                          <w:r>
                            <w:rPr>
                              <w:rStyle w:val="38"/>
                              <w:rFonts w:ascii="Times New Roman" w:hAnsi="Times New Roman"/>
                              <w:sz w:val="28"/>
                            </w:rPr>
                            <w:fldChar w:fldCharType="separate"/>
                          </w:r>
                          <w:r>
                            <w:rPr>
                              <w:rStyle w:val="38"/>
                              <w:rFonts w:ascii="Times New Roman" w:hAnsi="Times New Roman"/>
                              <w:sz w:val="28"/>
                            </w:rPr>
                            <w:t>5</w:t>
                          </w:r>
                          <w:r>
                            <w:rPr>
                              <w:rStyle w:val="38"/>
                              <w:rFonts w:ascii="Times New Roman" w:hAnsi="Times New Roman"/>
                              <w:sz w:val="28"/>
                            </w:rPr>
                            <w:fldChar w:fldCharType="end"/>
                          </w:r>
                          <w:r>
                            <w:rPr>
                              <w:rStyle w:val="38"/>
                              <w:rFonts w:ascii="宋体" w:hAnsi="宋体"/>
                              <w:sz w:val="28"/>
                            </w:rPr>
                            <w:t xml:space="preserve"> —</w:t>
                          </w:r>
                          <w:r>
                            <w:rPr>
                              <w:rStyle w:val="38"/>
                              <w:rFonts w:hint="eastAsia" w:ascii="宋体" w:hAnsi="宋体"/>
                              <w:color w:val="FFFFFF"/>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kQy9CAgAAfQQAAA4AAABkcnMvZTJvRG9jLnhtbK1UwY7TMBC9I/EP&#10;lu80aRFVFTVdla2KkAq70oI4u47TWLI9lu02KR8Af8CJC3e+q9/B2EkKWjjsgUs09ozfzHszk+VN&#10;pxU5CeclmJJOJzklwnCopDmU9OOH7YsFJT4wUzEFRpT0LDy9WT1/tmxtIWbQgKqEIwhifNHakjYh&#10;2CLLPG+EZn4CVhh01uA0C3h0h6xyrEV0rbJZns+zFlxlHXDhPd5ueicdEN1TAKGuJRcb4EctTOhR&#10;nVAsICXfSOvpKlVb14KHu7r2IhBVUmQa0heToL2P32y1ZMXBMdtIPpTAnlLCI06aSYNJr1AbFhg5&#10;OvkXlJbcgYc6TDjorCeSFEEW0/yRNg8NsyJxQam9vYru/x8sf3+6d0RWJZ1RYpjGhl++fb18/3n5&#10;8YXMozyt9QVGPViMC91r6HBoxnsfL/ftO6jwHTsGSBp0tdNRC2RHMBqlPl+lFl0gPEIsZotFji6O&#10;vvGA2TJWjM+t8+GNAE2iUVKHvUzw7LTzoQ8dQ2I2A1upVOqnMqQt6fzlqzw9uHoQXJkYK9JkDDCR&#10;YCTSUw3dvhtY76E6Iz8H/dR4y7cSS9kxH+6ZwzHB8nGRwh1+agWYEgaLkgbc53/dx3jsHnopaXHs&#10;SmpwyyhRbw12FQHDaLjR2I+GOepbwDme4oJankx84IIazdqB/oTbtY450MUMx0wlDaN5G/rRx+3k&#10;Yr1OQUfr5KHpH+BMWhZ25sHymCZK5e0a+7qVSfEoVa8KdioecCpTz4YNimP/5zlF/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bkQy9CAgAAfQQAAA4AAAAAAAAAAQAgAAAAHwEAAGRy&#10;cy9lMm9Eb2MueG1sUEsFBgAAAAAGAAYAWQEAANMFAAAAAA==&#10;">
              <v:fill on="f" focussize="0,0"/>
              <v:stroke on="f" weight="0.5pt"/>
              <v:imagedata o:title=""/>
              <o:lock v:ext="edit" aspectratio="f"/>
              <v:textbox inset="0mm,0mm,0mm,0mm" style="mso-fit-shape-to-text:t;">
                <w:txbxContent>
                  <w:p w14:paraId="2BCDD716">
                    <w:pPr>
                      <w:pStyle w:val="21"/>
                      <w:rPr>
                        <w:rStyle w:val="38"/>
                        <w:rFonts w:ascii="宋体"/>
                        <w:sz w:val="28"/>
                      </w:rPr>
                    </w:pPr>
                    <w:r>
                      <w:rPr>
                        <w:rStyle w:val="38"/>
                        <w:rFonts w:hint="eastAsia" w:ascii="宋体" w:hAnsi="宋体"/>
                        <w:color w:val="FFFFFF"/>
                        <w:sz w:val="28"/>
                      </w:rPr>
                      <w:t>□</w:t>
                    </w:r>
                    <w:r>
                      <w:rPr>
                        <w:rStyle w:val="38"/>
                        <w:rFonts w:ascii="宋体" w:hAnsi="宋体"/>
                        <w:sz w:val="28"/>
                      </w:rPr>
                      <w:t xml:space="preserve">— </w:t>
                    </w:r>
                    <w:r>
                      <w:rPr>
                        <w:rStyle w:val="38"/>
                        <w:rFonts w:ascii="Times New Roman" w:hAnsi="Times New Roman"/>
                        <w:sz w:val="28"/>
                      </w:rPr>
                      <w:fldChar w:fldCharType="begin"/>
                    </w:r>
                    <w:r>
                      <w:rPr>
                        <w:rStyle w:val="38"/>
                        <w:rFonts w:ascii="Times New Roman" w:hAnsi="Times New Roman"/>
                        <w:sz w:val="28"/>
                      </w:rPr>
                      <w:instrText xml:space="preserve">PAGE  </w:instrText>
                    </w:r>
                    <w:r>
                      <w:rPr>
                        <w:rStyle w:val="38"/>
                        <w:rFonts w:ascii="Times New Roman" w:hAnsi="Times New Roman"/>
                        <w:sz w:val="28"/>
                      </w:rPr>
                      <w:fldChar w:fldCharType="separate"/>
                    </w:r>
                    <w:r>
                      <w:rPr>
                        <w:rStyle w:val="38"/>
                        <w:rFonts w:ascii="Times New Roman" w:hAnsi="Times New Roman"/>
                        <w:sz w:val="28"/>
                      </w:rPr>
                      <w:t>5</w:t>
                    </w:r>
                    <w:r>
                      <w:rPr>
                        <w:rStyle w:val="38"/>
                        <w:rFonts w:ascii="Times New Roman" w:hAnsi="Times New Roman"/>
                        <w:sz w:val="28"/>
                      </w:rPr>
                      <w:fldChar w:fldCharType="end"/>
                    </w:r>
                    <w:r>
                      <w:rPr>
                        <w:rStyle w:val="38"/>
                        <w:rFonts w:ascii="宋体" w:hAnsi="宋体"/>
                        <w:sz w:val="28"/>
                      </w:rPr>
                      <w:t xml:space="preserve"> —</w:t>
                    </w:r>
                    <w:r>
                      <w:rPr>
                        <w:rStyle w:val="38"/>
                        <w:rFonts w:hint="eastAsia" w:ascii="宋体" w:hAnsi="宋体"/>
                        <w:color w:val="FFFFFF"/>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EB7E7">
    <w:pPr>
      <w:pStyle w:val="21"/>
      <w:ind w:right="360" w:firstLine="360"/>
      <w:rPr>
        <w:rFonts w:asci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FE596F7">
                          <w:pPr>
                            <w:pStyle w:val="21"/>
                            <w:rPr>
                              <w:rStyle w:val="38"/>
                              <w:rFonts w:ascii="宋体"/>
                              <w:sz w:val="28"/>
                            </w:rPr>
                          </w:pPr>
                          <w:r>
                            <w:rPr>
                              <w:rStyle w:val="38"/>
                              <w:rFonts w:hint="eastAsia" w:ascii="宋体" w:hAnsi="宋体"/>
                              <w:color w:val="FFFFFF"/>
                              <w:sz w:val="28"/>
                            </w:rPr>
                            <w:t>□</w:t>
                          </w:r>
                          <w:r>
                            <w:rPr>
                              <w:rStyle w:val="38"/>
                              <w:rFonts w:ascii="宋体" w:hAnsi="宋体"/>
                              <w:sz w:val="28"/>
                            </w:rPr>
                            <w:t xml:space="preserve">— </w:t>
                          </w:r>
                          <w:r>
                            <w:rPr>
                              <w:rStyle w:val="38"/>
                              <w:rFonts w:ascii="Times New Roman" w:hAnsi="Times New Roman"/>
                              <w:sz w:val="28"/>
                            </w:rPr>
                            <w:fldChar w:fldCharType="begin"/>
                          </w:r>
                          <w:r>
                            <w:rPr>
                              <w:rStyle w:val="38"/>
                              <w:rFonts w:ascii="Times New Roman" w:hAnsi="Times New Roman"/>
                              <w:sz w:val="28"/>
                            </w:rPr>
                            <w:instrText xml:space="preserve">PAGE  </w:instrText>
                          </w:r>
                          <w:r>
                            <w:rPr>
                              <w:rStyle w:val="38"/>
                              <w:rFonts w:ascii="Times New Roman" w:hAnsi="Times New Roman"/>
                              <w:sz w:val="28"/>
                            </w:rPr>
                            <w:fldChar w:fldCharType="separate"/>
                          </w:r>
                          <w:r>
                            <w:rPr>
                              <w:rStyle w:val="38"/>
                              <w:rFonts w:ascii="Times New Roman" w:hAnsi="Times New Roman"/>
                              <w:sz w:val="28"/>
                            </w:rPr>
                            <w:t>5</w:t>
                          </w:r>
                          <w:r>
                            <w:rPr>
                              <w:rStyle w:val="38"/>
                              <w:rFonts w:ascii="Times New Roman" w:hAnsi="Times New Roman"/>
                              <w:sz w:val="28"/>
                            </w:rPr>
                            <w:fldChar w:fldCharType="end"/>
                          </w:r>
                          <w:r>
                            <w:rPr>
                              <w:rStyle w:val="38"/>
                              <w:rFonts w:ascii="宋体" w:hAnsi="宋体"/>
                              <w:sz w:val="28"/>
                            </w:rPr>
                            <w:t xml:space="preserve"> —</w:t>
                          </w:r>
                          <w:r>
                            <w:rPr>
                              <w:rStyle w:val="38"/>
                              <w:rFonts w:hint="eastAsia" w:ascii="宋体" w:hAnsi="宋体"/>
                              <w:color w:val="FFFFFF"/>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8K/dCAgAAfQQAAA4AAABkcnMvZTJvRG9jLnhtbK1UwW7UMBC9I/EP&#10;lu8021ZU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mm5qecOWHR8IdvXx++&#10;/3z48YWdZXl6HxeIuvWIS8MrGjA0033Ml5v+LTV4J3aJigZDG2zWAuwYoiH1/UFqNSQmM8T8ZD6f&#10;wSXhmw7IVonF9NyHmF4rsiwbNQ/oZYEXd9cxjaFTSM7maK2NKf00jvU1Pzt9OSsPDh6AG5djVZmM&#10;PUwmmImMVNOwGfasN9Tcg1+gcWqil2uNUq5FTO9FwJigfCxSusGnNYSUtLc46yh8/td9jkf34OWs&#10;x9jV3GHLODNvHLoKwDQZYTI2k+F29pIwx8dYUC+LiQchmclsA9lP2K5VzgGXcBKZap4m8zKNo4/t&#10;lGq1KkE7H/S2Gx9gJr1I1+7Wy5wmSxX9Cn1d66J4lmpUBZ3KB0xl6dl+g/LY/3ku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F8K/dCAgAAfQQAAA4AAAAAAAAAAQAgAAAAHwEAAGRy&#10;cy9lMm9Eb2MueG1sUEsFBgAAAAAGAAYAWQEAANMFAAAAAA==&#10;">
              <v:fill on="f" focussize="0,0"/>
              <v:stroke on="f" weight="0.5pt"/>
              <v:imagedata o:title=""/>
              <o:lock v:ext="edit" aspectratio="f"/>
              <v:textbox inset="0mm,0mm,0mm,0mm" style="mso-fit-shape-to-text:t;">
                <w:txbxContent>
                  <w:p w14:paraId="3FE596F7">
                    <w:pPr>
                      <w:pStyle w:val="21"/>
                      <w:rPr>
                        <w:rStyle w:val="38"/>
                        <w:rFonts w:ascii="宋体"/>
                        <w:sz w:val="28"/>
                      </w:rPr>
                    </w:pPr>
                    <w:r>
                      <w:rPr>
                        <w:rStyle w:val="38"/>
                        <w:rFonts w:hint="eastAsia" w:ascii="宋体" w:hAnsi="宋体"/>
                        <w:color w:val="FFFFFF"/>
                        <w:sz w:val="28"/>
                      </w:rPr>
                      <w:t>□</w:t>
                    </w:r>
                    <w:r>
                      <w:rPr>
                        <w:rStyle w:val="38"/>
                        <w:rFonts w:ascii="宋体" w:hAnsi="宋体"/>
                        <w:sz w:val="28"/>
                      </w:rPr>
                      <w:t xml:space="preserve">— </w:t>
                    </w:r>
                    <w:r>
                      <w:rPr>
                        <w:rStyle w:val="38"/>
                        <w:rFonts w:ascii="Times New Roman" w:hAnsi="Times New Roman"/>
                        <w:sz w:val="28"/>
                      </w:rPr>
                      <w:fldChar w:fldCharType="begin"/>
                    </w:r>
                    <w:r>
                      <w:rPr>
                        <w:rStyle w:val="38"/>
                        <w:rFonts w:ascii="Times New Roman" w:hAnsi="Times New Roman"/>
                        <w:sz w:val="28"/>
                      </w:rPr>
                      <w:instrText xml:space="preserve">PAGE  </w:instrText>
                    </w:r>
                    <w:r>
                      <w:rPr>
                        <w:rStyle w:val="38"/>
                        <w:rFonts w:ascii="Times New Roman" w:hAnsi="Times New Roman"/>
                        <w:sz w:val="28"/>
                      </w:rPr>
                      <w:fldChar w:fldCharType="separate"/>
                    </w:r>
                    <w:r>
                      <w:rPr>
                        <w:rStyle w:val="38"/>
                        <w:rFonts w:ascii="Times New Roman" w:hAnsi="Times New Roman"/>
                        <w:sz w:val="28"/>
                      </w:rPr>
                      <w:t>5</w:t>
                    </w:r>
                    <w:r>
                      <w:rPr>
                        <w:rStyle w:val="38"/>
                        <w:rFonts w:ascii="Times New Roman" w:hAnsi="Times New Roman"/>
                        <w:sz w:val="28"/>
                      </w:rPr>
                      <w:fldChar w:fldCharType="end"/>
                    </w:r>
                    <w:r>
                      <w:rPr>
                        <w:rStyle w:val="38"/>
                        <w:rFonts w:ascii="宋体" w:hAnsi="宋体"/>
                        <w:sz w:val="28"/>
                      </w:rPr>
                      <w:t xml:space="preserve"> —</w:t>
                    </w:r>
                    <w:r>
                      <w:rPr>
                        <w:rStyle w:val="38"/>
                        <w:rFonts w:hint="eastAsia" w:ascii="宋体" w:hAnsi="宋体"/>
                        <w:color w:val="FFFFFF"/>
                        <w:sz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583558"/>
    <w:multiLevelType w:val="singleLevel"/>
    <w:tmpl w:val="F5583558"/>
    <w:lvl w:ilvl="0" w:tentative="0">
      <w:start w:val="2"/>
      <w:numFmt w:val="decimal"/>
      <w:lvlText w:val="%1."/>
      <w:lvlJc w:val="left"/>
      <w:pPr>
        <w:tabs>
          <w:tab w:val="left" w:pos="312"/>
        </w:tabs>
      </w:pPr>
    </w:lvl>
  </w:abstractNum>
  <w:abstractNum w:abstractNumId="1">
    <w:nsid w:val="FABB4742"/>
    <w:multiLevelType w:val="singleLevel"/>
    <w:tmpl w:val="FABB4742"/>
    <w:lvl w:ilvl="0" w:tentative="0">
      <w:start w:val="1"/>
      <w:numFmt w:val="chineseCounting"/>
      <w:suff w:val="space"/>
      <w:lvlText w:val="第%1章"/>
      <w:lvlJc w:val="left"/>
      <w:rPr>
        <w:rFonts w:hint="eastAsia"/>
      </w:rPr>
    </w:lvl>
  </w:abstractNum>
  <w:abstractNum w:abstractNumId="2">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66BF048"/>
    <w:multiLevelType w:val="singleLevel"/>
    <w:tmpl w:val="166BF048"/>
    <w:lvl w:ilvl="0" w:tentative="0">
      <w:start w:val="2"/>
      <w:numFmt w:val="upperLetter"/>
      <w:suff w:val="nothing"/>
      <w:lvlText w:val="%1-"/>
      <w:lvlJc w:val="left"/>
    </w:lvl>
  </w:abstractNum>
  <w:abstractNum w:abstractNumId="5">
    <w:nsid w:val="25B654F3"/>
    <w:multiLevelType w:val="multilevel"/>
    <w:tmpl w:val="25B654F3"/>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2183CF9"/>
    <w:multiLevelType w:val="multilevel"/>
    <w:tmpl w:val="72183CF9"/>
    <w:lvl w:ilvl="0" w:tentative="0">
      <w:start w:val="1"/>
      <w:numFmt w:val="decimal"/>
      <w:lvlText w:val="%1、"/>
      <w:lvlJc w:val="left"/>
      <w:pPr>
        <w:tabs>
          <w:tab w:val="left" w:pos="1125"/>
        </w:tabs>
        <w:ind w:left="1125"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0NmY0MTNjNGFlOTc4ZGNhZjBhZWQxMzE1NGRlNzYifQ=="/>
    <w:docVar w:name="KSO_WPS_MARK_KEY" w:val="c4b0f8a7-40c1-4b4c-8885-159d9e8e028b"/>
  </w:docVars>
  <w:rsids>
    <w:rsidRoot w:val="00000000"/>
    <w:rsid w:val="00305CE7"/>
    <w:rsid w:val="00627E6B"/>
    <w:rsid w:val="006B31C3"/>
    <w:rsid w:val="0160084E"/>
    <w:rsid w:val="016C5D2D"/>
    <w:rsid w:val="0192652E"/>
    <w:rsid w:val="01995B0E"/>
    <w:rsid w:val="01E758CF"/>
    <w:rsid w:val="02866093"/>
    <w:rsid w:val="0341020B"/>
    <w:rsid w:val="0367585D"/>
    <w:rsid w:val="051A6F66"/>
    <w:rsid w:val="05A21435"/>
    <w:rsid w:val="05CF5FA2"/>
    <w:rsid w:val="05D90BCF"/>
    <w:rsid w:val="06C07699"/>
    <w:rsid w:val="07A44B19"/>
    <w:rsid w:val="07BE126F"/>
    <w:rsid w:val="0A206DCD"/>
    <w:rsid w:val="0B1D155E"/>
    <w:rsid w:val="0B325009"/>
    <w:rsid w:val="0B650B85"/>
    <w:rsid w:val="0C8F1FE8"/>
    <w:rsid w:val="0D9A0C44"/>
    <w:rsid w:val="0E484B44"/>
    <w:rsid w:val="0E9733D5"/>
    <w:rsid w:val="0FB65CF9"/>
    <w:rsid w:val="10466E61"/>
    <w:rsid w:val="104E5D16"/>
    <w:rsid w:val="10855BDB"/>
    <w:rsid w:val="113D2012"/>
    <w:rsid w:val="115455AE"/>
    <w:rsid w:val="11EC3A38"/>
    <w:rsid w:val="12B46304"/>
    <w:rsid w:val="131E6871"/>
    <w:rsid w:val="13AF2F6F"/>
    <w:rsid w:val="13B62550"/>
    <w:rsid w:val="15C03212"/>
    <w:rsid w:val="1654783B"/>
    <w:rsid w:val="16F92E7F"/>
    <w:rsid w:val="19F618F8"/>
    <w:rsid w:val="1A116732"/>
    <w:rsid w:val="1B356450"/>
    <w:rsid w:val="1B505038"/>
    <w:rsid w:val="1C420E24"/>
    <w:rsid w:val="1C444B9D"/>
    <w:rsid w:val="1CCB2BC8"/>
    <w:rsid w:val="1E4F5A7B"/>
    <w:rsid w:val="1F5D32ED"/>
    <w:rsid w:val="1F612DB6"/>
    <w:rsid w:val="20EA1DAD"/>
    <w:rsid w:val="21676C37"/>
    <w:rsid w:val="223C00C4"/>
    <w:rsid w:val="235B27CC"/>
    <w:rsid w:val="244A6AC8"/>
    <w:rsid w:val="24EC4023"/>
    <w:rsid w:val="251B66B7"/>
    <w:rsid w:val="252F5CBE"/>
    <w:rsid w:val="25D6438C"/>
    <w:rsid w:val="262314FE"/>
    <w:rsid w:val="26487037"/>
    <w:rsid w:val="26C07516"/>
    <w:rsid w:val="27C6290A"/>
    <w:rsid w:val="28C94675"/>
    <w:rsid w:val="28F039B6"/>
    <w:rsid w:val="2A6E7289"/>
    <w:rsid w:val="2A783C63"/>
    <w:rsid w:val="2AB56C65"/>
    <w:rsid w:val="2BC84DB3"/>
    <w:rsid w:val="2D1F6CCF"/>
    <w:rsid w:val="2D88240F"/>
    <w:rsid w:val="2E4C168F"/>
    <w:rsid w:val="2E6469D8"/>
    <w:rsid w:val="2ECD0A22"/>
    <w:rsid w:val="2FF75C3A"/>
    <w:rsid w:val="30890978"/>
    <w:rsid w:val="311A1F18"/>
    <w:rsid w:val="333636F7"/>
    <w:rsid w:val="3392223A"/>
    <w:rsid w:val="33D4015C"/>
    <w:rsid w:val="34C06933"/>
    <w:rsid w:val="35ED19A9"/>
    <w:rsid w:val="36CF10AF"/>
    <w:rsid w:val="36D3575F"/>
    <w:rsid w:val="370C2305"/>
    <w:rsid w:val="37893954"/>
    <w:rsid w:val="38763ED8"/>
    <w:rsid w:val="38C42E95"/>
    <w:rsid w:val="38FD1F03"/>
    <w:rsid w:val="394F0285"/>
    <w:rsid w:val="39FD5F33"/>
    <w:rsid w:val="3A5C30AC"/>
    <w:rsid w:val="3AAA60BB"/>
    <w:rsid w:val="3B291365"/>
    <w:rsid w:val="3BC90495"/>
    <w:rsid w:val="3C335C3C"/>
    <w:rsid w:val="3C45220B"/>
    <w:rsid w:val="3D2B2E77"/>
    <w:rsid w:val="3EA80B63"/>
    <w:rsid w:val="3FC75019"/>
    <w:rsid w:val="40330901"/>
    <w:rsid w:val="410538D8"/>
    <w:rsid w:val="41C95079"/>
    <w:rsid w:val="433A3D54"/>
    <w:rsid w:val="434370AD"/>
    <w:rsid w:val="450D1720"/>
    <w:rsid w:val="456B28EB"/>
    <w:rsid w:val="45967548"/>
    <w:rsid w:val="46971BE9"/>
    <w:rsid w:val="47B2035D"/>
    <w:rsid w:val="47D76015"/>
    <w:rsid w:val="4A7364C9"/>
    <w:rsid w:val="4AEE3DA2"/>
    <w:rsid w:val="4B9304A5"/>
    <w:rsid w:val="4C0F2222"/>
    <w:rsid w:val="4D1A0E7E"/>
    <w:rsid w:val="4D4E28D6"/>
    <w:rsid w:val="4D714816"/>
    <w:rsid w:val="4E4C150B"/>
    <w:rsid w:val="4E564138"/>
    <w:rsid w:val="4FE47521"/>
    <w:rsid w:val="503E332B"/>
    <w:rsid w:val="50A218B6"/>
    <w:rsid w:val="51DA0BDC"/>
    <w:rsid w:val="52287B99"/>
    <w:rsid w:val="529D7AA2"/>
    <w:rsid w:val="53B37937"/>
    <w:rsid w:val="55085B3A"/>
    <w:rsid w:val="552F123F"/>
    <w:rsid w:val="57342B3C"/>
    <w:rsid w:val="573E1C0D"/>
    <w:rsid w:val="57ED286F"/>
    <w:rsid w:val="58136BF6"/>
    <w:rsid w:val="587B589D"/>
    <w:rsid w:val="5A3219C8"/>
    <w:rsid w:val="5A504131"/>
    <w:rsid w:val="5AC8016B"/>
    <w:rsid w:val="5BE2525D"/>
    <w:rsid w:val="5CA7566C"/>
    <w:rsid w:val="5CBF10FA"/>
    <w:rsid w:val="5CC82976"/>
    <w:rsid w:val="5F2C67EF"/>
    <w:rsid w:val="5FF85127"/>
    <w:rsid w:val="603C2727"/>
    <w:rsid w:val="60870181"/>
    <w:rsid w:val="60F63558"/>
    <w:rsid w:val="625978FB"/>
    <w:rsid w:val="62A019CE"/>
    <w:rsid w:val="62FB09B2"/>
    <w:rsid w:val="63005BC8"/>
    <w:rsid w:val="638E7A78"/>
    <w:rsid w:val="645E744B"/>
    <w:rsid w:val="64F658D5"/>
    <w:rsid w:val="652A37D1"/>
    <w:rsid w:val="65784910"/>
    <w:rsid w:val="65F31E15"/>
    <w:rsid w:val="671876C8"/>
    <w:rsid w:val="68555008"/>
    <w:rsid w:val="69E46644"/>
    <w:rsid w:val="6A6D6639"/>
    <w:rsid w:val="6AE5751C"/>
    <w:rsid w:val="6B0A3E88"/>
    <w:rsid w:val="6BA545C4"/>
    <w:rsid w:val="6E1312A6"/>
    <w:rsid w:val="6E9C531E"/>
    <w:rsid w:val="6FFD0B73"/>
    <w:rsid w:val="70573BD8"/>
    <w:rsid w:val="71463740"/>
    <w:rsid w:val="71C01745"/>
    <w:rsid w:val="727B566C"/>
    <w:rsid w:val="72FA0C86"/>
    <w:rsid w:val="73186D0D"/>
    <w:rsid w:val="73504D4A"/>
    <w:rsid w:val="73E159A2"/>
    <w:rsid w:val="746E36DA"/>
    <w:rsid w:val="74AE06FF"/>
    <w:rsid w:val="74B875C9"/>
    <w:rsid w:val="74D80B53"/>
    <w:rsid w:val="74E219D2"/>
    <w:rsid w:val="75172863"/>
    <w:rsid w:val="758F1B5A"/>
    <w:rsid w:val="75AF6BF5"/>
    <w:rsid w:val="762F50EB"/>
    <w:rsid w:val="77343640"/>
    <w:rsid w:val="78442EB8"/>
    <w:rsid w:val="78D635FC"/>
    <w:rsid w:val="79646E59"/>
    <w:rsid w:val="798E037A"/>
    <w:rsid w:val="79E00282"/>
    <w:rsid w:val="7AB14320"/>
    <w:rsid w:val="7B1E74DC"/>
    <w:rsid w:val="7B827A6B"/>
    <w:rsid w:val="7C5C650E"/>
    <w:rsid w:val="7D957F29"/>
    <w:rsid w:val="7E431733"/>
    <w:rsid w:val="7EB42631"/>
    <w:rsid w:val="7EBE0DBA"/>
    <w:rsid w:val="7EE06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b/>
      <w:bCs/>
      <w:sz w:val="44"/>
      <w:szCs w:val="44"/>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tabs>
        <w:tab w:val="right" w:leader="dot" w:pos="8720"/>
      </w:tabs>
      <w:spacing w:before="120" w:after="120" w:line="400" w:lineRule="exact"/>
    </w:pPr>
    <w:rPr>
      <w:rFonts w:ascii="宋体" w:hAnsi="宋体"/>
      <w:caps/>
      <w:sz w:val="24"/>
      <w:szCs w:val="24"/>
    </w:rPr>
  </w:style>
  <w:style w:type="paragraph" w:styleId="5">
    <w:name w:val="Normal Indent"/>
    <w:basedOn w:val="1"/>
    <w:qFormat/>
    <w:uiPriority w:val="0"/>
    <w:pPr>
      <w:ind w:firstLine="420"/>
    </w:pPr>
    <w:rPr>
      <w:lang w:eastAsia="en-US"/>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Body Text 3"/>
    <w:basedOn w:val="1"/>
    <w:qFormat/>
    <w:uiPriority w:val="0"/>
    <w:pPr>
      <w:spacing w:after="120"/>
    </w:pPr>
    <w:rPr>
      <w:rFonts w:ascii="Times New Roman" w:hAnsi="Times New Roman" w:eastAsia="宋体" w:cs="Times New Roman"/>
      <w:sz w:val="16"/>
      <w:szCs w:val="16"/>
    </w:rPr>
  </w:style>
  <w:style w:type="paragraph" w:styleId="16">
    <w:name w:val="Body Text Indent"/>
    <w:basedOn w:val="1"/>
    <w:qFormat/>
    <w:uiPriority w:val="0"/>
    <w:pPr>
      <w:ind w:firstLine="645"/>
    </w:pPr>
    <w:rPr>
      <w:rFonts w:ascii="楷体_GB2312" w:eastAsia="楷体_GB2312"/>
      <w:sz w:val="32"/>
      <w:szCs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semiHidden/>
    <w:qFormat/>
    <w:uiPriority w:val="99"/>
    <w:pPr>
      <w:tabs>
        <w:tab w:val="center" w:pos="4153"/>
        <w:tab w:val="right" w:pos="8306"/>
      </w:tabs>
      <w:jc w:val="left"/>
    </w:pPr>
    <w:rPr>
      <w:sz w:val="18"/>
      <w:szCs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4"/>
    <w:qFormat/>
    <w:uiPriority w:val="11"/>
    <w:pPr>
      <w:spacing w:before="200" w:after="200"/>
    </w:pPr>
    <w:rPr>
      <w:sz w:val="24"/>
      <w:szCs w:val="24"/>
    </w:rPr>
  </w:style>
  <w:style w:type="paragraph" w:styleId="25">
    <w:name w:val="footnote text"/>
    <w:basedOn w:val="1"/>
    <w:link w:val="187"/>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spacing w:before="100" w:beforeAutospacing="1" w:after="100" w:afterAutospacing="1"/>
    </w:pPr>
    <w:rPr>
      <w:rFonts w:ascii="宋体" w:hAnsi="宋体"/>
      <w:sz w:val="24"/>
      <w:szCs w:val="24"/>
    </w:rPr>
  </w:style>
  <w:style w:type="paragraph" w:styleId="31">
    <w:name w:val="Title"/>
    <w:basedOn w:val="1"/>
    <w:next w:val="1"/>
    <w:link w:val="53"/>
    <w:qFormat/>
    <w:uiPriority w:val="10"/>
    <w:pPr>
      <w:spacing w:before="300" w:after="200"/>
      <w:contextualSpacing/>
    </w:pPr>
    <w:rPr>
      <w:sz w:val="48"/>
      <w:szCs w:val="48"/>
    </w:rPr>
  </w:style>
  <w:style w:type="paragraph" w:styleId="32">
    <w:name w:val="Body Text First Indent 2"/>
    <w:basedOn w:val="16"/>
    <w:qFormat/>
    <w:uiPriority w:val="0"/>
    <w:pPr>
      <w:spacing w:line="360" w:lineRule="auto"/>
      <w:ind w:firstLine="420"/>
    </w:pPr>
    <w:rPr>
      <w:rFonts w:ascii="宋体" w:hAnsi="宋体" w:eastAsia="宋体"/>
      <w:sz w:val="21"/>
      <w:szCs w:val="20"/>
    </w:rPr>
  </w:style>
  <w:style w:type="table" w:styleId="34">
    <w:name w:val="Table Grid"/>
    <w:basedOn w:val="3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basedOn w:val="35"/>
    <w:semiHidden/>
    <w:unhideWhenUsed/>
    <w:qFormat/>
    <w:uiPriority w:val="99"/>
    <w:rPr>
      <w:vertAlign w:val="superscript"/>
    </w:rPr>
  </w:style>
  <w:style w:type="character" w:styleId="38">
    <w:name w:val="page number"/>
    <w:basedOn w:val="35"/>
    <w:qFormat/>
    <w:uiPriority w:val="99"/>
    <w:rPr>
      <w:rFonts w:cs="Times New Roman"/>
    </w:rPr>
  </w:style>
  <w:style w:type="character" w:styleId="39">
    <w:name w:val="Hyperlink"/>
    <w:unhideWhenUsed/>
    <w:qFormat/>
    <w:uiPriority w:val="99"/>
    <w:rPr>
      <w:color w:val="0563C1" w:themeColor="hyperlink"/>
      <w:u w:val="single"/>
      <w14:textFill>
        <w14:solidFill>
          <w14:schemeClr w14:val="hlink"/>
        </w14:solidFill>
      </w14:textFill>
    </w:rPr>
  </w:style>
  <w:style w:type="character" w:styleId="40">
    <w:name w:val="footnote reference"/>
    <w:basedOn w:val="35"/>
    <w:unhideWhenUsed/>
    <w:qFormat/>
    <w:uiPriority w:val="99"/>
    <w:rPr>
      <w:vertAlign w:val="superscript"/>
    </w:rPr>
  </w:style>
  <w:style w:type="paragraph" w:customStyle="1" w:styleId="41">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42">
    <w:name w:val="Default"/>
    <w:basedOn w:val="1"/>
    <w:semiHidden/>
    <w:qFormat/>
    <w:uiPriority w:val="0"/>
    <w:pPr>
      <w:jc w:val="left"/>
    </w:pPr>
    <w:rPr>
      <w:rFonts w:ascii="宋体" w:hAnsi="Calibri" w:cs="宋体"/>
      <w:color w:val="000000"/>
      <w:sz w:val="24"/>
    </w:rPr>
  </w:style>
  <w:style w:type="character" w:customStyle="1" w:styleId="43">
    <w:name w:val="Heading 1 Char"/>
    <w:basedOn w:val="35"/>
    <w:qFormat/>
    <w:uiPriority w:val="9"/>
    <w:rPr>
      <w:rFonts w:ascii="Arial" w:hAnsi="Arial" w:eastAsia="Arial" w:cs="Arial"/>
      <w:sz w:val="40"/>
      <w:szCs w:val="40"/>
    </w:rPr>
  </w:style>
  <w:style w:type="character" w:customStyle="1" w:styleId="44">
    <w:name w:val="Heading 2 Char"/>
    <w:basedOn w:val="35"/>
    <w:qFormat/>
    <w:uiPriority w:val="9"/>
    <w:rPr>
      <w:rFonts w:ascii="Arial" w:hAnsi="Arial" w:eastAsia="Arial" w:cs="Arial"/>
      <w:sz w:val="34"/>
    </w:rPr>
  </w:style>
  <w:style w:type="character" w:customStyle="1" w:styleId="45">
    <w:name w:val="Heading 3 Char"/>
    <w:basedOn w:val="35"/>
    <w:qFormat/>
    <w:uiPriority w:val="9"/>
    <w:rPr>
      <w:rFonts w:ascii="Arial" w:hAnsi="Arial" w:eastAsia="Arial" w:cs="Arial"/>
      <w:sz w:val="30"/>
      <w:szCs w:val="30"/>
    </w:rPr>
  </w:style>
  <w:style w:type="character" w:customStyle="1" w:styleId="46">
    <w:name w:val="Heading 4 Char"/>
    <w:basedOn w:val="35"/>
    <w:qFormat/>
    <w:uiPriority w:val="9"/>
    <w:rPr>
      <w:rFonts w:ascii="Arial" w:hAnsi="Arial" w:eastAsia="Arial" w:cs="Arial"/>
      <w:b/>
      <w:bCs/>
      <w:sz w:val="26"/>
      <w:szCs w:val="26"/>
    </w:rPr>
  </w:style>
  <w:style w:type="character" w:customStyle="1" w:styleId="47">
    <w:name w:val="Heading 5 Char"/>
    <w:basedOn w:val="35"/>
    <w:link w:val="8"/>
    <w:qFormat/>
    <w:uiPriority w:val="9"/>
    <w:rPr>
      <w:rFonts w:ascii="Arial" w:hAnsi="Arial" w:eastAsia="Arial" w:cs="Arial"/>
      <w:b/>
      <w:bCs/>
      <w:sz w:val="24"/>
      <w:szCs w:val="24"/>
    </w:rPr>
  </w:style>
  <w:style w:type="character" w:customStyle="1" w:styleId="48">
    <w:name w:val="Heading 6 Char"/>
    <w:basedOn w:val="35"/>
    <w:link w:val="9"/>
    <w:qFormat/>
    <w:uiPriority w:val="9"/>
    <w:rPr>
      <w:rFonts w:ascii="Arial" w:hAnsi="Arial" w:eastAsia="Arial" w:cs="Arial"/>
      <w:b/>
      <w:bCs/>
      <w:sz w:val="22"/>
      <w:szCs w:val="22"/>
    </w:rPr>
  </w:style>
  <w:style w:type="character" w:customStyle="1" w:styleId="49">
    <w:name w:val="Heading 7 Char"/>
    <w:basedOn w:val="35"/>
    <w:link w:val="10"/>
    <w:qFormat/>
    <w:uiPriority w:val="9"/>
    <w:rPr>
      <w:rFonts w:ascii="Arial" w:hAnsi="Arial" w:eastAsia="Arial" w:cs="Arial"/>
      <w:b/>
      <w:bCs/>
      <w:i/>
      <w:iCs/>
      <w:sz w:val="22"/>
      <w:szCs w:val="22"/>
    </w:rPr>
  </w:style>
  <w:style w:type="character" w:customStyle="1" w:styleId="50">
    <w:name w:val="Heading 8 Char"/>
    <w:basedOn w:val="35"/>
    <w:link w:val="11"/>
    <w:qFormat/>
    <w:uiPriority w:val="9"/>
    <w:rPr>
      <w:rFonts w:ascii="Arial" w:hAnsi="Arial" w:eastAsia="Arial" w:cs="Arial"/>
      <w:i/>
      <w:iCs/>
      <w:sz w:val="22"/>
      <w:szCs w:val="22"/>
    </w:rPr>
  </w:style>
  <w:style w:type="character" w:customStyle="1" w:styleId="51">
    <w:name w:val="Heading 9 Char"/>
    <w:basedOn w:val="35"/>
    <w:link w:val="12"/>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5"/>
    <w:link w:val="31"/>
    <w:qFormat/>
    <w:uiPriority w:val="10"/>
    <w:rPr>
      <w:sz w:val="48"/>
      <w:szCs w:val="48"/>
    </w:rPr>
  </w:style>
  <w:style w:type="character" w:customStyle="1" w:styleId="54">
    <w:name w:val="Subtitle Char"/>
    <w:basedOn w:val="35"/>
    <w:link w:val="24"/>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5"/>
    <w:qFormat/>
    <w:uiPriority w:val="99"/>
  </w:style>
  <w:style w:type="character" w:customStyle="1" w:styleId="60">
    <w:name w:val="Footer Char"/>
    <w:basedOn w:val="35"/>
    <w:qFormat/>
    <w:uiPriority w:val="99"/>
  </w:style>
  <w:style w:type="character" w:customStyle="1" w:styleId="61">
    <w:name w:val="Caption Char"/>
    <w:qFormat/>
    <w:uiPriority w:val="99"/>
  </w:style>
  <w:style w:type="table" w:customStyle="1" w:styleId="62">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0">
    <w:name w:val="Grid Table 1 Light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1">
    <w:name w:val="Grid Table 1 Light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2">
    <w:name w:val="Grid Table 1 Light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3">
    <w:name w:val="Grid Table 1 Light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4">
    <w:name w:val="Grid Table 1 Light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5">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7">
    <w:name w:val="Grid Table 2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2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2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2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1">
    <w:name w:val="Grid Table 2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3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3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3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3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3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3"/>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1">
    <w:name w:val="Grid Table 4 - Accent 2"/>
    <w:basedOn w:val="33"/>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4 - Accent 3"/>
    <w:basedOn w:val="33"/>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4 - Accent 4"/>
    <w:basedOn w:val="33"/>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4 - Accent 5"/>
    <w:basedOn w:val="33"/>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4 - Accent 6"/>
    <w:basedOn w:val="33"/>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8">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9">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0">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1">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2">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3">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3"/>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3"/>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3"/>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9">
    <w:name w:val="Grid Table 6 Colorful - Accent 6"/>
    <w:basedOn w:val="33"/>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0">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3"/>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3"/>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3"/>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3"/>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3"/>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7 Colorful - Accent 6"/>
    <w:basedOn w:val="33"/>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7">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3"/>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9">
    <w:name w:val="List Table 1 Light - Accent 2"/>
    <w:basedOn w:val="33"/>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0">
    <w:name w:val="List Table 1 Light - Accent 3"/>
    <w:basedOn w:val="33"/>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1">
    <w:name w:val="List Table 1 Light - Accent 4"/>
    <w:basedOn w:val="33"/>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2">
    <w:name w:val="List Table 1 Light - Accent 5"/>
    <w:basedOn w:val="33"/>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3">
    <w:name w:val="List Table 1 Light - Accent 6"/>
    <w:basedOn w:val="33"/>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4">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3"/>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6">
    <w:name w:val="List Table 2 - Accent 2"/>
    <w:basedOn w:val="33"/>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7">
    <w:name w:val="List Table 2 - Accent 3"/>
    <w:basedOn w:val="33"/>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8">
    <w:name w:val="List Table 2 - Accent 4"/>
    <w:basedOn w:val="33"/>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9">
    <w:name w:val="List Table 2 - Accent 5"/>
    <w:basedOn w:val="33"/>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0">
    <w:name w:val="List Table 2 - Accent 6"/>
    <w:basedOn w:val="33"/>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1">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3"/>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3">
    <w:name w:val="List Table 3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4">
    <w:name w:val="List Table 3 - Accent 3"/>
    <w:basedOn w:val="33"/>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5">
    <w:name w:val="List Table 3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6">
    <w:name w:val="List Table 3 - Accent 5"/>
    <w:basedOn w:val="33"/>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7">
    <w:name w:val="List Table 3 - Accent 6"/>
    <w:basedOn w:val="33"/>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8">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3"/>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0">
    <w:name w:val="List Table 4 - Accent 2"/>
    <w:basedOn w:val="33"/>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1">
    <w:name w:val="List Table 4 - Accent 3"/>
    <w:basedOn w:val="33"/>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2">
    <w:name w:val="List Table 4 - Accent 4"/>
    <w:basedOn w:val="33"/>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3">
    <w:name w:val="List Table 4 - Accent 5"/>
    <w:basedOn w:val="33"/>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4">
    <w:name w:val="List Table 4 - Accent 6"/>
    <w:basedOn w:val="33"/>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5">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3"/>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7">
    <w:name w:val="List Table 5 Dark - Accent 2"/>
    <w:basedOn w:val="33"/>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8">
    <w:name w:val="List Table 5 Dark - Accent 3"/>
    <w:basedOn w:val="33"/>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9">
    <w:name w:val="List Table 5 Dark - Accent 4"/>
    <w:basedOn w:val="33"/>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0">
    <w:name w:val="List Table 5 Dark - Accent 5"/>
    <w:basedOn w:val="33"/>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1">
    <w:name w:val="List Table 5 Dark - Accent 6"/>
    <w:basedOn w:val="33"/>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2">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3"/>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4">
    <w:name w:val="List Table 6 Colorful - Accent 2"/>
    <w:basedOn w:val="33"/>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3"/>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3"/>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3"/>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3"/>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3"/>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7 Colorful - Accent 2"/>
    <w:basedOn w:val="33"/>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3"/>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3"/>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3"/>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3"/>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3"/>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8">
    <w:name w:val="Lined - Accent 2"/>
    <w:basedOn w:val="33"/>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9">
    <w:name w:val="Lined - Accent 3"/>
    <w:basedOn w:val="33"/>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0">
    <w:name w:val="Lined - Accent 4"/>
    <w:basedOn w:val="33"/>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1">
    <w:name w:val="Lined - Accent 5"/>
    <w:basedOn w:val="33"/>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2">
    <w:name w:val="Lined - Accent 6"/>
    <w:basedOn w:val="33"/>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3">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3"/>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Bordered &amp; Lined - Accent 2"/>
    <w:basedOn w:val="33"/>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Bordered &amp; Lined - Accent 3"/>
    <w:basedOn w:val="33"/>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Bordered &amp; Lined - Accent 4"/>
    <w:basedOn w:val="33"/>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Bordered &amp; Lined - Accent 5"/>
    <w:basedOn w:val="33"/>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Bordered &amp; Lined - Accent 6"/>
    <w:basedOn w:val="33"/>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2">
    <w:name w:val="Bordered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3">
    <w:name w:val="Bordered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4">
    <w:name w:val="Bordered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5">
    <w:name w:val="Bordered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6">
    <w:name w:val="Bordered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7">
    <w:name w:val="Footnote Text Char"/>
    <w:link w:val="25"/>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普通正文"/>
    <w:basedOn w:val="1"/>
    <w:qFormat/>
    <w:uiPriority w:val="0"/>
    <w:pPr>
      <w:spacing w:before="120" w:after="120" w:line="360" w:lineRule="auto"/>
      <w:ind w:firstLine="480"/>
    </w:pPr>
    <w:rPr>
      <w:rFonts w:ascii="Arial" w:hAnsi="Arial"/>
      <w:sz w:val="24"/>
      <w:szCs w:val="24"/>
    </w:rPr>
  </w:style>
  <w:style w:type="paragraph" w:customStyle="1" w:styleId="191">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192">
    <w:name w:val="纯文本1"/>
    <w:basedOn w:val="1"/>
    <w:qFormat/>
    <w:uiPriority w:val="0"/>
    <w:rPr>
      <w:rFonts w:ascii="宋体" w:hAnsi="Courier New"/>
    </w:rPr>
  </w:style>
  <w:style w:type="paragraph" w:customStyle="1" w:styleId="193">
    <w:name w:val="Char"/>
    <w:basedOn w:val="1"/>
    <w:qFormat/>
    <w:uiPriority w:val="0"/>
    <w:pPr>
      <w:tabs>
        <w:tab w:val="left" w:pos="360"/>
      </w:tabs>
      <w:ind w:firstLine="200"/>
    </w:pPr>
    <w:rPr>
      <w:sz w:val="28"/>
      <w:szCs w:val="30"/>
    </w:rPr>
  </w:style>
  <w:style w:type="paragraph" w:customStyle="1" w:styleId="194">
    <w:name w:val="普通(网站)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195">
    <w:name w:val="font11"/>
    <w:basedOn w:val="35"/>
    <w:qFormat/>
    <w:uiPriority w:val="99"/>
    <w:rPr>
      <w:rFonts w:ascii="方正小标宋简体" w:hAnsi="方正小标宋简体" w:eastAsia="方正小标宋简体" w:cs="方正小标宋简体"/>
      <w:color w:val="000000"/>
      <w:sz w:val="36"/>
      <w:szCs w:val="36"/>
      <w:u w:val="none"/>
    </w:rPr>
  </w:style>
  <w:style w:type="paragraph" w:styleId="196">
    <w:name w:val="List Paragraph"/>
    <w:basedOn w:val="1"/>
    <w:qFormat/>
    <w:uiPriority w:val="99"/>
    <w:pPr>
      <w:ind w:firstLine="420"/>
    </w:pPr>
    <w:rPr>
      <w:rFonts w:ascii="Times New Roman" w:hAnsi="Times New Roman"/>
      <w:szCs w:val="20"/>
    </w:rPr>
  </w:style>
  <w:style w:type="paragraph" w:customStyle="1" w:styleId="197">
    <w:name w:val="Table Paragraph"/>
    <w:basedOn w:val="1"/>
    <w:qFormat/>
    <w:uiPriority w:val="1"/>
    <w:rPr>
      <w:rFonts w:ascii="宋体" w:hAnsi="宋体" w:eastAsia="宋体" w:cs="宋体"/>
      <w:lang w:val="zh-CN" w:eastAsia="zh-CN" w:bidi="zh-CN"/>
    </w:rPr>
  </w:style>
  <w:style w:type="paragraph" w:customStyle="1" w:styleId="198">
    <w:name w:val="标题 11"/>
    <w:basedOn w:val="1"/>
    <w:next w:val="1"/>
    <w:qFormat/>
    <w:uiPriority w:val="0"/>
    <w:pPr>
      <w:keepNext/>
      <w:jc w:val="center"/>
      <w:outlineLvl w:val="0"/>
    </w:pPr>
    <w:rPr>
      <w:rFonts w:ascii="楷体_GB2312" w:eastAsia="楷体_GB2312"/>
      <w:sz w:val="28"/>
      <w:szCs w:val="28"/>
    </w:rPr>
  </w:style>
  <w:style w:type="paragraph" w:customStyle="1" w:styleId="199">
    <w:name w:val="正文首行缩进11"/>
    <w:unhideWhenUsed/>
    <w:qFormat/>
    <w:uiPriority w:val="99"/>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200">
    <w:name w:val="正文缩进1"/>
    <w:basedOn w:val="1"/>
    <w:next w:val="1"/>
    <w:qFormat/>
    <w:uiPriority w:val="0"/>
    <w:pPr>
      <w:ind w:firstLine="420"/>
    </w:pPr>
  </w:style>
  <w:style w:type="paragraph" w:customStyle="1" w:styleId="201">
    <w:name w:val="标题 31"/>
    <w:basedOn w:val="1"/>
    <w:next w:val="200"/>
    <w:qFormat/>
    <w:uiPriority w:val="0"/>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348</Words>
  <Characters>387</Characters>
  <TotalTime>3</TotalTime>
  <ScaleCrop>false</ScaleCrop>
  <LinksUpToDate>false</LinksUpToDate>
  <CharactersWithSpaces>439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2023-08-16T09:06:00Z</dcterms:created>
  <dc:creator>Administrator</dc:creator>
  <cp:lastModifiedBy>金刚大比武</cp:lastModifiedBy>
  <cp:lastPrinted>2026-10-20T02:43:00Z</cp:lastPrinted>
  <dcterms:modified xsi:type="dcterms:W3CDTF">2026-11-02T02:18:35Z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F5D70693EC014C47A4878D5AA0750109_13</vt:lpwstr>
  </property>
  <property fmtid="{D5CDD505-2E9C-101B-9397-08002B2CF9AE}" pid="4" name="KSOTemplateDocerSaveRecord">
    <vt:lpwstr>eyJoZGlkIjoiZDU0NmY0MTNjNGFlOTc4ZGNhZjBhZWQxMzE1NGRlNzYiLCJ1c2VySWQiOiI3NTc5ODA5OTgifQ==</vt:lpwstr>
  </property>
</Properties>
</file>