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393856">
      <w:pPr>
        <w:pBdr>
          <w:top w:val="none" w:color="000000" w:sz="0" w:space="0"/>
          <w:left w:val="none" w:color="000000" w:sz="0" w:space="0"/>
          <w:bottom w:val="none" w:color="000000" w:sz="0" w:space="0"/>
          <w:right w:val="none" w:color="000000" w:sz="0" w:space="0"/>
        </w:pBdr>
        <w:spacing w:line="113" w:lineRule="atLeast"/>
        <w:jc w:val="center"/>
        <w:rPr>
          <w:rFonts w:ascii="宋体" w:hAnsi="宋体" w:cs="宋体"/>
          <w:b/>
          <w:sz w:val="48"/>
        </w:rPr>
      </w:pPr>
    </w:p>
    <w:p w14:paraId="6A7A305E">
      <w:pPr>
        <w:pBdr>
          <w:top w:val="none" w:color="000000" w:sz="0" w:space="0"/>
          <w:left w:val="none" w:color="000000" w:sz="0" w:space="0"/>
          <w:bottom w:val="none" w:color="000000" w:sz="0" w:space="0"/>
          <w:right w:val="none" w:color="000000" w:sz="0" w:space="0"/>
        </w:pBdr>
        <w:spacing w:line="113" w:lineRule="atLeast"/>
        <w:jc w:val="center"/>
        <w:rPr>
          <w:rFonts w:ascii="宋体" w:hAnsi="宋体" w:cs="宋体"/>
          <w:b/>
          <w:sz w:val="48"/>
        </w:rPr>
      </w:pPr>
    </w:p>
    <w:p w14:paraId="1FAED132">
      <w:pPr>
        <w:pBdr>
          <w:top w:val="none" w:color="000000" w:sz="0" w:space="0"/>
          <w:left w:val="none" w:color="000000" w:sz="0" w:space="0"/>
          <w:bottom w:val="none" w:color="000000" w:sz="0" w:space="0"/>
          <w:right w:val="none" w:color="000000" w:sz="0" w:space="0"/>
        </w:pBdr>
        <w:spacing w:line="113" w:lineRule="atLeast"/>
        <w:jc w:val="center"/>
        <w:rPr>
          <w:rFonts w:hint="eastAsia" w:eastAsia="宋体"/>
          <w:lang w:eastAsia="zh-CN"/>
        </w:rPr>
      </w:pPr>
      <w:r>
        <w:rPr>
          <w:rFonts w:hint="eastAsia" w:ascii="宋体" w:hAnsi="宋体" w:cs="宋体"/>
          <w:b/>
          <w:sz w:val="48"/>
          <w:lang w:eastAsia="zh-CN"/>
        </w:rPr>
        <w:t>盐城市大丰人民医院光子嫩肤仪采购</w:t>
      </w:r>
    </w:p>
    <w:p w14:paraId="640AA948">
      <w:pPr>
        <w:pBdr>
          <w:top w:val="none" w:color="000000" w:sz="0" w:space="0"/>
          <w:left w:val="none" w:color="000000" w:sz="0" w:space="0"/>
          <w:bottom w:val="none" w:color="000000" w:sz="0" w:space="0"/>
          <w:right w:val="none" w:color="000000" w:sz="0" w:space="0"/>
        </w:pBdr>
        <w:spacing w:line="113" w:lineRule="atLeast"/>
      </w:pPr>
      <w:r>
        <w:rPr>
          <w:rFonts w:ascii="宋体" w:hAnsi="宋体" w:cs="宋体"/>
          <w:b/>
          <w:sz w:val="48"/>
        </w:rPr>
        <w:t> </w:t>
      </w:r>
    </w:p>
    <w:p w14:paraId="2E1A836E">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cs="宋体"/>
          <w:b/>
          <w:sz w:val="48"/>
        </w:rPr>
        <w:t> </w:t>
      </w:r>
    </w:p>
    <w:p w14:paraId="4742EA41">
      <w:pPr>
        <w:pBdr>
          <w:top w:val="none" w:color="000000" w:sz="0" w:space="0"/>
          <w:left w:val="none" w:color="000000" w:sz="0" w:space="0"/>
          <w:bottom w:val="none" w:color="000000" w:sz="0" w:space="0"/>
          <w:right w:val="none" w:color="000000" w:sz="0" w:space="0"/>
        </w:pBdr>
        <w:spacing w:line="85" w:lineRule="atLeast"/>
      </w:pPr>
      <w:r>
        <w:rPr>
          <w:rFonts w:ascii="宋体" w:hAnsi="宋体" w:cs="宋体"/>
          <w:sz w:val="72"/>
        </w:rPr>
        <w:t> </w:t>
      </w:r>
    </w:p>
    <w:p w14:paraId="62B4E4CF">
      <w:pPr>
        <w:pBdr>
          <w:top w:val="none" w:color="000000" w:sz="0" w:space="0"/>
          <w:left w:val="none" w:color="000000" w:sz="0" w:space="0"/>
          <w:bottom w:val="none" w:color="000000" w:sz="0" w:space="0"/>
          <w:right w:val="none" w:color="000000" w:sz="0" w:space="0"/>
        </w:pBdr>
        <w:spacing w:before="240" w:after="240"/>
      </w:pPr>
      <w:r>
        <w:rPr>
          <w:rFonts w:ascii="宋体" w:hAnsi="宋体" w:cs="宋体"/>
          <w:b/>
          <w:sz w:val="24"/>
        </w:rPr>
        <w:t> </w:t>
      </w:r>
    </w:p>
    <w:p w14:paraId="636AC5AF">
      <w:pPr>
        <w:pBdr>
          <w:top w:val="none" w:color="000000" w:sz="0" w:space="0"/>
          <w:left w:val="none" w:color="000000" w:sz="0" w:space="0"/>
          <w:bottom w:val="none" w:color="000000" w:sz="0" w:space="0"/>
          <w:right w:val="none" w:color="000000" w:sz="0" w:space="0"/>
        </w:pBdr>
        <w:spacing w:line="315" w:lineRule="atLeast"/>
        <w:ind w:firstLine="420"/>
      </w:pPr>
      <w:r>
        <w:rPr>
          <w:rFonts w:ascii="宋体" w:hAnsi="宋体" w:cs="宋体"/>
        </w:rPr>
        <w:t> </w:t>
      </w:r>
    </w:p>
    <w:p w14:paraId="4544E225">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cs="宋体"/>
          <w:b/>
          <w:sz w:val="84"/>
        </w:rPr>
        <w:t>招 标 文 件</w:t>
      </w:r>
    </w:p>
    <w:p w14:paraId="3FE3ED7C">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cs="宋体"/>
          <w:sz w:val="28"/>
        </w:rPr>
        <w:t> </w:t>
      </w:r>
    </w:p>
    <w:p w14:paraId="436EC02E">
      <w:pPr>
        <w:pBdr>
          <w:top w:val="none" w:color="000000" w:sz="0" w:space="0"/>
          <w:left w:val="none" w:color="000000" w:sz="0" w:space="0"/>
          <w:bottom w:val="none" w:color="000000" w:sz="0" w:space="0"/>
          <w:right w:val="none" w:color="000000" w:sz="0" w:space="0"/>
        </w:pBdr>
        <w:spacing w:line="85" w:lineRule="atLeast"/>
        <w:rPr>
          <w:rFonts w:ascii="宋体" w:hAnsi="宋体" w:cs="宋体"/>
          <w:b/>
          <w:sz w:val="32"/>
        </w:rPr>
      </w:pPr>
      <w:r>
        <w:rPr>
          <w:rFonts w:ascii="宋体" w:hAnsi="宋体" w:cs="宋体"/>
          <w:b/>
          <w:sz w:val="32"/>
        </w:rPr>
        <w:t> </w:t>
      </w:r>
    </w:p>
    <w:p w14:paraId="100219D9">
      <w:pPr>
        <w:pStyle w:val="41"/>
      </w:pPr>
    </w:p>
    <w:p w14:paraId="7A18A9DD">
      <w:pPr>
        <w:pBdr>
          <w:top w:val="none" w:color="000000" w:sz="0" w:space="0"/>
          <w:left w:val="none" w:color="000000" w:sz="0" w:space="0"/>
          <w:bottom w:val="none" w:color="000000" w:sz="0" w:space="0"/>
          <w:right w:val="none" w:color="000000" w:sz="0" w:space="0"/>
        </w:pBdr>
        <w:spacing w:line="85" w:lineRule="atLeast"/>
        <w:ind w:firstLine="643" w:firstLineChars="200"/>
        <w:jc w:val="both"/>
        <w:rPr>
          <w:rFonts w:hint="eastAsia" w:eastAsia="宋体"/>
          <w:lang w:eastAsia="zh-CN"/>
        </w:rPr>
      </w:pPr>
      <w:r>
        <w:rPr>
          <w:rFonts w:ascii="宋体" w:hAnsi="宋体" w:cs="宋体"/>
          <w:b/>
          <w:sz w:val="32"/>
        </w:rPr>
        <w:t>项目编号：JSZC-320904-JKGC-G2026-0004</w:t>
      </w:r>
    </w:p>
    <w:p w14:paraId="13162EDC">
      <w:pPr>
        <w:pBdr>
          <w:top w:val="none" w:color="000000" w:sz="0" w:space="0"/>
          <w:left w:val="none" w:color="000000" w:sz="0" w:space="0"/>
          <w:bottom w:val="none" w:color="000000" w:sz="0" w:space="0"/>
          <w:right w:val="none" w:color="000000" w:sz="0" w:space="0"/>
        </w:pBdr>
        <w:spacing w:line="85" w:lineRule="atLeast"/>
      </w:pPr>
      <w:r>
        <w:rPr>
          <w:rFonts w:ascii="宋体" w:hAnsi="宋体" w:cs="宋体"/>
          <w:sz w:val="28"/>
        </w:rPr>
        <w:t> </w:t>
      </w:r>
    </w:p>
    <w:p w14:paraId="5383D4E8">
      <w:pPr>
        <w:pBdr>
          <w:top w:val="none" w:color="000000" w:sz="0" w:space="0"/>
          <w:left w:val="none" w:color="000000" w:sz="0" w:space="0"/>
          <w:bottom w:val="none" w:color="000000" w:sz="0" w:space="0"/>
          <w:right w:val="none" w:color="000000" w:sz="0" w:space="0"/>
        </w:pBdr>
        <w:spacing w:line="85" w:lineRule="atLeast"/>
      </w:pPr>
      <w:r>
        <w:rPr>
          <w:rFonts w:ascii="宋体" w:hAnsi="宋体" w:cs="宋体"/>
          <w:sz w:val="28"/>
        </w:rPr>
        <w:t> </w:t>
      </w:r>
    </w:p>
    <w:p w14:paraId="57E1F3DD">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sz w:val="28"/>
        </w:rPr>
      </w:pPr>
    </w:p>
    <w:p w14:paraId="13C6DEE9">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sz w:val="28"/>
        </w:rPr>
      </w:pPr>
    </w:p>
    <w:p w14:paraId="7855C1AB">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sz w:val="28"/>
        </w:rPr>
      </w:pPr>
    </w:p>
    <w:p w14:paraId="7CC4088D">
      <w:pPr>
        <w:pBdr>
          <w:top w:val="none" w:color="000000" w:sz="0" w:space="0"/>
          <w:left w:val="none" w:color="000000" w:sz="0" w:space="0"/>
          <w:bottom w:val="none" w:color="000000" w:sz="0" w:space="0"/>
          <w:right w:val="none" w:color="000000" w:sz="0" w:space="0"/>
        </w:pBdr>
      </w:pPr>
    </w:p>
    <w:p w14:paraId="5717978E">
      <w:pPr>
        <w:pBdr>
          <w:top w:val="none" w:color="000000" w:sz="0" w:space="0"/>
          <w:left w:val="none" w:color="000000" w:sz="0" w:space="0"/>
          <w:bottom w:val="none" w:color="000000" w:sz="0" w:space="0"/>
          <w:right w:val="none" w:color="000000" w:sz="0" w:space="0"/>
        </w:pBdr>
        <w:spacing w:line="85" w:lineRule="atLeast"/>
      </w:pPr>
      <w:r>
        <w:rPr>
          <w:rFonts w:ascii="宋体" w:hAnsi="宋体" w:cs="宋体"/>
          <w:b/>
          <w:sz w:val="32"/>
        </w:rPr>
        <w:t> </w:t>
      </w:r>
    </w:p>
    <w:p w14:paraId="127752D3">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b/>
          <w:sz w:val="32"/>
          <w:u w:val="single"/>
          <w:lang w:eastAsia="zh-CN"/>
        </w:rPr>
      </w:pPr>
      <w:r>
        <w:rPr>
          <w:rFonts w:ascii="宋体" w:hAnsi="宋体" w:cs="宋体"/>
          <w:b/>
          <w:sz w:val="32"/>
        </w:rPr>
        <w:t>招标人：</w:t>
      </w:r>
      <w:r>
        <w:rPr>
          <w:rFonts w:hint="eastAsia" w:ascii="宋体" w:hAnsi="宋体" w:cs="宋体"/>
          <w:b/>
          <w:sz w:val="32"/>
          <w:u w:val="single"/>
          <w:lang w:eastAsia="zh-CN"/>
        </w:rPr>
        <w:t>盐城市大丰人民医院</w:t>
      </w:r>
    </w:p>
    <w:p w14:paraId="3B5CDD71">
      <w:pPr>
        <w:pStyle w:val="15"/>
        <w:rPr>
          <w:rFonts w:ascii="宋体" w:hAnsi="宋体" w:cs="宋体"/>
          <w:b/>
          <w:sz w:val="32"/>
          <w:u w:val="single"/>
        </w:rPr>
      </w:pPr>
    </w:p>
    <w:p w14:paraId="13769368">
      <w:pPr>
        <w:pStyle w:val="12"/>
      </w:pPr>
    </w:p>
    <w:p w14:paraId="0430379E">
      <w:pPr>
        <w:pBdr>
          <w:top w:val="none" w:color="000000" w:sz="0" w:space="0"/>
          <w:left w:val="none" w:color="000000" w:sz="0" w:space="0"/>
          <w:bottom w:val="none" w:color="000000" w:sz="0" w:space="0"/>
          <w:right w:val="none" w:color="000000" w:sz="0" w:space="0"/>
        </w:pBdr>
        <w:spacing w:line="85" w:lineRule="atLeast"/>
        <w:jc w:val="center"/>
        <w:rPr>
          <w:rFonts w:hint="eastAsia" w:eastAsia="宋体"/>
          <w:lang w:eastAsia="zh-CN"/>
        </w:rPr>
      </w:pPr>
      <w:r>
        <w:rPr>
          <w:rFonts w:ascii="宋体" w:hAnsi="宋体" w:cs="宋体"/>
          <w:b/>
          <w:sz w:val="32"/>
        </w:rPr>
        <w:t>招标代理机构：</w:t>
      </w:r>
      <w:r>
        <w:rPr>
          <w:rFonts w:hint="eastAsia" w:ascii="宋体" w:hAnsi="宋体" w:cs="宋体"/>
          <w:b/>
          <w:sz w:val="32"/>
          <w:u w:val="single"/>
          <w:lang w:eastAsia="zh-CN"/>
        </w:rPr>
        <w:t>盐城市建康工程项目管理有限公司</w:t>
      </w:r>
    </w:p>
    <w:p w14:paraId="479A3859">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b/>
          <w:bCs/>
          <w:sz w:val="32"/>
          <w:szCs w:val="32"/>
        </w:rPr>
      </w:pPr>
      <w:r>
        <w:rPr>
          <w:rFonts w:ascii="宋体" w:hAnsi="宋体" w:cs="宋体"/>
          <w:b/>
          <w:sz w:val="32"/>
        </w:rPr>
        <w:t>日  期：202</w:t>
      </w:r>
      <w:r>
        <w:rPr>
          <w:rFonts w:hint="eastAsia" w:ascii="宋体" w:hAnsi="宋体" w:cs="宋体"/>
          <w:b/>
          <w:sz w:val="32"/>
        </w:rPr>
        <w:t>6</w:t>
      </w:r>
      <w:r>
        <w:rPr>
          <w:rFonts w:ascii="宋体" w:hAnsi="宋体" w:cs="宋体"/>
          <w:b/>
          <w:sz w:val="32"/>
        </w:rPr>
        <w:t>年</w:t>
      </w:r>
      <w:r>
        <w:rPr>
          <w:rFonts w:hint="eastAsia" w:ascii="宋体" w:hAnsi="宋体" w:cs="宋体"/>
          <w:b/>
          <w:sz w:val="32"/>
          <w:lang w:val="en-US" w:eastAsia="zh-CN"/>
        </w:rPr>
        <w:t>9</w:t>
      </w:r>
      <w:r>
        <w:rPr>
          <w:rFonts w:ascii="宋体" w:hAnsi="宋体" w:cs="宋体"/>
          <w:b/>
          <w:sz w:val="32"/>
        </w:rPr>
        <w:t>月</w:t>
      </w:r>
    </w:p>
    <w:p w14:paraId="17A01741">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b/>
          <w:sz w:val="36"/>
        </w:rPr>
      </w:pPr>
    </w:p>
    <w:p w14:paraId="2D972605">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b/>
          <w:sz w:val="36"/>
        </w:rPr>
      </w:pPr>
    </w:p>
    <w:p w14:paraId="6E4673A1">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cs="宋体"/>
          <w:b/>
          <w:sz w:val="36"/>
        </w:rPr>
        <w:t>总目录</w:t>
      </w:r>
    </w:p>
    <w:p w14:paraId="3C61787E">
      <w:pPr>
        <w:numPr>
          <w:ilvl w:val="0"/>
          <w:numId w:val="5"/>
        </w:numPr>
        <w:pBdr>
          <w:top w:val="none" w:color="000000" w:sz="0" w:space="0"/>
          <w:left w:val="none" w:color="000000" w:sz="0" w:space="0"/>
          <w:bottom w:val="none" w:color="000000" w:sz="0" w:space="0"/>
          <w:right w:val="none" w:color="000000" w:sz="0" w:space="0"/>
        </w:pBdr>
        <w:spacing w:line="360" w:lineRule="auto"/>
      </w:pPr>
      <w:r>
        <w:rPr>
          <w:rFonts w:ascii="宋体" w:hAnsi="宋体" w:cs="宋体"/>
          <w:b/>
          <w:sz w:val="32"/>
        </w:rPr>
        <w:t>招标公告……………………………………………</w:t>
      </w:r>
      <w:r>
        <w:rPr>
          <w:rFonts w:hint="eastAsia" w:ascii="宋体" w:hAnsi="宋体" w:cs="宋体"/>
          <w:b/>
          <w:sz w:val="32"/>
          <w:lang w:val="en-US" w:eastAsia="zh-CN"/>
        </w:rPr>
        <w:t>5</w:t>
      </w:r>
    </w:p>
    <w:p w14:paraId="039096FE">
      <w:pPr>
        <w:numPr>
          <w:ilvl w:val="0"/>
          <w:numId w:val="5"/>
        </w:numPr>
        <w:pBdr>
          <w:top w:val="none" w:color="000000" w:sz="0" w:space="0"/>
          <w:left w:val="none" w:color="000000" w:sz="0" w:space="0"/>
          <w:bottom w:val="none" w:color="000000" w:sz="0" w:space="0"/>
          <w:right w:val="none" w:color="000000" w:sz="0" w:space="0"/>
        </w:pBdr>
        <w:spacing w:line="360" w:lineRule="auto"/>
      </w:pPr>
      <w:r>
        <w:rPr>
          <w:rFonts w:ascii="宋体" w:hAnsi="宋体" w:cs="宋体"/>
          <w:b/>
          <w:sz w:val="32"/>
        </w:rPr>
        <w:t>投标人须知………………………………………</w:t>
      </w:r>
      <w:r>
        <w:rPr>
          <w:rFonts w:hint="eastAsia" w:ascii="宋体" w:hAnsi="宋体" w:cs="宋体"/>
          <w:b/>
          <w:sz w:val="32"/>
          <w:lang w:val="en-US" w:eastAsia="zh-CN"/>
        </w:rPr>
        <w:t>18</w:t>
      </w:r>
      <w:r>
        <w:rPr>
          <w:rFonts w:ascii="宋体" w:hAnsi="宋体" w:cs="宋体"/>
          <w:b/>
          <w:sz w:val="32"/>
        </w:rPr>
        <w:t> </w:t>
      </w:r>
    </w:p>
    <w:p w14:paraId="2FB93E9F">
      <w:pPr>
        <w:numPr>
          <w:ilvl w:val="0"/>
          <w:numId w:val="5"/>
        </w:numPr>
        <w:pBdr>
          <w:top w:val="none" w:color="000000" w:sz="0" w:space="0"/>
          <w:left w:val="none" w:color="000000" w:sz="0" w:space="0"/>
          <w:bottom w:val="none" w:color="000000" w:sz="0" w:space="0"/>
          <w:right w:val="none" w:color="000000" w:sz="0" w:space="0"/>
        </w:pBdr>
        <w:spacing w:line="360" w:lineRule="auto"/>
      </w:pPr>
      <w:r>
        <w:rPr>
          <w:rFonts w:ascii="宋体" w:hAnsi="宋体" w:cs="宋体"/>
          <w:b/>
          <w:sz w:val="32"/>
        </w:rPr>
        <w:t>合同条款及格式……………………………………</w:t>
      </w:r>
      <w:r>
        <w:rPr>
          <w:rFonts w:hint="eastAsia" w:ascii="宋体" w:hAnsi="宋体" w:cs="宋体"/>
          <w:b/>
          <w:sz w:val="32"/>
          <w:lang w:val="en-US" w:eastAsia="zh-CN"/>
        </w:rPr>
        <w:t>23</w:t>
      </w:r>
    </w:p>
    <w:p w14:paraId="63D775C9">
      <w:pPr>
        <w:numPr>
          <w:ilvl w:val="0"/>
          <w:numId w:val="5"/>
        </w:numPr>
        <w:pBdr>
          <w:top w:val="none" w:color="000000" w:sz="0" w:space="0"/>
          <w:left w:val="none" w:color="000000" w:sz="0" w:space="0"/>
          <w:bottom w:val="none" w:color="000000" w:sz="0" w:space="0"/>
          <w:right w:val="none" w:color="000000" w:sz="0" w:space="0"/>
        </w:pBdr>
        <w:spacing w:line="360" w:lineRule="auto"/>
      </w:pPr>
      <w:r>
        <w:rPr>
          <w:rFonts w:ascii="宋体" w:hAnsi="宋体" w:cs="宋体"/>
          <w:b/>
          <w:sz w:val="32"/>
        </w:rPr>
        <w:t>采购需求……………………………………………</w:t>
      </w:r>
      <w:r>
        <w:rPr>
          <w:rFonts w:hint="eastAsia" w:ascii="宋体" w:hAnsi="宋体" w:cs="宋体"/>
          <w:b/>
          <w:sz w:val="32"/>
          <w:lang w:val="en-US" w:eastAsia="zh-CN"/>
        </w:rPr>
        <w:t>25</w:t>
      </w:r>
    </w:p>
    <w:p w14:paraId="0E8911A4">
      <w:pPr>
        <w:numPr>
          <w:ilvl w:val="0"/>
          <w:numId w:val="5"/>
        </w:numPr>
        <w:pBdr>
          <w:top w:val="none" w:color="000000" w:sz="0" w:space="0"/>
          <w:left w:val="none" w:color="000000" w:sz="0" w:space="0"/>
          <w:bottom w:val="none" w:color="000000" w:sz="0" w:space="0"/>
          <w:right w:val="none" w:color="000000" w:sz="0" w:space="0"/>
        </w:pBdr>
        <w:spacing w:line="360" w:lineRule="auto"/>
      </w:pPr>
      <w:r>
        <w:rPr>
          <w:rFonts w:ascii="宋体" w:hAnsi="宋体" w:cs="宋体"/>
          <w:b/>
          <w:sz w:val="32"/>
        </w:rPr>
        <w:t>定标原则与评标标准………………………………30</w:t>
      </w:r>
    </w:p>
    <w:p w14:paraId="5C83EF56">
      <w:pPr>
        <w:numPr>
          <w:ilvl w:val="0"/>
          <w:numId w:val="5"/>
        </w:numPr>
        <w:pBdr>
          <w:top w:val="none" w:color="000000" w:sz="0" w:space="0"/>
          <w:left w:val="none" w:color="000000" w:sz="0" w:space="0"/>
          <w:bottom w:val="none" w:color="000000" w:sz="0" w:space="0"/>
          <w:right w:val="none" w:color="000000" w:sz="0" w:space="0"/>
        </w:pBdr>
        <w:spacing w:line="360" w:lineRule="auto"/>
      </w:pPr>
      <w:r>
        <w:rPr>
          <w:rFonts w:ascii="宋体" w:hAnsi="宋体" w:cs="宋体"/>
          <w:b/>
          <w:sz w:val="32"/>
        </w:rPr>
        <w:t>投标文件格式………………………………………</w:t>
      </w:r>
      <w:r>
        <w:rPr>
          <w:rFonts w:hint="eastAsia" w:ascii="宋体" w:hAnsi="宋体" w:cs="宋体"/>
          <w:b/>
          <w:sz w:val="32"/>
          <w:lang w:val="en-US" w:eastAsia="zh-CN"/>
        </w:rPr>
        <w:t>43</w:t>
      </w:r>
    </w:p>
    <w:p w14:paraId="4AEE8073">
      <w:pPr>
        <w:pStyle w:val="2"/>
        <w:pBdr>
          <w:top w:val="none" w:color="000000" w:sz="0" w:space="0"/>
          <w:left w:val="none" w:color="000000" w:sz="0" w:space="0"/>
          <w:bottom w:val="none" w:color="000000" w:sz="0" w:space="0"/>
          <w:right w:val="none" w:color="000000" w:sz="0" w:space="0"/>
        </w:pBdr>
        <w:spacing w:before="0" w:after="0"/>
        <w:jc w:val="center"/>
      </w:pPr>
      <w:r>
        <w:rPr>
          <w:rFonts w:ascii="黑体" w:hAnsi="黑体" w:eastAsia="黑体" w:cs="黑体"/>
          <w:b/>
          <w:sz w:val="44"/>
        </w:rPr>
        <w:t> </w:t>
      </w:r>
    </w:p>
    <w:p w14:paraId="776A1B98">
      <w:pPr>
        <w:pStyle w:val="2"/>
        <w:pBdr>
          <w:top w:val="none" w:color="000000" w:sz="0" w:space="0"/>
          <w:left w:val="none" w:color="000000" w:sz="0" w:space="0"/>
          <w:bottom w:val="none" w:color="000000" w:sz="0" w:space="0"/>
          <w:right w:val="none" w:color="000000" w:sz="0" w:space="0"/>
        </w:pBdr>
        <w:spacing w:before="0" w:after="0"/>
        <w:jc w:val="center"/>
      </w:pPr>
      <w:r>
        <w:rPr>
          <w:rFonts w:ascii="黑体" w:hAnsi="黑体" w:eastAsia="黑体" w:cs="黑体"/>
          <w:b/>
          <w:sz w:val="44"/>
        </w:rPr>
        <w:t> </w:t>
      </w:r>
    </w:p>
    <w:p w14:paraId="20CC2CA4">
      <w:pPr>
        <w:pBdr>
          <w:top w:val="none" w:color="000000" w:sz="0" w:space="0"/>
          <w:left w:val="none" w:color="000000" w:sz="0" w:space="0"/>
          <w:bottom w:val="none" w:color="000000" w:sz="0" w:space="0"/>
          <w:right w:val="none" w:color="000000" w:sz="0" w:space="0"/>
        </w:pBdr>
      </w:pPr>
      <w:r>
        <w:rPr>
          <w:rFonts w:ascii="宋体" w:hAnsi="宋体" w:cs="宋体"/>
        </w:rPr>
        <w:t> </w:t>
      </w:r>
    </w:p>
    <w:p w14:paraId="18FEA865">
      <w:pPr>
        <w:pBdr>
          <w:top w:val="none" w:color="000000" w:sz="0" w:space="0"/>
          <w:left w:val="none" w:color="000000" w:sz="0" w:space="0"/>
          <w:bottom w:val="none" w:color="000000" w:sz="0" w:space="0"/>
          <w:right w:val="none" w:color="000000" w:sz="0" w:space="0"/>
        </w:pBdr>
      </w:pPr>
      <w:r>
        <w:rPr>
          <w:rFonts w:ascii="宋体" w:hAnsi="宋体" w:cs="宋体"/>
        </w:rPr>
        <w:t> </w:t>
      </w:r>
    </w:p>
    <w:p w14:paraId="4D1DD166">
      <w:pPr>
        <w:pBdr>
          <w:top w:val="none" w:color="000000" w:sz="0" w:space="0"/>
          <w:left w:val="none" w:color="000000" w:sz="0" w:space="0"/>
          <w:bottom w:val="none" w:color="000000" w:sz="0" w:space="0"/>
          <w:right w:val="none" w:color="000000" w:sz="0" w:space="0"/>
        </w:pBdr>
      </w:pPr>
      <w:r>
        <w:rPr>
          <w:rFonts w:ascii="宋体" w:hAnsi="宋体" w:cs="宋体"/>
        </w:rPr>
        <w:t> </w:t>
      </w:r>
    </w:p>
    <w:p w14:paraId="5ADD2919">
      <w:pPr>
        <w:pBdr>
          <w:top w:val="none" w:color="000000" w:sz="0" w:space="0"/>
          <w:left w:val="none" w:color="000000" w:sz="0" w:space="0"/>
          <w:bottom w:val="none" w:color="000000" w:sz="0" w:space="0"/>
          <w:right w:val="none" w:color="000000" w:sz="0" w:space="0"/>
        </w:pBdr>
      </w:pPr>
      <w:r>
        <w:rPr>
          <w:rFonts w:ascii="宋体" w:hAnsi="宋体" w:cs="宋体"/>
        </w:rPr>
        <w:t> </w:t>
      </w:r>
    </w:p>
    <w:p w14:paraId="2785BD31">
      <w:pPr>
        <w:pBdr>
          <w:top w:val="none" w:color="000000" w:sz="0" w:space="0"/>
          <w:left w:val="none" w:color="000000" w:sz="0" w:space="0"/>
          <w:bottom w:val="none" w:color="000000" w:sz="0" w:space="0"/>
          <w:right w:val="none" w:color="000000" w:sz="0" w:space="0"/>
        </w:pBdr>
      </w:pPr>
      <w:r>
        <w:rPr>
          <w:rFonts w:ascii="宋体" w:hAnsi="宋体" w:cs="宋体"/>
        </w:rPr>
        <w:t> </w:t>
      </w:r>
    </w:p>
    <w:p w14:paraId="60EADA9A">
      <w:pPr>
        <w:pBdr>
          <w:top w:val="none" w:color="000000" w:sz="0" w:space="0"/>
          <w:left w:val="none" w:color="000000" w:sz="0" w:space="0"/>
          <w:bottom w:val="none" w:color="000000" w:sz="0" w:space="0"/>
          <w:right w:val="none" w:color="000000" w:sz="0" w:space="0"/>
        </w:pBdr>
      </w:pPr>
      <w:r>
        <w:rPr>
          <w:rFonts w:ascii="宋体" w:hAnsi="宋体" w:cs="宋体"/>
        </w:rPr>
        <w:t> </w:t>
      </w:r>
    </w:p>
    <w:p w14:paraId="6A32446E">
      <w:pPr>
        <w:pBdr>
          <w:top w:val="none" w:color="000000" w:sz="0" w:space="0"/>
          <w:left w:val="none" w:color="000000" w:sz="0" w:space="0"/>
          <w:bottom w:val="none" w:color="000000" w:sz="0" w:space="0"/>
          <w:right w:val="none" w:color="000000" w:sz="0" w:space="0"/>
        </w:pBdr>
      </w:pPr>
      <w:r>
        <w:rPr>
          <w:rFonts w:ascii="宋体" w:hAnsi="宋体" w:cs="宋体"/>
        </w:rPr>
        <w:t> </w:t>
      </w:r>
    </w:p>
    <w:p w14:paraId="68F5205E">
      <w:pPr>
        <w:pBdr>
          <w:top w:val="none" w:color="000000" w:sz="0" w:space="0"/>
          <w:left w:val="none" w:color="000000" w:sz="0" w:space="0"/>
          <w:bottom w:val="none" w:color="000000" w:sz="0" w:space="0"/>
          <w:right w:val="none" w:color="000000" w:sz="0" w:space="0"/>
        </w:pBdr>
      </w:pPr>
      <w:r>
        <w:rPr>
          <w:rFonts w:ascii="宋体" w:hAnsi="宋体" w:cs="宋体"/>
        </w:rPr>
        <w:t> </w:t>
      </w:r>
    </w:p>
    <w:p w14:paraId="2079758E">
      <w:pPr>
        <w:pBdr>
          <w:top w:val="none" w:color="000000" w:sz="0" w:space="0"/>
          <w:left w:val="none" w:color="000000" w:sz="0" w:space="0"/>
          <w:bottom w:val="none" w:color="000000" w:sz="0" w:space="0"/>
          <w:right w:val="none" w:color="000000" w:sz="0" w:space="0"/>
        </w:pBdr>
      </w:pPr>
      <w:r>
        <w:rPr>
          <w:rFonts w:ascii="宋体" w:hAnsi="宋体" w:cs="宋体"/>
        </w:rPr>
        <w:t> </w:t>
      </w:r>
    </w:p>
    <w:p w14:paraId="79DCEEEC">
      <w:pPr>
        <w:pBdr>
          <w:top w:val="none" w:color="000000" w:sz="0" w:space="0"/>
          <w:left w:val="none" w:color="000000" w:sz="0" w:space="0"/>
          <w:bottom w:val="none" w:color="000000" w:sz="0" w:space="0"/>
          <w:right w:val="none" w:color="000000" w:sz="0" w:space="0"/>
        </w:pBdr>
      </w:pPr>
      <w:r>
        <w:rPr>
          <w:rFonts w:ascii="宋体" w:hAnsi="宋体" w:cs="宋体"/>
        </w:rPr>
        <w:t> </w:t>
      </w:r>
    </w:p>
    <w:p w14:paraId="12675E59">
      <w:pPr>
        <w:pBdr>
          <w:top w:val="none" w:color="000000" w:sz="0" w:space="0"/>
          <w:left w:val="none" w:color="000000" w:sz="0" w:space="0"/>
          <w:bottom w:val="none" w:color="000000" w:sz="0" w:space="0"/>
          <w:right w:val="none" w:color="000000" w:sz="0" w:space="0"/>
        </w:pBdr>
      </w:pPr>
      <w:r>
        <w:rPr>
          <w:rFonts w:ascii="宋体" w:hAnsi="宋体" w:cs="宋体"/>
        </w:rPr>
        <w:t> </w:t>
      </w:r>
    </w:p>
    <w:p w14:paraId="353D763A">
      <w:pPr>
        <w:pBdr>
          <w:top w:val="none" w:color="000000" w:sz="0" w:space="0"/>
          <w:left w:val="none" w:color="000000" w:sz="0" w:space="0"/>
          <w:bottom w:val="none" w:color="000000" w:sz="0" w:space="0"/>
          <w:right w:val="none" w:color="000000" w:sz="0" w:space="0"/>
        </w:pBdr>
      </w:pPr>
      <w:r>
        <w:rPr>
          <w:rFonts w:ascii="宋体" w:hAnsi="宋体" w:cs="宋体"/>
        </w:rPr>
        <w:t> </w:t>
      </w:r>
    </w:p>
    <w:p w14:paraId="55F2F88F">
      <w:pPr>
        <w:pBdr>
          <w:top w:val="none" w:color="000000" w:sz="0" w:space="0"/>
          <w:left w:val="none" w:color="000000" w:sz="0" w:space="0"/>
          <w:bottom w:val="none" w:color="000000" w:sz="0" w:space="0"/>
          <w:right w:val="none" w:color="000000" w:sz="0" w:space="0"/>
        </w:pBdr>
      </w:pPr>
      <w:r>
        <w:rPr>
          <w:rFonts w:ascii="宋体" w:hAnsi="宋体" w:cs="宋体"/>
        </w:rPr>
        <w:t> </w:t>
      </w:r>
    </w:p>
    <w:p w14:paraId="409FE0CF">
      <w:pPr>
        <w:pBdr>
          <w:top w:val="none" w:color="000000" w:sz="0" w:space="0"/>
          <w:left w:val="none" w:color="000000" w:sz="0" w:space="0"/>
          <w:bottom w:val="none" w:color="000000" w:sz="0" w:space="0"/>
          <w:right w:val="none" w:color="000000" w:sz="0" w:space="0"/>
        </w:pBdr>
      </w:pPr>
      <w:r>
        <w:rPr>
          <w:rFonts w:ascii="宋体" w:hAnsi="宋体" w:cs="宋体"/>
        </w:rPr>
        <w:t> </w:t>
      </w:r>
    </w:p>
    <w:p w14:paraId="7140F559">
      <w:pPr>
        <w:pBdr>
          <w:top w:val="none" w:color="000000" w:sz="0" w:space="0"/>
          <w:left w:val="none" w:color="000000" w:sz="0" w:space="0"/>
          <w:bottom w:val="none" w:color="000000" w:sz="0" w:space="0"/>
          <w:right w:val="none" w:color="000000" w:sz="0" w:space="0"/>
        </w:pBdr>
      </w:pPr>
      <w:r>
        <w:rPr/>
        <w:br w:type="page" w:clear="all"/>
      </w:r>
    </w:p>
    <w:p w14:paraId="13633F91">
      <w:pPr>
        <w:pBdr>
          <w:top w:val="none" w:color="000000" w:sz="0" w:space="0"/>
          <w:left w:val="none" w:color="000000" w:sz="0" w:space="0"/>
          <w:bottom w:val="none" w:color="000000" w:sz="0" w:space="0"/>
          <w:right w:val="none" w:color="000000" w:sz="0" w:space="0"/>
        </w:pBdr>
        <w:spacing w:line="360" w:lineRule="auto"/>
        <w:jc w:val="center"/>
        <w:rPr>
          <w:rFonts w:hint="eastAsia" w:eastAsia="宋体"/>
          <w:lang w:eastAsia="zh-CN"/>
        </w:rPr>
      </w:pPr>
      <w:r>
        <w:rPr>
          <w:rFonts w:ascii="宋体" w:hAnsi="宋体" w:cs="宋体"/>
          <w:b/>
          <w:sz w:val="40"/>
        </w:rPr>
        <w:t>第一章  招标公告 </w:t>
      </w:r>
      <w:r>
        <w:rPr>
          <w:rFonts w:hint="eastAsia" w:ascii="宋体" w:hAnsi="宋体" w:cs="宋体"/>
          <w:b/>
          <w:sz w:val="40"/>
          <w:lang w:eastAsia="zh-CN"/>
        </w:rPr>
        <w:t>（</w:t>
      </w:r>
      <w:r>
        <w:rPr>
          <w:rFonts w:hint="eastAsia" w:ascii="宋体" w:hAnsi="宋体" w:cs="宋体"/>
          <w:b/>
          <w:sz w:val="40"/>
          <w:lang w:val="en-US" w:eastAsia="zh-CN"/>
        </w:rPr>
        <w:t>三次</w:t>
      </w:r>
      <w:r>
        <w:rPr>
          <w:rFonts w:hint="eastAsia" w:ascii="宋体" w:hAnsi="宋体" w:cs="宋体"/>
          <w:b/>
          <w:sz w:val="40"/>
          <w:lang w:eastAsia="zh-CN"/>
        </w:rPr>
        <w:t>）</w:t>
      </w:r>
    </w:p>
    <w:tbl>
      <w:tblPr>
        <w:tblStyle w:val="3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9354"/>
      </w:tblGrid>
      <w:tr w14:paraId="7F6CC6D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423" w:hRule="atLeast"/>
        </w:trPr>
        <w:tc>
          <w:tcPr>
            <w:tcW w:w="9354" w:type="dxa"/>
            <w:tcBorders>
              <w:top w:val="single" w:color="999999" w:sz="8" w:space="0"/>
              <w:left w:val="single" w:color="999999" w:sz="8" w:space="0"/>
              <w:bottom w:val="single" w:color="000000" w:sz="8" w:space="0"/>
              <w:right w:val="single" w:color="000000" w:sz="8" w:space="0"/>
            </w:tcBorders>
            <w:noWrap/>
            <w:tcMar>
              <w:top w:w="0" w:type="dxa"/>
              <w:left w:w="24" w:type="dxa"/>
              <w:bottom w:w="0" w:type="dxa"/>
              <w:right w:w="24" w:type="dxa"/>
            </w:tcMar>
            <w:vAlign w:val="center"/>
          </w:tcPr>
          <w:p w14:paraId="407C83DB">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项目概况</w:t>
            </w:r>
          </w:p>
          <w:p w14:paraId="4A42C077">
            <w:pPr>
              <w:pBdr>
                <w:top w:val="none" w:color="000000" w:sz="0" w:space="0"/>
                <w:left w:val="none" w:color="000000" w:sz="0" w:space="0"/>
                <w:bottom w:val="none" w:color="000000" w:sz="0" w:space="0"/>
                <w:right w:val="none" w:color="000000" w:sz="0" w:space="0"/>
              </w:pBdr>
              <w:spacing w:line="360" w:lineRule="auto"/>
              <w:ind w:firstLine="420"/>
            </w:pPr>
            <w:r>
              <w:rPr>
                <w:rFonts w:hint="eastAsia"/>
                <w:lang w:eastAsia="zh-CN"/>
              </w:rPr>
              <w:t>盐城市大丰人民医院光子嫩肤仪采购JSZC-320904-JKGC-G2026-0004</w:t>
            </w:r>
            <w:r>
              <w:t>招标项目的潜在投标</w:t>
            </w:r>
            <w:r>
              <w:rPr>
                <w:rFonts w:hint="eastAsia"/>
              </w:rPr>
              <w:t>人应在“苏采云”系统内免费下载(投标人必须在苏采云系统中获取采购文件，方能参与政府采购项目)获取招标文件，并于</w:t>
            </w:r>
            <w:r>
              <w:rPr>
                <w:rFonts w:hint="eastAsia"/>
                <w:lang w:eastAsia="zh-CN"/>
              </w:rPr>
              <w:t>2026</w:t>
            </w:r>
            <w:r>
              <w:rPr>
                <w:rFonts w:hint="eastAsia"/>
              </w:rPr>
              <w:t>年</w:t>
            </w:r>
            <w:r>
              <w:rPr>
                <w:rFonts w:hint="eastAsia"/>
                <w:lang w:val="en-US" w:eastAsia="zh-CN"/>
              </w:rPr>
              <w:t>10</w:t>
            </w:r>
            <w:r>
              <w:rPr>
                <w:rFonts w:hint="eastAsia"/>
              </w:rPr>
              <w:t>月</w:t>
            </w:r>
            <w:r>
              <w:rPr>
                <w:rFonts w:hint="eastAsia"/>
                <w:lang w:val="en-US" w:eastAsia="zh-CN"/>
              </w:rPr>
              <w:t>28</w:t>
            </w:r>
            <w:r>
              <w:rPr>
                <w:rFonts w:hint="eastAsia"/>
              </w:rPr>
              <w:t>日</w:t>
            </w:r>
            <w:r>
              <w:rPr>
                <w:rFonts w:hint="eastAsia"/>
                <w:lang w:val="en-US" w:eastAsia="zh-CN"/>
              </w:rPr>
              <w:t>10</w:t>
            </w:r>
            <w:r>
              <w:rPr>
                <w:rFonts w:hint="eastAsia"/>
              </w:rPr>
              <w:t>点00分(北京时间)前递交投标文件。</w:t>
            </w:r>
          </w:p>
        </w:tc>
      </w:tr>
    </w:tbl>
    <w:p w14:paraId="5B250D70">
      <w:pPr>
        <w:pStyle w:val="4"/>
        <w:pBdr>
          <w:top w:val="none" w:color="000000" w:sz="0" w:space="0"/>
          <w:left w:val="none" w:color="000000" w:sz="0" w:space="0"/>
          <w:bottom w:val="none" w:color="000000" w:sz="0" w:space="0"/>
          <w:right w:val="none" w:color="000000" w:sz="0" w:space="0"/>
        </w:pBdr>
        <w:spacing w:before="145" w:after="145" w:line="360" w:lineRule="auto"/>
        <w:ind w:firstLine="422"/>
      </w:pPr>
      <w:r>
        <w:rPr>
          <w:rFonts w:ascii="宋体" w:hAnsi="宋体" w:eastAsia="宋体" w:cs="宋体"/>
          <w:b/>
          <w:sz w:val="21"/>
        </w:rPr>
        <w:t>一、项目基本情况</w:t>
      </w:r>
    </w:p>
    <w:p w14:paraId="662778E6">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rPr>
      </w:pPr>
      <w:r>
        <w:rPr>
          <w:rFonts w:ascii="宋体" w:hAnsi="宋体" w:cs="宋体"/>
        </w:rPr>
        <w:t>项目编号：JSZC-320904-JKGC-G2026-0004</w:t>
      </w:r>
    </w:p>
    <w:p w14:paraId="5678B609">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项目名称：</w:t>
      </w:r>
      <w:r>
        <w:rPr>
          <w:rFonts w:hint="eastAsia" w:ascii="宋体" w:hAnsi="宋体" w:cs="宋体"/>
          <w:lang w:eastAsia="zh-CN"/>
        </w:rPr>
        <w:t>盐城市大丰人民医院光子嫩肤仪采购</w:t>
      </w:r>
      <w:r>
        <w:rPr>
          <w:rFonts w:ascii="宋体" w:hAnsi="宋体" w:cs="宋体"/>
        </w:rPr>
        <w:t> </w:t>
      </w:r>
    </w:p>
    <w:p w14:paraId="0940A4AC">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rPr>
      </w:pPr>
      <w:r>
        <w:rPr>
          <w:rFonts w:ascii="宋体" w:hAnsi="宋体" w:cs="宋体"/>
        </w:rPr>
        <w:t>预算金额：</w:t>
      </w:r>
      <w:r>
        <w:rPr>
          <w:rFonts w:hint="eastAsia" w:ascii="宋体" w:hAnsi="宋体" w:cs="宋体"/>
          <w:lang w:val="en-US" w:eastAsia="zh-CN"/>
        </w:rPr>
        <w:t>150</w:t>
      </w:r>
      <w:r>
        <w:rPr>
          <w:rFonts w:ascii="宋体" w:hAnsi="宋体" w:cs="宋体"/>
        </w:rPr>
        <w:t>万元 </w:t>
      </w:r>
    </w:p>
    <w:p w14:paraId="2E6ABCB2">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最高限价（如有）：</w:t>
      </w:r>
      <w:r>
        <w:rPr>
          <w:rFonts w:hint="eastAsia" w:ascii="宋体" w:hAnsi="宋体" w:cs="宋体"/>
          <w:lang w:val="en-US" w:eastAsia="zh-CN"/>
        </w:rPr>
        <w:t>150</w:t>
      </w:r>
      <w:r>
        <w:rPr>
          <w:rFonts w:ascii="宋体" w:hAnsi="宋体" w:cs="宋体"/>
        </w:rPr>
        <w:t>万元</w:t>
      </w:r>
      <w:r>
        <w:rPr>
          <w:rFonts w:hint="eastAsia" w:ascii="宋体" w:hAnsi="宋体" w:cs="宋体"/>
          <w:lang w:eastAsia="zh-CN"/>
        </w:rPr>
        <w:t>，</w:t>
      </w:r>
      <w:r>
        <w:rPr>
          <w:rFonts w:ascii="宋体" w:hAnsi="宋体" w:cs="宋体"/>
        </w:rPr>
        <w:t>投标报价高于最高限价的作无效标处理；  </w:t>
      </w:r>
    </w:p>
    <w:p w14:paraId="6E0DE7B7">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采购需求：</w:t>
      </w:r>
      <w:r>
        <w:rPr>
          <w:rFonts w:hint="eastAsia" w:ascii="宋体" w:hAnsi="宋体" w:cs="宋体"/>
        </w:rPr>
        <w:t>盐城市大丰人民医院光子嫩肤仪采购，详细内容见本项目采购需求</w:t>
      </w:r>
      <w:r>
        <w:rPr>
          <w:rFonts w:ascii="宋体" w:hAnsi="宋体" w:cs="宋体"/>
        </w:rPr>
        <w:t>；</w:t>
      </w:r>
    </w:p>
    <w:p w14:paraId="5891B795">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cs="宋体"/>
        </w:rPr>
      </w:pPr>
      <w:r>
        <w:rPr>
          <w:rFonts w:ascii="宋体" w:hAnsi="宋体" w:cs="宋体"/>
        </w:rPr>
        <w:t>合同履行期限：</w:t>
      </w:r>
      <w:r>
        <w:rPr>
          <w:rFonts w:hint="eastAsia" w:ascii="宋体" w:hAnsi="宋体" w:cs="宋体"/>
        </w:rPr>
        <w:t>签订合同后 30 日历天内完成所需设备的采购、供应、运输、安装、调试等相关伴随服务，并通过采购人的验收。</w:t>
      </w:r>
    </w:p>
    <w:p w14:paraId="73D78663">
      <w:pPr>
        <w:pBdr>
          <w:top w:val="none" w:color="000000" w:sz="0" w:space="0"/>
          <w:left w:val="none" w:color="000000" w:sz="0" w:space="0"/>
          <w:bottom w:val="none" w:color="000000" w:sz="0" w:space="0"/>
          <w:right w:val="none" w:color="000000" w:sz="0" w:space="0"/>
        </w:pBdr>
        <w:spacing w:line="360" w:lineRule="auto"/>
        <w:ind w:firstLine="420"/>
      </w:pPr>
      <w:bookmarkStart w:id="0" w:name="OLE_LINK15"/>
      <w:r>
        <w:rPr>
          <w:rFonts w:hint="eastAsia" w:ascii="宋体" w:hAnsi="宋体" w:cs="宋体"/>
        </w:rPr>
        <w:t>质保期：不少于</w:t>
      </w:r>
      <w:r>
        <w:rPr>
          <w:rFonts w:hint="eastAsia" w:ascii="宋体" w:hAnsi="宋体" w:cs="宋体"/>
          <w:lang w:val="en-US" w:eastAsia="zh-CN"/>
        </w:rPr>
        <w:t>一</w:t>
      </w:r>
      <w:r>
        <w:rPr>
          <w:rFonts w:hint="eastAsia" w:ascii="宋体" w:hAnsi="宋体" w:cs="宋体"/>
        </w:rPr>
        <w:t>年</w:t>
      </w:r>
      <w:bookmarkEnd w:id="0"/>
      <w:r>
        <w:rPr>
          <w:rFonts w:hint="eastAsia" w:ascii="宋体" w:hAnsi="宋体" w:cs="宋体"/>
        </w:rPr>
        <w:t>（含设备免费维护保养）</w:t>
      </w:r>
      <w:r>
        <w:rPr>
          <w:rFonts w:ascii="宋体" w:hAnsi="宋体" w:cs="宋体"/>
        </w:rPr>
        <w:t> </w:t>
      </w:r>
    </w:p>
    <w:p w14:paraId="51D2AAC0">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本项目（是/否）接受联合体投标：否</w:t>
      </w:r>
    </w:p>
    <w:p w14:paraId="21299603">
      <w:pPr>
        <w:pStyle w:val="4"/>
        <w:pBdr>
          <w:top w:val="none" w:color="000000" w:sz="0" w:space="0"/>
          <w:left w:val="none" w:color="000000" w:sz="0" w:space="0"/>
          <w:bottom w:val="none" w:color="000000" w:sz="0" w:space="0"/>
          <w:right w:val="none" w:color="000000" w:sz="0" w:space="0"/>
        </w:pBdr>
        <w:spacing w:before="145" w:after="145" w:line="360" w:lineRule="auto"/>
        <w:ind w:firstLine="422"/>
      </w:pPr>
      <w:r>
        <w:rPr>
          <w:rFonts w:ascii="宋体" w:hAnsi="宋体" w:eastAsia="宋体" w:cs="宋体"/>
          <w:b/>
          <w:sz w:val="21"/>
        </w:rPr>
        <w:t>二、申请人的资格要求：</w:t>
      </w:r>
    </w:p>
    <w:p w14:paraId="6449F333">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（一）满足《中华人民共和国政府采购法》第二十二条规定：</w:t>
      </w:r>
    </w:p>
    <w:p w14:paraId="21C38B56">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1.法人或者其他组织的营业执照等证明文件，自然人的身份证明。</w:t>
      </w:r>
    </w:p>
    <w:p w14:paraId="461AC999">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2.上一年度的财务状况报告（成立不满一年不需提供）。</w:t>
      </w:r>
    </w:p>
    <w:p w14:paraId="71F599A7">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3.依法缴纳税收和社会保障资金的相关材料。</w:t>
      </w:r>
    </w:p>
    <w:p w14:paraId="7618F06B">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4.具备履行合同所必需的设备和专业技术能力的书面声明。</w:t>
      </w:r>
    </w:p>
    <w:p w14:paraId="31DB1E0B">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5.参加政府采购活动前3年内在经营活动中没有重大违法记录的书面声明。</w:t>
      </w:r>
    </w:p>
    <w:p w14:paraId="7C0EFED9">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6.法律、行政法规规定的其他条件。</w:t>
      </w:r>
    </w:p>
    <w:p w14:paraId="1F459462">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（二）落实政府采购政策需满足的资格要求：无</w:t>
      </w:r>
    </w:p>
    <w:p w14:paraId="62EE01D1">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（三）本项目的特定资格要求： </w:t>
      </w:r>
    </w:p>
    <w:p w14:paraId="25CB1234">
      <w:pPr>
        <w:widowControl/>
        <w:spacing w:line="400" w:lineRule="exact"/>
        <w:ind w:firstLine="480"/>
        <w:jc w:val="left"/>
        <w:rPr>
          <w:rFonts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（1）投标人须提供有效的医疗器械产品注册证或产品备案凭证；</w:t>
      </w:r>
    </w:p>
    <w:p w14:paraId="298E3DA1">
      <w:pPr>
        <w:widowControl/>
        <w:spacing w:line="400" w:lineRule="exact"/>
        <w:ind w:firstLine="480"/>
        <w:jc w:val="left"/>
        <w:rPr>
          <w:rFonts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（2）投标人为医疗器械代理商（经销商）的，须根据投标产品的类别，提供投标人的《医疗器械经营许可证》或者《医疗器械经营备案凭证》；</w:t>
      </w:r>
    </w:p>
    <w:p w14:paraId="10C63126">
      <w:pPr>
        <w:pStyle w:val="4"/>
        <w:pBdr>
          <w:top w:val="none" w:color="000000" w:sz="0" w:space="0"/>
          <w:left w:val="none" w:color="000000" w:sz="0" w:space="0"/>
          <w:bottom w:val="none" w:color="000000" w:sz="0" w:space="0"/>
          <w:right w:val="none" w:color="000000" w:sz="0" w:space="0"/>
        </w:pBdr>
        <w:spacing w:before="145" w:after="145" w:line="360" w:lineRule="auto"/>
        <w:ind w:firstLine="422"/>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（3）投标人为医疗器械生产企业的，须提供《医疗器械生产许可证》。</w:t>
      </w:r>
    </w:p>
    <w:p w14:paraId="1BF6E0E7">
      <w:pPr>
        <w:pStyle w:val="4"/>
        <w:pBdr>
          <w:top w:val="none" w:color="000000" w:sz="0" w:space="0"/>
          <w:left w:val="none" w:color="000000" w:sz="0" w:space="0"/>
          <w:bottom w:val="none" w:color="000000" w:sz="0" w:space="0"/>
          <w:right w:val="none" w:color="000000" w:sz="0" w:space="0"/>
        </w:pBdr>
        <w:spacing w:before="145" w:after="145" w:line="360" w:lineRule="auto"/>
        <w:ind w:firstLine="422"/>
      </w:pPr>
      <w:r>
        <w:rPr>
          <w:rFonts w:ascii="宋体" w:hAnsi="宋体" w:eastAsia="宋体" w:cs="宋体"/>
          <w:b/>
          <w:sz w:val="21"/>
        </w:rPr>
        <w:t>三、获取招标文件</w:t>
      </w:r>
    </w:p>
    <w:p w14:paraId="4B5BDC33">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cs="宋体"/>
          <w:szCs w:val="24"/>
          <w:shd w:val="clear" w:color="auto" w:fill="FFFFFF"/>
        </w:rPr>
      </w:pPr>
      <w:r>
        <w:rPr>
          <w:rFonts w:hint="eastAsia" w:ascii="宋体" w:hAnsi="宋体" w:cs="宋体"/>
          <w:szCs w:val="24"/>
          <w:shd w:val="clear" w:color="auto" w:fill="FFFFFF"/>
        </w:rPr>
        <w:t>时间：自招标文件公告发布之日起5个工作日。  </w:t>
      </w:r>
    </w:p>
    <w:p w14:paraId="2ADE255B">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cs="宋体"/>
          <w:szCs w:val="24"/>
          <w:shd w:val="clear" w:color="auto" w:fill="FFFFFF"/>
        </w:rPr>
      </w:pPr>
      <w:r>
        <w:rPr>
          <w:rFonts w:hint="eastAsia" w:ascii="宋体" w:hAnsi="宋体" w:cs="宋体"/>
          <w:szCs w:val="24"/>
          <w:shd w:val="clear" w:color="auto" w:fill="FFFFFF"/>
        </w:rPr>
        <w:t>地点：“苏采云”系统内免费下载（投标人必须在苏采云系统中获取采购文件，方能参与政府采购项目）； </w:t>
      </w:r>
    </w:p>
    <w:p w14:paraId="4AFE3686">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cs="宋体"/>
          <w:szCs w:val="24"/>
          <w:shd w:val="clear" w:color="auto" w:fill="FFFFFF"/>
          <w:lang w:eastAsia="zh-CN"/>
        </w:rPr>
      </w:pPr>
      <w:r>
        <w:rPr>
          <w:rFonts w:hint="eastAsia" w:ascii="宋体" w:hAnsi="宋体" w:cs="宋体"/>
          <w:szCs w:val="24"/>
          <w:shd w:val="clear" w:color="auto" w:fill="FFFFFF"/>
        </w:rPr>
        <w:t>方式：本项目采用网上注册登记方式，网址:https://jszfcg.jsczt.cn/jszc/login</w:t>
      </w:r>
      <w:r>
        <w:rPr>
          <w:rFonts w:hint="eastAsia" w:ascii="宋体" w:hAnsi="宋体" w:cs="宋体"/>
          <w:szCs w:val="24"/>
          <w:shd w:val="clear" w:color="auto" w:fill="FFFFFF"/>
          <w:lang w:eastAsia="zh-CN"/>
        </w:rPr>
        <w:t>；</w:t>
      </w:r>
    </w:p>
    <w:p w14:paraId="4BC4A0F4">
      <w:pPr>
        <w:pBdr>
          <w:top w:val="none" w:color="000000" w:sz="0" w:space="0"/>
          <w:left w:val="none" w:color="000000" w:sz="0" w:space="0"/>
          <w:bottom w:val="none" w:color="000000" w:sz="0" w:space="0"/>
          <w:right w:val="none" w:color="000000" w:sz="0" w:space="0"/>
        </w:pBdr>
        <w:spacing w:line="360" w:lineRule="auto"/>
        <w:ind w:firstLine="420"/>
      </w:pPr>
      <w:r>
        <w:rPr>
          <w:rFonts w:hint="eastAsia" w:ascii="宋体" w:hAnsi="宋体" w:cs="宋体"/>
          <w:szCs w:val="24"/>
          <w:shd w:val="clear" w:color="auto" w:fill="FFFFFF"/>
        </w:rPr>
        <w:t>售价:0.00元。</w:t>
      </w:r>
      <w:r>
        <w:rPr>
          <w:rFonts w:ascii="宋体" w:hAnsi="宋体" w:cs="宋体"/>
        </w:rPr>
        <w:t> </w:t>
      </w:r>
    </w:p>
    <w:p w14:paraId="08ADC9E0">
      <w:pPr>
        <w:pStyle w:val="4"/>
        <w:pBdr>
          <w:top w:val="none" w:color="000000" w:sz="0" w:space="0"/>
          <w:left w:val="none" w:color="000000" w:sz="0" w:space="0"/>
          <w:bottom w:val="none" w:color="000000" w:sz="0" w:space="0"/>
          <w:right w:val="none" w:color="000000" w:sz="0" w:space="0"/>
        </w:pBdr>
        <w:spacing w:before="145" w:after="145" w:line="360" w:lineRule="auto"/>
        <w:ind w:firstLine="422"/>
      </w:pPr>
      <w:r>
        <w:rPr>
          <w:rFonts w:ascii="宋体" w:hAnsi="宋体" w:eastAsia="宋体" w:cs="宋体"/>
          <w:b/>
          <w:sz w:val="21"/>
        </w:rPr>
        <w:t>四、提交投标文件截止时间、开标时间和地点</w:t>
      </w:r>
    </w:p>
    <w:p w14:paraId="0E0F88E4">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202</w:t>
      </w:r>
      <w:r>
        <w:rPr>
          <w:rFonts w:hint="eastAsia" w:ascii="宋体" w:hAnsi="宋体" w:cs="宋体"/>
        </w:rPr>
        <w:t>6</w:t>
      </w:r>
      <w:r>
        <w:rPr>
          <w:rFonts w:ascii="宋体" w:hAnsi="宋体" w:cs="宋体"/>
        </w:rPr>
        <w:t>-</w:t>
      </w:r>
      <w:r>
        <w:rPr>
          <w:rFonts w:hint="eastAsia" w:ascii="宋体" w:hAnsi="宋体" w:cs="宋体"/>
          <w:lang w:val="en-US" w:eastAsia="zh-CN"/>
        </w:rPr>
        <w:t>10</w:t>
      </w:r>
      <w:r>
        <w:rPr>
          <w:rFonts w:ascii="宋体" w:hAnsi="宋体" w:cs="宋体"/>
        </w:rPr>
        <w:t>-</w:t>
      </w:r>
      <w:r>
        <w:rPr>
          <w:rFonts w:hint="eastAsia" w:ascii="宋体" w:hAnsi="宋体" w:cs="宋体"/>
          <w:lang w:val="en-US" w:eastAsia="zh-CN"/>
        </w:rPr>
        <w:t>28  10</w:t>
      </w:r>
      <w:r>
        <w:rPr>
          <w:rFonts w:ascii="宋体" w:hAnsi="宋体" w:cs="宋体"/>
        </w:rPr>
        <w:t>:</w:t>
      </w:r>
      <w:r>
        <w:rPr>
          <w:rFonts w:hint="eastAsia" w:ascii="宋体" w:hAnsi="宋体" w:cs="宋体"/>
          <w:lang w:val="en-US" w:eastAsia="zh-CN"/>
        </w:rPr>
        <w:t>00</w:t>
      </w:r>
      <w:r>
        <w:rPr>
          <w:rFonts w:ascii="宋体" w:hAnsi="宋体" w:cs="宋体"/>
        </w:rPr>
        <w:t>（北京时间）</w:t>
      </w:r>
    </w:p>
    <w:p w14:paraId="6EFAA0C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val="0"/>
        <w:overflowPunct/>
        <w:topLinePunct w:val="0"/>
        <w:autoSpaceDE/>
        <w:autoSpaceDN/>
        <w:bidi w:val="0"/>
        <w:adjustRightInd/>
        <w:snapToGrid/>
        <w:spacing w:line="360" w:lineRule="auto"/>
        <w:ind w:firstLine="420"/>
        <w:jc w:val="left"/>
        <w:textAlignment w:val="auto"/>
      </w:pPr>
      <w:r>
        <w:rPr>
          <w:rFonts w:hint="eastAsia" w:ascii="宋体" w:hAnsi="宋体" w:cs="宋体"/>
        </w:rPr>
        <w:t>地点:“苏采云”政府采购交易系统网上开标大厅(网址:https://jszfcg.jsczt.cn/jszc/login)</w:t>
      </w:r>
      <w:r>
        <w:rPr>
          <w:rFonts w:hint="eastAsia" w:ascii="宋体" w:hAnsi="宋体"/>
          <w:bCs/>
        </w:rPr>
        <w:t>。</w:t>
      </w:r>
    </w:p>
    <w:p w14:paraId="4B34E12C">
      <w:pPr>
        <w:pStyle w:val="4"/>
        <w:pBdr>
          <w:top w:val="none" w:color="000000" w:sz="0" w:space="0"/>
          <w:left w:val="none" w:color="000000" w:sz="0" w:space="0"/>
          <w:bottom w:val="none" w:color="000000" w:sz="0" w:space="0"/>
          <w:right w:val="none" w:color="000000" w:sz="0" w:space="0"/>
        </w:pBdr>
        <w:spacing w:before="145" w:after="145" w:line="360" w:lineRule="auto"/>
        <w:ind w:firstLine="422"/>
      </w:pPr>
      <w:r>
        <w:rPr>
          <w:rFonts w:ascii="宋体" w:hAnsi="宋体" w:eastAsia="宋体" w:cs="宋体"/>
          <w:b/>
          <w:sz w:val="21"/>
        </w:rPr>
        <w:t>五、公告期限</w:t>
      </w:r>
    </w:p>
    <w:p w14:paraId="66D1A387">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自本公告发布之日起5个工作日。</w:t>
      </w:r>
    </w:p>
    <w:p w14:paraId="2B9DBE30">
      <w:pPr>
        <w:pStyle w:val="4"/>
        <w:pBdr>
          <w:top w:val="none" w:color="000000" w:sz="0" w:space="0"/>
          <w:left w:val="none" w:color="000000" w:sz="0" w:space="0"/>
          <w:bottom w:val="none" w:color="000000" w:sz="0" w:space="0"/>
          <w:right w:val="none" w:color="000000" w:sz="0" w:space="0"/>
        </w:pBdr>
        <w:spacing w:before="145" w:after="145" w:line="360" w:lineRule="auto"/>
        <w:ind w:firstLine="422"/>
        <w:rPr>
          <w:sz w:val="21"/>
          <w:szCs w:val="21"/>
        </w:rPr>
      </w:pPr>
      <w:r>
        <w:rPr>
          <w:rFonts w:ascii="宋体" w:hAnsi="宋体" w:eastAsia="宋体" w:cs="宋体"/>
          <w:b/>
          <w:sz w:val="21"/>
          <w:szCs w:val="21"/>
        </w:rPr>
        <w:t>六、其他补充事宜</w:t>
      </w:r>
    </w:p>
    <w:p w14:paraId="6A893789">
      <w:pPr>
        <w:widowControl/>
        <w:shd w:val="clear" w:color="auto" w:fill="FFFFFF"/>
        <w:spacing w:line="440" w:lineRule="exact"/>
        <w:ind w:firstLine="480"/>
        <w:jc w:val="left"/>
        <w:rPr>
          <w:rFonts w:ascii="宋体" w:hAnsi="宋体" w:cs="宋体"/>
          <w:shd w:val="clear" w:color="auto" w:fill="FFFFFF"/>
        </w:rPr>
      </w:pPr>
      <w:r>
        <w:rPr>
          <w:rFonts w:hint="eastAsia" w:ascii="宋体" w:hAnsi="宋体" w:cs="宋体"/>
          <w:shd w:val="clear" w:color="auto" w:fill="FFFFFF"/>
        </w:rPr>
        <w:t>1、电子投标文件一份(通过系统提交)；纸质投标文件正本一份，副本四份（评审结束后由中标候选人邮寄至采购人，未中标单位不需要提供）。</w:t>
      </w:r>
    </w:p>
    <w:p w14:paraId="26CD4E9D">
      <w:pPr>
        <w:widowControl/>
        <w:shd w:val="clear" w:color="auto" w:fill="FFFFFF"/>
        <w:spacing w:line="440" w:lineRule="exact"/>
        <w:ind w:firstLine="480"/>
        <w:jc w:val="left"/>
        <w:rPr>
          <w:rFonts w:ascii="宋体" w:hAnsi="宋体" w:cs="宋体"/>
          <w:color w:val="auto"/>
          <w:shd w:val="clear" w:color="auto" w:fill="FFFFFF"/>
        </w:rPr>
      </w:pPr>
      <w:r>
        <w:rPr>
          <w:rFonts w:hint="eastAsia" w:ascii="宋体" w:hAnsi="宋体" w:cs="宋体"/>
          <w:shd w:val="clear" w:color="auto" w:fill="FFFFFF"/>
        </w:rPr>
        <w:t>2、根据省财政厅《关于更换全省政府采购交易系统CA数字证书和电子签章的通知》（苏财购〔2023〕101号），“苏采云”政府采购交易系统</w:t>
      </w:r>
      <w:r>
        <w:rPr>
          <w:rFonts w:hint="eastAsia" w:ascii="宋体" w:hAnsi="宋体" w:cs="宋体"/>
          <w:color w:val="auto"/>
          <w:shd w:val="clear" w:color="auto" w:fill="FFFFFF"/>
        </w:rPr>
        <w:t>（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至“盐城市政府采购网”“办事指南”栏目下载。</w:t>
      </w:r>
    </w:p>
    <w:p w14:paraId="02182CBC">
      <w:pPr>
        <w:widowControl/>
        <w:shd w:val="clear" w:color="auto" w:fill="FFFFFF"/>
        <w:spacing w:line="440" w:lineRule="exact"/>
        <w:ind w:firstLine="480"/>
        <w:jc w:val="left"/>
        <w:rPr>
          <w:rFonts w:ascii="宋体" w:hAnsi="宋体" w:cs="宋体"/>
          <w:shd w:val="clear" w:color="auto" w:fill="FFFFFF"/>
        </w:rPr>
      </w:pPr>
      <w:r>
        <w:rPr>
          <w:rFonts w:hint="eastAsia" w:ascii="宋体" w:hAnsi="宋体" w:cs="宋体"/>
          <w:color w:val="auto"/>
          <w:shd w:val="clear" w:color="auto" w:fill="FFFFFF"/>
        </w:rPr>
        <w:t>领取CA和办理电子签章(请至盐城市亭湖区政务服务中心二楼226窗口办理（联系电话：15051556883）</w:t>
      </w:r>
      <w:r>
        <w:rPr>
          <w:rFonts w:hint="eastAsia" w:ascii="宋体" w:hAnsi="宋体" w:cs="宋体"/>
          <w:color w:val="auto"/>
          <w:shd w:val="clear" w:color="auto" w:fill="FFFFFF"/>
          <w:lang w:eastAsia="zh-CN"/>
        </w:rPr>
        <w:t>）</w:t>
      </w:r>
      <w:r>
        <w:rPr>
          <w:rFonts w:hint="eastAsia" w:ascii="宋体" w:hAnsi="宋体" w:cs="宋体"/>
          <w:color w:val="auto"/>
          <w:shd w:val="clear" w:color="auto" w:fill="FFFFFF"/>
        </w:rPr>
        <w:t>，具体联系方式见《苏采云系统供应商操作手册》（以下简称《操作手册》）、进行注册并按《操作手册》要求制作、上传电子投标文件。供应商操作过程中有问题联系软</w:t>
      </w:r>
      <w:r>
        <w:rPr>
          <w:rFonts w:hint="eastAsia" w:ascii="宋体" w:hAnsi="宋体" w:cs="宋体"/>
          <w:shd w:val="clear" w:color="auto" w:fill="FFFFFF"/>
        </w:rPr>
        <w:t>件公司的联系方式：投标人在使用系统进行投标的过程中如遇到涉及“苏采云”系统使用的任何问题，应在工作日上午9：00-11：30下午13：30-17：30期间致电技术支持热线咨询，联系电话：0519-86722805、0519-86617173。</w:t>
      </w:r>
    </w:p>
    <w:p w14:paraId="7F6969E6">
      <w:pPr>
        <w:widowControl/>
        <w:shd w:val="clear" w:color="auto" w:fill="FFFFFF"/>
        <w:spacing w:line="440" w:lineRule="exact"/>
        <w:ind w:firstLine="480"/>
        <w:jc w:val="left"/>
        <w:rPr>
          <w:rFonts w:ascii="宋体" w:hAnsi="宋体" w:cs="宋体"/>
          <w:shd w:val="clear" w:color="auto" w:fill="FFFFFF"/>
        </w:rPr>
      </w:pPr>
      <w:r>
        <w:rPr>
          <w:rFonts w:hint="eastAsia" w:ascii="宋体" w:hAnsi="宋体" w:cs="宋体"/>
          <w:shd w:val="clear" w:color="auto" w:fill="FFFFFF"/>
        </w:rPr>
        <w:t>3、有关本次招标的事项若存在变动或修改，敬请及时关注采购人在“中国政府采购网”“江苏政府采购网”、“盐城市政府采购网”发布的更正公告。</w:t>
      </w:r>
    </w:p>
    <w:p w14:paraId="556D0EC1">
      <w:pPr>
        <w:widowControl/>
        <w:shd w:val="clear" w:color="auto" w:fill="FFFFFF"/>
        <w:spacing w:line="440" w:lineRule="exact"/>
        <w:ind w:firstLine="480"/>
        <w:jc w:val="left"/>
        <w:rPr>
          <w:rFonts w:ascii="宋体" w:hAnsi="宋体" w:cs="宋体"/>
          <w:shd w:val="clear" w:color="auto" w:fill="FFFFFF"/>
        </w:rPr>
      </w:pPr>
      <w:r>
        <w:rPr>
          <w:rFonts w:hint="eastAsia" w:ascii="宋体" w:hAnsi="宋体" w:cs="宋体"/>
          <w:shd w:val="clear" w:color="auto" w:fill="FFFFFF"/>
        </w:rPr>
        <w:t>4、本项目不收取投标保证金，不收取质量保证金。</w:t>
      </w:r>
    </w:p>
    <w:p w14:paraId="5F393336">
      <w:pPr>
        <w:pStyle w:val="4"/>
        <w:pBdr>
          <w:top w:val="none" w:color="000000" w:sz="0" w:space="0"/>
          <w:left w:val="none" w:color="000000" w:sz="0" w:space="0"/>
          <w:bottom w:val="none" w:color="000000" w:sz="0" w:space="0"/>
          <w:right w:val="none" w:color="000000" w:sz="0" w:space="0"/>
        </w:pBdr>
        <w:spacing w:before="145" w:after="145" w:line="360" w:lineRule="auto"/>
        <w:ind w:firstLine="422"/>
      </w:pPr>
      <w:r>
        <w:rPr>
          <w:rFonts w:ascii="宋体" w:hAnsi="宋体" w:eastAsia="宋体" w:cs="宋体"/>
          <w:b/>
          <w:sz w:val="21"/>
        </w:rPr>
        <w:t>七、对本次招标提出询问，请按以下方式联系。</w:t>
      </w:r>
    </w:p>
    <w:p w14:paraId="7957B578">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1.采购人信息 </w:t>
      </w:r>
    </w:p>
    <w:p w14:paraId="19890F98">
      <w:pPr>
        <w:pBdr>
          <w:top w:val="none" w:color="000000" w:sz="0" w:space="0"/>
          <w:left w:val="none" w:color="000000" w:sz="0" w:space="0"/>
          <w:bottom w:val="none" w:color="000000" w:sz="0" w:space="0"/>
          <w:right w:val="none" w:color="000000" w:sz="0" w:space="0"/>
        </w:pBdr>
        <w:spacing w:line="360" w:lineRule="auto"/>
        <w:ind w:firstLine="420"/>
        <w:rPr>
          <w:rFonts w:hint="eastAsia" w:eastAsia="宋体"/>
          <w:lang w:eastAsia="zh-CN"/>
        </w:rPr>
      </w:pPr>
      <w:r>
        <w:rPr>
          <w:rFonts w:ascii="宋体" w:hAnsi="宋体" w:cs="宋体"/>
        </w:rPr>
        <w:t>单位名称：</w:t>
      </w:r>
      <w:r>
        <w:rPr>
          <w:rFonts w:hint="eastAsia" w:ascii="宋体" w:hAnsi="宋体" w:cs="宋体"/>
          <w:lang w:eastAsia="zh-CN"/>
        </w:rPr>
        <w:t>盐城市大丰人民医院</w:t>
      </w:r>
    </w:p>
    <w:p w14:paraId="76315D37">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cs="宋体"/>
          <w:lang w:val="zh-CN"/>
        </w:rPr>
      </w:pPr>
      <w:r>
        <w:rPr>
          <w:rFonts w:ascii="宋体" w:hAnsi="宋体" w:cs="宋体"/>
        </w:rPr>
        <w:t>单位地址：</w:t>
      </w:r>
      <w:r>
        <w:rPr>
          <w:rFonts w:hint="eastAsia" w:ascii="宋体" w:hAnsi="宋体" w:cs="宋体"/>
          <w:lang w:val="zh-CN"/>
        </w:rPr>
        <w:t>大丰区幸福东大街139号</w:t>
      </w:r>
    </w:p>
    <w:p w14:paraId="25019B60">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联系人：</w:t>
      </w:r>
      <w:r>
        <w:rPr>
          <w:rFonts w:hint="eastAsia" w:ascii="宋体" w:hAnsi="宋体" w:cs="宋体"/>
        </w:rPr>
        <w:t>冯煜星</w:t>
      </w:r>
    </w:p>
    <w:p w14:paraId="041A6897">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联系电话：</w:t>
      </w:r>
      <w:r>
        <w:rPr>
          <w:rFonts w:hint="eastAsia" w:ascii="宋体" w:hAnsi="宋体" w:cs="宋体"/>
          <w:lang w:val="zh-CN"/>
        </w:rPr>
        <w:t xml:space="preserve">0515-83530067 </w:t>
      </w:r>
    </w:p>
    <w:p w14:paraId="565484F0">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2.采购代理机构信息</w:t>
      </w:r>
    </w:p>
    <w:p w14:paraId="76A6FC52">
      <w:pPr>
        <w:pBdr>
          <w:top w:val="none" w:color="000000" w:sz="0" w:space="0"/>
          <w:left w:val="none" w:color="000000" w:sz="0" w:space="0"/>
          <w:bottom w:val="none" w:color="000000" w:sz="0" w:space="0"/>
          <w:right w:val="none" w:color="000000" w:sz="0" w:space="0"/>
        </w:pBdr>
        <w:spacing w:line="360" w:lineRule="auto"/>
        <w:ind w:firstLine="420"/>
        <w:rPr>
          <w:rFonts w:hint="eastAsia" w:eastAsia="宋体"/>
          <w:lang w:eastAsia="zh-CN"/>
        </w:rPr>
      </w:pPr>
      <w:r>
        <w:rPr>
          <w:rFonts w:ascii="宋体" w:hAnsi="宋体" w:cs="宋体"/>
        </w:rPr>
        <w:t>单位名称：</w:t>
      </w:r>
      <w:r>
        <w:rPr>
          <w:rFonts w:hint="eastAsia" w:ascii="宋体" w:hAnsi="宋体" w:cs="宋体"/>
          <w:lang w:eastAsia="zh-CN"/>
        </w:rPr>
        <w:t>盐城市建康工程项目管理有限公司</w:t>
      </w:r>
    </w:p>
    <w:p w14:paraId="536BAB34">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rPr>
      </w:pPr>
      <w:r>
        <w:rPr>
          <w:rFonts w:ascii="宋体" w:hAnsi="宋体" w:cs="宋体"/>
        </w:rPr>
        <w:t>单位地址：</w:t>
      </w:r>
      <w:r>
        <w:rPr>
          <w:rFonts w:hint="eastAsia" w:ascii="宋体" w:hAnsi="宋体" w:cs="宋体"/>
          <w:lang w:val="zh-CN"/>
        </w:rPr>
        <w:t>大丰区黄海西路26号</w:t>
      </w:r>
    </w:p>
    <w:p w14:paraId="79B99985">
      <w:pPr>
        <w:pBdr>
          <w:top w:val="none" w:color="000000" w:sz="0" w:space="0"/>
          <w:left w:val="none" w:color="000000" w:sz="0" w:space="0"/>
          <w:bottom w:val="none" w:color="000000" w:sz="0" w:space="0"/>
          <w:right w:val="none" w:color="000000" w:sz="0" w:space="0"/>
        </w:pBdr>
        <w:spacing w:line="360" w:lineRule="auto"/>
        <w:ind w:firstLine="420"/>
        <w:rPr>
          <w:rFonts w:hint="default" w:eastAsia="宋体"/>
          <w:lang w:val="en-US" w:eastAsia="zh-CN"/>
        </w:rPr>
      </w:pPr>
      <w:r>
        <w:rPr>
          <w:rFonts w:ascii="宋体" w:hAnsi="宋体" w:cs="宋体"/>
        </w:rPr>
        <w:t>联系人：</w:t>
      </w:r>
      <w:r>
        <w:rPr>
          <w:rFonts w:hint="eastAsia" w:ascii="宋体" w:hAnsi="宋体" w:cs="宋体"/>
          <w:lang w:val="en-US" w:eastAsia="zh-CN"/>
        </w:rPr>
        <w:t>沈红雨</w:t>
      </w:r>
    </w:p>
    <w:p w14:paraId="5B65751B">
      <w:pPr>
        <w:pBdr>
          <w:top w:val="none" w:color="000000" w:sz="0" w:space="0"/>
          <w:left w:val="none" w:color="000000" w:sz="0" w:space="0"/>
          <w:bottom w:val="none" w:color="000000" w:sz="0" w:space="0"/>
          <w:right w:val="none" w:color="000000" w:sz="0" w:space="0"/>
        </w:pBdr>
        <w:spacing w:line="360" w:lineRule="auto"/>
        <w:ind w:firstLine="420"/>
        <w:rPr>
          <w:rFonts w:hint="default" w:eastAsia="宋体"/>
          <w:lang w:val="en-US" w:eastAsia="zh-CN"/>
        </w:rPr>
      </w:pPr>
      <w:r>
        <w:rPr>
          <w:rFonts w:ascii="宋体" w:hAnsi="宋体" w:cs="宋体"/>
        </w:rPr>
        <w:t>联系电话：</w:t>
      </w:r>
      <w:r>
        <w:rPr>
          <w:rFonts w:hint="eastAsia" w:ascii="宋体" w:hAnsi="宋体" w:cs="宋体"/>
          <w:lang w:val="en-US" w:eastAsia="zh-CN"/>
        </w:rPr>
        <w:t>18068850082</w:t>
      </w:r>
    </w:p>
    <w:p w14:paraId="406F8041">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3.项目联系方式</w:t>
      </w:r>
    </w:p>
    <w:p w14:paraId="212F7FD9">
      <w:pPr>
        <w:pBdr>
          <w:top w:val="none" w:color="000000" w:sz="0" w:space="0"/>
          <w:left w:val="none" w:color="000000" w:sz="0" w:space="0"/>
          <w:bottom w:val="none" w:color="000000" w:sz="0" w:space="0"/>
          <w:right w:val="none" w:color="000000" w:sz="0" w:space="0"/>
        </w:pBdr>
        <w:spacing w:line="360" w:lineRule="auto"/>
        <w:ind w:firstLine="420"/>
        <w:rPr>
          <w:rFonts w:hint="default" w:eastAsia="宋体"/>
          <w:lang w:val="en-US" w:eastAsia="zh-CN"/>
        </w:rPr>
      </w:pPr>
      <w:r>
        <w:rPr>
          <w:rFonts w:ascii="宋体" w:hAnsi="宋体" w:cs="宋体"/>
        </w:rPr>
        <w:t>项目联系人：</w:t>
      </w:r>
      <w:r>
        <w:rPr>
          <w:rFonts w:hint="eastAsia" w:ascii="宋体" w:hAnsi="宋体" w:cs="宋体"/>
          <w:lang w:val="en-US" w:eastAsia="zh-CN"/>
        </w:rPr>
        <w:t>沈红雨</w:t>
      </w:r>
    </w:p>
    <w:p w14:paraId="095C17BA">
      <w:pPr>
        <w:pBdr>
          <w:top w:val="none" w:color="000000" w:sz="0" w:space="0"/>
          <w:left w:val="none" w:color="000000" w:sz="0" w:space="0"/>
          <w:bottom w:val="none" w:color="000000" w:sz="0" w:space="0"/>
          <w:right w:val="none" w:color="000000" w:sz="0" w:space="0"/>
        </w:pBdr>
        <w:spacing w:line="360" w:lineRule="auto"/>
        <w:ind w:firstLine="420"/>
        <w:rPr>
          <w:rFonts w:hint="default" w:eastAsia="宋体"/>
          <w:lang w:val="en-US" w:eastAsia="zh-CN"/>
        </w:rPr>
      </w:pPr>
      <w:r>
        <w:rPr>
          <w:rFonts w:ascii="宋体" w:hAnsi="宋体" w:cs="宋体"/>
        </w:rPr>
        <w:t>电话：</w:t>
      </w:r>
      <w:r>
        <w:rPr>
          <w:rFonts w:hint="eastAsia" w:ascii="宋体" w:hAnsi="宋体" w:cs="宋体"/>
          <w:lang w:val="en-US" w:eastAsia="zh-CN"/>
        </w:rPr>
        <w:t>18068850082</w:t>
      </w:r>
    </w:p>
    <w:p w14:paraId="2B39DCEB">
      <w:pPr>
        <w:pBdr>
          <w:top w:val="none" w:color="000000" w:sz="0" w:space="0"/>
          <w:left w:val="none" w:color="000000" w:sz="0" w:space="0"/>
          <w:bottom w:val="none" w:color="000000" w:sz="0" w:space="0"/>
          <w:right w:val="none" w:color="000000" w:sz="0" w:space="0"/>
        </w:pBdr>
      </w:pPr>
      <w:r>
        <w:rPr>
          <w:rFonts w:eastAsia="Times New Roman"/>
        </w:rPr>
        <w:t> </w:t>
      </w:r>
    </w:p>
    <w:p w14:paraId="36A96C1B">
      <w:pPr>
        <w:pBdr>
          <w:top w:val="none" w:color="000000" w:sz="0" w:space="0"/>
          <w:left w:val="none" w:color="000000" w:sz="0" w:space="0"/>
          <w:bottom w:val="none" w:color="000000" w:sz="0" w:space="0"/>
          <w:right w:val="none" w:color="000000" w:sz="0" w:space="0"/>
        </w:pBdr>
        <w:spacing w:before="240" w:after="240"/>
        <w:ind w:firstLine="560"/>
      </w:pPr>
      <w:r>
        <w:rPr>
          <w:rFonts w:ascii="仿宋" w:hAnsi="仿宋" w:eastAsia="仿宋" w:cs="仿宋"/>
          <w:sz w:val="28"/>
        </w:rPr>
        <w:t> </w:t>
      </w:r>
    </w:p>
    <w:p w14:paraId="7D2E18D8">
      <w:pPr>
        <w:pBdr>
          <w:top w:val="none" w:color="000000" w:sz="0" w:space="0"/>
          <w:left w:val="none" w:color="000000" w:sz="0" w:space="0"/>
          <w:bottom w:val="none" w:color="000000" w:sz="0" w:space="0"/>
          <w:right w:val="none" w:color="000000" w:sz="0" w:space="0"/>
        </w:pBdr>
        <w:spacing w:before="240" w:after="240"/>
      </w:pPr>
      <w:r>
        <w:rPr>
          <w:rFonts w:ascii="仿宋" w:hAnsi="仿宋" w:eastAsia="仿宋" w:cs="仿宋"/>
          <w:sz w:val="28"/>
        </w:rPr>
        <w:t> </w:t>
      </w:r>
    </w:p>
    <w:p w14:paraId="0694664A">
      <w:pPr>
        <w:pBdr>
          <w:top w:val="none" w:color="000000" w:sz="0" w:space="0"/>
          <w:left w:val="none" w:color="000000" w:sz="0" w:space="0"/>
          <w:bottom w:val="none" w:color="000000" w:sz="0" w:space="0"/>
          <w:right w:val="none" w:color="000000" w:sz="0" w:space="0"/>
        </w:pBdr>
        <w:spacing w:before="240" w:after="240"/>
      </w:pPr>
      <w:r>
        <w:rPr>
          <w:rFonts w:ascii="仿宋" w:hAnsi="仿宋" w:eastAsia="仿宋" w:cs="仿宋"/>
          <w:sz w:val="28"/>
        </w:rPr>
        <w:t> </w:t>
      </w:r>
    </w:p>
    <w:p w14:paraId="00205775">
      <w:pPr>
        <w:pBdr>
          <w:top w:val="none" w:color="000000" w:sz="0" w:space="0"/>
          <w:left w:val="none" w:color="000000" w:sz="0" w:space="0"/>
          <w:bottom w:val="none" w:color="000000" w:sz="0" w:space="0"/>
          <w:right w:val="none" w:color="000000" w:sz="0" w:space="0"/>
        </w:pBdr>
        <w:spacing w:before="120" w:after="120"/>
        <w:ind w:left="120" w:right="120"/>
      </w:pPr>
      <w:r>
        <w:rPr/>
        <w:br w:type="page" w:clear="all"/>
      </w:r>
    </w:p>
    <w:p w14:paraId="72CB26D8">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cs="宋体"/>
          <w:b/>
          <w:sz w:val="40"/>
        </w:rPr>
        <w:t>第二章  投标人须知</w:t>
      </w:r>
    </w:p>
    <w:p w14:paraId="5151F702">
      <w:pPr>
        <w:pStyle w:val="4"/>
        <w:pBdr>
          <w:top w:val="none" w:color="000000" w:sz="0" w:space="0"/>
          <w:left w:val="none" w:color="000000" w:sz="0" w:space="0"/>
          <w:bottom w:val="none" w:color="000000" w:sz="0" w:space="0"/>
          <w:right w:val="none" w:color="000000" w:sz="0" w:space="0"/>
        </w:pBdr>
        <w:spacing w:before="145" w:after="145" w:line="360" w:lineRule="auto"/>
        <w:ind w:firstLine="422"/>
        <w:rPr>
          <w:sz w:val="21"/>
          <w:szCs w:val="21"/>
        </w:rPr>
      </w:pPr>
      <w:r>
        <w:rPr>
          <w:rFonts w:ascii="宋体" w:hAnsi="宋体" w:eastAsia="宋体" w:cs="宋体"/>
          <w:b/>
          <w:sz w:val="21"/>
          <w:szCs w:val="21"/>
        </w:rPr>
        <w:t>一、总则</w:t>
      </w:r>
    </w:p>
    <w:p w14:paraId="193B43CE">
      <w:pPr>
        <w:pStyle w:val="5"/>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ascii="宋体" w:hAnsi="宋体" w:eastAsia="宋体" w:cs="宋体"/>
          <w:sz w:val="21"/>
          <w:szCs w:val="21"/>
        </w:rPr>
        <w:t>1、招标方式</w:t>
      </w:r>
    </w:p>
    <w:p w14:paraId="3D3299B7">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1.1 本次招标采取公开招标方式，本招标文件仅适用于招标公告中所述项目。</w:t>
      </w:r>
    </w:p>
    <w:p w14:paraId="2D13BC98">
      <w:pPr>
        <w:pStyle w:val="5"/>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ascii="宋体" w:hAnsi="宋体" w:eastAsia="宋体" w:cs="宋体"/>
          <w:sz w:val="21"/>
          <w:szCs w:val="21"/>
        </w:rPr>
        <w:t>2、合格的投标人</w:t>
      </w:r>
    </w:p>
    <w:p w14:paraId="2C6BCB90">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2.1满足招标公告中供应商的资格要求的规定。</w:t>
      </w:r>
    </w:p>
    <w:p w14:paraId="35978E79">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2.2 满足本文件实质性条款的规定。</w:t>
      </w:r>
    </w:p>
    <w:p w14:paraId="21AB3BB5">
      <w:pPr>
        <w:pStyle w:val="5"/>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ascii="宋体" w:hAnsi="宋体" w:eastAsia="宋体" w:cs="宋体"/>
          <w:sz w:val="21"/>
          <w:szCs w:val="21"/>
        </w:rPr>
        <w:t>3、适用法律</w:t>
      </w:r>
    </w:p>
    <w:p w14:paraId="2A5818A2">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3.1 本次招标及由此产生的合同受中华人民共和国有关的法律法规制约和保护。</w:t>
      </w:r>
    </w:p>
    <w:p w14:paraId="5DEACCFF">
      <w:pPr>
        <w:pStyle w:val="5"/>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ascii="宋体" w:hAnsi="宋体" w:eastAsia="宋体" w:cs="宋体"/>
          <w:sz w:val="21"/>
          <w:szCs w:val="21"/>
        </w:rPr>
        <w:t>4、投标费用</w:t>
      </w:r>
    </w:p>
    <w:p w14:paraId="22B2654E">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4.1 投标人应自行承担所有与参加投标有关的费用，无论投标过程中的做法和结果如何，</w:t>
      </w:r>
      <w:r>
        <w:rPr>
          <w:rFonts w:hint="eastAsia" w:ascii="宋体" w:hAnsi="宋体" w:cs="宋体"/>
          <w:lang w:eastAsia="zh-CN"/>
        </w:rPr>
        <w:t>盐城市大丰人民医院</w:t>
      </w:r>
      <w:r>
        <w:rPr>
          <w:rFonts w:ascii="宋体" w:hAnsi="宋体" w:cs="宋体"/>
        </w:rPr>
        <w:t>在任何情况下均无义务和责任承担这些费用。</w:t>
      </w:r>
    </w:p>
    <w:p w14:paraId="1136F1C3">
      <w:pPr>
        <w:pStyle w:val="5"/>
        <w:pBdr>
          <w:top w:val="none" w:color="000000" w:sz="0" w:space="0"/>
          <w:left w:val="none" w:color="000000" w:sz="0" w:space="0"/>
          <w:bottom w:val="none" w:color="000000" w:sz="0" w:space="0"/>
          <w:right w:val="none" w:color="000000" w:sz="0" w:space="0"/>
        </w:pBdr>
        <w:spacing w:before="0" w:after="0" w:line="360" w:lineRule="auto"/>
        <w:ind w:firstLine="422"/>
        <w:rPr>
          <w:sz w:val="21"/>
          <w:szCs w:val="21"/>
        </w:rPr>
      </w:pPr>
      <w:r>
        <w:rPr>
          <w:rFonts w:ascii="宋体" w:hAnsi="宋体" w:eastAsia="宋体" w:cs="宋体"/>
          <w:sz w:val="21"/>
          <w:szCs w:val="21"/>
        </w:rPr>
        <w:t>5、招标文件的约束力</w:t>
      </w:r>
    </w:p>
    <w:p w14:paraId="013BECA9">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5.1 投标人一旦参加本项目采购活动，即被认为接受了本招标文件的规定和约束，并且视为自招标公告期限届满之日起知道或应当知道自身权益是否受到了损害。</w:t>
      </w:r>
    </w:p>
    <w:p w14:paraId="3B6FF071">
      <w:pPr>
        <w:pStyle w:val="5"/>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ascii="宋体" w:hAnsi="宋体" w:eastAsia="宋体" w:cs="宋体"/>
          <w:sz w:val="21"/>
          <w:szCs w:val="21"/>
        </w:rPr>
        <w:t>6、招标文件的解释</w:t>
      </w:r>
    </w:p>
    <w:p w14:paraId="5F5D9993">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6.1 本招标文件由采购人和代理公司负责解释。</w:t>
      </w:r>
    </w:p>
    <w:p w14:paraId="4E8E3E7D">
      <w:pPr>
        <w:pStyle w:val="4"/>
        <w:pBdr>
          <w:top w:val="none" w:color="000000" w:sz="0" w:space="0"/>
          <w:left w:val="none" w:color="000000" w:sz="0" w:space="0"/>
          <w:bottom w:val="none" w:color="000000" w:sz="0" w:space="0"/>
          <w:right w:val="none" w:color="000000" w:sz="0" w:space="0"/>
        </w:pBdr>
        <w:spacing w:before="145" w:after="145" w:line="360" w:lineRule="auto"/>
        <w:ind w:firstLine="422"/>
        <w:rPr>
          <w:sz w:val="21"/>
          <w:szCs w:val="21"/>
        </w:rPr>
      </w:pPr>
      <w:r>
        <w:rPr>
          <w:rFonts w:ascii="宋体" w:hAnsi="宋体" w:eastAsia="宋体" w:cs="宋体"/>
          <w:b/>
          <w:sz w:val="21"/>
          <w:szCs w:val="21"/>
        </w:rPr>
        <w:t>二、招标文件</w:t>
      </w:r>
    </w:p>
    <w:p w14:paraId="4773C992">
      <w:pPr>
        <w:pStyle w:val="5"/>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ascii="宋体" w:hAnsi="宋体" w:eastAsia="宋体" w:cs="宋体"/>
          <w:sz w:val="21"/>
          <w:szCs w:val="21"/>
        </w:rPr>
        <w:t>7、招标文件构成</w:t>
      </w:r>
    </w:p>
    <w:p w14:paraId="2C16D9C9">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7.1 招标文件</w:t>
      </w:r>
      <w:r>
        <w:rPr>
          <w:rFonts w:hint="eastAsia" w:ascii="宋体" w:hAnsi="宋体" w:cs="宋体"/>
        </w:rPr>
        <w:t>由</w:t>
      </w:r>
      <w:r>
        <w:rPr>
          <w:rFonts w:ascii="宋体" w:hAnsi="宋体" w:cs="宋体"/>
        </w:rPr>
        <w:t>以下部分组成：</w:t>
      </w:r>
    </w:p>
    <w:p w14:paraId="7EE56725">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（1）招标公告</w:t>
      </w:r>
    </w:p>
    <w:p w14:paraId="53098369">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（2）投标人须知</w:t>
      </w:r>
    </w:p>
    <w:p w14:paraId="759CC62B">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（3）合同条款及格式</w:t>
      </w:r>
    </w:p>
    <w:p w14:paraId="271AC834">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（4）采购需求</w:t>
      </w:r>
    </w:p>
    <w:p w14:paraId="5ED58512">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（5）评标方法与评标标准</w:t>
      </w:r>
    </w:p>
    <w:p w14:paraId="4841E2CF">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（6）投标文件格式</w:t>
      </w:r>
    </w:p>
    <w:p w14:paraId="617A33D9">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请仔细检查招标文件是否齐全，如有缺漏请立即与采购人联系解决。</w:t>
      </w:r>
    </w:p>
    <w:p w14:paraId="5152CCF4">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7.2 投标人应认真阅读招标文件中所有的事项、格式、条款和规范等要求。按招标文件要求和规定编制投标文件，并保证所提供的全部资料的真实性，以使其投标文件对招标文件</w:t>
      </w:r>
      <w:r>
        <w:rPr>
          <w:rFonts w:hint="eastAsia" w:ascii="宋体" w:hAnsi="宋体" w:cs="宋体"/>
        </w:rPr>
        <w:t>做出</w:t>
      </w:r>
      <w:r>
        <w:rPr>
          <w:rFonts w:ascii="宋体" w:hAnsi="宋体" w:cs="宋体"/>
        </w:rPr>
        <w:t>实质性响应，否则其风险由投标人自行承担。</w:t>
      </w:r>
    </w:p>
    <w:p w14:paraId="1A952D96">
      <w:pPr>
        <w:pStyle w:val="5"/>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ascii="宋体" w:hAnsi="宋体" w:eastAsia="宋体" w:cs="宋体"/>
          <w:sz w:val="21"/>
          <w:szCs w:val="21"/>
        </w:rPr>
        <w:t>8、招标文件的询问</w:t>
      </w:r>
    </w:p>
    <w:p w14:paraId="66720D65">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8.1 任何要求对招标文件进行询问的投标人，应在投标截止日期</w:t>
      </w:r>
      <w:r>
        <w:rPr>
          <w:rFonts w:ascii="宋体" w:hAnsi="宋体" w:cs="宋体"/>
          <w:b/>
        </w:rPr>
        <w:t>十日</w:t>
      </w:r>
      <w:r>
        <w:rPr>
          <w:rFonts w:ascii="宋体" w:hAnsi="宋体" w:cs="宋体"/>
        </w:rPr>
        <w:t>前按招标公告中的通讯地址，向代理公司或采购人提出。</w:t>
      </w:r>
    </w:p>
    <w:p w14:paraId="63AD2759">
      <w:pPr>
        <w:pStyle w:val="5"/>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ascii="宋体" w:hAnsi="宋体" w:eastAsia="宋体" w:cs="宋体"/>
          <w:sz w:val="21"/>
          <w:szCs w:val="21"/>
        </w:rPr>
        <w:t>9、招标文件的修改</w:t>
      </w:r>
    </w:p>
    <w:p w14:paraId="33C9F16C">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9.1 在投标截止时间前，采购人可以对招标文件进行修改。</w:t>
      </w:r>
    </w:p>
    <w:p w14:paraId="22AAFC36">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9.2采购人和代理公司有权依法推迟投标截止日期和开标日期。</w:t>
      </w:r>
    </w:p>
    <w:p w14:paraId="35C52871">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9.3招标文件的修改、补充文件将作为招标文件的组成部分，并对投标人具有约束力。</w:t>
      </w:r>
    </w:p>
    <w:p w14:paraId="1F8EDAF2">
      <w:pPr>
        <w:pStyle w:val="4"/>
        <w:pBdr>
          <w:top w:val="none" w:color="000000" w:sz="0" w:space="0"/>
          <w:left w:val="none" w:color="000000" w:sz="0" w:space="0"/>
          <w:bottom w:val="none" w:color="000000" w:sz="0" w:space="0"/>
          <w:right w:val="none" w:color="000000" w:sz="0" w:space="0"/>
        </w:pBdr>
        <w:spacing w:before="145" w:after="145" w:line="360" w:lineRule="auto"/>
        <w:ind w:firstLine="422"/>
        <w:rPr>
          <w:sz w:val="21"/>
          <w:szCs w:val="21"/>
        </w:rPr>
      </w:pPr>
      <w:r>
        <w:rPr>
          <w:rFonts w:ascii="宋体" w:hAnsi="宋体" w:eastAsia="宋体" w:cs="宋体"/>
          <w:b/>
          <w:sz w:val="21"/>
          <w:szCs w:val="21"/>
        </w:rPr>
        <w:t>三、投标文件的编制</w:t>
      </w:r>
    </w:p>
    <w:p w14:paraId="1CC22A9E">
      <w:pPr>
        <w:pStyle w:val="5"/>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ascii="宋体" w:hAnsi="宋体" w:eastAsia="宋体" w:cs="宋体"/>
          <w:sz w:val="21"/>
          <w:szCs w:val="21"/>
        </w:rPr>
        <w:t>10、投标文件的语言及度量衡单位</w:t>
      </w:r>
    </w:p>
    <w:p w14:paraId="0BB6E423">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10.1 投标人提交的投标文件以及投标人与采购人、代理公司就有关投标的所有来往通知、函件和文件均应使用</w:t>
      </w:r>
      <w:r>
        <w:rPr>
          <w:rFonts w:ascii="宋体" w:hAnsi="宋体" w:cs="宋体"/>
          <w:b/>
        </w:rPr>
        <w:t>简体中文</w:t>
      </w:r>
      <w:r>
        <w:rPr>
          <w:rFonts w:ascii="宋体" w:hAnsi="宋体" w:cs="宋体"/>
        </w:rPr>
        <w:t>。</w:t>
      </w:r>
    </w:p>
    <w:p w14:paraId="0BED6FAF">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10.2 除技术性能另有规定外，投标文件所使用的度量衡单位，均须采用国家法定计量单位。</w:t>
      </w:r>
    </w:p>
    <w:p w14:paraId="06756892">
      <w:pPr>
        <w:pStyle w:val="5"/>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ascii="宋体" w:hAnsi="宋体" w:eastAsia="宋体" w:cs="宋体"/>
          <w:sz w:val="21"/>
          <w:szCs w:val="21"/>
        </w:rPr>
        <w:t>11、投标文件构成</w:t>
      </w:r>
    </w:p>
    <w:p w14:paraId="35B33E5B">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11.1 投标人编写的投标文件应包括资信证明文件、资格性审查响应对照表、符合性检查响应对照表、投标函、开标一览表、投标产品配置及分项报价表、技术参数响应及偏离表、商务条款响应及偏离表、服务承诺等。</w:t>
      </w:r>
    </w:p>
    <w:p w14:paraId="4ECE3477">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11.2</w:t>
      </w:r>
      <w:r>
        <w:rPr>
          <w:rFonts w:ascii="宋体" w:hAnsi="宋体" w:cs="宋体"/>
          <w:b/>
        </w:rPr>
        <w:t> </w:t>
      </w:r>
      <w:r>
        <w:rPr>
          <w:rFonts w:ascii="宋体" w:hAnsi="宋体" w:cs="宋体"/>
        </w:rPr>
        <w:t>投标人应将投标文件按顺序编制成册，并编制投标文件资料目录。</w:t>
      </w:r>
    </w:p>
    <w:p w14:paraId="613C5751">
      <w:pPr>
        <w:pStyle w:val="5"/>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ascii="宋体" w:hAnsi="宋体" w:eastAsia="宋体" w:cs="宋体"/>
          <w:sz w:val="21"/>
          <w:szCs w:val="21"/>
        </w:rPr>
        <w:t>12、证明投标人资格及符合招标文件规定的文件</w:t>
      </w:r>
    </w:p>
    <w:p w14:paraId="02562438">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12.1投标人应按要求提交资格证明文件及符合招标文件规定的文件。</w:t>
      </w:r>
    </w:p>
    <w:p w14:paraId="37138768">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12.2投标人应提交证明其有资格参加投标和中标后有能力独立履行合同的文件。</w:t>
      </w:r>
    </w:p>
    <w:p w14:paraId="11E6F115">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12.3投标人除必须具有履行合同所需提供的货物以及服务的能力外，还必须具备相应的财务、技术方面的能力。</w:t>
      </w:r>
    </w:p>
    <w:p w14:paraId="72434965">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12.4投标人应提交根据合同要求提供的证明产品质量合格以及符合招标文件规定的证明文件。</w:t>
      </w:r>
    </w:p>
    <w:p w14:paraId="273FBD32">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12.5证明投标人所提供货物与招标文件的要求相一致的文件可以是手册、图纸、文字资料和数据。</w:t>
      </w:r>
    </w:p>
    <w:p w14:paraId="4361C2C1">
      <w:pPr>
        <w:pStyle w:val="5"/>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ascii="宋体" w:hAnsi="宋体" w:eastAsia="宋体" w:cs="宋体"/>
          <w:sz w:val="21"/>
          <w:szCs w:val="21"/>
        </w:rPr>
        <w:t>13、投标产品配置及分项报价表</w:t>
      </w:r>
    </w:p>
    <w:p w14:paraId="6E149A18">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13.1 投标人应按照招标文件规定格式填报投标产品配置及分项报价表。每项货物和服务等只允许有一个报价，任何有选择的报价将不予接受(如有备选配件，备选配件的报价不属于选择的报价)。</w:t>
      </w:r>
    </w:p>
    <w:p w14:paraId="56252895">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13.2 标的物</w:t>
      </w:r>
    </w:p>
    <w:p w14:paraId="0BBAEAF3">
      <w:pPr>
        <w:pBdr>
          <w:top w:val="none" w:color="000000" w:sz="0" w:space="0"/>
          <w:left w:val="none" w:color="000000" w:sz="0" w:space="0"/>
          <w:bottom w:val="none" w:color="000000" w:sz="0" w:space="0"/>
          <w:right w:val="none" w:color="000000" w:sz="0" w:space="0"/>
        </w:pBdr>
        <w:spacing w:line="360" w:lineRule="auto"/>
        <w:ind w:firstLine="422"/>
      </w:pPr>
      <w:r>
        <w:rPr>
          <w:rFonts w:ascii="宋体" w:hAnsi="宋体" w:cs="宋体"/>
          <w:b/>
        </w:rPr>
        <w:t>采购人需求的货物供应、安装，调试及有关技术服务等</w:t>
      </w:r>
      <w:r>
        <w:rPr>
          <w:rFonts w:ascii="宋体" w:hAnsi="宋体" w:cs="宋体"/>
        </w:rPr>
        <w:t>。</w:t>
      </w:r>
    </w:p>
    <w:p w14:paraId="5A664ED0">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13.3计价方式</w:t>
      </w:r>
    </w:p>
    <w:p w14:paraId="23846CAE">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rPr>
      </w:pPr>
      <w:r>
        <w:rPr>
          <w:rFonts w:ascii="宋体" w:hAnsi="宋体" w:cs="宋体"/>
        </w:rPr>
        <w:t>投标报价是履行合同的最终价格（如采购需求发生变化，采购数量按实计算，中标全费用综合单价不变），投标所报单价为全费用综合单价,</w:t>
      </w:r>
      <w:r>
        <w:rPr>
          <w:rFonts w:hint="eastAsia" w:ascii="宋体" w:hAnsi="宋体" w:cs="宋体"/>
        </w:rPr>
        <w:t>包</w:t>
      </w:r>
      <w:r>
        <w:rPr>
          <w:rFonts w:ascii="宋体" w:hAnsi="宋体" w:cs="宋体"/>
        </w:rPr>
        <w:t>含运输及保险、装卸、不符合招标人要求的等免费更换、包装、检测、缺陷维修、材料、机械、劳务、质保期内免费更换、调试、培训、管理、利润、税金、招标代理费</w:t>
      </w:r>
      <w:r>
        <w:rPr>
          <w:rFonts w:hint="eastAsia" w:ascii="宋体" w:hAnsi="宋体" w:cs="宋体"/>
        </w:rPr>
        <w:t>(</w:t>
      </w:r>
      <w:r>
        <w:rPr>
          <w:rFonts w:ascii="宋体" w:hAnsi="宋体" w:cs="宋体"/>
        </w:rPr>
        <w:t>参照苏招协【2022】002号文件</w:t>
      </w:r>
      <w:r>
        <w:rPr>
          <w:rFonts w:hint="eastAsia" w:ascii="宋体" w:hAnsi="宋体" w:cs="宋体"/>
          <w:lang w:val="en-US" w:eastAsia="zh-CN"/>
        </w:rPr>
        <w:t>*40%</w:t>
      </w:r>
      <w:r>
        <w:rPr>
          <w:rFonts w:ascii="宋体" w:hAnsi="宋体" w:cs="宋体"/>
        </w:rPr>
        <w:t>相关规定</w:t>
      </w:r>
      <w:r>
        <w:rPr>
          <w:rFonts w:hint="eastAsia"/>
          <w:color w:val="auto"/>
          <w:highlight w:val="none"/>
        </w:rPr>
        <w:t>向中标单位收取</w:t>
      </w:r>
      <w:r>
        <w:rPr>
          <w:rFonts w:hint="eastAsia" w:ascii="宋体" w:hAnsi="宋体" w:cs="宋体"/>
        </w:rPr>
        <w:t>)</w:t>
      </w:r>
      <w:r>
        <w:rPr>
          <w:rFonts w:ascii="宋体" w:hAnsi="宋体" w:cs="宋体"/>
        </w:rPr>
        <w:t>等以及合同履行过程中包含的所有风险、责任、政策性文件规定以及不可竞争费等所需的全部费用，投标预算书中若有漏项、缺项、少算部分，视同分摊至其余综合单价中，结算时不予增加。</w:t>
      </w:r>
    </w:p>
    <w:p w14:paraId="6CF9F03C">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13.4其它费用处理</w:t>
      </w:r>
    </w:p>
    <w:p w14:paraId="738D7964">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招标文件未列明，而投标人认为必需的费用也需列入报价。</w:t>
      </w:r>
    </w:p>
    <w:p w14:paraId="4DEA71F5">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13.5投标货币</w:t>
      </w:r>
    </w:p>
    <w:p w14:paraId="0E616C5A">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投标文件中的货物单价和总价无特殊规定的采用人民币报价，以元为单位标注。招标文件中另有规定的按规定执行。</w:t>
      </w:r>
    </w:p>
    <w:p w14:paraId="5E8AF6FD">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13.6 投标产品配置及分项报价表上的价格应按下列方式分开填写：</w:t>
      </w:r>
    </w:p>
    <w:p w14:paraId="41130C98">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13.6.1 项目总价：包括买方需求的货物价格、质量保证费用、培训费用及售后服务费用，项目在指定地点、环境交付、安装、调试、验收所需费用和所有相关税金费用及为完成整个项目所产生的其它所有费用。</w:t>
      </w:r>
    </w:p>
    <w:p w14:paraId="07C0568F">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13.6.2项目单价按投标配置及分项报价表中要求填报。</w:t>
      </w:r>
    </w:p>
    <w:p w14:paraId="6B16C4F0">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14</w:t>
      </w:r>
      <w:r>
        <w:rPr>
          <w:rFonts w:ascii="宋体" w:hAnsi="宋体" w:cs="宋体"/>
          <w:b/>
        </w:rPr>
        <w:t>、</w:t>
      </w:r>
      <w:r>
        <w:rPr>
          <w:rFonts w:ascii="宋体" w:hAnsi="宋体" w:cs="宋体"/>
        </w:rPr>
        <w:t>技术参数响应及偏离表、商务条款响应及偏离表及投标货物说明</w:t>
      </w:r>
    </w:p>
    <w:p w14:paraId="33052C3A">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14.1 对招标文件中的技术与商务条款要求逐项作出响应或偏离，并说明原因；</w:t>
      </w:r>
    </w:p>
    <w:p w14:paraId="1DD05813">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14.2 提供参加本项目类似案例简介；</w:t>
      </w:r>
    </w:p>
    <w:p w14:paraId="32A22503">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14.3 培训计划；</w:t>
      </w:r>
    </w:p>
    <w:p w14:paraId="460314DF">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14.4 详细阐述所投货物的主要组成部分、功能设计、实现思路及关键技术；</w:t>
      </w:r>
    </w:p>
    <w:p w14:paraId="18277D3A">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14.5 投标人认为需要的其他技术文件或说明。</w:t>
      </w:r>
    </w:p>
    <w:p w14:paraId="16F93995">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15、服务承诺及售后服务机构、人员的情况介绍</w:t>
      </w:r>
    </w:p>
    <w:p w14:paraId="58B95AA7">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15.1投标人的服务承诺应按不低于招标文件中商务要求的标准。</w:t>
      </w:r>
    </w:p>
    <w:p w14:paraId="29894688">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15.2提供投标人有关售后服务的管理制度、售后服务机构的分布情况、售后服务人员的数量、素质、技术水平及售后服务的反应能力。</w:t>
      </w:r>
    </w:p>
    <w:p w14:paraId="6E6BB030">
      <w:pPr>
        <w:pStyle w:val="5"/>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ascii="宋体" w:hAnsi="宋体" w:eastAsia="宋体" w:cs="宋体"/>
          <w:sz w:val="21"/>
          <w:szCs w:val="21"/>
        </w:rPr>
        <w:t>16、投标函和开标一览表</w:t>
      </w:r>
    </w:p>
    <w:p w14:paraId="1802F063">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16.1 投标人应按照招标文件中提供的格式完整、正确填写投标函、开标一览表。</w:t>
      </w:r>
    </w:p>
    <w:p w14:paraId="257183B9">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16.2 开标一览表中的价格应与投标文件中投标产品配置及分项报价表中的价格一致，如不一致，不作为无效投标处理，但评标时按开标一览表中价格为准</w:t>
      </w:r>
      <w:r>
        <w:rPr>
          <w:rFonts w:ascii="宋体" w:hAnsi="宋体" w:cs="宋体"/>
          <w:b/>
        </w:rPr>
        <w:t>。</w:t>
      </w:r>
    </w:p>
    <w:p w14:paraId="01F50052">
      <w:pPr>
        <w:pStyle w:val="5"/>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ascii="宋体" w:hAnsi="宋体" w:eastAsia="宋体" w:cs="宋体"/>
          <w:sz w:val="21"/>
          <w:szCs w:val="21"/>
        </w:rPr>
        <w:t>17、投标有效期</w:t>
      </w:r>
    </w:p>
    <w:p w14:paraId="689224FD">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18.1 投标有效期为开标之日后</w:t>
      </w:r>
      <w:r>
        <w:rPr>
          <w:rFonts w:ascii="宋体" w:hAnsi="宋体" w:cs="宋体"/>
          <w:b/>
          <w:u w:val="single"/>
        </w:rPr>
        <w:t>六十（60）天</w:t>
      </w:r>
      <w:r>
        <w:rPr>
          <w:rFonts w:ascii="宋体" w:hAnsi="宋体" w:cs="宋体"/>
        </w:rPr>
        <w:t>。投标有效期比规定短的将被视为非响应性投标而予以拒绝。</w:t>
      </w:r>
    </w:p>
    <w:p w14:paraId="63732FAC">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18.2 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w:t>
      </w:r>
    </w:p>
    <w:p w14:paraId="3BEC2F00">
      <w:pPr>
        <w:pStyle w:val="5"/>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ascii="宋体" w:hAnsi="宋体" w:eastAsia="宋体" w:cs="宋体"/>
          <w:sz w:val="21"/>
          <w:szCs w:val="21"/>
        </w:rPr>
        <w:t>18、投标文件份数和签署</w:t>
      </w:r>
    </w:p>
    <w:p w14:paraId="1805DC91">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18.1</w:t>
      </w:r>
      <w:r>
        <w:rPr>
          <w:rFonts w:ascii="宋体" w:hAnsi="宋体" w:cs="宋体"/>
          <w:b/>
        </w:rPr>
        <w:t> </w:t>
      </w:r>
      <w:r>
        <w:rPr>
          <w:rFonts w:ascii="宋体" w:hAnsi="宋体" w:cs="宋体"/>
        </w:rPr>
        <w:t>投标人应严格按照招标公告和招标文件要求的份数准备投标文件，每份投标文件须清楚地标明“正本”或“副本”字样。一旦正本和副本不符，以正本为准。</w:t>
      </w:r>
    </w:p>
    <w:p w14:paraId="3D0F17D0">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18.2</w:t>
      </w:r>
      <w:r>
        <w:rPr>
          <w:rFonts w:ascii="宋体" w:hAnsi="宋体" w:cs="宋体"/>
          <w:b/>
        </w:rPr>
        <w:t> </w:t>
      </w:r>
      <w:r>
        <w:rPr>
          <w:rFonts w:ascii="宋体" w:hAnsi="宋体" w:cs="宋体"/>
        </w:rPr>
        <w:t>投标文件正本中，招标文件要求必须提供原件的按照要求提供，文字材料需打印或用不褪色墨水书写。投标文件的正本须经法定代表人或授权委托人（被授权人）签署和加盖投标人公章。 本采购文件所表述（指定）的公章是指法定名称章，不包括合同专用章、业务专用章等印章。</w:t>
      </w:r>
    </w:p>
    <w:p w14:paraId="3ABA910E">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18.3 除投标人对错处做必要修改外，投标文件不得行间插字、涂改或增删。如有修改错漏处，必须由投标文件签署人签字或盖章。</w:t>
      </w:r>
    </w:p>
    <w:p w14:paraId="3C15DBD0">
      <w:pPr>
        <w:pStyle w:val="4"/>
        <w:pBdr>
          <w:top w:val="none" w:color="000000" w:sz="0" w:space="0"/>
          <w:left w:val="none" w:color="000000" w:sz="0" w:space="0"/>
          <w:bottom w:val="none" w:color="000000" w:sz="0" w:space="0"/>
          <w:right w:val="none" w:color="000000" w:sz="0" w:space="0"/>
        </w:pBdr>
        <w:spacing w:before="145" w:after="145" w:line="360" w:lineRule="auto"/>
        <w:ind w:firstLine="422"/>
        <w:rPr>
          <w:sz w:val="21"/>
          <w:szCs w:val="21"/>
        </w:rPr>
      </w:pPr>
      <w:r>
        <w:rPr>
          <w:rFonts w:ascii="宋体" w:hAnsi="宋体" w:eastAsia="宋体" w:cs="宋体"/>
          <w:b/>
          <w:sz w:val="21"/>
          <w:szCs w:val="21"/>
        </w:rPr>
        <w:t>四、投标文件的递交</w:t>
      </w:r>
    </w:p>
    <w:p w14:paraId="0CD86B10">
      <w:pPr>
        <w:pStyle w:val="5"/>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ascii="宋体" w:hAnsi="宋体" w:eastAsia="宋体" w:cs="宋体"/>
          <w:sz w:val="21"/>
          <w:szCs w:val="21"/>
        </w:rPr>
        <w:t>19、投标文件的密封和标记</w:t>
      </w:r>
    </w:p>
    <w:p w14:paraId="11C34D4A">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19.1投标人应将投标文件正本和所有副本密封，不论投标人中标与否，投标文件均不退回。</w:t>
      </w:r>
    </w:p>
    <w:p w14:paraId="6E1F08E3">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19.2密封的投标文件应：</w:t>
      </w:r>
    </w:p>
    <w:p w14:paraId="6C86F577">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19.2.1注明投标人名称，如因标注不清而产生的后果由投标人自负。按招标公告中注明的地址送达；</w:t>
      </w:r>
    </w:p>
    <w:p w14:paraId="32D8D79E">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19.2.2 注明投标项目名称、标书编号及包号。</w:t>
      </w:r>
    </w:p>
    <w:p w14:paraId="42329291">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19.2.3未按要求密封和加写标记，采购人对误投或过早启封概不负责。对由此造成提前开封的投标文件，采购人将予以拒绝。</w:t>
      </w:r>
    </w:p>
    <w:p w14:paraId="13C3508A">
      <w:pPr>
        <w:pStyle w:val="5"/>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ascii="宋体" w:hAnsi="宋体" w:eastAsia="宋体" w:cs="宋体"/>
          <w:sz w:val="21"/>
          <w:szCs w:val="21"/>
        </w:rPr>
        <w:t>20、投标截止日期</w:t>
      </w:r>
    </w:p>
    <w:p w14:paraId="19B77212">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20.1采购人收到投标文件的时间不得迟于招标公告中规定的截止时间。</w:t>
      </w:r>
    </w:p>
    <w:p w14:paraId="28F2FA68">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20.2采购人有权通过修改招标文件酌情延长投标截止日期，在此情况下，投标人的所有权利和义务以及投标人受制的截止日期均应以延长后新的截止日期为准。</w:t>
      </w:r>
    </w:p>
    <w:p w14:paraId="429D27BD">
      <w:pPr>
        <w:pStyle w:val="5"/>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ascii="宋体" w:hAnsi="宋体" w:eastAsia="宋体" w:cs="宋体"/>
          <w:sz w:val="21"/>
          <w:szCs w:val="21"/>
        </w:rPr>
        <w:t>21、迟交的投标文件</w:t>
      </w:r>
    </w:p>
    <w:p w14:paraId="16243E6A">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21.1采购人拒绝接收在其规定的投标截止时间后递交的任何投标文件。</w:t>
      </w:r>
    </w:p>
    <w:p w14:paraId="3D12E957">
      <w:pPr>
        <w:pStyle w:val="5"/>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ascii="宋体" w:hAnsi="宋体" w:eastAsia="宋体" w:cs="宋体"/>
          <w:sz w:val="21"/>
          <w:szCs w:val="21"/>
        </w:rPr>
        <w:t>22、投标文件的修改和撤回</w:t>
      </w:r>
    </w:p>
    <w:p w14:paraId="17E4E0CC">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22.1投标人在递交投标文件后，可以修改或撤回其投标文件，但这种修改和撤回，必须在规定的投标截止时间前，以书面形式通知采购人，修改或撤回其投标文件。</w:t>
      </w:r>
    </w:p>
    <w:p w14:paraId="75A0459F">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22.2投标人的修改或撤回文件应按规定进行编制、密封、标记和发送，并应在封套上加注“修改”或“撤回”字样。上述补充或修改若涉及投标报价，必须注明“最后唯一报价”字样，否则将视为有选择的报价。修改文件必须在投标截止时间前送达采购人。</w:t>
      </w:r>
    </w:p>
    <w:p w14:paraId="56F995DA">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22.3在投标截止时间之后，投标人不得对其投标文件作任何修改。</w:t>
      </w:r>
    </w:p>
    <w:p w14:paraId="68A06463">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22.4在投标截止时间至招标文件中规定的投标有效期满之间的这段时间内，投标人不得撤回其投标。</w:t>
      </w:r>
    </w:p>
    <w:p w14:paraId="7306832E">
      <w:pPr>
        <w:pBdr>
          <w:top w:val="none" w:color="000000" w:sz="0" w:space="0"/>
          <w:left w:val="none" w:color="000000" w:sz="0" w:space="0"/>
          <w:bottom w:val="none" w:color="000000" w:sz="0" w:space="0"/>
          <w:right w:val="none" w:color="000000" w:sz="0" w:space="0"/>
        </w:pBdr>
        <w:spacing w:before="145" w:after="145" w:line="360" w:lineRule="auto"/>
        <w:ind w:firstLine="321"/>
      </w:pPr>
      <w:r>
        <w:rPr>
          <w:rFonts w:ascii="宋体" w:hAnsi="宋体" w:cs="宋体"/>
          <w:b/>
        </w:rPr>
        <w:t>五、开标与评标</w:t>
      </w:r>
    </w:p>
    <w:p w14:paraId="2E6EEA54">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23、开标</w:t>
      </w:r>
    </w:p>
    <w:p w14:paraId="7585C2AD">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rPr>
        <w:t>23.1采购人将在招标公告中规定的时间和地点组织公开开标。投标人应当按照《操作手册》规定，参加开标活动和在苏采云系统规定的时间内对投标文件进行解密。</w:t>
      </w:r>
    </w:p>
    <w:p w14:paraId="19765E0A">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rPr>
        <w:t>23.2开标仪式由采购人组织。苏采云系统将自动对项目进行开标，并宣布各投标人名称和投标价格。</w:t>
      </w:r>
    </w:p>
    <w:p w14:paraId="6D39BC1F">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rPr>
        <w:t>23.3投标人在开标过程中涉及到的投标文件解密、开标结果确认等工作，应按照《操作手册》规定执行。</w:t>
      </w:r>
    </w:p>
    <w:p w14:paraId="129E7FE4">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rPr>
        <w:t>23.4投标人如果对开标过程和开标记录有疑义，应当根据《操作手册》规定提出，如苏采云系统中《开标记录表》宣布后5分钟内未提出的，视同认可开标结果。</w:t>
      </w:r>
    </w:p>
    <w:p w14:paraId="5F2606A0">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24、资格审查</w:t>
      </w:r>
    </w:p>
    <w:p w14:paraId="7A22C6D8">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rPr>
        <w:t>24.1依据法律法规和招标文件的约定，开标结束后，由采购人对投标文件中的资格证明文件进行审查。资格审查的结论，采购人以书面形式向评委会进行反馈。未通过资格审查的投标人，由采购人告知未通过资格审查的原因。</w:t>
      </w:r>
    </w:p>
    <w:p w14:paraId="1B9923D3">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rPr>
        <w:t>采购人在进行资格性审查的同时，将在“信用中国”网站（www.creditchina.gov.cn）对投标人是否被列入失信被执行人、重大税收违法案件当事人名单、政府采购严重失信行为记录名单情况进行查询，以确定投标人是否具备投标资格。查询结果将以网页打印的形式留存并归档。</w:t>
      </w:r>
    </w:p>
    <w:p w14:paraId="60F0ED1A">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rPr>
        <w:t>接受联合体的项目，两个以上的自然人、法人或者其他组织组成一个联合体，以一个供应商的身份共同参加政府采购活动的,联合体成员存在不良信用记录的，视同联合体存在不良应用记录。</w:t>
      </w:r>
    </w:p>
    <w:p w14:paraId="68EAEAED">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rPr>
        <w:t>合格投标人不足3家的，不得评标。</w:t>
      </w:r>
    </w:p>
    <w:p w14:paraId="31391BAD">
      <w:pPr>
        <w:pStyle w:val="5"/>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ascii="宋体" w:hAnsi="宋体" w:eastAsia="宋体" w:cs="宋体"/>
          <w:sz w:val="21"/>
          <w:szCs w:val="21"/>
        </w:rPr>
        <w:t>25、评标委员会</w:t>
      </w:r>
    </w:p>
    <w:p w14:paraId="524127E8">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25.1资格审查通过后，采购人将组织评标委员会（以下简称评委会）进行评标。</w:t>
      </w:r>
    </w:p>
    <w:p w14:paraId="0A32B9D4">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25.2 评委会由采购人代表和有关技术、经济等方面的专家组成，且人员构成符合政府采购有关规定。</w:t>
      </w:r>
    </w:p>
    <w:p w14:paraId="594A59D0">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25.3评委会独立工作，负责评审所有投标文件并确定中标侯选人。</w:t>
      </w:r>
    </w:p>
    <w:p w14:paraId="758AEF53">
      <w:pPr>
        <w:pStyle w:val="5"/>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ascii="宋体" w:hAnsi="宋体" w:eastAsia="宋体" w:cs="宋体"/>
          <w:sz w:val="21"/>
          <w:szCs w:val="21"/>
        </w:rPr>
        <w:t>26、评标过程的保密与公正</w:t>
      </w:r>
    </w:p>
    <w:p w14:paraId="2A519AF0">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26.1公开开标后，直至签订合同之日止，凡是与审查、澄清、评价和比较投标的有关资料以及授标建议等，采购人、评委、采购人均不得向投标人或与评标无关的其他人员透露。</w:t>
      </w:r>
    </w:p>
    <w:p w14:paraId="6352BD8B">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26.2在评标过程中，投标人不得以任何行为影响评标过程，否则其投标文件将被作为无效投标文件。</w:t>
      </w:r>
    </w:p>
    <w:p w14:paraId="1B67E14A">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26.3在评标期间，采购人将设专门人员与投标人联系。</w:t>
      </w:r>
    </w:p>
    <w:p w14:paraId="22DDDD5B">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26.4 采购人和评标委员会不向落标的投标人解释未中标原因，也不公布评标过程中的相关细节。</w:t>
      </w:r>
    </w:p>
    <w:p w14:paraId="7D29C28C">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26.5 采用综合评分法的项目，未中标的投标人如需了解自己的评审得分及排序情况，可向采购人提出申请。</w:t>
      </w:r>
    </w:p>
    <w:p w14:paraId="400BCE24">
      <w:pPr>
        <w:pStyle w:val="5"/>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ascii="宋体" w:hAnsi="宋体" w:eastAsia="宋体" w:cs="宋体"/>
          <w:sz w:val="21"/>
          <w:szCs w:val="21"/>
        </w:rPr>
        <w:t>27、投标的澄清</w:t>
      </w:r>
    </w:p>
    <w:p w14:paraId="2D0F5D31">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27.1评标期间，为有助于对投标文件的审查、评价和比较，评委会有权以书面形式要求投标人对其投标文件进行澄清，但并非对每个投标人都作澄清要求。</w:t>
      </w:r>
    </w:p>
    <w:p w14:paraId="5F37118C">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27.2接到评委会澄清要求的投标人应派人按评委会通知的时间和地点做出书面澄清，书面澄清的内容须由投标人法人或授权代表签署，并作为投标文件的补充部分，但投标的价格和实质性的内容不得做任何更改。</w:t>
      </w:r>
    </w:p>
    <w:p w14:paraId="5C035BB1">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27.3 接到评委会澄清要求的投标人如未按规定做出澄清，其风险由投标人自行承担。</w:t>
      </w:r>
    </w:p>
    <w:p w14:paraId="2CA08545">
      <w:pPr>
        <w:pStyle w:val="5"/>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ascii="宋体" w:hAnsi="宋体" w:eastAsia="宋体" w:cs="宋体"/>
          <w:sz w:val="21"/>
          <w:szCs w:val="21"/>
        </w:rPr>
        <w:t>28、对投标文件的评审</w:t>
      </w:r>
    </w:p>
    <w:p w14:paraId="6CABA6EC">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28.1符合性检查：依据招标文件的规定，从投标文件的有效性、完整性和对招标文件的响应程度进行审查，以确定是否对招标文件的实质性要求作出响应。</w:t>
      </w:r>
    </w:p>
    <w:p w14:paraId="6E65A3F1">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28.2在详细评标之前，评委会将首先审查每份投标文件是否实质性响应了招标文件的要求。实质性响应的投标应该是与招标文件要求的全部条款、条件和规格相符，没有重大偏离或保留的投标。</w:t>
      </w:r>
    </w:p>
    <w:p w14:paraId="51222C14">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委会按照少数服从多数的原则作出结论。认定评委决定投标文件的响应性只根据投标文件本身的内容，而不寻求外部的证据。</w:t>
      </w:r>
    </w:p>
    <w:p w14:paraId="38E7DE56">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28.3如果投标文件实质上没有响应招标文件的要求，评委会将按无效投标处理，投标人不得通过修改或撤销不合要求的偏离或保留而使其投标成为实质性响应的投标。</w:t>
      </w:r>
    </w:p>
    <w:p w14:paraId="27B71DD2">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28.4评委会将对确定为实质性响应的投标进行进一步审核，看其是否有计算上或累加上的算术错误，修正错误的原则如下：</w:t>
      </w:r>
    </w:p>
    <w:p w14:paraId="03181AD7">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（1）投标文件中开标一览表内容与投标文件中相应内容不一致的，以开标一览表为准。</w:t>
      </w:r>
    </w:p>
    <w:p w14:paraId="16034556">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（2）大写金额和小写金额不一致的，以大写金额为准。</w:t>
      </w:r>
    </w:p>
    <w:p w14:paraId="27E9F8FF">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（3）单价金额小数点或者百分比有明显错位的，以开标一览表的总价为准，并修改单价。</w:t>
      </w:r>
    </w:p>
    <w:p w14:paraId="6437FB8D">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（4）总价金额与按单价汇总金额不一致的，以单价金额计算结果为准。</w:t>
      </w:r>
    </w:p>
    <w:p w14:paraId="6F192819">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同时出现两种以上错误的，按照前款规定的顺序修正。</w:t>
      </w:r>
    </w:p>
    <w:p w14:paraId="5CC47B62">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28.5评委会将按上述修正错误的方法调整投标文件中的投标报价，调整后的价格应对投标人具有约束力。如果投标人不接受修正后的价格，则其投标将被拒绝。</w:t>
      </w:r>
    </w:p>
    <w:p w14:paraId="54428455">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28.6评委会将允许修正投标文件中不构成重大偏离的、微小的、非正规的、不一致的或不规则的地方，但这些修改不能影响任何投标人相应的名次排列。</w:t>
      </w:r>
    </w:p>
    <w:p w14:paraId="1A4700E6">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28.7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42825758">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119142E7">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非单一产品采购项目，采购人应当根据采购项目技术构成、产品价格比重等合理确定核心产品，并在招标文件中载明。多家投标人提供的核心产品品牌相同的，按前两款规定处理。(87号令第31条)</w:t>
      </w:r>
    </w:p>
    <w:p w14:paraId="37BBD495">
      <w:pPr>
        <w:pStyle w:val="5"/>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ascii="宋体" w:hAnsi="宋体" w:eastAsia="宋体" w:cs="宋体"/>
          <w:sz w:val="21"/>
          <w:szCs w:val="21"/>
        </w:rPr>
        <w:t>29、无效投标条款和废标条款</w:t>
      </w:r>
    </w:p>
    <w:p w14:paraId="5ADD6149">
      <w:pPr>
        <w:pBdr>
          <w:top w:val="none" w:color="000000" w:sz="0" w:space="0"/>
          <w:left w:val="none" w:color="000000" w:sz="0" w:space="0"/>
          <w:bottom w:val="none" w:color="000000" w:sz="0" w:space="0"/>
          <w:right w:val="none" w:color="000000" w:sz="0" w:space="0"/>
        </w:pBdr>
        <w:spacing w:line="360" w:lineRule="auto"/>
        <w:ind w:firstLine="422"/>
      </w:pPr>
      <w:r>
        <w:rPr>
          <w:rFonts w:ascii="宋体" w:hAnsi="宋体" w:cs="宋体"/>
          <w:b/>
        </w:rPr>
        <w:t>29.1无效投标条款</w:t>
      </w:r>
    </w:p>
    <w:p w14:paraId="5A5FC6FF">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29.1.1未按照招标文件规定格式要求密封、签署、盖章的；</w:t>
      </w:r>
    </w:p>
    <w:p w14:paraId="7D93C9ED">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29.1.2投标人在报价时采用选择性报价；</w:t>
      </w:r>
    </w:p>
    <w:p w14:paraId="3BD10E57">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29.1.3投标人不具备招标文件中规定资格要求的；</w:t>
      </w:r>
    </w:p>
    <w:p w14:paraId="7B912B4D">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29.1.4投标人的报价超过了采购预算或最高限价的；</w:t>
      </w:r>
    </w:p>
    <w:p w14:paraId="734289DC">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29.1.5未通过符合性检查的；</w:t>
      </w:r>
    </w:p>
    <w:p w14:paraId="49B540DF">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29.1.6不符合招标文件中规定的其他实质性要求和条件的；</w:t>
      </w:r>
    </w:p>
    <w:p w14:paraId="735164FD">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29.1.7投标人串通投标；</w:t>
      </w:r>
    </w:p>
    <w:p w14:paraId="3F4C747F">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rPr>
      </w:pPr>
      <w:r>
        <w:rPr>
          <w:rFonts w:ascii="宋体" w:hAnsi="宋体" w:cs="宋体"/>
        </w:rPr>
        <w:t>29.1.8投标文件含有采购人不能接受的附加条件的。</w:t>
      </w:r>
    </w:p>
    <w:p w14:paraId="5BC430B6">
      <w:pPr>
        <w:spacing w:line="360" w:lineRule="auto"/>
        <w:ind w:firstLine="480"/>
        <w:rPr>
          <w:rFonts w:ascii="宋体" w:hAnsi="宋体" w:cs="宋体"/>
        </w:rPr>
      </w:pPr>
      <w:r>
        <w:rPr>
          <w:rFonts w:hint="eastAsia" w:ascii="宋体" w:hAnsi="宋体" w:cs="宋体"/>
        </w:rPr>
        <w:t>29.1.9</w:t>
      </w:r>
      <w:r>
        <w:rPr>
          <w:rFonts w:hint="eastAsia" w:ascii="宋体" w:hAnsi="宋体"/>
          <w:bCs/>
          <w:sz w:val="21"/>
          <w:szCs w:val="21"/>
        </w:rPr>
        <w:t>评标委员会认为投标人的报价明显低于其他通过符合性审查投标人的报价，有可能影响产品质量或者不能诚信履约的，将通过</w:t>
      </w:r>
      <w:r>
        <w:rPr>
          <w:rFonts w:hint="eastAsia" w:ascii="宋体" w:hAnsi="宋体"/>
          <w:sz w:val="21"/>
          <w:szCs w:val="21"/>
        </w:rPr>
        <w:t>苏采云系统</w:t>
      </w:r>
      <w:r>
        <w:rPr>
          <w:rFonts w:hint="eastAsia" w:ascii="宋体" w:hAnsi="宋体"/>
          <w:bCs/>
          <w:sz w:val="21"/>
          <w:szCs w:val="21"/>
        </w:rPr>
        <w:t>要求其在合理的时间内提供说明，必要时提交相关证明材料；投标人不能证明其报价合理性的，评标委员会应当将其作为无效投标处理。</w:t>
      </w:r>
    </w:p>
    <w:p w14:paraId="0BB00546">
      <w:pPr>
        <w:pBdr>
          <w:top w:val="none" w:color="000000" w:sz="0" w:space="0"/>
          <w:left w:val="none" w:color="000000" w:sz="0" w:space="0"/>
          <w:bottom w:val="none" w:color="000000" w:sz="0" w:space="0"/>
          <w:right w:val="none" w:color="000000" w:sz="0" w:space="0"/>
        </w:pBdr>
        <w:spacing w:line="360" w:lineRule="auto"/>
        <w:ind w:firstLine="420"/>
        <w:rPr>
          <w:rFonts w:eastAsia="Times New Roman"/>
        </w:rPr>
      </w:pPr>
      <w:r>
        <w:rPr>
          <w:rFonts w:ascii="宋体" w:hAnsi="宋体" w:cs="宋体"/>
        </w:rPr>
        <w:t>29.1.10其他法律、法规及本招标文件规定的属无效投标的情形。</w:t>
      </w:r>
    </w:p>
    <w:p w14:paraId="13F4347F">
      <w:pPr>
        <w:pBdr>
          <w:top w:val="none" w:color="000000" w:sz="0" w:space="0"/>
          <w:left w:val="none" w:color="000000" w:sz="0" w:space="0"/>
          <w:bottom w:val="none" w:color="000000" w:sz="0" w:space="0"/>
          <w:right w:val="none" w:color="000000" w:sz="0" w:space="0"/>
        </w:pBdr>
        <w:spacing w:line="360" w:lineRule="auto"/>
        <w:ind w:firstLine="422"/>
        <w:jc w:val="left"/>
        <w:rPr>
          <w:rFonts w:ascii="宋体" w:hAnsi="宋体" w:cs="宋体"/>
        </w:rPr>
      </w:pPr>
      <w:r>
        <w:rPr>
          <w:rFonts w:ascii="宋体" w:hAnsi="宋体" w:cs="宋体"/>
          <w:b/>
        </w:rPr>
        <w:t>29.2废标条款：</w:t>
      </w:r>
      <w:r>
        <w:rPr>
          <w:rFonts w:ascii="宋体" w:hAnsi="宋体" w:cs="宋体"/>
        </w:rPr>
        <w:t> </w:t>
      </w:r>
    </w:p>
    <w:p w14:paraId="050DA49C">
      <w:pPr>
        <w:pBdr>
          <w:top w:val="none" w:color="000000" w:sz="0" w:space="0"/>
          <w:left w:val="none" w:color="000000" w:sz="0" w:space="0"/>
          <w:bottom w:val="none" w:color="000000" w:sz="0" w:space="0"/>
          <w:right w:val="none" w:color="000000" w:sz="0" w:space="0"/>
        </w:pBdr>
        <w:spacing w:line="360" w:lineRule="auto"/>
        <w:ind w:firstLine="422"/>
        <w:jc w:val="left"/>
        <w:rPr>
          <w:rFonts w:eastAsia="Times New Roman"/>
        </w:rPr>
      </w:pPr>
      <w:r>
        <w:rPr>
          <w:rFonts w:ascii="宋体" w:hAnsi="宋体" w:cs="宋体"/>
        </w:rPr>
        <w:t>29.2.1符合专业条件的供应商或者对招标文件作实质响应的供应商不足三家的；</w:t>
      </w:r>
    </w:p>
    <w:p w14:paraId="2C7DA610">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29.2.2出现影响采购公正的违法、违规行为的；</w:t>
      </w:r>
    </w:p>
    <w:p w14:paraId="06A38904">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29.2.3因重大变故，采购任务取消的；</w:t>
      </w:r>
    </w:p>
    <w:p w14:paraId="540621F7">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29.2.4评标委员会认定招标文件存在歧义、 重大缺陷导致评审工作无法进行。</w:t>
      </w:r>
    </w:p>
    <w:p w14:paraId="17B40AC3">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29.3 投标截止时间结束后参加投标的供应商不足三家的处理：</w:t>
      </w:r>
    </w:p>
    <w:p w14:paraId="55BEBF25">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29.3.1如出现投标截止时间结束后参加投标的供应商或者在评标期间对招标文件做出实质响应的供应商不足三家情况，按财政部第八十七号令第四十三条的规定执行。</w:t>
      </w:r>
    </w:p>
    <w:p w14:paraId="1DFD2E1D">
      <w:pPr>
        <w:pStyle w:val="4"/>
        <w:pBdr>
          <w:top w:val="none" w:color="000000" w:sz="0" w:space="0"/>
          <w:left w:val="none" w:color="000000" w:sz="0" w:space="0"/>
          <w:bottom w:val="none" w:color="000000" w:sz="0" w:space="0"/>
          <w:right w:val="none" w:color="000000" w:sz="0" w:space="0"/>
        </w:pBdr>
        <w:spacing w:before="145" w:after="145" w:line="360" w:lineRule="auto"/>
        <w:ind w:firstLine="422"/>
        <w:rPr>
          <w:sz w:val="21"/>
          <w:szCs w:val="21"/>
        </w:rPr>
      </w:pPr>
      <w:r>
        <w:rPr>
          <w:rFonts w:ascii="宋体" w:hAnsi="宋体" w:eastAsia="宋体" w:cs="宋体"/>
          <w:b/>
          <w:sz w:val="21"/>
          <w:szCs w:val="21"/>
        </w:rPr>
        <w:t>六、定标</w:t>
      </w:r>
    </w:p>
    <w:p w14:paraId="43903918">
      <w:pPr>
        <w:pStyle w:val="5"/>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ascii="宋体" w:hAnsi="宋体" w:eastAsia="宋体" w:cs="宋体"/>
          <w:sz w:val="21"/>
          <w:szCs w:val="21"/>
        </w:rPr>
        <w:t>30、确定中标单位</w:t>
      </w:r>
    </w:p>
    <w:p w14:paraId="5EB31833">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30.1评委会根据本招标文件规定评标方法与评标标准向采购人推荐出中标候选人。</w:t>
      </w:r>
    </w:p>
    <w:p w14:paraId="6E7B7871">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30.2 采购人应根据评委会推荐的中标候选人确定中标供应商。</w:t>
      </w:r>
    </w:p>
    <w:p w14:paraId="58170A78">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30.3采购人将在“中国政府采购网”、 “江苏政府采购网”、“盐城市政府采购网”发布中标公告，公告期限为1个工作日。</w:t>
      </w:r>
    </w:p>
    <w:p w14:paraId="432F13CB">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30.4若有充分证据证明，中标供应商出现下列情况之一的，一经查实，将被取消中标资格：</w:t>
      </w:r>
    </w:p>
    <w:p w14:paraId="58445594">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30.4.1提供虚假材料谋取中标的；</w:t>
      </w:r>
    </w:p>
    <w:p w14:paraId="7781AA98">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30.4.2向采购人、代理公司行贿或者提供其他不正当利益的；</w:t>
      </w:r>
    </w:p>
    <w:p w14:paraId="76072CF6">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30.4.3恶意竞争，投标总报价明显低于其自身合理成本且又无法提供证明的；</w:t>
      </w:r>
    </w:p>
    <w:p w14:paraId="66F87378">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30.4.4属于本文件规定的无效条件，但在评标过程中又未被评委会发现的；</w:t>
      </w:r>
    </w:p>
    <w:p w14:paraId="584CAA7D">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30.4.5与采购人或者其他供应商恶意串通的；</w:t>
      </w:r>
    </w:p>
    <w:p w14:paraId="2D5898C9">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30.4.6采取不正当手段诋毁、排挤其他供应商的；</w:t>
      </w:r>
    </w:p>
    <w:p w14:paraId="7A8D9917">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30.4.7不符合</w:t>
      </w:r>
      <w:r>
        <w:rPr>
          <w:rFonts w:hint="eastAsia" w:ascii="宋体" w:hAnsi="宋体" w:cs="宋体"/>
        </w:rPr>
        <w:t>法律法规</w:t>
      </w:r>
      <w:r>
        <w:rPr>
          <w:rFonts w:ascii="宋体" w:hAnsi="宋体" w:cs="宋体"/>
        </w:rPr>
        <w:t>的规定的。</w:t>
      </w:r>
    </w:p>
    <w:p w14:paraId="77E7501A">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30.5. 有下列情形之一的，视为投标人串通投标，投标无效：</w:t>
      </w:r>
    </w:p>
    <w:p w14:paraId="618C8219">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30.5.1不同投标人的投标文件由同一单位或者个人编制。</w:t>
      </w:r>
    </w:p>
    <w:p w14:paraId="2D8C2393">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30.5.2不同投标人委托同一单位或者个人办理投标事宜。</w:t>
      </w:r>
    </w:p>
    <w:p w14:paraId="1BB237CB">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30.5.3 不同投标人的投标文件载明的项目管理成员或者联系人员为同一人。</w:t>
      </w:r>
    </w:p>
    <w:p w14:paraId="65081450">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30.5.4不同投标人的投标文件异常一致或者投标报价呈规律性差异。</w:t>
      </w:r>
    </w:p>
    <w:p w14:paraId="0D3857CA">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30.5.5不同投标人的投标文件相互混装。</w:t>
      </w:r>
    </w:p>
    <w:p w14:paraId="2E0F65BE">
      <w:pPr>
        <w:pStyle w:val="5"/>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ascii="宋体" w:hAnsi="宋体" w:eastAsia="宋体" w:cs="宋体"/>
          <w:sz w:val="21"/>
          <w:szCs w:val="21"/>
        </w:rPr>
        <w:t>31、质疑处理</w:t>
      </w:r>
    </w:p>
    <w:p w14:paraId="35FDA1EE">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31.1供应商认为采购文件、采购过程、中标或者成交结果使自己的权益</w:t>
      </w:r>
      <w:r>
        <w:rPr>
          <w:rFonts w:hint="eastAsia" w:ascii="宋体" w:hAnsi="宋体" w:cs="宋体"/>
        </w:rPr>
        <w:t>受到</w:t>
      </w:r>
      <w:r>
        <w:rPr>
          <w:rFonts w:ascii="宋体" w:hAnsi="宋体" w:cs="宋体"/>
        </w:rPr>
        <w:t>损害的，可以在知道或者应知其权益受到损害之日起7个工作日内，以书面形式在法定质疑期内一次性提出针对同一采购程序环节的质疑。供应商提出质疑应当符合财政部令第94号《政府采购质疑和投诉办法》相关规定。上述应知其权益受到损害之日，是指：</w:t>
      </w:r>
    </w:p>
    <w:p w14:paraId="55D0EA62">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31.1.1对可以质疑的招标文件提出质疑的，为收到招标文件之日或者招标文件公告期限届满之日；</w:t>
      </w:r>
    </w:p>
    <w:p w14:paraId="15D3A7AF">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31.1.2对采购过程提出质疑的，为各采购程序环节结束之日；</w:t>
      </w:r>
    </w:p>
    <w:p w14:paraId="17BD439B">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31.1.3对中标结果提出质疑的，为中标结果公告期限届满之日。</w:t>
      </w:r>
    </w:p>
    <w:p w14:paraId="1516B0FF">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31.2质疑必须按《政府采购法》、《政府采购法实施条例》及《江苏省政府采购供应商监督管理暂行办法》的相关规定提交，未按上述要求提交的质疑函（含传真、电子邮件等）采购人有权不予受理。</w:t>
      </w:r>
    </w:p>
    <w:p w14:paraId="764E0990">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31.3未参加投标活动的供应商或在投标活动中自身权益未受到损害的供应商所提出的质疑不予受理。</w:t>
      </w:r>
    </w:p>
    <w:p w14:paraId="2B1B0EFB">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31.4质疑函应当包括下列内容：</w:t>
      </w:r>
    </w:p>
    <w:p w14:paraId="6D18BA09">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31.4.1质疑投标人的名称、地址、邮编、联系人、联系电话；</w:t>
      </w:r>
    </w:p>
    <w:p w14:paraId="518072C9">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31.4.2具体的质疑事项及明确的请求；</w:t>
      </w:r>
    </w:p>
    <w:p w14:paraId="18DCF3DE">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31.4.3认为自己合法权益受到损害或可能受到损害的相关证据材料；</w:t>
      </w:r>
    </w:p>
    <w:p w14:paraId="6BAD41E8">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31.4.4提起质疑的日期；</w:t>
      </w:r>
    </w:p>
    <w:p w14:paraId="4CC2C1A8">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31.4.5质疑函应当署名：质疑人为自然人的，应当由本人签字并附有效身份证明；质疑人为法人或其他组织的，应当由法定代表人签字并加盖单位公章。（质疑人为联合体的，则联合体各方法定代表人均须签字并加盖单位公章），未按要求签字和盖章的为无效质疑，采购人将不予受理。)质疑人委托代理质疑的，应当向采购人提交授权委托书，并载明委托代理的具体权限和事项。</w:t>
      </w:r>
    </w:p>
    <w:p w14:paraId="0257179E">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31.5采购人收到质疑函后，将对质疑的形式和内容进行审查，如质疑函内容、格式不符合规定，采购人将告知质疑人进行补正。</w:t>
      </w:r>
    </w:p>
    <w:p w14:paraId="5F7830CD">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31.6质疑人应当在法定质疑期限内进行补正并重新提交质疑函，拒不补正或者在法定期限内未重新提交质疑函的，为无效质疑，采购人将不予受理。</w:t>
      </w:r>
    </w:p>
    <w:p w14:paraId="4113212E">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31.7对于内容、格式符合规定的质疑函，采购人应当在收到投标供应商的书面质疑后七个工作日内作出答复，并以书面形式通知质疑供应商和其他有关供应商，但答复的内容不得涉及商业秘密。</w:t>
      </w:r>
    </w:p>
    <w:p w14:paraId="606EB54A">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31.8投标人提出书面质疑必须有理、有据，不得恶意质疑或提交虚假质疑。否则，一经查实，采购人有权依据政府采购的有关规定，报请政府采购监管部门对该投标人进行相应的行政处罚，并扣减其诚信记录分。</w:t>
      </w:r>
    </w:p>
    <w:p w14:paraId="0B34C251">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32、投诉</w:t>
      </w:r>
    </w:p>
    <w:p w14:paraId="105C53F0">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质疑供应商对采购人、采购代理机构的答复不满意的，或者采购人、采购代理机构未在规定时间内作出答复的，可以在答复期满后15个工作日内向盐城市大丰区财政局提起投诉。提起投诉应当符合财政部令第94号《政府采购质疑和投诉办法》相关规定。</w:t>
      </w:r>
    </w:p>
    <w:p w14:paraId="2A3D2BC9">
      <w:pPr>
        <w:pStyle w:val="5"/>
        <w:pBdr>
          <w:top w:val="none" w:color="000000" w:sz="0" w:space="0"/>
          <w:left w:val="none" w:color="000000" w:sz="0" w:space="0"/>
          <w:bottom w:val="none" w:color="000000" w:sz="0" w:space="0"/>
          <w:right w:val="none" w:color="000000" w:sz="0" w:space="0"/>
        </w:pBdr>
        <w:spacing w:before="0" w:after="0" w:line="360" w:lineRule="auto"/>
        <w:ind w:firstLine="420"/>
        <w:rPr>
          <w:sz w:val="21"/>
          <w:szCs w:val="21"/>
        </w:rPr>
      </w:pPr>
      <w:r>
        <w:rPr>
          <w:rFonts w:ascii="宋体" w:hAnsi="宋体" w:eastAsia="宋体" w:cs="宋体"/>
          <w:sz w:val="21"/>
          <w:szCs w:val="21"/>
        </w:rPr>
        <w:t>33、中标通知书</w:t>
      </w:r>
    </w:p>
    <w:p w14:paraId="6961CDD6">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33.l中标结果确定后，采购人将向中标供应商发出中标通知书。</w:t>
      </w:r>
    </w:p>
    <w:p w14:paraId="1E2ADBEA">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33.2中标通知书将是合同的一个组成部分。对采购人和中标供应商均具有法律效力。中标通知书发出后，采购人改变中标结果的，或者中标供应商放弃中标项目的，应当依法承担法律责任。</w:t>
      </w:r>
    </w:p>
    <w:p w14:paraId="7F6BA740">
      <w:pPr>
        <w:keepNext/>
        <w:keepLines/>
        <w:spacing w:line="480" w:lineRule="exact"/>
        <w:ind w:firstLine="482"/>
        <w:outlineLvl w:val="2"/>
        <w:rPr>
          <w:rFonts w:ascii="宋体" w:hAnsi="宋体"/>
          <w:b/>
          <w:bCs/>
          <w:sz w:val="24"/>
          <w:szCs w:val="24"/>
        </w:rPr>
      </w:pPr>
      <w:r>
        <w:rPr>
          <w:rFonts w:hint="eastAsia" w:ascii="宋体" w:hAnsi="宋体"/>
          <w:b/>
          <w:bCs/>
          <w:sz w:val="24"/>
          <w:szCs w:val="24"/>
        </w:rPr>
        <w:t>七、合同签订相关事项</w:t>
      </w:r>
    </w:p>
    <w:p w14:paraId="2B4F1962">
      <w:pPr>
        <w:keepNext/>
        <w:keepLines/>
        <w:spacing w:line="480" w:lineRule="exact"/>
        <w:ind w:firstLine="480"/>
        <w:outlineLvl w:val="3"/>
        <w:rPr>
          <w:rFonts w:ascii="宋体" w:hAnsi="宋体"/>
          <w:bCs/>
        </w:rPr>
      </w:pPr>
      <w:r>
        <w:rPr>
          <w:rFonts w:hint="eastAsia" w:ascii="宋体" w:hAnsi="宋体"/>
          <w:bCs/>
        </w:rPr>
        <w:t>33、签订合同</w:t>
      </w:r>
    </w:p>
    <w:p w14:paraId="566F1839">
      <w:pPr>
        <w:spacing w:line="480" w:lineRule="exact"/>
        <w:ind w:firstLine="480"/>
        <w:rPr>
          <w:rFonts w:ascii="宋体" w:hAnsi="宋体"/>
        </w:rPr>
      </w:pPr>
      <w:r>
        <w:rPr>
          <w:rFonts w:hint="eastAsia" w:ascii="宋体" w:hAnsi="宋体"/>
          <w:bCs/>
        </w:rPr>
        <w:t>33.l</w:t>
      </w:r>
      <w:r>
        <w:rPr>
          <w:rFonts w:hint="eastAsia" w:ascii="宋体" w:hAnsi="宋体"/>
        </w:rPr>
        <w:t>中标人应按中标通知书规定的时间、地点,按照招标文件确定的事项与采购人签订政府采购合同，且不得迟于中标通知书发出之日起三十日，由此给采购人造成损失的，中标人还应承担赔偿责任。</w:t>
      </w:r>
    </w:p>
    <w:p w14:paraId="58097877">
      <w:pPr>
        <w:spacing w:line="480" w:lineRule="exact"/>
        <w:ind w:firstLine="480"/>
        <w:rPr>
          <w:rFonts w:ascii="宋体" w:hAnsi="宋体"/>
        </w:rPr>
      </w:pPr>
      <w:r>
        <w:rPr>
          <w:rFonts w:hint="eastAsia" w:ascii="宋体" w:hAnsi="宋体"/>
        </w:rPr>
        <w:t>33.2招标文件、中标人的投标文件及招标过程中有关澄清、承诺文件均应作为合同附件。</w:t>
      </w:r>
    </w:p>
    <w:p w14:paraId="7D11FDB3">
      <w:pPr>
        <w:spacing w:line="480" w:lineRule="exact"/>
        <w:ind w:firstLine="480"/>
        <w:rPr>
          <w:rFonts w:ascii="宋体" w:hAnsi="宋体"/>
        </w:rPr>
      </w:pPr>
      <w:r>
        <w:rPr>
          <w:rFonts w:hint="eastAsia" w:ascii="宋体" w:hAnsi="宋体"/>
        </w:rPr>
        <w:t>33.3 签订合同后，中标人不得将相关服务进行转包。未经采购人同意，中标人也不得采用分包的形式履行合同，否则采购人有权终止合同，中标人的履约保证金将不予退还。转包或分包造成采购人损失的，中标人应承担相应赔偿责任。</w:t>
      </w:r>
    </w:p>
    <w:p w14:paraId="19F43E2C">
      <w:pPr>
        <w:spacing w:line="480" w:lineRule="exact"/>
        <w:ind w:firstLine="482"/>
        <w:rPr>
          <w:rFonts w:ascii="宋体" w:hAnsi="宋体"/>
        </w:rPr>
      </w:pPr>
      <w:r>
        <w:rPr>
          <w:rFonts w:hint="eastAsia" w:ascii="宋体" w:hAnsi="宋体"/>
          <w:b/>
          <w:bCs/>
        </w:rPr>
        <w:t>33.4中标或者成交后无正当理由拒不与采购人签订政府采购合同的，将被列入不良行为记录名单，在一至三年内禁止参加政府采购活动。</w:t>
      </w:r>
    </w:p>
    <w:p w14:paraId="712C1E4B">
      <w:pPr>
        <w:keepNext/>
        <w:keepLines/>
        <w:spacing w:line="480" w:lineRule="exact"/>
        <w:ind w:firstLine="480"/>
        <w:outlineLvl w:val="3"/>
        <w:rPr>
          <w:rFonts w:ascii="宋体" w:hAnsi="宋体"/>
        </w:rPr>
      </w:pPr>
      <w:r>
        <w:rPr>
          <w:rFonts w:hint="eastAsia" w:ascii="宋体" w:hAnsi="宋体"/>
        </w:rPr>
        <w:t>34、货物（包含与货物相关的服务）的追加</w:t>
      </w:r>
    </w:p>
    <w:p w14:paraId="7996816C">
      <w:pPr>
        <w:keepNext/>
        <w:keepLines/>
        <w:spacing w:line="480" w:lineRule="exact"/>
        <w:ind w:firstLine="480"/>
        <w:outlineLvl w:val="3"/>
        <w:rPr>
          <w:rFonts w:ascii="宋体" w:hAnsi="宋体"/>
        </w:rPr>
      </w:pPr>
      <w:r>
        <w:rPr>
          <w:rFonts w:hint="eastAsia" w:ascii="宋体" w:hAnsi="宋体"/>
        </w:rPr>
        <w:t>3</w:t>
      </w:r>
      <w:r>
        <w:rPr>
          <w:rFonts w:ascii="宋体" w:hAnsi="宋体"/>
        </w:rPr>
        <w:t>4</w:t>
      </w:r>
      <w:r>
        <w:rPr>
          <w:rFonts w:hint="eastAsia" w:ascii="宋体" w:hAnsi="宋体"/>
        </w:rPr>
        <w:t>.1政府采购合同履行中，采购人需追加与合同标的相同的货物（包含与货物相关的服务）的，在不改变合同其他条款的前提下，可以与中标人协商签订补充合同，但所有补充合同的采购金额不超过原合同金额10%。</w:t>
      </w:r>
    </w:p>
    <w:p w14:paraId="643FE29C">
      <w:pPr>
        <w:tabs>
          <w:tab w:val="left" w:pos="920"/>
        </w:tabs>
        <w:spacing w:line="460" w:lineRule="exact"/>
        <w:ind w:firstLine="480"/>
        <w:jc w:val="left"/>
        <w:rPr>
          <w:rFonts w:ascii="宋体" w:hAnsi="宋体"/>
          <w:bCs/>
        </w:rPr>
      </w:pPr>
      <w:r>
        <w:rPr>
          <w:rFonts w:ascii="宋体" w:hAnsi="宋体"/>
          <w:bCs/>
        </w:rPr>
        <w:t>35</w:t>
      </w:r>
      <w:r>
        <w:rPr>
          <w:rFonts w:hint="eastAsia" w:ascii="宋体" w:hAnsi="宋体"/>
          <w:bCs/>
        </w:rPr>
        <w:t>、政府采购政策功能落实</w:t>
      </w:r>
    </w:p>
    <w:p w14:paraId="18B6BA05">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.1政府采购线上合同信用融资政策</w:t>
      </w:r>
    </w:p>
    <w:p w14:paraId="36818FAE">
      <w:pPr>
        <w:tabs>
          <w:tab w:val="left" w:pos="920"/>
        </w:tabs>
        <w:spacing w:line="460" w:lineRule="exact"/>
        <w:ind w:firstLine="482"/>
        <w:jc w:val="left"/>
        <w:rPr>
          <w:rFonts w:ascii="宋体" w:hAnsi="宋体"/>
          <w:b/>
          <w:bCs/>
        </w:rPr>
      </w:pPr>
      <w:r>
        <w:rPr>
          <w:rFonts w:hint="eastAsia" w:ascii="宋体" w:hAnsi="宋体"/>
          <w:b/>
          <w:bCs/>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p>
    <w:p w14:paraId="689140AD">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.2进口产品</w:t>
      </w:r>
    </w:p>
    <w:p w14:paraId="0C84F8D5">
      <w:pPr>
        <w:tabs>
          <w:tab w:val="left" w:pos="920"/>
        </w:tabs>
        <w:spacing w:line="460" w:lineRule="exact"/>
        <w:ind w:firstLine="480"/>
        <w:jc w:val="left"/>
        <w:rPr>
          <w:rFonts w:ascii="宋体" w:hAnsi="宋体"/>
          <w:bCs/>
        </w:rPr>
      </w:pPr>
      <w:r>
        <w:rPr>
          <w:rFonts w:hint="eastAsia" w:ascii="宋体" w:hAnsi="宋体"/>
          <w:bCs/>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13E3DDE0">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.3中小企业、监狱企业及残疾人福利性单位</w:t>
      </w:r>
    </w:p>
    <w:p w14:paraId="534C2411">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.3.1中小企业定义：</w:t>
      </w:r>
    </w:p>
    <w:p w14:paraId="66F9D770">
      <w:pPr>
        <w:tabs>
          <w:tab w:val="left" w:pos="920"/>
        </w:tabs>
        <w:spacing w:line="460" w:lineRule="exact"/>
        <w:ind w:firstLine="480"/>
        <w:jc w:val="left"/>
        <w:rPr>
          <w:rFonts w:ascii="宋体" w:hAnsi="宋体"/>
          <w:bCs/>
        </w:rPr>
      </w:pPr>
      <w:r>
        <w:rPr>
          <w:rFonts w:hint="eastAsia" w:ascii="宋体" w:hAnsi="宋体"/>
          <w:bCs/>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25F0E6D2">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.3.2供应商提供的货物、工程或者服务符合下列情形的，享受中小企业扶持政策：</w:t>
      </w:r>
    </w:p>
    <w:p w14:paraId="2880CAF7">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.3.2.1在货物采购项目中，货物由中小企业制造，即货物由中小企业生产且使用该中小企业商号或者注册商标；</w:t>
      </w:r>
    </w:p>
    <w:p w14:paraId="1CCFD162">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.3.2.2在工程采购项目中，工程由中小企业承建，即工程施工单位为中小企业；</w:t>
      </w:r>
    </w:p>
    <w:p w14:paraId="2E6217E0">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.3.2.3在服务采购项目中，服务由中小企业承接，即提供服务的人员为中小企业依照《中华人民共和国劳动合同法》订立劳动合同的从业人员。</w:t>
      </w:r>
    </w:p>
    <w:p w14:paraId="2FE059A4">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.3.3在货物采购项目中，供应商提供的货物既有中小企业制造货物，也有大型企业制造货物的，不享受中小企业扶持政策。</w:t>
      </w:r>
    </w:p>
    <w:p w14:paraId="11C283ED">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.3.4以联合体形式参加政府采购活动，联合体各方均为中小企业的，联合体视同中小企业。其中，联合体各方均为小微企业的，联合体视同小微企业。</w:t>
      </w:r>
    </w:p>
    <w:p w14:paraId="5D921E0F">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9DE7B98">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.3.6残疾人福利单位定义：享受政府采购支持政策的残疾人福利性单位应当同时满足以下条件：</w:t>
      </w:r>
    </w:p>
    <w:p w14:paraId="766AB917">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.3.6.1安置的残疾人占本单位在职职工人数的比例不低于25%（含25%），并且安置的残疾人人数不少于10 人（含10 人）；</w:t>
      </w:r>
    </w:p>
    <w:p w14:paraId="139964D6">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.3.6.2依法与安置的每位残疾人签订了一年以上（含一年）的劳动合同或服务协议；</w:t>
      </w:r>
    </w:p>
    <w:p w14:paraId="657DDAE9">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.3.6.3为安置的每位残疾人按月足额缴纳了基本养老保险、基本医疗保险、失业保险、工伤保险和生育保险等社会保险费；</w:t>
      </w:r>
    </w:p>
    <w:p w14:paraId="2EEBC909">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.3.6.4通过银行等金融机构向安置的每位残疾人，按月支付了不低于单位所在区县适用的经省级人民政府批准的月最低工资标准的工资；</w:t>
      </w:r>
    </w:p>
    <w:p w14:paraId="6C0B673D">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.3.6.5提供本单位制造的货物、承担的工程或者服务（以下简称产品），或者提供其他残疾人福利性单位制造的货物（不包括使用非残疾人福利性单位注册商标的货物）；</w:t>
      </w:r>
    </w:p>
    <w:p w14:paraId="2CB4C8B6">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2B5DB1E">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.3.7本项目是否专门面向中小企业预留采购份额见《招标公告》。</w:t>
      </w:r>
    </w:p>
    <w:p w14:paraId="3BE20F23">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.3.8采购标的对应的中小企业划分标准所属行业见《采购需求》。</w:t>
      </w:r>
    </w:p>
    <w:p w14:paraId="7A9EA0CE">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.3.9小微企业价格评审优惠的政策：见《评标方法及评分标准》。</w:t>
      </w:r>
    </w:p>
    <w:p w14:paraId="1A37DAD3">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.4政府采购节能产品、环境标志产品</w:t>
      </w:r>
    </w:p>
    <w:p w14:paraId="47CB36E4">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3DE8019B">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1A22771C">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.5绿色包装</w:t>
      </w:r>
    </w:p>
    <w:p w14:paraId="63F3C094">
      <w:pPr>
        <w:tabs>
          <w:tab w:val="left" w:pos="920"/>
        </w:tabs>
        <w:spacing w:line="460" w:lineRule="exact"/>
        <w:ind w:firstLine="480"/>
        <w:jc w:val="left"/>
        <w:rPr>
          <w:rFonts w:ascii="宋体" w:hAnsi="宋体"/>
          <w:bCs/>
        </w:rPr>
      </w:pPr>
      <w:r>
        <w:rPr>
          <w:rFonts w:hint="eastAsia" w:ascii="宋体" w:hAnsi="宋体"/>
          <w:bCs/>
        </w:rPr>
        <w:t>本项目中涉及商品的包装应按照“财办库〔2020〕123号《关于印发《商品包装政府采购需求标准（试行）》、《快递包装政府采购需求标准（试行）》的通知》”执行,在供货、安装过程中能做到低碳物流、环保节约、提高资源利用率。</w:t>
      </w:r>
    </w:p>
    <w:p w14:paraId="24F6A11E">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.6政府采购创新产品</w:t>
      </w:r>
    </w:p>
    <w:p w14:paraId="49C1B2A3">
      <w:pPr>
        <w:tabs>
          <w:tab w:val="left" w:pos="920"/>
        </w:tabs>
        <w:spacing w:line="460" w:lineRule="exact"/>
        <w:ind w:firstLine="480"/>
        <w:jc w:val="left"/>
        <w:rPr>
          <w:rFonts w:ascii="宋体" w:hAnsi="宋体"/>
          <w:bCs/>
        </w:rPr>
      </w:pPr>
      <w:r>
        <w:rPr>
          <w:rFonts w:hint="eastAsia" w:ascii="宋体" w:hAnsi="宋体"/>
          <w:bCs/>
        </w:rPr>
        <w:t>采购人优先采购各级政府部门公开发布的有效期内的创新产品、创新服务、首台套、首购首用等《目录》的创新产品。</w:t>
      </w:r>
    </w:p>
    <w:p w14:paraId="323718F2">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 xml:space="preserve">.7绿色数据中心政策 </w:t>
      </w:r>
    </w:p>
    <w:p w14:paraId="42B40EBD">
      <w:pPr>
        <w:tabs>
          <w:tab w:val="left" w:pos="920"/>
        </w:tabs>
        <w:spacing w:line="460" w:lineRule="exact"/>
        <w:ind w:firstLine="480"/>
        <w:jc w:val="left"/>
        <w:rPr>
          <w:rFonts w:ascii="宋体" w:hAnsi="宋体"/>
          <w:bCs/>
        </w:rPr>
      </w:pPr>
      <w:r>
        <w:rPr>
          <w:rFonts w:hint="eastAsia" w:ascii="宋体" w:hAnsi="宋体"/>
          <w:bCs/>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68C67431">
      <w:pPr>
        <w:tabs>
          <w:tab w:val="left" w:pos="920"/>
        </w:tabs>
        <w:spacing w:line="460" w:lineRule="exact"/>
        <w:ind w:firstLine="480"/>
        <w:jc w:val="left"/>
        <w:rPr>
          <w:rFonts w:ascii="宋体" w:hAnsi="宋体"/>
          <w:bCs/>
        </w:rPr>
      </w:pPr>
      <w:r>
        <w:rPr>
          <w:rFonts w:hint="eastAsia" w:ascii="宋体" w:hAnsi="宋体"/>
          <w:bCs/>
        </w:rPr>
        <w:t>3</w:t>
      </w:r>
      <w:r>
        <w:rPr>
          <w:rFonts w:ascii="宋体" w:hAnsi="宋体"/>
          <w:bCs/>
        </w:rPr>
        <w:t>5</w:t>
      </w:r>
      <w:r>
        <w:rPr>
          <w:rFonts w:hint="eastAsia" w:ascii="宋体" w:hAnsi="宋体"/>
          <w:bCs/>
        </w:rPr>
        <w:t>.8履约保证金政策</w:t>
      </w:r>
    </w:p>
    <w:p w14:paraId="3E47ECA4">
      <w:pPr>
        <w:tabs>
          <w:tab w:val="left" w:pos="920"/>
        </w:tabs>
        <w:spacing w:line="460" w:lineRule="exact"/>
        <w:ind w:firstLine="480"/>
        <w:jc w:val="left"/>
        <w:rPr>
          <w:rFonts w:ascii="宋体" w:hAnsi="宋体"/>
          <w:bCs/>
        </w:rPr>
      </w:pPr>
      <w:r>
        <w:rPr>
          <w:rFonts w:hint="eastAsia" w:ascii="宋体" w:hAnsi="宋体"/>
          <w:bCs/>
        </w:rPr>
        <w:t>确需收取履约保证金的，履约保证金的缴纳形式：</w:t>
      </w:r>
    </w:p>
    <w:p w14:paraId="4A0BB0A6">
      <w:pPr>
        <w:tabs>
          <w:tab w:val="left" w:pos="920"/>
        </w:tabs>
        <w:spacing w:line="460" w:lineRule="exact"/>
        <w:ind w:firstLine="480"/>
        <w:jc w:val="left"/>
        <w:rPr>
          <w:rFonts w:ascii="宋体" w:hAnsi="宋体"/>
          <w:bCs/>
        </w:rPr>
      </w:pPr>
      <w:r>
        <w:rPr>
          <w:rFonts w:hint="eastAsia" w:ascii="宋体" w:hAnsi="宋体"/>
          <w:bCs/>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3FB81F75">
      <w:pPr>
        <w:tabs>
          <w:tab w:val="left" w:pos="920"/>
        </w:tabs>
        <w:spacing w:line="460" w:lineRule="exact"/>
        <w:ind w:firstLine="480"/>
        <w:jc w:val="left"/>
        <w:rPr>
          <w:rFonts w:ascii="宋体" w:hAnsi="宋体"/>
          <w:bCs/>
          <w:color w:val="auto"/>
        </w:rPr>
      </w:pPr>
      <w:r>
        <w:rPr>
          <w:rFonts w:hint="eastAsia" w:ascii="宋体" w:hAnsi="宋体"/>
          <w:bCs/>
        </w:rPr>
        <w:t xml:space="preserve"> 如以履约保函（保险）形式缴纳履约保证金，供应商可通过政府采购电子履约保函（保险）平台</w:t>
      </w:r>
      <w:r>
        <w:rPr>
          <w:rFonts w:hint="eastAsia" w:ascii="宋体" w:hAnsi="宋体"/>
          <w:bCs/>
          <w:color w:val="auto"/>
        </w:rPr>
        <w:t>（www.jsdzbh.com）在线申请履约保函（保险）。</w:t>
      </w:r>
    </w:p>
    <w:p w14:paraId="46DF4F58">
      <w:pPr>
        <w:tabs>
          <w:tab w:val="left" w:pos="920"/>
        </w:tabs>
        <w:spacing w:line="460" w:lineRule="exact"/>
        <w:ind w:firstLine="480"/>
        <w:jc w:val="left"/>
        <w:rPr>
          <w:rFonts w:ascii="宋体" w:hAnsi="宋体"/>
          <w:bCs/>
          <w:color w:val="auto"/>
        </w:rPr>
      </w:pPr>
      <w:r>
        <w:rPr>
          <w:rFonts w:hint="eastAsia" w:ascii="宋体" w:hAnsi="宋体"/>
          <w:bCs/>
          <w:color w:val="auto"/>
        </w:rPr>
        <w:t>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部门备案的第三方信用报告，且信用报告通过“信用盐城网”可查实），降低履约保证金缴纳比例</w:t>
      </w:r>
      <w:r>
        <w:rPr>
          <w:rFonts w:hint="eastAsia" w:ascii="宋体" w:hAnsi="宋体" w:cs="宋体"/>
          <w:color w:val="auto"/>
        </w:rPr>
        <w:t>（合同价款的5%）</w:t>
      </w:r>
      <w:r>
        <w:rPr>
          <w:rFonts w:hint="eastAsia" w:ascii="宋体" w:hAnsi="宋体"/>
          <w:bCs/>
          <w:color w:val="auto"/>
        </w:rPr>
        <w:t>。</w:t>
      </w:r>
    </w:p>
    <w:p w14:paraId="4E0EEA26">
      <w:pPr>
        <w:tabs>
          <w:tab w:val="left" w:pos="920"/>
        </w:tabs>
        <w:spacing w:line="460" w:lineRule="exact"/>
        <w:ind w:firstLine="480"/>
        <w:jc w:val="left"/>
        <w:rPr>
          <w:rFonts w:ascii="宋体" w:hAnsi="宋体"/>
          <w:bCs/>
          <w:color w:val="auto"/>
        </w:rPr>
      </w:pPr>
      <w:r>
        <w:rPr>
          <w:rFonts w:hint="eastAsia" w:ascii="宋体" w:hAnsi="宋体"/>
          <w:bCs/>
          <w:color w:val="auto"/>
        </w:rPr>
        <w:t>3</w:t>
      </w:r>
      <w:r>
        <w:rPr>
          <w:rFonts w:ascii="宋体" w:hAnsi="宋体"/>
          <w:bCs/>
          <w:color w:val="auto"/>
        </w:rPr>
        <w:t>6</w:t>
      </w:r>
      <w:r>
        <w:rPr>
          <w:rFonts w:hint="eastAsia" w:ascii="宋体" w:hAnsi="宋体"/>
          <w:bCs/>
          <w:color w:val="auto"/>
        </w:rPr>
        <w:t>、预付款制度</w:t>
      </w:r>
    </w:p>
    <w:p w14:paraId="4B1F7CCE">
      <w:pPr>
        <w:pBdr>
          <w:top w:val="none" w:color="000000" w:sz="0" w:space="0"/>
          <w:left w:val="none" w:color="000000" w:sz="0" w:space="0"/>
          <w:bottom w:val="none" w:color="000000" w:sz="0" w:space="0"/>
          <w:right w:val="none" w:color="000000" w:sz="0" w:space="0"/>
        </w:pBdr>
        <w:spacing w:line="360" w:lineRule="auto"/>
        <w:ind w:firstLine="420"/>
      </w:pPr>
      <w:r>
        <w:rPr>
          <w:rFonts w:hint="eastAsia" w:ascii="宋体" w:hAnsi="宋体"/>
          <w:bCs/>
        </w:rPr>
        <w:t>本项目落实预付款制度，</w:t>
      </w:r>
      <w:r>
        <w:rPr>
          <w:rFonts w:ascii="宋体" w:hAnsi="宋体" w:cs="宋体"/>
        </w:rPr>
        <w:t>本项目预付款为30%，货物安装调试完成并经甲方验收合格付至合同价款的90%（同时扣回预付款），余款在验收合格</w:t>
      </w:r>
      <w:r>
        <w:rPr>
          <w:rFonts w:hint="eastAsia" w:ascii="宋体" w:hAnsi="宋体" w:cs="宋体"/>
        </w:rPr>
        <w:t>且质保期满</w:t>
      </w:r>
      <w:r>
        <w:rPr>
          <w:rFonts w:ascii="宋体" w:hAnsi="宋体" w:cs="宋体"/>
        </w:rPr>
        <w:t>使用无质量问题后付清。付款时乙方须提供正规发票。合同款一律通过银行非现金结算，结算方式：转账。 （按以上进度付款无任何利息补偿）</w:t>
      </w:r>
    </w:p>
    <w:p w14:paraId="447A1F10">
      <w:pPr>
        <w:pBdr>
          <w:top w:val="none" w:color="000000" w:sz="0" w:space="0"/>
          <w:left w:val="none" w:color="000000" w:sz="0" w:space="0"/>
          <w:bottom w:val="none" w:color="000000" w:sz="0" w:space="0"/>
          <w:right w:val="none" w:color="000000" w:sz="0" w:space="0"/>
        </w:pBdr>
        <w:spacing w:before="120" w:after="120"/>
        <w:ind w:left="120" w:right="120" w:firstLine="2008" w:firstLineChars="500"/>
        <w:rPr>
          <w:rFonts w:ascii="宋体" w:hAnsi="宋体" w:cs="宋体"/>
          <w:b/>
          <w:sz w:val="40"/>
        </w:rPr>
      </w:pPr>
    </w:p>
    <w:p w14:paraId="2F6F8833">
      <w:pPr>
        <w:pBdr>
          <w:top w:val="none" w:color="000000" w:sz="0" w:space="0"/>
          <w:left w:val="none" w:color="000000" w:sz="0" w:space="0"/>
          <w:bottom w:val="none" w:color="000000" w:sz="0" w:space="0"/>
          <w:right w:val="none" w:color="000000" w:sz="0" w:space="0"/>
        </w:pBdr>
        <w:spacing w:before="120" w:after="120"/>
        <w:ind w:left="120" w:right="120" w:firstLine="2008" w:firstLineChars="500"/>
        <w:rPr>
          <w:rFonts w:ascii="宋体" w:hAnsi="宋体" w:cs="宋体"/>
          <w:b/>
          <w:sz w:val="40"/>
        </w:rPr>
      </w:pPr>
    </w:p>
    <w:p w14:paraId="741EF65F">
      <w:pPr>
        <w:pBdr>
          <w:top w:val="none" w:color="000000" w:sz="0" w:space="0"/>
          <w:left w:val="none" w:color="000000" w:sz="0" w:space="0"/>
          <w:bottom w:val="none" w:color="000000" w:sz="0" w:space="0"/>
          <w:right w:val="none" w:color="000000" w:sz="0" w:space="0"/>
        </w:pBdr>
        <w:spacing w:before="120" w:after="120"/>
        <w:ind w:left="120" w:right="120" w:firstLine="2008" w:firstLineChars="500"/>
        <w:rPr>
          <w:rFonts w:ascii="宋体" w:hAnsi="宋体" w:cs="宋体"/>
          <w:b/>
          <w:sz w:val="40"/>
        </w:rPr>
      </w:pPr>
    </w:p>
    <w:p w14:paraId="291292F4">
      <w:pPr>
        <w:pBdr>
          <w:top w:val="none" w:color="000000" w:sz="0" w:space="0"/>
          <w:left w:val="none" w:color="000000" w:sz="0" w:space="0"/>
          <w:bottom w:val="none" w:color="000000" w:sz="0" w:space="0"/>
          <w:right w:val="none" w:color="000000" w:sz="0" w:space="0"/>
        </w:pBdr>
        <w:spacing w:before="120" w:after="120"/>
        <w:ind w:left="120" w:right="120" w:firstLine="2008" w:firstLineChars="500"/>
        <w:rPr>
          <w:rFonts w:ascii="宋体" w:hAnsi="宋体" w:cs="宋体"/>
          <w:b/>
          <w:sz w:val="40"/>
        </w:rPr>
      </w:pPr>
    </w:p>
    <w:p w14:paraId="65ED92DD">
      <w:pPr>
        <w:pBdr>
          <w:top w:val="none" w:color="000000" w:sz="0" w:space="0"/>
          <w:left w:val="none" w:color="000000" w:sz="0" w:space="0"/>
          <w:bottom w:val="none" w:color="000000" w:sz="0" w:space="0"/>
          <w:right w:val="none" w:color="000000" w:sz="0" w:space="0"/>
        </w:pBdr>
        <w:spacing w:before="120" w:after="120"/>
        <w:ind w:left="120" w:right="120" w:firstLine="2008" w:firstLineChars="500"/>
        <w:rPr>
          <w:rFonts w:ascii="宋体" w:hAnsi="宋体" w:cs="宋体"/>
          <w:b/>
          <w:sz w:val="40"/>
        </w:rPr>
      </w:pPr>
    </w:p>
    <w:p w14:paraId="44F86315">
      <w:pPr>
        <w:pBdr>
          <w:top w:val="none" w:color="000000" w:sz="0" w:space="0"/>
          <w:left w:val="none" w:color="000000" w:sz="0" w:space="0"/>
          <w:bottom w:val="none" w:color="000000" w:sz="0" w:space="0"/>
          <w:right w:val="none" w:color="000000" w:sz="0" w:space="0"/>
        </w:pBdr>
        <w:spacing w:before="120" w:after="120"/>
        <w:ind w:left="120" w:right="120" w:firstLine="2008" w:firstLineChars="500"/>
        <w:rPr>
          <w:rFonts w:ascii="宋体" w:hAnsi="宋体" w:cs="宋体"/>
          <w:b/>
          <w:sz w:val="40"/>
        </w:rPr>
      </w:pPr>
    </w:p>
    <w:p w14:paraId="56B1622B">
      <w:pPr>
        <w:pBdr>
          <w:top w:val="none" w:color="000000" w:sz="0" w:space="0"/>
          <w:left w:val="none" w:color="000000" w:sz="0" w:space="0"/>
          <w:bottom w:val="none" w:color="000000" w:sz="0" w:space="0"/>
          <w:right w:val="none" w:color="000000" w:sz="0" w:space="0"/>
        </w:pBdr>
        <w:spacing w:before="120" w:after="120"/>
        <w:ind w:right="120"/>
        <w:rPr>
          <w:rFonts w:ascii="宋体" w:hAnsi="宋体" w:cs="宋体"/>
          <w:b/>
          <w:sz w:val="40"/>
        </w:rPr>
      </w:pPr>
    </w:p>
    <w:p w14:paraId="34484039">
      <w:pPr>
        <w:pBdr>
          <w:top w:val="none" w:color="000000" w:sz="0" w:space="0"/>
          <w:left w:val="none" w:color="000000" w:sz="0" w:space="0"/>
          <w:bottom w:val="none" w:color="000000" w:sz="0" w:space="0"/>
          <w:right w:val="none" w:color="000000" w:sz="0" w:space="0"/>
        </w:pBdr>
        <w:spacing w:before="120" w:after="120"/>
        <w:ind w:left="120" w:right="120" w:firstLine="2008" w:firstLineChars="500"/>
        <w:rPr>
          <w:rFonts w:ascii="宋体" w:hAnsi="宋体" w:cs="宋体"/>
          <w:b/>
          <w:sz w:val="40"/>
        </w:rPr>
      </w:pPr>
    </w:p>
    <w:p w14:paraId="09369FE4">
      <w:pPr>
        <w:pBdr>
          <w:top w:val="none" w:color="000000" w:sz="0" w:space="0"/>
          <w:left w:val="none" w:color="000000" w:sz="0" w:space="0"/>
          <w:bottom w:val="none" w:color="000000" w:sz="0" w:space="0"/>
          <w:right w:val="none" w:color="000000" w:sz="0" w:space="0"/>
        </w:pBdr>
        <w:spacing w:before="120" w:after="120"/>
        <w:ind w:left="120" w:right="120" w:firstLine="2008" w:firstLineChars="500"/>
        <w:rPr>
          <w:rFonts w:ascii="宋体" w:hAnsi="宋体" w:cs="宋体"/>
          <w:b/>
          <w:sz w:val="40"/>
        </w:rPr>
      </w:pPr>
    </w:p>
    <w:p w14:paraId="0FA19284">
      <w:pPr>
        <w:pBdr>
          <w:top w:val="none" w:color="000000" w:sz="0" w:space="0"/>
          <w:left w:val="none" w:color="000000" w:sz="0" w:space="0"/>
          <w:bottom w:val="none" w:color="000000" w:sz="0" w:space="0"/>
          <w:right w:val="none" w:color="000000" w:sz="0" w:space="0"/>
        </w:pBdr>
        <w:spacing w:before="120" w:after="120"/>
        <w:ind w:left="120" w:right="120" w:firstLine="2008" w:firstLineChars="500"/>
        <w:rPr>
          <w:rFonts w:ascii="宋体" w:hAnsi="宋体" w:cs="宋体"/>
          <w:b/>
          <w:sz w:val="40"/>
        </w:rPr>
      </w:pPr>
    </w:p>
    <w:p w14:paraId="52B66738">
      <w:pPr>
        <w:pBdr>
          <w:top w:val="none" w:color="000000" w:sz="0" w:space="0"/>
          <w:left w:val="none" w:color="000000" w:sz="0" w:space="0"/>
          <w:bottom w:val="none" w:color="000000" w:sz="0" w:space="0"/>
          <w:right w:val="none" w:color="000000" w:sz="0" w:space="0"/>
        </w:pBdr>
        <w:spacing w:before="120" w:after="120"/>
        <w:ind w:left="120" w:right="120" w:firstLine="2008" w:firstLineChars="500"/>
        <w:rPr>
          <w:rFonts w:ascii="宋体" w:hAnsi="宋体" w:cs="宋体"/>
          <w:b/>
          <w:sz w:val="40"/>
        </w:rPr>
      </w:pPr>
    </w:p>
    <w:p w14:paraId="42E361E4">
      <w:pPr>
        <w:pBdr>
          <w:top w:val="none" w:color="000000" w:sz="0" w:space="0"/>
          <w:left w:val="none" w:color="000000" w:sz="0" w:space="0"/>
          <w:bottom w:val="none" w:color="000000" w:sz="0" w:space="0"/>
          <w:right w:val="none" w:color="000000" w:sz="0" w:space="0"/>
        </w:pBdr>
        <w:spacing w:before="120" w:after="120"/>
        <w:ind w:left="120" w:right="120" w:firstLine="2008" w:firstLineChars="500"/>
      </w:pPr>
      <w:r>
        <w:rPr>
          <w:rFonts w:ascii="宋体" w:hAnsi="宋体" w:cs="宋体"/>
          <w:b/>
          <w:sz w:val="40"/>
        </w:rPr>
        <w:t>第三章  合同条款及格式</w:t>
      </w:r>
    </w:p>
    <w:p w14:paraId="62BDBF2F">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以下为中标后签定本项目合同的通用条款，中标供应商不得提出实质性的修改，关于专用条款将由采购人与中标供应商结合本项目具体情况协商后签订。此合同为货物类版本，其他如服务类项目采购人可参照此格式拟定。</w:t>
      </w:r>
    </w:p>
    <w:p w14:paraId="296BDECE">
      <w:pPr>
        <w:pBdr>
          <w:top w:val="none" w:color="000000" w:sz="0" w:space="0"/>
          <w:left w:val="none" w:color="000000" w:sz="0" w:space="0"/>
          <w:bottom w:val="none" w:color="000000" w:sz="0" w:space="0"/>
          <w:right w:val="none" w:color="000000" w:sz="0" w:space="0"/>
        </w:pBdr>
        <w:spacing w:before="145" w:after="145" w:line="360" w:lineRule="auto"/>
        <w:jc w:val="center"/>
      </w:pPr>
      <w:r>
        <w:rPr>
          <w:rFonts w:ascii="宋体" w:hAnsi="宋体" w:cs="宋体"/>
          <w:b/>
        </w:rPr>
        <w:t>政府采购合同（货物格式）</w:t>
      </w:r>
    </w:p>
    <w:p w14:paraId="13CC0387">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rPr>
        <w:t>项目名称：项目编号：</w:t>
      </w:r>
    </w:p>
    <w:p w14:paraId="08B51B4A">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rPr>
        <w:t>甲方：（买方）</w:t>
      </w:r>
      <w:r>
        <w:rPr>
          <w:rFonts w:ascii="宋体" w:hAnsi="宋体" w:cs="宋体"/>
          <w:u w:val="single"/>
        </w:rPr>
        <w:t>                        </w:t>
      </w:r>
    </w:p>
    <w:p w14:paraId="68A814E4">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rPr>
        <w:t>乙方：（卖方）</w:t>
      </w:r>
      <w:r>
        <w:rPr>
          <w:rFonts w:ascii="宋体" w:hAnsi="宋体" w:cs="宋体"/>
          <w:u w:val="single"/>
        </w:rPr>
        <w:t>                        </w:t>
      </w:r>
    </w:p>
    <w:p w14:paraId="2163E468">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rPr>
        <w:t xml:space="preserve">   甲、乙双方根据 </w:t>
      </w:r>
      <w:r>
        <w:rPr>
          <w:rFonts w:ascii="宋体" w:hAnsi="宋体" w:cs="宋体"/>
          <w:u w:val="single"/>
        </w:rPr>
        <w:t>              </w:t>
      </w:r>
      <w:r>
        <w:rPr>
          <w:rFonts w:ascii="宋体" w:hAnsi="宋体" w:cs="宋体"/>
        </w:rPr>
        <w:t>公开招标的结果，签署本合同。</w:t>
      </w:r>
    </w:p>
    <w:p w14:paraId="250E0A28">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b/>
        </w:rPr>
        <w:t>一、货物内容</w:t>
      </w:r>
    </w:p>
    <w:p w14:paraId="18ED03EA">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rPr>
        <w:t>1.1 货物名称：</w:t>
      </w:r>
      <w:r>
        <w:rPr>
          <w:rFonts w:ascii="宋体" w:hAnsi="宋体" w:cs="宋体"/>
          <w:u w:val="single"/>
        </w:rPr>
        <w:t>                 </w:t>
      </w:r>
    </w:p>
    <w:p w14:paraId="6290529A">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rPr>
        <w:t>1.2 型号规格：详见采购清单</w:t>
      </w:r>
    </w:p>
    <w:p w14:paraId="3658CC70">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rPr>
        <w:t>1.3 数量（单位）：</w:t>
      </w:r>
    </w:p>
    <w:p w14:paraId="5DA380E8">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b/>
        </w:rPr>
        <w:t>二、合同金额</w:t>
      </w:r>
    </w:p>
    <w:p w14:paraId="7F390C2A">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rPr>
        <w:t>2.1 本合同金额为（大写）：</w:t>
      </w:r>
      <w:r>
        <w:rPr>
          <w:rFonts w:ascii="宋体" w:hAnsi="宋体" w:cs="宋体"/>
          <w:u w:val="single"/>
        </w:rPr>
        <w:t>        </w:t>
      </w:r>
      <w:r>
        <w:rPr>
          <w:rFonts w:ascii="宋体" w:hAnsi="宋体" w:cs="宋体"/>
        </w:rPr>
        <w:t>元（____________元）人民币或其他币种。</w:t>
      </w:r>
    </w:p>
    <w:p w14:paraId="15418C40">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b/>
        </w:rPr>
        <w:t>三、技术资料</w:t>
      </w:r>
    </w:p>
    <w:p w14:paraId="7C7AA17B">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3.1乙方应按招标文件规定的时间向甲方提供使用货物的有关技术资料。</w:t>
      </w:r>
    </w:p>
    <w:p w14:paraId="23B94F06">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03033F7A">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b/>
        </w:rPr>
        <w:t>四、知识产权</w:t>
      </w:r>
    </w:p>
    <w:p w14:paraId="6EB067FB">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4.1乙方应保证甲方在使用、接受本合同货物和服务或其任何一部分时不受第三方提出侵犯其专利权、版权、商标权和工业设计权等知识产权的起诉。一旦出现侵权，由乙方负全部责任。</w:t>
      </w:r>
    </w:p>
    <w:p w14:paraId="58AF9EB0">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b/>
        </w:rPr>
        <w:t>五、产权担保</w:t>
      </w:r>
    </w:p>
    <w:p w14:paraId="5232D7A0">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rPr>
        <w:t>5.1 乙方保证所交付的货物的所有权完全属于乙方且无任何抵押、查封等产权瑕疵。</w:t>
      </w:r>
    </w:p>
    <w:p w14:paraId="4A0F15D5">
      <w:pPr>
        <w:pBdr>
          <w:top w:val="none" w:color="000000" w:sz="0" w:space="0"/>
          <w:left w:val="none" w:color="000000" w:sz="0" w:space="0"/>
          <w:bottom w:val="none" w:color="000000" w:sz="0" w:space="0"/>
          <w:right w:val="none" w:color="000000" w:sz="0" w:space="0"/>
        </w:pBdr>
        <w:spacing w:before="231" w:after="231" w:line="360" w:lineRule="auto"/>
        <w:ind w:left="358" w:hanging="358"/>
        <w:rPr>
          <w:rFonts w:ascii="宋体" w:hAnsi="宋体" w:cs="宋体"/>
          <w:b/>
          <w:bCs/>
        </w:rPr>
      </w:pPr>
      <w:r>
        <w:rPr>
          <w:rFonts w:ascii="宋体" w:hAnsi="宋体" w:cs="宋体"/>
          <w:b/>
        </w:rPr>
        <w:t>六、履约保证金</w:t>
      </w:r>
    </w:p>
    <w:p w14:paraId="2F3947A0">
      <w:pPr>
        <w:pBdr>
          <w:top w:val="none" w:color="000000" w:sz="0" w:space="0"/>
          <w:left w:val="none" w:color="000000" w:sz="0" w:space="0"/>
          <w:bottom w:val="none" w:color="000000" w:sz="0" w:space="0"/>
          <w:right w:val="none" w:color="000000" w:sz="0" w:space="0"/>
        </w:pBdr>
        <w:spacing w:before="231" w:after="231" w:line="360" w:lineRule="auto"/>
        <w:ind w:firstLine="357"/>
        <w:rPr>
          <w:rFonts w:ascii="宋体" w:hAnsi="宋体" w:cs="宋体"/>
        </w:rPr>
      </w:pPr>
      <w:r>
        <w:rPr>
          <w:rFonts w:ascii="宋体" w:hAnsi="宋体" w:cs="宋体"/>
        </w:rPr>
        <w:t>6.1中标单位在签订合同前，须向采购人交纳（中标价10%）</w:t>
      </w:r>
      <w:r>
        <w:rPr>
          <w:rFonts w:ascii="宋体" w:hAnsi="宋体" w:cs="宋体"/>
          <w:u w:val="single"/>
        </w:rPr>
        <w:t>        </w:t>
      </w:r>
      <w:r>
        <w:rPr>
          <w:rFonts w:ascii="宋体" w:hAnsi="宋体" w:cs="宋体"/>
        </w:rPr>
        <w:t>元的履约保证金，于项目完成，验收合格后退还。履约保证金用以约束成交投标人在合同履行中的行为，弥补合同执行中由于自身行为可能给采购人带来的各种损失。对提供第三方信用服务机构依据标准规范评定为AA级及以上的政府采购投标人（须在签订采购合同前提供信用管理部门备案的第三方信用报告，且信用报告通过“信用盐城网”可查实）</w:t>
      </w:r>
      <w:r>
        <w:rPr>
          <w:rFonts w:hint="eastAsia" w:ascii="宋体" w:hAnsi="宋体" w:cs="宋体"/>
        </w:rPr>
        <w:t>降低履约保证金缴纳比例（合同价款的5%）。</w:t>
      </w:r>
    </w:p>
    <w:p w14:paraId="6B8998C7">
      <w:pPr>
        <w:pBdr>
          <w:top w:val="none" w:color="000000" w:sz="0" w:space="0"/>
          <w:left w:val="none" w:color="000000" w:sz="0" w:space="0"/>
          <w:bottom w:val="none" w:color="000000" w:sz="0" w:space="0"/>
          <w:right w:val="none" w:color="000000" w:sz="0" w:space="0"/>
        </w:pBdr>
        <w:spacing w:before="145" w:after="145" w:line="360" w:lineRule="auto"/>
      </w:pPr>
      <w:r>
        <w:rPr>
          <w:rFonts w:ascii="宋体" w:hAnsi="宋体" w:cs="宋体"/>
        </w:rPr>
        <w:t>6.2履约保证金形式：投标人应当以支票、汇票、本票或者金融机构、担保机构出具的保函等非现金形式提交。</w:t>
      </w:r>
    </w:p>
    <w:p w14:paraId="67295DBC">
      <w:pPr>
        <w:pBdr>
          <w:top w:val="none" w:color="000000" w:sz="0" w:space="0"/>
          <w:left w:val="none" w:color="000000" w:sz="0" w:space="0"/>
          <w:bottom w:val="none" w:color="000000" w:sz="0" w:space="0"/>
          <w:right w:val="none" w:color="000000" w:sz="0" w:space="0"/>
        </w:pBdr>
        <w:spacing w:before="145" w:after="145" w:line="360" w:lineRule="auto"/>
      </w:pPr>
      <w:r>
        <w:rPr>
          <w:rFonts w:ascii="宋体" w:hAnsi="宋体" w:cs="宋体"/>
        </w:rPr>
        <w:t>6.3依据《关于在全省政府采购领域推行电子约保函(保险)的通知》，鼓励供应商自愿使用履约保函(保险)代替缴纳履约保证金)，可以通过政府采购电子履约保函（保险）平台（www.jsdzbh.com）在线申请履约保函（保险）。</w:t>
      </w:r>
    </w:p>
    <w:p w14:paraId="77E2140C">
      <w:pPr>
        <w:pBdr>
          <w:top w:val="none" w:color="000000" w:sz="0" w:space="0"/>
          <w:left w:val="none" w:color="000000" w:sz="0" w:space="0"/>
          <w:bottom w:val="none" w:color="000000" w:sz="0" w:space="0"/>
          <w:right w:val="none" w:color="000000" w:sz="0" w:space="0"/>
        </w:pBdr>
        <w:spacing w:before="145" w:after="145" w:line="360" w:lineRule="auto"/>
      </w:pPr>
      <w:r>
        <w:rPr>
          <w:rFonts w:ascii="宋体" w:hAnsi="宋体" w:cs="宋体"/>
          <w:b/>
        </w:rPr>
        <w:t>七、转包或分包</w:t>
      </w:r>
    </w:p>
    <w:p w14:paraId="36ABBFFC">
      <w:pPr>
        <w:pBdr>
          <w:top w:val="none" w:color="000000" w:sz="0" w:space="0"/>
          <w:left w:val="none" w:color="000000" w:sz="0" w:space="0"/>
          <w:bottom w:val="none" w:color="000000" w:sz="0" w:space="0"/>
          <w:right w:val="none" w:color="000000" w:sz="0" w:space="0"/>
        </w:pBdr>
        <w:spacing w:before="145" w:after="145" w:line="360" w:lineRule="auto"/>
      </w:pPr>
      <w:r>
        <w:rPr>
          <w:rFonts w:ascii="宋体" w:hAnsi="宋体" w:cs="宋体"/>
        </w:rPr>
        <w:t>7.1本合同范围的货物，应由乙方直接供应，不得转让他人供应；</w:t>
      </w:r>
    </w:p>
    <w:p w14:paraId="68AC99B0">
      <w:pPr>
        <w:pBdr>
          <w:top w:val="none" w:color="000000" w:sz="0" w:space="0"/>
          <w:left w:val="none" w:color="000000" w:sz="0" w:space="0"/>
          <w:bottom w:val="none" w:color="000000" w:sz="0" w:space="0"/>
          <w:right w:val="none" w:color="000000" w:sz="0" w:space="0"/>
        </w:pBdr>
        <w:spacing w:before="145" w:after="145" w:line="360" w:lineRule="auto"/>
      </w:pPr>
      <w:r>
        <w:rPr>
          <w:rFonts w:ascii="宋体" w:hAnsi="宋体" w:cs="宋体"/>
        </w:rPr>
        <w:t>7.2 除非得到甲方的书面同意，乙方不得部分分包给他人供应。</w:t>
      </w:r>
    </w:p>
    <w:p w14:paraId="0618BD79">
      <w:pPr>
        <w:pBdr>
          <w:top w:val="none" w:color="000000" w:sz="0" w:space="0"/>
          <w:left w:val="none" w:color="000000" w:sz="0" w:space="0"/>
          <w:bottom w:val="none" w:color="000000" w:sz="0" w:space="0"/>
          <w:right w:val="none" w:color="000000" w:sz="0" w:space="0"/>
        </w:pBdr>
        <w:spacing w:before="145" w:after="145" w:line="360" w:lineRule="auto"/>
      </w:pPr>
      <w:r>
        <w:rPr>
          <w:rFonts w:ascii="宋体" w:hAnsi="宋体" w:cs="宋体"/>
        </w:rPr>
        <w:t>7.3如有转让和未经甲方同意的分包行为，甲方有权给予终止合同。</w:t>
      </w:r>
    </w:p>
    <w:p w14:paraId="0B2549F7">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b/>
        </w:rPr>
        <w:t>八、质保期</w:t>
      </w:r>
    </w:p>
    <w:p w14:paraId="588754D7">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rPr>
        <w:t>8.1 质保期</w:t>
      </w:r>
      <w:r>
        <w:rPr>
          <w:rFonts w:hint="eastAsia" w:ascii="宋体" w:hAnsi="宋体" w:cs="宋体"/>
          <w:u w:val="single"/>
          <w:lang w:val="en-US" w:eastAsia="zh-CN"/>
        </w:rPr>
        <w:t xml:space="preserve">       </w:t>
      </w:r>
      <w:r>
        <w:rPr>
          <w:rFonts w:ascii="宋体" w:hAnsi="宋体" w:cs="宋体"/>
        </w:rPr>
        <w:t>年。（自交货验收合格之日起计）</w:t>
      </w:r>
    </w:p>
    <w:p w14:paraId="15BED061">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b/>
        </w:rPr>
        <w:t>九、交货期、交货方式及交货地点</w:t>
      </w:r>
    </w:p>
    <w:p w14:paraId="58AA0538">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9.1 交货期：</w:t>
      </w:r>
      <w:r>
        <w:rPr>
          <w:rFonts w:hint="eastAsia" w:ascii="宋体" w:hAnsi="宋体" w:cs="宋体"/>
          <w:u w:val="single"/>
        </w:rPr>
        <w:t>签订合同后 30 日历天内完成所需设备的采购、供应、运输、安装、调试等相关伴随服务，并通过采购人的验收。</w:t>
      </w:r>
    </w:p>
    <w:p w14:paraId="1814DAE2">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rPr>
        <w:t>9.2 交货方式：</w:t>
      </w:r>
      <w:r>
        <w:rPr>
          <w:rFonts w:hint="eastAsia" w:ascii="宋体" w:hAnsi="宋体" w:cs="宋体"/>
          <w:u w:val="single"/>
        </w:rPr>
        <w:t>甲方</w:t>
      </w:r>
      <w:r>
        <w:rPr>
          <w:rFonts w:ascii="宋体" w:hAnsi="宋体" w:cs="宋体"/>
          <w:u w:val="single"/>
        </w:rPr>
        <w:t>指定地点并安装调试</w:t>
      </w:r>
      <w:r>
        <w:rPr>
          <w:rFonts w:ascii="宋体" w:hAnsi="宋体" w:cs="宋体"/>
        </w:rPr>
        <w:t>。</w:t>
      </w:r>
    </w:p>
    <w:p w14:paraId="2D2A10E0">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rPr>
        <w:t>9.3 交货地点：</w:t>
      </w:r>
      <w:r>
        <w:rPr>
          <w:rFonts w:hint="eastAsia" w:ascii="宋体" w:hAnsi="宋体" w:cs="宋体"/>
          <w:u w:val="single"/>
        </w:rPr>
        <w:t>甲方</w:t>
      </w:r>
      <w:r>
        <w:rPr>
          <w:rFonts w:ascii="宋体" w:hAnsi="宋体" w:cs="宋体"/>
          <w:u w:val="single"/>
        </w:rPr>
        <w:t>指定地点</w:t>
      </w:r>
      <w:r>
        <w:rPr>
          <w:rFonts w:ascii="宋体" w:hAnsi="宋体" w:cs="宋体"/>
        </w:rPr>
        <w:t>。</w:t>
      </w:r>
    </w:p>
    <w:p w14:paraId="41E2A222">
      <w:pPr>
        <w:pBdr>
          <w:top w:val="none" w:color="000000" w:sz="0" w:space="0"/>
          <w:left w:val="none" w:color="000000" w:sz="0" w:space="0"/>
          <w:bottom w:val="none" w:color="000000" w:sz="0" w:space="0"/>
          <w:right w:val="none" w:color="000000" w:sz="0" w:space="0"/>
        </w:pBdr>
        <w:spacing w:before="120" w:after="120" w:line="360" w:lineRule="auto"/>
        <w:rPr>
          <w:rFonts w:ascii="宋体" w:hAnsi="宋体" w:cs="宋体"/>
          <w:b/>
          <w:color w:val="auto"/>
        </w:rPr>
      </w:pPr>
      <w:bookmarkStart w:id="19" w:name="_GoBack"/>
      <w:r>
        <w:rPr>
          <w:rFonts w:ascii="宋体" w:hAnsi="宋体" w:cs="宋体"/>
          <w:b/>
          <w:color w:val="auto"/>
        </w:rPr>
        <w:t>十、货款支付</w:t>
      </w:r>
    </w:p>
    <w:p w14:paraId="788DD2BF">
      <w:pPr>
        <w:pBdr>
          <w:top w:val="none" w:color="000000" w:sz="0" w:space="0"/>
          <w:left w:val="none" w:color="000000" w:sz="0" w:space="0"/>
          <w:bottom w:val="none" w:color="000000" w:sz="0" w:space="0"/>
          <w:right w:val="none" w:color="000000" w:sz="0" w:space="0"/>
        </w:pBdr>
        <w:spacing w:before="120" w:after="120" w:line="360" w:lineRule="auto"/>
        <w:ind w:firstLine="211" w:firstLineChars="100"/>
        <w:rPr>
          <w:rFonts w:ascii="宋体" w:hAnsi="宋体" w:cs="宋体"/>
          <w:b/>
          <w:color w:val="auto"/>
        </w:rPr>
      </w:pPr>
      <w:r>
        <w:rPr>
          <w:rFonts w:hint="eastAsia" w:ascii="宋体" w:hAnsi="宋体" w:cs="宋体"/>
          <w:b/>
          <w:color w:val="auto"/>
        </w:rPr>
        <w:t>付款方式：本项目预付款为30%，货物安装调试完成并经甲方验收合格付至合同价款的80%，验收合格满一年后付至合同价款的95%，余款在项目验收合格</w:t>
      </w:r>
      <w:r>
        <w:rPr>
          <w:rFonts w:hint="eastAsia" w:ascii="宋体" w:hAnsi="宋体" w:cs="宋体"/>
          <w:b/>
          <w:color w:val="auto"/>
          <w:u w:val="single"/>
          <w:lang w:val="en-US" w:eastAsia="zh-CN"/>
        </w:rPr>
        <w:t xml:space="preserve">  </w:t>
      </w:r>
      <w:r>
        <w:rPr>
          <w:rFonts w:hint="eastAsia" w:ascii="宋体" w:hAnsi="宋体" w:cs="宋体"/>
          <w:b/>
          <w:color w:val="auto"/>
        </w:rPr>
        <w:t>年后且使用无质量问题付清。</w:t>
      </w:r>
    </w:p>
    <w:p w14:paraId="1C5DB36F">
      <w:pPr>
        <w:pBdr>
          <w:top w:val="none" w:color="000000" w:sz="0" w:space="0"/>
          <w:left w:val="none" w:color="000000" w:sz="0" w:space="0"/>
          <w:bottom w:val="none" w:color="000000" w:sz="0" w:space="0"/>
          <w:right w:val="none" w:color="000000" w:sz="0" w:space="0"/>
        </w:pBdr>
        <w:spacing w:before="120" w:after="120" w:line="360" w:lineRule="auto"/>
        <w:rPr>
          <w:rFonts w:ascii="宋体" w:hAnsi="宋体" w:cs="宋体"/>
          <w:b/>
          <w:color w:val="auto"/>
        </w:rPr>
      </w:pPr>
      <w:r>
        <w:rPr>
          <w:rFonts w:hint="eastAsia" w:ascii="宋体" w:hAnsi="宋体" w:cs="宋体"/>
          <w:b/>
          <w:color w:val="auto"/>
        </w:rPr>
        <w:t>付款时乙方须提供正规发票（采购人原则上自收到发票后30个工作日内将资金支付到合同约定的供应商账户）。合同款一律通过银行非现金结算，结算方式：转账。（按以上进度付款无任何利息补偿）</w:t>
      </w:r>
    </w:p>
    <w:bookmarkEnd w:id="19"/>
    <w:p w14:paraId="2C1B0DBC">
      <w:pPr>
        <w:pBdr>
          <w:top w:val="none" w:color="000000" w:sz="0" w:space="0"/>
          <w:left w:val="none" w:color="000000" w:sz="0" w:space="0"/>
          <w:bottom w:val="none" w:color="000000" w:sz="0" w:space="0"/>
          <w:right w:val="none" w:color="000000" w:sz="0" w:space="0"/>
        </w:pBdr>
        <w:spacing w:before="145" w:after="145" w:line="360" w:lineRule="auto"/>
      </w:pPr>
      <w:r>
        <w:rPr>
          <w:rFonts w:ascii="宋体" w:hAnsi="宋体" w:cs="宋体"/>
          <w:b/>
        </w:rPr>
        <w:t>十一</w:t>
      </w:r>
      <w:r>
        <w:rPr>
          <w:rFonts w:hint="eastAsia" w:ascii="宋体" w:hAnsi="宋体" w:cs="宋体"/>
          <w:b/>
          <w:lang w:eastAsia="zh-CN"/>
        </w:rPr>
        <w:t>、</w:t>
      </w:r>
      <w:r>
        <w:rPr>
          <w:rFonts w:ascii="宋体" w:hAnsi="宋体" w:cs="宋体"/>
          <w:b/>
        </w:rPr>
        <w:t>税费</w:t>
      </w:r>
    </w:p>
    <w:p w14:paraId="06BD526B">
      <w:pPr>
        <w:pBdr>
          <w:top w:val="none" w:color="000000" w:sz="0" w:space="0"/>
          <w:left w:val="none" w:color="000000" w:sz="0" w:space="0"/>
          <w:bottom w:val="none" w:color="000000" w:sz="0" w:space="0"/>
          <w:right w:val="none" w:color="000000" w:sz="0" w:space="0"/>
        </w:pBdr>
        <w:spacing w:before="145" w:after="145" w:line="360" w:lineRule="auto"/>
      </w:pPr>
      <w:r>
        <w:rPr>
          <w:rFonts w:ascii="宋体" w:hAnsi="宋体" w:cs="宋体"/>
        </w:rPr>
        <w:t>11.1本合同执行中相关的一切税费均由乙方负担。</w:t>
      </w:r>
    </w:p>
    <w:p w14:paraId="0BF93644">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b/>
        </w:rPr>
        <w:t>十二、质量保证及售后服务</w:t>
      </w:r>
    </w:p>
    <w:p w14:paraId="436D19B1">
      <w:pPr>
        <w:pBdr>
          <w:top w:val="none" w:color="000000" w:sz="0" w:space="0"/>
          <w:left w:val="none" w:color="000000" w:sz="0" w:space="0"/>
          <w:bottom w:val="none" w:color="000000" w:sz="0" w:space="0"/>
          <w:right w:val="none" w:color="000000" w:sz="0" w:space="0"/>
        </w:pBdr>
        <w:spacing w:line="360" w:lineRule="auto"/>
        <w:jc w:val="left"/>
      </w:pPr>
      <w:r>
        <w:rPr>
          <w:rFonts w:ascii="宋体" w:hAnsi="宋体" w:cs="宋体"/>
        </w:rPr>
        <w:t>12.1乙方应按招标文件规定的货物性能、技术要求、质量标准向甲方提供未经使用的全新产品。</w:t>
      </w:r>
    </w:p>
    <w:p w14:paraId="3C9494C3">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12.2乙方提供的货物在质保期内因货物本身的质量问题发生故障，乙方应负责免费更换。对达不到技术要求者，根据实际情况，经双方协商，可按以下办法处理：</w:t>
      </w:r>
    </w:p>
    <w:p w14:paraId="5A1A5D78">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⑴更换：由乙方承担所发生的全部费用。</w:t>
      </w:r>
    </w:p>
    <w:p w14:paraId="5D774A4F">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⑵贬值处理：由甲乙双方合议定价。</w:t>
      </w:r>
    </w:p>
    <w:p w14:paraId="491E85B3">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⑶退货处理：乙方应退还甲方支付的合同款，同时应承担该货物的直接费用（运输、保险、检验、货款利息及银行手续费等）。</w:t>
      </w:r>
    </w:p>
    <w:p w14:paraId="3D1C949B">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12.3 如在使用过程中发生质量问题，乙方在接到甲方通知后在</w:t>
      </w:r>
      <w:r>
        <w:rPr>
          <w:rFonts w:ascii="宋体" w:hAnsi="宋体" w:cs="宋体"/>
          <w:u w:val="single"/>
        </w:rPr>
        <w:t>       </w:t>
      </w:r>
      <w:r>
        <w:rPr>
          <w:rFonts w:ascii="宋体" w:hAnsi="宋体" w:cs="宋体"/>
        </w:rPr>
        <w:t>小时内到达甲方现场。</w:t>
      </w:r>
    </w:p>
    <w:p w14:paraId="593E08FC">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12.4 在质保期内，乙方应对货物出现的质量及安全问题负责处理解决并承担一切费用。</w:t>
      </w:r>
    </w:p>
    <w:p w14:paraId="160F9301">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12.5上述的</w:t>
      </w:r>
      <w:r>
        <w:rPr>
          <w:rFonts w:hint="eastAsia" w:ascii="宋体" w:hAnsi="宋体" w:cs="宋体"/>
        </w:rPr>
        <w:t>设备</w:t>
      </w:r>
      <w:r>
        <w:rPr>
          <w:rFonts w:ascii="宋体" w:hAnsi="宋体" w:cs="宋体"/>
        </w:rPr>
        <w:t>免费保修期为</w:t>
      </w:r>
      <w:r>
        <w:rPr>
          <w:rFonts w:ascii="宋体" w:hAnsi="宋体" w:cs="宋体"/>
          <w:u w:val="single"/>
        </w:rPr>
        <w:t>  </w:t>
      </w:r>
      <w:r>
        <w:rPr>
          <w:rFonts w:ascii="宋体" w:hAnsi="宋体" w:cs="宋体"/>
        </w:rPr>
        <w:t>年，因人为因素出现的故障不在免费保修范围内。超过保修期的机器设备，终生维修，维修时只收部件成本费。</w:t>
      </w:r>
    </w:p>
    <w:p w14:paraId="3517E03B">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b/>
        </w:rPr>
        <w:t>十三、调试和验收</w:t>
      </w:r>
    </w:p>
    <w:p w14:paraId="04BF6077">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13.1 甲方对乙方提交的货物依据招标文件上的技术规格要求和国家有关质量标准进行现场初步验收，外观、说明书符合招标文件技术要求的，甲方需在五个工作日内验收。货到后，初步验收不合格的不予签收。</w:t>
      </w:r>
    </w:p>
    <w:p w14:paraId="20E2D44C">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13.2 乙方交货前应对产品作出全面检查和对验收文件进行整理，并列出清单，作为甲方收货验收和使用的技术条件依据，检验的结果应随货物交甲方。</w:t>
      </w:r>
    </w:p>
    <w:p w14:paraId="56EEA310">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13.3甲方对乙方提供的货物在使用前进行调试时，乙方需负责安装并培训甲方的使用操作人员，并协助甲方一起调试，直到符合技术要求，甲方才做最终验收。</w:t>
      </w:r>
    </w:p>
    <w:p w14:paraId="6A145048">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13.4 对技术复杂的货物，甲方可请国家认可的专业检测机构参与初步验收及最终验收，并由其出具质量检测报告。</w:t>
      </w:r>
    </w:p>
    <w:p w14:paraId="1052779E">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13.5 验收时乙方必须在现场，验收完毕后作出验收结果报告；验收费用由甲乙双方协商解决。</w:t>
      </w:r>
    </w:p>
    <w:p w14:paraId="3BA63DF9">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b/>
        </w:rPr>
        <w:t>十四、货物包装、发运及运输</w:t>
      </w:r>
    </w:p>
    <w:p w14:paraId="4A230B80">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14.1乙方应在货物发运前对其进行满足运输距离、防潮、防震、防锈和防破损装卸等要求包装，以保证货物安全运达甲方指定地点。</w:t>
      </w:r>
    </w:p>
    <w:p w14:paraId="00E25364">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14.2 使用说明书、质量检验证明书、随配附件和工具以及清单一并附于货物内。</w:t>
      </w:r>
    </w:p>
    <w:p w14:paraId="7B2873E7">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14.3 乙方在货物发运手续办理完毕后24小时内或货到甲方48小时前通知甲方，以准备接货。</w:t>
      </w:r>
    </w:p>
    <w:p w14:paraId="602A7A7D">
      <w:pPr>
        <w:pBdr>
          <w:top w:val="none" w:color="000000" w:sz="0" w:space="0"/>
          <w:left w:val="none" w:color="000000" w:sz="0" w:space="0"/>
          <w:bottom w:val="none" w:color="000000" w:sz="0" w:space="0"/>
          <w:right w:val="none" w:color="000000" w:sz="0" w:space="0"/>
        </w:pBdr>
        <w:spacing w:before="120" w:after="120" w:line="360" w:lineRule="auto"/>
        <w:rPr>
          <w:rFonts w:ascii="宋体" w:hAnsi="宋体" w:cs="宋体"/>
          <w:b/>
        </w:rPr>
      </w:pPr>
      <w:r>
        <w:rPr>
          <w:rFonts w:ascii="宋体" w:hAnsi="宋体" w:cs="宋体"/>
          <w:b/>
        </w:rPr>
        <w:t>十五、违约责任</w:t>
      </w:r>
    </w:p>
    <w:p w14:paraId="588C7B2B">
      <w:pPr>
        <w:pBdr>
          <w:top w:val="none" w:color="000000" w:sz="0" w:space="0"/>
          <w:left w:val="none" w:color="000000" w:sz="0" w:space="0"/>
          <w:bottom w:val="none" w:color="000000" w:sz="0" w:space="0"/>
          <w:right w:val="none" w:color="000000" w:sz="0" w:space="0"/>
        </w:pBdr>
        <w:spacing w:before="120" w:after="120" w:line="360" w:lineRule="auto"/>
        <w:rPr>
          <w:rFonts w:ascii="宋体" w:hAnsi="宋体" w:cs="宋体"/>
          <w:b w:val="0"/>
          <w:bCs/>
        </w:rPr>
      </w:pPr>
      <w:r>
        <w:rPr>
          <w:rFonts w:hint="eastAsia" w:ascii="宋体" w:hAnsi="宋体" w:cs="宋体"/>
          <w:b w:val="0"/>
          <w:bCs/>
        </w:rPr>
        <w:t>1、按该项目供货期要求,乙方每逾期1天交付，应向甲方支付该项目合同总价的0.1％作为违约金，由甲方从待付合同款中进行相应扣除；逾期超过约定供货期10个工作日不能交货的，甲方有权单方解除合同且无须向乙方承担任何责任。乙方因逾期交货或因其他违约行为导致甲方解除合同的，乙方应向甲方支付该合同总值5%的违约金，如造成甲方损失超过违约金的，超出部分由乙方继续赔偿。</w:t>
      </w:r>
    </w:p>
    <w:p w14:paraId="20F7D763">
      <w:pPr>
        <w:pBdr>
          <w:top w:val="none" w:color="000000" w:sz="0" w:space="0"/>
          <w:left w:val="none" w:color="000000" w:sz="0" w:space="0"/>
          <w:bottom w:val="none" w:color="000000" w:sz="0" w:space="0"/>
          <w:right w:val="none" w:color="000000" w:sz="0" w:space="0"/>
        </w:pBdr>
        <w:spacing w:before="120" w:after="120" w:line="360" w:lineRule="auto"/>
        <w:rPr>
          <w:rFonts w:ascii="宋体" w:hAnsi="宋体" w:cs="宋体"/>
          <w:b w:val="0"/>
          <w:bCs/>
        </w:rPr>
      </w:pPr>
      <w:r>
        <w:rPr>
          <w:rFonts w:hint="eastAsia" w:ascii="宋体" w:hAnsi="宋体" w:cs="宋体"/>
          <w:b w:val="0"/>
          <w:bCs/>
        </w:rPr>
        <w:t>2、乙方所交付的货物品种、型号、规格、技术参数、质量不符合合同规定及招标文件规定标准的，甲方有权拒收该批货物并可单方面解除合同，同时扣除履约保证金。乙方如有虚假响应、以次充好等行为，甲方有权将该单位移送相关主管部门处理，同时乙方应向甲方支付不少于合同总价30%的赔偿金。</w:t>
      </w:r>
    </w:p>
    <w:p w14:paraId="4C30C28D">
      <w:pPr>
        <w:pBdr>
          <w:top w:val="none" w:color="000000" w:sz="0" w:space="0"/>
          <w:left w:val="none" w:color="000000" w:sz="0" w:space="0"/>
          <w:bottom w:val="none" w:color="000000" w:sz="0" w:space="0"/>
          <w:right w:val="none" w:color="000000" w:sz="0" w:space="0"/>
        </w:pBdr>
        <w:spacing w:before="120" w:after="120" w:line="360" w:lineRule="auto"/>
        <w:rPr>
          <w:rFonts w:ascii="宋体" w:hAnsi="宋体" w:cs="宋体"/>
          <w:b w:val="0"/>
          <w:bCs/>
        </w:rPr>
      </w:pPr>
      <w:r>
        <w:rPr>
          <w:rFonts w:hint="eastAsia" w:ascii="宋体" w:hAnsi="宋体" w:cs="宋体"/>
          <w:b w:val="0"/>
          <w:bCs/>
        </w:rPr>
        <w:t>3、甲方每延期1天支付合同价款，应向乙方支付该项目合同总价的万分之四作为违约金。</w:t>
      </w:r>
    </w:p>
    <w:p w14:paraId="55BBCB95">
      <w:pPr>
        <w:pBdr>
          <w:top w:val="none" w:color="000000" w:sz="0" w:space="0"/>
          <w:left w:val="none" w:color="000000" w:sz="0" w:space="0"/>
          <w:bottom w:val="none" w:color="000000" w:sz="0" w:space="0"/>
          <w:right w:val="none" w:color="000000" w:sz="0" w:space="0"/>
        </w:pBdr>
        <w:spacing w:before="120" w:after="120" w:line="360" w:lineRule="auto"/>
        <w:rPr>
          <w:rFonts w:ascii="宋体" w:hAnsi="宋体" w:cs="宋体"/>
          <w:b w:val="0"/>
          <w:bCs/>
        </w:rPr>
      </w:pPr>
      <w:r>
        <w:rPr>
          <w:rFonts w:hint="eastAsia" w:ascii="宋体" w:hAnsi="宋体" w:cs="宋体"/>
          <w:b w:val="0"/>
          <w:bCs/>
        </w:rPr>
        <w:t>4、乙方在供货期间如发生安全事故，一切经济责任和法律责任皆由乙方承担。</w:t>
      </w:r>
    </w:p>
    <w:p w14:paraId="0DCAB141">
      <w:pPr>
        <w:pBdr>
          <w:top w:val="none" w:color="000000" w:sz="0" w:space="0"/>
          <w:left w:val="none" w:color="000000" w:sz="0" w:space="0"/>
          <w:bottom w:val="none" w:color="000000" w:sz="0" w:space="0"/>
          <w:right w:val="none" w:color="000000" w:sz="0" w:space="0"/>
        </w:pBdr>
        <w:spacing w:before="120" w:after="120" w:line="360" w:lineRule="auto"/>
        <w:rPr>
          <w:rFonts w:ascii="宋体" w:hAnsi="宋体" w:cs="宋体"/>
          <w:b w:val="0"/>
          <w:bCs/>
        </w:rPr>
      </w:pPr>
      <w:r>
        <w:rPr>
          <w:rFonts w:hint="eastAsia" w:ascii="宋体" w:hAnsi="宋体" w:cs="宋体"/>
          <w:b w:val="0"/>
          <w:bCs/>
        </w:rPr>
        <w:t>5、在合同履行过程中若有一方违反本合同约定，违约方除承担违约责任赔偿外，还需承担守约方维权产生的费用包括但不限于诉讼费、保全费、保全保险费、律师费等一切费用。</w:t>
      </w:r>
    </w:p>
    <w:p w14:paraId="06476CAA">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b/>
        </w:rPr>
        <w:t>十六、不可抗力事件处理</w:t>
      </w:r>
    </w:p>
    <w:p w14:paraId="70BF2D92">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16.1 在合同有效期内，任何一方因不可抗力事件导致不能履行合同，则合同履行期可延长，其延长期与不可抗力影响期相同。</w:t>
      </w:r>
    </w:p>
    <w:p w14:paraId="683B791A">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16.2 不可抗力事件发生后，应立即通知对方，并寄送有关权威机构出具的证明。</w:t>
      </w:r>
    </w:p>
    <w:p w14:paraId="1BD278D8">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16.3 不可抗力事件延续120天以上，双方应通过友好协商，确定是否继续履行合同。</w:t>
      </w:r>
    </w:p>
    <w:p w14:paraId="1FAF81EF">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b/>
        </w:rPr>
        <w:t>十七、诉讼</w:t>
      </w:r>
    </w:p>
    <w:p w14:paraId="1D3F9E33">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17.1 双方在执行合同中所发生的一切争议，应通过协商解决。如协商不成，可向合同签订地法院起诉，合同签订地在此约定为盐城市大丰区。</w:t>
      </w:r>
    </w:p>
    <w:p w14:paraId="56C00D59">
      <w:pPr>
        <w:pBdr>
          <w:top w:val="none" w:color="000000" w:sz="0" w:space="0"/>
          <w:left w:val="none" w:color="000000" w:sz="0" w:space="0"/>
          <w:bottom w:val="none" w:color="000000" w:sz="0" w:space="0"/>
          <w:right w:val="none" w:color="000000" w:sz="0" w:space="0"/>
        </w:pBdr>
        <w:spacing w:before="120" w:after="120" w:line="360" w:lineRule="auto"/>
      </w:pPr>
      <w:r>
        <w:rPr>
          <w:rFonts w:ascii="宋体" w:hAnsi="宋体" w:cs="宋体"/>
          <w:b/>
        </w:rPr>
        <w:t>十八、合同生效及其它</w:t>
      </w:r>
    </w:p>
    <w:p w14:paraId="471400AC">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18.1 合同经双方法定代表人或授权委托代表人签字并加盖单位公章后生效。</w:t>
      </w:r>
    </w:p>
    <w:p w14:paraId="623CC600">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18.2本合同未尽事宜，遵照《民法典》有关条文执行。</w:t>
      </w:r>
    </w:p>
    <w:p w14:paraId="0196F1DC">
      <w:pPr>
        <w:pBdr>
          <w:top w:val="none" w:color="000000" w:sz="0" w:space="0"/>
          <w:left w:val="none" w:color="000000" w:sz="0" w:space="0"/>
          <w:bottom w:val="none" w:color="000000" w:sz="0" w:space="0"/>
          <w:right w:val="none" w:color="000000" w:sz="0" w:space="0"/>
        </w:pBdr>
        <w:spacing w:line="360" w:lineRule="auto"/>
      </w:pPr>
      <w:r>
        <w:rPr>
          <w:rFonts w:ascii="宋体" w:hAnsi="宋体" w:cs="宋体"/>
        </w:rPr>
        <w:t>18.3 本合同一式肆份，具有同等法律效力，甲方、乙方各执两份。</w:t>
      </w:r>
    </w:p>
    <w:p w14:paraId="5095AED2">
      <w:pPr>
        <w:widowControl/>
        <w:pBdr>
          <w:top w:val="none" w:color="000000" w:sz="0" w:space="0"/>
          <w:left w:val="none" w:color="000000" w:sz="0" w:space="0"/>
          <w:bottom w:val="none" w:color="000000" w:sz="0" w:space="0"/>
          <w:right w:val="none" w:color="000000" w:sz="0" w:space="0"/>
        </w:pBdr>
        <w:spacing w:line="499" w:lineRule="atLeast"/>
        <w:ind w:firstLine="480"/>
        <w:jc w:val="center"/>
        <w:rPr>
          <w:rFonts w:asciiTheme="minorHAnsi" w:hAnsiTheme="minorHAnsi" w:eastAsiaTheme="minorEastAsia" w:cstheme="minorBidi"/>
          <w:szCs w:val="22"/>
        </w:rPr>
      </w:pPr>
      <w:r>
        <w:rPr/>
        <w:br w:type="page" w:clear="all"/>
      </w:r>
      <w:r>
        <w:rPr>
          <w:rFonts w:ascii="宋体" w:hAnsi="宋体" w:cs="宋体"/>
          <w:szCs w:val="22"/>
        </w:rPr>
        <w:t> </w:t>
      </w:r>
      <w:r>
        <w:rPr>
          <w:rFonts w:ascii="宋体" w:hAnsi="宋体" w:cs="宋体"/>
          <w:sz w:val="30"/>
          <w:szCs w:val="22"/>
        </w:rPr>
        <w:t>政府采购合同履约验收书（参考格式）</w:t>
      </w:r>
    </w:p>
    <w:p w14:paraId="034887EB">
      <w:pPr>
        <w:widowControl/>
        <w:pBdr>
          <w:top w:val="none" w:color="000000" w:sz="0" w:space="0"/>
          <w:left w:val="none" w:color="000000" w:sz="0" w:space="0"/>
          <w:bottom w:val="none" w:color="000000" w:sz="0" w:space="0"/>
          <w:right w:val="none" w:color="000000" w:sz="0" w:space="0"/>
        </w:pBdr>
        <w:spacing w:line="499" w:lineRule="atLeast"/>
        <w:ind w:firstLine="420"/>
        <w:rPr>
          <w:rFonts w:asciiTheme="minorHAnsi" w:hAnsiTheme="minorHAnsi" w:eastAsiaTheme="minorEastAsia" w:cstheme="minorBidi"/>
          <w:szCs w:val="22"/>
        </w:rPr>
      </w:pPr>
      <w:r>
        <w:rPr>
          <w:rFonts w:ascii="宋体" w:hAnsi="宋体" w:cs="宋体"/>
          <w:szCs w:val="22"/>
        </w:rPr>
        <w:t>根据政府采购合同（编号：</w:t>
      </w:r>
      <w:r>
        <w:rPr>
          <w:rFonts w:ascii="Calibri" w:hAnsi="Calibri" w:eastAsia="Calibri" w:cs="Calibri"/>
          <w:szCs w:val="22"/>
          <w:u w:val="single"/>
        </w:rPr>
        <w:t>             </w:t>
      </w:r>
      <w:r>
        <w:rPr>
          <w:rFonts w:ascii="宋体" w:hAnsi="宋体" w:cs="宋体"/>
          <w:szCs w:val="22"/>
        </w:rPr>
        <w:t>）的约定，我单位组织对</w:t>
      </w:r>
      <w:r>
        <w:rPr>
          <w:rFonts w:ascii="宋体" w:hAnsi="宋体" w:cs="宋体"/>
          <w:szCs w:val="22"/>
          <w:u w:val="single"/>
        </w:rPr>
        <w:t>（项目名称）</w:t>
      </w:r>
      <w:r>
        <w:rPr>
          <w:rFonts w:ascii="宋体" w:hAnsi="宋体" w:cs="宋体"/>
          <w:szCs w:val="22"/>
        </w:rPr>
        <w:t>项目中标（成交）供应商</w:t>
      </w:r>
      <w:r>
        <w:rPr>
          <w:rFonts w:ascii="宋体" w:hAnsi="宋体" w:cs="宋体"/>
          <w:szCs w:val="22"/>
          <w:u w:val="single"/>
        </w:rPr>
        <w:t>（公司名称）</w:t>
      </w:r>
      <w:r>
        <w:rPr>
          <w:rFonts w:ascii="宋体" w:hAnsi="宋体" w:cs="宋体"/>
          <w:szCs w:val="22"/>
        </w:rPr>
        <w:t>提供的货物（工程、服务）进行了履约验收，验收情况如下：</w:t>
      </w:r>
    </w:p>
    <w:tbl>
      <w:tblPr>
        <w:tblStyle w:val="3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443"/>
        <w:gridCol w:w="2529"/>
        <w:gridCol w:w="1479"/>
        <w:gridCol w:w="3257"/>
      </w:tblGrid>
      <w:tr w14:paraId="1A68F38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55" w:hRule="atLeast"/>
        </w:trPr>
        <w:tc>
          <w:tcPr>
            <w:tcW w:w="1443"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09322E0">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宋体" w:hAnsi="宋体" w:cs="宋体"/>
                <w:szCs w:val="22"/>
              </w:rPr>
              <w:t>项目名称</w:t>
            </w:r>
          </w:p>
        </w:tc>
        <w:tc>
          <w:tcPr>
            <w:tcW w:w="2529"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2634BEFA">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Calibri" w:hAnsi="Calibri" w:eastAsia="Calibri" w:cs="Calibri"/>
                <w:szCs w:val="22"/>
              </w:rPr>
              <w:t> </w:t>
            </w:r>
          </w:p>
        </w:tc>
        <w:tc>
          <w:tcPr>
            <w:tcW w:w="1479"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29474D8B">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宋体" w:hAnsi="宋体" w:cs="宋体"/>
                <w:szCs w:val="22"/>
              </w:rPr>
              <w:t>项目地点</w:t>
            </w:r>
          </w:p>
        </w:tc>
        <w:tc>
          <w:tcPr>
            <w:tcW w:w="3257"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6BEB55A4">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Calibri" w:hAnsi="Calibri" w:eastAsia="Calibri" w:cs="Calibri"/>
                <w:szCs w:val="22"/>
              </w:rPr>
              <w:t> </w:t>
            </w:r>
          </w:p>
        </w:tc>
      </w:tr>
      <w:tr w14:paraId="5B9E7DA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55" w:hRule="atLeast"/>
        </w:trPr>
        <w:tc>
          <w:tcPr>
            <w:tcW w:w="144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C432288">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宋体" w:hAnsi="宋体" w:cs="宋体"/>
                <w:szCs w:val="22"/>
              </w:rPr>
              <w:t>预算金额</w:t>
            </w:r>
          </w:p>
        </w:tc>
        <w:tc>
          <w:tcPr>
            <w:tcW w:w="252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2C78073">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Calibri" w:hAnsi="Calibri" w:eastAsia="Calibri" w:cs="Calibri"/>
                <w:szCs w:val="22"/>
              </w:rPr>
              <w:t> </w:t>
            </w:r>
          </w:p>
        </w:tc>
        <w:tc>
          <w:tcPr>
            <w:tcW w:w="1479" w:type="dxa"/>
            <w:tcBorders>
              <w:top w:val="nil"/>
              <w:left w:val="nil"/>
              <w:bottom w:val="nil"/>
              <w:right w:val="nil"/>
            </w:tcBorders>
            <w:noWrap/>
            <w:tcMar>
              <w:top w:w="0" w:type="dxa"/>
              <w:left w:w="108" w:type="dxa"/>
              <w:bottom w:w="0" w:type="dxa"/>
              <w:right w:w="108" w:type="dxa"/>
            </w:tcMar>
            <w:vAlign w:val="center"/>
          </w:tcPr>
          <w:p w14:paraId="7065CE32">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宋体" w:hAnsi="宋体" w:cs="宋体"/>
                <w:szCs w:val="22"/>
              </w:rPr>
              <w:t>承接单位</w:t>
            </w:r>
          </w:p>
        </w:tc>
        <w:tc>
          <w:tcPr>
            <w:tcW w:w="325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1E7D286">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Calibri" w:hAnsi="Calibri" w:eastAsia="Calibri" w:cs="Calibri"/>
                <w:szCs w:val="22"/>
              </w:rPr>
              <w:t> </w:t>
            </w:r>
          </w:p>
        </w:tc>
      </w:tr>
      <w:tr w14:paraId="31AD16B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55" w:hRule="atLeast"/>
        </w:trPr>
        <w:tc>
          <w:tcPr>
            <w:tcW w:w="144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CAD726D">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宋体" w:hAnsi="宋体" w:cs="宋体"/>
                <w:szCs w:val="22"/>
              </w:rPr>
              <w:t>合同时间</w:t>
            </w:r>
          </w:p>
        </w:tc>
        <w:tc>
          <w:tcPr>
            <w:tcW w:w="252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B6478BF">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Calibri" w:hAnsi="Calibri" w:eastAsia="Calibri" w:cs="Calibri"/>
                <w:szCs w:val="22"/>
              </w:rPr>
              <w:t> </w:t>
            </w:r>
          </w:p>
        </w:tc>
        <w:tc>
          <w:tcPr>
            <w:tcW w:w="1479"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7BD7102D">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宋体" w:hAnsi="宋体" w:cs="宋体"/>
                <w:szCs w:val="22"/>
              </w:rPr>
              <w:t>项目开始时间</w:t>
            </w:r>
          </w:p>
        </w:tc>
        <w:tc>
          <w:tcPr>
            <w:tcW w:w="3257"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BE83BBA">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Calibri" w:hAnsi="Calibri" w:eastAsia="Calibri" w:cs="Calibri"/>
                <w:szCs w:val="22"/>
              </w:rPr>
              <w:t> </w:t>
            </w:r>
          </w:p>
        </w:tc>
      </w:tr>
      <w:tr w14:paraId="01D6AC4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55" w:hRule="atLeast"/>
        </w:trPr>
        <w:tc>
          <w:tcPr>
            <w:tcW w:w="144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D3EA96A">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宋体" w:hAnsi="宋体" w:cs="宋体"/>
                <w:szCs w:val="22"/>
              </w:rPr>
              <w:t>项目结束时间</w:t>
            </w:r>
          </w:p>
        </w:tc>
        <w:tc>
          <w:tcPr>
            <w:tcW w:w="252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A6E05F5">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Calibri" w:hAnsi="Calibri" w:eastAsia="Calibri" w:cs="Calibri"/>
                <w:szCs w:val="22"/>
              </w:rPr>
              <w:t> </w:t>
            </w:r>
          </w:p>
        </w:tc>
        <w:tc>
          <w:tcPr>
            <w:tcW w:w="14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CAF82E5">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宋体" w:hAnsi="宋体" w:cs="宋体"/>
                <w:szCs w:val="22"/>
              </w:rPr>
              <w:t>项目联系人</w:t>
            </w:r>
          </w:p>
        </w:tc>
        <w:tc>
          <w:tcPr>
            <w:tcW w:w="3257"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79275EE">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Calibri" w:hAnsi="Calibri" w:eastAsia="Calibri" w:cs="Calibri"/>
                <w:szCs w:val="22"/>
              </w:rPr>
              <w:t> </w:t>
            </w:r>
          </w:p>
        </w:tc>
      </w:tr>
      <w:tr w14:paraId="5949C7A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8708" w:type="dxa"/>
            <w:gridSpan w:val="4"/>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48FDBF6A">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宋体" w:hAnsi="宋体" w:cs="宋体"/>
                <w:szCs w:val="22"/>
              </w:rPr>
              <w:t>验收情况和验收意见</w:t>
            </w:r>
          </w:p>
          <w:p w14:paraId="6F18B1D8">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宋体" w:hAnsi="宋体" w:cs="宋体"/>
                <w:szCs w:val="22"/>
              </w:rPr>
              <w:t>（可另附）</w:t>
            </w:r>
          </w:p>
          <w:p w14:paraId="182FA1D3">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Calibri" w:hAnsi="Calibri" w:eastAsia="Calibri" w:cs="Calibri"/>
                <w:szCs w:val="22"/>
              </w:rPr>
              <w:t> </w:t>
            </w:r>
          </w:p>
          <w:p w14:paraId="278864AA">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Calibri" w:hAnsi="Calibri" w:eastAsia="Calibri" w:cs="Calibri"/>
                <w:szCs w:val="22"/>
              </w:rPr>
              <w:t> </w:t>
            </w:r>
          </w:p>
          <w:p w14:paraId="64905F76">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Calibri" w:hAnsi="Calibri" w:eastAsia="Calibri" w:cs="Calibri"/>
                <w:szCs w:val="22"/>
              </w:rPr>
              <w:t> </w:t>
            </w:r>
          </w:p>
          <w:p w14:paraId="4670A248">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Calibri" w:hAnsi="Calibri" w:eastAsia="Calibri" w:cs="Calibri"/>
                <w:szCs w:val="22"/>
              </w:rPr>
              <w:t> </w:t>
            </w:r>
          </w:p>
        </w:tc>
      </w:tr>
      <w:tr w14:paraId="76EF01F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8708" w:type="dxa"/>
            <w:gridSpan w:val="4"/>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6F617AF8">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宋体" w:hAnsi="宋体" w:cs="宋体"/>
                <w:szCs w:val="22"/>
              </w:rPr>
              <w:t>验收小组（签字）：</w:t>
            </w:r>
          </w:p>
          <w:p w14:paraId="465BC1C6">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Calibri" w:hAnsi="Calibri" w:eastAsia="Calibri" w:cs="Calibri"/>
                <w:szCs w:val="22"/>
              </w:rPr>
              <w:t> </w:t>
            </w:r>
          </w:p>
          <w:p w14:paraId="0BE91393">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Calibri" w:hAnsi="Calibri" w:eastAsia="Calibri" w:cs="Calibri"/>
                <w:szCs w:val="22"/>
              </w:rPr>
              <w:t> </w:t>
            </w:r>
          </w:p>
          <w:p w14:paraId="10A6E106">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Calibri" w:hAnsi="Calibri" w:eastAsia="Calibri" w:cs="Calibri"/>
                <w:szCs w:val="22"/>
              </w:rPr>
              <w:t> </w:t>
            </w:r>
          </w:p>
          <w:p w14:paraId="2C8C9376">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Theme="minorHAnsi" w:hAnsiTheme="minorHAnsi" w:eastAsiaTheme="minorEastAsia" w:cstheme="minorBidi"/>
                <w:szCs w:val="22"/>
              </w:rPr>
              <w:br w:type="textWrapping"/>
            </w:r>
            <w:r>
              <w:rPr>
                <w:rFonts w:ascii="Calibri" w:hAnsi="Calibri" w:eastAsia="Calibri" w:cs="Calibri"/>
                <w:szCs w:val="22"/>
              </w:rPr>
              <w:t xml:space="preserve">                              </w:t>
            </w:r>
            <w:r>
              <w:rPr>
                <w:rFonts w:ascii="宋体" w:hAnsi="宋体" w:cs="宋体"/>
                <w:szCs w:val="22"/>
              </w:rPr>
              <w:t>年</w:t>
            </w:r>
            <w:r>
              <w:rPr>
                <w:rFonts w:ascii="Calibri" w:hAnsi="Calibri" w:eastAsia="Calibri" w:cs="Calibri"/>
                <w:szCs w:val="22"/>
              </w:rPr>
              <w:t xml:space="preserve">    </w:t>
            </w:r>
            <w:r>
              <w:rPr>
                <w:rFonts w:ascii="宋体" w:hAnsi="宋体" w:cs="宋体"/>
                <w:szCs w:val="22"/>
              </w:rPr>
              <w:t>月</w:t>
            </w:r>
            <w:r>
              <w:rPr>
                <w:rFonts w:ascii="Calibri" w:hAnsi="Calibri" w:eastAsia="Calibri" w:cs="Calibri"/>
                <w:szCs w:val="22"/>
              </w:rPr>
              <w:t xml:space="preserve">    </w:t>
            </w:r>
            <w:r>
              <w:rPr>
                <w:rFonts w:ascii="宋体" w:hAnsi="宋体" w:cs="宋体"/>
                <w:szCs w:val="22"/>
              </w:rPr>
              <w:t>日</w:t>
            </w:r>
          </w:p>
        </w:tc>
      </w:tr>
      <w:tr w14:paraId="09BB537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8708" w:type="dxa"/>
            <w:gridSpan w:val="4"/>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7F7D9FC0">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宋体" w:hAnsi="宋体" w:cs="宋体"/>
                <w:szCs w:val="22"/>
              </w:rPr>
              <w:t>供应商确认意见（签章）：</w:t>
            </w:r>
          </w:p>
          <w:p w14:paraId="2283AD8C">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Calibri" w:hAnsi="Calibri" w:eastAsia="Calibri" w:cs="Calibri"/>
                <w:szCs w:val="22"/>
              </w:rPr>
              <w:t> </w:t>
            </w:r>
          </w:p>
          <w:p w14:paraId="7D6F05EA">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Calibri" w:hAnsi="Calibri" w:eastAsia="Calibri" w:cs="Calibri"/>
                <w:szCs w:val="22"/>
              </w:rPr>
              <w:t> </w:t>
            </w:r>
          </w:p>
          <w:p w14:paraId="585182DF">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Calibri" w:hAnsi="Calibri" w:eastAsia="Calibri" w:cs="Calibri"/>
                <w:szCs w:val="22"/>
              </w:rPr>
              <w:t> </w:t>
            </w:r>
          </w:p>
          <w:p w14:paraId="2AA45DC8">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Theme="minorHAnsi" w:hAnsiTheme="minorHAnsi" w:eastAsiaTheme="minorEastAsia" w:cstheme="minorBidi"/>
                <w:szCs w:val="22"/>
              </w:rPr>
              <w:br w:type="textWrapping"/>
            </w:r>
            <w:r>
              <w:rPr>
                <w:rFonts w:ascii="Calibri" w:hAnsi="Calibri" w:eastAsia="Calibri" w:cs="Calibri"/>
                <w:szCs w:val="22"/>
              </w:rPr>
              <w:t xml:space="preserve">                              </w:t>
            </w:r>
            <w:r>
              <w:rPr>
                <w:rFonts w:ascii="宋体" w:hAnsi="宋体" w:cs="宋体"/>
                <w:szCs w:val="22"/>
              </w:rPr>
              <w:t>年</w:t>
            </w:r>
            <w:r>
              <w:rPr>
                <w:rFonts w:ascii="Calibri" w:hAnsi="Calibri" w:eastAsia="Calibri" w:cs="Calibri"/>
                <w:szCs w:val="22"/>
              </w:rPr>
              <w:t xml:space="preserve">    </w:t>
            </w:r>
            <w:r>
              <w:rPr>
                <w:rFonts w:ascii="宋体" w:hAnsi="宋体" w:cs="宋体"/>
                <w:szCs w:val="22"/>
              </w:rPr>
              <w:t>月</w:t>
            </w:r>
            <w:r>
              <w:rPr>
                <w:rFonts w:ascii="Calibri" w:hAnsi="Calibri" w:eastAsia="Calibri" w:cs="Calibri"/>
                <w:szCs w:val="22"/>
              </w:rPr>
              <w:t xml:space="preserve">    </w:t>
            </w:r>
            <w:r>
              <w:rPr>
                <w:rFonts w:ascii="宋体" w:hAnsi="宋体" w:cs="宋体"/>
                <w:szCs w:val="22"/>
              </w:rPr>
              <w:t>日</w:t>
            </w:r>
          </w:p>
        </w:tc>
      </w:tr>
      <w:tr w14:paraId="705F402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8708" w:type="dxa"/>
            <w:gridSpan w:val="4"/>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6A3279C0">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宋体" w:hAnsi="宋体" w:cs="宋体"/>
                <w:szCs w:val="22"/>
              </w:rPr>
              <w:t>采购人确认意见（签章）：</w:t>
            </w:r>
          </w:p>
          <w:p w14:paraId="7A951147">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Calibri" w:hAnsi="Calibri" w:eastAsia="Calibri" w:cs="Calibri"/>
                <w:szCs w:val="22"/>
              </w:rPr>
              <w:t> </w:t>
            </w:r>
          </w:p>
          <w:p w14:paraId="441993FB">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Calibri" w:hAnsi="Calibri" w:eastAsia="Calibri" w:cs="Calibri"/>
                <w:szCs w:val="22"/>
              </w:rPr>
              <w:t> </w:t>
            </w:r>
          </w:p>
          <w:p w14:paraId="603BF7FA">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Calibri" w:hAnsi="Calibri" w:eastAsia="Calibri" w:cs="Calibri"/>
                <w:szCs w:val="22"/>
              </w:rPr>
              <w:t> </w:t>
            </w:r>
          </w:p>
          <w:p w14:paraId="3857F042">
            <w:pPr>
              <w:widowControl/>
              <w:pBdr>
                <w:top w:val="none" w:color="000000" w:sz="0" w:space="0"/>
                <w:left w:val="none" w:color="000000" w:sz="0" w:space="0"/>
                <w:bottom w:val="none" w:color="000000" w:sz="0" w:space="0"/>
                <w:right w:val="none" w:color="000000" w:sz="0" w:space="0"/>
              </w:pBdr>
              <w:rPr>
                <w:rFonts w:asciiTheme="minorHAnsi" w:hAnsiTheme="minorHAnsi" w:eastAsiaTheme="minorEastAsia" w:cstheme="minorBidi"/>
                <w:szCs w:val="22"/>
              </w:rPr>
            </w:pPr>
            <w:r>
              <w:rPr>
                <w:rFonts w:asciiTheme="minorHAnsi" w:hAnsiTheme="minorHAnsi" w:eastAsiaTheme="minorEastAsia" w:cstheme="minorBidi"/>
                <w:szCs w:val="22"/>
              </w:rPr>
              <w:br w:type="textWrapping"/>
            </w:r>
            <w:r>
              <w:rPr>
                <w:rFonts w:ascii="Calibri" w:hAnsi="Calibri" w:eastAsia="Calibri" w:cs="Calibri"/>
                <w:szCs w:val="22"/>
              </w:rPr>
              <w:t xml:space="preserve">                              </w:t>
            </w:r>
            <w:r>
              <w:rPr>
                <w:rFonts w:ascii="宋体" w:hAnsi="宋体" w:cs="宋体"/>
                <w:szCs w:val="22"/>
              </w:rPr>
              <w:t>年</w:t>
            </w:r>
            <w:r>
              <w:rPr>
                <w:rFonts w:ascii="Calibri" w:hAnsi="Calibri" w:eastAsia="Calibri" w:cs="Calibri"/>
                <w:szCs w:val="22"/>
              </w:rPr>
              <w:t xml:space="preserve">    </w:t>
            </w:r>
            <w:r>
              <w:rPr>
                <w:rFonts w:ascii="宋体" w:hAnsi="宋体" w:cs="宋体"/>
                <w:szCs w:val="22"/>
              </w:rPr>
              <w:t>月</w:t>
            </w:r>
            <w:r>
              <w:rPr>
                <w:rFonts w:ascii="Calibri" w:hAnsi="Calibri" w:eastAsia="Calibri" w:cs="Calibri"/>
                <w:szCs w:val="22"/>
              </w:rPr>
              <w:t xml:space="preserve">    </w:t>
            </w:r>
            <w:r>
              <w:rPr>
                <w:rFonts w:ascii="宋体" w:hAnsi="宋体" w:cs="宋体"/>
                <w:szCs w:val="22"/>
              </w:rPr>
              <w:t>日</w:t>
            </w:r>
          </w:p>
        </w:tc>
      </w:tr>
    </w:tbl>
    <w:p w14:paraId="7CA79207">
      <w:pPr>
        <w:pBdr>
          <w:top w:val="none" w:color="000000" w:sz="0" w:space="0"/>
          <w:left w:val="none" w:color="000000" w:sz="0" w:space="0"/>
          <w:bottom w:val="none" w:color="000000" w:sz="0" w:space="0"/>
          <w:right w:val="none" w:color="000000" w:sz="0" w:space="0"/>
        </w:pBdr>
        <w:spacing w:before="120" w:after="120"/>
        <w:ind w:left="120" w:right="120"/>
      </w:pPr>
    </w:p>
    <w:p w14:paraId="0FD5E2AF">
      <w:pPr>
        <w:pageBreakBefore/>
        <w:numPr>
          <w:ilvl w:val="0"/>
          <w:numId w:val="6"/>
        </w:numPr>
        <w:pBdr>
          <w:top w:val="none" w:color="000000" w:sz="0" w:space="0"/>
          <w:left w:val="none" w:color="000000" w:sz="0" w:space="0"/>
          <w:bottom w:val="none" w:color="000000" w:sz="0" w:space="0"/>
          <w:right w:val="none" w:color="000000" w:sz="0" w:space="0"/>
        </w:pBdr>
        <w:spacing w:line="360" w:lineRule="auto"/>
        <w:jc w:val="center"/>
        <w:rPr>
          <w:rFonts w:ascii="宋体" w:hAnsi="宋体" w:cs="宋体"/>
          <w:b/>
          <w:sz w:val="40"/>
        </w:rPr>
      </w:pPr>
      <w:r>
        <w:rPr>
          <w:rFonts w:ascii="宋体" w:hAnsi="宋体" w:cs="宋体"/>
          <w:b/>
          <w:sz w:val="40"/>
        </w:rPr>
        <w:t>采购需求</w:t>
      </w:r>
      <w:r>
        <w:rPr>
          <w:rFonts w:hint="eastAsia" w:ascii="宋体" w:hAnsi="宋体" w:cs="宋体"/>
          <w:b/>
          <w:sz w:val="40"/>
        </w:rPr>
        <w:t>（参数）</w:t>
      </w:r>
    </w:p>
    <w:p w14:paraId="0C96768B">
      <w:pPr>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一、设备用途说明：用于治疗各种表浅血管病变，色素性病变，皮肤年轻化等疾病。 </w:t>
      </w:r>
    </w:p>
    <w:p w14:paraId="334F1790">
      <w:pPr>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二、主要技术参数要求： </w:t>
      </w:r>
    </w:p>
    <w:p w14:paraId="5EF79F43">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1.具备强脉冲光技术； </w:t>
      </w:r>
    </w:p>
    <w:p w14:paraId="5A55E085">
      <w:pPr>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★2.强脉冲光手具波长：400-1200nm；</w:t>
      </w:r>
    </w:p>
    <w:p w14:paraId="03661FB2">
      <w:pPr>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▲3.具备 515nm-1200nm滤光片或手具；</w:t>
      </w:r>
    </w:p>
    <w:p w14:paraId="70E0B8BD">
      <w:pPr>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▲4.具备560nm-1200nm滤光片或手具；</w:t>
      </w:r>
    </w:p>
    <w:p w14:paraId="52B294C3">
      <w:pPr>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▲5.具备590nm-1200nm滤光片或手具；</w:t>
      </w:r>
    </w:p>
    <w:p w14:paraId="6F2FC9C3">
      <w:pPr>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▲6.具备615nm-1200nm滤光片或手具；</w:t>
      </w:r>
    </w:p>
    <w:p w14:paraId="56164ECD">
      <w:pPr>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▲7.具备640nm-1200nm滤光片或手具；</w:t>
      </w:r>
    </w:p>
    <w:p w14:paraId="1026FB7E">
      <w:pPr>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▲8.具备695nm-1200nm滤光片或手具；</w:t>
      </w:r>
    </w:p>
    <w:p w14:paraId="2BF0BD60">
      <w:pPr>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▲9.具备≥6个不同波段滤波片或6个不同波段强脉冲光手具； </w:t>
      </w:r>
    </w:p>
    <w:p w14:paraId="5118EE21">
      <w:pPr>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★10.强脉冲光手具具备900nm-1200nm嫩肤波段；</w:t>
      </w:r>
    </w:p>
    <w:p w14:paraId="6B091B30">
      <w:pPr>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▲11.功能切换技术：滤光片具有不关机更换技术或具有不关机更换手具技术； </w:t>
      </w:r>
    </w:p>
    <w:p w14:paraId="1FD5B7DC">
      <w:pPr>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12.技术要求：具备脉冲均匀的方形波，脉冲始端无能量尖峰，脉冲末端无衰减，能量输出稳定。 </w:t>
      </w:r>
    </w:p>
    <w:p w14:paraId="059B2900">
      <w:pPr>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▲13.能量密度：≥ 35J/cm2； </w:t>
      </w:r>
    </w:p>
    <w:p w14:paraId="3CDA5151">
      <w:pPr>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▲14.脉宽：4-20ms 脉宽连续可调，非固定脉宽； </w:t>
      </w:r>
    </w:p>
    <w:p w14:paraId="629E4F4B">
      <w:pPr>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15.脉冲方式：多个同步脉冲，子脉冲间脉冲延迟时间可视可手动调节，脉冲延迟可视可手动调节； </w:t>
      </w:r>
    </w:p>
    <w:p w14:paraId="21CA792C">
      <w:pPr>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16.操作界面上可调出多个脉冲：1个脉冲，2个脉冲，3个脉冲； </w:t>
      </w:r>
    </w:p>
    <w:p w14:paraId="55EA65F4">
      <w:pPr>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17.子脉冲能量值可视可手动调节； </w:t>
      </w:r>
    </w:p>
    <w:p w14:paraId="6BA40812">
      <w:pPr>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18.子脉冲脉宽值可视可手动调节； </w:t>
      </w:r>
    </w:p>
    <w:p w14:paraId="6B653CCE">
      <w:pPr>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19.脉冲延迟：5-150ms，连续可视可手动调节； </w:t>
      </w:r>
    </w:p>
    <w:p w14:paraId="0A66D577">
      <w:pPr>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20.频率：≥0.5HZ； </w:t>
      </w:r>
    </w:p>
    <w:p w14:paraId="1A7D9545">
      <w:pPr>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21.治疗光斑具备大小：光斑具备大面积和精细部位两种光斑；</w:t>
      </w:r>
    </w:p>
    <w:p w14:paraId="179611EB">
      <w:pPr>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22.大光斑≥15*35mm； </w:t>
      </w:r>
    </w:p>
    <w:p w14:paraId="6EE08718">
      <w:pPr>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▲23.小光斑≤8*15mm；</w:t>
      </w:r>
    </w:p>
    <w:p w14:paraId="4803D689">
      <w:pPr>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24.手具发射按钮具备三个不同方位启动按钮设置；</w:t>
      </w:r>
    </w:p>
    <w:p w14:paraId="0ADACCA3">
      <w:pPr>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25.水箱外置可视技术。</w:t>
      </w:r>
    </w:p>
    <w:p w14:paraId="6091D71E">
      <w:pPr>
        <w:pStyle w:val="31"/>
        <w:widowControl w:val="0"/>
        <w:spacing w:before="0" w:beforeAutospacing="0" w:after="0" w:afterAutospacing="0" w:line="400" w:lineRule="exact"/>
        <w:ind w:firstLine="422" w:firstLineChars="200"/>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三、商务要求：</w:t>
      </w:r>
    </w:p>
    <w:p w14:paraId="5B14DB93">
      <w:pPr>
        <w:pStyle w:val="31"/>
        <w:widowControl w:val="0"/>
        <w:spacing w:before="0" w:beforeAutospacing="0" w:after="0" w:afterAutospacing="0" w:line="400" w:lineRule="exact"/>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1、合同履行期限：签订合同后</w:t>
      </w:r>
      <w:r>
        <w:rPr>
          <w:rFonts w:hint="eastAsia" w:ascii="宋体" w:hAnsi="宋体" w:eastAsia="宋体" w:cs="宋体"/>
          <w:color w:val="auto"/>
          <w:sz w:val="21"/>
          <w:szCs w:val="21"/>
          <w:highlight w:val="none"/>
          <w:u w:val="single"/>
        </w:rPr>
        <w:t xml:space="preserve"> 30 </w:t>
      </w:r>
      <w:r>
        <w:rPr>
          <w:rFonts w:hint="eastAsia" w:ascii="宋体" w:hAnsi="宋体" w:eastAsia="宋体" w:cs="宋体"/>
          <w:color w:val="auto"/>
          <w:sz w:val="21"/>
          <w:szCs w:val="21"/>
          <w:highlight w:val="none"/>
        </w:rPr>
        <w:t>日历天内完成所需设备的采购、供应、运输、安装、调试等相关伴随服务，并通过采购人的验收。</w:t>
      </w:r>
    </w:p>
    <w:p w14:paraId="1517766F">
      <w:pPr>
        <w:pStyle w:val="31"/>
        <w:widowControl w:val="0"/>
        <w:spacing w:before="0" w:beforeAutospacing="0" w:after="0" w:afterAutospacing="0" w:line="400" w:lineRule="exact"/>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2、交货方式：全部货物到现场安装调试完毕交付甲方。</w:t>
      </w:r>
    </w:p>
    <w:p w14:paraId="3F005816">
      <w:pPr>
        <w:pStyle w:val="31"/>
        <w:widowControl w:val="0"/>
        <w:spacing w:before="0" w:beforeAutospacing="0" w:after="0" w:afterAutospacing="0" w:line="400" w:lineRule="exact"/>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3、交货地点：甲方指定地点。</w:t>
      </w:r>
    </w:p>
    <w:p w14:paraId="3DDC9DBA">
      <w:pPr>
        <w:pStyle w:val="31"/>
        <w:widowControl w:val="0"/>
        <w:spacing w:before="0" w:beforeAutospacing="0" w:after="0" w:afterAutospacing="0" w:line="400" w:lineRule="exact"/>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★4、付款方式：本项目预付款为30%，货物安装调试完成并经甲方验收合格付至合同价款的80%，验收合格满一年后付至合同价款的95%，余款在项目验收合格</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年后且使用无质量问题付清。</w:t>
      </w:r>
    </w:p>
    <w:p w14:paraId="6AD9D7BC">
      <w:pPr>
        <w:pStyle w:val="31"/>
        <w:widowControl w:val="0"/>
        <w:spacing w:before="0" w:beforeAutospacing="0" w:after="0" w:afterAutospacing="0" w:line="400" w:lineRule="exact"/>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付款时乙方须提供正规发票（采购人原则上自收到发票后30个工作日内将资金支付到合同约定的供应商账户）。合同款一律通过银行非现金结算，结算方式：转账。（按以上进度付款无任何利息补偿）</w:t>
      </w:r>
    </w:p>
    <w:p w14:paraId="17AA5457">
      <w:pPr>
        <w:pStyle w:val="31"/>
        <w:widowControl w:val="0"/>
        <w:spacing w:before="0" w:beforeAutospacing="0" w:after="0" w:afterAutospacing="0" w:line="400" w:lineRule="exact"/>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★5、质保期要求：不少于一年（含设备免费维护保养）。</w:t>
      </w:r>
    </w:p>
    <w:p w14:paraId="5E3591C2">
      <w:pPr>
        <w:pStyle w:val="31"/>
        <w:widowControl w:val="0"/>
        <w:spacing w:before="0" w:beforeAutospacing="0" w:after="0" w:afterAutospacing="0" w:line="400" w:lineRule="exact"/>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6、包装和运输要求：供应商对于投标产品的商品包装、快递包装应按照《关于印发《商品包装政府采购需求标准（试行）》、《快递包装政府采购需求标准（试行）》的通知》（财办库〔2020〕123号）执行。</w:t>
      </w:r>
    </w:p>
    <w:p w14:paraId="4B69E84A">
      <w:pPr>
        <w:pStyle w:val="31"/>
        <w:widowControl w:val="0"/>
        <w:spacing w:before="0" w:beforeAutospacing="0" w:after="0" w:afterAutospacing="0" w:line="400" w:lineRule="exact"/>
        <w:ind w:firstLine="480"/>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7、质量要求及验收标准：相关质量验收规范合格标准，验收执行国家或行业最新标准、招标文件各项技术参数指标、投标文件投标承诺所达到的各项技术参数指标（招标文件、投标文件、国家或行业标准不一致处以最高标准执行）。</w:t>
      </w:r>
      <w:r>
        <w:rPr>
          <w:rFonts w:hint="eastAsia" w:ascii="宋体" w:hAnsi="宋体" w:eastAsia="宋体" w:cs="宋体"/>
          <w:color w:val="auto"/>
          <w:sz w:val="21"/>
          <w:szCs w:val="21"/>
          <w:highlight w:val="none"/>
          <w:lang w:eastAsia="zh-CN"/>
        </w:rPr>
        <w:t>验收过程中采购人可邀请未中标的投标人代表参与项目验收。</w:t>
      </w:r>
    </w:p>
    <w:p w14:paraId="7AF9A48D">
      <w:pPr>
        <w:pStyle w:val="31"/>
        <w:widowControl w:val="0"/>
        <w:spacing w:before="0" w:beforeAutospacing="0" w:after="0" w:afterAutospacing="0" w:line="400" w:lineRule="exact"/>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8、投标产品属于医疗器械注册范畴的，供货时须提供投标产品的《医疗器械注册证》。</w:t>
      </w:r>
    </w:p>
    <w:p w14:paraId="15446212">
      <w:pPr>
        <w:pStyle w:val="31"/>
        <w:widowControl w:val="0"/>
        <w:spacing w:before="0" w:beforeAutospacing="0" w:after="0" w:afterAutospacing="0" w:line="400" w:lineRule="exact"/>
        <w:ind w:firstLine="48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9、中标后所供产品必须为近6个月出厂的产品。</w:t>
      </w:r>
    </w:p>
    <w:p w14:paraId="2D2DF0E7">
      <w:pPr>
        <w:pStyle w:val="31"/>
        <w:widowControl w:val="0"/>
        <w:spacing w:before="0" w:beforeAutospacing="0" w:after="0" w:afterAutospacing="0" w:line="400" w:lineRule="exact"/>
        <w:ind w:firstLine="482"/>
        <w:jc w:val="both"/>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四、其他内容</w:t>
      </w:r>
    </w:p>
    <w:p w14:paraId="162880FF">
      <w:pPr>
        <w:pStyle w:val="31"/>
        <w:widowControl w:val="0"/>
        <w:spacing w:before="0" w:beforeAutospacing="0" w:after="0" w:afterAutospacing="0" w:line="400" w:lineRule="exact"/>
        <w:ind w:firstLine="480"/>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1、本项目不接受进口产品投标。</w:t>
      </w:r>
    </w:p>
    <w:p w14:paraId="7BD00A98">
      <w:pPr>
        <w:pStyle w:val="31"/>
        <w:widowControl w:val="0"/>
        <w:spacing w:before="0" w:beforeAutospacing="0" w:after="0" w:afterAutospacing="0" w:line="400" w:lineRule="exact"/>
        <w:ind w:firstLine="480"/>
        <w:jc w:val="both"/>
        <w:rPr>
          <w:rFonts w:ascii="宋体" w:hAnsi="宋体" w:cs="宋体"/>
          <w:b/>
          <w:sz w:val="40"/>
        </w:rPr>
      </w:pPr>
      <w:r>
        <w:rPr>
          <w:rFonts w:hint="eastAsia" w:ascii="宋体" w:hAnsi="宋体" w:eastAsia="宋体" w:cs="宋体"/>
          <w:color w:val="auto"/>
          <w:sz w:val="21"/>
          <w:szCs w:val="21"/>
          <w:highlight w:val="none"/>
        </w:rPr>
        <w:t>2、本项目采购标的所属行业划分为</w:t>
      </w:r>
      <w:r>
        <w:rPr>
          <w:rFonts w:hint="eastAsia" w:ascii="宋体" w:hAnsi="宋体" w:eastAsia="宋体" w:cs="宋体"/>
          <w:b/>
          <w:color w:val="auto"/>
          <w:sz w:val="21"/>
          <w:szCs w:val="21"/>
          <w:highlight w:val="none"/>
          <w:u w:val="single"/>
        </w:rPr>
        <w:t>制造业</w:t>
      </w:r>
      <w:r>
        <w:rPr>
          <w:rFonts w:hint="eastAsia" w:ascii="宋体" w:hAnsi="宋体" w:eastAsia="宋体" w:cs="宋体"/>
          <w:color w:val="auto"/>
          <w:sz w:val="21"/>
          <w:szCs w:val="21"/>
          <w:highlight w:val="none"/>
        </w:rPr>
        <w:t>。</w:t>
      </w:r>
    </w:p>
    <w:p w14:paraId="535192DF">
      <w:pPr>
        <w:pageBreakBefore/>
        <w:pBdr>
          <w:top w:val="none" w:color="000000" w:sz="0" w:space="0"/>
          <w:left w:val="none" w:color="000000" w:sz="0" w:space="0"/>
          <w:bottom w:val="none" w:color="000000" w:sz="0" w:space="0"/>
          <w:right w:val="none" w:color="000000" w:sz="0" w:space="0"/>
        </w:pBdr>
        <w:spacing w:before="120" w:after="120"/>
        <w:ind w:left="119" w:right="119"/>
        <w:jc w:val="center"/>
      </w:pPr>
      <w:r>
        <w:rPr>
          <w:rFonts w:ascii="宋体" w:hAnsi="宋体" w:cs="宋体"/>
          <w:b/>
          <w:sz w:val="40"/>
        </w:rPr>
        <w:t>第五章</w:t>
      </w:r>
      <w:r>
        <w:rPr>
          <w:rFonts w:hint="eastAsia" w:ascii="宋体" w:hAnsi="宋体" w:cs="宋体"/>
          <w:b/>
          <w:sz w:val="40"/>
          <w:lang w:val="en-US" w:eastAsia="zh-CN"/>
        </w:rPr>
        <w:t xml:space="preserve">  </w:t>
      </w:r>
      <w:r>
        <w:rPr>
          <w:rFonts w:ascii="宋体" w:hAnsi="宋体" w:cs="宋体"/>
          <w:b/>
          <w:sz w:val="40"/>
        </w:rPr>
        <w:t>评标方法与评标标准</w:t>
      </w:r>
    </w:p>
    <w:p w14:paraId="469CBDB9"/>
    <w:p w14:paraId="2554FB9F">
      <w:pPr>
        <w:spacing w:line="360" w:lineRule="auto"/>
        <w:rPr>
          <w:rFonts w:hint="eastAsia" w:ascii="宋体" w:hAnsi="宋体" w:cs="Courier New"/>
          <w:b/>
          <w:bCs/>
        </w:rPr>
      </w:pPr>
      <w:r>
        <w:rPr>
          <w:rFonts w:hint="eastAsia" w:ascii="宋体" w:hAnsi="宋体" w:cs="Courier New"/>
          <w:b/>
          <w:bCs/>
        </w:rPr>
        <w:t>一、定标原则</w:t>
      </w:r>
    </w:p>
    <w:p w14:paraId="5720A520">
      <w:pPr>
        <w:spacing w:line="360" w:lineRule="auto"/>
        <w:ind w:firstLine="480"/>
        <w:rPr>
          <w:rFonts w:hint="eastAsia" w:ascii="宋体" w:hAnsi="宋体" w:cs="宋体"/>
          <w:sz w:val="21"/>
          <w:szCs w:val="21"/>
          <w:highlight w:val="none"/>
        </w:rPr>
      </w:pPr>
      <w:r>
        <w:rPr>
          <w:rFonts w:hint="eastAsia" w:ascii="宋体" w:hAnsi="宋体" w:cs="宋体"/>
          <w:bCs/>
          <w:sz w:val="21"/>
          <w:szCs w:val="21"/>
          <w:highlight w:val="none"/>
        </w:rPr>
        <w:t>本项目采用</w:t>
      </w:r>
      <w:r>
        <w:rPr>
          <w:rFonts w:hint="eastAsia" w:ascii="宋体" w:hAnsi="宋体" w:cs="宋体"/>
          <w:bCs/>
          <w:sz w:val="21"/>
          <w:szCs w:val="21"/>
          <w:highlight w:val="none"/>
          <w:u w:val="single"/>
        </w:rPr>
        <w:t xml:space="preserve"> 综合评分</w:t>
      </w:r>
      <w:r>
        <w:rPr>
          <w:rFonts w:hint="eastAsia" w:ascii="宋体" w:hAnsi="宋体" w:cs="宋体"/>
          <w:bCs/>
          <w:sz w:val="21"/>
          <w:szCs w:val="21"/>
          <w:highlight w:val="none"/>
        </w:rPr>
        <w:t>法。</w:t>
      </w:r>
      <w:r>
        <w:rPr>
          <w:rFonts w:hint="eastAsia" w:ascii="宋体" w:hAnsi="宋体" w:cs="宋体"/>
          <w:sz w:val="21"/>
          <w:szCs w:val="21"/>
          <w:highlight w:val="none"/>
        </w:rPr>
        <w:t>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w:t>
      </w:r>
      <w:r>
        <w:rPr>
          <w:rFonts w:hint="eastAsia" w:ascii="宋体" w:hAnsi="宋体" w:cs="宋体"/>
          <w:b/>
          <w:bCs/>
          <w:sz w:val="21"/>
          <w:szCs w:val="21"/>
          <w:highlight w:val="none"/>
        </w:rPr>
        <w:t>。</w:t>
      </w:r>
    </w:p>
    <w:p w14:paraId="15CF663D">
      <w:pPr>
        <w:pStyle w:val="300"/>
        <w:keepNext w:val="0"/>
        <w:keepLines w:val="0"/>
        <w:spacing w:before="0" w:after="0" w:line="360" w:lineRule="auto"/>
        <w:rPr>
          <w:rFonts w:hint="eastAsia" w:ascii="宋体" w:hAnsi="宋体" w:eastAsia="宋体" w:cs="宋体"/>
          <w:sz w:val="21"/>
          <w:szCs w:val="21"/>
        </w:rPr>
      </w:pPr>
      <w:r>
        <w:rPr>
          <w:rFonts w:hint="eastAsia" w:ascii="宋体" w:hAnsi="宋体" w:eastAsia="宋体" w:cs="宋体"/>
          <w:sz w:val="21"/>
          <w:szCs w:val="21"/>
        </w:rPr>
        <w:t>二、对投标文件的初审</w:t>
      </w:r>
    </w:p>
    <w:p w14:paraId="3FEC1175">
      <w:pPr>
        <w:spacing w:line="360" w:lineRule="auto"/>
        <w:ind w:firstLine="480"/>
        <w:rPr>
          <w:rFonts w:hint="eastAsia" w:ascii="宋体" w:hAnsi="宋体" w:cs="宋体"/>
          <w:sz w:val="21"/>
          <w:szCs w:val="21"/>
        </w:rPr>
      </w:pPr>
      <w:r>
        <w:rPr>
          <w:rFonts w:hint="eastAsia" w:ascii="宋体" w:hAnsi="宋体" w:cs="宋体"/>
          <w:sz w:val="21"/>
          <w:szCs w:val="21"/>
        </w:rPr>
        <w:t>投标文件初审分为资格审查和符合性审查。</w:t>
      </w:r>
    </w:p>
    <w:p w14:paraId="3913DAA5">
      <w:pPr>
        <w:spacing w:line="360" w:lineRule="auto"/>
        <w:ind w:firstLine="482"/>
        <w:rPr>
          <w:rFonts w:hint="eastAsia" w:ascii="宋体" w:hAnsi="宋体" w:cs="宋体"/>
          <w:b/>
          <w:bCs/>
          <w:sz w:val="21"/>
          <w:szCs w:val="21"/>
        </w:rPr>
      </w:pPr>
      <w:r>
        <w:rPr>
          <w:rFonts w:hint="eastAsia" w:ascii="宋体" w:hAnsi="宋体" w:cs="宋体"/>
          <w:b/>
          <w:bCs/>
          <w:sz w:val="21"/>
          <w:szCs w:val="21"/>
        </w:rPr>
        <w:t>2.1资格审查</w:t>
      </w:r>
    </w:p>
    <w:p w14:paraId="1AEE5755">
      <w:pPr>
        <w:spacing w:line="360" w:lineRule="auto"/>
        <w:ind w:firstLine="480"/>
        <w:rPr>
          <w:rFonts w:hint="eastAsia" w:ascii="宋体" w:hAnsi="宋体" w:cs="宋体"/>
          <w:sz w:val="21"/>
          <w:szCs w:val="21"/>
        </w:rPr>
      </w:pPr>
      <w:r>
        <w:rPr>
          <w:rFonts w:hint="eastAsia" w:ascii="宋体" w:hAnsi="宋体" w:cs="宋体"/>
          <w:sz w:val="21"/>
          <w:szCs w:val="21"/>
        </w:rPr>
        <w:t>开标结束后，采购人或者采购代理机构依法对投标人的资格进行审查。</w:t>
      </w:r>
    </w:p>
    <w:p w14:paraId="7DFB93F1">
      <w:pPr>
        <w:spacing w:line="360" w:lineRule="auto"/>
        <w:ind w:firstLine="480"/>
        <w:rPr>
          <w:rFonts w:hint="eastAsia" w:ascii="宋体" w:hAnsi="宋体" w:cs="宋体"/>
          <w:sz w:val="21"/>
          <w:szCs w:val="21"/>
        </w:rPr>
      </w:pPr>
      <w:r>
        <w:rPr>
          <w:rFonts w:hint="eastAsia" w:ascii="宋体" w:hAnsi="宋体" w:cs="宋体"/>
          <w:sz w:val="21"/>
          <w:szCs w:val="21"/>
        </w:rPr>
        <w:t>审查投标文件中的资格、资信证明文件等，以确定投标人是否具备投标资格。（资格审查需提供的材料详见《资格信誉等证明文件要求》）</w:t>
      </w:r>
    </w:p>
    <w:p w14:paraId="2F619A34">
      <w:pPr>
        <w:spacing w:line="360" w:lineRule="auto"/>
        <w:ind w:firstLine="482"/>
        <w:rPr>
          <w:rFonts w:hint="eastAsia" w:ascii="宋体" w:hAnsi="宋体" w:cs="宋体"/>
          <w:b/>
          <w:bCs/>
          <w:sz w:val="21"/>
          <w:szCs w:val="21"/>
        </w:rPr>
      </w:pPr>
      <w:r>
        <w:rPr>
          <w:rFonts w:hint="eastAsia" w:ascii="宋体" w:hAnsi="宋体" w:cs="宋体"/>
          <w:b/>
          <w:bCs/>
          <w:sz w:val="21"/>
          <w:szCs w:val="21"/>
        </w:rPr>
        <w:t>2.2符合性审查</w:t>
      </w:r>
    </w:p>
    <w:p w14:paraId="6B1151CD">
      <w:pPr>
        <w:spacing w:line="360" w:lineRule="auto"/>
        <w:ind w:firstLine="480"/>
        <w:rPr>
          <w:rFonts w:hint="eastAsia" w:ascii="宋体" w:hAnsi="宋体" w:cs="宋体"/>
          <w:sz w:val="21"/>
          <w:szCs w:val="21"/>
        </w:rPr>
      </w:pPr>
      <w:r>
        <w:rPr>
          <w:rFonts w:hint="eastAsia" w:ascii="宋体" w:hAnsi="宋体" w:cs="宋体"/>
          <w:sz w:val="21"/>
          <w:szCs w:val="21"/>
        </w:rPr>
        <w:t>1.评标委员会对符合资格的投标人的投标文件进行符合性审查。</w:t>
      </w:r>
    </w:p>
    <w:p w14:paraId="1E7999C2">
      <w:pPr>
        <w:spacing w:line="360" w:lineRule="auto"/>
        <w:ind w:firstLine="480"/>
        <w:rPr>
          <w:rFonts w:hint="eastAsia" w:ascii="宋体" w:hAnsi="宋体" w:cs="宋体"/>
          <w:sz w:val="21"/>
          <w:szCs w:val="21"/>
        </w:rPr>
      </w:pPr>
      <w:r>
        <w:rPr>
          <w:rFonts w:hint="eastAsia" w:ascii="宋体" w:hAnsi="宋体" w:cs="宋体"/>
          <w:sz w:val="21"/>
          <w:szCs w:val="21"/>
        </w:rPr>
        <w:t>2.依据招标文件的规定，从投标文件的有效性、完整性和对招标文件的响应程度进行审查，以确定其是否满足招标文件的实质性要求。</w:t>
      </w:r>
    </w:p>
    <w:p w14:paraId="594B82CE">
      <w:pPr>
        <w:spacing w:line="360" w:lineRule="auto"/>
        <w:ind w:firstLine="480"/>
        <w:rPr>
          <w:rFonts w:hint="eastAsia" w:ascii="宋体" w:hAnsi="宋体" w:cs="宋体"/>
          <w:sz w:val="21"/>
          <w:szCs w:val="21"/>
        </w:rPr>
      </w:pPr>
      <w:r>
        <w:rPr>
          <w:rFonts w:hint="eastAsia" w:ascii="宋体" w:hAnsi="宋体" w:cs="宋体"/>
          <w:sz w:val="21"/>
          <w:szCs w:val="21"/>
        </w:rPr>
        <w:t>3.明确响应的投标应该是与招标文件要求的全部条款、条件和规格相符，没有重大偏离或保留的投标。</w:t>
      </w:r>
    </w:p>
    <w:p w14:paraId="0B8FB5EA">
      <w:pPr>
        <w:spacing w:line="360" w:lineRule="auto"/>
        <w:ind w:firstLine="480"/>
        <w:rPr>
          <w:rFonts w:hint="eastAsia" w:ascii="宋体" w:hAnsi="宋体" w:cs="宋体"/>
          <w:sz w:val="21"/>
          <w:szCs w:val="21"/>
        </w:rPr>
      </w:pPr>
      <w:r>
        <w:rPr>
          <w:rFonts w:hint="eastAsia" w:ascii="宋体" w:hAnsi="宋体" w:cs="宋体"/>
          <w:sz w:val="21"/>
          <w:szCs w:val="21"/>
        </w:rPr>
        <w:t>4.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标委员会按照少数服从多数的原则</w:t>
      </w:r>
      <w:r>
        <w:rPr>
          <w:rFonts w:hint="eastAsia" w:ascii="宋体" w:hAnsi="宋体" w:cs="宋体"/>
          <w:sz w:val="21"/>
          <w:szCs w:val="21"/>
          <w:lang w:eastAsia="zh-CN"/>
        </w:rPr>
        <w:t>作出</w:t>
      </w:r>
      <w:r>
        <w:rPr>
          <w:rFonts w:hint="eastAsia" w:ascii="宋体" w:hAnsi="宋体" w:cs="宋体"/>
          <w:sz w:val="21"/>
          <w:szCs w:val="21"/>
        </w:rPr>
        <w:t>结论。认定评委决定投标文件的响应性只根据投标文件本身的内容，而不寻求外部的证据。</w:t>
      </w:r>
    </w:p>
    <w:p w14:paraId="6A84B7FF">
      <w:pPr>
        <w:spacing w:line="360" w:lineRule="auto"/>
        <w:ind w:firstLine="480"/>
        <w:rPr>
          <w:rFonts w:hint="eastAsia" w:ascii="宋体" w:hAnsi="宋体" w:cs="宋体"/>
          <w:sz w:val="21"/>
          <w:szCs w:val="21"/>
        </w:rPr>
      </w:pPr>
      <w:r>
        <w:rPr>
          <w:rFonts w:hint="eastAsia" w:ascii="宋体" w:hAnsi="宋体" w:cs="宋体"/>
          <w:sz w:val="21"/>
          <w:szCs w:val="21"/>
        </w:rPr>
        <w:t>5.如果投标文件没有明确响应招标文件的要求，评标委员会将按无效投标处理，投标人不得通过修改或撤销</w:t>
      </w:r>
      <w:r>
        <w:rPr>
          <w:rFonts w:hint="eastAsia" w:ascii="宋体" w:hAnsi="宋体" w:cs="宋体"/>
          <w:sz w:val="21"/>
          <w:szCs w:val="21"/>
          <w:lang w:eastAsia="zh-CN"/>
        </w:rPr>
        <w:t>不符</w:t>
      </w:r>
      <w:r>
        <w:rPr>
          <w:rFonts w:hint="eastAsia" w:ascii="宋体" w:hAnsi="宋体" w:cs="宋体"/>
          <w:sz w:val="21"/>
          <w:szCs w:val="21"/>
        </w:rPr>
        <w:t>合要求的偏离或保留而使其投标成为明确响应的投标。</w:t>
      </w:r>
    </w:p>
    <w:p w14:paraId="43D58EA6">
      <w:pPr>
        <w:spacing w:line="360" w:lineRule="auto"/>
        <w:ind w:firstLine="480"/>
        <w:rPr>
          <w:rFonts w:hint="eastAsia" w:ascii="宋体" w:hAnsi="宋体" w:cs="宋体"/>
          <w:sz w:val="21"/>
          <w:szCs w:val="21"/>
        </w:rPr>
      </w:pPr>
      <w:r>
        <w:rPr>
          <w:rFonts w:hint="eastAsia" w:ascii="宋体" w:hAnsi="宋体" w:cs="宋体"/>
          <w:sz w:val="21"/>
          <w:szCs w:val="21"/>
        </w:rPr>
        <w:t>6.评标委员会将对确定为明确响应的投标进行进一步审核，投标文件报价出现前后不一致的，除招标文件另有规定外，按照下列规定修正：</w:t>
      </w:r>
    </w:p>
    <w:p w14:paraId="0B62EA01">
      <w:pPr>
        <w:spacing w:line="360" w:lineRule="auto"/>
        <w:ind w:firstLine="480"/>
        <w:rPr>
          <w:rFonts w:hint="eastAsia" w:ascii="宋体" w:hAnsi="宋体" w:cs="宋体"/>
          <w:sz w:val="21"/>
          <w:szCs w:val="21"/>
        </w:rPr>
      </w:pPr>
      <w:r>
        <w:rPr>
          <w:rFonts w:hint="eastAsia" w:ascii="宋体" w:hAnsi="宋体" w:cs="宋体"/>
          <w:sz w:val="21"/>
          <w:szCs w:val="21"/>
        </w:rPr>
        <w:t>7.投标文件中开标一览表内容与投标文件中相应内容不一致的，以开标一览表为准；</w:t>
      </w:r>
    </w:p>
    <w:p w14:paraId="257D3A63">
      <w:pPr>
        <w:spacing w:line="360" w:lineRule="auto"/>
        <w:ind w:firstLine="480"/>
        <w:rPr>
          <w:rFonts w:hint="eastAsia" w:ascii="宋体" w:hAnsi="宋体" w:cs="宋体"/>
          <w:sz w:val="21"/>
          <w:szCs w:val="21"/>
        </w:rPr>
      </w:pPr>
      <w:r>
        <w:rPr>
          <w:rFonts w:hint="eastAsia" w:ascii="宋体" w:hAnsi="宋体" w:cs="宋体"/>
          <w:sz w:val="21"/>
          <w:szCs w:val="21"/>
        </w:rPr>
        <w:t>8.大写金额和小写金额不一致的，以大写金额为准；</w:t>
      </w:r>
    </w:p>
    <w:p w14:paraId="5872F30E">
      <w:pPr>
        <w:spacing w:line="360" w:lineRule="auto"/>
        <w:ind w:firstLine="480"/>
        <w:rPr>
          <w:rFonts w:hint="eastAsia" w:ascii="宋体" w:hAnsi="宋体" w:cs="宋体"/>
          <w:sz w:val="21"/>
          <w:szCs w:val="21"/>
        </w:rPr>
      </w:pPr>
      <w:r>
        <w:rPr>
          <w:rFonts w:hint="eastAsia" w:ascii="宋体" w:hAnsi="宋体" w:cs="宋体"/>
          <w:sz w:val="21"/>
          <w:szCs w:val="21"/>
        </w:rPr>
        <w:t>9.单价金额小数点或者百分比有明显错位的，以开标一览表的总价为准，并修改单价；</w:t>
      </w:r>
    </w:p>
    <w:p w14:paraId="60F6C9FF">
      <w:pPr>
        <w:spacing w:line="360" w:lineRule="auto"/>
        <w:ind w:firstLine="480"/>
        <w:rPr>
          <w:rFonts w:hint="eastAsia" w:ascii="宋体" w:hAnsi="宋体" w:cs="宋体"/>
          <w:sz w:val="21"/>
          <w:szCs w:val="21"/>
        </w:rPr>
      </w:pPr>
      <w:r>
        <w:rPr>
          <w:rFonts w:hint="eastAsia" w:ascii="宋体" w:hAnsi="宋体" w:cs="宋体"/>
          <w:sz w:val="21"/>
          <w:szCs w:val="21"/>
        </w:rPr>
        <w:t>10.总价金额与按单价汇总金额不一致的，以单价金额计算结果为准。</w:t>
      </w:r>
    </w:p>
    <w:p w14:paraId="04009D5E">
      <w:pPr>
        <w:spacing w:line="360" w:lineRule="auto"/>
        <w:ind w:firstLine="480"/>
        <w:rPr>
          <w:rFonts w:hint="eastAsia" w:ascii="宋体" w:hAnsi="宋体" w:cs="宋体"/>
          <w:sz w:val="21"/>
          <w:szCs w:val="21"/>
        </w:rPr>
      </w:pPr>
      <w:r>
        <w:rPr>
          <w:rFonts w:hint="eastAsia" w:ascii="宋体" w:hAnsi="宋体" w:cs="宋体"/>
          <w:sz w:val="21"/>
          <w:szCs w:val="21"/>
        </w:rPr>
        <w:t>11.评标委员会将按上述修正错误的方法调整投标文件中的投标报价，修正后的报价应当采用书面形式，并加</w:t>
      </w:r>
      <w:r>
        <w:rPr>
          <w:rFonts w:hint="eastAsia" w:ascii="宋体" w:hAnsi="宋体" w:cs="宋体"/>
          <w:sz w:val="21"/>
          <w:szCs w:val="21"/>
          <w:lang w:eastAsia="zh-CN"/>
        </w:rPr>
        <w:t>盖公</w:t>
      </w:r>
      <w:r>
        <w:rPr>
          <w:rFonts w:hint="eastAsia" w:ascii="宋体" w:hAnsi="宋体" w:cs="宋体"/>
          <w:sz w:val="21"/>
          <w:szCs w:val="21"/>
        </w:rPr>
        <w:t>章，或者由法定代表人或其授权的代表签字，经投标人确认后产生约束力，投标人不确认的，其投标无效。</w:t>
      </w:r>
    </w:p>
    <w:p w14:paraId="113ACDF7">
      <w:pPr>
        <w:spacing w:line="360" w:lineRule="auto"/>
        <w:ind w:firstLine="480"/>
        <w:rPr>
          <w:rFonts w:hint="eastAsia" w:ascii="宋体" w:hAnsi="宋体" w:cs="宋体"/>
          <w:sz w:val="21"/>
          <w:szCs w:val="21"/>
        </w:rPr>
      </w:pPr>
      <w:r>
        <w:rPr>
          <w:rFonts w:hint="eastAsia" w:ascii="宋体" w:hAnsi="宋体" w:cs="宋体"/>
          <w:sz w:val="21"/>
          <w:szCs w:val="21"/>
        </w:rPr>
        <w:t>12.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30E61653">
      <w:pPr>
        <w:spacing w:line="360" w:lineRule="auto"/>
        <w:ind w:firstLine="480"/>
        <w:rPr>
          <w:rFonts w:hint="eastAsia" w:ascii="宋体" w:hAnsi="宋体" w:cs="宋体"/>
          <w:sz w:val="21"/>
          <w:szCs w:val="21"/>
        </w:rPr>
      </w:pPr>
      <w:r>
        <w:rPr>
          <w:rFonts w:hint="eastAsia" w:ascii="宋体" w:hAnsi="宋体" w:cs="宋体"/>
          <w:sz w:val="21"/>
          <w:szCs w:val="21"/>
        </w:rPr>
        <w:t>13.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3911E167">
      <w:pPr>
        <w:spacing w:line="360" w:lineRule="auto"/>
        <w:ind w:firstLine="480"/>
        <w:rPr>
          <w:rFonts w:hint="eastAsia" w:ascii="宋体" w:hAnsi="宋体" w:cs="宋体"/>
          <w:sz w:val="21"/>
          <w:szCs w:val="21"/>
        </w:rPr>
      </w:pPr>
      <w:r>
        <w:rPr>
          <w:rFonts w:hint="eastAsia" w:ascii="宋体" w:hAnsi="宋体" w:cs="宋体"/>
          <w:sz w:val="21"/>
          <w:szCs w:val="21"/>
        </w:rPr>
        <w:t>14.非单一产品采购，采购人根据采购项目技术构成、产品价格比重等合理确定核心产品，并在招标文件中载明。多家投标人提供的核心产品品牌相同的按上述规定处理。</w:t>
      </w:r>
    </w:p>
    <w:p w14:paraId="2BAF108A">
      <w:pPr>
        <w:widowControl/>
        <w:spacing w:line="360" w:lineRule="auto"/>
        <w:ind w:firstLine="482"/>
        <w:rPr>
          <w:rFonts w:hint="eastAsia" w:ascii="宋体" w:hAnsi="宋体" w:cs="宋体"/>
          <w:b/>
          <w:bCs/>
          <w:sz w:val="21"/>
          <w:szCs w:val="21"/>
        </w:rPr>
      </w:pPr>
      <w:r>
        <w:rPr>
          <w:rFonts w:hint="eastAsia" w:ascii="宋体" w:hAnsi="宋体" w:cs="宋体"/>
          <w:b/>
          <w:bCs/>
          <w:sz w:val="21"/>
          <w:szCs w:val="21"/>
        </w:rPr>
        <w:t>三、</w:t>
      </w:r>
      <w:r>
        <w:rPr>
          <w:rFonts w:hint="eastAsia" w:ascii="宋体" w:hAnsi="宋体" w:cs="宋体"/>
          <w:sz w:val="21"/>
          <w:szCs w:val="21"/>
        </w:rPr>
        <w:t>评分标准</w:t>
      </w:r>
    </w:p>
    <w:p w14:paraId="33B923BB">
      <w:pPr>
        <w:widowControl/>
        <w:spacing w:line="360" w:lineRule="auto"/>
        <w:ind w:firstLine="482"/>
        <w:rPr>
          <w:rFonts w:hint="eastAsia" w:ascii="宋体" w:hAnsi="宋体" w:cs="宋体"/>
          <w:b/>
          <w:bCs/>
          <w:sz w:val="21"/>
          <w:szCs w:val="21"/>
        </w:rPr>
      </w:pPr>
      <w:r>
        <w:rPr>
          <w:rFonts w:hint="eastAsia" w:ascii="宋体" w:hAnsi="宋体" w:cs="宋体"/>
          <w:b/>
          <w:bCs/>
          <w:sz w:val="21"/>
          <w:szCs w:val="21"/>
        </w:rPr>
        <w:t>3.1政府采购政策功能落实</w:t>
      </w:r>
    </w:p>
    <w:p w14:paraId="578BE153">
      <w:pPr>
        <w:widowControl/>
        <w:spacing w:line="360" w:lineRule="auto"/>
        <w:ind w:firstLine="480"/>
        <w:rPr>
          <w:rFonts w:hint="eastAsia" w:ascii="宋体" w:hAnsi="宋体" w:cs="宋体"/>
          <w:sz w:val="21"/>
          <w:szCs w:val="21"/>
        </w:rPr>
      </w:pPr>
      <w:r>
        <w:rPr>
          <w:rFonts w:hint="eastAsia" w:ascii="宋体" w:hAnsi="宋体" w:cs="宋体"/>
          <w:sz w:val="21"/>
          <w:szCs w:val="21"/>
        </w:rPr>
        <w:t>3.1.1、小微型企业价格扣除</w:t>
      </w:r>
    </w:p>
    <w:p w14:paraId="31614B74">
      <w:pPr>
        <w:widowControl/>
        <w:spacing w:line="360" w:lineRule="auto"/>
        <w:ind w:firstLine="480"/>
        <w:rPr>
          <w:rFonts w:hint="eastAsia" w:ascii="宋体" w:hAnsi="宋体" w:cs="宋体"/>
          <w:sz w:val="21"/>
          <w:szCs w:val="21"/>
        </w:rPr>
      </w:pPr>
      <w:r>
        <w:rPr>
          <w:rFonts w:hint="eastAsia" w:ascii="宋体" w:hAnsi="宋体" w:cs="宋体"/>
          <w:sz w:val="21"/>
          <w:szCs w:val="21"/>
        </w:rPr>
        <w:t>（1）本项目对小型和微型企业给予20%的扣除价格，用扣除后的价格参与评审。</w:t>
      </w:r>
    </w:p>
    <w:p w14:paraId="68409ED0">
      <w:pPr>
        <w:widowControl/>
        <w:spacing w:line="360" w:lineRule="auto"/>
        <w:ind w:firstLine="480"/>
        <w:rPr>
          <w:rFonts w:hint="eastAsia" w:ascii="宋体" w:hAnsi="宋体" w:cs="宋体"/>
          <w:sz w:val="21"/>
          <w:szCs w:val="21"/>
        </w:rPr>
      </w:pPr>
      <w:r>
        <w:rPr>
          <w:rFonts w:hint="eastAsia" w:ascii="宋体" w:hAnsi="宋体" w:cs="宋体"/>
          <w:sz w:val="21"/>
          <w:szCs w:val="21"/>
        </w:rPr>
        <w:t>（2）供应商需按照采购文件的要求提供相应的《企业声明函》。</w:t>
      </w:r>
    </w:p>
    <w:p w14:paraId="3EB0012F">
      <w:pPr>
        <w:widowControl/>
        <w:spacing w:line="360" w:lineRule="auto"/>
        <w:ind w:firstLine="480"/>
        <w:rPr>
          <w:rFonts w:hint="eastAsia" w:ascii="宋体" w:hAnsi="宋体" w:cs="宋体"/>
          <w:sz w:val="21"/>
          <w:szCs w:val="21"/>
        </w:rPr>
      </w:pPr>
      <w:r>
        <w:rPr>
          <w:rFonts w:hint="eastAsia" w:ascii="宋体" w:hAnsi="宋体" w:cs="宋体"/>
          <w:sz w:val="21"/>
          <w:szCs w:val="21"/>
        </w:rPr>
        <w:t>（3）企业标准请参照《关于印发中小企业划型标准规定的通知》（工信部联企业</w:t>
      </w:r>
      <w:r>
        <w:rPr>
          <w:rFonts w:hint="eastAsia" w:ascii="宋体" w:hAnsi="宋体" w:cs="宋体"/>
          <w:sz w:val="21"/>
          <w:szCs w:val="21"/>
          <w:lang w:eastAsia="zh-CN"/>
        </w:rPr>
        <w:t>〔2011〕300号</w:t>
      </w:r>
      <w:r>
        <w:rPr>
          <w:rFonts w:hint="eastAsia" w:ascii="宋体" w:hAnsi="宋体" w:cs="宋体"/>
          <w:sz w:val="21"/>
          <w:szCs w:val="21"/>
        </w:rPr>
        <w:t>）文件规定自行填写。</w:t>
      </w:r>
    </w:p>
    <w:p w14:paraId="3941EA5A">
      <w:pPr>
        <w:spacing w:line="360" w:lineRule="auto"/>
        <w:ind w:firstLine="480"/>
        <w:rPr>
          <w:rFonts w:hint="eastAsia" w:ascii="宋体" w:hAnsi="宋体"/>
          <w:sz w:val="21"/>
          <w:szCs w:val="21"/>
        </w:rPr>
      </w:pPr>
      <w:r>
        <w:rPr>
          <w:rFonts w:hint="eastAsia" w:ascii="宋体" w:hAnsi="宋体"/>
          <w:sz w:val="21"/>
          <w:szCs w:val="21"/>
        </w:rPr>
        <w:t>3.1.2、残疾人福利单位价格扣除</w:t>
      </w:r>
    </w:p>
    <w:p w14:paraId="726D4502">
      <w:pPr>
        <w:spacing w:line="360" w:lineRule="auto"/>
        <w:ind w:firstLine="480"/>
        <w:rPr>
          <w:rFonts w:hint="eastAsia" w:ascii="宋体" w:hAnsi="宋体"/>
          <w:sz w:val="21"/>
          <w:szCs w:val="21"/>
        </w:rPr>
      </w:pPr>
      <w:r>
        <w:rPr>
          <w:rFonts w:hint="eastAsia" w:ascii="宋体" w:hAnsi="宋体"/>
          <w:sz w:val="21"/>
          <w:szCs w:val="21"/>
        </w:rPr>
        <w:t>（1）本项目对残疾人福利性单位视同小型、微型企业，给予20%的价格扣除，用扣除后的价格参与评审。</w:t>
      </w:r>
    </w:p>
    <w:p w14:paraId="08823FD6">
      <w:pPr>
        <w:spacing w:line="360" w:lineRule="auto"/>
        <w:ind w:firstLine="480"/>
        <w:rPr>
          <w:rFonts w:hint="eastAsia" w:ascii="宋体" w:hAnsi="宋体"/>
          <w:sz w:val="21"/>
          <w:szCs w:val="21"/>
        </w:rPr>
      </w:pPr>
      <w:r>
        <w:rPr>
          <w:rFonts w:hint="eastAsia" w:ascii="宋体" w:hAnsi="宋体"/>
          <w:sz w:val="21"/>
          <w:szCs w:val="21"/>
        </w:rPr>
        <w:t>（2）残疾人福利单位需按照采购文件的要求提供《残疾人福利性单位声明函》。</w:t>
      </w:r>
    </w:p>
    <w:p w14:paraId="61E64151">
      <w:pPr>
        <w:spacing w:line="360" w:lineRule="auto"/>
        <w:ind w:firstLine="480"/>
        <w:rPr>
          <w:rFonts w:hint="eastAsia" w:ascii="宋体" w:hAnsi="宋体"/>
          <w:sz w:val="21"/>
          <w:szCs w:val="21"/>
        </w:rPr>
      </w:pPr>
      <w:r>
        <w:rPr>
          <w:rFonts w:hint="eastAsia" w:ascii="宋体" w:hAnsi="宋体"/>
          <w:sz w:val="21"/>
          <w:szCs w:val="21"/>
        </w:rPr>
        <w:t>（3）残疾人福利单位标准请参照《关于促进残疾人就业政府采购政策的通知》（财库〔2017〕141号）。</w:t>
      </w:r>
    </w:p>
    <w:p w14:paraId="705DD108">
      <w:pPr>
        <w:spacing w:line="360" w:lineRule="auto"/>
        <w:ind w:firstLine="480"/>
        <w:rPr>
          <w:rFonts w:hint="eastAsia" w:ascii="宋体" w:hAnsi="宋体"/>
          <w:sz w:val="21"/>
          <w:szCs w:val="21"/>
        </w:rPr>
      </w:pPr>
      <w:r>
        <w:rPr>
          <w:rFonts w:hint="eastAsia" w:ascii="宋体" w:hAnsi="宋体"/>
          <w:sz w:val="21"/>
          <w:szCs w:val="21"/>
        </w:rPr>
        <w:t>3.1.3、监狱和戒毒企业价格扣除</w:t>
      </w:r>
    </w:p>
    <w:p w14:paraId="305D3CE5">
      <w:pPr>
        <w:spacing w:line="360" w:lineRule="auto"/>
        <w:ind w:firstLine="480"/>
        <w:rPr>
          <w:rFonts w:hint="eastAsia" w:ascii="宋体" w:hAnsi="宋体"/>
          <w:sz w:val="21"/>
          <w:szCs w:val="21"/>
        </w:rPr>
      </w:pPr>
      <w:r>
        <w:rPr>
          <w:rFonts w:hint="eastAsia" w:ascii="宋体" w:hAnsi="宋体"/>
          <w:sz w:val="21"/>
          <w:szCs w:val="21"/>
        </w:rPr>
        <w:t>（1）本项目对监狱和戒毒企业（简称监狱企业）视同小型、微型企业，给予20%的价格扣除，用扣除后的价格参与评审。</w:t>
      </w:r>
    </w:p>
    <w:p w14:paraId="740FCF48">
      <w:pPr>
        <w:spacing w:line="360" w:lineRule="auto"/>
        <w:ind w:firstLine="480"/>
        <w:rPr>
          <w:rFonts w:hint="eastAsia" w:ascii="宋体" w:hAnsi="宋体"/>
          <w:sz w:val="21"/>
          <w:szCs w:val="21"/>
        </w:rPr>
      </w:pPr>
      <w:r>
        <w:rPr>
          <w:rFonts w:hint="eastAsia" w:ascii="宋体" w:hAnsi="宋体"/>
          <w:sz w:val="21"/>
          <w:szCs w:val="21"/>
        </w:rPr>
        <w:t>（2）监狱企业参加政府采购活动时，需提供由省级以上监狱管理局、戒毒管理局</w:t>
      </w:r>
      <w:r>
        <w:rPr>
          <w:rFonts w:hint="eastAsia" w:ascii="宋体" w:hAnsi="宋体"/>
          <w:sz w:val="21"/>
          <w:szCs w:val="21"/>
          <w:lang w:eastAsia="zh-CN"/>
        </w:rPr>
        <w:t>（</w:t>
      </w:r>
      <w:r>
        <w:rPr>
          <w:rFonts w:hint="eastAsia" w:ascii="宋体" w:hAnsi="宋体"/>
          <w:sz w:val="21"/>
          <w:szCs w:val="21"/>
        </w:rPr>
        <w:t>含新疆生产建设兵团</w:t>
      </w:r>
      <w:r>
        <w:rPr>
          <w:rFonts w:hint="eastAsia" w:ascii="宋体" w:hAnsi="宋体"/>
          <w:sz w:val="21"/>
          <w:szCs w:val="21"/>
          <w:lang w:eastAsia="zh-CN"/>
        </w:rPr>
        <w:t>）</w:t>
      </w:r>
      <w:r>
        <w:rPr>
          <w:rFonts w:hint="eastAsia" w:ascii="宋体" w:hAnsi="宋体"/>
          <w:sz w:val="21"/>
          <w:szCs w:val="21"/>
        </w:rPr>
        <w:t>出具的属于监狱企业的证明文件。供应商如不提供上述证明文件，价格将不做相应扣除。</w:t>
      </w:r>
    </w:p>
    <w:p w14:paraId="097C9D81">
      <w:pPr>
        <w:spacing w:line="360" w:lineRule="auto"/>
        <w:ind w:firstLine="480"/>
        <w:rPr>
          <w:rFonts w:hint="eastAsia" w:ascii="宋体" w:hAnsi="宋体"/>
          <w:sz w:val="21"/>
          <w:szCs w:val="21"/>
        </w:rPr>
      </w:pPr>
      <w:r>
        <w:rPr>
          <w:rFonts w:hint="eastAsia" w:ascii="宋体" w:hAnsi="宋体"/>
          <w:sz w:val="21"/>
          <w:szCs w:val="21"/>
        </w:rPr>
        <w:t>（3）监狱企业标准请参照《关于政府采购支持监狱企业发展有关问题的通知》（财库</w:t>
      </w:r>
      <w:r>
        <w:rPr>
          <w:rFonts w:hint="eastAsia" w:ascii="宋体" w:hAnsi="宋体"/>
          <w:sz w:val="21"/>
          <w:szCs w:val="21"/>
          <w:lang w:eastAsia="zh-CN"/>
        </w:rPr>
        <w:t>〔2014〕68号</w:t>
      </w:r>
      <w:r>
        <w:rPr>
          <w:rFonts w:hint="eastAsia" w:ascii="宋体" w:hAnsi="宋体"/>
          <w:sz w:val="21"/>
          <w:szCs w:val="21"/>
        </w:rPr>
        <w:t>）。</w:t>
      </w:r>
    </w:p>
    <w:p w14:paraId="475B789C">
      <w:pPr>
        <w:spacing w:line="360" w:lineRule="auto"/>
        <w:ind w:firstLine="480"/>
        <w:rPr>
          <w:rFonts w:hint="eastAsia" w:ascii="宋体" w:hAnsi="宋体"/>
          <w:sz w:val="21"/>
          <w:szCs w:val="21"/>
        </w:rPr>
      </w:pPr>
      <w:r>
        <w:rPr>
          <w:rFonts w:hint="eastAsia" w:ascii="宋体" w:hAnsi="宋体"/>
          <w:sz w:val="21"/>
          <w:szCs w:val="21"/>
          <w:lang w:eastAsia="zh-CN"/>
        </w:rPr>
        <w:t>4.</w:t>
      </w:r>
      <w:r>
        <w:rPr>
          <w:rFonts w:hint="eastAsia" w:ascii="宋体" w:hAnsi="宋体"/>
          <w:sz w:val="21"/>
          <w:szCs w:val="21"/>
        </w:rPr>
        <w:t>残疾人福利单位、监狱企业属于小型、微型企业的，不重复享受政策。</w:t>
      </w:r>
    </w:p>
    <w:p w14:paraId="316A832A">
      <w:pPr>
        <w:spacing w:line="360" w:lineRule="auto"/>
        <w:ind w:firstLine="480"/>
        <w:rPr>
          <w:rFonts w:hint="eastAsia" w:ascii="宋体" w:hAnsi="宋体"/>
          <w:sz w:val="21"/>
          <w:szCs w:val="21"/>
        </w:rPr>
      </w:pPr>
      <w:r>
        <w:rPr>
          <w:rFonts w:hint="eastAsia" w:ascii="宋体" w:hAnsi="宋体"/>
          <w:sz w:val="21"/>
          <w:szCs w:val="21"/>
          <w:lang w:eastAsia="zh-CN"/>
        </w:rPr>
        <w:t>5.</w:t>
      </w:r>
      <w:r>
        <w:rPr>
          <w:rFonts w:hint="eastAsia" w:ascii="宋体" w:hAnsi="宋体"/>
          <w:sz w:val="21"/>
          <w:szCs w:val="21"/>
        </w:rPr>
        <w:t>★符合本采购文件优先采购 “环境标志产品”或“节能产品”的；必须提供“环境标志产品”或“节能产品”证明，否则不予认可。</w:t>
      </w:r>
    </w:p>
    <w:p w14:paraId="2F39DECE">
      <w:pPr>
        <w:spacing w:line="360" w:lineRule="auto"/>
        <w:ind w:firstLine="480"/>
        <w:rPr>
          <w:rFonts w:hint="eastAsia" w:ascii="宋体" w:hAnsi="宋体"/>
          <w:sz w:val="21"/>
          <w:szCs w:val="21"/>
        </w:rPr>
      </w:pPr>
      <w:r>
        <w:rPr>
          <w:rFonts w:hint="eastAsia" w:ascii="宋体" w:hAnsi="宋体"/>
          <w:sz w:val="21"/>
          <w:szCs w:val="21"/>
        </w:rPr>
        <w:t>环境标志产品是指列入财政部、环境保护部最新公布的《环境标志产品政府采购清单》内的产品；节能产品是指列入财政部、</w:t>
      </w:r>
      <w:r>
        <w:rPr>
          <w:rFonts w:hint="eastAsia" w:ascii="宋体" w:hAnsi="宋体"/>
          <w:sz w:val="21"/>
          <w:szCs w:val="21"/>
          <w:lang w:eastAsia="zh-CN"/>
        </w:rPr>
        <w:t>国家发展改革委</w:t>
      </w:r>
      <w:r>
        <w:rPr>
          <w:rFonts w:hint="eastAsia" w:ascii="宋体" w:hAnsi="宋体"/>
          <w:sz w:val="21"/>
          <w:szCs w:val="21"/>
        </w:rPr>
        <w:t>最新公布的《节能产品政府采购清单》内的产品。鼓励节能及环保政策以投标（响应）主要（核心）产品（品牌）为准。</w:t>
      </w:r>
    </w:p>
    <w:p w14:paraId="28B03D87">
      <w:pPr>
        <w:spacing w:line="360" w:lineRule="auto"/>
        <w:rPr>
          <w:rFonts w:hint="eastAsia" w:ascii="宋体" w:hAnsi="宋体"/>
          <w:sz w:val="21"/>
          <w:szCs w:val="21"/>
        </w:rPr>
      </w:pPr>
      <w:r>
        <w:rPr>
          <w:rFonts w:hint="eastAsia" w:ascii="宋体" w:hAnsi="宋体" w:cs="Courier New"/>
          <w:b/>
          <w:bCs/>
          <w:sz w:val="21"/>
          <w:szCs w:val="21"/>
        </w:rPr>
        <w:t>3.2、评标标准</w:t>
      </w:r>
    </w:p>
    <w:tbl>
      <w:tblPr>
        <w:tblStyle w:val="33"/>
        <w:tblW w:w="104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83"/>
        <w:gridCol w:w="818"/>
        <w:gridCol w:w="7970"/>
      </w:tblGrid>
      <w:tr w14:paraId="70368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83" w:type="dxa"/>
            <w:tcBorders>
              <w:top w:val="single" w:color="auto" w:sz="4" w:space="0"/>
              <w:left w:val="single" w:color="auto" w:sz="4" w:space="0"/>
              <w:bottom w:val="single" w:color="auto" w:sz="4" w:space="0"/>
              <w:right w:val="single" w:color="auto" w:sz="4" w:space="0"/>
            </w:tcBorders>
            <w:vAlign w:val="center"/>
          </w:tcPr>
          <w:p w14:paraId="2BC17BB0">
            <w:pPr>
              <w:widowControl/>
              <w:spacing w:line="360" w:lineRule="auto"/>
              <w:jc w:val="center"/>
              <w:textAlignment w:val="center"/>
              <w:rPr>
                <w:rFonts w:ascii="宋体" w:hAnsi="宋体"/>
                <w:color w:val="auto"/>
                <w:highlight w:val="none"/>
              </w:rPr>
            </w:pPr>
            <w:r>
              <w:rPr>
                <w:rFonts w:hint="eastAsia" w:ascii="宋体" w:hAnsi="宋体"/>
                <w:b/>
                <w:bCs/>
                <w:color w:val="auto"/>
                <w:highlight w:val="none"/>
              </w:rPr>
              <w:t>分项</w:t>
            </w:r>
          </w:p>
        </w:tc>
        <w:tc>
          <w:tcPr>
            <w:tcW w:w="818" w:type="dxa"/>
            <w:tcBorders>
              <w:top w:val="single" w:color="auto" w:sz="4" w:space="0"/>
              <w:left w:val="single" w:color="auto" w:sz="4" w:space="0"/>
              <w:bottom w:val="single" w:color="auto" w:sz="4" w:space="0"/>
              <w:right w:val="single" w:color="auto" w:sz="4" w:space="0"/>
            </w:tcBorders>
            <w:vAlign w:val="center"/>
          </w:tcPr>
          <w:p w14:paraId="2FD0679A">
            <w:pPr>
              <w:widowControl/>
              <w:spacing w:line="360" w:lineRule="auto"/>
              <w:jc w:val="center"/>
              <w:textAlignment w:val="center"/>
              <w:rPr>
                <w:rFonts w:ascii="宋体" w:hAnsi="宋体"/>
                <w:color w:val="auto"/>
                <w:highlight w:val="none"/>
              </w:rPr>
            </w:pPr>
            <w:r>
              <w:rPr>
                <w:rFonts w:hint="eastAsia" w:ascii="宋体" w:hAnsi="宋体"/>
                <w:b/>
                <w:bCs/>
                <w:color w:val="auto"/>
                <w:highlight w:val="none"/>
              </w:rPr>
              <w:t>分值</w:t>
            </w:r>
          </w:p>
        </w:tc>
        <w:tc>
          <w:tcPr>
            <w:tcW w:w="7970" w:type="dxa"/>
            <w:tcBorders>
              <w:top w:val="single" w:color="auto" w:sz="4" w:space="0"/>
              <w:left w:val="single" w:color="auto" w:sz="4" w:space="0"/>
              <w:bottom w:val="single" w:color="auto" w:sz="4" w:space="0"/>
              <w:right w:val="single" w:color="auto" w:sz="4" w:space="0"/>
            </w:tcBorders>
            <w:vAlign w:val="center"/>
          </w:tcPr>
          <w:p w14:paraId="3C69A57A">
            <w:pPr>
              <w:widowControl/>
              <w:spacing w:line="360" w:lineRule="auto"/>
              <w:jc w:val="center"/>
              <w:textAlignment w:val="center"/>
              <w:rPr>
                <w:rFonts w:ascii="宋体" w:hAnsi="宋体"/>
                <w:color w:val="auto"/>
                <w:highlight w:val="none"/>
              </w:rPr>
            </w:pPr>
            <w:r>
              <w:rPr>
                <w:rFonts w:hint="eastAsia" w:ascii="宋体" w:hAnsi="宋体"/>
                <w:b/>
                <w:bCs/>
                <w:color w:val="auto"/>
                <w:highlight w:val="none"/>
              </w:rPr>
              <w:t>评分标准</w:t>
            </w:r>
          </w:p>
        </w:tc>
      </w:tr>
      <w:tr w14:paraId="4DD6A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83" w:type="dxa"/>
            <w:tcBorders>
              <w:top w:val="single" w:color="auto" w:sz="4" w:space="0"/>
              <w:left w:val="single" w:color="auto" w:sz="4" w:space="0"/>
              <w:bottom w:val="single" w:color="auto" w:sz="4" w:space="0"/>
              <w:right w:val="single" w:color="auto" w:sz="4" w:space="0"/>
            </w:tcBorders>
            <w:vAlign w:val="center"/>
          </w:tcPr>
          <w:p w14:paraId="4765EE91">
            <w:pPr>
              <w:widowControl/>
              <w:spacing w:line="360" w:lineRule="auto"/>
              <w:jc w:val="center"/>
              <w:textAlignment w:val="center"/>
              <w:rPr>
                <w:rFonts w:ascii="宋体" w:hAnsi="宋体"/>
                <w:color w:val="auto"/>
                <w:highlight w:val="none"/>
              </w:rPr>
            </w:pPr>
            <w:r>
              <w:rPr>
                <w:rFonts w:hint="eastAsia" w:ascii="宋体" w:hAnsi="宋体"/>
                <w:color w:val="auto"/>
                <w:highlight w:val="none"/>
              </w:rPr>
              <w:t>投标报价</w:t>
            </w:r>
          </w:p>
          <w:p w14:paraId="710CF791">
            <w:pPr>
              <w:widowControl/>
              <w:spacing w:line="360" w:lineRule="auto"/>
              <w:jc w:val="center"/>
              <w:textAlignment w:val="center"/>
              <w:rPr>
                <w:rFonts w:ascii="宋体" w:hAnsi="宋体"/>
                <w:color w:val="auto"/>
                <w:highlight w:val="none"/>
              </w:rPr>
            </w:pPr>
            <w:r>
              <w:rPr>
                <w:rFonts w:hint="eastAsia" w:ascii="宋体" w:hAnsi="宋体"/>
                <w:color w:val="auto"/>
                <w:highlight w:val="none"/>
              </w:rPr>
              <w:t>（</w:t>
            </w:r>
            <w:r>
              <w:rPr>
                <w:rFonts w:ascii="宋体" w:hAnsi="宋体"/>
                <w:color w:val="auto"/>
                <w:highlight w:val="none"/>
              </w:rPr>
              <w:t>30</w:t>
            </w:r>
            <w:r>
              <w:rPr>
                <w:rFonts w:hint="eastAsia" w:ascii="宋体" w:hAnsi="宋体"/>
                <w:color w:val="auto"/>
                <w:highlight w:val="none"/>
              </w:rPr>
              <w:t>分）</w:t>
            </w:r>
          </w:p>
        </w:tc>
        <w:tc>
          <w:tcPr>
            <w:tcW w:w="818" w:type="dxa"/>
            <w:tcBorders>
              <w:top w:val="single" w:color="auto" w:sz="4" w:space="0"/>
              <w:left w:val="single" w:color="auto" w:sz="4" w:space="0"/>
              <w:bottom w:val="single" w:color="auto" w:sz="4" w:space="0"/>
              <w:right w:val="single" w:color="auto" w:sz="4" w:space="0"/>
            </w:tcBorders>
            <w:vAlign w:val="center"/>
          </w:tcPr>
          <w:p w14:paraId="2AA0C8A3">
            <w:pPr>
              <w:widowControl/>
              <w:spacing w:line="360" w:lineRule="auto"/>
              <w:jc w:val="center"/>
              <w:textAlignment w:val="center"/>
              <w:rPr>
                <w:rFonts w:ascii="宋体" w:hAnsi="宋体"/>
                <w:color w:val="auto"/>
                <w:highlight w:val="none"/>
              </w:rPr>
            </w:pPr>
            <w:r>
              <w:rPr>
                <w:rFonts w:ascii="宋体" w:hAnsi="宋体"/>
                <w:color w:val="auto"/>
                <w:highlight w:val="none"/>
              </w:rPr>
              <w:t>30</w:t>
            </w:r>
            <w:r>
              <w:rPr>
                <w:rFonts w:hint="eastAsia" w:ascii="宋体" w:hAnsi="宋体"/>
                <w:color w:val="auto"/>
                <w:highlight w:val="none"/>
              </w:rPr>
              <w:t>分</w:t>
            </w:r>
          </w:p>
        </w:tc>
        <w:tc>
          <w:tcPr>
            <w:tcW w:w="7970" w:type="dxa"/>
            <w:tcBorders>
              <w:top w:val="single" w:color="auto" w:sz="4" w:space="0"/>
              <w:left w:val="single" w:color="auto" w:sz="4" w:space="0"/>
              <w:bottom w:val="single" w:color="auto" w:sz="4" w:space="0"/>
              <w:right w:val="single" w:color="auto" w:sz="4" w:space="0"/>
            </w:tcBorders>
            <w:vAlign w:val="center"/>
          </w:tcPr>
          <w:p w14:paraId="26801F3A">
            <w:pPr>
              <w:widowControl w:val="0"/>
              <w:spacing w:line="360" w:lineRule="auto"/>
              <w:jc w:val="both"/>
              <w:rPr>
                <w:rFonts w:hint="eastAsia" w:ascii="宋体" w:hAnsi="宋体"/>
                <w:color w:val="auto"/>
                <w:highlight w:val="none"/>
              </w:rPr>
            </w:pPr>
            <w:r>
              <w:rPr>
                <w:rFonts w:hint="eastAsia" w:ascii="宋体" w:hAnsi="宋体"/>
                <w:color w:val="auto"/>
                <w:highlight w:val="none"/>
              </w:rPr>
              <w:t>满足招标文件要求且投标价格最低的投标报价为评标基准价，投标报价得分=（评标基准价／投标报价）×</w:t>
            </w:r>
            <w:r>
              <w:rPr>
                <w:rFonts w:ascii="宋体" w:hAnsi="宋体"/>
                <w:color w:val="auto"/>
                <w:highlight w:val="none"/>
              </w:rPr>
              <w:t>30</w:t>
            </w:r>
            <w:r>
              <w:rPr>
                <w:rFonts w:hint="eastAsia" w:ascii="宋体" w:hAnsi="宋体"/>
                <w:color w:val="auto"/>
                <w:highlight w:val="none"/>
              </w:rPr>
              <w:t>，计算分数时四舍五入取小数点后两位。（按四舍五入取至小数点后两位）。</w:t>
            </w:r>
          </w:p>
          <w:p w14:paraId="0B1FBF60">
            <w:pPr>
              <w:widowControl w:val="0"/>
              <w:spacing w:line="360" w:lineRule="auto"/>
              <w:jc w:val="both"/>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注：1、评审过程中出现下列情形之一的，评审委员会应当启动异常低价投标（响应）审查程序：</w:t>
            </w:r>
          </w:p>
          <w:p w14:paraId="55ECA7B5">
            <w:pPr>
              <w:widowControl w:val="0"/>
              <w:spacing w:line="360" w:lineRule="auto"/>
              <w:jc w:val="both"/>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（1）投标（响应）报价低于采购项目预算50%的，即投标（响应）报价〈采购项目预算x50%;</w:t>
            </w:r>
          </w:p>
          <w:p w14:paraId="2D76F3FB">
            <w:pPr>
              <w:widowControl w:val="0"/>
              <w:spacing w:line="360" w:lineRule="auto"/>
              <w:jc w:val="both"/>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（2）投标（响应）报价低于采购项目最高限价45%的，即投标（响应）报价〈采购项目最高限价x45%;</w:t>
            </w:r>
          </w:p>
          <w:p w14:paraId="5A7988E8">
            <w:pPr>
              <w:widowControl w:val="0"/>
              <w:spacing w:line="360" w:lineRule="auto"/>
              <w:jc w:val="both"/>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（3）评审委员会认定的供应商报价过低、有可能影响产品质量或者不能诚信履约的其他情形。</w:t>
            </w:r>
          </w:p>
          <w:p w14:paraId="0DA9B521">
            <w:pPr>
              <w:widowControl/>
              <w:spacing w:line="360" w:lineRule="auto"/>
              <w:jc w:val="left"/>
              <w:textAlignment w:val="center"/>
              <w:rPr>
                <w:rFonts w:ascii="宋体" w:hAnsi="宋体"/>
                <w:color w:val="auto"/>
                <w:highlight w:val="none"/>
              </w:rPr>
            </w:pPr>
            <w:r>
              <w:rPr>
                <w:rFonts w:hint="eastAsia" w:ascii="宋体" w:hAnsi="宋体" w:eastAsia="宋体" w:cs="宋体"/>
                <w:b/>
                <w:bCs/>
                <w:sz w:val="21"/>
                <w:szCs w:val="21"/>
                <w:lang w:val="en-US" w:eastAsia="zh-CN" w:bidi="ar-SA"/>
              </w:rPr>
              <w:t>2.启动异常低价投标（响应）审查后，评审委员会应当要求相关供应商在评标现场合理的时间内，提供项目具体成本测算等与报价合理性相关的书面说明及相关证明材料，并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在评审报告中进行记录。</w:t>
            </w:r>
          </w:p>
        </w:tc>
      </w:tr>
      <w:tr w14:paraId="45D70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83" w:type="dxa"/>
            <w:tcBorders>
              <w:top w:val="single" w:color="auto" w:sz="4" w:space="0"/>
              <w:left w:val="single" w:color="auto" w:sz="4" w:space="0"/>
              <w:bottom w:val="single" w:color="auto" w:sz="4" w:space="0"/>
              <w:right w:val="single" w:color="auto" w:sz="4" w:space="0"/>
            </w:tcBorders>
            <w:vAlign w:val="center"/>
          </w:tcPr>
          <w:p w14:paraId="65A30AE7">
            <w:pPr>
              <w:widowControl/>
              <w:spacing w:line="360" w:lineRule="auto"/>
              <w:jc w:val="center"/>
              <w:textAlignment w:val="center"/>
              <w:rPr>
                <w:rFonts w:ascii="宋体" w:hAnsi="宋体"/>
                <w:color w:val="auto"/>
                <w:highlight w:val="none"/>
              </w:rPr>
            </w:pPr>
            <w:r>
              <w:rPr>
                <w:rFonts w:hint="eastAsia" w:ascii="宋体" w:hAnsi="宋体"/>
                <w:color w:val="auto"/>
                <w:highlight w:val="none"/>
              </w:rPr>
              <w:t>技术参数</w:t>
            </w:r>
          </w:p>
          <w:p w14:paraId="6E1AD9E4">
            <w:pPr>
              <w:widowControl/>
              <w:spacing w:line="360" w:lineRule="auto"/>
              <w:jc w:val="center"/>
              <w:textAlignment w:val="center"/>
              <w:rPr>
                <w:rFonts w:ascii="宋体" w:hAnsi="宋体"/>
                <w:color w:val="auto"/>
                <w:highlight w:val="none"/>
              </w:rPr>
            </w:pPr>
            <w:r>
              <w:rPr>
                <w:rFonts w:hint="eastAsia" w:ascii="宋体" w:hAnsi="宋体"/>
                <w:color w:val="auto"/>
                <w:highlight w:val="none"/>
              </w:rPr>
              <w:t>（43分）</w:t>
            </w:r>
          </w:p>
        </w:tc>
        <w:tc>
          <w:tcPr>
            <w:tcW w:w="818" w:type="dxa"/>
            <w:tcBorders>
              <w:top w:val="single" w:color="auto" w:sz="4" w:space="0"/>
              <w:left w:val="single" w:color="auto" w:sz="4" w:space="0"/>
              <w:bottom w:val="single" w:color="auto" w:sz="4" w:space="0"/>
              <w:right w:val="single" w:color="auto" w:sz="4" w:space="0"/>
            </w:tcBorders>
            <w:vAlign w:val="center"/>
          </w:tcPr>
          <w:p w14:paraId="7EF4C7FC">
            <w:pPr>
              <w:widowControl/>
              <w:spacing w:line="360" w:lineRule="auto"/>
              <w:jc w:val="center"/>
              <w:textAlignment w:val="center"/>
              <w:rPr>
                <w:rFonts w:ascii="宋体" w:hAnsi="宋体"/>
                <w:color w:val="auto"/>
                <w:highlight w:val="none"/>
              </w:rPr>
            </w:pPr>
            <w:r>
              <w:rPr>
                <w:rFonts w:hint="eastAsia" w:ascii="宋体" w:hAnsi="宋体"/>
                <w:color w:val="auto"/>
                <w:highlight w:val="none"/>
              </w:rPr>
              <w:t>43分</w:t>
            </w:r>
          </w:p>
        </w:tc>
        <w:tc>
          <w:tcPr>
            <w:tcW w:w="7970" w:type="dxa"/>
            <w:tcBorders>
              <w:top w:val="single" w:color="auto" w:sz="4" w:space="0"/>
              <w:left w:val="single" w:color="auto" w:sz="4" w:space="0"/>
              <w:bottom w:val="single" w:color="auto" w:sz="4" w:space="0"/>
              <w:right w:val="single" w:color="auto" w:sz="4" w:space="0"/>
            </w:tcBorders>
            <w:vAlign w:val="center"/>
          </w:tcPr>
          <w:p w14:paraId="2D841F6C">
            <w:pPr>
              <w:widowControl/>
              <w:spacing w:line="360" w:lineRule="auto"/>
              <w:jc w:val="left"/>
              <w:textAlignment w:val="center"/>
              <w:rPr>
                <w:rFonts w:ascii="宋体" w:hAnsi="宋体"/>
                <w:color w:val="auto"/>
                <w:highlight w:val="none"/>
              </w:rPr>
            </w:pPr>
            <w:r>
              <w:rPr>
                <w:rFonts w:hint="eastAsia" w:ascii="宋体" w:hAnsi="宋体"/>
                <w:color w:val="auto"/>
                <w:highlight w:val="none"/>
              </w:rPr>
              <w:t>评委依据招标文件要求对投标人投标设备主要技术性能、配置、技术参数、功能描述及投标设备规格、技术配置参数，设备配置进行评审。技术参数中加“</w:t>
            </w:r>
            <w:r>
              <w:rPr>
                <w:rFonts w:hint="eastAsia" w:ascii="宋体" w:hAnsi="宋体" w:cs="Courier New"/>
                <w:bCs/>
                <w:color w:val="auto"/>
                <w:highlight w:val="none"/>
              </w:rPr>
              <w:t>★</w:t>
            </w:r>
            <w:r>
              <w:rPr>
                <w:rFonts w:hint="eastAsia" w:ascii="宋体" w:hAnsi="宋体"/>
                <w:color w:val="auto"/>
                <w:highlight w:val="none"/>
              </w:rPr>
              <w:t>”项为实质性条款，不予负偏离，否则按无效文件处理；标记▲的参数有负偏离的每有一项扣2.5分；除“</w:t>
            </w:r>
            <w:r>
              <w:rPr>
                <w:rFonts w:hint="eastAsia" w:ascii="宋体" w:hAnsi="宋体" w:cs="Courier New"/>
                <w:bCs/>
                <w:color w:val="auto"/>
                <w:highlight w:val="none"/>
              </w:rPr>
              <w:t>★</w:t>
            </w:r>
            <w:r>
              <w:rPr>
                <w:rFonts w:hint="eastAsia" w:ascii="宋体" w:hAnsi="宋体"/>
                <w:color w:val="auto"/>
                <w:highlight w:val="none"/>
              </w:rPr>
              <w:t>”</w:t>
            </w:r>
            <w:r>
              <w:rPr>
                <w:rFonts w:hint="eastAsia" w:ascii="宋体" w:hAnsi="宋体"/>
                <w:color w:val="auto"/>
                <w:highlight w:val="none"/>
                <w:lang w:val="en-US" w:eastAsia="zh-CN"/>
              </w:rPr>
              <w:t>和</w:t>
            </w:r>
            <w:r>
              <w:rPr>
                <w:rFonts w:hint="eastAsia" w:ascii="宋体" w:hAnsi="宋体"/>
                <w:color w:val="auto"/>
                <w:highlight w:val="none"/>
              </w:rPr>
              <w:t>“▲”项参数以外的技术参数每出现一项负偏离扣</w:t>
            </w:r>
            <w:r>
              <w:rPr>
                <w:rFonts w:hint="eastAsia" w:ascii="宋体" w:hAnsi="宋体"/>
                <w:color w:val="auto"/>
                <w:highlight w:val="none"/>
                <w:lang w:val="en-US" w:eastAsia="zh-CN"/>
              </w:rPr>
              <w:t>1.29</w:t>
            </w:r>
            <w:r>
              <w:rPr>
                <w:rFonts w:hint="eastAsia" w:ascii="宋体" w:hAnsi="宋体"/>
                <w:color w:val="auto"/>
                <w:highlight w:val="none"/>
              </w:rPr>
              <w:t>分，43分扣完为止。</w:t>
            </w:r>
          </w:p>
          <w:p w14:paraId="7C3BE0B4">
            <w:pPr>
              <w:widowControl/>
              <w:spacing w:line="360" w:lineRule="auto"/>
              <w:jc w:val="left"/>
              <w:textAlignment w:val="center"/>
              <w:rPr>
                <w:rFonts w:ascii="宋体" w:hAnsi="宋体"/>
                <w:color w:val="auto"/>
                <w:highlight w:val="none"/>
              </w:rPr>
            </w:pPr>
            <w:r>
              <w:rPr>
                <w:rFonts w:hint="eastAsia" w:ascii="宋体" w:hAnsi="宋体"/>
                <w:color w:val="auto"/>
                <w:highlight w:val="none"/>
              </w:rPr>
              <w:t>标注★和▲的参数需要提供支撑资料，支撑资料类型以文件要求为准，如文件没有明确要求，则为加盖投标单位公章的厂家白皮书或厂家技术说明材料或者第三方检测报告，否则视为无效响应，虚假响应招标参数的文件，一经查出，以废标处理，并承担因此造成的招标人所有损失。按要求提供相关证明材料。备注：投标响应表响应情况与投标文件中所提供的制造商发布的技术说明材料不一致时，以制造商发布的技术说明材料为准。</w:t>
            </w:r>
          </w:p>
        </w:tc>
      </w:tr>
      <w:tr w14:paraId="17E37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83" w:type="dxa"/>
            <w:tcBorders>
              <w:top w:val="single" w:color="auto" w:sz="4" w:space="0"/>
              <w:left w:val="single" w:color="auto" w:sz="4" w:space="0"/>
              <w:bottom w:val="single" w:color="auto" w:sz="4" w:space="0"/>
              <w:right w:val="single" w:color="auto" w:sz="4" w:space="0"/>
            </w:tcBorders>
            <w:vAlign w:val="center"/>
          </w:tcPr>
          <w:p w14:paraId="6B1C80B5">
            <w:pPr>
              <w:widowControl/>
              <w:spacing w:line="360" w:lineRule="auto"/>
              <w:jc w:val="center"/>
              <w:textAlignment w:val="center"/>
              <w:rPr>
                <w:rFonts w:ascii="宋体" w:hAnsi="宋体"/>
                <w:color w:val="auto"/>
                <w:highlight w:val="none"/>
              </w:rPr>
            </w:pPr>
            <w:r>
              <w:rPr>
                <w:rFonts w:hint="eastAsia" w:ascii="宋体" w:hAnsi="宋体"/>
                <w:color w:val="auto"/>
                <w:highlight w:val="none"/>
              </w:rPr>
              <w:t>产品质保</w:t>
            </w:r>
          </w:p>
          <w:p w14:paraId="0A7007EE">
            <w:pPr>
              <w:widowControl/>
              <w:spacing w:line="360" w:lineRule="auto"/>
              <w:jc w:val="center"/>
              <w:textAlignment w:val="center"/>
              <w:rPr>
                <w:rFonts w:ascii="宋体" w:hAnsi="宋体"/>
                <w:color w:val="auto"/>
                <w:highlight w:val="none"/>
              </w:rPr>
            </w:pPr>
            <w:r>
              <w:rPr>
                <w:rFonts w:hint="eastAsia" w:ascii="宋体" w:hAnsi="宋体"/>
                <w:color w:val="auto"/>
                <w:highlight w:val="none"/>
              </w:rPr>
              <w:t>（7分）</w:t>
            </w:r>
          </w:p>
        </w:tc>
        <w:tc>
          <w:tcPr>
            <w:tcW w:w="818" w:type="dxa"/>
            <w:tcBorders>
              <w:top w:val="single" w:color="auto" w:sz="4" w:space="0"/>
              <w:left w:val="single" w:color="auto" w:sz="4" w:space="0"/>
              <w:bottom w:val="single" w:color="auto" w:sz="4" w:space="0"/>
              <w:right w:val="single" w:color="auto" w:sz="4" w:space="0"/>
            </w:tcBorders>
            <w:vAlign w:val="center"/>
          </w:tcPr>
          <w:p w14:paraId="1C244570">
            <w:pPr>
              <w:widowControl/>
              <w:spacing w:line="360" w:lineRule="auto"/>
              <w:jc w:val="center"/>
              <w:textAlignment w:val="center"/>
              <w:rPr>
                <w:rFonts w:ascii="宋体" w:hAnsi="宋体"/>
                <w:color w:val="auto"/>
                <w:highlight w:val="none"/>
              </w:rPr>
            </w:pPr>
            <w:r>
              <w:rPr>
                <w:rFonts w:hint="eastAsia" w:ascii="宋体" w:hAnsi="宋体"/>
                <w:color w:val="auto"/>
                <w:highlight w:val="none"/>
              </w:rPr>
              <w:t>7分</w:t>
            </w:r>
          </w:p>
        </w:tc>
        <w:tc>
          <w:tcPr>
            <w:tcW w:w="7970" w:type="dxa"/>
            <w:tcBorders>
              <w:top w:val="single" w:color="auto" w:sz="4" w:space="0"/>
              <w:left w:val="single" w:color="auto" w:sz="4" w:space="0"/>
              <w:bottom w:val="single" w:color="auto" w:sz="4" w:space="0"/>
              <w:right w:val="single" w:color="auto" w:sz="4" w:space="0"/>
            </w:tcBorders>
            <w:vAlign w:val="center"/>
          </w:tcPr>
          <w:p w14:paraId="4A87018A">
            <w:pPr>
              <w:widowControl/>
              <w:spacing w:line="360" w:lineRule="auto"/>
              <w:jc w:val="left"/>
              <w:textAlignment w:val="center"/>
              <w:rPr>
                <w:rFonts w:ascii="宋体" w:hAnsi="宋体"/>
                <w:color w:val="auto"/>
                <w:highlight w:val="none"/>
              </w:rPr>
            </w:pPr>
            <w:r>
              <w:rPr>
                <w:rFonts w:hint="eastAsia" w:ascii="宋体" w:hAnsi="宋体"/>
                <w:color w:val="auto"/>
                <w:highlight w:val="none"/>
              </w:rPr>
              <w:t>投标人所投的产品，提供一年免费质保（含设备免费维护保养）的得基础分3分，每增加一年免费质保（含设备免费维护保养）的加2分，最多加4分。提供质保承诺书，格式自拟。</w:t>
            </w:r>
          </w:p>
        </w:tc>
      </w:tr>
      <w:tr w14:paraId="7539E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1683" w:type="dxa"/>
            <w:tcBorders>
              <w:top w:val="single" w:color="auto" w:sz="4" w:space="0"/>
              <w:left w:val="single" w:color="auto" w:sz="4" w:space="0"/>
              <w:bottom w:val="single" w:color="auto" w:sz="4" w:space="0"/>
              <w:right w:val="single" w:color="auto" w:sz="4" w:space="0"/>
            </w:tcBorders>
            <w:vAlign w:val="center"/>
          </w:tcPr>
          <w:p w14:paraId="30790CCE">
            <w:pPr>
              <w:widowControl/>
              <w:spacing w:line="360" w:lineRule="auto"/>
              <w:jc w:val="center"/>
              <w:textAlignment w:val="center"/>
              <w:rPr>
                <w:rFonts w:ascii="宋体" w:hAnsi="宋体"/>
                <w:color w:val="auto"/>
                <w:highlight w:val="none"/>
              </w:rPr>
            </w:pPr>
            <w:r>
              <w:rPr>
                <w:rFonts w:hint="eastAsia" w:ascii="宋体" w:hAnsi="宋体"/>
                <w:color w:val="auto"/>
                <w:highlight w:val="none"/>
              </w:rPr>
              <w:t>实施方案</w:t>
            </w:r>
          </w:p>
          <w:p w14:paraId="62F25B37">
            <w:pPr>
              <w:widowControl/>
              <w:spacing w:line="360" w:lineRule="auto"/>
              <w:jc w:val="center"/>
              <w:textAlignment w:val="center"/>
              <w:rPr>
                <w:rFonts w:ascii="宋体" w:hAnsi="宋体"/>
                <w:color w:val="auto"/>
                <w:highlight w:val="none"/>
              </w:rPr>
            </w:pPr>
            <w:r>
              <w:rPr>
                <w:rFonts w:hint="eastAsia" w:ascii="宋体" w:hAnsi="宋体"/>
                <w:color w:val="auto"/>
                <w:highlight w:val="none"/>
              </w:rPr>
              <w:t>（</w:t>
            </w:r>
            <w:r>
              <w:rPr>
                <w:rFonts w:ascii="宋体" w:hAnsi="宋体"/>
                <w:color w:val="auto"/>
                <w:highlight w:val="none"/>
              </w:rPr>
              <w:t>6</w:t>
            </w:r>
            <w:r>
              <w:rPr>
                <w:rFonts w:hint="eastAsia" w:ascii="宋体" w:hAnsi="宋体"/>
                <w:color w:val="auto"/>
                <w:highlight w:val="none"/>
              </w:rPr>
              <w:t>分）</w:t>
            </w:r>
          </w:p>
        </w:tc>
        <w:tc>
          <w:tcPr>
            <w:tcW w:w="818" w:type="dxa"/>
            <w:tcBorders>
              <w:top w:val="single" w:color="auto" w:sz="4" w:space="0"/>
              <w:left w:val="single" w:color="auto" w:sz="4" w:space="0"/>
              <w:bottom w:val="single" w:color="auto" w:sz="4" w:space="0"/>
              <w:right w:val="single" w:color="auto" w:sz="4" w:space="0"/>
            </w:tcBorders>
            <w:vAlign w:val="center"/>
          </w:tcPr>
          <w:p w14:paraId="4674FFAF">
            <w:pPr>
              <w:widowControl/>
              <w:spacing w:line="360" w:lineRule="auto"/>
              <w:jc w:val="center"/>
              <w:textAlignment w:val="center"/>
              <w:rPr>
                <w:rFonts w:ascii="宋体" w:hAnsi="宋体"/>
                <w:color w:val="auto"/>
                <w:highlight w:val="none"/>
              </w:rPr>
            </w:pPr>
            <w:r>
              <w:rPr>
                <w:rFonts w:ascii="宋体" w:hAnsi="宋体"/>
                <w:color w:val="auto"/>
                <w:highlight w:val="none"/>
              </w:rPr>
              <w:t>6</w:t>
            </w:r>
            <w:r>
              <w:rPr>
                <w:rFonts w:hint="eastAsia" w:ascii="宋体" w:hAnsi="宋体"/>
                <w:color w:val="auto"/>
                <w:highlight w:val="none"/>
              </w:rPr>
              <w:t>分</w:t>
            </w:r>
          </w:p>
        </w:tc>
        <w:tc>
          <w:tcPr>
            <w:tcW w:w="7970" w:type="dxa"/>
            <w:tcBorders>
              <w:top w:val="single" w:color="auto" w:sz="4" w:space="0"/>
              <w:left w:val="single" w:color="auto" w:sz="4" w:space="0"/>
              <w:bottom w:val="single" w:color="auto" w:sz="4" w:space="0"/>
              <w:right w:val="single" w:color="auto" w:sz="4" w:space="0"/>
            </w:tcBorders>
            <w:vAlign w:val="center"/>
          </w:tcPr>
          <w:p w14:paraId="15A90C88">
            <w:pPr>
              <w:widowControl/>
              <w:spacing w:line="360" w:lineRule="auto"/>
              <w:jc w:val="left"/>
              <w:textAlignment w:val="center"/>
              <w:rPr>
                <w:rFonts w:ascii="宋体" w:hAnsi="宋体"/>
                <w:color w:val="auto"/>
                <w:highlight w:val="none"/>
              </w:rPr>
            </w:pPr>
            <w:r>
              <w:rPr>
                <w:rFonts w:hint="eastAsia" w:ascii="宋体" w:hAnsi="宋体"/>
                <w:color w:val="auto"/>
                <w:highlight w:val="none"/>
              </w:rPr>
              <w:t>投标人提供的项目实施进度、包装运输、配套改造安装、调试、验收、培训方案的，得</w:t>
            </w:r>
            <w:r>
              <w:rPr>
                <w:rFonts w:ascii="宋体" w:hAnsi="宋体"/>
                <w:color w:val="auto"/>
                <w:highlight w:val="none"/>
              </w:rPr>
              <w:t>6</w:t>
            </w:r>
            <w:r>
              <w:rPr>
                <w:rFonts w:hint="eastAsia" w:ascii="宋体" w:hAnsi="宋体"/>
                <w:color w:val="auto"/>
                <w:highlight w:val="none"/>
              </w:rPr>
              <w:t>分，每缺一项扣</w:t>
            </w:r>
            <w:r>
              <w:rPr>
                <w:rFonts w:ascii="宋体" w:hAnsi="宋体"/>
                <w:color w:val="auto"/>
                <w:highlight w:val="none"/>
              </w:rPr>
              <w:t>1</w:t>
            </w:r>
            <w:r>
              <w:rPr>
                <w:rFonts w:hint="eastAsia" w:ascii="宋体" w:hAnsi="宋体"/>
                <w:color w:val="auto"/>
                <w:highlight w:val="none"/>
              </w:rPr>
              <w:t>分。</w:t>
            </w:r>
          </w:p>
        </w:tc>
      </w:tr>
      <w:tr w14:paraId="36DB9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1" w:hRule="atLeast"/>
          <w:jc w:val="center"/>
        </w:trPr>
        <w:tc>
          <w:tcPr>
            <w:tcW w:w="1683" w:type="dxa"/>
            <w:tcBorders>
              <w:top w:val="single" w:color="auto" w:sz="4" w:space="0"/>
              <w:left w:val="single" w:color="auto" w:sz="4" w:space="0"/>
              <w:bottom w:val="single" w:color="auto" w:sz="4" w:space="0"/>
              <w:right w:val="single" w:color="auto" w:sz="4" w:space="0"/>
            </w:tcBorders>
            <w:vAlign w:val="center"/>
          </w:tcPr>
          <w:p w14:paraId="5F755C2B">
            <w:pPr>
              <w:widowControl/>
              <w:spacing w:line="360" w:lineRule="auto"/>
              <w:jc w:val="center"/>
              <w:textAlignment w:val="center"/>
              <w:rPr>
                <w:rFonts w:ascii="宋体" w:hAnsi="宋体"/>
                <w:color w:val="auto"/>
                <w:highlight w:val="none"/>
              </w:rPr>
            </w:pPr>
            <w:r>
              <w:rPr>
                <w:rFonts w:hint="eastAsia" w:ascii="宋体" w:hAnsi="宋体"/>
                <w:color w:val="auto"/>
                <w:highlight w:val="none"/>
              </w:rPr>
              <w:t>业绩合同</w:t>
            </w:r>
          </w:p>
          <w:p w14:paraId="71AFF66F">
            <w:pPr>
              <w:widowControl/>
              <w:spacing w:line="360" w:lineRule="auto"/>
              <w:jc w:val="center"/>
              <w:textAlignment w:val="center"/>
              <w:rPr>
                <w:rFonts w:ascii="宋体" w:hAnsi="宋体"/>
                <w:color w:val="auto"/>
                <w:highlight w:val="none"/>
              </w:rPr>
            </w:pPr>
            <w:r>
              <w:rPr>
                <w:rFonts w:hint="eastAsia" w:ascii="宋体" w:hAnsi="宋体"/>
                <w:color w:val="auto"/>
                <w:highlight w:val="none"/>
              </w:rPr>
              <w:t>（</w:t>
            </w:r>
            <w:r>
              <w:rPr>
                <w:rFonts w:ascii="宋体" w:hAnsi="宋体"/>
                <w:color w:val="auto"/>
                <w:highlight w:val="none"/>
              </w:rPr>
              <w:t>4</w:t>
            </w:r>
            <w:r>
              <w:rPr>
                <w:rFonts w:hint="eastAsia" w:ascii="宋体" w:hAnsi="宋体"/>
                <w:color w:val="auto"/>
                <w:highlight w:val="none"/>
              </w:rPr>
              <w:t>分）</w:t>
            </w:r>
          </w:p>
        </w:tc>
        <w:tc>
          <w:tcPr>
            <w:tcW w:w="818" w:type="dxa"/>
            <w:tcBorders>
              <w:top w:val="single" w:color="auto" w:sz="4" w:space="0"/>
              <w:left w:val="single" w:color="auto" w:sz="4" w:space="0"/>
              <w:bottom w:val="single" w:color="auto" w:sz="4" w:space="0"/>
              <w:right w:val="single" w:color="auto" w:sz="4" w:space="0"/>
            </w:tcBorders>
            <w:vAlign w:val="center"/>
          </w:tcPr>
          <w:p w14:paraId="4D54D260">
            <w:pPr>
              <w:widowControl/>
              <w:spacing w:line="360" w:lineRule="auto"/>
              <w:jc w:val="center"/>
              <w:textAlignment w:val="center"/>
              <w:rPr>
                <w:rFonts w:ascii="宋体" w:hAnsi="宋体"/>
                <w:color w:val="auto"/>
                <w:highlight w:val="none"/>
              </w:rPr>
            </w:pPr>
            <w:r>
              <w:rPr>
                <w:rFonts w:ascii="宋体" w:hAnsi="宋体"/>
                <w:color w:val="auto"/>
                <w:highlight w:val="none"/>
              </w:rPr>
              <w:t>4</w:t>
            </w:r>
            <w:r>
              <w:rPr>
                <w:rFonts w:hint="eastAsia" w:ascii="宋体" w:hAnsi="宋体"/>
                <w:color w:val="auto"/>
                <w:highlight w:val="none"/>
              </w:rPr>
              <w:t>分</w:t>
            </w:r>
          </w:p>
        </w:tc>
        <w:tc>
          <w:tcPr>
            <w:tcW w:w="7970" w:type="dxa"/>
            <w:tcBorders>
              <w:top w:val="single" w:color="auto" w:sz="4" w:space="0"/>
              <w:left w:val="single" w:color="auto" w:sz="4" w:space="0"/>
              <w:bottom w:val="single" w:color="auto" w:sz="4" w:space="0"/>
              <w:right w:val="single" w:color="auto" w:sz="4" w:space="0"/>
            </w:tcBorders>
            <w:vAlign w:val="center"/>
          </w:tcPr>
          <w:p w14:paraId="556E8237">
            <w:pPr>
              <w:widowControl/>
              <w:spacing w:line="360" w:lineRule="auto"/>
              <w:jc w:val="left"/>
              <w:textAlignment w:val="center"/>
              <w:rPr>
                <w:rFonts w:ascii="宋体" w:hAnsi="宋体"/>
                <w:color w:val="auto"/>
                <w:highlight w:val="none"/>
              </w:rPr>
            </w:pPr>
            <w:r>
              <w:rPr>
                <w:rFonts w:hint="eastAsia" w:ascii="宋体" w:hAnsi="宋体"/>
                <w:color w:val="auto"/>
                <w:highlight w:val="none"/>
              </w:rPr>
              <w:t>投标人提供一份20</w:t>
            </w:r>
            <w:r>
              <w:rPr>
                <w:rFonts w:ascii="宋体" w:hAnsi="宋体"/>
                <w:color w:val="auto"/>
                <w:highlight w:val="none"/>
              </w:rPr>
              <w:t>2</w:t>
            </w:r>
            <w:r>
              <w:rPr>
                <w:rFonts w:hint="eastAsia" w:ascii="宋体" w:hAnsi="宋体"/>
                <w:color w:val="auto"/>
                <w:highlight w:val="none"/>
                <w:lang w:val="en-US" w:eastAsia="zh-CN"/>
              </w:rPr>
              <w:t>3</w:t>
            </w:r>
            <w:r>
              <w:rPr>
                <w:rFonts w:hint="eastAsia" w:ascii="宋体" w:hAnsi="宋体"/>
                <w:color w:val="auto"/>
                <w:highlight w:val="none"/>
              </w:rPr>
              <w:t>年</w:t>
            </w:r>
            <w:r>
              <w:rPr>
                <w:rFonts w:hint="eastAsia" w:ascii="宋体" w:hAnsi="宋体"/>
                <w:color w:val="auto"/>
                <w:highlight w:val="none"/>
                <w:lang w:val="en-US" w:eastAsia="zh-CN"/>
              </w:rPr>
              <w:t>7</w:t>
            </w:r>
            <w:r>
              <w:rPr>
                <w:rFonts w:hint="eastAsia" w:ascii="宋体" w:hAnsi="宋体"/>
                <w:color w:val="auto"/>
                <w:highlight w:val="none"/>
              </w:rPr>
              <w:t>月1日以来类似的项目业绩（以合同签订日期为准）得</w:t>
            </w:r>
            <w:r>
              <w:rPr>
                <w:rFonts w:ascii="宋体" w:hAnsi="宋体"/>
                <w:color w:val="auto"/>
                <w:highlight w:val="none"/>
              </w:rPr>
              <w:t>2</w:t>
            </w:r>
            <w:r>
              <w:rPr>
                <w:rFonts w:hint="eastAsia" w:ascii="宋体" w:hAnsi="宋体"/>
                <w:color w:val="auto"/>
                <w:highlight w:val="none"/>
              </w:rPr>
              <w:t>分，满分</w:t>
            </w:r>
            <w:r>
              <w:rPr>
                <w:rFonts w:ascii="宋体" w:hAnsi="宋体"/>
                <w:color w:val="auto"/>
                <w:highlight w:val="none"/>
              </w:rPr>
              <w:t>4</w:t>
            </w:r>
            <w:r>
              <w:rPr>
                <w:rFonts w:hint="eastAsia" w:ascii="宋体" w:hAnsi="宋体"/>
                <w:color w:val="auto"/>
                <w:highlight w:val="none"/>
              </w:rPr>
              <w:t>分。提供业绩证明材料，未提供的不得分。</w:t>
            </w:r>
          </w:p>
        </w:tc>
      </w:tr>
      <w:tr w14:paraId="2DE96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83" w:type="dxa"/>
            <w:tcBorders>
              <w:top w:val="single" w:color="auto" w:sz="4" w:space="0"/>
              <w:left w:val="single" w:color="auto" w:sz="4" w:space="0"/>
              <w:bottom w:val="single" w:color="auto" w:sz="4" w:space="0"/>
              <w:right w:val="single" w:color="auto" w:sz="4" w:space="0"/>
            </w:tcBorders>
            <w:vAlign w:val="center"/>
          </w:tcPr>
          <w:p w14:paraId="28DB9F7A">
            <w:pPr>
              <w:widowControl/>
              <w:spacing w:line="360" w:lineRule="auto"/>
              <w:jc w:val="center"/>
              <w:textAlignment w:val="center"/>
              <w:rPr>
                <w:rFonts w:ascii="宋体" w:hAnsi="宋体"/>
                <w:color w:val="auto"/>
                <w:highlight w:val="none"/>
              </w:rPr>
            </w:pPr>
            <w:r>
              <w:rPr>
                <w:rFonts w:hint="eastAsia"/>
                <w:color w:val="auto"/>
                <w:highlight w:val="none"/>
              </w:rPr>
              <w:t>售后服务方案</w:t>
            </w:r>
            <w:r>
              <w:rPr>
                <w:rFonts w:hint="eastAsia" w:ascii="宋体" w:hAnsi="宋体"/>
                <w:color w:val="auto"/>
                <w:highlight w:val="none"/>
              </w:rPr>
              <w:t>（</w:t>
            </w:r>
            <w:r>
              <w:rPr>
                <w:rFonts w:ascii="宋体" w:hAnsi="宋体"/>
                <w:color w:val="auto"/>
                <w:highlight w:val="none"/>
              </w:rPr>
              <w:t>6</w:t>
            </w:r>
            <w:r>
              <w:rPr>
                <w:rFonts w:hint="eastAsia" w:ascii="宋体" w:hAnsi="宋体"/>
                <w:color w:val="auto"/>
                <w:highlight w:val="none"/>
              </w:rPr>
              <w:t>分）</w:t>
            </w:r>
          </w:p>
        </w:tc>
        <w:tc>
          <w:tcPr>
            <w:tcW w:w="818" w:type="dxa"/>
            <w:tcBorders>
              <w:top w:val="single" w:color="auto" w:sz="4" w:space="0"/>
              <w:left w:val="single" w:color="auto" w:sz="4" w:space="0"/>
              <w:bottom w:val="single" w:color="auto" w:sz="4" w:space="0"/>
              <w:right w:val="single" w:color="auto" w:sz="4" w:space="0"/>
            </w:tcBorders>
            <w:vAlign w:val="center"/>
          </w:tcPr>
          <w:p w14:paraId="11FFD33D">
            <w:pPr>
              <w:widowControl/>
              <w:spacing w:line="360" w:lineRule="auto"/>
              <w:jc w:val="center"/>
              <w:textAlignment w:val="center"/>
              <w:rPr>
                <w:rFonts w:ascii="宋体" w:hAnsi="宋体"/>
                <w:color w:val="auto"/>
                <w:highlight w:val="none"/>
              </w:rPr>
            </w:pPr>
            <w:r>
              <w:rPr>
                <w:rFonts w:ascii="宋体" w:hAnsi="宋体"/>
                <w:color w:val="auto"/>
                <w:highlight w:val="none"/>
              </w:rPr>
              <w:t>6</w:t>
            </w:r>
            <w:r>
              <w:rPr>
                <w:rFonts w:hint="eastAsia" w:ascii="宋体" w:hAnsi="宋体"/>
                <w:color w:val="auto"/>
                <w:highlight w:val="none"/>
              </w:rPr>
              <w:t>分</w:t>
            </w:r>
          </w:p>
        </w:tc>
        <w:tc>
          <w:tcPr>
            <w:tcW w:w="7970" w:type="dxa"/>
            <w:tcBorders>
              <w:top w:val="single" w:color="auto" w:sz="4" w:space="0"/>
              <w:left w:val="single" w:color="auto" w:sz="4" w:space="0"/>
              <w:bottom w:val="single" w:color="auto" w:sz="4" w:space="0"/>
              <w:right w:val="single" w:color="auto" w:sz="4" w:space="0"/>
            </w:tcBorders>
            <w:vAlign w:val="center"/>
          </w:tcPr>
          <w:p w14:paraId="258FED03">
            <w:pPr>
              <w:widowControl/>
              <w:spacing w:line="360" w:lineRule="auto"/>
              <w:jc w:val="left"/>
              <w:textAlignment w:val="center"/>
              <w:rPr>
                <w:rFonts w:ascii="宋体" w:hAnsi="宋体"/>
                <w:color w:val="auto"/>
                <w:highlight w:val="none"/>
              </w:rPr>
            </w:pPr>
            <w:r>
              <w:rPr>
                <w:rFonts w:hint="eastAsia" w:ascii="宋体" w:hAnsi="宋体"/>
                <w:color w:val="auto"/>
                <w:highlight w:val="none"/>
              </w:rPr>
              <w:t>投标人提供售后服务内容、售后服务响应时间、质保期内、外的服务方案、收费标准、提供相应的备品备件的，得</w:t>
            </w:r>
            <w:r>
              <w:rPr>
                <w:rFonts w:ascii="宋体" w:hAnsi="宋体"/>
                <w:color w:val="auto"/>
                <w:highlight w:val="none"/>
              </w:rPr>
              <w:t>6</w:t>
            </w:r>
            <w:r>
              <w:rPr>
                <w:rFonts w:hint="eastAsia" w:ascii="宋体" w:hAnsi="宋体"/>
                <w:color w:val="auto"/>
                <w:highlight w:val="none"/>
              </w:rPr>
              <w:t>分，每缺一项扣</w:t>
            </w:r>
            <w:r>
              <w:rPr>
                <w:rFonts w:ascii="宋体" w:hAnsi="宋体"/>
                <w:color w:val="auto"/>
                <w:highlight w:val="none"/>
              </w:rPr>
              <w:t>1</w:t>
            </w:r>
            <w:r>
              <w:rPr>
                <w:rFonts w:hint="eastAsia" w:ascii="宋体" w:hAnsi="宋体"/>
                <w:color w:val="auto"/>
                <w:highlight w:val="none"/>
              </w:rPr>
              <w:t>分。</w:t>
            </w:r>
          </w:p>
        </w:tc>
      </w:tr>
      <w:tr w14:paraId="05D08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1683" w:type="dxa"/>
            <w:tcBorders>
              <w:top w:val="single" w:color="auto" w:sz="4" w:space="0"/>
              <w:left w:val="single" w:color="auto" w:sz="4" w:space="0"/>
              <w:bottom w:val="single" w:color="auto" w:sz="4" w:space="0"/>
              <w:right w:val="single" w:color="auto" w:sz="4" w:space="0"/>
            </w:tcBorders>
            <w:vAlign w:val="center"/>
          </w:tcPr>
          <w:p w14:paraId="6C27AED7">
            <w:pPr>
              <w:widowControl/>
              <w:spacing w:line="360" w:lineRule="auto"/>
              <w:jc w:val="center"/>
              <w:textAlignment w:val="center"/>
              <w:rPr>
                <w:rFonts w:ascii="宋体" w:hAnsi="宋体" w:cs="宋体"/>
                <w:color w:val="auto"/>
                <w:sz w:val="21"/>
                <w:szCs w:val="21"/>
                <w:highlight w:val="none"/>
              </w:rPr>
            </w:pPr>
            <w:r>
              <w:rPr>
                <w:rFonts w:hint="eastAsia" w:ascii="宋体" w:hAnsi="宋体"/>
                <w:color w:val="auto"/>
                <w:sz w:val="21"/>
                <w:szCs w:val="21"/>
                <w:highlight w:val="none"/>
              </w:rPr>
              <w:t>企业认证</w:t>
            </w:r>
          </w:p>
        </w:tc>
        <w:tc>
          <w:tcPr>
            <w:tcW w:w="818" w:type="dxa"/>
            <w:tcBorders>
              <w:top w:val="single" w:color="auto" w:sz="4" w:space="0"/>
              <w:left w:val="single" w:color="auto" w:sz="4" w:space="0"/>
              <w:bottom w:val="single" w:color="auto" w:sz="4" w:space="0"/>
              <w:right w:val="single" w:color="auto" w:sz="4" w:space="0"/>
            </w:tcBorders>
            <w:vAlign w:val="center"/>
          </w:tcPr>
          <w:p w14:paraId="3AB2D49B">
            <w:pPr>
              <w:ind w:firstLine="28"/>
              <w:jc w:val="center"/>
              <w:rPr>
                <w:rFonts w:ascii="宋体" w:hAnsi="宋体"/>
                <w:color w:val="auto"/>
                <w:sz w:val="21"/>
                <w:szCs w:val="21"/>
                <w:highlight w:val="none"/>
              </w:rPr>
            </w:pPr>
            <w:r>
              <w:rPr>
                <w:rFonts w:hint="eastAsia" w:ascii="宋体" w:hAnsi="宋体"/>
                <w:color w:val="auto"/>
                <w:sz w:val="21"/>
                <w:szCs w:val="21"/>
                <w:highlight w:val="none"/>
              </w:rPr>
              <w:t>3分</w:t>
            </w:r>
          </w:p>
        </w:tc>
        <w:tc>
          <w:tcPr>
            <w:tcW w:w="7970" w:type="dxa"/>
            <w:tcBorders>
              <w:top w:val="single" w:color="auto" w:sz="4" w:space="0"/>
              <w:left w:val="single" w:color="auto" w:sz="4" w:space="0"/>
              <w:bottom w:val="single" w:color="auto" w:sz="4" w:space="0"/>
              <w:right w:val="single" w:color="auto" w:sz="4" w:space="0"/>
            </w:tcBorders>
            <w:vAlign w:val="center"/>
          </w:tcPr>
          <w:p w14:paraId="4C2E26C7">
            <w:pPr>
              <w:ind w:left="-38"/>
              <w:rPr>
                <w:rFonts w:ascii="宋体" w:hAnsi="宋体"/>
                <w:color w:val="auto"/>
                <w:sz w:val="21"/>
                <w:szCs w:val="21"/>
                <w:highlight w:val="none"/>
              </w:rPr>
            </w:pPr>
            <w:r>
              <w:rPr>
                <w:rFonts w:hint="eastAsia" w:ascii="宋体" w:hAnsi="宋体"/>
                <w:color w:val="auto"/>
                <w:sz w:val="21"/>
                <w:szCs w:val="21"/>
                <w:highlight w:val="none"/>
              </w:rPr>
              <w:t>投标人或所投产品的厂家具有质量管理体系、环境质量管理体系、职业健康安全管理体系认证的，每提供一个认证证书的，得1分，满分3分。</w:t>
            </w:r>
          </w:p>
        </w:tc>
      </w:tr>
      <w:tr w14:paraId="6715E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83" w:type="dxa"/>
            <w:tcBorders>
              <w:top w:val="single" w:color="auto" w:sz="4" w:space="0"/>
              <w:left w:val="single" w:color="auto" w:sz="4" w:space="0"/>
              <w:bottom w:val="single" w:color="auto" w:sz="4" w:space="0"/>
              <w:right w:val="single" w:color="auto" w:sz="4" w:space="0"/>
            </w:tcBorders>
            <w:vAlign w:val="center"/>
          </w:tcPr>
          <w:p w14:paraId="32BBBCA3">
            <w:pPr>
              <w:widowControl/>
              <w:spacing w:line="360" w:lineRule="auto"/>
              <w:jc w:val="center"/>
              <w:textAlignment w:val="center"/>
              <w:rPr>
                <w:rFonts w:ascii="宋体" w:hAnsi="宋体"/>
                <w:color w:val="auto"/>
                <w:highlight w:val="none"/>
              </w:rPr>
            </w:pPr>
            <w:r>
              <w:rPr>
                <w:rFonts w:hint="eastAsia" w:ascii="宋体" w:hAnsi="宋体"/>
                <w:color w:val="auto"/>
                <w:highlight w:val="none"/>
              </w:rPr>
              <w:t>诚信投标</w:t>
            </w:r>
          </w:p>
          <w:p w14:paraId="5CA8C21B">
            <w:pPr>
              <w:widowControl/>
              <w:spacing w:line="360" w:lineRule="auto"/>
              <w:jc w:val="center"/>
              <w:textAlignment w:val="center"/>
              <w:rPr>
                <w:rFonts w:ascii="宋体" w:hAnsi="宋体"/>
                <w:color w:val="auto"/>
                <w:highlight w:val="none"/>
              </w:rPr>
            </w:pPr>
            <w:r>
              <w:rPr>
                <w:rFonts w:hint="eastAsia" w:ascii="宋体" w:hAnsi="宋体"/>
                <w:color w:val="auto"/>
                <w:highlight w:val="none"/>
              </w:rPr>
              <w:t>（1分）</w:t>
            </w:r>
          </w:p>
        </w:tc>
        <w:tc>
          <w:tcPr>
            <w:tcW w:w="818" w:type="dxa"/>
            <w:tcBorders>
              <w:top w:val="single" w:color="auto" w:sz="4" w:space="0"/>
              <w:left w:val="single" w:color="auto" w:sz="4" w:space="0"/>
              <w:bottom w:val="single" w:color="auto" w:sz="4" w:space="0"/>
              <w:right w:val="single" w:color="auto" w:sz="4" w:space="0"/>
            </w:tcBorders>
            <w:vAlign w:val="center"/>
          </w:tcPr>
          <w:p w14:paraId="42D84AD2">
            <w:pPr>
              <w:widowControl/>
              <w:spacing w:line="360" w:lineRule="auto"/>
              <w:jc w:val="center"/>
              <w:textAlignment w:val="center"/>
              <w:rPr>
                <w:rFonts w:ascii="宋体" w:hAnsi="宋体"/>
                <w:color w:val="auto"/>
                <w:highlight w:val="none"/>
              </w:rPr>
            </w:pPr>
            <w:r>
              <w:rPr>
                <w:rFonts w:hint="eastAsia" w:ascii="宋体" w:hAnsi="宋体"/>
                <w:color w:val="auto"/>
                <w:highlight w:val="none"/>
              </w:rPr>
              <w:t>1分</w:t>
            </w:r>
          </w:p>
        </w:tc>
        <w:tc>
          <w:tcPr>
            <w:tcW w:w="7970" w:type="dxa"/>
            <w:tcBorders>
              <w:top w:val="single" w:color="auto" w:sz="4" w:space="0"/>
              <w:left w:val="single" w:color="auto" w:sz="4" w:space="0"/>
              <w:bottom w:val="single" w:color="auto" w:sz="4" w:space="0"/>
              <w:right w:val="single" w:color="auto" w:sz="4" w:space="0"/>
            </w:tcBorders>
            <w:vAlign w:val="center"/>
          </w:tcPr>
          <w:p w14:paraId="782AC0D0">
            <w:pPr>
              <w:widowControl/>
              <w:spacing w:line="360" w:lineRule="auto"/>
              <w:jc w:val="left"/>
              <w:textAlignment w:val="center"/>
              <w:rPr>
                <w:rFonts w:ascii="宋体" w:hAnsi="宋体"/>
                <w:color w:val="auto"/>
                <w:highlight w:val="none"/>
              </w:rPr>
            </w:pPr>
            <w:r>
              <w:rPr>
                <w:rFonts w:hint="eastAsia" w:ascii="宋体" w:hAnsi="宋体"/>
                <w:color w:val="auto"/>
                <w:highlight w:val="none"/>
              </w:rPr>
              <w:t>投标人提交签署并盖章《盐城市政府采购事前信用承诺书》原件扫描上传的得1分；没有提供的不得分。</w:t>
            </w:r>
          </w:p>
        </w:tc>
      </w:tr>
    </w:tbl>
    <w:p w14:paraId="1524AC47">
      <w:pPr>
        <w:keepNext/>
        <w:keepLines/>
        <w:pBdr>
          <w:top w:val="none" w:color="000000" w:sz="0" w:space="0"/>
          <w:left w:val="none" w:color="000000" w:sz="0" w:space="0"/>
          <w:bottom w:val="none" w:color="000000" w:sz="0" w:space="0"/>
          <w:right w:val="none" w:color="000000" w:sz="0" w:space="0"/>
        </w:pBdr>
        <w:spacing w:line="460" w:lineRule="atLeast"/>
        <w:outlineLvl w:val="2"/>
        <w:rPr>
          <w:rFonts w:ascii="宋体" w:hAnsi="宋体" w:cs="宋体"/>
          <w:b/>
          <w:szCs w:val="30"/>
        </w:rPr>
      </w:pPr>
    </w:p>
    <w:p w14:paraId="6C819640"/>
    <w:p w14:paraId="5012E47B">
      <w:pPr>
        <w:pBdr>
          <w:top w:val="none" w:color="000000" w:sz="0" w:space="0"/>
          <w:left w:val="none" w:color="000000" w:sz="0" w:space="0"/>
          <w:bottom w:val="none" w:color="000000" w:sz="0" w:space="0"/>
          <w:right w:val="none" w:color="000000" w:sz="0" w:space="0"/>
        </w:pBdr>
        <w:spacing w:line="360" w:lineRule="auto"/>
        <w:ind w:firstLine="422"/>
      </w:pPr>
      <w:r>
        <w:rPr>
          <w:rFonts w:ascii="宋体" w:hAnsi="宋体" w:cs="宋体"/>
          <w:b/>
        </w:rPr>
        <w:t>3.评标程序</w:t>
      </w:r>
    </w:p>
    <w:p w14:paraId="3E03916B">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3.1 评标准备</w:t>
      </w:r>
    </w:p>
    <w:p w14:paraId="590989D2">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3.1.1 评标委员会成员到达评标现场时应在签到表上签到（或通过门禁系统签到）以证明其出席。</w:t>
      </w:r>
    </w:p>
    <w:p w14:paraId="5AAE5BF2">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3.1.2 评标委员会成员首先推选一名评标委员会负责人，负责评标活动的组织领导工作。</w:t>
      </w:r>
    </w:p>
    <w:p w14:paraId="2AEA63D9">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3.1.3 招标人或招标代理机构应向评标委员会提供评标所需的信息和数据。评标委员会负责人应组织评标委员会成员认真研究招标文件，未在招标文件中规定的标准和方法不得作为评标的依据。</w:t>
      </w:r>
    </w:p>
    <w:p w14:paraId="24A54128">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3.2 初步评审</w:t>
      </w:r>
    </w:p>
    <w:p w14:paraId="56E6A440">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3.2.1评标委员会依据本章第2.1 款规定的标准对投标文件进行初步评审。</w:t>
      </w:r>
    </w:p>
    <w:p w14:paraId="26968B52">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3.2.2投标文件不符合本章第2.1款评审标准的，属于重大偏差，视为未能对招标文件作出实质性响应，应当作为无效投标予以否决。</w:t>
      </w:r>
    </w:p>
    <w:p w14:paraId="13C424C2">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3.2.3 投标报价有算术错误的，评标委员会按以下原则对投标报价进行修正，修正的价格经投标人书面确认后具有约束力。</w:t>
      </w:r>
    </w:p>
    <w:p w14:paraId="29466F66">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(1）投标文件中的大写金额与小写金额不一致的，以大写金额为准；</w:t>
      </w:r>
    </w:p>
    <w:p w14:paraId="0A6DF1C0">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(2）总价金额与依据单价计算出的结果不一致的，以单价金额为准修正总价，但单价金额小数点有明显错误的除外。</w:t>
      </w:r>
    </w:p>
    <w:p w14:paraId="2B63385E">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3.2.4只有通过初步评审的投标文件才能进入详细评审。</w:t>
      </w:r>
    </w:p>
    <w:p w14:paraId="37186C8E">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3.3 详细评审</w:t>
      </w:r>
    </w:p>
    <w:p w14:paraId="159C3DE6">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3.3.1 在详细评审发现符合“无效标书条款”的，应当作为无效投标予以否决，其投标报价亦不作为评标基准价A值的依据。</w:t>
      </w:r>
    </w:p>
    <w:p w14:paraId="79D73B83">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3.3.2 评标委员会按本章第2.2款规定的量化因素和分值进行打分，并计算出综合评估得分。</w:t>
      </w:r>
    </w:p>
    <w:p w14:paraId="6E6D3129">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3.3.3 评分分值计算保留小数点后两位，小数点后第三位“四舍五入”。</w:t>
      </w:r>
    </w:p>
    <w:p w14:paraId="6E2B2172">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3.4 投标文件的澄清和补正</w:t>
      </w:r>
    </w:p>
    <w:p w14:paraId="5C19AD3F">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3.4.1 在评标过程中，评标委员会可以书面形式要求投标人对所提交投标文件中不明确的内容进行书面澄清或说明，或者对细微偏差进行补正。评标委员会不接受投标人主动提出的澄清、说明或补正。</w:t>
      </w:r>
    </w:p>
    <w:p w14:paraId="6D8F4960">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3.4.2 澄清、说明和补正不得改变投标文件的实质性内容（算术性错误修正的除外）。投标人的书面澄清、说明和补正属于投标文件的组成部分。</w:t>
      </w:r>
    </w:p>
    <w:p w14:paraId="232CD01C">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3.4.3 评标委员会对投标人提交的澄清、说明或补正有疑问的，可以要求投标人进一步澄清、说明或补正。</w:t>
      </w:r>
    </w:p>
    <w:p w14:paraId="0376F321">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3.5 推荐中标候选人或直接确定中标人</w:t>
      </w:r>
    </w:p>
    <w:p w14:paraId="31734A03">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3.5.1 除投标人须知前附表授权直接确定中标人外，评标委员会在推荐中标候选人时，应遵照以下原则:</w:t>
      </w:r>
    </w:p>
    <w:p w14:paraId="53D64CCF">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评标委员会按照最终得分由高至低的次序排列，并根据投标人须知前附表规定的中标候选人数量，将排序在前的投标人推荐为中标候选人。</w:t>
      </w:r>
    </w:p>
    <w:p w14:paraId="32A24EB6">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 xml:space="preserve">3.6 提交评标报告 </w:t>
      </w:r>
    </w:p>
    <w:p w14:paraId="1BFE1D39">
      <w:pPr>
        <w:pBdr>
          <w:top w:val="none" w:color="000000" w:sz="0" w:space="0"/>
          <w:left w:val="none" w:color="000000" w:sz="0" w:space="0"/>
          <w:bottom w:val="none" w:color="000000" w:sz="0" w:space="0"/>
          <w:right w:val="none" w:color="000000" w:sz="0" w:space="0"/>
        </w:pBdr>
        <w:spacing w:line="360" w:lineRule="auto"/>
        <w:ind w:firstLine="420"/>
      </w:pPr>
      <w:r>
        <w:rPr>
          <w:rFonts w:ascii="宋体" w:hAnsi="宋体" w:cs="宋体"/>
        </w:rPr>
        <w:t>评标委员会完成评标后，应当向招标人提交书面评标报告。评标报告应当由全体评标委员会成员签字，并于评标结束时抄送有关行政监督部门。</w:t>
      </w:r>
    </w:p>
    <w:p w14:paraId="24D98C4C">
      <w:pPr>
        <w:pBdr>
          <w:top w:val="none" w:color="000000" w:sz="0" w:space="0"/>
          <w:left w:val="none" w:color="000000" w:sz="0" w:space="0"/>
          <w:bottom w:val="none" w:color="000000" w:sz="0" w:space="0"/>
          <w:right w:val="none" w:color="000000" w:sz="0" w:space="0"/>
        </w:pBdr>
        <w:spacing w:before="120" w:after="120"/>
        <w:ind w:left="120" w:right="120"/>
      </w:pPr>
      <w:r>
        <w:rPr/>
        <w:br w:type="page" w:clear="all"/>
      </w:r>
    </w:p>
    <w:p w14:paraId="5FF90B16">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b/>
          <w:sz w:val="40"/>
        </w:rPr>
      </w:pPr>
    </w:p>
    <w:p w14:paraId="6CA758C1">
      <w:pPr>
        <w:pStyle w:val="31"/>
        <w:spacing w:beforeAutospacing="0" w:afterAutospacing="0"/>
        <w:jc w:val="center"/>
        <w:rPr>
          <w:color w:val="auto"/>
          <w:highlight w:val="none"/>
        </w:rPr>
      </w:pPr>
      <w:r>
        <w:rPr>
          <w:rFonts w:hint="eastAsia"/>
          <w:b/>
          <w:color w:val="auto"/>
          <w:sz w:val="72"/>
          <w:szCs w:val="72"/>
          <w:highlight w:val="none"/>
        </w:rPr>
        <w:t>投  标  文  件</w:t>
      </w:r>
    </w:p>
    <w:p w14:paraId="07E7A05A">
      <w:pPr>
        <w:pStyle w:val="31"/>
        <w:spacing w:beforeAutospacing="0" w:afterAutospacing="0"/>
        <w:jc w:val="center"/>
        <w:rPr>
          <w:color w:val="auto"/>
          <w:highlight w:val="none"/>
        </w:rPr>
      </w:pPr>
      <w:r>
        <w:rPr>
          <w:rFonts w:hint="eastAsia"/>
          <w:color w:val="auto"/>
          <w:highlight w:val="none"/>
        </w:rPr>
        <w:t> </w:t>
      </w:r>
    </w:p>
    <w:p w14:paraId="0EA7F3A4">
      <w:pPr>
        <w:pStyle w:val="31"/>
        <w:spacing w:beforeAutospacing="0" w:afterAutospacing="0"/>
        <w:jc w:val="center"/>
        <w:rPr>
          <w:color w:val="auto"/>
          <w:highlight w:val="none"/>
        </w:rPr>
      </w:pPr>
      <w:r>
        <w:rPr>
          <w:rFonts w:hint="eastAsia"/>
          <w:color w:val="auto"/>
          <w:highlight w:val="none"/>
        </w:rPr>
        <w:t> </w:t>
      </w:r>
    </w:p>
    <w:p w14:paraId="6FD3F9A6">
      <w:pPr>
        <w:pStyle w:val="31"/>
        <w:spacing w:beforeAutospacing="0" w:afterAutospacing="0"/>
        <w:jc w:val="center"/>
        <w:rPr>
          <w:color w:val="auto"/>
          <w:highlight w:val="none"/>
        </w:rPr>
      </w:pPr>
      <w:r>
        <w:rPr>
          <w:rFonts w:hint="eastAsia"/>
          <w:color w:val="auto"/>
          <w:highlight w:val="none"/>
        </w:rPr>
        <w:t> </w:t>
      </w:r>
    </w:p>
    <w:p w14:paraId="2F4DD640">
      <w:pPr>
        <w:pStyle w:val="31"/>
        <w:spacing w:beforeAutospacing="0" w:afterAutospacing="0"/>
        <w:jc w:val="center"/>
        <w:rPr>
          <w:color w:val="auto"/>
          <w:highlight w:val="none"/>
        </w:rPr>
      </w:pPr>
      <w:r>
        <w:rPr>
          <w:rFonts w:hint="eastAsia"/>
          <w:color w:val="auto"/>
          <w:highlight w:val="none"/>
        </w:rPr>
        <w:t> </w:t>
      </w:r>
    </w:p>
    <w:p w14:paraId="1AE3A77A">
      <w:pPr>
        <w:pStyle w:val="31"/>
        <w:spacing w:beforeAutospacing="0" w:afterAutospacing="0"/>
        <w:jc w:val="center"/>
        <w:rPr>
          <w:color w:val="auto"/>
          <w:highlight w:val="none"/>
        </w:rPr>
      </w:pPr>
      <w:r>
        <w:rPr>
          <w:rFonts w:hint="eastAsia"/>
          <w:color w:val="auto"/>
          <w:highlight w:val="none"/>
        </w:rPr>
        <w:t> </w:t>
      </w:r>
    </w:p>
    <w:p w14:paraId="1E0AE0CB">
      <w:pPr>
        <w:pStyle w:val="31"/>
        <w:widowControl w:val="0"/>
        <w:spacing w:beforeAutospacing="0" w:afterAutospacing="0" w:line="1000" w:lineRule="exact"/>
        <w:ind w:firstLine="723"/>
        <w:jc w:val="both"/>
        <w:rPr>
          <w:color w:val="auto"/>
          <w:highlight w:val="none"/>
        </w:rPr>
      </w:pPr>
      <w:r>
        <w:rPr>
          <w:rFonts w:hint="eastAsia"/>
          <w:b/>
          <w:color w:val="auto"/>
          <w:sz w:val="36"/>
          <w:szCs w:val="36"/>
          <w:highlight w:val="none"/>
        </w:rPr>
        <w:t>项目 名 称：</w:t>
      </w:r>
      <w:r>
        <w:rPr>
          <w:rFonts w:hint="eastAsia"/>
          <w:b/>
          <w:color w:val="auto"/>
          <w:sz w:val="36"/>
          <w:szCs w:val="36"/>
          <w:highlight w:val="none"/>
          <w:u w:val="single"/>
        </w:rPr>
        <w:t xml:space="preserve">                   </w:t>
      </w:r>
    </w:p>
    <w:p w14:paraId="4DADB503">
      <w:pPr>
        <w:pStyle w:val="31"/>
        <w:widowControl w:val="0"/>
        <w:spacing w:beforeAutospacing="0" w:afterAutospacing="0" w:line="1000" w:lineRule="exact"/>
        <w:ind w:firstLine="723"/>
        <w:jc w:val="both"/>
        <w:rPr>
          <w:color w:val="auto"/>
          <w:highlight w:val="none"/>
        </w:rPr>
      </w:pPr>
      <w:r>
        <w:rPr>
          <w:rFonts w:hint="eastAsia"/>
          <w:b/>
          <w:color w:val="auto"/>
          <w:sz w:val="36"/>
          <w:szCs w:val="36"/>
          <w:highlight w:val="none"/>
        </w:rPr>
        <w:t>项目 编 号：</w:t>
      </w:r>
      <w:r>
        <w:rPr>
          <w:rFonts w:hint="eastAsia"/>
          <w:b/>
          <w:color w:val="auto"/>
          <w:sz w:val="36"/>
          <w:szCs w:val="36"/>
          <w:highlight w:val="none"/>
          <w:u w:val="single"/>
        </w:rPr>
        <w:t xml:space="preserve">                    </w:t>
      </w:r>
    </w:p>
    <w:p w14:paraId="7A5C7E34">
      <w:pPr>
        <w:pStyle w:val="31"/>
        <w:widowControl w:val="0"/>
        <w:spacing w:beforeAutospacing="0" w:afterAutospacing="0" w:line="1000" w:lineRule="exact"/>
        <w:ind w:firstLine="723"/>
        <w:jc w:val="both"/>
        <w:rPr>
          <w:color w:val="auto"/>
          <w:highlight w:val="none"/>
        </w:rPr>
      </w:pPr>
      <w:r>
        <w:rPr>
          <w:rFonts w:hint="eastAsia"/>
          <w:b/>
          <w:color w:val="auto"/>
          <w:sz w:val="36"/>
          <w:szCs w:val="36"/>
          <w:highlight w:val="none"/>
        </w:rPr>
        <w:t>投标人名称 ：</w:t>
      </w:r>
      <w:r>
        <w:rPr>
          <w:rFonts w:hint="eastAsia"/>
          <w:b/>
          <w:color w:val="auto"/>
          <w:sz w:val="36"/>
          <w:szCs w:val="36"/>
          <w:highlight w:val="none"/>
          <w:u w:val="single"/>
        </w:rPr>
        <w:t xml:space="preserve">（加盖CA电子公章）        </w:t>
      </w:r>
    </w:p>
    <w:p w14:paraId="0EA7111D">
      <w:pPr>
        <w:pStyle w:val="31"/>
        <w:widowControl w:val="0"/>
        <w:spacing w:beforeAutospacing="0" w:afterAutospacing="0" w:line="1000" w:lineRule="exact"/>
        <w:ind w:firstLine="723"/>
        <w:jc w:val="both"/>
        <w:rPr>
          <w:color w:val="auto"/>
          <w:highlight w:val="none"/>
        </w:rPr>
      </w:pPr>
      <w:r>
        <w:rPr>
          <w:rFonts w:hint="eastAsia"/>
          <w:b/>
          <w:color w:val="auto"/>
          <w:sz w:val="36"/>
          <w:szCs w:val="36"/>
          <w:highlight w:val="none"/>
        </w:rPr>
        <w:t>日   期 ：</w:t>
      </w:r>
      <w:r>
        <w:rPr>
          <w:rFonts w:hint="eastAsia"/>
          <w:b/>
          <w:color w:val="auto"/>
          <w:sz w:val="36"/>
          <w:szCs w:val="36"/>
          <w:highlight w:val="none"/>
          <w:u w:val="single"/>
        </w:rPr>
        <w:t>                     </w:t>
      </w:r>
    </w:p>
    <w:p w14:paraId="2E8A7E82">
      <w:pPr>
        <w:pStyle w:val="31"/>
        <w:spacing w:beforeAutospacing="0" w:afterAutospacing="0" w:line="0" w:lineRule="atLeast"/>
        <w:jc w:val="center"/>
        <w:rPr>
          <w:color w:val="auto"/>
          <w:highlight w:val="none"/>
        </w:rPr>
      </w:pPr>
      <w:r>
        <w:rPr>
          <w:rFonts w:hint="eastAsia"/>
          <w:color w:val="auto"/>
          <w:highlight w:val="none"/>
        </w:rPr>
        <w:t> </w:t>
      </w:r>
    </w:p>
    <w:p w14:paraId="5688284E">
      <w:pPr>
        <w:pStyle w:val="31"/>
        <w:spacing w:beforeAutospacing="0" w:afterAutospacing="0" w:line="0" w:lineRule="atLeast"/>
        <w:jc w:val="both"/>
        <w:rPr>
          <w:color w:val="auto"/>
          <w:highlight w:val="none"/>
        </w:rPr>
      </w:pPr>
      <w:r>
        <w:rPr>
          <w:rFonts w:hint="eastAsia"/>
          <w:color w:val="auto"/>
          <w:highlight w:val="none"/>
        </w:rPr>
        <w:t> </w:t>
      </w:r>
    </w:p>
    <w:p w14:paraId="3CE879BF">
      <w:pPr>
        <w:pStyle w:val="31"/>
        <w:spacing w:beforeAutospacing="0" w:afterAutospacing="0" w:line="0" w:lineRule="atLeast"/>
        <w:jc w:val="center"/>
        <w:rPr>
          <w:b/>
          <w:color w:val="auto"/>
          <w:sz w:val="36"/>
          <w:szCs w:val="36"/>
          <w:highlight w:val="none"/>
          <w:u w:val="single"/>
        </w:rPr>
      </w:pPr>
    </w:p>
    <w:p w14:paraId="52A0475E">
      <w:pPr>
        <w:pStyle w:val="31"/>
        <w:spacing w:beforeAutospacing="0" w:afterAutospacing="0" w:line="0" w:lineRule="atLeast"/>
        <w:jc w:val="center"/>
        <w:rPr>
          <w:b/>
          <w:color w:val="auto"/>
          <w:sz w:val="36"/>
          <w:szCs w:val="36"/>
          <w:highlight w:val="none"/>
          <w:u w:val="single"/>
        </w:rPr>
      </w:pPr>
    </w:p>
    <w:p w14:paraId="3512B8E5">
      <w:pPr>
        <w:pStyle w:val="31"/>
        <w:spacing w:beforeAutospacing="0" w:afterAutospacing="0" w:line="0" w:lineRule="atLeast"/>
        <w:jc w:val="center"/>
        <w:rPr>
          <w:b/>
          <w:color w:val="auto"/>
          <w:sz w:val="36"/>
          <w:szCs w:val="36"/>
          <w:highlight w:val="none"/>
          <w:u w:val="single"/>
        </w:rPr>
      </w:pPr>
    </w:p>
    <w:p w14:paraId="445225BF">
      <w:pPr>
        <w:pStyle w:val="31"/>
        <w:spacing w:beforeAutospacing="0" w:afterAutospacing="0" w:line="0" w:lineRule="atLeast"/>
        <w:jc w:val="both"/>
        <w:rPr>
          <w:b/>
          <w:color w:val="auto"/>
          <w:sz w:val="36"/>
          <w:szCs w:val="36"/>
          <w:highlight w:val="none"/>
          <w:u w:val="single"/>
        </w:rPr>
      </w:pPr>
    </w:p>
    <w:p w14:paraId="751DBFDA">
      <w:pPr>
        <w:pStyle w:val="31"/>
        <w:spacing w:beforeAutospacing="0" w:afterAutospacing="0" w:line="0" w:lineRule="atLeast"/>
        <w:jc w:val="both"/>
        <w:rPr>
          <w:b/>
          <w:color w:val="auto"/>
          <w:sz w:val="36"/>
          <w:szCs w:val="36"/>
          <w:highlight w:val="none"/>
          <w:u w:val="single"/>
        </w:rPr>
      </w:pPr>
    </w:p>
    <w:p w14:paraId="0F5F857B">
      <w:pPr>
        <w:pStyle w:val="31"/>
        <w:spacing w:beforeAutospacing="0" w:afterAutospacing="0" w:line="0" w:lineRule="atLeast"/>
        <w:jc w:val="both"/>
        <w:rPr>
          <w:b/>
          <w:color w:val="auto"/>
          <w:sz w:val="36"/>
          <w:szCs w:val="36"/>
          <w:highlight w:val="none"/>
          <w:u w:val="single"/>
        </w:rPr>
      </w:pPr>
    </w:p>
    <w:p w14:paraId="23B2F158">
      <w:pPr>
        <w:pStyle w:val="31"/>
        <w:spacing w:beforeAutospacing="0" w:afterAutospacing="0" w:line="0" w:lineRule="atLeast"/>
        <w:jc w:val="both"/>
        <w:rPr>
          <w:b/>
          <w:color w:val="auto"/>
          <w:sz w:val="36"/>
          <w:szCs w:val="36"/>
          <w:highlight w:val="none"/>
          <w:u w:val="single"/>
        </w:rPr>
      </w:pPr>
    </w:p>
    <w:p w14:paraId="5570C0E4">
      <w:pPr>
        <w:pStyle w:val="31"/>
        <w:spacing w:beforeAutospacing="0" w:afterAutospacing="0" w:line="0" w:lineRule="atLeast"/>
        <w:jc w:val="both"/>
        <w:rPr>
          <w:b/>
          <w:color w:val="auto"/>
          <w:sz w:val="36"/>
          <w:szCs w:val="36"/>
          <w:highlight w:val="none"/>
          <w:u w:val="single"/>
        </w:rPr>
      </w:pPr>
    </w:p>
    <w:p w14:paraId="1AD15C79">
      <w:pPr>
        <w:pStyle w:val="31"/>
        <w:spacing w:beforeAutospacing="0" w:afterAutospacing="0" w:line="0" w:lineRule="atLeast"/>
        <w:jc w:val="both"/>
        <w:rPr>
          <w:b/>
          <w:color w:val="auto"/>
          <w:sz w:val="36"/>
          <w:szCs w:val="36"/>
          <w:highlight w:val="none"/>
          <w:u w:val="single"/>
        </w:rPr>
      </w:pPr>
    </w:p>
    <w:p w14:paraId="6B72DCCB">
      <w:pPr>
        <w:pStyle w:val="31"/>
        <w:spacing w:beforeAutospacing="0" w:afterAutospacing="0" w:line="0" w:lineRule="atLeast"/>
        <w:jc w:val="center"/>
        <w:rPr>
          <w:color w:val="auto"/>
          <w:highlight w:val="none"/>
        </w:rPr>
      </w:pPr>
      <w:r>
        <w:rPr>
          <w:rFonts w:hint="eastAsia"/>
          <w:b/>
          <w:color w:val="auto"/>
          <w:sz w:val="32"/>
          <w:szCs w:val="32"/>
          <w:highlight w:val="none"/>
        </w:rPr>
        <w:t>投标文件目录</w:t>
      </w:r>
    </w:p>
    <w:p w14:paraId="52A46B87">
      <w:pPr>
        <w:pStyle w:val="31"/>
        <w:numPr>
          <w:ilvl w:val="0"/>
          <w:numId w:val="7"/>
        </w:numPr>
        <w:spacing w:before="0" w:beforeAutospacing="0" w:after="0" w:afterAutospacing="0" w:line="440" w:lineRule="exact"/>
        <w:jc w:val="both"/>
        <w:rPr>
          <w:rFonts w:hint="eastAsia"/>
          <w:iCs/>
          <w:color w:val="auto"/>
          <w:sz w:val="21"/>
          <w:szCs w:val="21"/>
          <w:highlight w:val="none"/>
        </w:rPr>
      </w:pPr>
      <w:r>
        <w:rPr>
          <w:rFonts w:hint="eastAsia"/>
          <w:iCs/>
          <w:color w:val="auto"/>
          <w:sz w:val="21"/>
          <w:szCs w:val="21"/>
          <w:highlight w:val="none"/>
        </w:rPr>
        <w:t>法人或者其他组织的营业执照等证明文件，自然人的身份证明</w:t>
      </w:r>
    </w:p>
    <w:p w14:paraId="41DB149D">
      <w:pPr>
        <w:pStyle w:val="31"/>
        <w:numPr>
          <w:ilvl w:val="0"/>
          <w:numId w:val="7"/>
        </w:numPr>
        <w:spacing w:before="0" w:beforeAutospacing="0" w:after="0" w:afterAutospacing="0" w:line="440" w:lineRule="exact"/>
        <w:jc w:val="both"/>
        <w:rPr>
          <w:rFonts w:hint="eastAsia"/>
          <w:iCs/>
          <w:color w:val="auto"/>
          <w:sz w:val="21"/>
          <w:szCs w:val="21"/>
          <w:highlight w:val="none"/>
          <w:lang w:val="en-US" w:eastAsia="zh-CN"/>
        </w:rPr>
      </w:pPr>
      <w:r>
        <w:rPr>
          <w:rFonts w:hint="eastAsia"/>
          <w:iCs/>
          <w:color w:val="auto"/>
          <w:sz w:val="21"/>
          <w:szCs w:val="21"/>
          <w:highlight w:val="none"/>
          <w:lang w:val="en-US" w:eastAsia="zh-CN"/>
        </w:rPr>
        <w:t>供应商：</w:t>
      </w:r>
    </w:p>
    <w:p w14:paraId="256B3CA7">
      <w:pPr>
        <w:pStyle w:val="31"/>
        <w:numPr>
          <w:ilvl w:val="0"/>
          <w:numId w:val="0"/>
        </w:numPr>
        <w:spacing w:before="0" w:beforeAutospacing="0" w:after="0" w:afterAutospacing="0" w:line="440" w:lineRule="exact"/>
        <w:jc w:val="both"/>
        <w:rPr>
          <w:rFonts w:hint="eastAsia"/>
          <w:iCs/>
          <w:color w:val="auto"/>
          <w:sz w:val="21"/>
          <w:szCs w:val="21"/>
          <w:highlight w:val="none"/>
          <w:lang w:val="en-US" w:eastAsia="zh-CN"/>
        </w:rPr>
      </w:pPr>
      <w:r>
        <w:rPr>
          <w:rFonts w:hint="eastAsia"/>
          <w:iCs/>
          <w:color w:val="auto"/>
          <w:sz w:val="21"/>
          <w:szCs w:val="21"/>
          <w:highlight w:val="none"/>
          <w:lang w:val="en-US" w:eastAsia="zh-CN"/>
        </w:rPr>
        <w:t>（1）投标人须提供有效的医疗器械产品注册证或产品备案凭证；</w:t>
      </w:r>
    </w:p>
    <w:p w14:paraId="1E4E5393">
      <w:pPr>
        <w:pStyle w:val="31"/>
        <w:numPr>
          <w:ilvl w:val="0"/>
          <w:numId w:val="0"/>
        </w:numPr>
        <w:spacing w:before="0" w:beforeAutospacing="0" w:after="0" w:afterAutospacing="0" w:line="440" w:lineRule="exact"/>
        <w:jc w:val="both"/>
        <w:rPr>
          <w:rFonts w:hint="eastAsia"/>
          <w:iCs/>
          <w:color w:val="auto"/>
          <w:sz w:val="21"/>
          <w:szCs w:val="21"/>
          <w:highlight w:val="none"/>
          <w:lang w:val="en-US" w:eastAsia="zh-CN"/>
        </w:rPr>
      </w:pPr>
      <w:r>
        <w:rPr>
          <w:rFonts w:hint="eastAsia"/>
          <w:iCs/>
          <w:color w:val="auto"/>
          <w:sz w:val="21"/>
          <w:szCs w:val="21"/>
          <w:highlight w:val="none"/>
          <w:lang w:val="en-US" w:eastAsia="zh-CN"/>
        </w:rPr>
        <w:t>（2）投标人为医疗器械代理商（经销商）的，须根据投标产品的类别，提供投标人的《医疗器械经营许可证》或者《医疗器械经营备案凭证》；</w:t>
      </w:r>
    </w:p>
    <w:p w14:paraId="54F42BCF">
      <w:pPr>
        <w:pStyle w:val="31"/>
        <w:numPr>
          <w:ilvl w:val="0"/>
          <w:numId w:val="0"/>
        </w:numPr>
        <w:spacing w:before="0" w:beforeAutospacing="0" w:after="0" w:afterAutospacing="0" w:line="440" w:lineRule="exact"/>
        <w:jc w:val="both"/>
        <w:rPr>
          <w:rFonts w:hint="eastAsia"/>
          <w:iCs/>
          <w:color w:val="auto"/>
          <w:sz w:val="21"/>
          <w:szCs w:val="21"/>
          <w:highlight w:val="none"/>
        </w:rPr>
      </w:pPr>
      <w:r>
        <w:rPr>
          <w:rFonts w:hint="eastAsia"/>
          <w:iCs/>
          <w:color w:val="auto"/>
          <w:sz w:val="21"/>
          <w:szCs w:val="21"/>
          <w:highlight w:val="none"/>
          <w:lang w:val="en-US" w:eastAsia="zh-CN"/>
        </w:rPr>
        <w:t>（3）投标人为医疗器械生产企业的，须提供《医疗器械生产许可证》。</w:t>
      </w:r>
    </w:p>
    <w:p w14:paraId="787A09EC">
      <w:pPr>
        <w:tabs>
          <w:tab w:val="left" w:pos="1331"/>
        </w:tabs>
        <w:spacing w:line="440" w:lineRule="exact"/>
        <w:jc w:val="left"/>
        <w:rPr>
          <w:rFonts w:ascii="宋体" w:hAnsi="宋体" w:cs="宋体"/>
          <w:iCs/>
          <w:color w:val="auto"/>
          <w:sz w:val="21"/>
          <w:szCs w:val="21"/>
          <w:highlight w:val="none"/>
        </w:rPr>
      </w:pPr>
      <w:r>
        <w:rPr>
          <w:rFonts w:hint="eastAsia" w:ascii="宋体" w:hAnsi="宋体" w:cs="宋体"/>
          <w:iCs/>
          <w:color w:val="auto"/>
          <w:sz w:val="21"/>
          <w:szCs w:val="21"/>
          <w:highlight w:val="none"/>
          <w:lang w:val="en-US" w:eastAsia="zh-CN"/>
        </w:rPr>
        <w:t>三</w:t>
      </w:r>
      <w:r>
        <w:rPr>
          <w:rFonts w:hint="eastAsia" w:ascii="宋体" w:hAnsi="宋体" w:cs="宋体"/>
          <w:iCs/>
          <w:color w:val="auto"/>
          <w:sz w:val="21"/>
          <w:szCs w:val="21"/>
          <w:highlight w:val="none"/>
        </w:rPr>
        <w:t>、上一年度的财务状况报表（至少提供资产负债表、利润表、现金流量表，投标人成立不满一年无需提供）</w:t>
      </w:r>
    </w:p>
    <w:p w14:paraId="2554D209">
      <w:pPr>
        <w:pStyle w:val="31"/>
        <w:spacing w:before="0" w:beforeAutospacing="0" w:after="0" w:afterAutospacing="0" w:line="440" w:lineRule="exact"/>
        <w:jc w:val="both"/>
        <w:rPr>
          <w:iCs/>
          <w:color w:val="auto"/>
          <w:sz w:val="21"/>
          <w:szCs w:val="21"/>
          <w:highlight w:val="none"/>
        </w:rPr>
      </w:pPr>
      <w:r>
        <w:rPr>
          <w:rFonts w:hint="eastAsia"/>
          <w:iCs/>
          <w:color w:val="auto"/>
          <w:sz w:val="21"/>
          <w:szCs w:val="21"/>
          <w:highlight w:val="none"/>
          <w:lang w:val="en-US" w:eastAsia="zh-CN"/>
        </w:rPr>
        <w:t>四</w:t>
      </w:r>
      <w:r>
        <w:rPr>
          <w:rFonts w:hint="eastAsia"/>
          <w:iCs/>
          <w:color w:val="auto"/>
          <w:sz w:val="21"/>
          <w:szCs w:val="21"/>
          <w:highlight w:val="none"/>
        </w:rPr>
        <w:t>、具备履行合同所必需的设备和专业技术能力的书面声明</w:t>
      </w:r>
    </w:p>
    <w:p w14:paraId="298206A9">
      <w:pPr>
        <w:pStyle w:val="31"/>
        <w:spacing w:before="0" w:beforeAutospacing="0" w:after="0" w:afterAutospacing="0" w:line="440" w:lineRule="exact"/>
        <w:jc w:val="both"/>
        <w:rPr>
          <w:iCs/>
          <w:sz w:val="21"/>
          <w:szCs w:val="21"/>
        </w:rPr>
      </w:pPr>
      <w:r>
        <w:rPr>
          <w:rFonts w:hint="eastAsia"/>
          <w:iCs/>
          <w:color w:val="auto"/>
          <w:sz w:val="21"/>
          <w:szCs w:val="21"/>
          <w:highlight w:val="none"/>
          <w:lang w:val="en-US" w:eastAsia="zh-CN"/>
        </w:rPr>
        <w:t>五</w:t>
      </w:r>
      <w:r>
        <w:rPr>
          <w:rFonts w:hint="eastAsia"/>
          <w:iCs/>
          <w:color w:val="auto"/>
          <w:sz w:val="21"/>
          <w:szCs w:val="21"/>
          <w:highlight w:val="none"/>
        </w:rPr>
        <w:t>、依法缴纳税收和社会保障资金的相关材料（提供提交投标文件截止</w:t>
      </w:r>
      <w:r>
        <w:rPr>
          <w:rFonts w:hint="eastAsia"/>
          <w:iCs/>
          <w:sz w:val="21"/>
          <w:szCs w:val="21"/>
        </w:rPr>
        <w:t>时间前一年内至少一个月依法缴纳税收及缴纳社会保障资金的证明材料。投标人依法享受缓缴、免缴税收、社会保障资金的提供证明材料）</w:t>
      </w:r>
    </w:p>
    <w:p w14:paraId="700D36CE">
      <w:pPr>
        <w:pStyle w:val="31"/>
        <w:spacing w:before="0" w:beforeAutospacing="0" w:after="0" w:afterAutospacing="0" w:line="440" w:lineRule="exact"/>
        <w:jc w:val="both"/>
        <w:rPr>
          <w:rFonts w:hint="eastAsia" w:eastAsia="宋体"/>
          <w:iCs/>
          <w:sz w:val="21"/>
          <w:szCs w:val="21"/>
          <w:lang w:val="en-US" w:eastAsia="zh-CN"/>
        </w:rPr>
      </w:pPr>
      <w:r>
        <w:rPr>
          <w:rFonts w:hint="eastAsia"/>
          <w:iCs/>
          <w:sz w:val="21"/>
          <w:szCs w:val="21"/>
          <w:lang w:val="en-US" w:eastAsia="zh-CN"/>
        </w:rPr>
        <w:t>六</w:t>
      </w:r>
      <w:r>
        <w:rPr>
          <w:rFonts w:hint="eastAsia"/>
          <w:iCs/>
          <w:sz w:val="21"/>
          <w:szCs w:val="21"/>
        </w:rPr>
        <w:t>、参加政府采购活动前 3 年内在经营活动中没有重大违法记录的书面声明</w:t>
      </w:r>
    </w:p>
    <w:p w14:paraId="4B411E82">
      <w:pPr>
        <w:pStyle w:val="31"/>
        <w:spacing w:before="0" w:beforeAutospacing="0" w:after="0" w:afterAutospacing="0" w:line="440" w:lineRule="exact"/>
        <w:jc w:val="both"/>
        <w:rPr>
          <w:iCs/>
          <w:sz w:val="21"/>
          <w:szCs w:val="21"/>
        </w:rPr>
      </w:pPr>
      <w:r>
        <w:rPr>
          <w:rFonts w:hint="eastAsia"/>
          <w:iCs/>
          <w:sz w:val="21"/>
          <w:szCs w:val="21"/>
          <w:lang w:val="en-US" w:eastAsia="zh-CN"/>
        </w:rPr>
        <w:t>七</w:t>
      </w:r>
      <w:r>
        <w:rPr>
          <w:rFonts w:hint="eastAsia"/>
          <w:iCs/>
          <w:sz w:val="21"/>
          <w:szCs w:val="21"/>
        </w:rPr>
        <w:t>、特定资格要求的证明文件（如果本项目设置特定资格要求，则需要提供）</w:t>
      </w:r>
    </w:p>
    <w:p w14:paraId="087A15BC">
      <w:pPr>
        <w:pStyle w:val="31"/>
        <w:spacing w:before="0" w:beforeAutospacing="0" w:after="0" w:afterAutospacing="0" w:line="440" w:lineRule="exact"/>
        <w:jc w:val="both"/>
        <w:rPr>
          <w:iCs/>
          <w:sz w:val="21"/>
          <w:szCs w:val="21"/>
        </w:rPr>
      </w:pPr>
      <w:r>
        <w:rPr>
          <w:rFonts w:hint="eastAsia"/>
          <w:iCs/>
          <w:sz w:val="21"/>
          <w:szCs w:val="21"/>
          <w:lang w:val="en-US" w:eastAsia="zh-CN"/>
        </w:rPr>
        <w:t>八</w:t>
      </w:r>
      <w:r>
        <w:rPr>
          <w:rFonts w:hint="eastAsia"/>
          <w:iCs/>
          <w:sz w:val="21"/>
          <w:szCs w:val="21"/>
        </w:rPr>
        <w:t>、法人授权书</w:t>
      </w:r>
    </w:p>
    <w:p w14:paraId="4D5D21C6">
      <w:pPr>
        <w:pStyle w:val="31"/>
        <w:spacing w:before="0" w:beforeAutospacing="0" w:after="0" w:afterAutospacing="0" w:line="440" w:lineRule="exact"/>
        <w:jc w:val="both"/>
        <w:rPr>
          <w:iCs/>
          <w:sz w:val="21"/>
          <w:szCs w:val="21"/>
        </w:rPr>
      </w:pPr>
      <w:r>
        <w:rPr>
          <w:rFonts w:hint="eastAsia"/>
          <w:iCs/>
          <w:sz w:val="21"/>
          <w:szCs w:val="21"/>
          <w:lang w:val="en-US" w:eastAsia="zh-CN"/>
        </w:rPr>
        <w:t>九</w:t>
      </w:r>
      <w:r>
        <w:rPr>
          <w:rFonts w:hint="eastAsia"/>
          <w:iCs/>
          <w:sz w:val="21"/>
          <w:szCs w:val="21"/>
        </w:rPr>
        <w:t>、投标函</w:t>
      </w:r>
    </w:p>
    <w:p w14:paraId="50DF5882">
      <w:pPr>
        <w:pStyle w:val="31"/>
        <w:spacing w:before="0" w:beforeAutospacing="0" w:after="0" w:afterAutospacing="0" w:line="440" w:lineRule="exact"/>
        <w:jc w:val="both"/>
        <w:rPr>
          <w:sz w:val="21"/>
          <w:szCs w:val="21"/>
        </w:rPr>
      </w:pPr>
      <w:r>
        <w:rPr>
          <w:rFonts w:hint="eastAsia"/>
          <w:sz w:val="21"/>
          <w:szCs w:val="21"/>
          <w:lang w:val="en-US" w:eastAsia="zh-CN"/>
        </w:rPr>
        <w:t>十</w:t>
      </w:r>
      <w:r>
        <w:rPr>
          <w:rFonts w:hint="eastAsia"/>
          <w:sz w:val="21"/>
          <w:szCs w:val="21"/>
        </w:rPr>
        <w:t>、小微企业声明函（如有）</w:t>
      </w:r>
    </w:p>
    <w:p w14:paraId="745EAD76">
      <w:pPr>
        <w:pStyle w:val="31"/>
        <w:spacing w:before="0" w:beforeAutospacing="0" w:after="0" w:afterAutospacing="0" w:line="440" w:lineRule="exact"/>
        <w:jc w:val="both"/>
        <w:rPr>
          <w:sz w:val="21"/>
          <w:szCs w:val="21"/>
        </w:rPr>
      </w:pPr>
      <w:r>
        <w:rPr>
          <w:rFonts w:hint="eastAsia"/>
          <w:sz w:val="21"/>
          <w:szCs w:val="21"/>
        </w:rPr>
        <w:t>十</w:t>
      </w:r>
      <w:r>
        <w:rPr>
          <w:rFonts w:hint="eastAsia"/>
          <w:sz w:val="21"/>
          <w:szCs w:val="21"/>
          <w:lang w:val="en-US" w:eastAsia="zh-CN"/>
        </w:rPr>
        <w:t>一</w:t>
      </w:r>
      <w:r>
        <w:rPr>
          <w:rFonts w:hint="eastAsia"/>
          <w:sz w:val="21"/>
          <w:szCs w:val="21"/>
        </w:rPr>
        <w:t>、残疾人福利性单位声明函（如有）</w:t>
      </w:r>
    </w:p>
    <w:p w14:paraId="78E6016A">
      <w:pPr>
        <w:pStyle w:val="31"/>
        <w:spacing w:before="0" w:beforeAutospacing="0" w:after="0" w:afterAutospacing="0" w:line="440" w:lineRule="exact"/>
        <w:jc w:val="both"/>
        <w:rPr>
          <w:sz w:val="21"/>
          <w:szCs w:val="21"/>
        </w:rPr>
      </w:pPr>
      <w:r>
        <w:rPr>
          <w:rFonts w:hint="eastAsia"/>
          <w:sz w:val="21"/>
          <w:szCs w:val="21"/>
        </w:rPr>
        <w:t>十</w:t>
      </w:r>
      <w:r>
        <w:rPr>
          <w:rFonts w:hint="eastAsia"/>
          <w:sz w:val="21"/>
          <w:szCs w:val="21"/>
          <w:lang w:val="en-US" w:eastAsia="zh-CN"/>
        </w:rPr>
        <w:t>二</w:t>
      </w:r>
      <w:r>
        <w:rPr>
          <w:rFonts w:hint="eastAsia"/>
          <w:sz w:val="21"/>
          <w:szCs w:val="21"/>
        </w:rPr>
        <w:t>、联合体协议（如有）</w:t>
      </w:r>
    </w:p>
    <w:p w14:paraId="08B9424D">
      <w:pPr>
        <w:pStyle w:val="31"/>
        <w:spacing w:before="0" w:beforeAutospacing="0" w:after="0" w:afterAutospacing="0" w:line="440" w:lineRule="exact"/>
        <w:jc w:val="both"/>
        <w:rPr>
          <w:sz w:val="21"/>
          <w:szCs w:val="21"/>
        </w:rPr>
      </w:pPr>
      <w:r>
        <w:rPr>
          <w:rFonts w:hint="eastAsia"/>
          <w:sz w:val="21"/>
          <w:szCs w:val="21"/>
        </w:rPr>
        <w:t>十</w:t>
      </w:r>
      <w:r>
        <w:rPr>
          <w:rFonts w:hint="eastAsia"/>
          <w:sz w:val="21"/>
          <w:szCs w:val="21"/>
          <w:lang w:val="en-US" w:eastAsia="zh-CN"/>
        </w:rPr>
        <w:t>三</w:t>
      </w:r>
      <w:r>
        <w:rPr>
          <w:rFonts w:hint="eastAsia"/>
          <w:sz w:val="21"/>
          <w:szCs w:val="21"/>
        </w:rPr>
        <w:t>、投标分项报价表</w:t>
      </w:r>
    </w:p>
    <w:p w14:paraId="08A9FF69">
      <w:pPr>
        <w:pStyle w:val="31"/>
        <w:spacing w:before="0" w:beforeAutospacing="0" w:after="0" w:afterAutospacing="0" w:line="440" w:lineRule="exact"/>
        <w:jc w:val="both"/>
        <w:rPr>
          <w:sz w:val="21"/>
          <w:szCs w:val="21"/>
        </w:rPr>
      </w:pPr>
      <w:r>
        <w:rPr>
          <w:rFonts w:hint="eastAsia"/>
          <w:sz w:val="21"/>
          <w:szCs w:val="21"/>
        </w:rPr>
        <w:t>十</w:t>
      </w:r>
      <w:r>
        <w:rPr>
          <w:rFonts w:hint="eastAsia"/>
          <w:sz w:val="21"/>
          <w:szCs w:val="21"/>
          <w:lang w:val="en-US" w:eastAsia="zh-CN"/>
        </w:rPr>
        <w:t>四</w:t>
      </w:r>
      <w:r>
        <w:rPr>
          <w:rFonts w:hint="eastAsia"/>
          <w:sz w:val="21"/>
          <w:szCs w:val="21"/>
        </w:rPr>
        <w:t>、技术要求响应及偏离表</w:t>
      </w:r>
    </w:p>
    <w:p w14:paraId="70AAEC4A">
      <w:pPr>
        <w:pStyle w:val="31"/>
        <w:spacing w:before="0" w:beforeAutospacing="0" w:after="0" w:afterAutospacing="0" w:line="440" w:lineRule="exact"/>
        <w:jc w:val="both"/>
        <w:rPr>
          <w:sz w:val="21"/>
          <w:szCs w:val="21"/>
        </w:rPr>
      </w:pPr>
      <w:r>
        <w:rPr>
          <w:rFonts w:hint="eastAsia"/>
          <w:sz w:val="21"/>
          <w:szCs w:val="21"/>
        </w:rPr>
        <w:t>十</w:t>
      </w:r>
      <w:r>
        <w:rPr>
          <w:rFonts w:hint="eastAsia"/>
          <w:sz w:val="21"/>
          <w:szCs w:val="21"/>
          <w:lang w:val="en-US" w:eastAsia="zh-CN"/>
        </w:rPr>
        <w:t>五</w:t>
      </w:r>
      <w:r>
        <w:rPr>
          <w:rFonts w:hint="eastAsia"/>
          <w:sz w:val="21"/>
          <w:szCs w:val="21"/>
        </w:rPr>
        <w:t>、商务要求响应及偏离表</w:t>
      </w:r>
    </w:p>
    <w:p w14:paraId="0EBCFCCD">
      <w:pPr>
        <w:pStyle w:val="31"/>
        <w:spacing w:before="0" w:beforeAutospacing="0" w:after="0" w:afterAutospacing="0" w:line="440" w:lineRule="exact"/>
        <w:jc w:val="both"/>
        <w:rPr>
          <w:i/>
          <w:sz w:val="21"/>
          <w:szCs w:val="21"/>
          <w:u w:val="single"/>
        </w:rPr>
      </w:pPr>
      <w:r>
        <w:rPr>
          <w:rFonts w:hint="eastAsia"/>
          <w:iCs/>
          <w:sz w:val="21"/>
          <w:szCs w:val="21"/>
        </w:rPr>
        <w:t>十</w:t>
      </w:r>
      <w:r>
        <w:rPr>
          <w:rFonts w:hint="eastAsia"/>
          <w:iCs/>
          <w:sz w:val="21"/>
          <w:szCs w:val="21"/>
          <w:lang w:val="en-US" w:eastAsia="zh-CN"/>
        </w:rPr>
        <w:t>六</w:t>
      </w:r>
      <w:r>
        <w:rPr>
          <w:rFonts w:hint="eastAsia"/>
          <w:iCs/>
          <w:sz w:val="21"/>
          <w:szCs w:val="21"/>
        </w:rPr>
        <w:t>、开标一览表</w:t>
      </w:r>
    </w:p>
    <w:p w14:paraId="6171EE30">
      <w:pPr>
        <w:widowControl/>
        <w:spacing w:line="440" w:lineRule="exact"/>
        <w:rPr>
          <w:rFonts w:ascii="宋体" w:hAnsi="宋体" w:cs="宋体"/>
          <w:sz w:val="21"/>
          <w:szCs w:val="21"/>
        </w:rPr>
      </w:pPr>
      <w:r>
        <w:rPr>
          <w:rFonts w:hint="eastAsia" w:ascii="宋体" w:hAnsi="宋体" w:cs="宋体"/>
          <w:sz w:val="21"/>
          <w:szCs w:val="21"/>
        </w:rPr>
        <w:t>十</w:t>
      </w:r>
      <w:r>
        <w:rPr>
          <w:rFonts w:hint="eastAsia" w:ascii="宋体" w:hAnsi="宋体" w:cs="宋体"/>
          <w:sz w:val="21"/>
          <w:szCs w:val="21"/>
          <w:lang w:val="en-US" w:eastAsia="zh-CN"/>
        </w:rPr>
        <w:t>七</w:t>
      </w:r>
      <w:r>
        <w:rPr>
          <w:rFonts w:hint="eastAsia" w:ascii="宋体" w:hAnsi="宋体" w:cs="宋体"/>
          <w:sz w:val="21"/>
          <w:szCs w:val="21"/>
        </w:rPr>
        <w:t>、依据评标办法用于评分的材料</w:t>
      </w:r>
    </w:p>
    <w:p w14:paraId="5349B2CA">
      <w:pPr>
        <w:pStyle w:val="31"/>
        <w:spacing w:before="0" w:beforeAutospacing="0" w:after="0" w:afterAutospacing="0" w:line="440" w:lineRule="exact"/>
        <w:jc w:val="both"/>
        <w:rPr>
          <w:sz w:val="21"/>
          <w:szCs w:val="21"/>
        </w:rPr>
      </w:pPr>
      <w:r>
        <w:rPr>
          <w:rFonts w:hint="eastAsia"/>
          <w:sz w:val="21"/>
          <w:szCs w:val="21"/>
        </w:rPr>
        <w:t>十</w:t>
      </w:r>
      <w:r>
        <w:rPr>
          <w:rFonts w:hint="eastAsia"/>
          <w:sz w:val="21"/>
          <w:szCs w:val="21"/>
          <w:lang w:val="en-US" w:eastAsia="zh-CN"/>
        </w:rPr>
        <w:t>八</w:t>
      </w:r>
      <w:r>
        <w:rPr>
          <w:rFonts w:hint="eastAsia"/>
          <w:sz w:val="21"/>
          <w:szCs w:val="21"/>
        </w:rPr>
        <w:t>、盐城市政府采购事前信用承诺书</w:t>
      </w:r>
    </w:p>
    <w:p w14:paraId="64E06732">
      <w:pPr>
        <w:pStyle w:val="31"/>
        <w:spacing w:beforeAutospacing="0" w:afterAutospacing="0" w:line="0" w:lineRule="atLeast"/>
        <w:jc w:val="both"/>
      </w:pPr>
    </w:p>
    <w:p w14:paraId="789B36A9">
      <w:pPr>
        <w:pStyle w:val="31"/>
        <w:spacing w:beforeAutospacing="0" w:afterAutospacing="0" w:line="0" w:lineRule="atLeast"/>
        <w:jc w:val="both"/>
      </w:pPr>
    </w:p>
    <w:p w14:paraId="09ADB10C">
      <w:pPr>
        <w:pStyle w:val="31"/>
        <w:spacing w:beforeAutospacing="0" w:afterAutospacing="0" w:line="0" w:lineRule="atLeast"/>
        <w:jc w:val="both"/>
      </w:pPr>
      <w:r>
        <w:rPr>
          <w:rFonts w:hint="eastAsia"/>
        </w:rPr>
        <w:t> </w:t>
      </w:r>
    </w:p>
    <w:p w14:paraId="0892012F">
      <w:pPr>
        <w:pStyle w:val="31"/>
        <w:spacing w:beforeAutospacing="0" w:afterAutospacing="0" w:line="0" w:lineRule="atLeast"/>
        <w:jc w:val="both"/>
      </w:pPr>
      <w:r>
        <w:rPr>
          <w:rFonts w:hint="eastAsia"/>
        </w:rPr>
        <w:t> </w:t>
      </w:r>
    </w:p>
    <w:p w14:paraId="6EEF5844">
      <w:pPr>
        <w:pStyle w:val="31"/>
        <w:spacing w:beforeAutospacing="0" w:afterAutospacing="0"/>
        <w:jc w:val="both"/>
        <w:rPr>
          <w:sz w:val="32"/>
          <w:szCs w:val="32"/>
          <w:u w:val="single"/>
        </w:rPr>
      </w:pPr>
    </w:p>
    <w:p w14:paraId="484537E4">
      <w:pPr>
        <w:pStyle w:val="31"/>
        <w:spacing w:beforeAutospacing="0" w:afterAutospacing="0"/>
        <w:jc w:val="both"/>
        <w:rPr>
          <w:sz w:val="32"/>
          <w:szCs w:val="32"/>
          <w:u w:val="single"/>
        </w:rPr>
      </w:pPr>
    </w:p>
    <w:p w14:paraId="6B64D3E3">
      <w:pPr>
        <w:pStyle w:val="31"/>
        <w:spacing w:beforeAutospacing="0" w:afterAutospacing="0"/>
        <w:jc w:val="both"/>
        <w:rPr>
          <w:sz w:val="32"/>
          <w:szCs w:val="32"/>
          <w:u w:val="single"/>
        </w:rPr>
      </w:pPr>
    </w:p>
    <w:p w14:paraId="216DB236">
      <w:pPr>
        <w:pStyle w:val="31"/>
        <w:spacing w:beforeAutospacing="0" w:afterAutospacing="0"/>
        <w:jc w:val="both"/>
        <w:rPr>
          <w:sz w:val="32"/>
          <w:szCs w:val="32"/>
          <w:u w:val="single"/>
        </w:rPr>
      </w:pPr>
    </w:p>
    <w:p w14:paraId="0660EC4D">
      <w:pPr>
        <w:pStyle w:val="31"/>
        <w:spacing w:beforeAutospacing="0" w:afterAutospacing="0"/>
        <w:jc w:val="both"/>
        <w:rPr>
          <w:sz w:val="32"/>
          <w:szCs w:val="32"/>
          <w:u w:val="single"/>
        </w:rPr>
      </w:pPr>
    </w:p>
    <w:p w14:paraId="6167AD58">
      <w:pPr>
        <w:pStyle w:val="31"/>
        <w:numPr>
          <w:ilvl w:val="0"/>
          <w:numId w:val="8"/>
        </w:numPr>
        <w:spacing w:beforeAutospacing="0" w:afterAutospacing="0"/>
        <w:jc w:val="both"/>
        <w:rPr>
          <w:rFonts w:hint="eastAsia"/>
          <w:sz w:val="32"/>
          <w:szCs w:val="32"/>
          <w:u w:val="single"/>
        </w:rPr>
      </w:pPr>
      <w:r>
        <w:rPr>
          <w:rFonts w:hint="eastAsia"/>
          <w:sz w:val="32"/>
          <w:szCs w:val="32"/>
          <w:u w:val="single"/>
        </w:rPr>
        <w:t>法人或者其他组织的营业执照等证明文件，自然人的身份证明</w:t>
      </w:r>
    </w:p>
    <w:p w14:paraId="0FD9E267">
      <w:pPr>
        <w:pStyle w:val="31"/>
        <w:numPr>
          <w:ilvl w:val="0"/>
          <w:numId w:val="0"/>
        </w:numPr>
        <w:spacing w:beforeAutospacing="0" w:afterAutospacing="0"/>
        <w:jc w:val="both"/>
        <w:rPr>
          <w:rFonts w:hint="eastAsia"/>
          <w:sz w:val="32"/>
          <w:szCs w:val="32"/>
          <w:u w:val="single"/>
        </w:rPr>
      </w:pPr>
    </w:p>
    <w:p w14:paraId="38C653F8">
      <w:pPr>
        <w:pStyle w:val="31"/>
        <w:numPr>
          <w:ilvl w:val="0"/>
          <w:numId w:val="8"/>
        </w:numPr>
        <w:spacing w:beforeAutospacing="0" w:afterAutospacing="0"/>
        <w:jc w:val="both"/>
        <w:rPr>
          <w:rFonts w:hint="eastAsia"/>
          <w:sz w:val="32"/>
          <w:szCs w:val="32"/>
          <w:u w:val="single"/>
        </w:rPr>
      </w:pPr>
      <w:r>
        <w:rPr>
          <w:rFonts w:hint="eastAsia"/>
          <w:sz w:val="32"/>
          <w:szCs w:val="32"/>
          <w:u w:val="single"/>
          <w:lang w:val="en-US" w:eastAsia="zh-CN"/>
        </w:rPr>
        <w:t>符合公告的资质证书</w:t>
      </w:r>
    </w:p>
    <w:p w14:paraId="7CB1673C">
      <w:pPr>
        <w:pStyle w:val="31"/>
        <w:spacing w:beforeAutospacing="0" w:afterAutospacing="0"/>
        <w:jc w:val="both"/>
      </w:pPr>
    </w:p>
    <w:p w14:paraId="207E5951">
      <w:pPr>
        <w:pStyle w:val="31"/>
        <w:spacing w:beforeAutospacing="0" w:afterAutospacing="0"/>
        <w:jc w:val="both"/>
      </w:pPr>
      <w:r>
        <w:rPr>
          <w:rFonts w:hint="eastAsia"/>
          <w:sz w:val="32"/>
          <w:szCs w:val="32"/>
          <w:u w:val="single"/>
          <w:lang w:val="en-US" w:eastAsia="zh-CN"/>
        </w:rPr>
        <w:t>三</w:t>
      </w:r>
      <w:r>
        <w:rPr>
          <w:rFonts w:hint="eastAsia"/>
          <w:sz w:val="32"/>
          <w:szCs w:val="32"/>
          <w:u w:val="single"/>
        </w:rPr>
        <w:t>、上一年度的财务状况报表</w:t>
      </w:r>
    </w:p>
    <w:p w14:paraId="163D2EF0">
      <w:pPr>
        <w:pStyle w:val="31"/>
        <w:spacing w:beforeAutospacing="0" w:afterAutospacing="0" w:line="0" w:lineRule="atLeast"/>
        <w:jc w:val="both"/>
      </w:pPr>
      <w:r>
        <w:rPr>
          <w:rFonts w:hint="eastAsia"/>
        </w:rPr>
        <w:t>投标人成立不满一年不需提供</w:t>
      </w:r>
    </w:p>
    <w:p w14:paraId="5B6276D0">
      <w:pPr>
        <w:pStyle w:val="31"/>
        <w:spacing w:beforeAutospacing="0" w:afterAutospacing="0"/>
        <w:jc w:val="both"/>
      </w:pPr>
      <w:r>
        <w:rPr>
          <w:rFonts w:hint="eastAsia"/>
        </w:rPr>
        <w:t> </w:t>
      </w:r>
    </w:p>
    <w:p w14:paraId="41773276">
      <w:pPr>
        <w:pStyle w:val="31"/>
        <w:spacing w:beforeAutospacing="0" w:afterAutospacing="0"/>
        <w:jc w:val="both"/>
      </w:pPr>
      <w:r>
        <w:rPr>
          <w:rFonts w:hint="eastAsia"/>
          <w:sz w:val="32"/>
          <w:szCs w:val="32"/>
          <w:u w:val="single"/>
          <w:lang w:val="en-US" w:eastAsia="zh-CN"/>
        </w:rPr>
        <w:t>四</w:t>
      </w:r>
      <w:r>
        <w:rPr>
          <w:rFonts w:hint="eastAsia"/>
          <w:sz w:val="32"/>
          <w:szCs w:val="32"/>
          <w:u w:val="single"/>
        </w:rPr>
        <w:t>、具备履行合同所必需的设备和专业技术能力的书面声明</w:t>
      </w:r>
    </w:p>
    <w:p w14:paraId="1C788F90">
      <w:pPr>
        <w:pStyle w:val="31"/>
        <w:spacing w:beforeAutospacing="0" w:afterAutospacing="0" w:line="0" w:lineRule="atLeast"/>
        <w:jc w:val="both"/>
      </w:pPr>
      <w:r>
        <w:rPr>
          <w:rFonts w:hint="eastAsia"/>
        </w:rPr>
        <w:t>我单位郑重声明：我单位具备履行本项采购合同所必需的设备和专业技术能力，为履行本项采购合同我公司具备如下主要设备和主要专业技术能力：</w:t>
      </w:r>
    </w:p>
    <w:p w14:paraId="60CC0FD4">
      <w:pPr>
        <w:pStyle w:val="31"/>
        <w:spacing w:beforeAutospacing="0" w:afterAutospacing="0" w:line="0" w:lineRule="atLeast"/>
        <w:jc w:val="both"/>
      </w:pPr>
      <w:r>
        <w:rPr>
          <w:rFonts w:hint="eastAsia"/>
        </w:rPr>
        <w:t>主要设备有：</w:t>
      </w:r>
      <w:r>
        <w:rPr>
          <w:rFonts w:hint="eastAsia"/>
          <w:u w:val="single"/>
        </w:rPr>
        <w:t xml:space="preserve">         </w:t>
      </w:r>
      <w:r>
        <w:rPr>
          <w:rFonts w:hint="eastAsia"/>
        </w:rPr>
        <w:t>。</w:t>
      </w:r>
    </w:p>
    <w:p w14:paraId="77ED51B6">
      <w:pPr>
        <w:pStyle w:val="31"/>
        <w:spacing w:beforeAutospacing="0" w:afterAutospacing="0"/>
        <w:jc w:val="both"/>
      </w:pPr>
      <w:r>
        <w:rPr>
          <w:rFonts w:hint="eastAsia"/>
        </w:rPr>
        <w:t>主要专业技术能力有：</w:t>
      </w:r>
      <w:r>
        <w:rPr>
          <w:rFonts w:hint="eastAsia"/>
          <w:u w:val="single"/>
        </w:rPr>
        <w:t xml:space="preserve">        </w:t>
      </w:r>
      <w:r>
        <w:rPr>
          <w:rFonts w:hint="eastAsia"/>
        </w:rPr>
        <w:t>。</w:t>
      </w:r>
    </w:p>
    <w:p w14:paraId="0AE3616A">
      <w:pPr>
        <w:pStyle w:val="31"/>
        <w:spacing w:beforeAutospacing="0" w:afterAutospacing="0"/>
        <w:jc w:val="both"/>
        <w:rPr>
          <w:sz w:val="32"/>
          <w:szCs w:val="32"/>
          <w:u w:val="single"/>
        </w:rPr>
      </w:pPr>
    </w:p>
    <w:p w14:paraId="2E8DB41D">
      <w:pPr>
        <w:pStyle w:val="31"/>
        <w:spacing w:beforeAutospacing="0" w:afterAutospacing="0"/>
        <w:jc w:val="both"/>
      </w:pPr>
      <w:r>
        <w:rPr>
          <w:rFonts w:hint="eastAsia"/>
          <w:sz w:val="32"/>
          <w:szCs w:val="32"/>
          <w:u w:val="single"/>
          <w:lang w:val="en-US" w:eastAsia="zh-CN"/>
        </w:rPr>
        <w:t>五</w:t>
      </w:r>
      <w:r>
        <w:rPr>
          <w:rFonts w:hint="eastAsia"/>
          <w:sz w:val="32"/>
          <w:szCs w:val="32"/>
          <w:u w:val="single"/>
        </w:rPr>
        <w:t>、依法缴纳税收和社会保障资金的相关材料</w:t>
      </w:r>
    </w:p>
    <w:p w14:paraId="7A9FD6A0">
      <w:pPr>
        <w:pStyle w:val="31"/>
        <w:spacing w:beforeAutospacing="0" w:afterAutospacing="0"/>
        <w:jc w:val="both"/>
      </w:pPr>
      <w:bookmarkStart w:id="1" w:name="_Toc120614284"/>
      <w:r>
        <w:rPr>
          <w:rFonts w:hint="eastAsia"/>
        </w:rPr>
        <w:t>提供提交投标文件截止时间前一年内至少一个月依法缴纳税收及缴纳社会保障资金的证明材料。投标人依法享受缓缴、免缴税收、社会保障资金的提供证明材料。</w:t>
      </w:r>
      <w:bookmarkEnd w:id="1"/>
    </w:p>
    <w:p w14:paraId="7BC43A57">
      <w:pPr>
        <w:pStyle w:val="31"/>
        <w:spacing w:beforeAutospacing="0" w:afterAutospacing="0"/>
        <w:jc w:val="both"/>
        <w:rPr>
          <w:sz w:val="32"/>
          <w:szCs w:val="32"/>
          <w:u w:val="single"/>
        </w:rPr>
      </w:pPr>
    </w:p>
    <w:p w14:paraId="3F9A76B8">
      <w:pPr>
        <w:pStyle w:val="31"/>
        <w:spacing w:beforeAutospacing="0" w:afterAutospacing="0"/>
        <w:jc w:val="both"/>
      </w:pPr>
      <w:r>
        <w:rPr>
          <w:rFonts w:hint="eastAsia"/>
          <w:sz w:val="32"/>
          <w:szCs w:val="32"/>
          <w:u w:val="single"/>
          <w:lang w:val="en-US" w:eastAsia="zh-CN"/>
        </w:rPr>
        <w:t>六</w:t>
      </w:r>
      <w:r>
        <w:rPr>
          <w:rFonts w:hint="eastAsia"/>
          <w:sz w:val="32"/>
          <w:szCs w:val="32"/>
          <w:u w:val="single"/>
        </w:rPr>
        <w:t>、参加政府采购活动前 3 年内在经营活动中没有重大违法记录的书面声明</w:t>
      </w:r>
    </w:p>
    <w:p w14:paraId="3247F0BE">
      <w:pPr>
        <w:pStyle w:val="31"/>
        <w:widowControl w:val="0"/>
        <w:spacing w:beforeAutospacing="0" w:afterAutospacing="0" w:line="0" w:lineRule="atLeast"/>
        <w:jc w:val="center"/>
      </w:pPr>
      <w:r>
        <w:rPr>
          <w:rFonts w:hint="eastAsia"/>
          <w:b/>
          <w:sz w:val="44"/>
          <w:szCs w:val="44"/>
        </w:rPr>
        <w:t>声  明</w:t>
      </w:r>
    </w:p>
    <w:p w14:paraId="133DF514">
      <w:pPr>
        <w:pStyle w:val="31"/>
        <w:spacing w:beforeAutospacing="0" w:afterAutospacing="0" w:line="0" w:lineRule="atLeast"/>
        <w:jc w:val="both"/>
      </w:pPr>
      <w:r>
        <w:rPr>
          <w:rFonts w:hint="eastAsia"/>
          <w:b/>
        </w:rPr>
        <w:t xml:space="preserve">    </w:t>
      </w:r>
      <w:r>
        <w:rPr>
          <w:rFonts w:hint="eastAsia"/>
        </w:rPr>
        <w:t>我单位郑重声明：参加本次政府采购活动前 3 年内，我单位在经营活动中没有因违法经营受到刑事处罚或者责令停产停业、吊销许可证或者执照、较大数额罚款等行政处罚。</w:t>
      </w:r>
    </w:p>
    <w:p w14:paraId="105D3AA8">
      <w:pPr>
        <w:pStyle w:val="31"/>
        <w:spacing w:beforeAutospacing="0" w:afterAutospacing="0"/>
        <w:jc w:val="both"/>
      </w:pPr>
      <w:r>
        <w:rPr>
          <w:rFonts w:hint="eastAsia"/>
        </w:rPr>
        <w:t> </w:t>
      </w:r>
    </w:p>
    <w:p w14:paraId="0DAA5460">
      <w:pPr>
        <w:pStyle w:val="31"/>
        <w:spacing w:beforeAutospacing="0" w:afterAutospacing="0"/>
        <w:jc w:val="both"/>
      </w:pPr>
      <w:r>
        <w:rPr>
          <w:rFonts w:hint="eastAsia"/>
          <w:sz w:val="32"/>
          <w:szCs w:val="32"/>
          <w:u w:val="single"/>
          <w:lang w:val="en-US" w:eastAsia="zh-CN"/>
        </w:rPr>
        <w:t>七</w:t>
      </w:r>
      <w:r>
        <w:rPr>
          <w:rFonts w:hint="eastAsia"/>
          <w:sz w:val="32"/>
          <w:szCs w:val="32"/>
          <w:u w:val="single"/>
        </w:rPr>
        <w:t>、特定资格要求的证明文件（标注页码位置）</w:t>
      </w:r>
    </w:p>
    <w:p w14:paraId="0A4AAFD1">
      <w:pPr>
        <w:pStyle w:val="31"/>
        <w:spacing w:beforeAutospacing="0" w:afterAutospacing="0" w:line="0" w:lineRule="atLeast"/>
        <w:jc w:val="both"/>
      </w:pPr>
      <w:r>
        <w:rPr>
          <w:rFonts w:hint="eastAsia"/>
        </w:rPr>
        <w:t>    如果本项目申请人的特定资格要求中要求提供的，必须提供。</w:t>
      </w:r>
    </w:p>
    <w:p w14:paraId="1309F440">
      <w:pPr>
        <w:rPr>
          <w:rFonts w:hAnsi="宋体" w:cs="宋体"/>
        </w:rPr>
      </w:pPr>
      <w:r>
        <w:rPr>
          <w:rFonts w:hint="eastAsia" w:hAnsi="宋体" w:cs="宋体"/>
        </w:rPr>
        <w:t>资格性审查响应对照表</w:t>
      </w:r>
    </w:p>
    <w:p w14:paraId="7853D9CE">
      <w:r>
        <w:rPr>
          <w:rFonts w:hint="eastAsia" w:hAnsi="宋体" w:cs="宋体"/>
        </w:rPr>
        <w:t>投标人全称（加盖投标人CA电子公章）</w:t>
      </w:r>
    </w:p>
    <w:tbl>
      <w:tblPr>
        <w:tblStyle w:val="34"/>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4"/>
        <w:gridCol w:w="2640"/>
        <w:gridCol w:w="2655"/>
        <w:gridCol w:w="2850"/>
        <w:gridCol w:w="1043"/>
      </w:tblGrid>
      <w:tr w14:paraId="38CF6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tcPr>
          <w:p w14:paraId="5534A05E">
            <w:pPr>
              <w:pStyle w:val="31"/>
              <w:spacing w:beforeAutospacing="0" w:afterAutospacing="0" w:line="0" w:lineRule="atLeast"/>
              <w:jc w:val="both"/>
            </w:pPr>
            <w:r>
              <w:rPr>
                <w:rFonts w:hint="eastAsia"/>
              </w:rPr>
              <w:t>序号</w:t>
            </w:r>
          </w:p>
        </w:tc>
        <w:tc>
          <w:tcPr>
            <w:tcW w:w="2640" w:type="dxa"/>
          </w:tcPr>
          <w:p w14:paraId="7110BAFA">
            <w:pPr>
              <w:pStyle w:val="31"/>
              <w:spacing w:beforeAutospacing="0" w:afterAutospacing="0" w:line="0" w:lineRule="atLeast"/>
              <w:jc w:val="both"/>
            </w:pPr>
            <w:r>
              <w:rPr>
                <w:rFonts w:hint="eastAsia"/>
              </w:rPr>
              <w:t>资格性审查响应内容</w:t>
            </w:r>
          </w:p>
        </w:tc>
        <w:tc>
          <w:tcPr>
            <w:tcW w:w="2655" w:type="dxa"/>
          </w:tcPr>
          <w:p w14:paraId="66E4AE8E">
            <w:pPr>
              <w:pStyle w:val="31"/>
              <w:spacing w:beforeAutospacing="0" w:afterAutospacing="0" w:line="0" w:lineRule="atLeast"/>
              <w:jc w:val="both"/>
            </w:pPr>
            <w:r>
              <w:rPr>
                <w:rFonts w:hint="eastAsia"/>
              </w:rPr>
              <w:t>是否响应（填是或否）</w:t>
            </w:r>
          </w:p>
        </w:tc>
        <w:tc>
          <w:tcPr>
            <w:tcW w:w="2850" w:type="dxa"/>
          </w:tcPr>
          <w:p w14:paraId="5731553D">
            <w:pPr>
              <w:pStyle w:val="31"/>
              <w:spacing w:beforeAutospacing="0" w:afterAutospacing="0" w:line="0" w:lineRule="atLeast"/>
              <w:jc w:val="both"/>
            </w:pPr>
            <w:r>
              <w:rPr>
                <w:rFonts w:hint="eastAsia"/>
                <w:b/>
                <w:bCs/>
              </w:rPr>
              <w:t>投标文件中的页码位置</w:t>
            </w:r>
          </w:p>
        </w:tc>
        <w:tc>
          <w:tcPr>
            <w:tcW w:w="1043" w:type="dxa"/>
          </w:tcPr>
          <w:p w14:paraId="41B7EDF1">
            <w:pPr>
              <w:pStyle w:val="31"/>
              <w:spacing w:beforeAutospacing="0" w:afterAutospacing="0" w:line="0" w:lineRule="atLeast"/>
              <w:jc w:val="both"/>
            </w:pPr>
            <w:r>
              <w:rPr>
                <w:rFonts w:hint="eastAsia"/>
              </w:rPr>
              <w:t>备注</w:t>
            </w:r>
          </w:p>
        </w:tc>
      </w:tr>
      <w:tr w14:paraId="2B2D6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tcPr>
          <w:p w14:paraId="09741327">
            <w:pPr>
              <w:pStyle w:val="31"/>
              <w:spacing w:beforeAutospacing="0" w:afterAutospacing="0" w:line="0" w:lineRule="atLeast"/>
              <w:jc w:val="both"/>
            </w:pPr>
          </w:p>
        </w:tc>
        <w:tc>
          <w:tcPr>
            <w:tcW w:w="2640" w:type="dxa"/>
          </w:tcPr>
          <w:p w14:paraId="30EA23A6">
            <w:pPr>
              <w:pStyle w:val="31"/>
              <w:spacing w:beforeAutospacing="0" w:afterAutospacing="0" w:line="0" w:lineRule="atLeast"/>
              <w:jc w:val="both"/>
            </w:pPr>
          </w:p>
        </w:tc>
        <w:tc>
          <w:tcPr>
            <w:tcW w:w="2655" w:type="dxa"/>
          </w:tcPr>
          <w:p w14:paraId="18EC96ED">
            <w:pPr>
              <w:pStyle w:val="31"/>
              <w:spacing w:beforeAutospacing="0" w:afterAutospacing="0" w:line="0" w:lineRule="atLeast"/>
              <w:jc w:val="both"/>
            </w:pPr>
          </w:p>
        </w:tc>
        <w:tc>
          <w:tcPr>
            <w:tcW w:w="2850" w:type="dxa"/>
          </w:tcPr>
          <w:p w14:paraId="7511121B">
            <w:pPr>
              <w:pStyle w:val="31"/>
              <w:spacing w:beforeAutospacing="0" w:afterAutospacing="0" w:line="0" w:lineRule="atLeast"/>
              <w:jc w:val="both"/>
            </w:pPr>
          </w:p>
        </w:tc>
        <w:tc>
          <w:tcPr>
            <w:tcW w:w="1043" w:type="dxa"/>
          </w:tcPr>
          <w:p w14:paraId="74905431">
            <w:pPr>
              <w:pStyle w:val="31"/>
              <w:spacing w:beforeAutospacing="0" w:afterAutospacing="0" w:line="0" w:lineRule="atLeast"/>
              <w:jc w:val="both"/>
            </w:pPr>
          </w:p>
        </w:tc>
      </w:tr>
      <w:tr w14:paraId="6776A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tcPr>
          <w:p w14:paraId="177B2D27">
            <w:pPr>
              <w:pStyle w:val="31"/>
              <w:spacing w:beforeAutospacing="0" w:afterAutospacing="0" w:line="0" w:lineRule="atLeast"/>
              <w:jc w:val="both"/>
            </w:pPr>
          </w:p>
        </w:tc>
        <w:tc>
          <w:tcPr>
            <w:tcW w:w="2640" w:type="dxa"/>
          </w:tcPr>
          <w:p w14:paraId="6A6ADE32">
            <w:pPr>
              <w:pStyle w:val="31"/>
              <w:spacing w:beforeAutospacing="0" w:afterAutospacing="0" w:line="0" w:lineRule="atLeast"/>
              <w:jc w:val="both"/>
            </w:pPr>
          </w:p>
        </w:tc>
        <w:tc>
          <w:tcPr>
            <w:tcW w:w="2655" w:type="dxa"/>
          </w:tcPr>
          <w:p w14:paraId="3609E3C8">
            <w:pPr>
              <w:pStyle w:val="31"/>
              <w:spacing w:beforeAutospacing="0" w:afterAutospacing="0" w:line="0" w:lineRule="atLeast"/>
              <w:jc w:val="both"/>
            </w:pPr>
          </w:p>
        </w:tc>
        <w:tc>
          <w:tcPr>
            <w:tcW w:w="2850" w:type="dxa"/>
          </w:tcPr>
          <w:p w14:paraId="5F59C660">
            <w:pPr>
              <w:pStyle w:val="31"/>
              <w:spacing w:beforeAutospacing="0" w:afterAutospacing="0" w:line="0" w:lineRule="atLeast"/>
              <w:jc w:val="both"/>
            </w:pPr>
          </w:p>
        </w:tc>
        <w:tc>
          <w:tcPr>
            <w:tcW w:w="1043" w:type="dxa"/>
          </w:tcPr>
          <w:p w14:paraId="6783DE8D">
            <w:pPr>
              <w:pStyle w:val="31"/>
              <w:spacing w:beforeAutospacing="0" w:afterAutospacing="0" w:line="0" w:lineRule="atLeast"/>
              <w:jc w:val="both"/>
            </w:pPr>
          </w:p>
        </w:tc>
      </w:tr>
      <w:tr w14:paraId="03852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tcPr>
          <w:p w14:paraId="138F9679">
            <w:pPr>
              <w:pStyle w:val="31"/>
              <w:spacing w:beforeAutospacing="0" w:afterAutospacing="0" w:line="0" w:lineRule="atLeast"/>
              <w:jc w:val="both"/>
            </w:pPr>
          </w:p>
        </w:tc>
        <w:tc>
          <w:tcPr>
            <w:tcW w:w="2640" w:type="dxa"/>
          </w:tcPr>
          <w:p w14:paraId="4457AEEB">
            <w:pPr>
              <w:pStyle w:val="31"/>
              <w:spacing w:beforeAutospacing="0" w:afterAutospacing="0" w:line="0" w:lineRule="atLeast"/>
              <w:jc w:val="both"/>
            </w:pPr>
          </w:p>
        </w:tc>
        <w:tc>
          <w:tcPr>
            <w:tcW w:w="2655" w:type="dxa"/>
          </w:tcPr>
          <w:p w14:paraId="24DF93CC">
            <w:pPr>
              <w:pStyle w:val="31"/>
              <w:spacing w:beforeAutospacing="0" w:afterAutospacing="0" w:line="0" w:lineRule="atLeast"/>
              <w:jc w:val="both"/>
            </w:pPr>
          </w:p>
        </w:tc>
        <w:tc>
          <w:tcPr>
            <w:tcW w:w="2850" w:type="dxa"/>
          </w:tcPr>
          <w:p w14:paraId="3D909842">
            <w:pPr>
              <w:pStyle w:val="31"/>
              <w:spacing w:beforeAutospacing="0" w:afterAutospacing="0" w:line="0" w:lineRule="atLeast"/>
              <w:jc w:val="both"/>
            </w:pPr>
          </w:p>
        </w:tc>
        <w:tc>
          <w:tcPr>
            <w:tcW w:w="1043" w:type="dxa"/>
          </w:tcPr>
          <w:p w14:paraId="55B3B7EC">
            <w:pPr>
              <w:pStyle w:val="31"/>
              <w:spacing w:beforeAutospacing="0" w:afterAutospacing="0" w:line="0" w:lineRule="atLeast"/>
              <w:jc w:val="both"/>
            </w:pPr>
          </w:p>
        </w:tc>
      </w:tr>
      <w:tr w14:paraId="7ACD9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tcPr>
          <w:p w14:paraId="61F91CDE">
            <w:pPr>
              <w:pStyle w:val="31"/>
              <w:spacing w:beforeAutospacing="0" w:afterAutospacing="0" w:line="0" w:lineRule="atLeast"/>
              <w:jc w:val="both"/>
            </w:pPr>
          </w:p>
        </w:tc>
        <w:tc>
          <w:tcPr>
            <w:tcW w:w="2640" w:type="dxa"/>
          </w:tcPr>
          <w:p w14:paraId="5BD0FFEC">
            <w:pPr>
              <w:pStyle w:val="31"/>
              <w:spacing w:beforeAutospacing="0" w:afterAutospacing="0" w:line="0" w:lineRule="atLeast"/>
              <w:jc w:val="both"/>
            </w:pPr>
          </w:p>
        </w:tc>
        <w:tc>
          <w:tcPr>
            <w:tcW w:w="2655" w:type="dxa"/>
          </w:tcPr>
          <w:p w14:paraId="18D0642B">
            <w:pPr>
              <w:pStyle w:val="31"/>
              <w:spacing w:beforeAutospacing="0" w:afterAutospacing="0" w:line="0" w:lineRule="atLeast"/>
              <w:jc w:val="both"/>
            </w:pPr>
          </w:p>
        </w:tc>
        <w:tc>
          <w:tcPr>
            <w:tcW w:w="2850" w:type="dxa"/>
          </w:tcPr>
          <w:p w14:paraId="07C480AF">
            <w:pPr>
              <w:pStyle w:val="31"/>
              <w:spacing w:beforeAutospacing="0" w:afterAutospacing="0" w:line="0" w:lineRule="atLeast"/>
              <w:jc w:val="both"/>
            </w:pPr>
          </w:p>
        </w:tc>
        <w:tc>
          <w:tcPr>
            <w:tcW w:w="1043" w:type="dxa"/>
          </w:tcPr>
          <w:p w14:paraId="42772D21">
            <w:pPr>
              <w:pStyle w:val="31"/>
              <w:spacing w:beforeAutospacing="0" w:afterAutospacing="0" w:line="0" w:lineRule="atLeast"/>
              <w:jc w:val="both"/>
            </w:pPr>
          </w:p>
        </w:tc>
      </w:tr>
      <w:tr w14:paraId="40783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tcPr>
          <w:p w14:paraId="7FB23CC7">
            <w:pPr>
              <w:pStyle w:val="31"/>
              <w:spacing w:beforeAutospacing="0" w:afterAutospacing="0" w:line="0" w:lineRule="atLeast"/>
              <w:jc w:val="both"/>
            </w:pPr>
          </w:p>
        </w:tc>
        <w:tc>
          <w:tcPr>
            <w:tcW w:w="2640" w:type="dxa"/>
          </w:tcPr>
          <w:p w14:paraId="1B566811">
            <w:pPr>
              <w:pStyle w:val="31"/>
              <w:spacing w:beforeAutospacing="0" w:afterAutospacing="0" w:line="0" w:lineRule="atLeast"/>
              <w:jc w:val="both"/>
            </w:pPr>
          </w:p>
        </w:tc>
        <w:tc>
          <w:tcPr>
            <w:tcW w:w="2655" w:type="dxa"/>
          </w:tcPr>
          <w:p w14:paraId="28298085">
            <w:pPr>
              <w:pStyle w:val="31"/>
              <w:spacing w:beforeAutospacing="0" w:afterAutospacing="0" w:line="0" w:lineRule="atLeast"/>
              <w:jc w:val="both"/>
            </w:pPr>
          </w:p>
        </w:tc>
        <w:tc>
          <w:tcPr>
            <w:tcW w:w="2850" w:type="dxa"/>
          </w:tcPr>
          <w:p w14:paraId="086BDF11">
            <w:pPr>
              <w:pStyle w:val="31"/>
              <w:spacing w:beforeAutospacing="0" w:afterAutospacing="0" w:line="0" w:lineRule="atLeast"/>
              <w:jc w:val="both"/>
            </w:pPr>
          </w:p>
        </w:tc>
        <w:tc>
          <w:tcPr>
            <w:tcW w:w="1043" w:type="dxa"/>
          </w:tcPr>
          <w:p w14:paraId="048F1CAB">
            <w:pPr>
              <w:pStyle w:val="31"/>
              <w:spacing w:beforeAutospacing="0" w:afterAutospacing="0" w:line="0" w:lineRule="atLeast"/>
              <w:jc w:val="both"/>
            </w:pPr>
          </w:p>
        </w:tc>
      </w:tr>
    </w:tbl>
    <w:p w14:paraId="2B5FC0D2">
      <w:pPr>
        <w:pStyle w:val="31"/>
        <w:spacing w:beforeAutospacing="0" w:afterAutospacing="0" w:line="0" w:lineRule="atLeast"/>
        <w:jc w:val="both"/>
      </w:pPr>
    </w:p>
    <w:p w14:paraId="5BDD638B">
      <w:pPr>
        <w:pStyle w:val="31"/>
        <w:spacing w:beforeAutospacing="0" w:afterAutospacing="0" w:line="0" w:lineRule="atLeast"/>
        <w:jc w:val="both"/>
      </w:pPr>
      <w:r>
        <w:rPr>
          <w:rFonts w:hint="eastAsia"/>
        </w:rPr>
        <w:t> </w:t>
      </w:r>
    </w:p>
    <w:p w14:paraId="17D0CB9E">
      <w:pPr>
        <w:pStyle w:val="31"/>
        <w:spacing w:beforeAutospacing="0" w:afterAutospacing="0"/>
        <w:jc w:val="center"/>
        <w:rPr>
          <w:i/>
          <w:sz w:val="32"/>
          <w:szCs w:val="32"/>
          <w:u w:val="single"/>
        </w:rPr>
      </w:pPr>
    </w:p>
    <w:p w14:paraId="27A2432C">
      <w:pPr>
        <w:pStyle w:val="31"/>
        <w:spacing w:beforeAutospacing="0" w:afterAutospacing="0"/>
      </w:pPr>
      <w:r>
        <w:rPr>
          <w:rFonts w:hint="eastAsia"/>
          <w:iCs/>
          <w:sz w:val="32"/>
          <w:szCs w:val="32"/>
          <w:u w:val="single"/>
          <w:lang w:val="en-US" w:eastAsia="zh-CN"/>
        </w:rPr>
        <w:t>八</w:t>
      </w:r>
      <w:r>
        <w:rPr>
          <w:rFonts w:hint="eastAsia"/>
          <w:iCs/>
          <w:sz w:val="32"/>
          <w:szCs w:val="32"/>
          <w:u w:val="single"/>
        </w:rPr>
        <w:t>、法人授权书</w:t>
      </w:r>
    </w:p>
    <w:p w14:paraId="426C8E58">
      <w:pPr>
        <w:pStyle w:val="31"/>
        <w:tabs>
          <w:tab w:val="left" w:pos="360"/>
        </w:tabs>
        <w:spacing w:beforeAutospacing="0" w:afterAutospacing="0"/>
        <w:jc w:val="both"/>
      </w:pPr>
      <w:r>
        <w:rPr>
          <w:rFonts w:hint="eastAsia"/>
        </w:rPr>
        <w:t>本授权书声明：____________（投标人名称）授权________________（被授权人的姓名）为我方就JSZC-</w:t>
      </w:r>
      <w:r>
        <w:rPr>
          <w:rFonts w:hint="eastAsia"/>
          <w:u w:val="single"/>
        </w:rPr>
        <w:t xml:space="preserve">          </w:t>
      </w:r>
      <w:r>
        <w:rPr>
          <w:rFonts w:hint="eastAsia"/>
        </w:rPr>
        <w:t>号项目采购活动的合法代理人，以本单位名义全权处理一切与该项目采购有关的事务。</w:t>
      </w:r>
    </w:p>
    <w:p w14:paraId="531452EF">
      <w:pPr>
        <w:pStyle w:val="31"/>
        <w:tabs>
          <w:tab w:val="left" w:pos="360"/>
        </w:tabs>
        <w:spacing w:beforeAutospacing="0" w:afterAutospacing="0"/>
        <w:jc w:val="both"/>
      </w:pPr>
      <w:r>
        <w:rPr>
          <w:rFonts w:hint="eastAsia"/>
        </w:rPr>
        <w:t>本授权书于______年____月____日起生效，特此声明。</w:t>
      </w:r>
    </w:p>
    <w:p w14:paraId="4EA1E27D">
      <w:pPr>
        <w:pStyle w:val="31"/>
        <w:tabs>
          <w:tab w:val="left" w:pos="360"/>
        </w:tabs>
        <w:spacing w:beforeAutospacing="0" w:afterAutospacing="0"/>
        <w:jc w:val="both"/>
      </w:pPr>
      <w:r>
        <w:rPr>
          <w:rFonts w:hint="eastAsia"/>
        </w:rPr>
        <w:t>被授权人身份证号码：</w:t>
      </w:r>
      <w:r>
        <w:rPr>
          <w:rFonts w:hint="eastAsia"/>
          <w:u w:val="single"/>
        </w:rPr>
        <w:t>                     </w:t>
      </w:r>
    </w:p>
    <w:p w14:paraId="36D0B566">
      <w:pPr>
        <w:pStyle w:val="31"/>
        <w:tabs>
          <w:tab w:val="left" w:pos="360"/>
        </w:tabs>
        <w:spacing w:beforeAutospacing="0" w:afterAutospacing="0"/>
        <w:jc w:val="both"/>
        <w:rPr>
          <w:u w:val="single"/>
        </w:rPr>
      </w:pPr>
      <w:r>
        <w:rPr>
          <w:rFonts w:hint="eastAsia"/>
        </w:rPr>
        <w:t>被授权人联系电话：（手机）</w:t>
      </w:r>
      <w:r>
        <w:rPr>
          <w:rFonts w:hint="eastAsia"/>
          <w:u w:val="single"/>
        </w:rPr>
        <w:t>                  </w:t>
      </w:r>
    </w:p>
    <w:p w14:paraId="5844FD0D">
      <w:pPr>
        <w:pStyle w:val="31"/>
        <w:tabs>
          <w:tab w:val="left" w:pos="360"/>
        </w:tabs>
        <w:spacing w:beforeAutospacing="0" w:afterAutospacing="0"/>
        <w:jc w:val="both"/>
      </w:pPr>
      <w:r>
        <w:rPr>
          <w:rFonts w:hint="eastAsia"/>
        </w:rPr>
        <w:t>授权单位名称：</w:t>
      </w:r>
      <w:r>
        <w:rPr>
          <w:rFonts w:hint="eastAsia"/>
          <w:u w:val="single"/>
        </w:rPr>
        <w:t>（加盖CA电子公章）</w:t>
      </w:r>
    </w:p>
    <w:p w14:paraId="3CE3ECED">
      <w:pPr>
        <w:pStyle w:val="31"/>
        <w:tabs>
          <w:tab w:val="left" w:pos="360"/>
        </w:tabs>
        <w:spacing w:beforeAutospacing="0" w:afterAutospacing="0"/>
        <w:jc w:val="both"/>
      </w:pPr>
      <w:r>
        <w:rPr>
          <w:rFonts w:hint="eastAsia"/>
        </w:rPr>
        <w:t>单位地址：</w:t>
      </w:r>
      <w:r>
        <w:rPr>
          <w:rFonts w:hint="eastAsia"/>
          <w:u w:val="single"/>
        </w:rPr>
        <w:t>                          </w:t>
      </w:r>
    </w:p>
    <w:p w14:paraId="2A090EFC">
      <w:pPr>
        <w:pStyle w:val="31"/>
        <w:tabs>
          <w:tab w:val="left" w:pos="360"/>
        </w:tabs>
        <w:spacing w:beforeAutospacing="0" w:afterAutospacing="0"/>
        <w:jc w:val="both"/>
      </w:pPr>
      <w:r>
        <w:rPr>
          <w:rFonts w:hint="eastAsia"/>
        </w:rPr>
        <w:t>日期：</w:t>
      </w:r>
      <w:r>
        <w:rPr>
          <w:rFonts w:hint="eastAsia"/>
          <w:u w:val="single"/>
        </w:rPr>
        <w:t>                            </w:t>
      </w:r>
    </w:p>
    <w:p w14:paraId="01417CA6">
      <w:pPr>
        <w:pStyle w:val="31"/>
        <w:spacing w:beforeAutospacing="0" w:afterAutospacing="0"/>
        <w:jc w:val="both"/>
      </w:pPr>
      <w:r>
        <w:rPr>
          <w:rFonts w:hint="eastAsia"/>
        </w:rPr>
        <w:t> </w:t>
      </w:r>
    </w:p>
    <w:p w14:paraId="07D0E7CC">
      <w:pPr>
        <w:pStyle w:val="31"/>
        <w:spacing w:beforeAutospacing="0" w:afterAutospacing="0"/>
        <w:jc w:val="both"/>
      </w:pPr>
      <w:r>
        <w:rPr>
          <w:rFonts w:hint="eastAsia"/>
        </w:rPr>
        <w:t> </w:t>
      </w:r>
    </w:p>
    <w:p w14:paraId="6A85BE6D">
      <w:pPr>
        <w:pStyle w:val="31"/>
        <w:spacing w:beforeAutospacing="0" w:afterAutospacing="0" w:line="0" w:lineRule="atLeast"/>
        <w:jc w:val="both"/>
      </w:pPr>
      <w:r>
        <w:rPr>
          <w:rFonts w:hint="eastAsia"/>
        </w:rPr>
        <w:t> </w:t>
      </w:r>
    </w:p>
    <w:p w14:paraId="31499D44">
      <w:pPr>
        <w:pStyle w:val="31"/>
        <w:spacing w:beforeAutospacing="0" w:afterAutospacing="0" w:line="0" w:lineRule="atLeast"/>
        <w:jc w:val="both"/>
      </w:pPr>
      <w:r>
        <w:rPr>
          <w:rFonts w:hint="eastAsia"/>
        </w:rPr>
        <w:t> </w:t>
      </w:r>
    </w:p>
    <w:p w14:paraId="3217EEB3">
      <w:pPr>
        <w:pStyle w:val="31"/>
        <w:keepNext/>
        <w:keepLines/>
        <w:spacing w:beforeAutospacing="0" w:afterAutospacing="0" w:line="415" w:lineRule="auto"/>
        <w:jc w:val="both"/>
        <w:rPr>
          <w:b/>
          <w:sz w:val="32"/>
          <w:szCs w:val="32"/>
        </w:rPr>
      </w:pPr>
      <w:r>
        <w:rPr>
          <w:rFonts w:hint="eastAsia"/>
          <w:b/>
        </w:rPr>
        <w:br w:type="page" w:clear="all"/>
      </w:r>
      <w:r>
        <w:rPr>
          <w:rFonts w:hint="eastAsia"/>
          <w:b/>
          <w:sz w:val="32"/>
          <w:szCs w:val="32"/>
          <w:lang w:val="en-US" w:eastAsia="zh-CN"/>
        </w:rPr>
        <w:t>九</w:t>
      </w:r>
      <w:r>
        <w:rPr>
          <w:rFonts w:hint="eastAsia"/>
          <w:bCs/>
          <w:sz w:val="32"/>
          <w:szCs w:val="32"/>
          <w:u w:val="single"/>
        </w:rPr>
        <w:t>、投标函</w:t>
      </w:r>
    </w:p>
    <w:p w14:paraId="137B252F">
      <w:pPr>
        <w:pStyle w:val="31"/>
        <w:spacing w:beforeAutospacing="0" w:afterAutospacing="0" w:line="0" w:lineRule="atLeast"/>
        <w:rPr>
          <w:sz w:val="21"/>
          <w:szCs w:val="21"/>
        </w:rPr>
      </w:pPr>
      <w:r>
        <w:rPr>
          <w:rFonts w:hint="eastAsia"/>
          <w:sz w:val="21"/>
          <w:szCs w:val="21"/>
        </w:rPr>
        <w:t>致：</w:t>
      </w:r>
      <w:r>
        <w:rPr>
          <w:rFonts w:hint="eastAsia"/>
          <w:sz w:val="21"/>
          <w:szCs w:val="21"/>
          <w:u w:val="single"/>
        </w:rPr>
        <w:t>盐城市大丰人民医院</w:t>
      </w:r>
    </w:p>
    <w:p w14:paraId="7C998719">
      <w:pPr>
        <w:pStyle w:val="31"/>
        <w:spacing w:beforeAutospacing="0" w:afterAutospacing="0" w:line="0" w:lineRule="atLeast"/>
        <w:rPr>
          <w:sz w:val="21"/>
          <w:szCs w:val="21"/>
        </w:rPr>
      </w:pPr>
      <w:r>
        <w:rPr>
          <w:rFonts w:hint="eastAsia"/>
          <w:sz w:val="21"/>
          <w:szCs w:val="21"/>
        </w:rPr>
        <w:t>根据贵方的</w:t>
      </w:r>
      <w:r>
        <w:rPr>
          <w:rFonts w:hint="eastAsia"/>
          <w:sz w:val="21"/>
          <w:szCs w:val="21"/>
          <w:u w:val="single"/>
        </w:rPr>
        <w:t xml:space="preserve">                         </w:t>
      </w:r>
      <w:r>
        <w:rPr>
          <w:rFonts w:hint="eastAsia"/>
          <w:sz w:val="21"/>
          <w:szCs w:val="21"/>
        </w:rPr>
        <w:t>号招标文件，正式授权______(姓名)代表我方______________（投标人的名称），全权处理本次项目投标的有关事宜。</w:t>
      </w:r>
    </w:p>
    <w:p w14:paraId="68AEEB52">
      <w:pPr>
        <w:pStyle w:val="31"/>
        <w:spacing w:beforeAutospacing="0" w:afterAutospacing="0" w:line="0" w:lineRule="atLeast"/>
        <w:rPr>
          <w:sz w:val="21"/>
          <w:szCs w:val="21"/>
        </w:rPr>
      </w:pPr>
      <w:r>
        <w:rPr>
          <w:rFonts w:hint="eastAsia"/>
          <w:sz w:val="21"/>
          <w:szCs w:val="21"/>
        </w:rPr>
        <w:t>据此函，我公司宣布同意如下：</w:t>
      </w:r>
    </w:p>
    <w:p w14:paraId="54B6CC33">
      <w:pPr>
        <w:pStyle w:val="31"/>
        <w:spacing w:beforeAutospacing="0" w:afterAutospacing="0" w:line="0" w:lineRule="atLeast"/>
        <w:rPr>
          <w:sz w:val="21"/>
          <w:szCs w:val="21"/>
        </w:rPr>
      </w:pPr>
      <w:r>
        <w:rPr>
          <w:rFonts w:hint="eastAsia"/>
          <w:sz w:val="21"/>
          <w:szCs w:val="21"/>
        </w:rPr>
        <w:t>1.按招标文件规定的各项要求，向买方提供所需服务（包含与服务相关的货物）。</w:t>
      </w:r>
    </w:p>
    <w:p w14:paraId="61E0F215">
      <w:pPr>
        <w:pStyle w:val="31"/>
        <w:spacing w:beforeAutospacing="0" w:afterAutospacing="0" w:line="0" w:lineRule="atLeast"/>
        <w:rPr>
          <w:sz w:val="21"/>
          <w:szCs w:val="21"/>
        </w:rPr>
      </w:pPr>
      <w:r>
        <w:rPr>
          <w:rFonts w:hint="eastAsia"/>
          <w:sz w:val="21"/>
          <w:szCs w:val="21"/>
        </w:rPr>
        <w:t>2.我们完全理解贵方不一定将合同授予最低报价的投标人。</w:t>
      </w:r>
    </w:p>
    <w:p w14:paraId="408C3BD8">
      <w:pPr>
        <w:pStyle w:val="31"/>
        <w:spacing w:beforeAutospacing="0" w:afterAutospacing="0" w:line="0" w:lineRule="atLeast"/>
        <w:rPr>
          <w:sz w:val="21"/>
          <w:szCs w:val="21"/>
        </w:rPr>
      </w:pPr>
      <w:r>
        <w:rPr>
          <w:rFonts w:hint="eastAsia"/>
          <w:sz w:val="21"/>
          <w:szCs w:val="21"/>
        </w:rPr>
        <w:t>3.我们已详细审核全部招标文件及其有效补充文件，我们知道必须放弃提出含糊不清或误解问题的权利。</w:t>
      </w:r>
    </w:p>
    <w:p w14:paraId="2F6B1E88">
      <w:pPr>
        <w:pStyle w:val="31"/>
        <w:spacing w:beforeAutospacing="0" w:afterAutospacing="0" w:line="0" w:lineRule="atLeast"/>
        <w:rPr>
          <w:sz w:val="21"/>
          <w:szCs w:val="21"/>
        </w:rPr>
      </w:pPr>
      <w:r>
        <w:rPr>
          <w:rFonts w:hint="eastAsia"/>
          <w:sz w:val="21"/>
          <w:szCs w:val="21"/>
        </w:rPr>
        <w:t>4.我们同意从规定的开标日期起遵循本投标文件，并在规定的投标有效期期满之前均具有约束力。</w:t>
      </w:r>
    </w:p>
    <w:p w14:paraId="573E5092">
      <w:pPr>
        <w:pStyle w:val="31"/>
        <w:spacing w:beforeAutospacing="0" w:afterAutospacing="0" w:line="0" w:lineRule="atLeast"/>
        <w:rPr>
          <w:sz w:val="21"/>
          <w:szCs w:val="21"/>
        </w:rPr>
      </w:pPr>
      <w:r>
        <w:rPr>
          <w:rFonts w:hint="eastAsia"/>
          <w:sz w:val="21"/>
          <w:szCs w:val="21"/>
        </w:rPr>
        <w:t>5.同意向贵方提供贵方可能另外要求的与投标有关的任何证据或资料，并保证我方已提供和将要提供的文件是真实的、准确的。</w:t>
      </w:r>
    </w:p>
    <w:p w14:paraId="22C31C8B">
      <w:pPr>
        <w:pStyle w:val="31"/>
        <w:spacing w:beforeAutospacing="0" w:afterAutospacing="0" w:line="0" w:lineRule="atLeast"/>
        <w:rPr>
          <w:sz w:val="21"/>
          <w:szCs w:val="21"/>
        </w:rPr>
      </w:pPr>
      <w:r>
        <w:rPr>
          <w:rFonts w:hint="eastAsia"/>
          <w:sz w:val="21"/>
          <w:szCs w:val="21"/>
        </w:rPr>
        <w:t>6.一旦我方中标,我方将根据招标文件的规定，严格履行合同的责任和义务,并保证在招标文件规定的时间完成项目，交付买方验收、使用。</w:t>
      </w:r>
    </w:p>
    <w:p w14:paraId="705178F6">
      <w:pPr>
        <w:pStyle w:val="31"/>
        <w:spacing w:beforeAutospacing="0" w:afterAutospacing="0" w:line="0" w:lineRule="atLeast"/>
        <w:rPr>
          <w:sz w:val="21"/>
          <w:szCs w:val="21"/>
        </w:rPr>
      </w:pPr>
      <w:r>
        <w:rPr>
          <w:rFonts w:hint="eastAsia"/>
          <w:sz w:val="21"/>
          <w:szCs w:val="21"/>
        </w:rPr>
        <w:t>7.与本投标有关的正式通讯地址为：</w:t>
      </w:r>
    </w:p>
    <w:p w14:paraId="54719B47">
      <w:pPr>
        <w:pStyle w:val="31"/>
        <w:spacing w:beforeAutospacing="0" w:afterAutospacing="0" w:line="0" w:lineRule="atLeast"/>
        <w:rPr>
          <w:sz w:val="21"/>
          <w:szCs w:val="21"/>
        </w:rPr>
      </w:pPr>
      <w:r>
        <w:rPr>
          <w:rFonts w:hint="eastAsia"/>
          <w:sz w:val="21"/>
          <w:szCs w:val="21"/>
        </w:rPr>
        <w:t>地          址：</w:t>
      </w:r>
    </w:p>
    <w:p w14:paraId="4D54F0F8">
      <w:pPr>
        <w:pStyle w:val="31"/>
        <w:spacing w:beforeAutospacing="0" w:afterAutospacing="0" w:line="0" w:lineRule="atLeast"/>
        <w:rPr>
          <w:sz w:val="21"/>
          <w:szCs w:val="21"/>
        </w:rPr>
      </w:pPr>
      <w:r>
        <w:rPr>
          <w:rFonts w:hint="eastAsia"/>
          <w:sz w:val="21"/>
          <w:szCs w:val="21"/>
        </w:rPr>
        <w:t>邮          编：</w:t>
      </w:r>
    </w:p>
    <w:p w14:paraId="5D40B3FA">
      <w:pPr>
        <w:pStyle w:val="31"/>
        <w:spacing w:beforeAutospacing="0" w:afterAutospacing="0" w:line="0" w:lineRule="atLeast"/>
        <w:rPr>
          <w:sz w:val="21"/>
          <w:szCs w:val="21"/>
        </w:rPr>
      </w:pPr>
      <w:r>
        <w:rPr>
          <w:rFonts w:hint="eastAsia"/>
          <w:sz w:val="21"/>
          <w:szCs w:val="21"/>
        </w:rPr>
        <w:t>电          话：</w:t>
      </w:r>
    </w:p>
    <w:p w14:paraId="3F89922D">
      <w:pPr>
        <w:pStyle w:val="31"/>
        <w:spacing w:beforeAutospacing="0" w:afterAutospacing="0" w:line="0" w:lineRule="atLeast"/>
        <w:rPr>
          <w:sz w:val="21"/>
          <w:szCs w:val="21"/>
        </w:rPr>
      </w:pPr>
      <w:r>
        <w:rPr>
          <w:rFonts w:hint="eastAsia"/>
          <w:sz w:val="21"/>
          <w:szCs w:val="21"/>
        </w:rPr>
        <w:t>传          真：</w:t>
      </w:r>
    </w:p>
    <w:p w14:paraId="38F99595">
      <w:pPr>
        <w:pStyle w:val="31"/>
        <w:spacing w:beforeAutospacing="0" w:afterAutospacing="0" w:line="0" w:lineRule="atLeast"/>
        <w:rPr>
          <w:sz w:val="21"/>
          <w:szCs w:val="21"/>
        </w:rPr>
      </w:pPr>
      <w:r>
        <w:rPr>
          <w:rFonts w:hint="eastAsia"/>
          <w:sz w:val="21"/>
          <w:szCs w:val="21"/>
        </w:rPr>
        <w:t>投标人开户行：</w:t>
      </w:r>
    </w:p>
    <w:p w14:paraId="1A00EFC9">
      <w:pPr>
        <w:pStyle w:val="31"/>
        <w:spacing w:beforeAutospacing="0" w:afterAutospacing="0" w:line="0" w:lineRule="atLeast"/>
        <w:rPr>
          <w:sz w:val="21"/>
          <w:szCs w:val="21"/>
        </w:rPr>
      </w:pPr>
      <w:r>
        <w:rPr>
          <w:rFonts w:hint="eastAsia"/>
          <w:sz w:val="21"/>
          <w:szCs w:val="21"/>
        </w:rPr>
        <w:t xml:space="preserve">账          号： </w:t>
      </w:r>
    </w:p>
    <w:p w14:paraId="4E2512E4">
      <w:pPr>
        <w:pStyle w:val="31"/>
        <w:spacing w:beforeAutospacing="0" w:afterAutospacing="0" w:line="0" w:lineRule="atLeast"/>
        <w:rPr>
          <w:sz w:val="21"/>
          <w:szCs w:val="21"/>
        </w:rPr>
      </w:pPr>
      <w:r>
        <w:rPr>
          <w:rFonts w:hint="eastAsia"/>
          <w:sz w:val="21"/>
          <w:szCs w:val="21"/>
        </w:rPr>
        <w:t>日          期：________年____月____日</w:t>
      </w:r>
    </w:p>
    <w:p w14:paraId="3AD8B2A1">
      <w:pPr>
        <w:pStyle w:val="31"/>
        <w:spacing w:beforeAutospacing="0" w:afterAutospacing="0" w:line="0" w:lineRule="atLeast"/>
        <w:jc w:val="center"/>
      </w:pPr>
      <w:r>
        <w:rPr>
          <w:rFonts w:hint="eastAsia"/>
        </w:rPr>
        <w:t> </w:t>
      </w:r>
    </w:p>
    <w:p w14:paraId="46EC0458">
      <w:pPr>
        <w:pStyle w:val="31"/>
        <w:spacing w:beforeAutospacing="0" w:afterAutospacing="0" w:line="0" w:lineRule="atLeast"/>
        <w:jc w:val="center"/>
      </w:pPr>
      <w:r>
        <w:rPr>
          <w:rFonts w:hint="eastAsia"/>
        </w:rPr>
        <w:t> </w:t>
      </w:r>
    </w:p>
    <w:p w14:paraId="38C1BE27">
      <w:pPr>
        <w:pStyle w:val="31"/>
        <w:spacing w:beforeAutospacing="0" w:afterAutospacing="0" w:line="0" w:lineRule="atLeast"/>
        <w:jc w:val="center"/>
      </w:pPr>
      <w:r>
        <w:rPr>
          <w:rFonts w:hint="eastAsia"/>
        </w:rPr>
        <w:t> </w:t>
      </w:r>
    </w:p>
    <w:p w14:paraId="54EDA132">
      <w:pPr>
        <w:pStyle w:val="31"/>
        <w:spacing w:beforeAutospacing="0" w:afterAutospacing="0" w:line="0" w:lineRule="atLeast"/>
        <w:jc w:val="center"/>
      </w:pPr>
      <w:r>
        <w:rPr>
          <w:rFonts w:hint="eastAsia"/>
        </w:rPr>
        <w:t> </w:t>
      </w:r>
    </w:p>
    <w:p w14:paraId="275CBE1D">
      <w:pPr>
        <w:pStyle w:val="31"/>
        <w:spacing w:beforeAutospacing="0" w:afterAutospacing="0" w:line="0" w:lineRule="atLeast"/>
        <w:jc w:val="center"/>
      </w:pPr>
      <w:r>
        <w:rPr>
          <w:rFonts w:hint="eastAsia"/>
        </w:rPr>
        <w:t> </w:t>
      </w:r>
    </w:p>
    <w:p w14:paraId="0B85E878">
      <w:pPr>
        <w:pStyle w:val="31"/>
        <w:spacing w:beforeAutospacing="0" w:afterAutospacing="0" w:line="0" w:lineRule="atLeast"/>
        <w:jc w:val="center"/>
      </w:pPr>
    </w:p>
    <w:p w14:paraId="6AC11086">
      <w:pPr>
        <w:pStyle w:val="31"/>
        <w:spacing w:beforeAutospacing="0" w:afterAutospacing="0" w:line="0" w:lineRule="atLeast"/>
        <w:jc w:val="center"/>
      </w:pPr>
    </w:p>
    <w:p w14:paraId="1F1CBBA3">
      <w:pPr>
        <w:pStyle w:val="31"/>
        <w:spacing w:beforeAutospacing="0" w:afterAutospacing="0" w:line="0" w:lineRule="atLeast"/>
        <w:jc w:val="center"/>
      </w:pPr>
    </w:p>
    <w:p w14:paraId="7CC512C4">
      <w:pPr>
        <w:pStyle w:val="31"/>
        <w:spacing w:beforeAutospacing="0" w:afterAutospacing="0" w:line="0" w:lineRule="atLeast"/>
        <w:jc w:val="center"/>
      </w:pPr>
    </w:p>
    <w:p w14:paraId="2D5F9EB6">
      <w:pPr>
        <w:pStyle w:val="31"/>
        <w:spacing w:beforeAutospacing="0" w:afterAutospacing="0" w:line="0" w:lineRule="atLeast"/>
        <w:jc w:val="center"/>
      </w:pPr>
    </w:p>
    <w:p w14:paraId="725A891D">
      <w:pPr>
        <w:pStyle w:val="31"/>
        <w:spacing w:beforeAutospacing="0" w:afterAutospacing="0" w:line="0" w:lineRule="atLeast"/>
        <w:jc w:val="center"/>
      </w:pPr>
    </w:p>
    <w:p w14:paraId="05DFA37D">
      <w:pPr>
        <w:pStyle w:val="31"/>
        <w:spacing w:beforeAutospacing="0" w:afterAutospacing="0" w:line="0" w:lineRule="atLeast"/>
        <w:jc w:val="center"/>
      </w:pPr>
    </w:p>
    <w:p w14:paraId="7FCA0A4A">
      <w:pPr>
        <w:pStyle w:val="31"/>
        <w:spacing w:beforeAutospacing="0" w:afterAutospacing="0" w:line="0" w:lineRule="atLeast"/>
        <w:jc w:val="center"/>
      </w:pPr>
    </w:p>
    <w:p w14:paraId="41FC6185">
      <w:pPr>
        <w:pStyle w:val="31"/>
        <w:spacing w:beforeAutospacing="0" w:afterAutospacing="0" w:line="0" w:lineRule="atLeast"/>
        <w:jc w:val="both"/>
      </w:pPr>
    </w:p>
    <w:p w14:paraId="1529EE3F">
      <w:pPr>
        <w:pStyle w:val="31"/>
        <w:spacing w:beforeAutospacing="0" w:afterAutospacing="0" w:line="0" w:lineRule="atLeast"/>
      </w:pPr>
      <w:r>
        <w:rPr>
          <w:rFonts w:hint="eastAsia"/>
          <w:b/>
          <w:sz w:val="32"/>
          <w:szCs w:val="32"/>
          <w:u w:val="single"/>
          <w:lang w:val="en-US" w:eastAsia="zh-CN"/>
        </w:rPr>
        <w:t>十</w:t>
      </w:r>
      <w:r>
        <w:rPr>
          <w:rFonts w:hint="eastAsia"/>
          <w:b/>
          <w:sz w:val="32"/>
          <w:szCs w:val="32"/>
          <w:u w:val="single"/>
        </w:rPr>
        <w:t>、小微企业声明函（货物）</w:t>
      </w:r>
    </w:p>
    <w:p w14:paraId="431DA26E">
      <w:pPr>
        <w:pStyle w:val="31"/>
        <w:spacing w:before="0" w:beforeAutospacing="0" w:after="0" w:afterAutospacing="0" w:line="440" w:lineRule="exact"/>
        <w:ind w:firstLine="360"/>
        <w:jc w:val="both"/>
        <w:rPr>
          <w:sz w:val="21"/>
          <w:szCs w:val="21"/>
        </w:rPr>
      </w:pPr>
      <w:r>
        <w:rPr>
          <w:rFonts w:hint="eastAsia"/>
          <w:sz w:val="21"/>
          <w:szCs w:val="21"/>
        </w:rPr>
        <w:t>本公司郑重声明，根据《政府采购促进中小企业发展管理办法》(财库[2020]46号)的规定，本公司参加盐城市建康工程项目管理有限公司组织的</w:t>
      </w:r>
      <w:r>
        <w:rPr>
          <w:rFonts w:hint="eastAsia"/>
          <w:sz w:val="21"/>
          <w:szCs w:val="21"/>
          <w:u w:val="single"/>
        </w:rPr>
        <w:t>（单位名称）</w:t>
      </w:r>
      <w:r>
        <w:rPr>
          <w:rFonts w:hint="eastAsia"/>
          <w:sz w:val="21"/>
          <w:szCs w:val="21"/>
        </w:rPr>
        <w:t>采购编号为</w:t>
      </w:r>
      <w:r>
        <w:rPr>
          <w:rFonts w:hint="eastAsia"/>
          <w:sz w:val="21"/>
          <w:szCs w:val="21"/>
          <w:u w:val="single"/>
        </w:rPr>
        <w:t xml:space="preserve">    ***    </w:t>
      </w:r>
      <w:r>
        <w:rPr>
          <w:rFonts w:hint="eastAsia"/>
          <w:sz w:val="21"/>
          <w:szCs w:val="21"/>
        </w:rPr>
        <w:t>，</w:t>
      </w:r>
      <w:r>
        <w:rPr>
          <w:rFonts w:hint="eastAsia"/>
          <w:sz w:val="21"/>
          <w:szCs w:val="21"/>
          <w:u w:val="single"/>
        </w:rPr>
        <w:t>（项目名称）（分包号：**）</w:t>
      </w:r>
      <w:r>
        <w:rPr>
          <w:rFonts w:hint="eastAsia"/>
          <w:sz w:val="21"/>
          <w:szCs w:val="21"/>
        </w:rPr>
        <w:t>的采购活动，提供的货物全部由符合政策要求的小微企业制造。根据《工业和信息化部、国家统计局、国家发展和改革委员会、财政部关于印发中小企业划型标准规定的通知》(工信部联企业[2011]300号)的规定，相关企业的具体情况如下：</w:t>
      </w:r>
    </w:p>
    <w:p w14:paraId="516E1EFD">
      <w:pPr>
        <w:pStyle w:val="31"/>
        <w:spacing w:before="0" w:beforeAutospacing="0" w:after="0" w:afterAutospacing="0" w:line="440" w:lineRule="exact"/>
        <w:ind w:firstLine="360"/>
        <w:jc w:val="both"/>
        <w:rPr>
          <w:sz w:val="21"/>
          <w:szCs w:val="21"/>
        </w:rPr>
      </w:pPr>
      <w:r>
        <w:rPr>
          <w:rFonts w:hint="eastAsia"/>
          <w:sz w:val="21"/>
          <w:szCs w:val="21"/>
        </w:rPr>
        <w:t>1.</w:t>
      </w:r>
      <w:r>
        <w:rPr>
          <w:rFonts w:hint="eastAsia"/>
          <w:sz w:val="21"/>
          <w:szCs w:val="21"/>
          <w:u w:val="single"/>
        </w:rPr>
        <w:t>（标的名称）</w:t>
      </w:r>
      <w:r>
        <w:rPr>
          <w:rFonts w:hint="eastAsia"/>
          <w:i/>
          <w:sz w:val="21"/>
          <w:szCs w:val="21"/>
        </w:rPr>
        <w:t>，</w:t>
      </w:r>
      <w:r>
        <w:rPr>
          <w:rFonts w:hint="eastAsia"/>
          <w:sz w:val="21"/>
          <w:szCs w:val="21"/>
        </w:rPr>
        <w:t>属于</w:t>
      </w:r>
      <w:r>
        <w:rPr>
          <w:rFonts w:hint="eastAsia"/>
          <w:sz w:val="21"/>
          <w:szCs w:val="21"/>
          <w:u w:val="single"/>
        </w:rPr>
        <w:t xml:space="preserve">       </w:t>
      </w:r>
      <w:r>
        <w:rPr>
          <w:rFonts w:hint="eastAsia"/>
          <w:sz w:val="21"/>
          <w:szCs w:val="21"/>
        </w:rPr>
        <w:t>行业；制造商为</w:t>
      </w:r>
      <w:r>
        <w:rPr>
          <w:rFonts w:hint="eastAsia"/>
          <w:sz w:val="21"/>
          <w:szCs w:val="21"/>
          <w:u w:val="single"/>
        </w:rPr>
        <w:t>（企业名称）</w:t>
      </w:r>
      <w:r>
        <w:rPr>
          <w:rFonts w:hint="eastAsia"/>
          <w:sz w:val="21"/>
          <w:szCs w:val="21"/>
        </w:rPr>
        <w:t>，从业人员</w:t>
      </w:r>
      <w:r>
        <w:rPr>
          <w:rFonts w:hint="eastAsia"/>
          <w:sz w:val="21"/>
          <w:szCs w:val="21"/>
          <w:u w:val="single"/>
        </w:rPr>
        <w:t xml:space="preserve">      </w:t>
      </w:r>
      <w:r>
        <w:rPr>
          <w:rFonts w:hint="eastAsia"/>
          <w:sz w:val="21"/>
          <w:szCs w:val="21"/>
        </w:rPr>
        <w:t>人，营业收入为</w:t>
      </w:r>
      <w:r>
        <w:rPr>
          <w:rFonts w:hint="eastAsia"/>
          <w:sz w:val="21"/>
          <w:szCs w:val="21"/>
          <w:u w:val="single"/>
        </w:rPr>
        <w:t xml:space="preserve">     </w:t>
      </w:r>
      <w:r>
        <w:rPr>
          <w:rFonts w:hint="eastAsia"/>
          <w:sz w:val="21"/>
          <w:szCs w:val="21"/>
        </w:rPr>
        <w:t>万元，资产总额为</w:t>
      </w:r>
      <w:r>
        <w:rPr>
          <w:rFonts w:hint="eastAsia"/>
          <w:sz w:val="21"/>
          <w:szCs w:val="21"/>
          <w:u w:val="single"/>
        </w:rPr>
        <w:t xml:space="preserve">      </w:t>
      </w:r>
      <w:r>
        <w:rPr>
          <w:rFonts w:hint="eastAsia"/>
          <w:sz w:val="21"/>
          <w:szCs w:val="21"/>
        </w:rPr>
        <w:t>万元，属于</w:t>
      </w:r>
      <w:r>
        <w:rPr>
          <w:rFonts w:hint="eastAsia"/>
          <w:sz w:val="21"/>
          <w:szCs w:val="21"/>
          <w:u w:val="single"/>
        </w:rPr>
        <w:t>（小型企业、微型企业）；</w:t>
      </w:r>
    </w:p>
    <w:p w14:paraId="5F97827A">
      <w:pPr>
        <w:pStyle w:val="31"/>
        <w:spacing w:before="0" w:beforeAutospacing="0" w:after="0" w:afterAutospacing="0" w:line="440" w:lineRule="exact"/>
        <w:ind w:firstLine="360"/>
        <w:jc w:val="both"/>
        <w:rPr>
          <w:sz w:val="21"/>
          <w:szCs w:val="21"/>
        </w:rPr>
      </w:pPr>
      <w:r>
        <w:rPr>
          <w:rFonts w:hint="eastAsia"/>
          <w:sz w:val="21"/>
          <w:szCs w:val="21"/>
        </w:rPr>
        <w:t>2.</w:t>
      </w:r>
      <w:r>
        <w:rPr>
          <w:rFonts w:hint="eastAsia"/>
          <w:sz w:val="21"/>
          <w:szCs w:val="21"/>
          <w:u w:val="single"/>
        </w:rPr>
        <w:t>（标的名称）</w:t>
      </w:r>
      <w:r>
        <w:rPr>
          <w:rFonts w:hint="eastAsia"/>
          <w:i/>
          <w:sz w:val="21"/>
          <w:szCs w:val="21"/>
        </w:rPr>
        <w:t>，</w:t>
      </w:r>
      <w:r>
        <w:rPr>
          <w:rFonts w:hint="eastAsia"/>
          <w:sz w:val="21"/>
          <w:szCs w:val="21"/>
        </w:rPr>
        <w:t>属于</w:t>
      </w:r>
      <w:r>
        <w:rPr>
          <w:rFonts w:hint="eastAsia"/>
          <w:sz w:val="21"/>
          <w:szCs w:val="21"/>
          <w:u w:val="single"/>
        </w:rPr>
        <w:t xml:space="preserve">       </w:t>
      </w:r>
      <w:r>
        <w:rPr>
          <w:rFonts w:hint="eastAsia"/>
          <w:sz w:val="21"/>
          <w:szCs w:val="21"/>
        </w:rPr>
        <w:t>行业；制造商为</w:t>
      </w:r>
      <w:r>
        <w:rPr>
          <w:rFonts w:hint="eastAsia"/>
          <w:sz w:val="21"/>
          <w:szCs w:val="21"/>
          <w:u w:val="single"/>
        </w:rPr>
        <w:t>（企业名称）</w:t>
      </w:r>
      <w:r>
        <w:rPr>
          <w:rFonts w:hint="eastAsia"/>
          <w:sz w:val="21"/>
          <w:szCs w:val="21"/>
        </w:rPr>
        <w:t>，从业人员</w:t>
      </w:r>
      <w:r>
        <w:rPr>
          <w:rFonts w:hint="eastAsia"/>
          <w:sz w:val="21"/>
          <w:szCs w:val="21"/>
          <w:u w:val="single"/>
        </w:rPr>
        <w:t xml:space="preserve">      </w:t>
      </w:r>
      <w:r>
        <w:rPr>
          <w:rFonts w:hint="eastAsia"/>
          <w:sz w:val="21"/>
          <w:szCs w:val="21"/>
        </w:rPr>
        <w:t>人，营业收入为</w:t>
      </w:r>
      <w:r>
        <w:rPr>
          <w:rFonts w:hint="eastAsia"/>
          <w:sz w:val="21"/>
          <w:szCs w:val="21"/>
          <w:u w:val="single"/>
        </w:rPr>
        <w:t xml:space="preserve">     </w:t>
      </w:r>
      <w:r>
        <w:rPr>
          <w:rFonts w:hint="eastAsia"/>
          <w:sz w:val="21"/>
          <w:szCs w:val="21"/>
        </w:rPr>
        <w:t>万元，资产总额为</w:t>
      </w:r>
      <w:r>
        <w:rPr>
          <w:rFonts w:hint="eastAsia"/>
          <w:sz w:val="21"/>
          <w:szCs w:val="21"/>
          <w:u w:val="single"/>
        </w:rPr>
        <w:t xml:space="preserve">      </w:t>
      </w:r>
      <w:r>
        <w:rPr>
          <w:rFonts w:hint="eastAsia"/>
          <w:sz w:val="21"/>
          <w:szCs w:val="21"/>
        </w:rPr>
        <w:t>万元，属于</w:t>
      </w:r>
      <w:r>
        <w:rPr>
          <w:rFonts w:hint="eastAsia"/>
          <w:sz w:val="21"/>
          <w:szCs w:val="21"/>
          <w:u w:val="single"/>
        </w:rPr>
        <w:t>（小型企业、微型企业）；</w:t>
      </w:r>
    </w:p>
    <w:p w14:paraId="0879B19E">
      <w:pPr>
        <w:pStyle w:val="31"/>
        <w:spacing w:before="0" w:beforeAutospacing="0" w:after="0" w:afterAutospacing="0" w:line="440" w:lineRule="exact"/>
        <w:ind w:firstLine="360"/>
        <w:jc w:val="both"/>
        <w:rPr>
          <w:sz w:val="21"/>
          <w:szCs w:val="21"/>
        </w:rPr>
      </w:pPr>
      <w:r>
        <w:rPr>
          <w:rFonts w:hint="eastAsia"/>
          <w:sz w:val="21"/>
          <w:szCs w:val="21"/>
        </w:rPr>
        <w:t>……</w:t>
      </w:r>
    </w:p>
    <w:p w14:paraId="732B70A0">
      <w:pPr>
        <w:pStyle w:val="31"/>
        <w:spacing w:before="0" w:beforeAutospacing="0" w:after="0" w:afterAutospacing="0" w:line="440" w:lineRule="exact"/>
        <w:ind w:firstLine="360"/>
        <w:jc w:val="both"/>
        <w:rPr>
          <w:sz w:val="21"/>
          <w:szCs w:val="21"/>
        </w:rPr>
      </w:pPr>
      <w:r>
        <w:rPr>
          <w:rFonts w:hint="eastAsia"/>
          <w:sz w:val="21"/>
          <w:szCs w:val="21"/>
        </w:rPr>
        <w:t>以上企业，不属于大企业的分支机构，不存在控股股东为大企业的情形，也不存在与大企业的负责人为同一人的情形。</w:t>
      </w:r>
    </w:p>
    <w:p w14:paraId="6B420D66">
      <w:pPr>
        <w:pStyle w:val="31"/>
        <w:spacing w:before="0" w:beforeAutospacing="0" w:after="0" w:afterAutospacing="0" w:line="440" w:lineRule="exact"/>
        <w:ind w:firstLine="360"/>
        <w:jc w:val="both"/>
        <w:rPr>
          <w:sz w:val="21"/>
          <w:szCs w:val="21"/>
        </w:rPr>
      </w:pPr>
      <w:r>
        <w:rPr>
          <w:rFonts w:hint="eastAsia"/>
          <w:sz w:val="21"/>
          <w:szCs w:val="21"/>
        </w:rPr>
        <w:t>本企业对上述声明内容的真实性负责。如有虚假，将依法承担相应责任</w:t>
      </w:r>
    </w:p>
    <w:p w14:paraId="6A71293A">
      <w:pPr>
        <w:pStyle w:val="31"/>
        <w:spacing w:before="0" w:beforeAutospacing="0" w:after="0" w:afterAutospacing="0" w:line="440" w:lineRule="exact"/>
        <w:jc w:val="both"/>
        <w:rPr>
          <w:sz w:val="21"/>
          <w:szCs w:val="21"/>
        </w:rPr>
      </w:pPr>
      <w:r>
        <w:rPr>
          <w:rFonts w:hint="eastAsia"/>
          <w:sz w:val="21"/>
          <w:szCs w:val="21"/>
        </w:rPr>
        <w:t> </w:t>
      </w:r>
    </w:p>
    <w:p w14:paraId="04B05F78">
      <w:pPr>
        <w:pStyle w:val="31"/>
        <w:spacing w:before="0" w:beforeAutospacing="0" w:after="0" w:afterAutospacing="0" w:line="440" w:lineRule="exact"/>
        <w:ind w:firstLine="360"/>
        <w:jc w:val="center"/>
        <w:rPr>
          <w:sz w:val="21"/>
          <w:szCs w:val="21"/>
        </w:rPr>
      </w:pPr>
      <w:r>
        <w:rPr>
          <w:rFonts w:hint="eastAsia"/>
          <w:sz w:val="21"/>
          <w:szCs w:val="21"/>
        </w:rPr>
        <w:t xml:space="preserve">                                   企业名称（加盖</w:t>
      </w:r>
      <w:bookmarkStart w:id="2" w:name="OLE_LINK11"/>
      <w:r>
        <w:rPr>
          <w:rFonts w:hint="eastAsia"/>
          <w:sz w:val="21"/>
          <w:szCs w:val="21"/>
        </w:rPr>
        <w:t>CA电子</w:t>
      </w:r>
      <w:bookmarkEnd w:id="2"/>
      <w:r>
        <w:rPr>
          <w:rFonts w:hint="eastAsia"/>
          <w:sz w:val="21"/>
          <w:szCs w:val="21"/>
        </w:rPr>
        <w:t>公章）：</w:t>
      </w:r>
    </w:p>
    <w:p w14:paraId="51F5BA51">
      <w:pPr>
        <w:pStyle w:val="31"/>
        <w:spacing w:before="0" w:beforeAutospacing="0" w:after="0" w:afterAutospacing="0" w:line="440" w:lineRule="exact"/>
        <w:ind w:firstLine="5400"/>
        <w:jc w:val="both"/>
        <w:rPr>
          <w:sz w:val="21"/>
          <w:szCs w:val="21"/>
        </w:rPr>
      </w:pPr>
      <w:r>
        <w:rPr>
          <w:rFonts w:hint="eastAsia"/>
          <w:sz w:val="21"/>
          <w:szCs w:val="21"/>
        </w:rPr>
        <w:t>日  期：</w:t>
      </w:r>
    </w:p>
    <w:p w14:paraId="25451913">
      <w:pPr>
        <w:pStyle w:val="31"/>
        <w:spacing w:before="0" w:beforeAutospacing="0" w:after="0" w:afterAutospacing="0" w:line="440" w:lineRule="exact"/>
        <w:ind w:firstLine="360"/>
        <w:jc w:val="both"/>
        <w:rPr>
          <w:sz w:val="21"/>
          <w:szCs w:val="21"/>
        </w:rPr>
      </w:pPr>
      <w:r>
        <w:rPr>
          <w:rFonts w:hint="eastAsia"/>
          <w:sz w:val="21"/>
          <w:szCs w:val="21"/>
        </w:rPr>
        <w:t> </w:t>
      </w:r>
    </w:p>
    <w:p w14:paraId="4EB97200">
      <w:pPr>
        <w:pStyle w:val="31"/>
        <w:spacing w:before="0" w:beforeAutospacing="0" w:after="0" w:afterAutospacing="0" w:line="440" w:lineRule="exact"/>
        <w:ind w:firstLine="480"/>
        <w:jc w:val="both"/>
        <w:rPr>
          <w:sz w:val="21"/>
          <w:szCs w:val="21"/>
        </w:rPr>
      </w:pPr>
      <w:r>
        <w:rPr>
          <w:rFonts w:hint="eastAsia"/>
          <w:sz w:val="21"/>
          <w:szCs w:val="21"/>
        </w:rPr>
        <w:t>备注1：从业人员、营业收入、资产总额填报上一年度数据，无上一年度数据的新成立企业可不填报。</w:t>
      </w:r>
    </w:p>
    <w:p w14:paraId="4F5F0103">
      <w:pPr>
        <w:pStyle w:val="31"/>
        <w:spacing w:before="0" w:beforeAutospacing="0" w:after="0" w:afterAutospacing="0" w:line="440" w:lineRule="exact"/>
        <w:ind w:firstLine="480"/>
        <w:jc w:val="both"/>
        <w:rPr>
          <w:sz w:val="21"/>
          <w:szCs w:val="21"/>
        </w:rPr>
      </w:pPr>
      <w:r>
        <w:rPr>
          <w:rFonts w:hint="eastAsia"/>
          <w:sz w:val="21"/>
          <w:szCs w:val="21"/>
        </w:rPr>
        <w:t>备注2：供应商如不提供此声明函，价格将不做相应扣除（如项目全面面向中小企业，则资格审查不通过）。</w:t>
      </w:r>
    </w:p>
    <w:p w14:paraId="49DA2445">
      <w:pPr>
        <w:pStyle w:val="31"/>
        <w:spacing w:before="0" w:beforeAutospacing="0" w:after="0" w:afterAutospacing="0" w:line="0" w:lineRule="atLeast"/>
      </w:pPr>
      <w:r>
        <w:rPr>
          <w:rFonts w:hint="eastAsia"/>
          <w:b/>
          <w:sz w:val="32"/>
          <w:szCs w:val="32"/>
        </w:rPr>
        <w:br w:type="page" w:clear="all"/>
      </w:r>
      <w:r>
        <w:rPr>
          <w:rFonts w:hint="eastAsia"/>
          <w:b/>
          <w:sz w:val="32"/>
          <w:szCs w:val="32"/>
        </w:rPr>
        <w:t>十</w:t>
      </w:r>
      <w:r>
        <w:rPr>
          <w:rFonts w:hint="eastAsia"/>
          <w:b/>
          <w:sz w:val="32"/>
          <w:szCs w:val="32"/>
          <w:lang w:val="en-US" w:eastAsia="zh-CN"/>
        </w:rPr>
        <w:t>一</w:t>
      </w:r>
      <w:r>
        <w:rPr>
          <w:rFonts w:hint="eastAsia"/>
          <w:b/>
          <w:sz w:val="32"/>
          <w:szCs w:val="32"/>
        </w:rPr>
        <w:t>、残疾人福利性单位声明函（分包号：**）</w:t>
      </w:r>
    </w:p>
    <w:p w14:paraId="2E45FE50">
      <w:pPr>
        <w:pStyle w:val="31"/>
        <w:spacing w:before="0" w:beforeAutospacing="0" w:after="0" w:afterAutospacing="0" w:line="440" w:lineRule="exact"/>
        <w:ind w:firstLine="480"/>
        <w:jc w:val="both"/>
        <w:rPr>
          <w:sz w:val="21"/>
          <w:szCs w:val="21"/>
        </w:rPr>
      </w:pPr>
      <w:r>
        <w:rPr>
          <w:rFonts w:hint="eastAsia"/>
          <w:sz w:val="21"/>
          <w:szCs w:val="21"/>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sz w:val="21"/>
          <w:szCs w:val="21"/>
          <w:u w:val="single"/>
        </w:rPr>
        <w:t xml:space="preserve">          </w:t>
      </w:r>
      <w:r>
        <w:rPr>
          <w:rFonts w:hint="eastAsia"/>
          <w:sz w:val="21"/>
          <w:szCs w:val="21"/>
        </w:rPr>
        <w:t>项目（分包号：**）采购活动提供本单位制造的货物，或者提供其他残疾人福利性单位制造的货物（不包括使用非残疾人福利性单位注册商标的货物）。</w:t>
      </w:r>
    </w:p>
    <w:p w14:paraId="50FB6422">
      <w:pPr>
        <w:pStyle w:val="31"/>
        <w:spacing w:before="0" w:beforeAutospacing="0" w:after="0" w:afterAutospacing="0" w:line="440" w:lineRule="exact"/>
        <w:ind w:firstLine="480"/>
        <w:jc w:val="both"/>
        <w:rPr>
          <w:sz w:val="21"/>
          <w:szCs w:val="21"/>
        </w:rPr>
      </w:pPr>
      <w:r>
        <w:rPr>
          <w:rFonts w:hint="eastAsia"/>
          <w:sz w:val="21"/>
          <w:szCs w:val="21"/>
        </w:rPr>
        <w:t>本单位对上述声明的真实性负责。如有虚假，将依法承担相应责任。</w:t>
      </w:r>
    </w:p>
    <w:p w14:paraId="029E5012">
      <w:pPr>
        <w:pStyle w:val="31"/>
        <w:spacing w:before="0" w:beforeAutospacing="0" w:after="0" w:afterAutospacing="0" w:line="440" w:lineRule="exact"/>
        <w:ind w:firstLine="480"/>
        <w:jc w:val="both"/>
        <w:rPr>
          <w:sz w:val="21"/>
          <w:szCs w:val="21"/>
        </w:rPr>
      </w:pPr>
      <w:r>
        <w:rPr>
          <w:rFonts w:hint="eastAsia"/>
          <w:sz w:val="21"/>
          <w:szCs w:val="21"/>
        </w:rPr>
        <w:t> </w:t>
      </w:r>
    </w:p>
    <w:p w14:paraId="4725902D">
      <w:pPr>
        <w:pStyle w:val="31"/>
        <w:spacing w:before="0" w:beforeAutospacing="0" w:after="0" w:afterAutospacing="0" w:line="440" w:lineRule="exact"/>
        <w:ind w:firstLine="480"/>
        <w:jc w:val="both"/>
        <w:rPr>
          <w:sz w:val="21"/>
          <w:szCs w:val="21"/>
        </w:rPr>
      </w:pPr>
      <w:r>
        <w:rPr>
          <w:rFonts w:hint="eastAsia"/>
          <w:sz w:val="21"/>
          <w:szCs w:val="21"/>
        </w:rPr>
        <w:t>备注：1、供应商如不提供此声明函，价格将不做相应扣除（如项目全面面向中小企业，则资格审查不通过）。2、中标供应商为残疾人福利单位的，此声明函将随中标结果同时公告，接受社会监督</w:t>
      </w:r>
    </w:p>
    <w:p w14:paraId="7C344202">
      <w:pPr>
        <w:pStyle w:val="31"/>
        <w:spacing w:beforeAutospacing="0" w:afterAutospacing="0" w:line="0" w:lineRule="atLeast"/>
        <w:ind w:firstLine="624"/>
        <w:jc w:val="both"/>
        <w:rPr>
          <w:sz w:val="21"/>
          <w:szCs w:val="21"/>
        </w:rPr>
      </w:pPr>
      <w:r>
        <w:rPr>
          <w:rFonts w:hint="eastAsia"/>
          <w:sz w:val="21"/>
          <w:szCs w:val="21"/>
        </w:rPr>
        <w:t> </w:t>
      </w:r>
    </w:p>
    <w:p w14:paraId="2AE2147A">
      <w:pPr>
        <w:pStyle w:val="31"/>
        <w:tabs>
          <w:tab w:val="left" w:pos="4864"/>
        </w:tabs>
        <w:spacing w:beforeAutospacing="0" w:afterAutospacing="0" w:line="0" w:lineRule="atLeast"/>
        <w:ind w:right="1560" w:firstLine="624"/>
        <w:jc w:val="center"/>
        <w:rPr>
          <w:sz w:val="21"/>
          <w:szCs w:val="21"/>
        </w:rPr>
      </w:pPr>
      <w:r>
        <w:rPr>
          <w:rFonts w:hint="eastAsia"/>
          <w:sz w:val="21"/>
          <w:szCs w:val="21"/>
        </w:rPr>
        <w:t>          供应商全称（加盖CA电子公章）：</w:t>
      </w:r>
    </w:p>
    <w:p w14:paraId="07B6DC9A">
      <w:pPr>
        <w:pStyle w:val="31"/>
        <w:tabs>
          <w:tab w:val="left" w:pos="4864"/>
        </w:tabs>
        <w:spacing w:beforeAutospacing="0" w:afterAutospacing="0" w:line="0" w:lineRule="atLeast"/>
        <w:ind w:right="1560" w:firstLine="624"/>
        <w:jc w:val="center"/>
        <w:rPr>
          <w:sz w:val="21"/>
          <w:szCs w:val="21"/>
        </w:rPr>
      </w:pPr>
      <w:r>
        <w:rPr>
          <w:rFonts w:hint="eastAsia"/>
          <w:sz w:val="21"/>
          <w:szCs w:val="21"/>
        </w:rPr>
        <w:t xml:space="preserve">                     日  期：</w:t>
      </w:r>
    </w:p>
    <w:p w14:paraId="0A7CDF7E">
      <w:pPr>
        <w:pStyle w:val="31"/>
        <w:spacing w:beforeAutospacing="0" w:afterAutospacing="0" w:line="0" w:lineRule="atLeast"/>
        <w:jc w:val="center"/>
      </w:pPr>
      <w:r>
        <w:rPr>
          <w:rFonts w:hint="eastAsia"/>
        </w:rPr>
        <w:t> </w:t>
      </w:r>
    </w:p>
    <w:p w14:paraId="09C87C91">
      <w:pPr>
        <w:pStyle w:val="31"/>
        <w:spacing w:beforeAutospacing="0" w:afterAutospacing="0" w:line="0" w:lineRule="atLeast"/>
        <w:jc w:val="center"/>
      </w:pPr>
      <w:r>
        <w:rPr>
          <w:rFonts w:hint="eastAsia"/>
        </w:rPr>
        <w:t> </w:t>
      </w:r>
    </w:p>
    <w:p w14:paraId="3399C993">
      <w:pPr>
        <w:pStyle w:val="31"/>
        <w:spacing w:beforeAutospacing="0" w:afterAutospacing="0" w:line="0" w:lineRule="atLeast"/>
        <w:jc w:val="center"/>
      </w:pPr>
      <w:r>
        <w:rPr>
          <w:rFonts w:hint="eastAsia"/>
        </w:rPr>
        <w:t> </w:t>
      </w:r>
    </w:p>
    <w:p w14:paraId="03926128">
      <w:pPr>
        <w:pStyle w:val="31"/>
        <w:spacing w:beforeAutospacing="0" w:afterAutospacing="0" w:line="0" w:lineRule="atLeast"/>
        <w:jc w:val="center"/>
      </w:pPr>
      <w:r>
        <w:rPr>
          <w:rFonts w:hint="eastAsia"/>
        </w:rPr>
        <w:t> </w:t>
      </w:r>
    </w:p>
    <w:p w14:paraId="0E1B44D2">
      <w:pPr>
        <w:pStyle w:val="31"/>
        <w:spacing w:beforeAutospacing="0" w:afterAutospacing="0" w:line="0" w:lineRule="atLeast"/>
        <w:jc w:val="center"/>
      </w:pPr>
      <w:r>
        <w:rPr>
          <w:rFonts w:hint="eastAsia"/>
        </w:rPr>
        <w:t> </w:t>
      </w:r>
    </w:p>
    <w:p w14:paraId="47D911C8">
      <w:pPr>
        <w:pStyle w:val="31"/>
        <w:spacing w:beforeAutospacing="0" w:afterAutospacing="0" w:line="0" w:lineRule="atLeast"/>
        <w:jc w:val="center"/>
      </w:pPr>
      <w:r>
        <w:rPr>
          <w:rFonts w:hint="eastAsia"/>
        </w:rPr>
        <w:t> </w:t>
      </w:r>
    </w:p>
    <w:p w14:paraId="5C743193">
      <w:pPr>
        <w:pStyle w:val="31"/>
        <w:spacing w:beforeAutospacing="0" w:afterAutospacing="0" w:line="0" w:lineRule="atLeast"/>
        <w:jc w:val="center"/>
      </w:pPr>
      <w:r>
        <w:rPr>
          <w:rFonts w:hint="eastAsia"/>
        </w:rPr>
        <w:t> </w:t>
      </w:r>
    </w:p>
    <w:p w14:paraId="1ECDAC86">
      <w:pPr>
        <w:pStyle w:val="31"/>
        <w:spacing w:beforeAutospacing="0" w:afterAutospacing="0" w:line="0" w:lineRule="atLeast"/>
        <w:jc w:val="center"/>
      </w:pPr>
      <w:r>
        <w:rPr>
          <w:rFonts w:hint="eastAsia"/>
        </w:rPr>
        <w:t> </w:t>
      </w:r>
    </w:p>
    <w:p w14:paraId="041A469F">
      <w:pPr>
        <w:pStyle w:val="31"/>
        <w:spacing w:beforeAutospacing="0" w:afterAutospacing="0" w:line="0" w:lineRule="atLeast"/>
        <w:jc w:val="center"/>
      </w:pPr>
      <w:r>
        <w:rPr>
          <w:rFonts w:hint="eastAsia"/>
        </w:rPr>
        <w:t> </w:t>
      </w:r>
    </w:p>
    <w:p w14:paraId="5AA8A20A">
      <w:pPr>
        <w:pStyle w:val="31"/>
        <w:spacing w:beforeAutospacing="0" w:afterAutospacing="0" w:line="0" w:lineRule="atLeast"/>
        <w:jc w:val="center"/>
      </w:pPr>
    </w:p>
    <w:p w14:paraId="29F50E8A">
      <w:pPr>
        <w:pStyle w:val="31"/>
        <w:spacing w:beforeAutospacing="0" w:afterAutospacing="0" w:line="0" w:lineRule="atLeast"/>
        <w:jc w:val="center"/>
      </w:pPr>
    </w:p>
    <w:p w14:paraId="2FCC0BFC">
      <w:pPr>
        <w:pStyle w:val="31"/>
        <w:spacing w:beforeAutospacing="0" w:afterAutospacing="0" w:line="0" w:lineRule="atLeast"/>
        <w:jc w:val="center"/>
      </w:pPr>
    </w:p>
    <w:p w14:paraId="2D0631EA">
      <w:pPr>
        <w:pStyle w:val="31"/>
        <w:spacing w:beforeAutospacing="0" w:afterAutospacing="0" w:line="0" w:lineRule="atLeast"/>
        <w:jc w:val="center"/>
      </w:pPr>
    </w:p>
    <w:p w14:paraId="4B364BEE">
      <w:pPr>
        <w:pStyle w:val="31"/>
        <w:spacing w:beforeAutospacing="0" w:afterAutospacing="0" w:line="0" w:lineRule="atLeast"/>
        <w:jc w:val="center"/>
      </w:pPr>
    </w:p>
    <w:p w14:paraId="58C05A20">
      <w:pPr>
        <w:pStyle w:val="31"/>
        <w:spacing w:beforeAutospacing="0" w:afterAutospacing="0" w:line="0" w:lineRule="atLeast"/>
        <w:jc w:val="center"/>
      </w:pPr>
    </w:p>
    <w:p w14:paraId="3AF926FF">
      <w:pPr>
        <w:pStyle w:val="31"/>
        <w:spacing w:beforeAutospacing="0" w:afterAutospacing="0" w:line="0" w:lineRule="atLeast"/>
        <w:jc w:val="center"/>
      </w:pPr>
    </w:p>
    <w:p w14:paraId="6A5F5A5C">
      <w:pPr>
        <w:pStyle w:val="31"/>
        <w:spacing w:beforeAutospacing="0" w:afterAutospacing="0" w:line="0" w:lineRule="atLeast"/>
        <w:jc w:val="center"/>
      </w:pPr>
    </w:p>
    <w:p w14:paraId="48D3E2F6">
      <w:pPr>
        <w:pStyle w:val="31"/>
        <w:spacing w:beforeAutospacing="0" w:afterAutospacing="0" w:line="0" w:lineRule="atLeast"/>
        <w:jc w:val="center"/>
      </w:pPr>
    </w:p>
    <w:p w14:paraId="2D59554C">
      <w:pPr>
        <w:pStyle w:val="31"/>
        <w:spacing w:beforeAutospacing="0" w:afterAutospacing="0" w:line="0" w:lineRule="atLeast"/>
        <w:jc w:val="center"/>
      </w:pPr>
    </w:p>
    <w:p w14:paraId="39560060">
      <w:pPr>
        <w:pStyle w:val="31"/>
        <w:spacing w:beforeAutospacing="0" w:afterAutospacing="0" w:line="0" w:lineRule="atLeast"/>
        <w:jc w:val="center"/>
      </w:pPr>
    </w:p>
    <w:p w14:paraId="46414EFE">
      <w:pPr>
        <w:pStyle w:val="31"/>
        <w:spacing w:beforeAutospacing="0" w:afterAutospacing="0" w:line="0" w:lineRule="atLeast"/>
        <w:jc w:val="center"/>
      </w:pPr>
    </w:p>
    <w:p w14:paraId="1DB717FE">
      <w:pPr>
        <w:pStyle w:val="31"/>
        <w:spacing w:beforeAutospacing="0" w:afterAutospacing="0" w:line="0" w:lineRule="atLeast"/>
      </w:pPr>
      <w:r>
        <w:rPr>
          <w:rFonts w:hint="eastAsia"/>
          <w:b/>
          <w:sz w:val="32"/>
          <w:szCs w:val="32"/>
          <w:u w:val="single"/>
        </w:rPr>
        <w:t>十</w:t>
      </w:r>
      <w:r>
        <w:rPr>
          <w:rFonts w:hint="eastAsia"/>
          <w:b/>
          <w:sz w:val="32"/>
          <w:szCs w:val="32"/>
          <w:u w:val="single"/>
          <w:lang w:val="en-US" w:eastAsia="zh-CN"/>
        </w:rPr>
        <w:t>二</w:t>
      </w:r>
      <w:r>
        <w:rPr>
          <w:rFonts w:hint="eastAsia"/>
          <w:b/>
          <w:sz w:val="32"/>
          <w:szCs w:val="32"/>
          <w:u w:val="single"/>
        </w:rPr>
        <w:t>、联合体协议（参考格式）（分包号：**）</w:t>
      </w:r>
    </w:p>
    <w:p w14:paraId="27EBE135">
      <w:pPr>
        <w:pStyle w:val="31"/>
        <w:spacing w:beforeAutospacing="0" w:afterAutospacing="0" w:line="0" w:lineRule="atLeast"/>
        <w:jc w:val="both"/>
      </w:pPr>
    </w:p>
    <w:p w14:paraId="2D61C601">
      <w:pPr>
        <w:pStyle w:val="31"/>
        <w:spacing w:beforeAutospacing="0" w:afterAutospacing="0" w:line="0" w:lineRule="atLeast"/>
        <w:jc w:val="both"/>
      </w:pPr>
    </w:p>
    <w:p w14:paraId="76AEDC66">
      <w:pPr>
        <w:pStyle w:val="31"/>
        <w:spacing w:beforeAutospacing="0" w:afterAutospacing="0" w:line="0" w:lineRule="atLeast"/>
        <w:ind w:firstLine="1680" w:firstLineChars="800"/>
        <w:jc w:val="both"/>
        <w:rPr>
          <w:sz w:val="21"/>
          <w:szCs w:val="21"/>
        </w:rPr>
      </w:pPr>
      <w:r>
        <w:rPr>
          <w:rFonts w:hint="eastAsia"/>
          <w:sz w:val="21"/>
          <w:szCs w:val="21"/>
        </w:rPr>
        <w:t>本项目不接受联合体投标。 </w:t>
      </w:r>
    </w:p>
    <w:p w14:paraId="4EF03124">
      <w:pPr>
        <w:pStyle w:val="31"/>
        <w:spacing w:beforeAutospacing="0" w:afterAutospacing="0" w:line="0" w:lineRule="atLeast"/>
        <w:jc w:val="both"/>
      </w:pPr>
      <w:r>
        <w:rPr>
          <w:rFonts w:hint="eastAsia"/>
        </w:rPr>
        <w:t> </w:t>
      </w:r>
    </w:p>
    <w:p w14:paraId="04A613E8">
      <w:pPr>
        <w:pStyle w:val="31"/>
        <w:spacing w:beforeAutospacing="0" w:afterAutospacing="0" w:line="0" w:lineRule="atLeast"/>
        <w:jc w:val="both"/>
      </w:pPr>
      <w:r>
        <w:rPr>
          <w:rFonts w:hint="eastAsia"/>
        </w:rPr>
        <w:t> </w:t>
      </w:r>
    </w:p>
    <w:p w14:paraId="12C375C2">
      <w:pPr>
        <w:pStyle w:val="31"/>
        <w:spacing w:beforeAutospacing="0" w:afterAutospacing="0" w:line="0" w:lineRule="atLeast"/>
        <w:jc w:val="both"/>
      </w:pPr>
      <w:r>
        <w:rPr>
          <w:rFonts w:hint="eastAsia"/>
        </w:rPr>
        <w:t> </w:t>
      </w:r>
    </w:p>
    <w:p w14:paraId="66E35C08">
      <w:pPr>
        <w:pStyle w:val="31"/>
        <w:spacing w:beforeAutospacing="0" w:afterAutospacing="0" w:line="0" w:lineRule="atLeast"/>
        <w:jc w:val="both"/>
      </w:pPr>
      <w:r>
        <w:rPr>
          <w:rFonts w:hint="eastAsia"/>
        </w:rPr>
        <w:t> </w:t>
      </w:r>
    </w:p>
    <w:p w14:paraId="7217C36A">
      <w:pPr>
        <w:pStyle w:val="31"/>
        <w:spacing w:beforeAutospacing="0" w:afterAutospacing="0" w:line="0" w:lineRule="atLeast"/>
        <w:jc w:val="both"/>
      </w:pPr>
      <w:r>
        <w:rPr>
          <w:rFonts w:hint="eastAsia"/>
        </w:rPr>
        <w:t> </w:t>
      </w:r>
    </w:p>
    <w:p w14:paraId="645EF062">
      <w:pPr>
        <w:pStyle w:val="31"/>
        <w:spacing w:beforeAutospacing="0" w:afterAutospacing="0" w:line="0" w:lineRule="atLeast"/>
        <w:jc w:val="both"/>
      </w:pPr>
    </w:p>
    <w:p w14:paraId="279EE920">
      <w:pPr>
        <w:pStyle w:val="31"/>
        <w:spacing w:beforeAutospacing="0" w:afterAutospacing="0" w:line="0" w:lineRule="atLeast"/>
        <w:jc w:val="both"/>
      </w:pPr>
    </w:p>
    <w:p w14:paraId="4865A35F">
      <w:pPr>
        <w:pStyle w:val="31"/>
        <w:spacing w:beforeAutospacing="0" w:afterAutospacing="0" w:line="0" w:lineRule="atLeast"/>
        <w:jc w:val="both"/>
      </w:pPr>
    </w:p>
    <w:p w14:paraId="12456EFB">
      <w:pPr>
        <w:pStyle w:val="31"/>
        <w:spacing w:beforeAutospacing="0" w:afterAutospacing="0" w:line="0" w:lineRule="atLeast"/>
        <w:jc w:val="both"/>
      </w:pPr>
    </w:p>
    <w:p w14:paraId="52F5E912">
      <w:pPr>
        <w:pStyle w:val="31"/>
        <w:spacing w:beforeAutospacing="0" w:afterAutospacing="0" w:line="0" w:lineRule="atLeast"/>
        <w:jc w:val="both"/>
      </w:pPr>
    </w:p>
    <w:p w14:paraId="5C9F054D">
      <w:pPr>
        <w:pStyle w:val="31"/>
        <w:spacing w:beforeAutospacing="0" w:afterAutospacing="0" w:line="0" w:lineRule="atLeast"/>
        <w:jc w:val="both"/>
      </w:pPr>
    </w:p>
    <w:p w14:paraId="00B72CF3">
      <w:pPr>
        <w:pStyle w:val="31"/>
        <w:spacing w:beforeAutospacing="0" w:afterAutospacing="0" w:line="0" w:lineRule="atLeast"/>
        <w:jc w:val="both"/>
        <w:sectPr>
          <w:footerReference r:id="rId3" w:type="default"/>
          <w:pgSz w:w="11906" w:h="16838"/>
          <w:pgMar w:top="1440" w:right="1080" w:bottom="1440" w:left="1080" w:header="851" w:footer="992" w:gutter="0"/>
          <w:pgNumType w:fmt="decimal" w:start="1"/>
          <w:cols w:space="425" w:num="1"/>
          <w:docGrid w:linePitch="360" w:charSpace="0"/>
        </w:sectPr>
      </w:pPr>
    </w:p>
    <w:p w14:paraId="170D0710">
      <w:pPr>
        <w:rPr>
          <w:rFonts w:ascii="宋体" w:hAnsi="宋体" w:cs="宋体"/>
          <w:b/>
          <w:sz w:val="32"/>
          <w:szCs w:val="32"/>
        </w:rPr>
      </w:pPr>
      <w:r>
        <w:rPr>
          <w:rFonts w:hint="eastAsia" w:ascii="宋体" w:hAnsi="宋体" w:cs="宋体"/>
          <w:b/>
          <w:sz w:val="32"/>
          <w:szCs w:val="32"/>
        </w:rPr>
        <w:t>十</w:t>
      </w:r>
      <w:r>
        <w:rPr>
          <w:rFonts w:hint="eastAsia" w:ascii="宋体" w:hAnsi="宋体" w:cs="宋体"/>
          <w:b/>
          <w:sz w:val="32"/>
          <w:szCs w:val="32"/>
          <w:lang w:val="en-US" w:eastAsia="zh-CN"/>
        </w:rPr>
        <w:t>三</w:t>
      </w:r>
      <w:r>
        <w:rPr>
          <w:rFonts w:hint="eastAsia" w:ascii="宋体" w:hAnsi="宋体" w:cs="宋体"/>
          <w:b/>
          <w:sz w:val="32"/>
          <w:szCs w:val="32"/>
        </w:rPr>
        <w:t>、</w:t>
      </w:r>
      <w:r>
        <w:rPr>
          <w:rFonts w:hint="eastAsia" w:ascii="宋体" w:hAnsi="宋体" w:cs="宋体"/>
          <w:b/>
          <w:sz w:val="32"/>
          <w:szCs w:val="32"/>
          <w:u w:val="single"/>
        </w:rPr>
        <w:t>投标分项报价表（分包号：**）</w:t>
      </w:r>
    </w:p>
    <w:tbl>
      <w:tblPr>
        <w:tblStyle w:val="34"/>
        <w:tblW w:w="125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5"/>
        <w:gridCol w:w="3360"/>
        <w:gridCol w:w="855"/>
        <w:gridCol w:w="870"/>
        <w:gridCol w:w="1440"/>
        <w:gridCol w:w="1098"/>
        <w:gridCol w:w="1117"/>
        <w:gridCol w:w="2850"/>
      </w:tblGrid>
      <w:tr w14:paraId="4E05A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tcPr>
          <w:p w14:paraId="260B333D">
            <w:pPr>
              <w:pStyle w:val="31"/>
              <w:spacing w:beforeAutospacing="0" w:afterAutospacing="0"/>
              <w:jc w:val="center"/>
              <w:rPr>
                <w:sz w:val="21"/>
                <w:szCs w:val="21"/>
              </w:rPr>
            </w:pPr>
            <w:bookmarkStart w:id="3" w:name="OLE_LINK12" w:colFirst="0" w:colLast="4"/>
            <w:r>
              <w:rPr>
                <w:rFonts w:hint="eastAsia"/>
                <w:sz w:val="21"/>
                <w:szCs w:val="21"/>
              </w:rPr>
              <w:t>序号</w:t>
            </w:r>
          </w:p>
        </w:tc>
        <w:tc>
          <w:tcPr>
            <w:tcW w:w="3360" w:type="dxa"/>
          </w:tcPr>
          <w:p w14:paraId="46994AEE">
            <w:pPr>
              <w:pStyle w:val="31"/>
              <w:spacing w:beforeAutospacing="0" w:afterAutospacing="0"/>
              <w:jc w:val="center"/>
              <w:rPr>
                <w:sz w:val="21"/>
                <w:szCs w:val="21"/>
              </w:rPr>
            </w:pPr>
            <w:r>
              <w:rPr>
                <w:rFonts w:hint="eastAsia"/>
                <w:sz w:val="21"/>
                <w:szCs w:val="21"/>
              </w:rPr>
              <w:t>名称</w:t>
            </w:r>
          </w:p>
        </w:tc>
        <w:tc>
          <w:tcPr>
            <w:tcW w:w="855" w:type="dxa"/>
          </w:tcPr>
          <w:p w14:paraId="0A388707">
            <w:pPr>
              <w:pStyle w:val="31"/>
              <w:spacing w:beforeAutospacing="0" w:afterAutospacing="0"/>
              <w:jc w:val="center"/>
              <w:rPr>
                <w:sz w:val="21"/>
                <w:szCs w:val="21"/>
              </w:rPr>
            </w:pPr>
            <w:r>
              <w:rPr>
                <w:rFonts w:hint="eastAsia"/>
                <w:sz w:val="21"/>
                <w:szCs w:val="21"/>
              </w:rPr>
              <w:t>单位</w:t>
            </w:r>
          </w:p>
        </w:tc>
        <w:tc>
          <w:tcPr>
            <w:tcW w:w="870" w:type="dxa"/>
          </w:tcPr>
          <w:p w14:paraId="48204FEB">
            <w:pPr>
              <w:pStyle w:val="31"/>
              <w:spacing w:beforeAutospacing="0" w:afterAutospacing="0"/>
              <w:jc w:val="center"/>
              <w:rPr>
                <w:sz w:val="21"/>
                <w:szCs w:val="21"/>
              </w:rPr>
            </w:pPr>
            <w:r>
              <w:rPr>
                <w:rFonts w:hint="eastAsia"/>
                <w:sz w:val="21"/>
                <w:szCs w:val="21"/>
              </w:rPr>
              <w:t>数量</w:t>
            </w:r>
          </w:p>
        </w:tc>
        <w:tc>
          <w:tcPr>
            <w:tcW w:w="1440" w:type="dxa"/>
          </w:tcPr>
          <w:p w14:paraId="71774603">
            <w:pPr>
              <w:pStyle w:val="31"/>
              <w:spacing w:beforeAutospacing="0" w:afterAutospacing="0"/>
              <w:jc w:val="center"/>
              <w:rPr>
                <w:sz w:val="21"/>
                <w:szCs w:val="21"/>
              </w:rPr>
            </w:pPr>
            <w:bookmarkStart w:id="4" w:name="OLE_LINK9"/>
            <w:r>
              <w:rPr>
                <w:rFonts w:hint="eastAsia"/>
                <w:sz w:val="21"/>
                <w:szCs w:val="21"/>
              </w:rPr>
              <w:t>控制单价</w:t>
            </w:r>
            <w:bookmarkEnd w:id="4"/>
            <w:r>
              <w:rPr>
                <w:rFonts w:hint="eastAsia"/>
                <w:sz w:val="21"/>
                <w:szCs w:val="21"/>
              </w:rPr>
              <w:t>（元）</w:t>
            </w:r>
          </w:p>
        </w:tc>
        <w:tc>
          <w:tcPr>
            <w:tcW w:w="1098" w:type="dxa"/>
          </w:tcPr>
          <w:p w14:paraId="66DEDA22">
            <w:pPr>
              <w:pStyle w:val="31"/>
              <w:spacing w:beforeAutospacing="0" w:afterAutospacing="0"/>
              <w:jc w:val="center"/>
              <w:rPr>
                <w:sz w:val="21"/>
                <w:szCs w:val="21"/>
              </w:rPr>
            </w:pPr>
            <w:r>
              <w:rPr>
                <w:rFonts w:hint="eastAsia"/>
                <w:sz w:val="21"/>
                <w:szCs w:val="21"/>
              </w:rPr>
              <w:t>单价（元）</w:t>
            </w:r>
          </w:p>
        </w:tc>
        <w:tc>
          <w:tcPr>
            <w:tcW w:w="1117" w:type="dxa"/>
          </w:tcPr>
          <w:p w14:paraId="4E2D7132">
            <w:pPr>
              <w:pStyle w:val="31"/>
              <w:spacing w:beforeAutospacing="0" w:afterAutospacing="0"/>
              <w:jc w:val="center"/>
              <w:rPr>
                <w:sz w:val="21"/>
                <w:szCs w:val="21"/>
              </w:rPr>
            </w:pPr>
            <w:r>
              <w:rPr>
                <w:rFonts w:hint="eastAsia"/>
                <w:sz w:val="21"/>
                <w:szCs w:val="21"/>
              </w:rPr>
              <w:t>合价（元）</w:t>
            </w:r>
          </w:p>
        </w:tc>
        <w:tc>
          <w:tcPr>
            <w:tcW w:w="2850" w:type="dxa"/>
          </w:tcPr>
          <w:p w14:paraId="2EAFD66E">
            <w:pPr>
              <w:pStyle w:val="31"/>
              <w:spacing w:beforeAutospacing="0" w:afterAutospacing="0"/>
              <w:jc w:val="center"/>
              <w:rPr>
                <w:sz w:val="21"/>
                <w:szCs w:val="21"/>
              </w:rPr>
            </w:pPr>
            <w:r>
              <w:rPr>
                <w:rFonts w:hint="eastAsia"/>
                <w:sz w:val="21"/>
                <w:szCs w:val="21"/>
              </w:rPr>
              <w:t>备注（厂家、品牌、规格、型号）</w:t>
            </w:r>
          </w:p>
        </w:tc>
      </w:tr>
      <w:tr w14:paraId="128B6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tcPr>
          <w:p w14:paraId="7F6DF275">
            <w:pPr>
              <w:pStyle w:val="31"/>
              <w:spacing w:beforeAutospacing="0" w:afterAutospacing="0"/>
              <w:jc w:val="center"/>
              <w:rPr>
                <w:sz w:val="21"/>
                <w:szCs w:val="21"/>
              </w:rPr>
            </w:pPr>
          </w:p>
        </w:tc>
        <w:tc>
          <w:tcPr>
            <w:tcW w:w="3360" w:type="dxa"/>
            <w:vAlign w:val="center"/>
          </w:tcPr>
          <w:p w14:paraId="7A05C604">
            <w:pPr>
              <w:pStyle w:val="31"/>
              <w:spacing w:beforeAutospacing="0" w:afterAutospacing="0"/>
              <w:jc w:val="center"/>
              <w:rPr>
                <w:sz w:val="21"/>
                <w:szCs w:val="21"/>
              </w:rPr>
            </w:pPr>
          </w:p>
        </w:tc>
        <w:tc>
          <w:tcPr>
            <w:tcW w:w="855" w:type="dxa"/>
          </w:tcPr>
          <w:p w14:paraId="411B1C48">
            <w:pPr>
              <w:pStyle w:val="31"/>
              <w:spacing w:beforeAutospacing="0" w:afterAutospacing="0"/>
              <w:jc w:val="center"/>
              <w:rPr>
                <w:sz w:val="21"/>
                <w:szCs w:val="21"/>
              </w:rPr>
            </w:pPr>
          </w:p>
        </w:tc>
        <w:tc>
          <w:tcPr>
            <w:tcW w:w="870" w:type="dxa"/>
            <w:vAlign w:val="center"/>
          </w:tcPr>
          <w:p w14:paraId="56ED18B7">
            <w:pPr>
              <w:pStyle w:val="31"/>
              <w:spacing w:beforeAutospacing="0" w:afterAutospacing="0"/>
              <w:jc w:val="center"/>
              <w:rPr>
                <w:sz w:val="21"/>
                <w:szCs w:val="21"/>
              </w:rPr>
            </w:pPr>
          </w:p>
        </w:tc>
        <w:tc>
          <w:tcPr>
            <w:tcW w:w="1440" w:type="dxa"/>
            <w:vAlign w:val="center"/>
          </w:tcPr>
          <w:p w14:paraId="47C13FE5">
            <w:pPr>
              <w:pStyle w:val="31"/>
              <w:spacing w:beforeAutospacing="0" w:afterAutospacing="0"/>
              <w:jc w:val="center"/>
              <w:rPr>
                <w:sz w:val="21"/>
                <w:szCs w:val="21"/>
              </w:rPr>
            </w:pPr>
          </w:p>
        </w:tc>
        <w:tc>
          <w:tcPr>
            <w:tcW w:w="1098" w:type="dxa"/>
          </w:tcPr>
          <w:p w14:paraId="4ECF1BA4">
            <w:pPr>
              <w:pStyle w:val="31"/>
              <w:spacing w:beforeAutospacing="0" w:afterAutospacing="0"/>
              <w:jc w:val="center"/>
              <w:rPr>
                <w:sz w:val="21"/>
                <w:szCs w:val="21"/>
              </w:rPr>
            </w:pPr>
          </w:p>
        </w:tc>
        <w:tc>
          <w:tcPr>
            <w:tcW w:w="1117" w:type="dxa"/>
          </w:tcPr>
          <w:p w14:paraId="30415037">
            <w:pPr>
              <w:pStyle w:val="31"/>
              <w:spacing w:beforeAutospacing="0" w:afterAutospacing="0"/>
              <w:jc w:val="center"/>
              <w:rPr>
                <w:sz w:val="21"/>
                <w:szCs w:val="21"/>
              </w:rPr>
            </w:pPr>
          </w:p>
        </w:tc>
        <w:tc>
          <w:tcPr>
            <w:tcW w:w="2850" w:type="dxa"/>
          </w:tcPr>
          <w:p w14:paraId="19CBB508">
            <w:pPr>
              <w:pStyle w:val="31"/>
              <w:spacing w:beforeAutospacing="0" w:afterAutospacing="0"/>
              <w:jc w:val="center"/>
              <w:rPr>
                <w:sz w:val="21"/>
                <w:szCs w:val="21"/>
              </w:rPr>
            </w:pPr>
          </w:p>
        </w:tc>
      </w:tr>
      <w:tr w14:paraId="546EA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tcPr>
          <w:p w14:paraId="25B14F59">
            <w:pPr>
              <w:pStyle w:val="31"/>
              <w:spacing w:beforeAutospacing="0" w:afterAutospacing="0"/>
              <w:jc w:val="center"/>
              <w:rPr>
                <w:sz w:val="21"/>
                <w:szCs w:val="21"/>
              </w:rPr>
            </w:pPr>
          </w:p>
        </w:tc>
        <w:tc>
          <w:tcPr>
            <w:tcW w:w="3360" w:type="dxa"/>
            <w:vAlign w:val="center"/>
          </w:tcPr>
          <w:p w14:paraId="34E55246">
            <w:pPr>
              <w:pStyle w:val="31"/>
              <w:spacing w:beforeAutospacing="0" w:afterAutospacing="0"/>
              <w:jc w:val="center"/>
              <w:rPr>
                <w:sz w:val="21"/>
                <w:szCs w:val="21"/>
              </w:rPr>
            </w:pPr>
          </w:p>
        </w:tc>
        <w:tc>
          <w:tcPr>
            <w:tcW w:w="855" w:type="dxa"/>
          </w:tcPr>
          <w:p w14:paraId="23961E77">
            <w:pPr>
              <w:pStyle w:val="31"/>
              <w:spacing w:beforeAutospacing="0" w:afterAutospacing="0"/>
              <w:jc w:val="center"/>
              <w:rPr>
                <w:sz w:val="21"/>
                <w:szCs w:val="21"/>
              </w:rPr>
            </w:pPr>
          </w:p>
        </w:tc>
        <w:tc>
          <w:tcPr>
            <w:tcW w:w="870" w:type="dxa"/>
            <w:vAlign w:val="center"/>
          </w:tcPr>
          <w:p w14:paraId="3188DFAF">
            <w:pPr>
              <w:pStyle w:val="31"/>
              <w:spacing w:beforeAutospacing="0" w:afterAutospacing="0"/>
              <w:jc w:val="center"/>
              <w:rPr>
                <w:sz w:val="21"/>
                <w:szCs w:val="21"/>
              </w:rPr>
            </w:pPr>
          </w:p>
        </w:tc>
        <w:tc>
          <w:tcPr>
            <w:tcW w:w="1440" w:type="dxa"/>
            <w:vAlign w:val="center"/>
          </w:tcPr>
          <w:p w14:paraId="5709A1E9">
            <w:pPr>
              <w:pStyle w:val="31"/>
              <w:spacing w:beforeAutospacing="0" w:afterAutospacing="0"/>
              <w:jc w:val="center"/>
              <w:rPr>
                <w:sz w:val="21"/>
                <w:szCs w:val="21"/>
              </w:rPr>
            </w:pPr>
          </w:p>
        </w:tc>
        <w:tc>
          <w:tcPr>
            <w:tcW w:w="1098" w:type="dxa"/>
          </w:tcPr>
          <w:p w14:paraId="718F19D9">
            <w:pPr>
              <w:pStyle w:val="31"/>
              <w:spacing w:beforeAutospacing="0" w:afterAutospacing="0"/>
              <w:jc w:val="center"/>
              <w:rPr>
                <w:sz w:val="21"/>
                <w:szCs w:val="21"/>
              </w:rPr>
            </w:pPr>
          </w:p>
        </w:tc>
        <w:tc>
          <w:tcPr>
            <w:tcW w:w="1117" w:type="dxa"/>
          </w:tcPr>
          <w:p w14:paraId="7803AA37">
            <w:pPr>
              <w:pStyle w:val="31"/>
              <w:spacing w:beforeAutospacing="0" w:afterAutospacing="0"/>
              <w:jc w:val="center"/>
              <w:rPr>
                <w:sz w:val="21"/>
                <w:szCs w:val="21"/>
              </w:rPr>
            </w:pPr>
          </w:p>
        </w:tc>
        <w:tc>
          <w:tcPr>
            <w:tcW w:w="2850" w:type="dxa"/>
          </w:tcPr>
          <w:p w14:paraId="3B6D11D9">
            <w:pPr>
              <w:pStyle w:val="31"/>
              <w:spacing w:beforeAutospacing="0" w:afterAutospacing="0"/>
              <w:jc w:val="center"/>
              <w:rPr>
                <w:sz w:val="21"/>
                <w:szCs w:val="21"/>
              </w:rPr>
            </w:pPr>
          </w:p>
        </w:tc>
      </w:tr>
      <w:tr w14:paraId="1E1B3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tcPr>
          <w:p w14:paraId="6E8FD98B">
            <w:pPr>
              <w:pStyle w:val="31"/>
              <w:spacing w:beforeAutospacing="0" w:afterAutospacing="0"/>
              <w:jc w:val="center"/>
              <w:rPr>
                <w:sz w:val="21"/>
                <w:szCs w:val="21"/>
              </w:rPr>
            </w:pPr>
          </w:p>
        </w:tc>
        <w:tc>
          <w:tcPr>
            <w:tcW w:w="3360" w:type="dxa"/>
            <w:vAlign w:val="center"/>
          </w:tcPr>
          <w:p w14:paraId="79B087E3">
            <w:pPr>
              <w:pStyle w:val="31"/>
              <w:spacing w:beforeAutospacing="0" w:afterAutospacing="0"/>
              <w:jc w:val="center"/>
              <w:rPr>
                <w:sz w:val="21"/>
                <w:szCs w:val="21"/>
              </w:rPr>
            </w:pPr>
          </w:p>
        </w:tc>
        <w:tc>
          <w:tcPr>
            <w:tcW w:w="855" w:type="dxa"/>
          </w:tcPr>
          <w:p w14:paraId="37DEA235">
            <w:pPr>
              <w:pStyle w:val="31"/>
              <w:spacing w:beforeAutospacing="0" w:afterAutospacing="0"/>
              <w:jc w:val="center"/>
              <w:rPr>
                <w:sz w:val="21"/>
                <w:szCs w:val="21"/>
              </w:rPr>
            </w:pPr>
          </w:p>
        </w:tc>
        <w:tc>
          <w:tcPr>
            <w:tcW w:w="870" w:type="dxa"/>
            <w:vAlign w:val="center"/>
          </w:tcPr>
          <w:p w14:paraId="105163C9">
            <w:pPr>
              <w:pStyle w:val="31"/>
              <w:spacing w:beforeAutospacing="0" w:afterAutospacing="0"/>
              <w:jc w:val="center"/>
              <w:rPr>
                <w:sz w:val="21"/>
                <w:szCs w:val="21"/>
              </w:rPr>
            </w:pPr>
          </w:p>
        </w:tc>
        <w:tc>
          <w:tcPr>
            <w:tcW w:w="1440" w:type="dxa"/>
            <w:vAlign w:val="center"/>
          </w:tcPr>
          <w:p w14:paraId="1F3295F5">
            <w:pPr>
              <w:pStyle w:val="31"/>
              <w:spacing w:beforeAutospacing="0" w:afterAutospacing="0"/>
              <w:jc w:val="center"/>
              <w:rPr>
                <w:sz w:val="21"/>
                <w:szCs w:val="21"/>
              </w:rPr>
            </w:pPr>
          </w:p>
        </w:tc>
        <w:tc>
          <w:tcPr>
            <w:tcW w:w="1098" w:type="dxa"/>
          </w:tcPr>
          <w:p w14:paraId="1E88F6CA">
            <w:pPr>
              <w:pStyle w:val="31"/>
              <w:spacing w:beforeAutospacing="0" w:afterAutospacing="0"/>
              <w:jc w:val="center"/>
              <w:rPr>
                <w:sz w:val="21"/>
                <w:szCs w:val="21"/>
              </w:rPr>
            </w:pPr>
          </w:p>
        </w:tc>
        <w:tc>
          <w:tcPr>
            <w:tcW w:w="1117" w:type="dxa"/>
          </w:tcPr>
          <w:p w14:paraId="5B026613">
            <w:pPr>
              <w:pStyle w:val="31"/>
              <w:spacing w:beforeAutospacing="0" w:afterAutospacing="0"/>
              <w:jc w:val="center"/>
              <w:rPr>
                <w:sz w:val="21"/>
                <w:szCs w:val="21"/>
              </w:rPr>
            </w:pPr>
          </w:p>
        </w:tc>
        <w:tc>
          <w:tcPr>
            <w:tcW w:w="2850" w:type="dxa"/>
          </w:tcPr>
          <w:p w14:paraId="77CF7258">
            <w:pPr>
              <w:pStyle w:val="31"/>
              <w:spacing w:beforeAutospacing="0" w:afterAutospacing="0"/>
              <w:jc w:val="center"/>
              <w:rPr>
                <w:sz w:val="21"/>
                <w:szCs w:val="21"/>
              </w:rPr>
            </w:pPr>
          </w:p>
        </w:tc>
      </w:tr>
      <w:tr w14:paraId="4386B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tcPr>
          <w:p w14:paraId="20C5737D">
            <w:pPr>
              <w:pStyle w:val="31"/>
              <w:spacing w:beforeAutospacing="0" w:afterAutospacing="0"/>
              <w:jc w:val="center"/>
              <w:rPr>
                <w:sz w:val="21"/>
                <w:szCs w:val="21"/>
              </w:rPr>
            </w:pPr>
          </w:p>
        </w:tc>
        <w:tc>
          <w:tcPr>
            <w:tcW w:w="3360" w:type="dxa"/>
            <w:vAlign w:val="center"/>
          </w:tcPr>
          <w:p w14:paraId="3284B9DE">
            <w:pPr>
              <w:pStyle w:val="31"/>
              <w:spacing w:beforeAutospacing="0" w:afterAutospacing="0"/>
              <w:jc w:val="center"/>
              <w:rPr>
                <w:sz w:val="21"/>
                <w:szCs w:val="21"/>
              </w:rPr>
            </w:pPr>
          </w:p>
        </w:tc>
        <w:tc>
          <w:tcPr>
            <w:tcW w:w="855" w:type="dxa"/>
          </w:tcPr>
          <w:p w14:paraId="0370FAFD">
            <w:pPr>
              <w:pStyle w:val="31"/>
              <w:spacing w:beforeAutospacing="0" w:afterAutospacing="0"/>
              <w:jc w:val="center"/>
              <w:rPr>
                <w:sz w:val="21"/>
                <w:szCs w:val="21"/>
              </w:rPr>
            </w:pPr>
          </w:p>
        </w:tc>
        <w:tc>
          <w:tcPr>
            <w:tcW w:w="870" w:type="dxa"/>
            <w:vAlign w:val="center"/>
          </w:tcPr>
          <w:p w14:paraId="46801177">
            <w:pPr>
              <w:pStyle w:val="31"/>
              <w:spacing w:beforeAutospacing="0" w:afterAutospacing="0"/>
              <w:jc w:val="center"/>
              <w:rPr>
                <w:sz w:val="21"/>
                <w:szCs w:val="21"/>
              </w:rPr>
            </w:pPr>
          </w:p>
        </w:tc>
        <w:tc>
          <w:tcPr>
            <w:tcW w:w="1440" w:type="dxa"/>
            <w:vAlign w:val="center"/>
          </w:tcPr>
          <w:p w14:paraId="0482F288">
            <w:pPr>
              <w:pStyle w:val="31"/>
              <w:spacing w:beforeAutospacing="0" w:afterAutospacing="0"/>
              <w:jc w:val="center"/>
              <w:rPr>
                <w:sz w:val="21"/>
                <w:szCs w:val="21"/>
              </w:rPr>
            </w:pPr>
          </w:p>
        </w:tc>
        <w:tc>
          <w:tcPr>
            <w:tcW w:w="1098" w:type="dxa"/>
          </w:tcPr>
          <w:p w14:paraId="0A5D97D5">
            <w:pPr>
              <w:pStyle w:val="31"/>
              <w:spacing w:beforeAutospacing="0" w:afterAutospacing="0"/>
              <w:jc w:val="center"/>
              <w:rPr>
                <w:sz w:val="21"/>
                <w:szCs w:val="21"/>
              </w:rPr>
            </w:pPr>
          </w:p>
        </w:tc>
        <w:tc>
          <w:tcPr>
            <w:tcW w:w="1117" w:type="dxa"/>
          </w:tcPr>
          <w:p w14:paraId="7394AFB2">
            <w:pPr>
              <w:pStyle w:val="31"/>
              <w:spacing w:beforeAutospacing="0" w:afterAutospacing="0"/>
              <w:jc w:val="center"/>
              <w:rPr>
                <w:sz w:val="21"/>
                <w:szCs w:val="21"/>
              </w:rPr>
            </w:pPr>
          </w:p>
        </w:tc>
        <w:tc>
          <w:tcPr>
            <w:tcW w:w="2850" w:type="dxa"/>
          </w:tcPr>
          <w:p w14:paraId="314E3CEA">
            <w:pPr>
              <w:pStyle w:val="31"/>
              <w:spacing w:beforeAutospacing="0" w:afterAutospacing="0"/>
              <w:jc w:val="center"/>
              <w:rPr>
                <w:sz w:val="21"/>
                <w:szCs w:val="21"/>
              </w:rPr>
            </w:pPr>
          </w:p>
        </w:tc>
      </w:tr>
      <w:tr w14:paraId="0A254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tcPr>
          <w:p w14:paraId="6D325535">
            <w:pPr>
              <w:pStyle w:val="31"/>
              <w:spacing w:beforeAutospacing="0" w:afterAutospacing="0"/>
              <w:jc w:val="center"/>
              <w:rPr>
                <w:sz w:val="21"/>
                <w:szCs w:val="21"/>
              </w:rPr>
            </w:pPr>
          </w:p>
        </w:tc>
        <w:tc>
          <w:tcPr>
            <w:tcW w:w="3360" w:type="dxa"/>
            <w:vAlign w:val="center"/>
          </w:tcPr>
          <w:p w14:paraId="09436658">
            <w:pPr>
              <w:pStyle w:val="31"/>
              <w:spacing w:beforeAutospacing="0" w:afterAutospacing="0"/>
              <w:jc w:val="center"/>
              <w:rPr>
                <w:sz w:val="21"/>
                <w:szCs w:val="21"/>
              </w:rPr>
            </w:pPr>
          </w:p>
        </w:tc>
        <w:tc>
          <w:tcPr>
            <w:tcW w:w="855" w:type="dxa"/>
          </w:tcPr>
          <w:p w14:paraId="7F8D8D2B">
            <w:pPr>
              <w:pStyle w:val="31"/>
              <w:spacing w:beforeAutospacing="0" w:afterAutospacing="0"/>
              <w:jc w:val="center"/>
              <w:rPr>
                <w:sz w:val="21"/>
                <w:szCs w:val="21"/>
              </w:rPr>
            </w:pPr>
          </w:p>
        </w:tc>
        <w:tc>
          <w:tcPr>
            <w:tcW w:w="870" w:type="dxa"/>
            <w:vAlign w:val="center"/>
          </w:tcPr>
          <w:p w14:paraId="22C2E2C3">
            <w:pPr>
              <w:pStyle w:val="31"/>
              <w:spacing w:beforeAutospacing="0" w:afterAutospacing="0"/>
              <w:jc w:val="center"/>
              <w:rPr>
                <w:sz w:val="21"/>
                <w:szCs w:val="21"/>
              </w:rPr>
            </w:pPr>
          </w:p>
        </w:tc>
        <w:tc>
          <w:tcPr>
            <w:tcW w:w="1440" w:type="dxa"/>
            <w:vAlign w:val="center"/>
          </w:tcPr>
          <w:p w14:paraId="31A56968">
            <w:pPr>
              <w:pStyle w:val="31"/>
              <w:spacing w:beforeAutospacing="0" w:afterAutospacing="0"/>
              <w:jc w:val="center"/>
              <w:rPr>
                <w:sz w:val="21"/>
                <w:szCs w:val="21"/>
              </w:rPr>
            </w:pPr>
          </w:p>
        </w:tc>
        <w:tc>
          <w:tcPr>
            <w:tcW w:w="1098" w:type="dxa"/>
          </w:tcPr>
          <w:p w14:paraId="7D623A9E">
            <w:pPr>
              <w:pStyle w:val="31"/>
              <w:spacing w:beforeAutospacing="0" w:afterAutospacing="0"/>
              <w:jc w:val="center"/>
              <w:rPr>
                <w:sz w:val="21"/>
                <w:szCs w:val="21"/>
              </w:rPr>
            </w:pPr>
          </w:p>
        </w:tc>
        <w:tc>
          <w:tcPr>
            <w:tcW w:w="1117" w:type="dxa"/>
          </w:tcPr>
          <w:p w14:paraId="1015F5B3">
            <w:pPr>
              <w:pStyle w:val="31"/>
              <w:spacing w:beforeAutospacing="0" w:afterAutospacing="0"/>
              <w:jc w:val="center"/>
              <w:rPr>
                <w:sz w:val="21"/>
                <w:szCs w:val="21"/>
              </w:rPr>
            </w:pPr>
          </w:p>
        </w:tc>
        <w:tc>
          <w:tcPr>
            <w:tcW w:w="2850" w:type="dxa"/>
          </w:tcPr>
          <w:p w14:paraId="70EEACFE">
            <w:pPr>
              <w:pStyle w:val="31"/>
              <w:spacing w:beforeAutospacing="0" w:afterAutospacing="0"/>
              <w:jc w:val="center"/>
              <w:rPr>
                <w:sz w:val="21"/>
                <w:szCs w:val="21"/>
              </w:rPr>
            </w:pPr>
          </w:p>
        </w:tc>
      </w:tr>
      <w:tr w14:paraId="451F3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tcPr>
          <w:p w14:paraId="1B5DF4BA">
            <w:pPr>
              <w:pStyle w:val="31"/>
              <w:spacing w:beforeAutospacing="0" w:afterAutospacing="0"/>
              <w:jc w:val="center"/>
              <w:rPr>
                <w:sz w:val="21"/>
                <w:szCs w:val="21"/>
              </w:rPr>
            </w:pPr>
          </w:p>
        </w:tc>
        <w:tc>
          <w:tcPr>
            <w:tcW w:w="3360" w:type="dxa"/>
            <w:vAlign w:val="center"/>
          </w:tcPr>
          <w:p w14:paraId="7027E263">
            <w:pPr>
              <w:pStyle w:val="31"/>
              <w:spacing w:beforeAutospacing="0" w:afterAutospacing="0"/>
              <w:jc w:val="center"/>
              <w:rPr>
                <w:sz w:val="21"/>
                <w:szCs w:val="21"/>
              </w:rPr>
            </w:pPr>
          </w:p>
        </w:tc>
        <w:tc>
          <w:tcPr>
            <w:tcW w:w="855" w:type="dxa"/>
          </w:tcPr>
          <w:p w14:paraId="7B07DFC2">
            <w:pPr>
              <w:pStyle w:val="31"/>
              <w:spacing w:beforeAutospacing="0" w:afterAutospacing="0"/>
              <w:jc w:val="center"/>
              <w:rPr>
                <w:sz w:val="21"/>
                <w:szCs w:val="21"/>
              </w:rPr>
            </w:pPr>
          </w:p>
        </w:tc>
        <w:tc>
          <w:tcPr>
            <w:tcW w:w="870" w:type="dxa"/>
            <w:vAlign w:val="center"/>
          </w:tcPr>
          <w:p w14:paraId="21715942">
            <w:pPr>
              <w:pStyle w:val="31"/>
              <w:spacing w:beforeAutospacing="0" w:afterAutospacing="0"/>
              <w:jc w:val="center"/>
              <w:rPr>
                <w:sz w:val="21"/>
                <w:szCs w:val="21"/>
              </w:rPr>
            </w:pPr>
          </w:p>
        </w:tc>
        <w:tc>
          <w:tcPr>
            <w:tcW w:w="1440" w:type="dxa"/>
            <w:vAlign w:val="center"/>
          </w:tcPr>
          <w:p w14:paraId="7BF8A965">
            <w:pPr>
              <w:pStyle w:val="31"/>
              <w:spacing w:beforeAutospacing="0" w:afterAutospacing="0"/>
              <w:jc w:val="center"/>
              <w:rPr>
                <w:sz w:val="21"/>
                <w:szCs w:val="21"/>
              </w:rPr>
            </w:pPr>
          </w:p>
        </w:tc>
        <w:tc>
          <w:tcPr>
            <w:tcW w:w="1098" w:type="dxa"/>
          </w:tcPr>
          <w:p w14:paraId="50CFCADB">
            <w:pPr>
              <w:pStyle w:val="31"/>
              <w:spacing w:beforeAutospacing="0" w:afterAutospacing="0"/>
              <w:jc w:val="center"/>
              <w:rPr>
                <w:sz w:val="21"/>
                <w:szCs w:val="21"/>
              </w:rPr>
            </w:pPr>
          </w:p>
        </w:tc>
        <w:tc>
          <w:tcPr>
            <w:tcW w:w="1117" w:type="dxa"/>
          </w:tcPr>
          <w:p w14:paraId="7854D7D5">
            <w:pPr>
              <w:pStyle w:val="31"/>
              <w:spacing w:beforeAutospacing="0" w:afterAutospacing="0"/>
              <w:jc w:val="center"/>
              <w:rPr>
                <w:sz w:val="21"/>
                <w:szCs w:val="21"/>
              </w:rPr>
            </w:pPr>
          </w:p>
        </w:tc>
        <w:tc>
          <w:tcPr>
            <w:tcW w:w="2850" w:type="dxa"/>
          </w:tcPr>
          <w:p w14:paraId="69F2EDBB">
            <w:pPr>
              <w:pStyle w:val="31"/>
              <w:spacing w:beforeAutospacing="0" w:afterAutospacing="0"/>
              <w:jc w:val="center"/>
              <w:rPr>
                <w:sz w:val="21"/>
                <w:szCs w:val="21"/>
              </w:rPr>
            </w:pPr>
          </w:p>
        </w:tc>
      </w:tr>
      <w:tr w14:paraId="52F11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tcPr>
          <w:p w14:paraId="1D8729D0">
            <w:pPr>
              <w:pStyle w:val="31"/>
              <w:spacing w:beforeAutospacing="0" w:afterAutospacing="0"/>
              <w:jc w:val="center"/>
              <w:rPr>
                <w:sz w:val="21"/>
                <w:szCs w:val="21"/>
              </w:rPr>
            </w:pPr>
          </w:p>
        </w:tc>
        <w:tc>
          <w:tcPr>
            <w:tcW w:w="3360" w:type="dxa"/>
            <w:vAlign w:val="center"/>
          </w:tcPr>
          <w:p w14:paraId="747ED34A">
            <w:pPr>
              <w:pStyle w:val="31"/>
              <w:spacing w:beforeAutospacing="0" w:afterAutospacing="0"/>
              <w:jc w:val="center"/>
              <w:rPr>
                <w:sz w:val="21"/>
                <w:szCs w:val="21"/>
              </w:rPr>
            </w:pPr>
          </w:p>
        </w:tc>
        <w:tc>
          <w:tcPr>
            <w:tcW w:w="855" w:type="dxa"/>
          </w:tcPr>
          <w:p w14:paraId="28DD64D0">
            <w:pPr>
              <w:pStyle w:val="31"/>
              <w:spacing w:beforeAutospacing="0" w:afterAutospacing="0"/>
              <w:jc w:val="center"/>
              <w:rPr>
                <w:sz w:val="21"/>
                <w:szCs w:val="21"/>
              </w:rPr>
            </w:pPr>
          </w:p>
        </w:tc>
        <w:tc>
          <w:tcPr>
            <w:tcW w:w="870" w:type="dxa"/>
            <w:vAlign w:val="center"/>
          </w:tcPr>
          <w:p w14:paraId="689CD4EC">
            <w:pPr>
              <w:pStyle w:val="31"/>
              <w:spacing w:beforeAutospacing="0" w:afterAutospacing="0"/>
              <w:jc w:val="center"/>
              <w:rPr>
                <w:sz w:val="21"/>
                <w:szCs w:val="21"/>
              </w:rPr>
            </w:pPr>
          </w:p>
        </w:tc>
        <w:tc>
          <w:tcPr>
            <w:tcW w:w="1440" w:type="dxa"/>
            <w:vAlign w:val="center"/>
          </w:tcPr>
          <w:p w14:paraId="0D875C6A">
            <w:pPr>
              <w:pStyle w:val="31"/>
              <w:spacing w:beforeAutospacing="0" w:afterAutospacing="0"/>
              <w:jc w:val="center"/>
              <w:rPr>
                <w:sz w:val="21"/>
                <w:szCs w:val="21"/>
              </w:rPr>
            </w:pPr>
          </w:p>
        </w:tc>
        <w:tc>
          <w:tcPr>
            <w:tcW w:w="1098" w:type="dxa"/>
          </w:tcPr>
          <w:p w14:paraId="0AD4CD9F">
            <w:pPr>
              <w:pStyle w:val="31"/>
              <w:spacing w:beforeAutospacing="0" w:afterAutospacing="0"/>
              <w:jc w:val="center"/>
              <w:rPr>
                <w:sz w:val="21"/>
                <w:szCs w:val="21"/>
              </w:rPr>
            </w:pPr>
          </w:p>
        </w:tc>
        <w:tc>
          <w:tcPr>
            <w:tcW w:w="1117" w:type="dxa"/>
          </w:tcPr>
          <w:p w14:paraId="3C58951D">
            <w:pPr>
              <w:pStyle w:val="31"/>
              <w:spacing w:beforeAutospacing="0" w:afterAutospacing="0"/>
              <w:jc w:val="center"/>
              <w:rPr>
                <w:sz w:val="21"/>
                <w:szCs w:val="21"/>
              </w:rPr>
            </w:pPr>
          </w:p>
        </w:tc>
        <w:tc>
          <w:tcPr>
            <w:tcW w:w="2850" w:type="dxa"/>
          </w:tcPr>
          <w:p w14:paraId="0EBCEEFA">
            <w:pPr>
              <w:pStyle w:val="31"/>
              <w:spacing w:beforeAutospacing="0" w:afterAutospacing="0"/>
              <w:jc w:val="center"/>
              <w:rPr>
                <w:sz w:val="21"/>
                <w:szCs w:val="21"/>
              </w:rPr>
            </w:pPr>
          </w:p>
        </w:tc>
      </w:tr>
      <w:tr w14:paraId="5A966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tcPr>
          <w:p w14:paraId="732157C2">
            <w:pPr>
              <w:pStyle w:val="31"/>
              <w:spacing w:beforeAutospacing="0" w:afterAutospacing="0"/>
              <w:jc w:val="center"/>
              <w:rPr>
                <w:sz w:val="21"/>
                <w:szCs w:val="21"/>
              </w:rPr>
            </w:pPr>
          </w:p>
        </w:tc>
        <w:tc>
          <w:tcPr>
            <w:tcW w:w="3360" w:type="dxa"/>
          </w:tcPr>
          <w:p w14:paraId="790DB003">
            <w:pPr>
              <w:pStyle w:val="31"/>
              <w:spacing w:beforeAutospacing="0" w:afterAutospacing="0"/>
              <w:jc w:val="center"/>
              <w:rPr>
                <w:sz w:val="21"/>
                <w:szCs w:val="21"/>
              </w:rPr>
            </w:pPr>
          </w:p>
        </w:tc>
        <w:tc>
          <w:tcPr>
            <w:tcW w:w="855" w:type="dxa"/>
          </w:tcPr>
          <w:p w14:paraId="406BB816">
            <w:pPr>
              <w:jc w:val="center"/>
              <w:rPr>
                <w:rFonts w:cs="宋体"/>
                <w:sz w:val="21"/>
                <w:szCs w:val="21"/>
              </w:rPr>
            </w:pPr>
          </w:p>
        </w:tc>
        <w:tc>
          <w:tcPr>
            <w:tcW w:w="870" w:type="dxa"/>
          </w:tcPr>
          <w:p w14:paraId="439A91EC">
            <w:pPr>
              <w:pStyle w:val="31"/>
              <w:spacing w:beforeAutospacing="0" w:afterAutospacing="0"/>
              <w:jc w:val="center"/>
              <w:rPr>
                <w:sz w:val="21"/>
                <w:szCs w:val="21"/>
              </w:rPr>
            </w:pPr>
          </w:p>
        </w:tc>
        <w:tc>
          <w:tcPr>
            <w:tcW w:w="1440" w:type="dxa"/>
          </w:tcPr>
          <w:p w14:paraId="559307FF">
            <w:pPr>
              <w:pStyle w:val="31"/>
              <w:spacing w:beforeAutospacing="0" w:afterAutospacing="0"/>
              <w:jc w:val="center"/>
              <w:rPr>
                <w:sz w:val="21"/>
                <w:szCs w:val="21"/>
              </w:rPr>
            </w:pPr>
          </w:p>
        </w:tc>
        <w:tc>
          <w:tcPr>
            <w:tcW w:w="1098" w:type="dxa"/>
          </w:tcPr>
          <w:p w14:paraId="42501DC5">
            <w:pPr>
              <w:pStyle w:val="31"/>
              <w:spacing w:beforeAutospacing="0" w:afterAutospacing="0"/>
              <w:jc w:val="center"/>
              <w:rPr>
                <w:sz w:val="21"/>
                <w:szCs w:val="21"/>
              </w:rPr>
            </w:pPr>
          </w:p>
        </w:tc>
        <w:tc>
          <w:tcPr>
            <w:tcW w:w="1117" w:type="dxa"/>
          </w:tcPr>
          <w:p w14:paraId="2D3D7A47">
            <w:pPr>
              <w:pStyle w:val="31"/>
              <w:spacing w:beforeAutospacing="0" w:afterAutospacing="0"/>
              <w:jc w:val="center"/>
              <w:rPr>
                <w:sz w:val="21"/>
                <w:szCs w:val="21"/>
              </w:rPr>
            </w:pPr>
          </w:p>
        </w:tc>
        <w:tc>
          <w:tcPr>
            <w:tcW w:w="2850" w:type="dxa"/>
          </w:tcPr>
          <w:p w14:paraId="2993539B">
            <w:pPr>
              <w:pStyle w:val="31"/>
              <w:spacing w:beforeAutospacing="0" w:afterAutospacing="0"/>
              <w:jc w:val="center"/>
              <w:rPr>
                <w:sz w:val="21"/>
                <w:szCs w:val="21"/>
              </w:rPr>
            </w:pPr>
          </w:p>
        </w:tc>
      </w:tr>
      <w:tr w14:paraId="23940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tcPr>
          <w:p w14:paraId="1B659C0A">
            <w:pPr>
              <w:pStyle w:val="31"/>
              <w:spacing w:beforeAutospacing="0" w:afterAutospacing="0"/>
              <w:jc w:val="center"/>
              <w:rPr>
                <w:sz w:val="21"/>
                <w:szCs w:val="21"/>
              </w:rPr>
            </w:pPr>
          </w:p>
        </w:tc>
        <w:tc>
          <w:tcPr>
            <w:tcW w:w="3360" w:type="dxa"/>
          </w:tcPr>
          <w:p w14:paraId="7A6EB612">
            <w:pPr>
              <w:pStyle w:val="31"/>
              <w:spacing w:beforeAutospacing="0" w:afterAutospacing="0"/>
              <w:jc w:val="center"/>
              <w:rPr>
                <w:sz w:val="21"/>
                <w:szCs w:val="21"/>
              </w:rPr>
            </w:pPr>
          </w:p>
        </w:tc>
        <w:tc>
          <w:tcPr>
            <w:tcW w:w="855" w:type="dxa"/>
          </w:tcPr>
          <w:p w14:paraId="09DC0F9A">
            <w:pPr>
              <w:jc w:val="center"/>
              <w:rPr>
                <w:rFonts w:cs="宋体"/>
                <w:sz w:val="21"/>
                <w:szCs w:val="21"/>
              </w:rPr>
            </w:pPr>
          </w:p>
        </w:tc>
        <w:tc>
          <w:tcPr>
            <w:tcW w:w="870" w:type="dxa"/>
          </w:tcPr>
          <w:p w14:paraId="4408657C">
            <w:pPr>
              <w:pStyle w:val="31"/>
              <w:spacing w:beforeAutospacing="0" w:afterAutospacing="0"/>
              <w:jc w:val="center"/>
              <w:rPr>
                <w:sz w:val="21"/>
                <w:szCs w:val="21"/>
              </w:rPr>
            </w:pPr>
          </w:p>
        </w:tc>
        <w:tc>
          <w:tcPr>
            <w:tcW w:w="1440" w:type="dxa"/>
          </w:tcPr>
          <w:p w14:paraId="23BA51B6">
            <w:pPr>
              <w:pStyle w:val="31"/>
              <w:spacing w:beforeAutospacing="0" w:afterAutospacing="0"/>
              <w:jc w:val="center"/>
              <w:rPr>
                <w:sz w:val="21"/>
                <w:szCs w:val="21"/>
              </w:rPr>
            </w:pPr>
          </w:p>
        </w:tc>
        <w:tc>
          <w:tcPr>
            <w:tcW w:w="1098" w:type="dxa"/>
          </w:tcPr>
          <w:p w14:paraId="0636C5CD">
            <w:pPr>
              <w:pStyle w:val="31"/>
              <w:spacing w:beforeAutospacing="0" w:afterAutospacing="0"/>
              <w:jc w:val="center"/>
              <w:rPr>
                <w:sz w:val="21"/>
                <w:szCs w:val="21"/>
              </w:rPr>
            </w:pPr>
          </w:p>
        </w:tc>
        <w:tc>
          <w:tcPr>
            <w:tcW w:w="1117" w:type="dxa"/>
          </w:tcPr>
          <w:p w14:paraId="51FF27FC">
            <w:pPr>
              <w:pStyle w:val="31"/>
              <w:spacing w:beforeAutospacing="0" w:afterAutospacing="0"/>
              <w:jc w:val="center"/>
              <w:rPr>
                <w:sz w:val="21"/>
                <w:szCs w:val="21"/>
              </w:rPr>
            </w:pPr>
          </w:p>
        </w:tc>
        <w:tc>
          <w:tcPr>
            <w:tcW w:w="2850" w:type="dxa"/>
          </w:tcPr>
          <w:p w14:paraId="3E142C21">
            <w:pPr>
              <w:pStyle w:val="31"/>
              <w:spacing w:beforeAutospacing="0" w:afterAutospacing="0"/>
              <w:jc w:val="center"/>
              <w:rPr>
                <w:sz w:val="21"/>
                <w:szCs w:val="21"/>
              </w:rPr>
            </w:pPr>
          </w:p>
        </w:tc>
      </w:tr>
      <w:tr w14:paraId="35C97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tcPr>
          <w:p w14:paraId="728A09C1">
            <w:pPr>
              <w:pStyle w:val="31"/>
              <w:spacing w:beforeAutospacing="0" w:afterAutospacing="0"/>
              <w:jc w:val="center"/>
              <w:rPr>
                <w:sz w:val="21"/>
                <w:szCs w:val="21"/>
              </w:rPr>
            </w:pPr>
          </w:p>
        </w:tc>
        <w:tc>
          <w:tcPr>
            <w:tcW w:w="3360" w:type="dxa"/>
          </w:tcPr>
          <w:p w14:paraId="62835869">
            <w:pPr>
              <w:pStyle w:val="31"/>
              <w:spacing w:beforeAutospacing="0" w:afterAutospacing="0"/>
              <w:jc w:val="center"/>
              <w:rPr>
                <w:sz w:val="21"/>
                <w:szCs w:val="21"/>
              </w:rPr>
            </w:pPr>
          </w:p>
        </w:tc>
        <w:tc>
          <w:tcPr>
            <w:tcW w:w="855" w:type="dxa"/>
          </w:tcPr>
          <w:p w14:paraId="62A08627">
            <w:pPr>
              <w:jc w:val="center"/>
              <w:rPr>
                <w:rFonts w:cs="宋体"/>
                <w:sz w:val="21"/>
                <w:szCs w:val="21"/>
              </w:rPr>
            </w:pPr>
          </w:p>
        </w:tc>
        <w:tc>
          <w:tcPr>
            <w:tcW w:w="870" w:type="dxa"/>
          </w:tcPr>
          <w:p w14:paraId="647840C7">
            <w:pPr>
              <w:pStyle w:val="31"/>
              <w:spacing w:beforeAutospacing="0" w:afterAutospacing="0"/>
              <w:jc w:val="center"/>
              <w:rPr>
                <w:sz w:val="21"/>
                <w:szCs w:val="21"/>
              </w:rPr>
            </w:pPr>
          </w:p>
        </w:tc>
        <w:tc>
          <w:tcPr>
            <w:tcW w:w="1440" w:type="dxa"/>
          </w:tcPr>
          <w:p w14:paraId="5F720D08">
            <w:pPr>
              <w:pStyle w:val="31"/>
              <w:spacing w:beforeAutospacing="0" w:afterAutospacing="0"/>
              <w:jc w:val="center"/>
              <w:rPr>
                <w:sz w:val="21"/>
                <w:szCs w:val="21"/>
              </w:rPr>
            </w:pPr>
          </w:p>
        </w:tc>
        <w:tc>
          <w:tcPr>
            <w:tcW w:w="1098" w:type="dxa"/>
          </w:tcPr>
          <w:p w14:paraId="2B99D33F">
            <w:pPr>
              <w:pStyle w:val="31"/>
              <w:spacing w:beforeAutospacing="0" w:afterAutospacing="0"/>
              <w:jc w:val="center"/>
              <w:rPr>
                <w:sz w:val="21"/>
                <w:szCs w:val="21"/>
              </w:rPr>
            </w:pPr>
          </w:p>
        </w:tc>
        <w:tc>
          <w:tcPr>
            <w:tcW w:w="1117" w:type="dxa"/>
          </w:tcPr>
          <w:p w14:paraId="5C2F00EA">
            <w:pPr>
              <w:pStyle w:val="31"/>
              <w:spacing w:beforeAutospacing="0" w:afterAutospacing="0"/>
              <w:jc w:val="center"/>
              <w:rPr>
                <w:sz w:val="21"/>
                <w:szCs w:val="21"/>
              </w:rPr>
            </w:pPr>
          </w:p>
        </w:tc>
        <w:tc>
          <w:tcPr>
            <w:tcW w:w="2850" w:type="dxa"/>
          </w:tcPr>
          <w:p w14:paraId="0DF8CA96">
            <w:pPr>
              <w:pStyle w:val="31"/>
              <w:spacing w:beforeAutospacing="0" w:afterAutospacing="0"/>
              <w:jc w:val="center"/>
              <w:rPr>
                <w:sz w:val="21"/>
                <w:szCs w:val="21"/>
              </w:rPr>
            </w:pPr>
          </w:p>
        </w:tc>
      </w:tr>
      <w:tr w14:paraId="6D73A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tcPr>
          <w:p w14:paraId="6DE3FFF9">
            <w:pPr>
              <w:pStyle w:val="31"/>
              <w:spacing w:beforeAutospacing="0" w:afterAutospacing="0"/>
              <w:jc w:val="center"/>
              <w:rPr>
                <w:sz w:val="21"/>
                <w:szCs w:val="21"/>
              </w:rPr>
            </w:pPr>
          </w:p>
        </w:tc>
        <w:tc>
          <w:tcPr>
            <w:tcW w:w="3360" w:type="dxa"/>
          </w:tcPr>
          <w:p w14:paraId="565C6BC7">
            <w:pPr>
              <w:pStyle w:val="31"/>
              <w:spacing w:beforeAutospacing="0" w:afterAutospacing="0"/>
              <w:jc w:val="center"/>
              <w:rPr>
                <w:sz w:val="21"/>
                <w:szCs w:val="21"/>
              </w:rPr>
            </w:pPr>
          </w:p>
        </w:tc>
        <w:tc>
          <w:tcPr>
            <w:tcW w:w="855" w:type="dxa"/>
          </w:tcPr>
          <w:p w14:paraId="4E0BE5E3">
            <w:pPr>
              <w:jc w:val="center"/>
              <w:rPr>
                <w:rFonts w:cs="宋体"/>
                <w:sz w:val="21"/>
                <w:szCs w:val="21"/>
              </w:rPr>
            </w:pPr>
          </w:p>
        </w:tc>
        <w:tc>
          <w:tcPr>
            <w:tcW w:w="870" w:type="dxa"/>
          </w:tcPr>
          <w:p w14:paraId="4C51E602">
            <w:pPr>
              <w:pStyle w:val="31"/>
              <w:spacing w:beforeAutospacing="0" w:afterAutospacing="0"/>
              <w:jc w:val="center"/>
              <w:rPr>
                <w:sz w:val="21"/>
                <w:szCs w:val="21"/>
              </w:rPr>
            </w:pPr>
          </w:p>
        </w:tc>
        <w:tc>
          <w:tcPr>
            <w:tcW w:w="1440" w:type="dxa"/>
          </w:tcPr>
          <w:p w14:paraId="31A24D63">
            <w:pPr>
              <w:pStyle w:val="31"/>
              <w:spacing w:beforeAutospacing="0" w:afterAutospacing="0"/>
              <w:jc w:val="center"/>
              <w:rPr>
                <w:sz w:val="21"/>
                <w:szCs w:val="21"/>
              </w:rPr>
            </w:pPr>
          </w:p>
        </w:tc>
        <w:tc>
          <w:tcPr>
            <w:tcW w:w="1098" w:type="dxa"/>
          </w:tcPr>
          <w:p w14:paraId="59A1DA95">
            <w:pPr>
              <w:pStyle w:val="31"/>
              <w:spacing w:beforeAutospacing="0" w:afterAutospacing="0"/>
              <w:jc w:val="center"/>
              <w:rPr>
                <w:sz w:val="21"/>
                <w:szCs w:val="21"/>
              </w:rPr>
            </w:pPr>
          </w:p>
        </w:tc>
        <w:tc>
          <w:tcPr>
            <w:tcW w:w="1117" w:type="dxa"/>
          </w:tcPr>
          <w:p w14:paraId="6851BACA">
            <w:pPr>
              <w:pStyle w:val="31"/>
              <w:spacing w:beforeAutospacing="0" w:afterAutospacing="0"/>
              <w:jc w:val="center"/>
              <w:rPr>
                <w:sz w:val="21"/>
                <w:szCs w:val="21"/>
              </w:rPr>
            </w:pPr>
          </w:p>
        </w:tc>
        <w:tc>
          <w:tcPr>
            <w:tcW w:w="2850" w:type="dxa"/>
          </w:tcPr>
          <w:p w14:paraId="55A26223">
            <w:pPr>
              <w:pStyle w:val="31"/>
              <w:spacing w:beforeAutospacing="0" w:afterAutospacing="0"/>
              <w:jc w:val="center"/>
              <w:rPr>
                <w:sz w:val="21"/>
                <w:szCs w:val="21"/>
              </w:rPr>
            </w:pPr>
          </w:p>
        </w:tc>
      </w:tr>
      <w:bookmarkEnd w:id="3"/>
      <w:tr w14:paraId="57D53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68" w:type="dxa"/>
            <w:gridSpan w:val="6"/>
          </w:tcPr>
          <w:p w14:paraId="38EB0A8F">
            <w:pPr>
              <w:pStyle w:val="31"/>
              <w:spacing w:beforeAutospacing="0" w:afterAutospacing="0"/>
              <w:jc w:val="center"/>
              <w:rPr>
                <w:sz w:val="21"/>
                <w:szCs w:val="21"/>
              </w:rPr>
            </w:pPr>
            <w:r>
              <w:rPr>
                <w:rFonts w:hint="eastAsia"/>
                <w:sz w:val="21"/>
                <w:szCs w:val="21"/>
              </w:rPr>
              <w:t>合计（元）</w:t>
            </w:r>
          </w:p>
        </w:tc>
        <w:tc>
          <w:tcPr>
            <w:tcW w:w="1117" w:type="dxa"/>
          </w:tcPr>
          <w:p w14:paraId="59253ED3">
            <w:pPr>
              <w:pStyle w:val="31"/>
              <w:spacing w:beforeAutospacing="0" w:afterAutospacing="0"/>
              <w:jc w:val="center"/>
              <w:rPr>
                <w:sz w:val="21"/>
                <w:szCs w:val="21"/>
              </w:rPr>
            </w:pPr>
          </w:p>
        </w:tc>
        <w:tc>
          <w:tcPr>
            <w:tcW w:w="2850" w:type="dxa"/>
          </w:tcPr>
          <w:p w14:paraId="513F355B">
            <w:pPr>
              <w:pStyle w:val="31"/>
              <w:spacing w:beforeAutospacing="0" w:afterAutospacing="0"/>
              <w:jc w:val="center"/>
              <w:rPr>
                <w:sz w:val="21"/>
                <w:szCs w:val="21"/>
              </w:rPr>
            </w:pPr>
          </w:p>
        </w:tc>
      </w:tr>
    </w:tbl>
    <w:p w14:paraId="05B93E5F">
      <w:pPr>
        <w:pStyle w:val="31"/>
        <w:spacing w:beforeAutospacing="0" w:afterAutospacing="0"/>
        <w:jc w:val="both"/>
        <w:rPr>
          <w:b/>
          <w:sz w:val="32"/>
          <w:szCs w:val="32"/>
        </w:rPr>
        <w:sectPr>
          <w:headerReference r:id="rId4" w:type="default"/>
          <w:footerReference r:id="rId5" w:type="default"/>
          <w:pgSz w:w="16838" w:h="11906" w:orient="landscape"/>
          <w:pgMar w:top="1080" w:right="1440" w:bottom="1080" w:left="1440" w:header="851" w:footer="992" w:gutter="0"/>
          <w:pgNumType w:fmt="decimal"/>
          <w:cols w:space="720" w:num="1"/>
          <w:docGrid w:linePitch="360" w:charSpace="0"/>
        </w:sectPr>
      </w:pPr>
      <w:r>
        <w:rPr>
          <w:rFonts w:hint="eastAsia"/>
          <w:b/>
          <w:sz w:val="21"/>
          <w:szCs w:val="21"/>
        </w:rPr>
        <w:t>投标人全称（加盖CA电子公章）：</w:t>
      </w:r>
    </w:p>
    <w:p w14:paraId="4BB652B6">
      <w:pPr>
        <w:pStyle w:val="31"/>
        <w:numPr>
          <w:ilvl w:val="0"/>
          <w:numId w:val="0"/>
        </w:numPr>
        <w:spacing w:beforeAutospacing="0" w:afterAutospacing="0"/>
        <w:ind w:firstLine="643" w:firstLineChars="200"/>
        <w:jc w:val="both"/>
        <w:rPr>
          <w:b/>
          <w:sz w:val="32"/>
          <w:szCs w:val="32"/>
        </w:rPr>
      </w:pPr>
      <w:r>
        <w:rPr>
          <w:rFonts w:hint="eastAsia"/>
          <w:b/>
          <w:sz w:val="32"/>
          <w:szCs w:val="32"/>
          <w:lang w:val="en-US" w:eastAsia="zh-CN"/>
        </w:rPr>
        <w:t>十四、</w:t>
      </w:r>
      <w:r>
        <w:rPr>
          <w:rFonts w:hint="eastAsia"/>
          <w:b/>
          <w:sz w:val="32"/>
          <w:szCs w:val="32"/>
        </w:rPr>
        <w:t>技术要求响应及偏离表</w:t>
      </w:r>
    </w:p>
    <w:p w14:paraId="659BC9CF">
      <w:pPr>
        <w:pStyle w:val="31"/>
        <w:spacing w:beforeAutospacing="0" w:afterAutospacing="0"/>
        <w:jc w:val="both"/>
        <w:rPr>
          <w:b/>
          <w:sz w:val="21"/>
          <w:szCs w:val="21"/>
        </w:rPr>
      </w:pPr>
      <w:r>
        <w:rPr>
          <w:rFonts w:hint="eastAsia"/>
          <w:b/>
          <w:sz w:val="21"/>
          <w:szCs w:val="21"/>
        </w:rPr>
        <w:t>投标人全称（加盖投标人CA电子公章）</w:t>
      </w:r>
    </w:p>
    <w:tbl>
      <w:tblPr>
        <w:tblStyle w:val="33"/>
        <w:tblW w:w="9978" w:type="dxa"/>
        <w:tblCellSpacing w:w="0" w:type="dxa"/>
        <w:tblInd w:w="0" w:type="dxa"/>
        <w:tblLayout w:type="fixed"/>
        <w:tblCellMar>
          <w:top w:w="0" w:type="dxa"/>
          <w:left w:w="108" w:type="dxa"/>
          <w:bottom w:w="0" w:type="dxa"/>
          <w:right w:w="108" w:type="dxa"/>
        </w:tblCellMar>
      </w:tblPr>
      <w:tblGrid>
        <w:gridCol w:w="982"/>
        <w:gridCol w:w="1782"/>
        <w:gridCol w:w="1486"/>
        <w:gridCol w:w="1457"/>
        <w:gridCol w:w="1317"/>
        <w:gridCol w:w="2954"/>
      </w:tblGrid>
      <w:tr w14:paraId="6EC1A3BB">
        <w:trPr>
          <w:tblCellSpacing w:w="0" w:type="dxa"/>
        </w:trPr>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9E68D">
            <w:pPr>
              <w:pStyle w:val="31"/>
              <w:spacing w:beforeAutospacing="0" w:afterAutospacing="0"/>
              <w:jc w:val="center"/>
              <w:rPr>
                <w:sz w:val="21"/>
                <w:szCs w:val="21"/>
              </w:rPr>
            </w:pPr>
            <w:r>
              <w:rPr>
                <w:rFonts w:hint="eastAsia"/>
                <w:sz w:val="21"/>
                <w:szCs w:val="21"/>
              </w:rPr>
              <w:t>序号</w:t>
            </w:r>
          </w:p>
        </w:tc>
        <w:tc>
          <w:tcPr>
            <w:tcW w:w="1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A7599">
            <w:pPr>
              <w:pStyle w:val="31"/>
              <w:spacing w:beforeAutospacing="0" w:afterAutospacing="0"/>
              <w:jc w:val="center"/>
              <w:rPr>
                <w:sz w:val="21"/>
                <w:szCs w:val="21"/>
              </w:rPr>
            </w:pPr>
            <w:r>
              <w:rPr>
                <w:rFonts w:hint="eastAsia"/>
                <w:sz w:val="21"/>
                <w:szCs w:val="21"/>
              </w:rPr>
              <w:t>招标文件要求</w:t>
            </w:r>
          </w:p>
        </w:tc>
        <w:tc>
          <w:tcPr>
            <w:tcW w:w="1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F3911">
            <w:pPr>
              <w:pStyle w:val="31"/>
              <w:spacing w:beforeAutospacing="0" w:afterAutospacing="0"/>
              <w:jc w:val="center"/>
              <w:rPr>
                <w:sz w:val="21"/>
                <w:szCs w:val="21"/>
              </w:rPr>
            </w:pPr>
            <w:r>
              <w:rPr>
                <w:rFonts w:hint="eastAsia"/>
                <w:sz w:val="21"/>
                <w:szCs w:val="21"/>
              </w:rPr>
              <w:t>投标响应情况</w:t>
            </w:r>
          </w:p>
        </w:tc>
        <w:tc>
          <w:tcPr>
            <w:tcW w:w="1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E4B2D">
            <w:pPr>
              <w:pStyle w:val="31"/>
              <w:spacing w:beforeAutospacing="0" w:afterAutospacing="0"/>
              <w:jc w:val="center"/>
              <w:rPr>
                <w:sz w:val="21"/>
                <w:szCs w:val="21"/>
              </w:rPr>
            </w:pPr>
            <w:r>
              <w:rPr>
                <w:rFonts w:hint="eastAsia"/>
                <w:sz w:val="21"/>
                <w:szCs w:val="21"/>
              </w:rPr>
              <w:t>超出、符合或偏离</w:t>
            </w:r>
          </w:p>
        </w:tc>
        <w:tc>
          <w:tcPr>
            <w:tcW w:w="13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655F8">
            <w:pPr>
              <w:pStyle w:val="31"/>
              <w:spacing w:beforeAutospacing="0" w:afterAutospacing="0"/>
              <w:jc w:val="center"/>
              <w:rPr>
                <w:sz w:val="21"/>
                <w:szCs w:val="21"/>
              </w:rPr>
            </w:pPr>
            <w:r>
              <w:rPr>
                <w:rFonts w:hint="eastAsia"/>
                <w:sz w:val="21"/>
                <w:szCs w:val="21"/>
              </w:rPr>
              <w:t>原因</w:t>
            </w:r>
          </w:p>
        </w:tc>
        <w:tc>
          <w:tcPr>
            <w:tcW w:w="2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E136D">
            <w:pPr>
              <w:pStyle w:val="31"/>
              <w:spacing w:beforeAutospacing="0" w:afterAutospacing="0"/>
              <w:jc w:val="center"/>
              <w:rPr>
                <w:sz w:val="21"/>
                <w:szCs w:val="21"/>
              </w:rPr>
            </w:pPr>
            <w:r>
              <w:rPr>
                <w:rFonts w:hint="eastAsia"/>
                <w:sz w:val="21"/>
                <w:szCs w:val="21"/>
              </w:rPr>
              <w:t>备注（具体响应材料在投标文件中页码、行数等）</w:t>
            </w:r>
          </w:p>
        </w:tc>
      </w:tr>
      <w:tr w14:paraId="744A5628">
        <w:tblPrEx>
          <w:tblCellMar>
            <w:top w:w="0" w:type="dxa"/>
            <w:left w:w="108" w:type="dxa"/>
            <w:bottom w:w="0" w:type="dxa"/>
            <w:right w:w="108" w:type="dxa"/>
          </w:tblCellMar>
        </w:tblPrEx>
        <w:trPr>
          <w:trHeight w:val="640" w:hRule="atLeast"/>
          <w:tblCellSpacing w:w="0" w:type="dxa"/>
        </w:trPr>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42F30">
            <w:pPr>
              <w:pStyle w:val="31"/>
              <w:spacing w:beforeAutospacing="0" w:afterAutospacing="0"/>
              <w:jc w:val="center"/>
              <w:rPr>
                <w:sz w:val="21"/>
                <w:szCs w:val="21"/>
              </w:rPr>
            </w:pPr>
            <w:r>
              <w:rPr>
                <w:rFonts w:hint="eastAsia"/>
                <w:sz w:val="21"/>
                <w:szCs w:val="21"/>
              </w:rPr>
              <w:t> </w:t>
            </w:r>
          </w:p>
        </w:tc>
        <w:tc>
          <w:tcPr>
            <w:tcW w:w="1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7AD07">
            <w:pPr>
              <w:pStyle w:val="31"/>
              <w:spacing w:beforeAutospacing="0" w:afterAutospacing="0"/>
              <w:jc w:val="center"/>
              <w:rPr>
                <w:sz w:val="21"/>
                <w:szCs w:val="21"/>
              </w:rPr>
            </w:pPr>
            <w:r>
              <w:rPr>
                <w:rFonts w:hint="eastAsia"/>
                <w:sz w:val="21"/>
                <w:szCs w:val="21"/>
              </w:rPr>
              <w:t> </w:t>
            </w:r>
          </w:p>
        </w:tc>
        <w:tc>
          <w:tcPr>
            <w:tcW w:w="1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B45C6">
            <w:pPr>
              <w:pStyle w:val="31"/>
              <w:spacing w:beforeAutospacing="0" w:afterAutospacing="0"/>
              <w:jc w:val="center"/>
              <w:rPr>
                <w:sz w:val="21"/>
                <w:szCs w:val="21"/>
              </w:rPr>
            </w:pPr>
          </w:p>
        </w:tc>
        <w:tc>
          <w:tcPr>
            <w:tcW w:w="1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CB349">
            <w:pPr>
              <w:pStyle w:val="31"/>
              <w:spacing w:beforeAutospacing="0" w:afterAutospacing="0"/>
              <w:jc w:val="center"/>
              <w:rPr>
                <w:sz w:val="21"/>
                <w:szCs w:val="21"/>
              </w:rPr>
            </w:pPr>
            <w:r>
              <w:rPr>
                <w:rFonts w:hint="eastAsia"/>
                <w:sz w:val="21"/>
                <w:szCs w:val="21"/>
              </w:rPr>
              <w:t> </w:t>
            </w:r>
          </w:p>
        </w:tc>
        <w:tc>
          <w:tcPr>
            <w:tcW w:w="13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96582">
            <w:pPr>
              <w:pStyle w:val="31"/>
              <w:spacing w:beforeAutospacing="0" w:afterAutospacing="0"/>
              <w:jc w:val="center"/>
              <w:rPr>
                <w:sz w:val="21"/>
                <w:szCs w:val="21"/>
              </w:rPr>
            </w:pPr>
          </w:p>
        </w:tc>
        <w:tc>
          <w:tcPr>
            <w:tcW w:w="2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49B70">
            <w:pPr>
              <w:pStyle w:val="31"/>
              <w:spacing w:beforeAutospacing="0" w:afterAutospacing="0"/>
              <w:jc w:val="center"/>
              <w:rPr>
                <w:sz w:val="21"/>
                <w:szCs w:val="21"/>
              </w:rPr>
            </w:pPr>
            <w:r>
              <w:rPr>
                <w:rFonts w:hint="eastAsia"/>
                <w:sz w:val="21"/>
                <w:szCs w:val="21"/>
              </w:rPr>
              <w:t> </w:t>
            </w:r>
          </w:p>
        </w:tc>
      </w:tr>
      <w:tr w14:paraId="07DAC3EA">
        <w:tblPrEx>
          <w:tblCellMar>
            <w:top w:w="0" w:type="dxa"/>
            <w:left w:w="108" w:type="dxa"/>
            <w:bottom w:w="0" w:type="dxa"/>
            <w:right w:w="108" w:type="dxa"/>
          </w:tblCellMar>
        </w:tblPrEx>
        <w:trPr>
          <w:trHeight w:val="640" w:hRule="atLeast"/>
          <w:tblCellSpacing w:w="0" w:type="dxa"/>
        </w:trPr>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C516A">
            <w:pPr>
              <w:pStyle w:val="31"/>
              <w:spacing w:beforeAutospacing="0" w:afterAutospacing="0"/>
              <w:jc w:val="center"/>
              <w:rPr>
                <w:sz w:val="21"/>
                <w:szCs w:val="21"/>
              </w:rPr>
            </w:pPr>
            <w:r>
              <w:rPr>
                <w:rFonts w:hint="eastAsia"/>
                <w:sz w:val="21"/>
                <w:szCs w:val="21"/>
              </w:rPr>
              <w:t> </w:t>
            </w:r>
          </w:p>
        </w:tc>
        <w:tc>
          <w:tcPr>
            <w:tcW w:w="1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79EFF">
            <w:pPr>
              <w:pStyle w:val="31"/>
              <w:spacing w:beforeAutospacing="0" w:afterAutospacing="0"/>
              <w:jc w:val="center"/>
              <w:rPr>
                <w:sz w:val="21"/>
                <w:szCs w:val="21"/>
              </w:rPr>
            </w:pPr>
            <w:r>
              <w:rPr>
                <w:rFonts w:hint="eastAsia"/>
                <w:sz w:val="21"/>
                <w:szCs w:val="21"/>
              </w:rPr>
              <w:t> </w:t>
            </w:r>
          </w:p>
        </w:tc>
        <w:tc>
          <w:tcPr>
            <w:tcW w:w="1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5ED76">
            <w:pPr>
              <w:pStyle w:val="31"/>
              <w:spacing w:beforeAutospacing="0" w:afterAutospacing="0"/>
              <w:jc w:val="center"/>
              <w:rPr>
                <w:sz w:val="21"/>
                <w:szCs w:val="21"/>
              </w:rPr>
            </w:pPr>
          </w:p>
        </w:tc>
        <w:tc>
          <w:tcPr>
            <w:tcW w:w="1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BFB13">
            <w:pPr>
              <w:pStyle w:val="31"/>
              <w:spacing w:beforeAutospacing="0" w:afterAutospacing="0"/>
              <w:jc w:val="center"/>
              <w:rPr>
                <w:sz w:val="21"/>
                <w:szCs w:val="21"/>
              </w:rPr>
            </w:pPr>
            <w:r>
              <w:rPr>
                <w:rFonts w:hint="eastAsia"/>
                <w:sz w:val="21"/>
                <w:szCs w:val="21"/>
              </w:rPr>
              <w:t> </w:t>
            </w:r>
          </w:p>
        </w:tc>
        <w:tc>
          <w:tcPr>
            <w:tcW w:w="13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CE73F">
            <w:pPr>
              <w:pStyle w:val="31"/>
              <w:spacing w:beforeAutospacing="0" w:afterAutospacing="0"/>
              <w:jc w:val="center"/>
              <w:rPr>
                <w:sz w:val="21"/>
                <w:szCs w:val="21"/>
              </w:rPr>
            </w:pPr>
          </w:p>
        </w:tc>
        <w:tc>
          <w:tcPr>
            <w:tcW w:w="2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B1ACB">
            <w:pPr>
              <w:pStyle w:val="31"/>
              <w:spacing w:beforeAutospacing="0" w:afterAutospacing="0"/>
              <w:jc w:val="center"/>
              <w:rPr>
                <w:sz w:val="21"/>
                <w:szCs w:val="21"/>
              </w:rPr>
            </w:pPr>
            <w:r>
              <w:rPr>
                <w:rFonts w:hint="eastAsia"/>
                <w:sz w:val="21"/>
                <w:szCs w:val="21"/>
              </w:rPr>
              <w:t> </w:t>
            </w:r>
          </w:p>
        </w:tc>
      </w:tr>
      <w:tr w14:paraId="055F88E9">
        <w:tblPrEx>
          <w:tblCellMar>
            <w:top w:w="0" w:type="dxa"/>
            <w:left w:w="108" w:type="dxa"/>
            <w:bottom w:w="0" w:type="dxa"/>
            <w:right w:w="108" w:type="dxa"/>
          </w:tblCellMar>
        </w:tblPrEx>
        <w:trPr>
          <w:trHeight w:val="640" w:hRule="atLeast"/>
          <w:tblCellSpacing w:w="0" w:type="dxa"/>
        </w:trPr>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B1C84">
            <w:pPr>
              <w:pStyle w:val="31"/>
              <w:spacing w:beforeAutospacing="0" w:afterAutospacing="0"/>
              <w:jc w:val="center"/>
              <w:rPr>
                <w:sz w:val="21"/>
                <w:szCs w:val="21"/>
              </w:rPr>
            </w:pPr>
            <w:r>
              <w:rPr>
                <w:rFonts w:hint="eastAsia"/>
                <w:sz w:val="21"/>
                <w:szCs w:val="21"/>
              </w:rPr>
              <w:t> </w:t>
            </w:r>
          </w:p>
        </w:tc>
        <w:tc>
          <w:tcPr>
            <w:tcW w:w="1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A38F6">
            <w:pPr>
              <w:pStyle w:val="31"/>
              <w:spacing w:beforeAutospacing="0" w:afterAutospacing="0"/>
              <w:jc w:val="center"/>
              <w:rPr>
                <w:sz w:val="21"/>
                <w:szCs w:val="21"/>
              </w:rPr>
            </w:pPr>
            <w:r>
              <w:rPr>
                <w:rFonts w:hint="eastAsia"/>
                <w:sz w:val="21"/>
                <w:szCs w:val="21"/>
              </w:rPr>
              <w:t> </w:t>
            </w:r>
          </w:p>
        </w:tc>
        <w:tc>
          <w:tcPr>
            <w:tcW w:w="1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7F435">
            <w:pPr>
              <w:pStyle w:val="31"/>
              <w:spacing w:beforeAutospacing="0" w:afterAutospacing="0"/>
              <w:jc w:val="center"/>
              <w:rPr>
                <w:sz w:val="21"/>
                <w:szCs w:val="21"/>
              </w:rPr>
            </w:pPr>
          </w:p>
        </w:tc>
        <w:tc>
          <w:tcPr>
            <w:tcW w:w="1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242FF">
            <w:pPr>
              <w:pStyle w:val="31"/>
              <w:spacing w:beforeAutospacing="0" w:afterAutospacing="0"/>
              <w:jc w:val="center"/>
              <w:rPr>
                <w:sz w:val="21"/>
                <w:szCs w:val="21"/>
              </w:rPr>
            </w:pPr>
            <w:r>
              <w:rPr>
                <w:rFonts w:hint="eastAsia"/>
                <w:sz w:val="21"/>
                <w:szCs w:val="21"/>
              </w:rPr>
              <w:t> </w:t>
            </w:r>
          </w:p>
        </w:tc>
        <w:tc>
          <w:tcPr>
            <w:tcW w:w="13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D27F0">
            <w:pPr>
              <w:pStyle w:val="31"/>
              <w:spacing w:beforeAutospacing="0" w:afterAutospacing="0"/>
              <w:jc w:val="center"/>
              <w:rPr>
                <w:sz w:val="21"/>
                <w:szCs w:val="21"/>
              </w:rPr>
            </w:pPr>
          </w:p>
        </w:tc>
        <w:tc>
          <w:tcPr>
            <w:tcW w:w="2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37D2B">
            <w:pPr>
              <w:pStyle w:val="31"/>
              <w:spacing w:beforeAutospacing="0" w:afterAutospacing="0"/>
              <w:jc w:val="center"/>
              <w:rPr>
                <w:sz w:val="21"/>
                <w:szCs w:val="21"/>
              </w:rPr>
            </w:pPr>
            <w:r>
              <w:rPr>
                <w:rFonts w:hint="eastAsia"/>
                <w:sz w:val="21"/>
                <w:szCs w:val="21"/>
              </w:rPr>
              <w:t> </w:t>
            </w:r>
          </w:p>
        </w:tc>
      </w:tr>
      <w:tr w14:paraId="7C8C4026">
        <w:tblPrEx>
          <w:tblCellMar>
            <w:top w:w="0" w:type="dxa"/>
            <w:left w:w="108" w:type="dxa"/>
            <w:bottom w:w="0" w:type="dxa"/>
            <w:right w:w="108" w:type="dxa"/>
          </w:tblCellMar>
        </w:tblPrEx>
        <w:trPr>
          <w:trHeight w:val="640" w:hRule="atLeast"/>
          <w:tblCellSpacing w:w="0" w:type="dxa"/>
        </w:trPr>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21047">
            <w:pPr>
              <w:pStyle w:val="31"/>
              <w:spacing w:beforeAutospacing="0" w:afterAutospacing="0"/>
              <w:jc w:val="center"/>
              <w:rPr>
                <w:sz w:val="21"/>
                <w:szCs w:val="21"/>
              </w:rPr>
            </w:pPr>
            <w:r>
              <w:rPr>
                <w:rFonts w:hint="eastAsia"/>
                <w:sz w:val="21"/>
                <w:szCs w:val="21"/>
              </w:rPr>
              <w:t> </w:t>
            </w:r>
          </w:p>
        </w:tc>
        <w:tc>
          <w:tcPr>
            <w:tcW w:w="1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88601">
            <w:pPr>
              <w:pStyle w:val="31"/>
              <w:spacing w:beforeAutospacing="0" w:afterAutospacing="0"/>
              <w:jc w:val="center"/>
              <w:rPr>
                <w:sz w:val="21"/>
                <w:szCs w:val="21"/>
              </w:rPr>
            </w:pPr>
            <w:r>
              <w:rPr>
                <w:rFonts w:hint="eastAsia"/>
                <w:sz w:val="21"/>
                <w:szCs w:val="21"/>
              </w:rPr>
              <w:t> </w:t>
            </w:r>
          </w:p>
        </w:tc>
        <w:tc>
          <w:tcPr>
            <w:tcW w:w="1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DE77A">
            <w:pPr>
              <w:pStyle w:val="31"/>
              <w:spacing w:beforeAutospacing="0" w:afterAutospacing="0"/>
              <w:jc w:val="center"/>
              <w:rPr>
                <w:sz w:val="21"/>
                <w:szCs w:val="21"/>
              </w:rPr>
            </w:pPr>
          </w:p>
        </w:tc>
        <w:tc>
          <w:tcPr>
            <w:tcW w:w="1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DF63D">
            <w:pPr>
              <w:pStyle w:val="31"/>
              <w:spacing w:beforeAutospacing="0" w:afterAutospacing="0"/>
              <w:jc w:val="center"/>
              <w:rPr>
                <w:sz w:val="21"/>
                <w:szCs w:val="21"/>
              </w:rPr>
            </w:pPr>
            <w:r>
              <w:rPr>
                <w:rFonts w:hint="eastAsia"/>
                <w:sz w:val="21"/>
                <w:szCs w:val="21"/>
              </w:rPr>
              <w:t> </w:t>
            </w:r>
          </w:p>
        </w:tc>
        <w:tc>
          <w:tcPr>
            <w:tcW w:w="13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E04C4">
            <w:pPr>
              <w:pStyle w:val="31"/>
              <w:spacing w:beforeAutospacing="0" w:afterAutospacing="0"/>
              <w:jc w:val="center"/>
              <w:rPr>
                <w:sz w:val="21"/>
                <w:szCs w:val="21"/>
              </w:rPr>
            </w:pPr>
          </w:p>
        </w:tc>
        <w:tc>
          <w:tcPr>
            <w:tcW w:w="2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79FA94">
            <w:pPr>
              <w:pStyle w:val="31"/>
              <w:spacing w:beforeAutospacing="0" w:afterAutospacing="0"/>
              <w:jc w:val="center"/>
              <w:rPr>
                <w:sz w:val="21"/>
                <w:szCs w:val="21"/>
              </w:rPr>
            </w:pPr>
            <w:r>
              <w:rPr>
                <w:rFonts w:hint="eastAsia"/>
                <w:sz w:val="21"/>
                <w:szCs w:val="21"/>
              </w:rPr>
              <w:t> </w:t>
            </w:r>
          </w:p>
        </w:tc>
      </w:tr>
      <w:tr w14:paraId="2435577E">
        <w:tblPrEx>
          <w:tblCellMar>
            <w:top w:w="0" w:type="dxa"/>
            <w:left w:w="108" w:type="dxa"/>
            <w:bottom w:w="0" w:type="dxa"/>
            <w:right w:w="108" w:type="dxa"/>
          </w:tblCellMar>
        </w:tblPrEx>
        <w:trPr>
          <w:trHeight w:val="640" w:hRule="atLeast"/>
          <w:tblCellSpacing w:w="0" w:type="dxa"/>
        </w:trPr>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B6ECF">
            <w:pPr>
              <w:pStyle w:val="31"/>
              <w:spacing w:beforeAutospacing="0" w:afterAutospacing="0"/>
              <w:jc w:val="center"/>
              <w:rPr>
                <w:sz w:val="21"/>
                <w:szCs w:val="21"/>
              </w:rPr>
            </w:pPr>
            <w:r>
              <w:rPr>
                <w:rFonts w:hint="eastAsia"/>
                <w:sz w:val="21"/>
                <w:szCs w:val="21"/>
              </w:rPr>
              <w:t> </w:t>
            </w:r>
          </w:p>
        </w:tc>
        <w:tc>
          <w:tcPr>
            <w:tcW w:w="1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FA639">
            <w:pPr>
              <w:pStyle w:val="31"/>
              <w:spacing w:beforeAutospacing="0" w:afterAutospacing="0"/>
              <w:jc w:val="center"/>
              <w:rPr>
                <w:sz w:val="21"/>
                <w:szCs w:val="21"/>
              </w:rPr>
            </w:pPr>
            <w:r>
              <w:rPr>
                <w:rFonts w:hint="eastAsia"/>
                <w:sz w:val="21"/>
                <w:szCs w:val="21"/>
              </w:rPr>
              <w:t> </w:t>
            </w:r>
          </w:p>
        </w:tc>
        <w:tc>
          <w:tcPr>
            <w:tcW w:w="1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6FC09">
            <w:pPr>
              <w:pStyle w:val="31"/>
              <w:spacing w:beforeAutospacing="0" w:afterAutospacing="0"/>
              <w:jc w:val="center"/>
              <w:rPr>
                <w:sz w:val="21"/>
                <w:szCs w:val="21"/>
              </w:rPr>
            </w:pPr>
          </w:p>
        </w:tc>
        <w:tc>
          <w:tcPr>
            <w:tcW w:w="1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9F9DE">
            <w:pPr>
              <w:pStyle w:val="31"/>
              <w:spacing w:beforeAutospacing="0" w:afterAutospacing="0"/>
              <w:jc w:val="center"/>
              <w:rPr>
                <w:sz w:val="21"/>
                <w:szCs w:val="21"/>
              </w:rPr>
            </w:pPr>
            <w:r>
              <w:rPr>
                <w:rFonts w:hint="eastAsia"/>
                <w:sz w:val="21"/>
                <w:szCs w:val="21"/>
              </w:rPr>
              <w:t> </w:t>
            </w:r>
          </w:p>
        </w:tc>
        <w:tc>
          <w:tcPr>
            <w:tcW w:w="13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7526B">
            <w:pPr>
              <w:pStyle w:val="31"/>
              <w:spacing w:beforeAutospacing="0" w:afterAutospacing="0"/>
              <w:jc w:val="center"/>
              <w:rPr>
                <w:sz w:val="21"/>
                <w:szCs w:val="21"/>
              </w:rPr>
            </w:pPr>
          </w:p>
        </w:tc>
        <w:tc>
          <w:tcPr>
            <w:tcW w:w="2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8072A">
            <w:pPr>
              <w:pStyle w:val="31"/>
              <w:spacing w:beforeAutospacing="0" w:afterAutospacing="0"/>
              <w:jc w:val="center"/>
              <w:rPr>
                <w:sz w:val="21"/>
                <w:szCs w:val="21"/>
              </w:rPr>
            </w:pPr>
            <w:r>
              <w:rPr>
                <w:rFonts w:hint="eastAsia"/>
                <w:sz w:val="21"/>
                <w:szCs w:val="21"/>
              </w:rPr>
              <w:t> </w:t>
            </w:r>
          </w:p>
        </w:tc>
      </w:tr>
      <w:tr w14:paraId="2A50FB21">
        <w:tblPrEx>
          <w:tblCellMar>
            <w:top w:w="0" w:type="dxa"/>
            <w:left w:w="108" w:type="dxa"/>
            <w:bottom w:w="0" w:type="dxa"/>
            <w:right w:w="108" w:type="dxa"/>
          </w:tblCellMar>
        </w:tblPrEx>
        <w:trPr>
          <w:trHeight w:val="640" w:hRule="atLeast"/>
          <w:tblCellSpacing w:w="0" w:type="dxa"/>
        </w:trPr>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6727E">
            <w:pPr>
              <w:pStyle w:val="31"/>
              <w:spacing w:beforeAutospacing="0" w:afterAutospacing="0"/>
              <w:jc w:val="center"/>
              <w:rPr>
                <w:sz w:val="21"/>
                <w:szCs w:val="21"/>
              </w:rPr>
            </w:pPr>
            <w:r>
              <w:rPr>
                <w:rFonts w:hint="eastAsia"/>
                <w:sz w:val="21"/>
                <w:szCs w:val="21"/>
              </w:rPr>
              <w:t> </w:t>
            </w:r>
          </w:p>
        </w:tc>
        <w:tc>
          <w:tcPr>
            <w:tcW w:w="1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BF99C">
            <w:pPr>
              <w:pStyle w:val="31"/>
              <w:spacing w:beforeAutospacing="0" w:afterAutospacing="0"/>
              <w:jc w:val="center"/>
              <w:rPr>
                <w:sz w:val="21"/>
                <w:szCs w:val="21"/>
              </w:rPr>
            </w:pPr>
            <w:r>
              <w:rPr>
                <w:rFonts w:hint="eastAsia"/>
                <w:sz w:val="21"/>
                <w:szCs w:val="21"/>
              </w:rPr>
              <w:t> </w:t>
            </w:r>
          </w:p>
        </w:tc>
        <w:tc>
          <w:tcPr>
            <w:tcW w:w="1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C116E">
            <w:pPr>
              <w:pStyle w:val="31"/>
              <w:spacing w:beforeAutospacing="0" w:afterAutospacing="0"/>
              <w:jc w:val="center"/>
              <w:rPr>
                <w:sz w:val="21"/>
                <w:szCs w:val="21"/>
              </w:rPr>
            </w:pPr>
          </w:p>
        </w:tc>
        <w:tc>
          <w:tcPr>
            <w:tcW w:w="1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1F335">
            <w:pPr>
              <w:pStyle w:val="31"/>
              <w:spacing w:beforeAutospacing="0" w:afterAutospacing="0"/>
              <w:jc w:val="center"/>
              <w:rPr>
                <w:sz w:val="21"/>
                <w:szCs w:val="21"/>
              </w:rPr>
            </w:pPr>
            <w:r>
              <w:rPr>
                <w:rFonts w:hint="eastAsia"/>
                <w:sz w:val="21"/>
                <w:szCs w:val="21"/>
              </w:rPr>
              <w:t> </w:t>
            </w:r>
          </w:p>
        </w:tc>
        <w:tc>
          <w:tcPr>
            <w:tcW w:w="13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B0F9A">
            <w:pPr>
              <w:pStyle w:val="31"/>
              <w:spacing w:beforeAutospacing="0" w:afterAutospacing="0"/>
              <w:jc w:val="center"/>
              <w:rPr>
                <w:sz w:val="21"/>
                <w:szCs w:val="21"/>
              </w:rPr>
            </w:pPr>
          </w:p>
        </w:tc>
        <w:tc>
          <w:tcPr>
            <w:tcW w:w="2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17D24">
            <w:pPr>
              <w:pStyle w:val="31"/>
              <w:spacing w:beforeAutospacing="0" w:afterAutospacing="0"/>
              <w:jc w:val="center"/>
              <w:rPr>
                <w:sz w:val="21"/>
                <w:szCs w:val="21"/>
              </w:rPr>
            </w:pPr>
            <w:r>
              <w:rPr>
                <w:rFonts w:hint="eastAsia"/>
                <w:sz w:val="21"/>
                <w:szCs w:val="21"/>
              </w:rPr>
              <w:t> </w:t>
            </w:r>
          </w:p>
        </w:tc>
      </w:tr>
      <w:tr w14:paraId="069A7E45">
        <w:tblPrEx>
          <w:tblCellMar>
            <w:top w:w="0" w:type="dxa"/>
            <w:left w:w="108" w:type="dxa"/>
            <w:bottom w:w="0" w:type="dxa"/>
            <w:right w:w="108" w:type="dxa"/>
          </w:tblCellMar>
        </w:tblPrEx>
        <w:trPr>
          <w:trHeight w:val="640" w:hRule="atLeast"/>
          <w:tblCellSpacing w:w="0" w:type="dxa"/>
        </w:trPr>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41E5E">
            <w:pPr>
              <w:pStyle w:val="31"/>
              <w:spacing w:beforeAutospacing="0" w:afterAutospacing="0"/>
              <w:jc w:val="center"/>
              <w:rPr>
                <w:sz w:val="21"/>
                <w:szCs w:val="21"/>
              </w:rPr>
            </w:pPr>
            <w:r>
              <w:rPr>
                <w:rFonts w:hint="eastAsia"/>
                <w:sz w:val="21"/>
                <w:szCs w:val="21"/>
              </w:rPr>
              <w:t> </w:t>
            </w:r>
          </w:p>
        </w:tc>
        <w:tc>
          <w:tcPr>
            <w:tcW w:w="1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79CB6">
            <w:pPr>
              <w:pStyle w:val="31"/>
              <w:spacing w:beforeAutospacing="0" w:afterAutospacing="0"/>
              <w:jc w:val="center"/>
              <w:rPr>
                <w:sz w:val="21"/>
                <w:szCs w:val="21"/>
              </w:rPr>
            </w:pPr>
            <w:r>
              <w:rPr>
                <w:rFonts w:hint="eastAsia"/>
                <w:sz w:val="21"/>
                <w:szCs w:val="21"/>
              </w:rPr>
              <w:t> </w:t>
            </w:r>
          </w:p>
        </w:tc>
        <w:tc>
          <w:tcPr>
            <w:tcW w:w="1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D7A73">
            <w:pPr>
              <w:pStyle w:val="31"/>
              <w:spacing w:beforeAutospacing="0" w:afterAutospacing="0"/>
              <w:jc w:val="center"/>
              <w:rPr>
                <w:sz w:val="21"/>
                <w:szCs w:val="21"/>
              </w:rPr>
            </w:pPr>
          </w:p>
        </w:tc>
        <w:tc>
          <w:tcPr>
            <w:tcW w:w="1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277B4">
            <w:pPr>
              <w:pStyle w:val="31"/>
              <w:spacing w:beforeAutospacing="0" w:afterAutospacing="0"/>
              <w:jc w:val="center"/>
              <w:rPr>
                <w:sz w:val="21"/>
                <w:szCs w:val="21"/>
              </w:rPr>
            </w:pPr>
            <w:r>
              <w:rPr>
                <w:rFonts w:hint="eastAsia"/>
                <w:sz w:val="21"/>
                <w:szCs w:val="21"/>
              </w:rPr>
              <w:t> </w:t>
            </w:r>
          </w:p>
        </w:tc>
        <w:tc>
          <w:tcPr>
            <w:tcW w:w="13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75938">
            <w:pPr>
              <w:pStyle w:val="31"/>
              <w:spacing w:beforeAutospacing="0" w:afterAutospacing="0"/>
              <w:jc w:val="center"/>
              <w:rPr>
                <w:sz w:val="21"/>
                <w:szCs w:val="21"/>
              </w:rPr>
            </w:pPr>
          </w:p>
        </w:tc>
        <w:tc>
          <w:tcPr>
            <w:tcW w:w="2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C1F17">
            <w:pPr>
              <w:pStyle w:val="31"/>
              <w:spacing w:beforeAutospacing="0" w:afterAutospacing="0"/>
              <w:jc w:val="center"/>
              <w:rPr>
                <w:sz w:val="21"/>
                <w:szCs w:val="21"/>
              </w:rPr>
            </w:pPr>
            <w:r>
              <w:rPr>
                <w:rFonts w:hint="eastAsia"/>
                <w:sz w:val="21"/>
                <w:szCs w:val="21"/>
              </w:rPr>
              <w:t> </w:t>
            </w:r>
          </w:p>
        </w:tc>
      </w:tr>
      <w:tr w14:paraId="2FF62291">
        <w:tblPrEx>
          <w:tblCellMar>
            <w:top w:w="0" w:type="dxa"/>
            <w:left w:w="108" w:type="dxa"/>
            <w:bottom w:w="0" w:type="dxa"/>
            <w:right w:w="108" w:type="dxa"/>
          </w:tblCellMar>
        </w:tblPrEx>
        <w:trPr>
          <w:trHeight w:val="640" w:hRule="atLeast"/>
          <w:tblCellSpacing w:w="0" w:type="dxa"/>
        </w:trPr>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B1098">
            <w:pPr>
              <w:pStyle w:val="31"/>
              <w:spacing w:beforeAutospacing="0" w:afterAutospacing="0"/>
              <w:jc w:val="center"/>
              <w:rPr>
                <w:sz w:val="21"/>
                <w:szCs w:val="21"/>
              </w:rPr>
            </w:pPr>
            <w:r>
              <w:rPr>
                <w:rFonts w:hint="eastAsia"/>
                <w:sz w:val="21"/>
                <w:szCs w:val="21"/>
              </w:rPr>
              <w:t> </w:t>
            </w:r>
          </w:p>
        </w:tc>
        <w:tc>
          <w:tcPr>
            <w:tcW w:w="17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C4158">
            <w:pPr>
              <w:pStyle w:val="31"/>
              <w:spacing w:beforeAutospacing="0" w:afterAutospacing="0"/>
              <w:jc w:val="center"/>
              <w:rPr>
                <w:sz w:val="21"/>
                <w:szCs w:val="21"/>
              </w:rPr>
            </w:pPr>
            <w:r>
              <w:rPr>
                <w:rFonts w:hint="eastAsia"/>
                <w:sz w:val="21"/>
                <w:szCs w:val="21"/>
              </w:rPr>
              <w:t>……</w:t>
            </w:r>
          </w:p>
        </w:tc>
        <w:tc>
          <w:tcPr>
            <w:tcW w:w="1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A91C6">
            <w:pPr>
              <w:pStyle w:val="31"/>
              <w:spacing w:beforeAutospacing="0" w:afterAutospacing="0"/>
              <w:jc w:val="center"/>
              <w:rPr>
                <w:sz w:val="21"/>
                <w:szCs w:val="21"/>
              </w:rPr>
            </w:pPr>
          </w:p>
        </w:tc>
        <w:tc>
          <w:tcPr>
            <w:tcW w:w="1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04D9C">
            <w:pPr>
              <w:pStyle w:val="31"/>
              <w:spacing w:beforeAutospacing="0" w:afterAutospacing="0"/>
              <w:jc w:val="center"/>
              <w:rPr>
                <w:sz w:val="21"/>
                <w:szCs w:val="21"/>
              </w:rPr>
            </w:pPr>
            <w:r>
              <w:rPr>
                <w:rFonts w:hint="eastAsia"/>
                <w:sz w:val="21"/>
                <w:szCs w:val="21"/>
              </w:rPr>
              <w:t> </w:t>
            </w:r>
          </w:p>
        </w:tc>
        <w:tc>
          <w:tcPr>
            <w:tcW w:w="13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A9FF9">
            <w:pPr>
              <w:pStyle w:val="31"/>
              <w:spacing w:beforeAutospacing="0" w:afterAutospacing="0"/>
              <w:jc w:val="center"/>
              <w:rPr>
                <w:sz w:val="21"/>
                <w:szCs w:val="21"/>
              </w:rPr>
            </w:pPr>
          </w:p>
        </w:tc>
        <w:tc>
          <w:tcPr>
            <w:tcW w:w="2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BF0A3">
            <w:pPr>
              <w:pStyle w:val="31"/>
              <w:spacing w:beforeAutospacing="0" w:afterAutospacing="0"/>
              <w:jc w:val="center"/>
              <w:rPr>
                <w:sz w:val="21"/>
                <w:szCs w:val="21"/>
              </w:rPr>
            </w:pPr>
            <w:r>
              <w:rPr>
                <w:rFonts w:hint="eastAsia"/>
                <w:sz w:val="21"/>
                <w:szCs w:val="21"/>
              </w:rPr>
              <w:t> </w:t>
            </w:r>
          </w:p>
        </w:tc>
      </w:tr>
    </w:tbl>
    <w:p w14:paraId="043B3B37">
      <w:pPr>
        <w:pStyle w:val="31"/>
        <w:spacing w:beforeAutospacing="0" w:afterAutospacing="0"/>
        <w:jc w:val="both"/>
        <w:rPr>
          <w:sz w:val="21"/>
          <w:szCs w:val="21"/>
        </w:rPr>
      </w:pPr>
      <w:r>
        <w:rPr>
          <w:rFonts w:hint="eastAsia"/>
          <w:sz w:val="21"/>
          <w:szCs w:val="21"/>
        </w:rPr>
        <w:t>注：行数不够，可自行添加。出现超出或偏离时详细列明。</w:t>
      </w:r>
    </w:p>
    <w:p w14:paraId="5F1E2128">
      <w:pPr>
        <w:pStyle w:val="31"/>
        <w:spacing w:beforeAutospacing="0" w:afterAutospacing="0"/>
        <w:jc w:val="center"/>
      </w:pPr>
      <w:r>
        <w:rPr>
          <w:rFonts w:hint="eastAsia"/>
        </w:rPr>
        <w:t> </w:t>
      </w:r>
    </w:p>
    <w:p w14:paraId="414B308E">
      <w:pPr>
        <w:pStyle w:val="31"/>
        <w:spacing w:beforeAutospacing="0" w:afterAutospacing="0"/>
        <w:jc w:val="center"/>
      </w:pPr>
      <w:r>
        <w:rPr>
          <w:rFonts w:hint="eastAsia"/>
        </w:rPr>
        <w:t> </w:t>
      </w:r>
    </w:p>
    <w:p w14:paraId="0C3BC30A">
      <w:pPr>
        <w:pStyle w:val="31"/>
        <w:spacing w:beforeAutospacing="0" w:afterAutospacing="0"/>
        <w:jc w:val="center"/>
      </w:pPr>
      <w:r>
        <w:rPr>
          <w:rFonts w:hint="eastAsia"/>
        </w:rPr>
        <w:t> </w:t>
      </w:r>
    </w:p>
    <w:p w14:paraId="220EC245">
      <w:pPr>
        <w:pStyle w:val="31"/>
        <w:spacing w:beforeAutospacing="0" w:afterAutospacing="0"/>
        <w:jc w:val="center"/>
      </w:pPr>
      <w:r>
        <w:rPr>
          <w:rFonts w:hint="eastAsia"/>
        </w:rPr>
        <w:t> </w:t>
      </w:r>
    </w:p>
    <w:p w14:paraId="52D7C220">
      <w:pPr>
        <w:pStyle w:val="31"/>
        <w:spacing w:beforeAutospacing="0" w:afterAutospacing="0"/>
        <w:jc w:val="both"/>
      </w:pPr>
      <w:r>
        <w:rPr>
          <w:rFonts w:hint="eastAsia"/>
        </w:rPr>
        <w:t> </w:t>
      </w:r>
    </w:p>
    <w:p w14:paraId="27AE7239">
      <w:pPr>
        <w:pStyle w:val="31"/>
        <w:spacing w:beforeAutospacing="0" w:afterAutospacing="0"/>
        <w:jc w:val="both"/>
      </w:pPr>
      <w:r>
        <w:rPr>
          <w:rFonts w:hint="eastAsia"/>
        </w:rPr>
        <w:t> </w:t>
      </w:r>
    </w:p>
    <w:p w14:paraId="0B461F29">
      <w:pPr>
        <w:pStyle w:val="31"/>
        <w:spacing w:beforeAutospacing="0" w:afterAutospacing="0"/>
        <w:jc w:val="both"/>
      </w:pPr>
      <w:r>
        <w:rPr>
          <w:rFonts w:hint="eastAsia"/>
        </w:rPr>
        <w:t> </w:t>
      </w:r>
    </w:p>
    <w:p w14:paraId="3CC9E2E7">
      <w:pPr>
        <w:pStyle w:val="31"/>
        <w:spacing w:beforeAutospacing="0" w:afterAutospacing="0"/>
        <w:jc w:val="both"/>
      </w:pPr>
      <w:r>
        <w:rPr>
          <w:rFonts w:hint="eastAsia"/>
        </w:rPr>
        <w:t> </w:t>
      </w:r>
    </w:p>
    <w:p w14:paraId="25431AD5">
      <w:pPr>
        <w:pStyle w:val="31"/>
        <w:spacing w:beforeAutospacing="0" w:afterAutospacing="0"/>
        <w:jc w:val="both"/>
      </w:pPr>
    </w:p>
    <w:p w14:paraId="11C508D4">
      <w:pPr>
        <w:pStyle w:val="31"/>
        <w:spacing w:beforeAutospacing="0" w:afterAutospacing="0"/>
        <w:jc w:val="both"/>
      </w:pPr>
    </w:p>
    <w:p w14:paraId="36B077A2">
      <w:pPr>
        <w:pStyle w:val="31"/>
        <w:spacing w:beforeAutospacing="0" w:afterAutospacing="0"/>
        <w:jc w:val="both"/>
      </w:pPr>
    </w:p>
    <w:p w14:paraId="02F96B9A">
      <w:pPr>
        <w:pStyle w:val="31"/>
        <w:spacing w:beforeAutospacing="0" w:afterAutospacing="0"/>
        <w:jc w:val="both"/>
      </w:pPr>
    </w:p>
    <w:p w14:paraId="4BCDE56B">
      <w:pPr>
        <w:pStyle w:val="31"/>
        <w:spacing w:beforeAutospacing="0" w:afterAutospacing="0"/>
        <w:jc w:val="both"/>
      </w:pPr>
    </w:p>
    <w:p w14:paraId="79B788F1">
      <w:pPr>
        <w:pStyle w:val="31"/>
        <w:spacing w:beforeAutospacing="0" w:afterAutospacing="0"/>
        <w:jc w:val="both"/>
      </w:pPr>
    </w:p>
    <w:p w14:paraId="57947956">
      <w:pPr>
        <w:pStyle w:val="31"/>
        <w:spacing w:beforeAutospacing="0" w:afterAutospacing="0"/>
        <w:jc w:val="both"/>
      </w:pPr>
    </w:p>
    <w:p w14:paraId="178953B3">
      <w:pPr>
        <w:pStyle w:val="31"/>
        <w:numPr>
          <w:ilvl w:val="0"/>
          <w:numId w:val="0"/>
        </w:numPr>
        <w:spacing w:beforeAutospacing="0" w:afterAutospacing="0"/>
        <w:rPr>
          <w:b/>
          <w:sz w:val="32"/>
          <w:szCs w:val="32"/>
          <w:u w:val="single"/>
        </w:rPr>
      </w:pPr>
      <w:bookmarkStart w:id="5" w:name="_Hlt26955054"/>
      <w:r>
        <w:rPr>
          <w:rFonts w:hint="eastAsia"/>
          <w:b/>
          <w:sz w:val="32"/>
          <w:szCs w:val="32"/>
          <w:u w:val="single"/>
          <w:lang w:val="en-US" w:eastAsia="zh-CN"/>
        </w:rPr>
        <w:t>十五、</w:t>
      </w:r>
      <w:r>
        <w:rPr>
          <w:rFonts w:hint="eastAsia"/>
          <w:b/>
          <w:sz w:val="32"/>
          <w:szCs w:val="32"/>
          <w:u w:val="single"/>
        </w:rPr>
        <w:t>商务要求响应及偏离表</w:t>
      </w:r>
    </w:p>
    <w:p w14:paraId="1F10290F">
      <w:pPr>
        <w:pStyle w:val="31"/>
        <w:spacing w:beforeAutospacing="0" w:afterAutospacing="0"/>
        <w:rPr>
          <w:b/>
          <w:u w:val="single"/>
        </w:rPr>
      </w:pPr>
      <w:r>
        <w:rPr>
          <w:rFonts w:hint="eastAsia"/>
          <w:b/>
          <w:u w:val="single"/>
        </w:rPr>
        <w:t>投标人全称（加盖投标人CA电子公章）</w:t>
      </w:r>
    </w:p>
    <w:tbl>
      <w:tblPr>
        <w:tblStyle w:val="33"/>
        <w:tblW w:w="9978" w:type="dxa"/>
        <w:tblCellSpacing w:w="0" w:type="dxa"/>
        <w:tblInd w:w="0" w:type="dxa"/>
        <w:tblLayout w:type="fixed"/>
        <w:tblCellMar>
          <w:top w:w="0" w:type="dxa"/>
          <w:left w:w="108" w:type="dxa"/>
          <w:bottom w:w="0" w:type="dxa"/>
          <w:right w:w="108" w:type="dxa"/>
        </w:tblCellMar>
      </w:tblPr>
      <w:tblGrid>
        <w:gridCol w:w="936"/>
        <w:gridCol w:w="1393"/>
        <w:gridCol w:w="1395"/>
        <w:gridCol w:w="1815"/>
        <w:gridCol w:w="1440"/>
        <w:gridCol w:w="2999"/>
      </w:tblGrid>
      <w:tr w14:paraId="5B5D5980">
        <w:tblPrEx>
          <w:tblCellMar>
            <w:top w:w="0" w:type="dxa"/>
            <w:left w:w="108" w:type="dxa"/>
            <w:bottom w:w="0" w:type="dxa"/>
            <w:right w:w="108" w:type="dxa"/>
          </w:tblCellMar>
        </w:tblPrEx>
        <w:trPr>
          <w:tblCellSpacing w:w="0" w:type="dxa"/>
        </w:trPr>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85D02">
            <w:pPr>
              <w:pStyle w:val="31"/>
              <w:spacing w:beforeAutospacing="0" w:afterAutospacing="0"/>
              <w:jc w:val="center"/>
              <w:rPr>
                <w:sz w:val="21"/>
                <w:szCs w:val="21"/>
              </w:rPr>
            </w:pPr>
            <w:bookmarkStart w:id="6" w:name="_Hlt26609391"/>
            <w:bookmarkStart w:id="7" w:name="_Hlt26955056"/>
            <w:bookmarkStart w:id="8" w:name="_Hlt26580838"/>
            <w:bookmarkStart w:id="9" w:name="_Hlt24879081"/>
            <w:bookmarkStart w:id="10" w:name="_Hlt26782999"/>
            <w:bookmarkStart w:id="11" w:name="_Hlt26671372"/>
            <w:bookmarkStart w:id="12" w:name="_Hlt26671343"/>
            <w:bookmarkStart w:id="13" w:name="_Hlt26955064"/>
            <w:r>
              <w:rPr>
                <w:rFonts w:hint="eastAsia"/>
                <w:sz w:val="21"/>
                <w:szCs w:val="21"/>
              </w:rPr>
              <w:t>序号</w:t>
            </w:r>
            <w:bookmarkEnd w:id="6"/>
            <w:bookmarkEnd w:id="7"/>
            <w:bookmarkEnd w:id="8"/>
            <w:bookmarkEnd w:id="9"/>
            <w:bookmarkEnd w:id="10"/>
            <w:bookmarkEnd w:id="11"/>
            <w:bookmarkEnd w:id="12"/>
            <w:bookmarkEnd w:id="13"/>
          </w:p>
        </w:tc>
        <w:tc>
          <w:tcPr>
            <w:tcW w:w="13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9564D">
            <w:pPr>
              <w:pStyle w:val="31"/>
              <w:spacing w:beforeAutospacing="0" w:afterAutospacing="0"/>
              <w:jc w:val="center"/>
              <w:rPr>
                <w:sz w:val="21"/>
                <w:szCs w:val="21"/>
              </w:rPr>
            </w:pPr>
            <w:r>
              <w:rPr>
                <w:rFonts w:hint="eastAsia"/>
                <w:sz w:val="21"/>
                <w:szCs w:val="21"/>
              </w:rPr>
              <w:t>招标文件要求</w:t>
            </w: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D0FF6">
            <w:pPr>
              <w:pStyle w:val="31"/>
              <w:spacing w:beforeAutospacing="0" w:afterAutospacing="0"/>
              <w:jc w:val="center"/>
              <w:rPr>
                <w:sz w:val="21"/>
                <w:szCs w:val="21"/>
              </w:rPr>
            </w:pPr>
            <w:r>
              <w:rPr>
                <w:rFonts w:hint="eastAsia"/>
                <w:sz w:val="21"/>
                <w:szCs w:val="21"/>
              </w:rPr>
              <w:t>投标响应情况</w:t>
            </w:r>
          </w:p>
        </w:tc>
        <w:tc>
          <w:tcPr>
            <w:tcW w:w="18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A2836">
            <w:pPr>
              <w:pStyle w:val="31"/>
              <w:spacing w:beforeAutospacing="0" w:afterAutospacing="0"/>
              <w:jc w:val="center"/>
              <w:rPr>
                <w:sz w:val="21"/>
                <w:szCs w:val="21"/>
              </w:rPr>
            </w:pPr>
            <w:r>
              <w:rPr>
                <w:rFonts w:hint="eastAsia"/>
                <w:sz w:val="21"/>
                <w:szCs w:val="21"/>
              </w:rPr>
              <w:t>超出、符合或偏离</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351A8">
            <w:pPr>
              <w:pStyle w:val="31"/>
              <w:spacing w:beforeAutospacing="0" w:afterAutospacing="0"/>
              <w:jc w:val="center"/>
              <w:rPr>
                <w:sz w:val="21"/>
                <w:szCs w:val="21"/>
              </w:rPr>
            </w:pPr>
            <w:r>
              <w:rPr>
                <w:rFonts w:hint="eastAsia"/>
                <w:sz w:val="21"/>
                <w:szCs w:val="21"/>
              </w:rPr>
              <w:t>原因</w:t>
            </w:r>
          </w:p>
        </w:tc>
        <w:tc>
          <w:tcPr>
            <w:tcW w:w="2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844E4">
            <w:pPr>
              <w:pStyle w:val="31"/>
              <w:spacing w:beforeAutospacing="0" w:afterAutospacing="0"/>
              <w:jc w:val="center"/>
              <w:rPr>
                <w:sz w:val="21"/>
                <w:szCs w:val="21"/>
              </w:rPr>
            </w:pPr>
            <w:r>
              <w:rPr>
                <w:rFonts w:hint="eastAsia"/>
                <w:sz w:val="21"/>
                <w:szCs w:val="21"/>
              </w:rPr>
              <w:t>备注（具体响应材料在投标文件中页码、行数等）</w:t>
            </w:r>
          </w:p>
        </w:tc>
      </w:tr>
      <w:tr w14:paraId="4BF42F25">
        <w:tblPrEx>
          <w:tblCellMar>
            <w:top w:w="0" w:type="dxa"/>
            <w:left w:w="108" w:type="dxa"/>
            <w:bottom w:w="0" w:type="dxa"/>
            <w:right w:w="108" w:type="dxa"/>
          </w:tblCellMar>
        </w:tblPrEx>
        <w:trPr>
          <w:trHeight w:val="640" w:hRule="atLeast"/>
          <w:tblCellSpacing w:w="0" w:type="dxa"/>
        </w:trPr>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E5D41">
            <w:pPr>
              <w:pStyle w:val="31"/>
              <w:spacing w:beforeAutospacing="0" w:afterAutospacing="0"/>
              <w:jc w:val="center"/>
              <w:rPr>
                <w:sz w:val="21"/>
                <w:szCs w:val="21"/>
              </w:rPr>
            </w:pPr>
            <w:r>
              <w:rPr>
                <w:rFonts w:hint="eastAsia"/>
                <w:sz w:val="21"/>
                <w:szCs w:val="21"/>
              </w:rPr>
              <w:t> </w:t>
            </w:r>
          </w:p>
        </w:tc>
        <w:tc>
          <w:tcPr>
            <w:tcW w:w="13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4D657">
            <w:pPr>
              <w:pStyle w:val="31"/>
              <w:spacing w:beforeAutospacing="0" w:afterAutospacing="0"/>
              <w:jc w:val="center"/>
              <w:rPr>
                <w:sz w:val="21"/>
                <w:szCs w:val="21"/>
              </w:rPr>
            </w:pPr>
            <w:r>
              <w:rPr>
                <w:rFonts w:hint="eastAsia"/>
                <w:sz w:val="21"/>
                <w:szCs w:val="21"/>
              </w:rPr>
              <w:t> </w:t>
            </w: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03434">
            <w:pPr>
              <w:pStyle w:val="31"/>
              <w:spacing w:beforeAutospacing="0" w:afterAutospacing="0"/>
              <w:jc w:val="center"/>
              <w:rPr>
                <w:sz w:val="21"/>
                <w:szCs w:val="21"/>
              </w:rPr>
            </w:pPr>
          </w:p>
        </w:tc>
        <w:tc>
          <w:tcPr>
            <w:tcW w:w="18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EC61C">
            <w:pPr>
              <w:pStyle w:val="31"/>
              <w:spacing w:beforeAutospacing="0" w:afterAutospacing="0"/>
              <w:jc w:val="center"/>
              <w:rPr>
                <w:sz w:val="21"/>
                <w:szCs w:val="21"/>
              </w:rPr>
            </w:pPr>
            <w:r>
              <w:rPr>
                <w:rFonts w:hint="eastAsia"/>
                <w:sz w:val="21"/>
                <w:szCs w:val="21"/>
              </w:rPr>
              <w:t> </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FFA56">
            <w:pPr>
              <w:pStyle w:val="31"/>
              <w:spacing w:beforeAutospacing="0" w:afterAutospacing="0"/>
              <w:jc w:val="center"/>
              <w:rPr>
                <w:sz w:val="21"/>
                <w:szCs w:val="21"/>
              </w:rPr>
            </w:pPr>
          </w:p>
        </w:tc>
        <w:tc>
          <w:tcPr>
            <w:tcW w:w="2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B0C70">
            <w:pPr>
              <w:pStyle w:val="31"/>
              <w:spacing w:beforeAutospacing="0" w:afterAutospacing="0"/>
              <w:jc w:val="center"/>
              <w:rPr>
                <w:sz w:val="21"/>
                <w:szCs w:val="21"/>
              </w:rPr>
            </w:pPr>
            <w:r>
              <w:rPr>
                <w:rFonts w:hint="eastAsia"/>
                <w:sz w:val="21"/>
                <w:szCs w:val="21"/>
              </w:rPr>
              <w:t> </w:t>
            </w:r>
          </w:p>
        </w:tc>
      </w:tr>
      <w:tr w14:paraId="5FEF1F6D">
        <w:tblPrEx>
          <w:tblCellMar>
            <w:top w:w="0" w:type="dxa"/>
            <w:left w:w="108" w:type="dxa"/>
            <w:bottom w:w="0" w:type="dxa"/>
            <w:right w:w="108" w:type="dxa"/>
          </w:tblCellMar>
        </w:tblPrEx>
        <w:trPr>
          <w:trHeight w:val="640" w:hRule="atLeast"/>
          <w:tblCellSpacing w:w="0" w:type="dxa"/>
        </w:trPr>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D123F">
            <w:pPr>
              <w:pStyle w:val="31"/>
              <w:spacing w:beforeAutospacing="0" w:afterAutospacing="0"/>
              <w:jc w:val="center"/>
              <w:rPr>
                <w:sz w:val="21"/>
                <w:szCs w:val="21"/>
              </w:rPr>
            </w:pPr>
            <w:r>
              <w:rPr>
                <w:rFonts w:hint="eastAsia"/>
                <w:sz w:val="21"/>
                <w:szCs w:val="21"/>
              </w:rPr>
              <w:t> </w:t>
            </w:r>
          </w:p>
        </w:tc>
        <w:tc>
          <w:tcPr>
            <w:tcW w:w="13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A3E20">
            <w:pPr>
              <w:pStyle w:val="31"/>
              <w:spacing w:beforeAutospacing="0" w:afterAutospacing="0"/>
              <w:jc w:val="center"/>
              <w:rPr>
                <w:sz w:val="21"/>
                <w:szCs w:val="21"/>
              </w:rPr>
            </w:pPr>
            <w:r>
              <w:rPr>
                <w:rFonts w:hint="eastAsia"/>
                <w:sz w:val="21"/>
                <w:szCs w:val="21"/>
              </w:rPr>
              <w:t> </w:t>
            </w: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5D092">
            <w:pPr>
              <w:pStyle w:val="31"/>
              <w:spacing w:beforeAutospacing="0" w:afterAutospacing="0"/>
              <w:jc w:val="center"/>
              <w:rPr>
                <w:sz w:val="21"/>
                <w:szCs w:val="21"/>
              </w:rPr>
            </w:pPr>
          </w:p>
        </w:tc>
        <w:tc>
          <w:tcPr>
            <w:tcW w:w="18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AF1B9">
            <w:pPr>
              <w:pStyle w:val="31"/>
              <w:spacing w:beforeAutospacing="0" w:afterAutospacing="0"/>
              <w:jc w:val="center"/>
              <w:rPr>
                <w:sz w:val="21"/>
                <w:szCs w:val="21"/>
              </w:rPr>
            </w:pPr>
            <w:r>
              <w:rPr>
                <w:rFonts w:hint="eastAsia"/>
                <w:sz w:val="21"/>
                <w:szCs w:val="21"/>
              </w:rPr>
              <w:t> </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87557">
            <w:pPr>
              <w:pStyle w:val="31"/>
              <w:spacing w:beforeAutospacing="0" w:afterAutospacing="0"/>
              <w:jc w:val="center"/>
              <w:rPr>
                <w:sz w:val="21"/>
                <w:szCs w:val="21"/>
              </w:rPr>
            </w:pPr>
          </w:p>
        </w:tc>
        <w:tc>
          <w:tcPr>
            <w:tcW w:w="2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4C88C">
            <w:pPr>
              <w:pStyle w:val="31"/>
              <w:spacing w:beforeAutospacing="0" w:afterAutospacing="0"/>
              <w:jc w:val="center"/>
              <w:rPr>
                <w:sz w:val="21"/>
                <w:szCs w:val="21"/>
              </w:rPr>
            </w:pPr>
            <w:r>
              <w:rPr>
                <w:rFonts w:hint="eastAsia"/>
                <w:sz w:val="21"/>
                <w:szCs w:val="21"/>
              </w:rPr>
              <w:t> </w:t>
            </w:r>
          </w:p>
        </w:tc>
      </w:tr>
      <w:tr w14:paraId="690224A6">
        <w:tblPrEx>
          <w:tblCellMar>
            <w:top w:w="0" w:type="dxa"/>
            <w:left w:w="108" w:type="dxa"/>
            <w:bottom w:w="0" w:type="dxa"/>
            <w:right w:w="108" w:type="dxa"/>
          </w:tblCellMar>
        </w:tblPrEx>
        <w:trPr>
          <w:trHeight w:val="640" w:hRule="atLeast"/>
          <w:tblCellSpacing w:w="0" w:type="dxa"/>
        </w:trPr>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FC9BD">
            <w:pPr>
              <w:pStyle w:val="31"/>
              <w:spacing w:beforeAutospacing="0" w:afterAutospacing="0"/>
              <w:jc w:val="center"/>
              <w:rPr>
                <w:sz w:val="21"/>
                <w:szCs w:val="21"/>
              </w:rPr>
            </w:pPr>
            <w:r>
              <w:rPr>
                <w:rFonts w:hint="eastAsia"/>
                <w:sz w:val="21"/>
                <w:szCs w:val="21"/>
              </w:rPr>
              <w:t> </w:t>
            </w:r>
          </w:p>
        </w:tc>
        <w:tc>
          <w:tcPr>
            <w:tcW w:w="13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DE855">
            <w:pPr>
              <w:pStyle w:val="31"/>
              <w:spacing w:beforeAutospacing="0" w:afterAutospacing="0"/>
              <w:jc w:val="center"/>
              <w:rPr>
                <w:sz w:val="21"/>
                <w:szCs w:val="21"/>
              </w:rPr>
            </w:pPr>
            <w:r>
              <w:rPr>
                <w:rFonts w:hint="eastAsia"/>
                <w:sz w:val="21"/>
                <w:szCs w:val="21"/>
              </w:rPr>
              <w:t> </w:t>
            </w: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D62A5">
            <w:pPr>
              <w:pStyle w:val="31"/>
              <w:spacing w:beforeAutospacing="0" w:afterAutospacing="0"/>
              <w:jc w:val="center"/>
              <w:rPr>
                <w:sz w:val="21"/>
                <w:szCs w:val="21"/>
              </w:rPr>
            </w:pPr>
          </w:p>
        </w:tc>
        <w:tc>
          <w:tcPr>
            <w:tcW w:w="18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FB9DB">
            <w:pPr>
              <w:pStyle w:val="31"/>
              <w:spacing w:beforeAutospacing="0" w:afterAutospacing="0"/>
              <w:jc w:val="center"/>
              <w:rPr>
                <w:sz w:val="21"/>
                <w:szCs w:val="21"/>
              </w:rPr>
            </w:pPr>
            <w:r>
              <w:rPr>
                <w:rFonts w:hint="eastAsia"/>
                <w:sz w:val="21"/>
                <w:szCs w:val="21"/>
              </w:rPr>
              <w:t> </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A5152">
            <w:pPr>
              <w:pStyle w:val="31"/>
              <w:spacing w:beforeAutospacing="0" w:afterAutospacing="0"/>
              <w:jc w:val="center"/>
              <w:rPr>
                <w:sz w:val="21"/>
                <w:szCs w:val="21"/>
              </w:rPr>
            </w:pPr>
          </w:p>
        </w:tc>
        <w:tc>
          <w:tcPr>
            <w:tcW w:w="2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2B938">
            <w:pPr>
              <w:pStyle w:val="31"/>
              <w:spacing w:beforeAutospacing="0" w:afterAutospacing="0"/>
              <w:jc w:val="center"/>
              <w:rPr>
                <w:sz w:val="21"/>
                <w:szCs w:val="21"/>
              </w:rPr>
            </w:pPr>
            <w:r>
              <w:rPr>
                <w:rFonts w:hint="eastAsia"/>
                <w:sz w:val="21"/>
                <w:szCs w:val="21"/>
              </w:rPr>
              <w:t> </w:t>
            </w:r>
          </w:p>
        </w:tc>
      </w:tr>
      <w:tr w14:paraId="033506A0">
        <w:tblPrEx>
          <w:tblCellMar>
            <w:top w:w="0" w:type="dxa"/>
            <w:left w:w="108" w:type="dxa"/>
            <w:bottom w:w="0" w:type="dxa"/>
            <w:right w:w="108" w:type="dxa"/>
          </w:tblCellMar>
        </w:tblPrEx>
        <w:trPr>
          <w:trHeight w:val="640" w:hRule="atLeast"/>
          <w:tblCellSpacing w:w="0" w:type="dxa"/>
        </w:trPr>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A61CF">
            <w:pPr>
              <w:pStyle w:val="31"/>
              <w:spacing w:beforeAutospacing="0" w:afterAutospacing="0"/>
              <w:jc w:val="center"/>
              <w:rPr>
                <w:sz w:val="21"/>
                <w:szCs w:val="21"/>
              </w:rPr>
            </w:pPr>
            <w:r>
              <w:rPr>
                <w:rFonts w:hint="eastAsia"/>
                <w:sz w:val="21"/>
                <w:szCs w:val="21"/>
              </w:rPr>
              <w:t> </w:t>
            </w:r>
          </w:p>
        </w:tc>
        <w:tc>
          <w:tcPr>
            <w:tcW w:w="13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43E96">
            <w:pPr>
              <w:pStyle w:val="31"/>
              <w:spacing w:beforeAutospacing="0" w:afterAutospacing="0"/>
              <w:jc w:val="center"/>
              <w:rPr>
                <w:sz w:val="21"/>
                <w:szCs w:val="21"/>
              </w:rPr>
            </w:pPr>
            <w:r>
              <w:rPr>
                <w:rFonts w:hint="eastAsia"/>
                <w:sz w:val="21"/>
                <w:szCs w:val="21"/>
              </w:rPr>
              <w:t> </w:t>
            </w: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8FC72">
            <w:pPr>
              <w:pStyle w:val="31"/>
              <w:spacing w:beforeAutospacing="0" w:afterAutospacing="0"/>
              <w:jc w:val="center"/>
              <w:rPr>
                <w:sz w:val="21"/>
                <w:szCs w:val="21"/>
              </w:rPr>
            </w:pPr>
          </w:p>
        </w:tc>
        <w:tc>
          <w:tcPr>
            <w:tcW w:w="18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20426">
            <w:pPr>
              <w:pStyle w:val="31"/>
              <w:spacing w:beforeAutospacing="0" w:afterAutospacing="0"/>
              <w:jc w:val="center"/>
              <w:rPr>
                <w:sz w:val="21"/>
                <w:szCs w:val="21"/>
              </w:rPr>
            </w:pPr>
            <w:r>
              <w:rPr>
                <w:rFonts w:hint="eastAsia"/>
                <w:sz w:val="21"/>
                <w:szCs w:val="21"/>
              </w:rPr>
              <w:t> </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AF990">
            <w:pPr>
              <w:pStyle w:val="31"/>
              <w:spacing w:beforeAutospacing="0" w:afterAutospacing="0"/>
              <w:jc w:val="center"/>
              <w:rPr>
                <w:sz w:val="21"/>
                <w:szCs w:val="21"/>
              </w:rPr>
            </w:pPr>
          </w:p>
        </w:tc>
        <w:tc>
          <w:tcPr>
            <w:tcW w:w="2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0FD88">
            <w:pPr>
              <w:pStyle w:val="31"/>
              <w:spacing w:beforeAutospacing="0" w:afterAutospacing="0"/>
              <w:jc w:val="center"/>
              <w:rPr>
                <w:sz w:val="21"/>
                <w:szCs w:val="21"/>
              </w:rPr>
            </w:pPr>
            <w:r>
              <w:rPr>
                <w:rFonts w:hint="eastAsia"/>
                <w:sz w:val="21"/>
                <w:szCs w:val="21"/>
              </w:rPr>
              <w:t> </w:t>
            </w:r>
          </w:p>
        </w:tc>
      </w:tr>
      <w:tr w14:paraId="7F133AE2">
        <w:tblPrEx>
          <w:tblCellMar>
            <w:top w:w="0" w:type="dxa"/>
            <w:left w:w="108" w:type="dxa"/>
            <w:bottom w:w="0" w:type="dxa"/>
            <w:right w:w="108" w:type="dxa"/>
          </w:tblCellMar>
        </w:tblPrEx>
        <w:trPr>
          <w:trHeight w:val="640" w:hRule="atLeast"/>
          <w:tblCellSpacing w:w="0" w:type="dxa"/>
        </w:trPr>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E2799">
            <w:pPr>
              <w:pStyle w:val="31"/>
              <w:spacing w:beforeAutospacing="0" w:afterAutospacing="0"/>
              <w:jc w:val="center"/>
              <w:rPr>
                <w:sz w:val="21"/>
                <w:szCs w:val="21"/>
              </w:rPr>
            </w:pPr>
            <w:r>
              <w:rPr>
                <w:rFonts w:hint="eastAsia"/>
                <w:sz w:val="21"/>
                <w:szCs w:val="21"/>
              </w:rPr>
              <w:t> </w:t>
            </w:r>
          </w:p>
        </w:tc>
        <w:tc>
          <w:tcPr>
            <w:tcW w:w="13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AB4F7">
            <w:pPr>
              <w:pStyle w:val="31"/>
              <w:spacing w:beforeAutospacing="0" w:afterAutospacing="0"/>
              <w:jc w:val="center"/>
              <w:rPr>
                <w:sz w:val="21"/>
                <w:szCs w:val="21"/>
              </w:rPr>
            </w:pPr>
            <w:r>
              <w:rPr>
                <w:rFonts w:hint="eastAsia"/>
                <w:sz w:val="21"/>
                <w:szCs w:val="21"/>
              </w:rPr>
              <w:t> </w:t>
            </w: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4DA10">
            <w:pPr>
              <w:pStyle w:val="31"/>
              <w:spacing w:beforeAutospacing="0" w:afterAutospacing="0"/>
              <w:jc w:val="center"/>
              <w:rPr>
                <w:sz w:val="21"/>
                <w:szCs w:val="21"/>
              </w:rPr>
            </w:pPr>
          </w:p>
        </w:tc>
        <w:tc>
          <w:tcPr>
            <w:tcW w:w="18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D880D">
            <w:pPr>
              <w:pStyle w:val="31"/>
              <w:spacing w:beforeAutospacing="0" w:afterAutospacing="0"/>
              <w:jc w:val="center"/>
              <w:rPr>
                <w:sz w:val="21"/>
                <w:szCs w:val="21"/>
              </w:rPr>
            </w:pPr>
            <w:r>
              <w:rPr>
                <w:rFonts w:hint="eastAsia"/>
                <w:sz w:val="21"/>
                <w:szCs w:val="21"/>
              </w:rPr>
              <w:t> </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645B1">
            <w:pPr>
              <w:pStyle w:val="31"/>
              <w:spacing w:beforeAutospacing="0" w:afterAutospacing="0"/>
              <w:jc w:val="center"/>
              <w:rPr>
                <w:sz w:val="21"/>
                <w:szCs w:val="21"/>
              </w:rPr>
            </w:pPr>
          </w:p>
        </w:tc>
        <w:tc>
          <w:tcPr>
            <w:tcW w:w="2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82C14">
            <w:pPr>
              <w:pStyle w:val="31"/>
              <w:spacing w:beforeAutospacing="0" w:afterAutospacing="0"/>
              <w:jc w:val="center"/>
              <w:rPr>
                <w:sz w:val="21"/>
                <w:szCs w:val="21"/>
              </w:rPr>
            </w:pPr>
            <w:r>
              <w:rPr>
                <w:rFonts w:hint="eastAsia"/>
                <w:sz w:val="21"/>
                <w:szCs w:val="21"/>
              </w:rPr>
              <w:t> </w:t>
            </w:r>
          </w:p>
        </w:tc>
      </w:tr>
      <w:tr w14:paraId="7213B3DD">
        <w:tblPrEx>
          <w:tblCellMar>
            <w:top w:w="0" w:type="dxa"/>
            <w:left w:w="108" w:type="dxa"/>
            <w:bottom w:w="0" w:type="dxa"/>
            <w:right w:w="108" w:type="dxa"/>
          </w:tblCellMar>
        </w:tblPrEx>
        <w:trPr>
          <w:trHeight w:val="640" w:hRule="atLeast"/>
          <w:tblCellSpacing w:w="0" w:type="dxa"/>
        </w:trPr>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2A4A4">
            <w:pPr>
              <w:pStyle w:val="31"/>
              <w:spacing w:beforeAutospacing="0" w:afterAutospacing="0"/>
              <w:jc w:val="center"/>
              <w:rPr>
                <w:sz w:val="21"/>
                <w:szCs w:val="21"/>
              </w:rPr>
            </w:pPr>
            <w:r>
              <w:rPr>
                <w:rFonts w:hint="eastAsia"/>
                <w:sz w:val="21"/>
                <w:szCs w:val="21"/>
              </w:rPr>
              <w:t> </w:t>
            </w:r>
          </w:p>
        </w:tc>
        <w:tc>
          <w:tcPr>
            <w:tcW w:w="13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7C14C">
            <w:pPr>
              <w:pStyle w:val="31"/>
              <w:spacing w:beforeAutospacing="0" w:afterAutospacing="0"/>
              <w:jc w:val="center"/>
              <w:rPr>
                <w:sz w:val="21"/>
                <w:szCs w:val="21"/>
              </w:rPr>
            </w:pPr>
            <w:r>
              <w:rPr>
                <w:rFonts w:hint="eastAsia"/>
                <w:sz w:val="21"/>
                <w:szCs w:val="21"/>
              </w:rPr>
              <w:t> </w:t>
            </w: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ABA26">
            <w:pPr>
              <w:pStyle w:val="31"/>
              <w:spacing w:beforeAutospacing="0" w:afterAutospacing="0"/>
              <w:jc w:val="center"/>
              <w:rPr>
                <w:sz w:val="21"/>
                <w:szCs w:val="21"/>
              </w:rPr>
            </w:pPr>
          </w:p>
        </w:tc>
        <w:tc>
          <w:tcPr>
            <w:tcW w:w="18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E0EAC">
            <w:pPr>
              <w:pStyle w:val="31"/>
              <w:spacing w:beforeAutospacing="0" w:afterAutospacing="0"/>
              <w:jc w:val="center"/>
              <w:rPr>
                <w:sz w:val="21"/>
                <w:szCs w:val="21"/>
              </w:rPr>
            </w:pPr>
            <w:r>
              <w:rPr>
                <w:rFonts w:hint="eastAsia"/>
                <w:sz w:val="21"/>
                <w:szCs w:val="21"/>
              </w:rPr>
              <w:t> </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37365">
            <w:pPr>
              <w:pStyle w:val="31"/>
              <w:spacing w:beforeAutospacing="0" w:afterAutospacing="0"/>
              <w:jc w:val="center"/>
              <w:rPr>
                <w:sz w:val="21"/>
                <w:szCs w:val="21"/>
              </w:rPr>
            </w:pPr>
          </w:p>
        </w:tc>
        <w:tc>
          <w:tcPr>
            <w:tcW w:w="2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AA103">
            <w:pPr>
              <w:pStyle w:val="31"/>
              <w:spacing w:beforeAutospacing="0" w:afterAutospacing="0"/>
              <w:jc w:val="center"/>
              <w:rPr>
                <w:sz w:val="21"/>
                <w:szCs w:val="21"/>
              </w:rPr>
            </w:pPr>
            <w:r>
              <w:rPr>
                <w:rFonts w:hint="eastAsia"/>
                <w:sz w:val="21"/>
                <w:szCs w:val="21"/>
              </w:rPr>
              <w:t> </w:t>
            </w:r>
          </w:p>
        </w:tc>
      </w:tr>
      <w:tr w14:paraId="490C0F2C">
        <w:tblPrEx>
          <w:tblCellMar>
            <w:top w:w="0" w:type="dxa"/>
            <w:left w:w="108" w:type="dxa"/>
            <w:bottom w:w="0" w:type="dxa"/>
            <w:right w:w="108" w:type="dxa"/>
          </w:tblCellMar>
        </w:tblPrEx>
        <w:trPr>
          <w:trHeight w:val="640" w:hRule="atLeast"/>
          <w:tblCellSpacing w:w="0" w:type="dxa"/>
        </w:trPr>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FBDD3">
            <w:pPr>
              <w:pStyle w:val="31"/>
              <w:spacing w:beforeAutospacing="0" w:afterAutospacing="0"/>
              <w:jc w:val="center"/>
              <w:rPr>
                <w:sz w:val="21"/>
                <w:szCs w:val="21"/>
              </w:rPr>
            </w:pPr>
            <w:r>
              <w:rPr>
                <w:rFonts w:hint="eastAsia"/>
                <w:sz w:val="21"/>
                <w:szCs w:val="21"/>
              </w:rPr>
              <w:t> </w:t>
            </w:r>
          </w:p>
        </w:tc>
        <w:tc>
          <w:tcPr>
            <w:tcW w:w="13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BE009">
            <w:pPr>
              <w:pStyle w:val="31"/>
              <w:spacing w:beforeAutospacing="0" w:afterAutospacing="0"/>
              <w:jc w:val="center"/>
              <w:rPr>
                <w:sz w:val="21"/>
                <w:szCs w:val="21"/>
              </w:rPr>
            </w:pPr>
            <w:r>
              <w:rPr>
                <w:rFonts w:hint="eastAsia"/>
                <w:sz w:val="21"/>
                <w:szCs w:val="21"/>
              </w:rPr>
              <w:t> </w:t>
            </w: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11BC8">
            <w:pPr>
              <w:pStyle w:val="31"/>
              <w:spacing w:beforeAutospacing="0" w:afterAutospacing="0"/>
              <w:jc w:val="center"/>
              <w:rPr>
                <w:sz w:val="21"/>
                <w:szCs w:val="21"/>
              </w:rPr>
            </w:pPr>
          </w:p>
        </w:tc>
        <w:tc>
          <w:tcPr>
            <w:tcW w:w="18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F27DD">
            <w:pPr>
              <w:pStyle w:val="31"/>
              <w:spacing w:beforeAutospacing="0" w:afterAutospacing="0"/>
              <w:jc w:val="center"/>
              <w:rPr>
                <w:sz w:val="21"/>
                <w:szCs w:val="21"/>
              </w:rPr>
            </w:pPr>
            <w:r>
              <w:rPr>
                <w:rFonts w:hint="eastAsia"/>
                <w:sz w:val="21"/>
                <w:szCs w:val="21"/>
              </w:rPr>
              <w:t> </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DA073">
            <w:pPr>
              <w:pStyle w:val="31"/>
              <w:spacing w:beforeAutospacing="0" w:afterAutospacing="0"/>
              <w:jc w:val="center"/>
              <w:rPr>
                <w:sz w:val="21"/>
                <w:szCs w:val="21"/>
              </w:rPr>
            </w:pPr>
          </w:p>
        </w:tc>
        <w:tc>
          <w:tcPr>
            <w:tcW w:w="2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179E0">
            <w:pPr>
              <w:pStyle w:val="31"/>
              <w:spacing w:beforeAutospacing="0" w:afterAutospacing="0"/>
              <w:jc w:val="center"/>
              <w:rPr>
                <w:sz w:val="21"/>
                <w:szCs w:val="21"/>
              </w:rPr>
            </w:pPr>
            <w:r>
              <w:rPr>
                <w:rFonts w:hint="eastAsia"/>
                <w:sz w:val="21"/>
                <w:szCs w:val="21"/>
              </w:rPr>
              <w:t> </w:t>
            </w:r>
          </w:p>
        </w:tc>
      </w:tr>
      <w:tr w14:paraId="391C50A2">
        <w:tblPrEx>
          <w:tblCellMar>
            <w:top w:w="0" w:type="dxa"/>
            <w:left w:w="108" w:type="dxa"/>
            <w:bottom w:w="0" w:type="dxa"/>
            <w:right w:w="108" w:type="dxa"/>
          </w:tblCellMar>
        </w:tblPrEx>
        <w:trPr>
          <w:trHeight w:val="640" w:hRule="atLeast"/>
          <w:tblCellSpacing w:w="0" w:type="dxa"/>
        </w:trPr>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86342">
            <w:pPr>
              <w:pStyle w:val="31"/>
              <w:spacing w:beforeAutospacing="0" w:afterAutospacing="0"/>
              <w:jc w:val="center"/>
              <w:rPr>
                <w:sz w:val="21"/>
                <w:szCs w:val="21"/>
              </w:rPr>
            </w:pPr>
            <w:r>
              <w:rPr>
                <w:rFonts w:hint="eastAsia"/>
                <w:sz w:val="21"/>
                <w:szCs w:val="21"/>
              </w:rPr>
              <w:t> </w:t>
            </w:r>
          </w:p>
        </w:tc>
        <w:tc>
          <w:tcPr>
            <w:tcW w:w="13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F288B">
            <w:pPr>
              <w:pStyle w:val="31"/>
              <w:spacing w:beforeAutospacing="0" w:afterAutospacing="0"/>
              <w:jc w:val="center"/>
              <w:rPr>
                <w:sz w:val="21"/>
                <w:szCs w:val="21"/>
              </w:rPr>
            </w:pPr>
            <w:r>
              <w:rPr>
                <w:rFonts w:hint="eastAsia"/>
                <w:sz w:val="21"/>
                <w:szCs w:val="21"/>
              </w:rPr>
              <w:t> </w:t>
            </w: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A2069">
            <w:pPr>
              <w:pStyle w:val="31"/>
              <w:spacing w:beforeAutospacing="0" w:afterAutospacing="0"/>
              <w:jc w:val="center"/>
              <w:rPr>
                <w:sz w:val="21"/>
                <w:szCs w:val="21"/>
              </w:rPr>
            </w:pPr>
          </w:p>
        </w:tc>
        <w:tc>
          <w:tcPr>
            <w:tcW w:w="18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483E1">
            <w:pPr>
              <w:pStyle w:val="31"/>
              <w:spacing w:beforeAutospacing="0" w:afterAutospacing="0"/>
              <w:jc w:val="center"/>
              <w:rPr>
                <w:sz w:val="21"/>
                <w:szCs w:val="21"/>
              </w:rPr>
            </w:pPr>
            <w:r>
              <w:rPr>
                <w:rFonts w:hint="eastAsia"/>
                <w:sz w:val="21"/>
                <w:szCs w:val="21"/>
              </w:rPr>
              <w:t> </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C8011">
            <w:pPr>
              <w:pStyle w:val="31"/>
              <w:spacing w:beforeAutospacing="0" w:afterAutospacing="0"/>
              <w:jc w:val="center"/>
              <w:rPr>
                <w:sz w:val="21"/>
                <w:szCs w:val="21"/>
              </w:rPr>
            </w:pPr>
          </w:p>
        </w:tc>
        <w:tc>
          <w:tcPr>
            <w:tcW w:w="29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69EEB">
            <w:pPr>
              <w:pStyle w:val="31"/>
              <w:spacing w:beforeAutospacing="0" w:afterAutospacing="0"/>
              <w:jc w:val="center"/>
              <w:rPr>
                <w:sz w:val="21"/>
                <w:szCs w:val="21"/>
              </w:rPr>
            </w:pPr>
            <w:r>
              <w:rPr>
                <w:rFonts w:hint="eastAsia"/>
                <w:sz w:val="21"/>
                <w:szCs w:val="21"/>
              </w:rPr>
              <w:t> </w:t>
            </w:r>
          </w:p>
        </w:tc>
      </w:tr>
    </w:tbl>
    <w:p w14:paraId="3F6C7B25">
      <w:pPr>
        <w:pStyle w:val="31"/>
        <w:spacing w:beforeAutospacing="0" w:afterAutospacing="0"/>
        <w:jc w:val="both"/>
      </w:pPr>
      <w:r>
        <w:rPr>
          <w:rFonts w:hint="eastAsia"/>
          <w:sz w:val="21"/>
          <w:szCs w:val="21"/>
        </w:rPr>
        <w:t>注： 行数不够，可自行添加。出现超出或偏离时详细列明。</w:t>
      </w:r>
    </w:p>
    <w:p w14:paraId="013CC14F">
      <w:pPr>
        <w:pStyle w:val="31"/>
        <w:spacing w:beforeAutospacing="0" w:afterAutospacing="0" w:line="480" w:lineRule="auto"/>
        <w:jc w:val="both"/>
      </w:pPr>
      <w:r>
        <w:rPr>
          <w:rFonts w:hint="eastAsia"/>
        </w:rPr>
        <w:t> </w:t>
      </w:r>
    </w:p>
    <w:p w14:paraId="4F5F1F1A">
      <w:pPr>
        <w:pStyle w:val="31"/>
        <w:spacing w:beforeAutospacing="0" w:afterAutospacing="0" w:line="480" w:lineRule="auto"/>
        <w:jc w:val="both"/>
      </w:pPr>
      <w:r>
        <w:rPr>
          <w:rFonts w:hint="eastAsia"/>
        </w:rPr>
        <w:t> </w:t>
      </w:r>
    </w:p>
    <w:p w14:paraId="6BB8742E">
      <w:pPr>
        <w:pStyle w:val="31"/>
        <w:spacing w:beforeAutospacing="0" w:afterAutospacing="0"/>
        <w:jc w:val="center"/>
      </w:pPr>
      <w:bookmarkStart w:id="14" w:name="_格式2__法定代表人授权书"/>
      <w:bookmarkStart w:id="15" w:name="_Hlt26671374"/>
      <w:bookmarkStart w:id="16" w:name="_Hlt26609389"/>
      <w:bookmarkStart w:id="17" w:name="_Toc462564146"/>
      <w:bookmarkStart w:id="18" w:name="_Hlt26955066"/>
      <w:r>
        <w:rPr>
          <w:rFonts w:hint="eastAsia"/>
        </w:rPr>
        <w:t> </w:t>
      </w:r>
    </w:p>
    <w:p w14:paraId="5ADBA85B">
      <w:pPr>
        <w:pStyle w:val="31"/>
        <w:spacing w:beforeAutospacing="0" w:afterAutospacing="0"/>
        <w:jc w:val="both"/>
      </w:pPr>
      <w:r>
        <w:rPr>
          <w:rFonts w:hint="eastAsia"/>
        </w:rPr>
        <w:t> </w:t>
      </w:r>
    </w:p>
    <w:p w14:paraId="63D52EF2">
      <w:pPr>
        <w:pStyle w:val="31"/>
        <w:spacing w:beforeAutospacing="0" w:afterAutospacing="0"/>
        <w:jc w:val="both"/>
      </w:pPr>
      <w:r>
        <w:rPr>
          <w:rFonts w:hint="eastAsia"/>
        </w:rPr>
        <w:t> </w:t>
      </w:r>
    </w:p>
    <w:p w14:paraId="489ED94F">
      <w:pPr>
        <w:pStyle w:val="31"/>
        <w:spacing w:beforeAutospacing="0" w:afterAutospacing="0"/>
        <w:jc w:val="both"/>
      </w:pPr>
    </w:p>
    <w:p w14:paraId="4544171C">
      <w:pPr>
        <w:pStyle w:val="31"/>
        <w:spacing w:beforeAutospacing="0" w:afterAutospacing="0"/>
        <w:jc w:val="both"/>
      </w:pPr>
    </w:p>
    <w:p w14:paraId="4EA34CC3">
      <w:pPr>
        <w:pStyle w:val="31"/>
        <w:spacing w:beforeAutospacing="0" w:afterAutospacing="0"/>
        <w:jc w:val="both"/>
      </w:pPr>
    </w:p>
    <w:p w14:paraId="3A4E0233">
      <w:pPr>
        <w:pStyle w:val="31"/>
        <w:spacing w:beforeAutospacing="0" w:afterAutospacing="0"/>
        <w:jc w:val="both"/>
      </w:pPr>
    </w:p>
    <w:p w14:paraId="066640F3">
      <w:pPr>
        <w:pStyle w:val="31"/>
        <w:spacing w:beforeAutospacing="0" w:afterAutospacing="0"/>
        <w:jc w:val="both"/>
        <w:rPr>
          <w:b/>
          <w:i/>
          <w:sz w:val="32"/>
          <w:szCs w:val="32"/>
          <w:u w:val="single"/>
        </w:rPr>
      </w:pPr>
    </w:p>
    <w:p w14:paraId="6B4615A3">
      <w:pPr>
        <w:pStyle w:val="31"/>
        <w:spacing w:beforeAutospacing="0" w:afterAutospacing="0"/>
        <w:jc w:val="both"/>
        <w:rPr>
          <w:b/>
          <w:i/>
          <w:sz w:val="32"/>
          <w:szCs w:val="32"/>
          <w:u w:val="single"/>
        </w:rPr>
      </w:pPr>
    </w:p>
    <w:p w14:paraId="514F3E83">
      <w:pPr>
        <w:pStyle w:val="31"/>
        <w:spacing w:beforeAutospacing="0" w:afterAutospacing="0"/>
        <w:jc w:val="both"/>
        <w:rPr>
          <w:b/>
          <w:i/>
          <w:sz w:val="32"/>
          <w:szCs w:val="32"/>
          <w:u w:val="single"/>
        </w:rPr>
      </w:pPr>
    </w:p>
    <w:p w14:paraId="7D93DEB5">
      <w:pPr>
        <w:pStyle w:val="31"/>
        <w:spacing w:beforeAutospacing="0" w:afterAutospacing="0"/>
        <w:jc w:val="both"/>
        <w:rPr>
          <w:b/>
          <w:iCs/>
          <w:sz w:val="32"/>
          <w:szCs w:val="32"/>
          <w:u w:val="single"/>
        </w:rPr>
      </w:pPr>
    </w:p>
    <w:p w14:paraId="165E2E45">
      <w:pPr>
        <w:pStyle w:val="31"/>
        <w:spacing w:beforeAutospacing="0" w:afterAutospacing="0"/>
        <w:jc w:val="both"/>
        <w:rPr>
          <w:b/>
          <w:iCs/>
          <w:sz w:val="32"/>
          <w:szCs w:val="32"/>
          <w:u w:val="single"/>
        </w:rPr>
      </w:pPr>
    </w:p>
    <w:p w14:paraId="091A02D3">
      <w:pPr>
        <w:pStyle w:val="31"/>
        <w:spacing w:beforeAutospacing="0" w:afterAutospacing="0"/>
        <w:jc w:val="both"/>
      </w:pPr>
      <w:r>
        <w:rPr>
          <w:rFonts w:hint="eastAsia"/>
          <w:b/>
          <w:iCs/>
          <w:sz w:val="32"/>
          <w:szCs w:val="32"/>
          <w:u w:val="single"/>
        </w:rPr>
        <w:t>十</w:t>
      </w:r>
      <w:r>
        <w:rPr>
          <w:rFonts w:hint="eastAsia"/>
          <w:b/>
          <w:iCs/>
          <w:sz w:val="32"/>
          <w:szCs w:val="32"/>
          <w:u w:val="single"/>
          <w:lang w:val="en-US" w:eastAsia="zh-CN"/>
        </w:rPr>
        <w:t>六</w:t>
      </w:r>
      <w:r>
        <w:rPr>
          <w:rFonts w:hint="eastAsia"/>
          <w:b/>
          <w:iCs/>
          <w:sz w:val="32"/>
          <w:szCs w:val="32"/>
          <w:u w:val="single"/>
        </w:rPr>
        <w:t>、开标一览表</w:t>
      </w:r>
    </w:p>
    <w:p w14:paraId="12F5495A">
      <w:pPr>
        <w:pStyle w:val="31"/>
        <w:spacing w:beforeAutospacing="0" w:afterAutospacing="0"/>
        <w:jc w:val="both"/>
        <w:rPr>
          <w:sz w:val="21"/>
          <w:szCs w:val="21"/>
        </w:rPr>
      </w:pPr>
      <w:r>
        <w:rPr>
          <w:rFonts w:hint="eastAsia"/>
          <w:sz w:val="21"/>
          <w:szCs w:val="21"/>
        </w:rPr>
        <w:t>投标人全称（加盖CA电子签章）：</w:t>
      </w:r>
    </w:p>
    <w:p w14:paraId="771CBE96">
      <w:pPr>
        <w:pStyle w:val="31"/>
        <w:spacing w:beforeAutospacing="0" w:afterAutospacing="0"/>
        <w:jc w:val="both"/>
        <w:rPr>
          <w:sz w:val="21"/>
          <w:szCs w:val="21"/>
        </w:rPr>
      </w:pPr>
      <w:r>
        <w:rPr>
          <w:rFonts w:hint="eastAsia"/>
          <w:sz w:val="21"/>
          <w:szCs w:val="21"/>
        </w:rPr>
        <w:t>项目名称：</w:t>
      </w:r>
    </w:p>
    <w:p w14:paraId="35DE57DA">
      <w:pPr>
        <w:pStyle w:val="31"/>
        <w:spacing w:beforeAutospacing="0" w:afterAutospacing="0"/>
        <w:jc w:val="both"/>
        <w:rPr>
          <w:sz w:val="21"/>
          <w:szCs w:val="21"/>
        </w:rPr>
      </w:pPr>
      <w:r>
        <w:rPr>
          <w:rFonts w:hint="eastAsia"/>
          <w:sz w:val="21"/>
          <w:szCs w:val="21"/>
        </w:rPr>
        <w:t>项目编号：                </w:t>
      </w:r>
    </w:p>
    <w:p w14:paraId="27800C04">
      <w:pPr>
        <w:pStyle w:val="31"/>
        <w:spacing w:beforeAutospacing="0" w:afterAutospacing="0"/>
        <w:jc w:val="both"/>
        <w:rPr>
          <w:sz w:val="21"/>
          <w:szCs w:val="21"/>
        </w:rPr>
      </w:pPr>
      <w:r>
        <w:rPr>
          <w:rFonts w:hint="eastAsia"/>
          <w:sz w:val="21"/>
          <w:szCs w:val="21"/>
        </w:rPr>
        <w:t>分 包 号：</w:t>
      </w:r>
    </w:p>
    <w:tbl>
      <w:tblPr>
        <w:tblStyle w:val="33"/>
        <w:tblW w:w="9982" w:type="dxa"/>
        <w:tblCellSpacing w:w="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82"/>
      </w:tblGrid>
      <w:tr w14:paraId="76E9A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tblCellSpacing w:w="0" w:type="dxa"/>
        </w:trPr>
        <w:tc>
          <w:tcPr>
            <w:tcW w:w="9982" w:type="dxa"/>
            <w:shd w:val="clear" w:color="auto" w:fill="auto"/>
            <w:vAlign w:val="center"/>
          </w:tcPr>
          <w:p w14:paraId="53E30E4A">
            <w:pPr>
              <w:pStyle w:val="31"/>
              <w:spacing w:beforeAutospacing="0" w:afterAutospacing="0"/>
              <w:jc w:val="both"/>
              <w:rPr>
                <w:sz w:val="21"/>
                <w:szCs w:val="21"/>
              </w:rPr>
            </w:pPr>
            <w:r>
              <w:rPr>
                <w:rFonts w:hint="eastAsia"/>
                <w:sz w:val="21"/>
                <w:szCs w:val="21"/>
              </w:rPr>
              <w:t>投标总报价</w:t>
            </w:r>
          </w:p>
        </w:tc>
      </w:tr>
      <w:tr w14:paraId="18576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blCellSpacing w:w="0" w:type="dxa"/>
        </w:trPr>
        <w:tc>
          <w:tcPr>
            <w:tcW w:w="9982" w:type="dxa"/>
            <w:shd w:val="clear" w:color="auto" w:fill="auto"/>
            <w:vAlign w:val="center"/>
          </w:tcPr>
          <w:p w14:paraId="55EF4B1A">
            <w:pPr>
              <w:pStyle w:val="31"/>
              <w:spacing w:beforeAutospacing="0" w:afterAutospacing="0" w:line="0" w:lineRule="atLeast"/>
              <w:rPr>
                <w:sz w:val="21"/>
                <w:szCs w:val="21"/>
              </w:rPr>
            </w:pPr>
            <w:r>
              <w:rPr>
                <w:rFonts w:hint="eastAsia"/>
                <w:sz w:val="21"/>
                <w:szCs w:val="21"/>
              </w:rPr>
              <w:t>小写：            （人民币：                元）</w:t>
            </w:r>
          </w:p>
        </w:tc>
      </w:tr>
    </w:tbl>
    <w:p w14:paraId="6CC58E58">
      <w:pPr>
        <w:pStyle w:val="31"/>
        <w:spacing w:beforeAutospacing="0" w:afterAutospacing="0"/>
        <w:jc w:val="both"/>
        <w:rPr>
          <w:sz w:val="21"/>
          <w:szCs w:val="21"/>
        </w:rPr>
      </w:pPr>
      <w:r>
        <w:rPr>
          <w:rFonts w:hint="eastAsia"/>
          <w:sz w:val="21"/>
          <w:szCs w:val="21"/>
        </w:rPr>
        <w:t> </w:t>
      </w:r>
    </w:p>
    <w:p w14:paraId="48CAC83B">
      <w:pPr>
        <w:pStyle w:val="31"/>
        <w:spacing w:beforeAutospacing="0" w:afterAutospacing="0"/>
        <w:jc w:val="both"/>
        <w:rPr>
          <w:sz w:val="21"/>
          <w:szCs w:val="21"/>
        </w:rPr>
      </w:pPr>
      <w:r>
        <w:rPr>
          <w:rFonts w:hint="eastAsia"/>
          <w:sz w:val="21"/>
          <w:szCs w:val="21"/>
        </w:rPr>
        <w:t xml:space="preserve">                                              日期：  </w:t>
      </w:r>
      <w:r>
        <w:rPr>
          <w:rFonts w:hint="eastAsia"/>
          <w:sz w:val="21"/>
          <w:szCs w:val="21"/>
          <w:u w:val="single"/>
        </w:rPr>
        <w:t xml:space="preserve">     </w:t>
      </w:r>
      <w:r>
        <w:rPr>
          <w:rFonts w:hint="eastAsia"/>
          <w:sz w:val="21"/>
          <w:szCs w:val="21"/>
        </w:rPr>
        <w:t>年</w:t>
      </w:r>
      <w:r>
        <w:rPr>
          <w:rFonts w:hint="eastAsia"/>
          <w:sz w:val="21"/>
          <w:szCs w:val="21"/>
          <w:u w:val="single"/>
        </w:rPr>
        <w:t xml:space="preserve">   </w:t>
      </w:r>
      <w:r>
        <w:rPr>
          <w:rFonts w:hint="eastAsia"/>
          <w:sz w:val="21"/>
          <w:szCs w:val="21"/>
        </w:rPr>
        <w:t>月</w:t>
      </w:r>
      <w:r>
        <w:rPr>
          <w:rFonts w:hint="eastAsia"/>
          <w:sz w:val="21"/>
          <w:szCs w:val="21"/>
          <w:u w:val="single"/>
        </w:rPr>
        <w:t xml:space="preserve">   </w:t>
      </w:r>
      <w:r>
        <w:rPr>
          <w:rFonts w:hint="eastAsia"/>
          <w:sz w:val="21"/>
          <w:szCs w:val="21"/>
        </w:rPr>
        <w:t>日</w:t>
      </w:r>
    </w:p>
    <w:p w14:paraId="404FD0B1">
      <w:pPr>
        <w:pStyle w:val="31"/>
        <w:spacing w:beforeAutospacing="0" w:afterAutospacing="0"/>
        <w:jc w:val="both"/>
      </w:pPr>
      <w:r>
        <w:rPr>
          <w:rFonts w:hint="eastAsia"/>
        </w:rPr>
        <w:t> </w:t>
      </w:r>
    </w:p>
    <w:p w14:paraId="142071F2">
      <w:pPr>
        <w:pStyle w:val="31"/>
        <w:spacing w:beforeAutospacing="0" w:afterAutospacing="0"/>
        <w:jc w:val="center"/>
      </w:pPr>
    </w:p>
    <w:p w14:paraId="3489CEA1">
      <w:pPr>
        <w:widowControl/>
        <w:jc w:val="center"/>
        <w:rPr>
          <w:rFonts w:ascii="宋体" w:hAnsi="宋体" w:cs="宋体"/>
        </w:rPr>
      </w:pPr>
      <w:r>
        <w:rPr>
          <w:rFonts w:hint="eastAsia" w:ascii="宋体" w:hAnsi="宋体" w:cs="宋体"/>
        </w:rPr>
        <w:tab/>
      </w:r>
    </w:p>
    <w:p w14:paraId="11C96D67">
      <w:pPr>
        <w:widowControl/>
        <w:jc w:val="center"/>
        <w:rPr>
          <w:rFonts w:ascii="宋体" w:hAnsi="宋体" w:cs="宋体"/>
        </w:rPr>
      </w:pPr>
    </w:p>
    <w:p w14:paraId="1EBB3E89">
      <w:pPr>
        <w:widowControl/>
        <w:jc w:val="center"/>
        <w:rPr>
          <w:rFonts w:ascii="宋体" w:hAnsi="宋体" w:cs="宋体"/>
        </w:rPr>
      </w:pPr>
    </w:p>
    <w:p w14:paraId="3426BBD4">
      <w:pPr>
        <w:widowControl/>
        <w:jc w:val="center"/>
        <w:rPr>
          <w:rFonts w:ascii="宋体" w:hAnsi="宋体" w:cs="宋体"/>
        </w:rPr>
      </w:pPr>
    </w:p>
    <w:p w14:paraId="017209DD">
      <w:pPr>
        <w:widowControl/>
        <w:jc w:val="center"/>
        <w:rPr>
          <w:rFonts w:ascii="宋体" w:hAnsi="宋体" w:cs="宋体"/>
        </w:rPr>
      </w:pPr>
    </w:p>
    <w:p w14:paraId="4A8DF511">
      <w:pPr>
        <w:widowControl/>
        <w:jc w:val="center"/>
        <w:rPr>
          <w:rFonts w:ascii="宋体" w:hAnsi="宋体" w:cs="宋体"/>
        </w:rPr>
      </w:pPr>
    </w:p>
    <w:p w14:paraId="66A7AC12">
      <w:pPr>
        <w:widowControl/>
        <w:jc w:val="center"/>
        <w:rPr>
          <w:rFonts w:ascii="宋体" w:hAnsi="宋体" w:cs="宋体"/>
        </w:rPr>
      </w:pPr>
    </w:p>
    <w:p w14:paraId="6FCB220A">
      <w:pPr>
        <w:widowControl/>
        <w:jc w:val="center"/>
        <w:rPr>
          <w:rFonts w:ascii="宋体" w:hAnsi="宋体" w:cs="宋体"/>
        </w:rPr>
      </w:pPr>
    </w:p>
    <w:p w14:paraId="0E290682">
      <w:pPr>
        <w:widowControl/>
        <w:jc w:val="center"/>
        <w:rPr>
          <w:rFonts w:ascii="宋体" w:hAnsi="宋体" w:cs="宋体"/>
        </w:rPr>
      </w:pPr>
    </w:p>
    <w:p w14:paraId="3A83D38D">
      <w:pPr>
        <w:widowControl/>
        <w:jc w:val="center"/>
        <w:rPr>
          <w:rFonts w:ascii="宋体" w:hAnsi="宋体" w:cs="宋体"/>
        </w:rPr>
      </w:pPr>
    </w:p>
    <w:p w14:paraId="03E995BB">
      <w:pPr>
        <w:widowControl/>
        <w:jc w:val="center"/>
        <w:rPr>
          <w:rFonts w:ascii="宋体" w:hAnsi="宋体" w:cs="宋体"/>
        </w:rPr>
      </w:pPr>
    </w:p>
    <w:p w14:paraId="443DE464">
      <w:pPr>
        <w:widowControl/>
        <w:jc w:val="center"/>
        <w:rPr>
          <w:rFonts w:ascii="宋体" w:hAnsi="宋体" w:cs="宋体"/>
        </w:rPr>
      </w:pPr>
    </w:p>
    <w:p w14:paraId="773266A0">
      <w:pPr>
        <w:widowControl/>
        <w:jc w:val="center"/>
        <w:rPr>
          <w:rFonts w:ascii="宋体" w:hAnsi="宋体" w:cs="宋体"/>
        </w:rPr>
      </w:pPr>
    </w:p>
    <w:p w14:paraId="392B3DC6">
      <w:pPr>
        <w:widowControl/>
        <w:jc w:val="center"/>
        <w:rPr>
          <w:rFonts w:ascii="宋体" w:hAnsi="宋体" w:cs="宋体"/>
        </w:rPr>
      </w:pPr>
    </w:p>
    <w:p w14:paraId="3061C1E7">
      <w:pPr>
        <w:widowControl/>
        <w:jc w:val="center"/>
        <w:rPr>
          <w:rFonts w:ascii="宋体" w:hAnsi="宋体" w:cs="宋体"/>
        </w:rPr>
      </w:pPr>
    </w:p>
    <w:p w14:paraId="737D9BF5">
      <w:pPr>
        <w:widowControl/>
        <w:jc w:val="center"/>
        <w:rPr>
          <w:rFonts w:ascii="宋体" w:hAnsi="宋体" w:cs="宋体"/>
        </w:rPr>
      </w:pPr>
    </w:p>
    <w:p w14:paraId="29368AB6">
      <w:pPr>
        <w:widowControl/>
        <w:jc w:val="center"/>
        <w:rPr>
          <w:rFonts w:ascii="宋体" w:hAnsi="宋体" w:cs="宋体"/>
        </w:rPr>
      </w:pPr>
    </w:p>
    <w:p w14:paraId="67BE0D8A">
      <w:pPr>
        <w:widowControl/>
        <w:jc w:val="center"/>
        <w:rPr>
          <w:rFonts w:ascii="宋体" w:hAnsi="宋体" w:cs="宋体"/>
        </w:rPr>
      </w:pPr>
    </w:p>
    <w:p w14:paraId="4D8D8060">
      <w:pPr>
        <w:widowControl/>
        <w:jc w:val="center"/>
        <w:rPr>
          <w:rFonts w:ascii="宋体" w:hAnsi="宋体" w:cs="宋体"/>
        </w:rPr>
      </w:pPr>
    </w:p>
    <w:p w14:paraId="7CC31F0D">
      <w:pPr>
        <w:widowControl/>
        <w:jc w:val="center"/>
        <w:rPr>
          <w:rFonts w:ascii="宋体" w:hAnsi="宋体" w:cs="宋体"/>
        </w:rPr>
      </w:pPr>
    </w:p>
    <w:p w14:paraId="65530E22">
      <w:pPr>
        <w:widowControl/>
        <w:jc w:val="center"/>
        <w:rPr>
          <w:rFonts w:ascii="宋体" w:hAnsi="宋体" w:cs="宋体"/>
        </w:rPr>
      </w:pPr>
    </w:p>
    <w:p w14:paraId="4A8E0DB8">
      <w:pPr>
        <w:widowControl/>
        <w:jc w:val="center"/>
        <w:rPr>
          <w:rFonts w:ascii="宋体" w:hAnsi="宋体" w:cs="宋体"/>
        </w:rPr>
      </w:pPr>
    </w:p>
    <w:p w14:paraId="01846450">
      <w:pPr>
        <w:widowControl/>
        <w:jc w:val="center"/>
        <w:rPr>
          <w:rFonts w:ascii="宋体" w:hAnsi="宋体" w:cs="宋体"/>
        </w:rPr>
      </w:pPr>
    </w:p>
    <w:p w14:paraId="43B8C543">
      <w:pPr>
        <w:widowControl/>
        <w:jc w:val="center"/>
        <w:rPr>
          <w:rFonts w:ascii="宋体" w:hAnsi="宋体" w:cs="宋体"/>
        </w:rPr>
      </w:pPr>
    </w:p>
    <w:p w14:paraId="34FC751D">
      <w:pPr>
        <w:widowControl/>
        <w:jc w:val="center"/>
        <w:rPr>
          <w:rFonts w:ascii="宋体" w:hAnsi="宋体" w:cs="宋体"/>
        </w:rPr>
      </w:pPr>
    </w:p>
    <w:p w14:paraId="74488E86">
      <w:pPr>
        <w:widowControl/>
        <w:jc w:val="center"/>
        <w:rPr>
          <w:rFonts w:ascii="宋体" w:hAnsi="宋体" w:cs="宋体"/>
        </w:rPr>
      </w:pPr>
    </w:p>
    <w:p w14:paraId="58F3ABA8">
      <w:pPr>
        <w:widowControl/>
        <w:jc w:val="center"/>
        <w:rPr>
          <w:rFonts w:ascii="宋体" w:hAnsi="宋体" w:cs="宋体"/>
        </w:rPr>
      </w:pPr>
    </w:p>
    <w:p w14:paraId="310473D8">
      <w:pPr>
        <w:widowControl/>
        <w:jc w:val="center"/>
        <w:rPr>
          <w:rFonts w:ascii="宋体" w:hAnsi="宋体" w:cs="宋体"/>
        </w:rPr>
      </w:pPr>
    </w:p>
    <w:p w14:paraId="51079B64">
      <w:pPr>
        <w:widowControl/>
        <w:jc w:val="center"/>
        <w:rPr>
          <w:rFonts w:ascii="宋体" w:hAnsi="宋体" w:cs="宋体"/>
        </w:rPr>
      </w:pPr>
    </w:p>
    <w:p w14:paraId="47BC183F">
      <w:pPr>
        <w:widowControl/>
        <w:jc w:val="left"/>
        <w:rPr>
          <w:rFonts w:ascii="宋体" w:hAnsi="宋体" w:cs="宋体"/>
          <w:sz w:val="24"/>
        </w:rPr>
      </w:pPr>
      <w:r>
        <w:rPr>
          <w:rFonts w:hint="eastAsia" w:ascii="宋体" w:hAnsi="宋体" w:cs="宋体"/>
          <w:b/>
          <w:bCs/>
          <w:sz w:val="32"/>
          <w:szCs w:val="32"/>
          <w:u w:val="single"/>
        </w:rPr>
        <w:t>十</w:t>
      </w:r>
      <w:r>
        <w:rPr>
          <w:rFonts w:hint="eastAsia" w:ascii="宋体" w:hAnsi="宋体" w:cs="宋体"/>
          <w:b/>
          <w:bCs/>
          <w:sz w:val="32"/>
          <w:szCs w:val="32"/>
          <w:u w:val="single"/>
          <w:lang w:val="en-US" w:eastAsia="zh-CN"/>
        </w:rPr>
        <w:t>七</w:t>
      </w:r>
      <w:r>
        <w:rPr>
          <w:rFonts w:hint="eastAsia" w:ascii="宋体" w:hAnsi="宋体" w:cs="宋体"/>
          <w:b/>
          <w:bCs/>
          <w:sz w:val="32"/>
          <w:szCs w:val="32"/>
          <w:u w:val="single"/>
        </w:rPr>
        <w:t>、依据评标办法用于评分的材料</w:t>
      </w:r>
    </w:p>
    <w:p w14:paraId="3422243E">
      <w:pPr>
        <w:pStyle w:val="31"/>
        <w:tabs>
          <w:tab w:val="left" w:pos="2160"/>
        </w:tabs>
        <w:spacing w:beforeAutospacing="0" w:afterAutospacing="0"/>
        <w:jc w:val="both"/>
      </w:pPr>
    </w:p>
    <w:p w14:paraId="1346AEB9">
      <w:pPr>
        <w:widowControl/>
        <w:spacing w:line="499" w:lineRule="atLeast"/>
        <w:rPr>
          <w:rFonts w:ascii="宋体" w:hAnsi="宋体" w:cs="宋体"/>
          <w:sz w:val="32"/>
          <w:szCs w:val="32"/>
        </w:rPr>
      </w:pPr>
    </w:p>
    <w:p w14:paraId="111BAAE3">
      <w:pPr>
        <w:widowControl/>
        <w:spacing w:line="499" w:lineRule="atLeast"/>
        <w:rPr>
          <w:rFonts w:ascii="宋体" w:hAnsi="宋体" w:cs="宋体"/>
          <w:sz w:val="32"/>
          <w:szCs w:val="32"/>
        </w:rPr>
      </w:pPr>
    </w:p>
    <w:p w14:paraId="5F555DE4">
      <w:pPr>
        <w:widowControl/>
        <w:spacing w:line="499" w:lineRule="atLeast"/>
        <w:rPr>
          <w:rFonts w:ascii="宋体" w:hAnsi="宋体" w:cs="宋体"/>
          <w:sz w:val="32"/>
          <w:szCs w:val="32"/>
        </w:rPr>
      </w:pPr>
    </w:p>
    <w:p w14:paraId="31DE0629">
      <w:pPr>
        <w:widowControl/>
        <w:spacing w:line="499" w:lineRule="atLeast"/>
        <w:rPr>
          <w:rFonts w:ascii="宋体" w:hAnsi="宋体" w:cs="宋体"/>
          <w:sz w:val="32"/>
          <w:szCs w:val="32"/>
        </w:rPr>
      </w:pPr>
    </w:p>
    <w:p w14:paraId="717D507D">
      <w:pPr>
        <w:widowControl/>
        <w:spacing w:line="499" w:lineRule="atLeast"/>
        <w:rPr>
          <w:rFonts w:ascii="宋体" w:hAnsi="宋体" w:cs="宋体"/>
          <w:sz w:val="32"/>
          <w:szCs w:val="32"/>
        </w:rPr>
      </w:pPr>
    </w:p>
    <w:p w14:paraId="7667F48E">
      <w:pPr>
        <w:widowControl/>
        <w:spacing w:line="499" w:lineRule="atLeast"/>
        <w:rPr>
          <w:rFonts w:ascii="宋体" w:hAnsi="宋体" w:cs="宋体"/>
          <w:sz w:val="32"/>
          <w:szCs w:val="32"/>
        </w:rPr>
      </w:pPr>
    </w:p>
    <w:p w14:paraId="5731B6F7">
      <w:pPr>
        <w:widowControl/>
        <w:spacing w:line="499" w:lineRule="atLeast"/>
        <w:rPr>
          <w:rFonts w:ascii="宋体" w:hAnsi="宋体" w:cs="宋体"/>
          <w:sz w:val="32"/>
          <w:szCs w:val="32"/>
        </w:rPr>
      </w:pPr>
    </w:p>
    <w:p w14:paraId="71926E7F">
      <w:pPr>
        <w:widowControl/>
        <w:spacing w:line="499" w:lineRule="atLeast"/>
        <w:rPr>
          <w:rFonts w:ascii="宋体" w:hAnsi="宋体" w:cs="宋体"/>
          <w:sz w:val="32"/>
          <w:szCs w:val="32"/>
        </w:rPr>
      </w:pPr>
    </w:p>
    <w:p w14:paraId="0227B341">
      <w:pPr>
        <w:widowControl/>
        <w:spacing w:line="499" w:lineRule="atLeast"/>
        <w:rPr>
          <w:rFonts w:ascii="宋体" w:hAnsi="宋体" w:cs="宋体"/>
          <w:sz w:val="32"/>
          <w:szCs w:val="32"/>
        </w:rPr>
      </w:pPr>
    </w:p>
    <w:p w14:paraId="4D14A6F6">
      <w:pPr>
        <w:widowControl/>
        <w:spacing w:line="499" w:lineRule="atLeast"/>
        <w:rPr>
          <w:rFonts w:ascii="宋体" w:hAnsi="宋体" w:cs="宋体"/>
          <w:sz w:val="32"/>
          <w:szCs w:val="32"/>
        </w:rPr>
      </w:pPr>
    </w:p>
    <w:p w14:paraId="090129C5">
      <w:pPr>
        <w:widowControl/>
        <w:spacing w:line="499" w:lineRule="atLeast"/>
        <w:rPr>
          <w:rFonts w:ascii="宋体" w:hAnsi="宋体" w:cs="宋体"/>
          <w:sz w:val="32"/>
          <w:szCs w:val="32"/>
        </w:rPr>
      </w:pPr>
    </w:p>
    <w:p w14:paraId="3E70096A">
      <w:pPr>
        <w:widowControl/>
        <w:spacing w:line="499" w:lineRule="atLeast"/>
        <w:rPr>
          <w:rFonts w:ascii="宋体" w:hAnsi="宋体" w:cs="宋体"/>
          <w:sz w:val="32"/>
          <w:szCs w:val="32"/>
        </w:rPr>
      </w:pPr>
    </w:p>
    <w:p w14:paraId="6AFE7F00">
      <w:pPr>
        <w:widowControl/>
        <w:spacing w:line="499" w:lineRule="atLeast"/>
        <w:rPr>
          <w:rFonts w:ascii="宋体" w:hAnsi="宋体" w:cs="宋体"/>
          <w:sz w:val="32"/>
          <w:szCs w:val="32"/>
        </w:rPr>
      </w:pPr>
    </w:p>
    <w:p w14:paraId="18A8359E">
      <w:pPr>
        <w:widowControl/>
        <w:spacing w:line="499" w:lineRule="atLeast"/>
        <w:rPr>
          <w:rFonts w:ascii="宋体" w:hAnsi="宋体" w:cs="宋体"/>
          <w:sz w:val="32"/>
          <w:szCs w:val="32"/>
        </w:rPr>
      </w:pPr>
    </w:p>
    <w:p w14:paraId="7859CFB3">
      <w:pPr>
        <w:widowControl/>
        <w:spacing w:line="499" w:lineRule="atLeast"/>
        <w:rPr>
          <w:rFonts w:ascii="宋体" w:hAnsi="宋体" w:cs="宋体"/>
          <w:sz w:val="32"/>
          <w:szCs w:val="32"/>
        </w:rPr>
      </w:pPr>
    </w:p>
    <w:p w14:paraId="13B377C0">
      <w:pPr>
        <w:widowControl/>
        <w:spacing w:line="499" w:lineRule="atLeast"/>
        <w:rPr>
          <w:rFonts w:ascii="宋体" w:hAnsi="宋体" w:cs="宋体"/>
          <w:sz w:val="32"/>
          <w:szCs w:val="32"/>
        </w:rPr>
      </w:pPr>
    </w:p>
    <w:p w14:paraId="20860FD8">
      <w:pPr>
        <w:widowControl/>
        <w:spacing w:line="499" w:lineRule="atLeast"/>
        <w:rPr>
          <w:rFonts w:ascii="宋体" w:hAnsi="宋体" w:cs="宋体"/>
          <w:sz w:val="32"/>
          <w:szCs w:val="32"/>
        </w:rPr>
      </w:pPr>
    </w:p>
    <w:p w14:paraId="6A4E0913">
      <w:pPr>
        <w:widowControl/>
        <w:spacing w:line="499" w:lineRule="atLeast"/>
        <w:rPr>
          <w:rFonts w:ascii="宋体" w:hAnsi="宋体" w:cs="宋体"/>
          <w:sz w:val="32"/>
          <w:szCs w:val="32"/>
        </w:rPr>
      </w:pPr>
    </w:p>
    <w:p w14:paraId="155B73BA">
      <w:pPr>
        <w:widowControl/>
        <w:spacing w:line="499" w:lineRule="atLeast"/>
        <w:rPr>
          <w:rFonts w:ascii="宋体" w:hAnsi="宋体" w:cs="宋体"/>
          <w:sz w:val="32"/>
          <w:szCs w:val="32"/>
        </w:rPr>
      </w:pPr>
    </w:p>
    <w:p w14:paraId="2F5C6983">
      <w:pPr>
        <w:widowControl/>
        <w:spacing w:line="499" w:lineRule="atLeast"/>
        <w:rPr>
          <w:rFonts w:ascii="宋体" w:hAnsi="宋体" w:cs="宋体"/>
          <w:sz w:val="32"/>
          <w:szCs w:val="32"/>
        </w:rPr>
      </w:pPr>
    </w:p>
    <w:p w14:paraId="1D3D2128">
      <w:pPr>
        <w:widowControl/>
        <w:spacing w:line="499" w:lineRule="atLeast"/>
        <w:rPr>
          <w:rFonts w:ascii="宋体" w:hAnsi="宋体" w:cs="宋体"/>
          <w:sz w:val="32"/>
          <w:szCs w:val="32"/>
        </w:rPr>
      </w:pPr>
    </w:p>
    <w:p w14:paraId="57381CAF">
      <w:pPr>
        <w:widowControl/>
        <w:spacing w:line="499" w:lineRule="atLeast"/>
        <w:rPr>
          <w:rFonts w:ascii="宋体" w:hAnsi="宋体" w:cs="宋体"/>
          <w:sz w:val="32"/>
          <w:szCs w:val="32"/>
        </w:rPr>
      </w:pPr>
    </w:p>
    <w:p w14:paraId="3BC03CBF">
      <w:pPr>
        <w:widowControl/>
        <w:spacing w:line="499" w:lineRule="atLeast"/>
        <w:rPr>
          <w:rFonts w:ascii="宋体" w:hAnsi="宋体" w:cs="宋体"/>
          <w:sz w:val="32"/>
          <w:szCs w:val="32"/>
        </w:rPr>
      </w:pPr>
    </w:p>
    <w:p w14:paraId="13891197">
      <w:pPr>
        <w:widowControl/>
        <w:spacing w:line="499" w:lineRule="atLeast"/>
        <w:rPr>
          <w:rFonts w:ascii="宋体" w:hAnsi="宋体" w:cs="宋体"/>
          <w:b/>
          <w:bCs/>
          <w:sz w:val="32"/>
          <w:szCs w:val="32"/>
          <w:u w:val="single"/>
        </w:rPr>
      </w:pPr>
    </w:p>
    <w:p w14:paraId="3A3BB4BA">
      <w:pPr>
        <w:widowControl/>
        <w:spacing w:line="499" w:lineRule="atLeast"/>
        <w:rPr>
          <w:rFonts w:ascii="宋体" w:hAnsi="宋体" w:cs="宋体"/>
          <w:b/>
          <w:bCs/>
          <w:sz w:val="32"/>
          <w:szCs w:val="32"/>
          <w:u w:val="single"/>
        </w:rPr>
      </w:pPr>
    </w:p>
    <w:p w14:paraId="45E61A70">
      <w:pPr>
        <w:widowControl/>
        <w:spacing w:line="499" w:lineRule="atLeast"/>
        <w:rPr>
          <w:rFonts w:ascii="宋体" w:hAnsi="宋体" w:cs="宋体"/>
          <w:b/>
          <w:bCs/>
          <w:sz w:val="32"/>
          <w:szCs w:val="32"/>
          <w:u w:val="single"/>
        </w:rPr>
      </w:pPr>
    </w:p>
    <w:p w14:paraId="4F87A4D7">
      <w:pPr>
        <w:widowControl/>
        <w:spacing w:line="499" w:lineRule="atLeast"/>
        <w:rPr>
          <w:rFonts w:ascii="宋体" w:hAnsi="宋体" w:cs="宋体"/>
          <w:sz w:val="24"/>
        </w:rPr>
      </w:pPr>
      <w:r>
        <w:rPr>
          <w:rFonts w:hint="eastAsia" w:ascii="宋体" w:hAnsi="宋体" w:cs="宋体"/>
          <w:b/>
          <w:bCs/>
          <w:sz w:val="32"/>
          <w:szCs w:val="32"/>
        </w:rPr>
        <w:t>十</w:t>
      </w:r>
      <w:r>
        <w:rPr>
          <w:rFonts w:hint="eastAsia" w:ascii="宋体" w:hAnsi="宋体" w:cs="宋体"/>
          <w:b/>
          <w:bCs/>
          <w:sz w:val="32"/>
          <w:szCs w:val="32"/>
          <w:lang w:val="en-US" w:eastAsia="zh-CN"/>
        </w:rPr>
        <w:t>八</w:t>
      </w:r>
      <w:r>
        <w:rPr>
          <w:rFonts w:hint="eastAsia" w:ascii="宋体" w:hAnsi="宋体" w:cs="宋体"/>
          <w:b/>
          <w:bCs/>
          <w:sz w:val="32"/>
          <w:szCs w:val="32"/>
        </w:rPr>
        <w:t>、盐城市政府采购事前信用承诺书</w:t>
      </w:r>
    </w:p>
    <w:p w14:paraId="4149FFFF">
      <w:pPr>
        <w:widowControl/>
        <w:spacing w:line="360" w:lineRule="atLeast"/>
        <w:jc w:val="left"/>
        <w:rPr>
          <w:rFonts w:ascii="宋体" w:hAnsi="宋体" w:cs="宋体"/>
          <w:sz w:val="21"/>
          <w:szCs w:val="21"/>
        </w:rPr>
      </w:pPr>
      <w:r>
        <w:rPr>
          <w:rFonts w:hint="eastAsia" w:ascii="宋体" w:hAnsi="宋体" w:cs="宋体"/>
          <w:sz w:val="21"/>
          <w:szCs w:val="21"/>
        </w:rPr>
        <w:t>为营造我市公开、公平、公正、诚实守信的政府采购交易环境，树立诚信守法的投标人形象，本人代表本单位作出以下承诺：</w:t>
      </w:r>
    </w:p>
    <w:p w14:paraId="5A27E9D4">
      <w:pPr>
        <w:widowControl/>
        <w:spacing w:line="360" w:lineRule="atLeast"/>
        <w:ind w:firstLine="480"/>
        <w:jc w:val="left"/>
        <w:rPr>
          <w:rFonts w:ascii="宋体" w:hAnsi="宋体" w:cs="宋体"/>
          <w:sz w:val="21"/>
          <w:szCs w:val="21"/>
        </w:rPr>
      </w:pPr>
      <w:r>
        <w:rPr>
          <w:rFonts w:hint="eastAsia" w:ascii="宋体" w:hAnsi="宋体" w:cs="宋体"/>
          <w:sz w:val="21"/>
          <w:szCs w:val="21"/>
        </w:rPr>
        <w:t>（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46AD46E4">
      <w:pPr>
        <w:widowControl/>
        <w:spacing w:line="360" w:lineRule="atLeast"/>
        <w:ind w:firstLine="480"/>
        <w:jc w:val="left"/>
        <w:rPr>
          <w:rFonts w:ascii="宋体" w:hAnsi="宋体" w:cs="宋体"/>
          <w:sz w:val="21"/>
          <w:szCs w:val="21"/>
        </w:rPr>
      </w:pPr>
      <w:r>
        <w:rPr>
          <w:rFonts w:hint="eastAsia" w:ascii="宋体" w:hAnsi="宋体" w:cs="宋体"/>
          <w:sz w:val="21"/>
          <w:szCs w:val="21"/>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265124CF">
      <w:pPr>
        <w:widowControl/>
        <w:spacing w:line="360" w:lineRule="atLeast"/>
        <w:ind w:firstLine="480"/>
        <w:jc w:val="left"/>
        <w:rPr>
          <w:rFonts w:ascii="宋体" w:hAnsi="宋体" w:cs="宋体"/>
          <w:sz w:val="21"/>
          <w:szCs w:val="21"/>
        </w:rPr>
      </w:pPr>
      <w:r>
        <w:rPr>
          <w:rFonts w:hint="eastAsia" w:ascii="宋体" w:hAnsi="宋体" w:cs="宋体"/>
          <w:sz w:val="21"/>
          <w:szCs w:val="21"/>
        </w:rPr>
        <w:t xml:space="preserve">（三）严格依照国家和省、市关于政府采购的法律、法规、规章、规范性文件，参加政府采购投标活动；积极履行社会责任，促进廉政建设； </w:t>
      </w:r>
    </w:p>
    <w:p w14:paraId="50BDC259">
      <w:pPr>
        <w:widowControl/>
        <w:spacing w:line="360" w:lineRule="atLeast"/>
        <w:ind w:firstLine="480"/>
        <w:jc w:val="left"/>
        <w:rPr>
          <w:rFonts w:ascii="宋体" w:hAnsi="宋体" w:cs="宋体"/>
          <w:sz w:val="21"/>
          <w:szCs w:val="21"/>
        </w:rPr>
      </w:pPr>
      <w:r>
        <w:rPr>
          <w:rFonts w:hint="eastAsia" w:ascii="宋体" w:hAnsi="宋体" w:cs="宋体"/>
          <w:sz w:val="21"/>
          <w:szCs w:val="21"/>
        </w:rPr>
        <w:t>（四）严格遵守即时信息公示规定，及时维护和更新维护和更新盐城市政府采购网中与本单位相关的信息；</w:t>
      </w:r>
    </w:p>
    <w:p w14:paraId="5A2189AC">
      <w:pPr>
        <w:widowControl/>
        <w:spacing w:line="360" w:lineRule="atLeast"/>
        <w:ind w:firstLine="480"/>
        <w:jc w:val="left"/>
        <w:rPr>
          <w:rFonts w:ascii="宋体" w:hAnsi="宋体" w:cs="宋体"/>
          <w:sz w:val="21"/>
          <w:szCs w:val="21"/>
        </w:rPr>
      </w:pPr>
      <w:r>
        <w:rPr>
          <w:rFonts w:hint="eastAsia" w:ascii="宋体" w:hAnsi="宋体" w:cs="宋体"/>
          <w:sz w:val="21"/>
          <w:szCs w:val="21"/>
        </w:rPr>
        <w:t>（五）自我约束、自我管理，守合同、重信用，自觉维护政府采购交易的良好秩序，与参与本次政府采购活动的其他供应商不存在直接控股或管理关系，不参与围标串标、弄虚作假、骗取中标、干扰评标、违约毁约等行为；</w:t>
      </w:r>
    </w:p>
    <w:p w14:paraId="6F096E5C">
      <w:pPr>
        <w:widowControl/>
        <w:spacing w:line="360" w:lineRule="atLeast"/>
        <w:ind w:firstLine="480"/>
        <w:jc w:val="left"/>
        <w:rPr>
          <w:rFonts w:ascii="宋体" w:hAnsi="宋体" w:cs="宋体"/>
          <w:sz w:val="21"/>
          <w:szCs w:val="21"/>
        </w:rPr>
      </w:pPr>
      <w:r>
        <w:rPr>
          <w:rFonts w:hint="eastAsia" w:ascii="宋体" w:hAnsi="宋体" w:cs="宋体"/>
          <w:sz w:val="21"/>
          <w:szCs w:val="21"/>
        </w:rPr>
        <w:t>（六）自觉接受政府、行业组织、社会公众、新闻舆论的监督；</w:t>
      </w:r>
    </w:p>
    <w:p w14:paraId="6112352D">
      <w:pPr>
        <w:widowControl/>
        <w:spacing w:line="360" w:lineRule="atLeast"/>
        <w:ind w:firstLine="480"/>
        <w:jc w:val="left"/>
        <w:rPr>
          <w:rFonts w:ascii="宋体" w:hAnsi="宋体" w:cs="宋体"/>
          <w:sz w:val="21"/>
          <w:szCs w:val="21"/>
        </w:rPr>
      </w:pPr>
      <w:r>
        <w:rPr>
          <w:rFonts w:hint="eastAsia" w:ascii="宋体" w:hAnsi="宋体" w:cs="宋体"/>
          <w:sz w:val="21"/>
          <w:szCs w:val="21"/>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250D64FC">
      <w:pPr>
        <w:widowControl/>
        <w:spacing w:line="360" w:lineRule="atLeast"/>
        <w:ind w:firstLine="480"/>
        <w:jc w:val="left"/>
        <w:rPr>
          <w:rFonts w:ascii="宋体" w:hAnsi="宋体" w:cs="宋体"/>
          <w:sz w:val="21"/>
          <w:szCs w:val="21"/>
        </w:rPr>
      </w:pPr>
      <w:r>
        <w:rPr>
          <w:rFonts w:hint="eastAsia" w:ascii="宋体" w:hAnsi="宋体" w:cs="宋体"/>
          <w:sz w:val="21"/>
          <w:szCs w:val="21"/>
        </w:rPr>
        <w:t>（八）本人已认真阅读了上述承诺，并向本单位员工作了宣传教育。</w:t>
      </w:r>
    </w:p>
    <w:p w14:paraId="654BEAEA">
      <w:pPr>
        <w:widowControl/>
        <w:spacing w:line="360" w:lineRule="atLeast"/>
        <w:ind w:firstLine="480"/>
        <w:jc w:val="left"/>
        <w:rPr>
          <w:rFonts w:ascii="宋体" w:hAnsi="宋体" w:cs="宋体"/>
          <w:sz w:val="21"/>
          <w:szCs w:val="21"/>
        </w:rPr>
      </w:pPr>
    </w:p>
    <w:p w14:paraId="7D423515">
      <w:pPr>
        <w:widowControl/>
        <w:spacing w:line="360" w:lineRule="atLeast"/>
        <w:ind w:firstLine="480"/>
        <w:jc w:val="left"/>
        <w:rPr>
          <w:rFonts w:ascii="宋体" w:hAnsi="宋体" w:cs="宋体"/>
          <w:sz w:val="21"/>
          <w:szCs w:val="21"/>
        </w:rPr>
      </w:pPr>
    </w:p>
    <w:p w14:paraId="08EECAB9">
      <w:pPr>
        <w:widowControl/>
        <w:spacing w:line="360" w:lineRule="atLeast"/>
        <w:ind w:firstLine="480"/>
        <w:jc w:val="left"/>
        <w:rPr>
          <w:rFonts w:ascii="宋体" w:hAnsi="宋体" w:cs="宋体"/>
          <w:sz w:val="21"/>
          <w:szCs w:val="21"/>
        </w:rPr>
      </w:pPr>
      <w:r>
        <w:rPr>
          <w:rFonts w:hint="eastAsia" w:ascii="宋体" w:hAnsi="宋体" w:cs="宋体"/>
          <w:sz w:val="21"/>
          <w:szCs w:val="21"/>
        </w:rPr>
        <w:t>法定代表人签名：               单位名称（盖章）：    </w:t>
      </w:r>
    </w:p>
    <w:p w14:paraId="446C9A9B">
      <w:pPr>
        <w:widowControl/>
        <w:spacing w:line="360" w:lineRule="atLeast"/>
        <w:ind w:firstLine="720"/>
        <w:jc w:val="left"/>
        <w:rPr>
          <w:rFonts w:ascii="宋体" w:hAnsi="宋体" w:cs="宋体"/>
          <w:sz w:val="21"/>
          <w:szCs w:val="21"/>
        </w:rPr>
      </w:pPr>
    </w:p>
    <w:p w14:paraId="078200D1">
      <w:pPr>
        <w:widowControl/>
        <w:spacing w:line="360" w:lineRule="atLeast"/>
        <w:ind w:firstLine="720"/>
        <w:jc w:val="right"/>
        <w:rPr>
          <w:rFonts w:ascii="宋体" w:hAnsi="宋体" w:cs="宋体"/>
          <w:sz w:val="21"/>
          <w:szCs w:val="21"/>
        </w:rPr>
      </w:pPr>
      <w:r>
        <w:rPr>
          <w:rFonts w:hint="eastAsia" w:ascii="宋体" w:hAnsi="宋体" w:cs="宋体"/>
          <w:sz w:val="21"/>
          <w:szCs w:val="21"/>
        </w:rPr>
        <w:t>年  月   日</w:t>
      </w:r>
      <w:bookmarkEnd w:id="5"/>
      <w:bookmarkEnd w:id="14"/>
      <w:bookmarkEnd w:id="15"/>
      <w:bookmarkEnd w:id="16"/>
      <w:bookmarkEnd w:id="17"/>
      <w:bookmarkEnd w:id="18"/>
    </w:p>
    <w:p w14:paraId="2F66A6B9">
      <w:pPr>
        <w:pStyle w:val="31"/>
        <w:spacing w:beforeAutospacing="0" w:afterAutospacing="0"/>
        <w:jc w:val="center"/>
        <w:rPr>
          <w:b/>
          <w:sz w:val="32"/>
          <w:szCs w:val="32"/>
        </w:rPr>
      </w:pPr>
    </w:p>
    <w:p w14:paraId="0B2037DB">
      <w:pPr>
        <w:pStyle w:val="31"/>
        <w:spacing w:beforeAutospacing="0" w:afterAutospacing="0"/>
        <w:jc w:val="center"/>
        <w:rPr>
          <w:b/>
          <w:sz w:val="32"/>
          <w:szCs w:val="32"/>
        </w:rPr>
      </w:pPr>
    </w:p>
    <w:p w14:paraId="6217D43C">
      <w:pPr>
        <w:pStyle w:val="31"/>
        <w:spacing w:beforeAutospacing="0" w:afterAutospacing="0"/>
        <w:jc w:val="center"/>
        <w:rPr>
          <w:b/>
          <w:sz w:val="32"/>
          <w:szCs w:val="32"/>
        </w:rPr>
      </w:pPr>
    </w:p>
    <w:p w14:paraId="00CF1A6C">
      <w:pPr>
        <w:pStyle w:val="31"/>
        <w:spacing w:beforeAutospacing="0" w:afterAutospacing="0"/>
        <w:jc w:val="center"/>
        <w:rPr>
          <w:b/>
          <w:sz w:val="32"/>
          <w:szCs w:val="32"/>
        </w:rPr>
      </w:pPr>
    </w:p>
    <w:p w14:paraId="735751D2">
      <w:pPr>
        <w:pStyle w:val="31"/>
        <w:spacing w:beforeAutospacing="0" w:afterAutospacing="0"/>
        <w:jc w:val="center"/>
        <w:rPr>
          <w:b/>
          <w:sz w:val="32"/>
          <w:szCs w:val="32"/>
        </w:rPr>
      </w:pPr>
    </w:p>
    <w:p w14:paraId="5E9280CF">
      <w:pPr>
        <w:pStyle w:val="31"/>
        <w:spacing w:beforeAutospacing="0" w:afterAutospacing="0"/>
        <w:jc w:val="center"/>
        <w:rPr>
          <w:b/>
          <w:sz w:val="32"/>
          <w:szCs w:val="32"/>
        </w:rPr>
      </w:pPr>
    </w:p>
    <w:p w14:paraId="248D3B0A">
      <w:pPr>
        <w:pStyle w:val="31"/>
        <w:spacing w:beforeAutospacing="0" w:afterAutospacing="0"/>
        <w:jc w:val="center"/>
        <w:rPr>
          <w:b/>
          <w:sz w:val="32"/>
          <w:szCs w:val="32"/>
        </w:rPr>
      </w:pPr>
    </w:p>
    <w:p w14:paraId="70C1C3E0">
      <w:pPr>
        <w:pBdr>
          <w:top w:val="none" w:color="000000" w:sz="0" w:space="0"/>
          <w:left w:val="none" w:color="000000" w:sz="0" w:space="0"/>
          <w:bottom w:val="none" w:color="000000" w:sz="0" w:space="0"/>
          <w:right w:val="none" w:color="000000" w:sz="0" w:space="0"/>
        </w:pBdr>
        <w:spacing w:line="360" w:lineRule="auto"/>
        <w:jc w:val="both"/>
      </w:pPr>
    </w:p>
    <w:sectPr>
      <w:footerReference r:id="rId6" w:type="default"/>
      <w:pgSz w:w="11906" w:h="16838"/>
      <w:pgMar w:top="1440" w:right="1587" w:bottom="1440" w:left="1587" w:header="851" w:footer="907" w:gutter="0"/>
      <w:pgNumType w:fmt="decimal" w:start="39"/>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0"/>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幼圆">
    <w:altName w:val="宋体"/>
    <w:panose1 w:val="02010509060101010101"/>
    <w:charset w:val="86"/>
    <w:family w:val="modern"/>
    <w:pitch w:val="default"/>
    <w:sig w:usb0="00000000" w:usb1="00000000" w:usb2="0000001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Cambria Math">
    <w:panose1 w:val="02040503050406030204"/>
    <w:charset w:val="00"/>
    <w:family w:val="roman"/>
    <w:pitch w:val="default"/>
    <w:sig w:usb0="E00006FF" w:usb1="420024FF" w:usb2="02000000" w:usb3="00000000" w:csb0="2000019F" w:csb1="00000000"/>
  </w:font>
  <w:font w:name="方正小标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Bookshelf Symbol 7">
    <w:altName w:val="Symbol"/>
    <w:panose1 w:val="05010101010101010101"/>
    <w:charset w:val="02"/>
    <w:family w:val="auto"/>
    <w:pitch w:val="default"/>
    <w:sig w:usb0="00000000" w:usb1="00000000" w:usb2="00000000" w:usb3="00000000" w:csb0="80000000" w:csb1="00000000"/>
  </w:font>
  <w:font w:name="方正黑体_GBK">
    <w:altName w:val="微软雅黑"/>
    <w:panose1 w:val="00000000000000000000"/>
    <w:charset w:val="00"/>
    <w:family w:val="auto"/>
    <w:pitch w:val="default"/>
    <w:sig w:usb0="00000000" w:usb1="00000000" w:usb2="00000000" w:usb3="00000000" w:csb0="00000000" w:csb1="00000000"/>
  </w:font>
  <w:font w:name="Arial Unicode MS">
    <w:altName w:val="宋体"/>
    <w:panose1 w:val="020B0604020202020204"/>
    <w:charset w:val="86"/>
    <w:family w:val="swiss"/>
    <w:pitch w:val="default"/>
    <w:sig w:usb0="00000000" w:usb1="00000000" w:usb2="0000003F" w:usb3="00000000" w:csb0="003F01FF" w:csb1="00000000"/>
  </w:font>
  <w:font w:name="Verdana">
    <w:panose1 w:val="020B0604030504040204"/>
    <w:charset w:val="00"/>
    <w:family w:val="swiss"/>
    <w:pitch w:val="default"/>
    <w:sig w:usb0="A00006FF" w:usb1="4000205B" w:usb2="00000010" w:usb3="00000000" w:csb0="2000019F" w:csb1="00000000"/>
  </w:font>
  <w:font w:name="Arial">
    <w:panose1 w:val="020B0604020202020204"/>
    <w:charset w:val="00"/>
    <w:family w:val="auto"/>
    <w:pitch w:val="default"/>
    <w:sig w:usb0="E0002EFF" w:usb1="C000785B" w:usb2="00000009" w:usb3="00000000" w:csb0="400001FF" w:csb1="FFFF0000"/>
  </w:font>
  <w:font w:name="KSOF8080F95D">
    <w:panose1 w:val="020B0503020204020204"/>
    <w:charset w:val="86"/>
    <w:family w:val="auto"/>
    <w:pitch w:val="default"/>
    <w:sig w:usb0="00000001" w:usb1="00000000" w:usb2="00000000" w:usb3="00000000" w:csb0="00040001" w:csb1="00000000"/>
  </w:font>
  <w:font w:name="KSOFEC83043A">
    <w:panose1 w:val="020B0503020204020204"/>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3AECB5">
    <w:pPr>
      <w:pStyle w:val="21"/>
      <w:tabs>
        <w:tab w:val="center" w:pos="4153"/>
        <w:tab w:val="right" w:pos="8306"/>
        <w:tab w:val="clear" w:pos="7143"/>
        <w:tab w:val="clear" w:pos="14287"/>
      </w:tabs>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C8EB2D">
                          <w:pPr>
                            <w:pStyle w:val="2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43C8EB2D">
                    <w:pPr>
                      <w:pStyle w:val="2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686AB2">
    <w:pPr>
      <w:pStyle w:val="21"/>
      <w:tabs>
        <w:tab w:val="center" w:pos="4153"/>
        <w:tab w:val="right" w:pos="8306"/>
        <w:tab w:val="clear" w:pos="7143"/>
        <w:tab w:val="clear" w:pos="14287"/>
      </w:tabs>
      <w:jc w:val="center"/>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8DB929">
                          <w:pPr>
                            <w:pStyle w:val="21"/>
                          </w:pPr>
                          <w:r>
                            <w:fldChar w:fldCharType="begin"/>
                          </w:r>
                          <w:r>
                            <w:instrText xml:space="preserve"> PAGE  \* MERGEFORMAT </w:instrText>
                          </w:r>
                          <w:r>
                            <w:fldChar w:fldCharType="separate"/>
                          </w:r>
                          <w:r>
                            <w:t>38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5A8DB929">
                    <w:pPr>
                      <w:pStyle w:val="21"/>
                    </w:pPr>
                    <w:r>
                      <w:fldChar w:fldCharType="begin"/>
                    </w:r>
                    <w:r>
                      <w:instrText xml:space="preserve"> PAGE  \* MERGEFORMAT </w:instrText>
                    </w:r>
                    <w:r>
                      <w:fldChar w:fldCharType="separate"/>
                    </w:r>
                    <w:r>
                      <w:t>38</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FAC12D">
    <w:pPr>
      <w:pStyle w:val="225"/>
      <w:jc w:val="both"/>
      <w:rPr>
        <w:rFonts w:hint="default"/>
        <w:b/>
        <w:i/>
        <w:lang w:val="en-US"/>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8609BE">
                          <w:pPr>
                            <w:pStyle w:val="2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558609BE">
                    <w:pPr>
                      <w:pStyle w:val="21"/>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0908E6">
    <w:pPr>
      <w:pStyle w:val="22"/>
      <w:pBdr>
        <w:bottom w:val="none" w:color="auto" w:sz="0" w:space="0"/>
      </w:pBdr>
      <w:tabs>
        <w:tab w:val="center" w:pos="4153"/>
        <w:tab w:val="right" w:pos="8306"/>
        <w:tab w:val="clear" w:pos="7143"/>
        <w:tab w:val="clear" w:pos="142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pStyle w:val="276"/>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
    <w:nsid w:val="BF205925"/>
    <w:multiLevelType w:val="multilevel"/>
    <w:tmpl w:val="BF205925"/>
    <w:lvl w:ilvl="0" w:tentative="0">
      <w:start w:val="1"/>
      <w:numFmt w:val="bullet"/>
      <w:pStyle w:val="271"/>
      <w:lvlText w:val=""/>
      <w:lvlJc w:val="left"/>
      <w:pPr>
        <w:tabs>
          <w:tab w:val="left" w:pos="717"/>
        </w:tabs>
        <w:ind w:left="602" w:hanging="245"/>
      </w:pPr>
      <w:rPr>
        <w:rFonts w:ascii="Wingdings" w:hAnsi="Wingdings"/>
      </w:rPr>
    </w:lvl>
    <w:lvl w:ilvl="1" w:tentative="0">
      <w:start w:val="1"/>
      <w:numFmt w:val="bullet"/>
      <w:lvlText w:val=""/>
      <w:lvlJc w:val="left"/>
      <w:pPr>
        <w:tabs>
          <w:tab w:val="left" w:pos="1197"/>
        </w:tabs>
        <w:ind w:left="1197" w:hanging="420"/>
      </w:pPr>
      <w:rPr>
        <w:rFonts w:ascii="Bookshelf Symbol 7" w:hAnsi="Bookshelf Symbol 7"/>
      </w:rPr>
    </w:lvl>
    <w:lvl w:ilvl="2" w:tentative="0">
      <w:start w:val="1"/>
      <w:numFmt w:val="bullet"/>
      <w:lvlText w:val=""/>
      <w:lvlJc w:val="left"/>
      <w:pPr>
        <w:tabs>
          <w:tab w:val="left" w:pos="1617"/>
        </w:tabs>
        <w:ind w:left="1617" w:hanging="420"/>
      </w:pPr>
      <w:rPr>
        <w:rFonts w:ascii="Bookshelf Symbol 7" w:hAnsi="Bookshelf Symbol 7"/>
      </w:rPr>
    </w:lvl>
    <w:lvl w:ilvl="3" w:tentative="0">
      <w:start w:val="1"/>
      <w:numFmt w:val="bullet"/>
      <w:lvlText w:val=""/>
      <w:lvlJc w:val="left"/>
      <w:pPr>
        <w:tabs>
          <w:tab w:val="left" w:pos="2037"/>
        </w:tabs>
        <w:ind w:left="2037" w:hanging="420"/>
      </w:pPr>
      <w:rPr>
        <w:rFonts w:ascii="Bookshelf Symbol 7" w:hAnsi="Bookshelf Symbol 7"/>
      </w:rPr>
    </w:lvl>
    <w:lvl w:ilvl="4" w:tentative="0">
      <w:start w:val="1"/>
      <w:numFmt w:val="bullet"/>
      <w:lvlText w:val=""/>
      <w:lvlJc w:val="left"/>
      <w:pPr>
        <w:tabs>
          <w:tab w:val="left" w:pos="2457"/>
        </w:tabs>
        <w:ind w:left="2457" w:hanging="420"/>
      </w:pPr>
      <w:rPr>
        <w:rFonts w:ascii="Bookshelf Symbol 7" w:hAnsi="Bookshelf Symbol 7"/>
      </w:rPr>
    </w:lvl>
    <w:lvl w:ilvl="5" w:tentative="0">
      <w:start w:val="1"/>
      <w:numFmt w:val="bullet"/>
      <w:lvlText w:val=""/>
      <w:lvlJc w:val="left"/>
      <w:pPr>
        <w:tabs>
          <w:tab w:val="left" w:pos="2877"/>
        </w:tabs>
        <w:ind w:left="2877" w:hanging="420"/>
      </w:pPr>
      <w:rPr>
        <w:rFonts w:ascii="Bookshelf Symbol 7" w:hAnsi="Bookshelf Symbol 7"/>
      </w:rPr>
    </w:lvl>
    <w:lvl w:ilvl="6" w:tentative="0">
      <w:start w:val="1"/>
      <w:numFmt w:val="bullet"/>
      <w:lvlText w:val=""/>
      <w:lvlJc w:val="left"/>
      <w:pPr>
        <w:tabs>
          <w:tab w:val="left" w:pos="3297"/>
        </w:tabs>
        <w:ind w:left="3297" w:hanging="420"/>
      </w:pPr>
      <w:rPr>
        <w:rFonts w:ascii="Bookshelf Symbol 7" w:hAnsi="Bookshelf Symbol 7"/>
      </w:rPr>
    </w:lvl>
    <w:lvl w:ilvl="7" w:tentative="0">
      <w:start w:val="1"/>
      <w:numFmt w:val="bullet"/>
      <w:lvlText w:val=""/>
      <w:lvlJc w:val="left"/>
      <w:pPr>
        <w:tabs>
          <w:tab w:val="left" w:pos="3717"/>
        </w:tabs>
        <w:ind w:left="3717" w:hanging="420"/>
      </w:pPr>
      <w:rPr>
        <w:rFonts w:ascii="Bookshelf Symbol 7" w:hAnsi="Bookshelf Symbol 7"/>
      </w:rPr>
    </w:lvl>
    <w:lvl w:ilvl="8" w:tentative="0">
      <w:start w:val="1"/>
      <w:numFmt w:val="bullet"/>
      <w:lvlText w:val=""/>
      <w:lvlJc w:val="left"/>
      <w:pPr>
        <w:tabs>
          <w:tab w:val="left" w:pos="4137"/>
        </w:tabs>
        <w:ind w:left="4137" w:hanging="420"/>
      </w:pPr>
      <w:rPr>
        <w:rFonts w:ascii="Bookshelf Symbol 7" w:hAnsi="Bookshelf Symbol 7"/>
      </w:rPr>
    </w:lvl>
  </w:abstractNum>
  <w:abstractNum w:abstractNumId="2">
    <w:nsid w:val="CF092B84"/>
    <w:multiLevelType w:val="multilevel"/>
    <w:tmpl w:val="CF092B84"/>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196"/>
      <w:suff w:val="nothing"/>
      <w:lvlText w:val=""/>
      <w:lvlJc w:val="left"/>
      <w:pPr>
        <w:ind w:left="0" w:firstLine="0"/>
      </w:pPr>
      <w:rPr>
        <w:rFonts w:hint="eastAsia"/>
      </w:rPr>
    </w:lvl>
    <w:lvl w:ilvl="6" w:tentative="0">
      <w:start w:val="1"/>
      <w:numFmt w:val="decimal"/>
      <w:pStyle w:val="197"/>
      <w:suff w:val="nothing"/>
      <w:lvlText w:val=""/>
      <w:lvlJc w:val="left"/>
      <w:pPr>
        <w:ind w:left="0" w:firstLine="0"/>
      </w:pPr>
      <w:rPr>
        <w:rFonts w:hint="eastAsia"/>
      </w:rPr>
    </w:lvl>
    <w:lvl w:ilvl="7" w:tentative="0">
      <w:start w:val="1"/>
      <w:numFmt w:val="decimal"/>
      <w:pStyle w:val="198"/>
      <w:suff w:val="nothing"/>
      <w:lvlText w:val=""/>
      <w:lvlJc w:val="left"/>
      <w:pPr>
        <w:ind w:left="0" w:firstLine="0"/>
      </w:pPr>
      <w:rPr>
        <w:rFonts w:hint="eastAsia"/>
      </w:rPr>
    </w:lvl>
    <w:lvl w:ilvl="8" w:tentative="0">
      <w:start w:val="1"/>
      <w:numFmt w:val="decimal"/>
      <w:pStyle w:val="199"/>
      <w:suff w:val="nothing"/>
      <w:lvlText w:val=""/>
      <w:lvlJc w:val="left"/>
      <w:pPr>
        <w:ind w:left="0" w:firstLine="0"/>
      </w:pPr>
      <w:rPr>
        <w:rFonts w:hint="eastAsia"/>
      </w:rPr>
    </w:lvl>
  </w:abstractNum>
  <w:abstractNum w:abstractNumId="3">
    <w:nsid w:val="D5213DEE"/>
    <w:multiLevelType w:val="singleLevel"/>
    <w:tmpl w:val="D5213DEE"/>
    <w:lvl w:ilvl="0" w:tentative="0">
      <w:start w:val="1"/>
      <w:numFmt w:val="chineseCounting"/>
      <w:suff w:val="nothing"/>
      <w:lvlText w:val="%1、"/>
      <w:lvlJc w:val="left"/>
      <w:rPr>
        <w:rFonts w:hint="eastAsia"/>
      </w:rPr>
    </w:lvl>
  </w:abstractNum>
  <w:abstractNum w:abstractNumId="4">
    <w:nsid w:val="03D62ECE"/>
    <w:multiLevelType w:val="multilevel"/>
    <w:tmpl w:val="03D62ECE"/>
    <w:lvl w:ilvl="0" w:tentative="0">
      <w:start w:val="1"/>
      <w:numFmt w:val="decimal"/>
      <w:lvlText w:val="第%1章"/>
      <w:lvlJc w:val="left"/>
      <w:pPr>
        <w:ind w:left="1440" w:hanging="1440"/>
      </w:pPr>
      <w:rPr>
        <w:rFonts w:ascii="黑体" w:hAnsi="黑体" w:eastAsia="黑体" w:cs="黑体"/>
        <w:sz w:val="36"/>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59ADCABA"/>
    <w:multiLevelType w:val="multilevel"/>
    <w:tmpl w:val="59ADCABA"/>
    <w:lvl w:ilvl="0" w:tentative="0">
      <w:start w:val="1"/>
      <w:numFmt w:val="upperLetter"/>
      <w:pStyle w:val="274"/>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681C4083"/>
    <w:multiLevelType w:val="singleLevel"/>
    <w:tmpl w:val="681C4083"/>
    <w:lvl w:ilvl="0" w:tentative="0">
      <w:start w:val="1"/>
      <w:numFmt w:val="chineseCounting"/>
      <w:suff w:val="nothing"/>
      <w:lvlText w:val="%1、"/>
      <w:lvlJc w:val="left"/>
      <w:rPr>
        <w:rFonts w:hint="eastAsia"/>
      </w:rPr>
    </w:lvl>
  </w:abstractNum>
  <w:abstractNum w:abstractNumId="7">
    <w:nsid w:val="7F2267AD"/>
    <w:multiLevelType w:val="singleLevel"/>
    <w:tmpl w:val="7F2267AD"/>
    <w:lvl w:ilvl="0" w:tentative="0">
      <w:start w:val="4"/>
      <w:numFmt w:val="chineseCounting"/>
      <w:suff w:val="space"/>
      <w:lvlText w:val="第%1章"/>
      <w:lvlJc w:val="left"/>
      <w:rPr>
        <w:rFonts w:hint="eastAsia"/>
      </w:rPr>
    </w:lvl>
  </w:abstractNum>
  <w:num w:numId="1">
    <w:abstractNumId w:val="2"/>
  </w:num>
  <w:num w:numId="2">
    <w:abstractNumId w:val="1"/>
  </w:num>
  <w:num w:numId="3">
    <w:abstractNumId w:val="5"/>
  </w:num>
  <w:num w:numId="4">
    <w:abstractNumId w:val="0"/>
  </w:num>
  <w:num w:numId="5">
    <w:abstractNumId w:val="4"/>
  </w:num>
  <w:num w:numId="6">
    <w:abstractNumId w:val="7"/>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5"/>
  <w:displayHorizontalDrawingGridEvery w:val="1"/>
  <w:displayVerticalDrawingGridEvery w:val="1"/>
  <w:noPunctuationKerning w:val="1"/>
  <w:characterSpacingControl w:val="doNotCompress"/>
  <w:hdrShapeDefaults>
    <o:shapelayout v:ext="edit">
      <o:idmap v:ext="edit" data="1"/>
    </o:shapelayout>
  </w:hdrShapeDefault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QwYjliYjk4NDQyNzM4MDM3M2M3NjVhMjRmZmVlZjgifQ=="/>
  </w:docVars>
  <w:rsids>
    <w:rsidRoot w:val="00A073B7"/>
    <w:rsid w:val="000C1291"/>
    <w:rsid w:val="001831F9"/>
    <w:rsid w:val="0039461A"/>
    <w:rsid w:val="005B2A59"/>
    <w:rsid w:val="00865CCA"/>
    <w:rsid w:val="008E2A0E"/>
    <w:rsid w:val="0094521E"/>
    <w:rsid w:val="00A073B7"/>
    <w:rsid w:val="00AC5EB0"/>
    <w:rsid w:val="00BF697D"/>
    <w:rsid w:val="00D8253B"/>
    <w:rsid w:val="00E1223F"/>
    <w:rsid w:val="010A6538"/>
    <w:rsid w:val="017D59D9"/>
    <w:rsid w:val="018E1A24"/>
    <w:rsid w:val="022C5D05"/>
    <w:rsid w:val="03F30241"/>
    <w:rsid w:val="044B7594"/>
    <w:rsid w:val="046619FB"/>
    <w:rsid w:val="04B15AAC"/>
    <w:rsid w:val="059C797B"/>
    <w:rsid w:val="060E08F7"/>
    <w:rsid w:val="071F3997"/>
    <w:rsid w:val="073E6F3C"/>
    <w:rsid w:val="07AA3593"/>
    <w:rsid w:val="084D0054"/>
    <w:rsid w:val="0920586E"/>
    <w:rsid w:val="09764302"/>
    <w:rsid w:val="0A9C4B70"/>
    <w:rsid w:val="0AA8451D"/>
    <w:rsid w:val="0B281722"/>
    <w:rsid w:val="0B78442A"/>
    <w:rsid w:val="0BF1626A"/>
    <w:rsid w:val="0DBC6E0C"/>
    <w:rsid w:val="0E2A021A"/>
    <w:rsid w:val="0EBF2F5D"/>
    <w:rsid w:val="0FD47A14"/>
    <w:rsid w:val="100D1FB2"/>
    <w:rsid w:val="119B1480"/>
    <w:rsid w:val="11D05F94"/>
    <w:rsid w:val="1280573E"/>
    <w:rsid w:val="145B3DF5"/>
    <w:rsid w:val="15F20637"/>
    <w:rsid w:val="164F633B"/>
    <w:rsid w:val="16551BAC"/>
    <w:rsid w:val="16774218"/>
    <w:rsid w:val="16840CA4"/>
    <w:rsid w:val="17967129"/>
    <w:rsid w:val="17A0779F"/>
    <w:rsid w:val="17B572A9"/>
    <w:rsid w:val="18593401"/>
    <w:rsid w:val="18A4506D"/>
    <w:rsid w:val="18F33B67"/>
    <w:rsid w:val="1A976C37"/>
    <w:rsid w:val="1B484046"/>
    <w:rsid w:val="1B55319F"/>
    <w:rsid w:val="1C9C36CA"/>
    <w:rsid w:val="1CAF5D73"/>
    <w:rsid w:val="1E870D71"/>
    <w:rsid w:val="20931408"/>
    <w:rsid w:val="20DB3207"/>
    <w:rsid w:val="20F01F24"/>
    <w:rsid w:val="21DB292C"/>
    <w:rsid w:val="222462A4"/>
    <w:rsid w:val="237B1887"/>
    <w:rsid w:val="24014120"/>
    <w:rsid w:val="25711C1B"/>
    <w:rsid w:val="25A246E2"/>
    <w:rsid w:val="25FC3DF2"/>
    <w:rsid w:val="26070680"/>
    <w:rsid w:val="26431A21"/>
    <w:rsid w:val="264E2EB5"/>
    <w:rsid w:val="265F25D3"/>
    <w:rsid w:val="28272D00"/>
    <w:rsid w:val="283261F1"/>
    <w:rsid w:val="28E571A8"/>
    <w:rsid w:val="2A2878AC"/>
    <w:rsid w:val="2B2160A9"/>
    <w:rsid w:val="2B2321A0"/>
    <w:rsid w:val="2B3A6278"/>
    <w:rsid w:val="2BCE023C"/>
    <w:rsid w:val="2BFB5C3D"/>
    <w:rsid w:val="2EBD7AB6"/>
    <w:rsid w:val="2F1D3331"/>
    <w:rsid w:val="2F3B3032"/>
    <w:rsid w:val="2F7D6077"/>
    <w:rsid w:val="2FB85027"/>
    <w:rsid w:val="2FCA46BE"/>
    <w:rsid w:val="2FE75B13"/>
    <w:rsid w:val="307D4BAC"/>
    <w:rsid w:val="314E60EC"/>
    <w:rsid w:val="33263AAA"/>
    <w:rsid w:val="34017942"/>
    <w:rsid w:val="34112CB7"/>
    <w:rsid w:val="34237336"/>
    <w:rsid w:val="34581E3F"/>
    <w:rsid w:val="346407CE"/>
    <w:rsid w:val="34694ED2"/>
    <w:rsid w:val="387E45EA"/>
    <w:rsid w:val="392007DF"/>
    <w:rsid w:val="392576AC"/>
    <w:rsid w:val="39493484"/>
    <w:rsid w:val="397877DC"/>
    <w:rsid w:val="39DC420F"/>
    <w:rsid w:val="3A2330D2"/>
    <w:rsid w:val="3A244A36"/>
    <w:rsid w:val="3A2E433E"/>
    <w:rsid w:val="3B00217F"/>
    <w:rsid w:val="3B732951"/>
    <w:rsid w:val="3BF13876"/>
    <w:rsid w:val="3C8778F6"/>
    <w:rsid w:val="3D4E0F7F"/>
    <w:rsid w:val="3F787463"/>
    <w:rsid w:val="408D6263"/>
    <w:rsid w:val="42516643"/>
    <w:rsid w:val="43081BD1"/>
    <w:rsid w:val="442D4820"/>
    <w:rsid w:val="450B59A8"/>
    <w:rsid w:val="454B3FF6"/>
    <w:rsid w:val="45C77C57"/>
    <w:rsid w:val="467C4DAF"/>
    <w:rsid w:val="46963997"/>
    <w:rsid w:val="46CD2548"/>
    <w:rsid w:val="47A04ACD"/>
    <w:rsid w:val="49820577"/>
    <w:rsid w:val="49915D3F"/>
    <w:rsid w:val="49CD76D0"/>
    <w:rsid w:val="49D165D1"/>
    <w:rsid w:val="4A224D63"/>
    <w:rsid w:val="4A394D65"/>
    <w:rsid w:val="4A567AD9"/>
    <w:rsid w:val="4A91435B"/>
    <w:rsid w:val="4ADF10D1"/>
    <w:rsid w:val="4AEA6060"/>
    <w:rsid w:val="4B87707D"/>
    <w:rsid w:val="4D7D31BB"/>
    <w:rsid w:val="4F7B5396"/>
    <w:rsid w:val="4F8A06F7"/>
    <w:rsid w:val="50142188"/>
    <w:rsid w:val="5084660D"/>
    <w:rsid w:val="50C35A7B"/>
    <w:rsid w:val="5144296E"/>
    <w:rsid w:val="51C23892"/>
    <w:rsid w:val="53453CB3"/>
    <w:rsid w:val="537D0E07"/>
    <w:rsid w:val="53937294"/>
    <w:rsid w:val="54702F19"/>
    <w:rsid w:val="549E5283"/>
    <w:rsid w:val="54DF0645"/>
    <w:rsid w:val="551B1C37"/>
    <w:rsid w:val="5594731A"/>
    <w:rsid w:val="55C07A20"/>
    <w:rsid w:val="562F4294"/>
    <w:rsid w:val="56B8577C"/>
    <w:rsid w:val="570C35A5"/>
    <w:rsid w:val="57CB2DA4"/>
    <w:rsid w:val="57F657DD"/>
    <w:rsid w:val="582508E9"/>
    <w:rsid w:val="593212FE"/>
    <w:rsid w:val="59A652AA"/>
    <w:rsid w:val="5AC07BEF"/>
    <w:rsid w:val="5B637E94"/>
    <w:rsid w:val="5B687259"/>
    <w:rsid w:val="5C1F43A8"/>
    <w:rsid w:val="5CD4052E"/>
    <w:rsid w:val="5CD5091E"/>
    <w:rsid w:val="5CF937B5"/>
    <w:rsid w:val="5CFD650B"/>
    <w:rsid w:val="5DDC05B8"/>
    <w:rsid w:val="5FD650D9"/>
    <w:rsid w:val="5FFF1E1B"/>
    <w:rsid w:val="61502C69"/>
    <w:rsid w:val="61BE6D19"/>
    <w:rsid w:val="62183C95"/>
    <w:rsid w:val="62432EF2"/>
    <w:rsid w:val="625C73EB"/>
    <w:rsid w:val="629B2D85"/>
    <w:rsid w:val="62A56FE4"/>
    <w:rsid w:val="62A66D91"/>
    <w:rsid w:val="62AA753E"/>
    <w:rsid w:val="62B90E9D"/>
    <w:rsid w:val="64DC3887"/>
    <w:rsid w:val="64E536C8"/>
    <w:rsid w:val="65D05958"/>
    <w:rsid w:val="66653631"/>
    <w:rsid w:val="670B52F9"/>
    <w:rsid w:val="677700BB"/>
    <w:rsid w:val="67E90783"/>
    <w:rsid w:val="68350126"/>
    <w:rsid w:val="68957DD2"/>
    <w:rsid w:val="696D46C0"/>
    <w:rsid w:val="69FF71B6"/>
    <w:rsid w:val="6AF52309"/>
    <w:rsid w:val="6B3D3047"/>
    <w:rsid w:val="6B4A6192"/>
    <w:rsid w:val="6BDD38A9"/>
    <w:rsid w:val="6BF70432"/>
    <w:rsid w:val="6CF44DF0"/>
    <w:rsid w:val="6D707BE8"/>
    <w:rsid w:val="6D730162"/>
    <w:rsid w:val="6D7B72BF"/>
    <w:rsid w:val="6F08028A"/>
    <w:rsid w:val="6F280D81"/>
    <w:rsid w:val="6F857203"/>
    <w:rsid w:val="70983CE4"/>
    <w:rsid w:val="70B754FD"/>
    <w:rsid w:val="71562B51"/>
    <w:rsid w:val="722C2936"/>
    <w:rsid w:val="72CE5BF7"/>
    <w:rsid w:val="72ED47BB"/>
    <w:rsid w:val="74223952"/>
    <w:rsid w:val="74525C01"/>
    <w:rsid w:val="745E0169"/>
    <w:rsid w:val="74DE227B"/>
    <w:rsid w:val="764F4EA7"/>
    <w:rsid w:val="775E2AF9"/>
    <w:rsid w:val="77742842"/>
    <w:rsid w:val="781C51FB"/>
    <w:rsid w:val="784D343E"/>
    <w:rsid w:val="78A526FF"/>
    <w:rsid w:val="78B418D7"/>
    <w:rsid w:val="78B57116"/>
    <w:rsid w:val="790836D0"/>
    <w:rsid w:val="79B27C68"/>
    <w:rsid w:val="7AF63896"/>
    <w:rsid w:val="7B2105C6"/>
    <w:rsid w:val="7BA239FF"/>
    <w:rsid w:val="7C2D31AB"/>
    <w:rsid w:val="7D0A4B32"/>
    <w:rsid w:val="7D893333"/>
    <w:rsid w:val="7DD932C5"/>
    <w:rsid w:val="7E505BFE"/>
    <w:rsid w:val="7E6A5569"/>
    <w:rsid w:val="7EC02A92"/>
    <w:rsid w:val="7FEF4F3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1"/>
      <w:lang w:val="en-US" w:eastAsia="zh-CN" w:bidi="ar-SA"/>
    </w:rPr>
  </w:style>
  <w:style w:type="paragraph" w:styleId="2">
    <w:name w:val="heading 1"/>
    <w:basedOn w:val="1"/>
    <w:next w:val="1"/>
    <w:link w:val="42"/>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3"/>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4"/>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5"/>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6"/>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7"/>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8"/>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9"/>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0"/>
    <w:unhideWhenUsed/>
    <w:qFormat/>
    <w:uiPriority w:val="9"/>
    <w:pPr>
      <w:keepNext/>
      <w:keepLines/>
      <w:spacing w:before="320" w:after="200"/>
      <w:outlineLvl w:val="8"/>
    </w:pPr>
    <w:rPr>
      <w:rFonts w:ascii="Arial" w:hAnsi="Arial" w:eastAsia="Arial" w:cs="Arial"/>
      <w:i/>
      <w:iCs/>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qFormat/>
    <w:uiPriority w:val="0"/>
    <w:pPr>
      <w:adjustRightInd w:val="0"/>
      <w:spacing w:line="360" w:lineRule="atLeast"/>
      <w:ind w:firstLine="482"/>
      <w:textAlignment w:val="baseline"/>
    </w:pPr>
    <w:rPr>
      <w:sz w:val="24"/>
      <w:szCs w:val="24"/>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Body Text Indent"/>
    <w:basedOn w:val="1"/>
    <w:next w:val="15"/>
    <w:qFormat/>
    <w:uiPriority w:val="0"/>
    <w:pPr>
      <w:spacing w:after="120"/>
      <w:ind w:left="420" w:leftChars="200"/>
    </w:pPr>
    <w:rPr>
      <w:szCs w:val="24"/>
    </w:rPr>
  </w:style>
  <w:style w:type="paragraph" w:styleId="15">
    <w:name w:val="Body Text First Indent 2"/>
    <w:basedOn w:val="14"/>
    <w:next w:val="12"/>
    <w:qFormat/>
    <w:uiPriority w:val="0"/>
    <w:pPr>
      <w:ind w:firstLine="420" w:firstLineChars="200"/>
    </w:pPr>
  </w:style>
  <w:style w:type="paragraph" w:styleId="16">
    <w:name w:val="toc 5"/>
    <w:basedOn w:val="1"/>
    <w:next w:val="1"/>
    <w:unhideWhenUsed/>
    <w:qFormat/>
    <w:uiPriority w:val="39"/>
    <w:pPr>
      <w:spacing w:after="57"/>
      <w:ind w:left="1134"/>
    </w:pPr>
  </w:style>
  <w:style w:type="paragraph" w:styleId="17">
    <w:name w:val="toc 3"/>
    <w:basedOn w:val="1"/>
    <w:next w:val="1"/>
    <w:unhideWhenUsed/>
    <w:qFormat/>
    <w:uiPriority w:val="39"/>
    <w:pPr>
      <w:spacing w:after="57"/>
      <w:ind w:left="567"/>
    </w:pPr>
  </w:style>
  <w:style w:type="paragraph" w:styleId="18">
    <w:name w:val="Plain Text"/>
    <w:basedOn w:val="1"/>
    <w:qFormat/>
    <w:uiPriority w:val="99"/>
    <w:rPr>
      <w:rFonts w:ascii="宋体" w:hAnsi="Courier New"/>
      <w:sz w:val="28"/>
      <w:szCs w:val="20"/>
    </w:rPr>
  </w:style>
  <w:style w:type="paragraph" w:styleId="19">
    <w:name w:val="toc 8"/>
    <w:basedOn w:val="1"/>
    <w:next w:val="1"/>
    <w:unhideWhenUsed/>
    <w:qFormat/>
    <w:uiPriority w:val="39"/>
    <w:pPr>
      <w:spacing w:after="57"/>
      <w:ind w:left="1984"/>
    </w:pPr>
  </w:style>
  <w:style w:type="paragraph" w:styleId="20">
    <w:name w:val="endnote text"/>
    <w:basedOn w:val="1"/>
    <w:link w:val="188"/>
    <w:semiHidden/>
    <w:unhideWhenUsed/>
    <w:qFormat/>
    <w:uiPriority w:val="99"/>
    <w:rPr>
      <w:sz w:val="20"/>
    </w:rPr>
  </w:style>
  <w:style w:type="paragraph" w:styleId="21">
    <w:name w:val="footer"/>
    <w:basedOn w:val="1"/>
    <w:link w:val="61"/>
    <w:unhideWhenUsed/>
    <w:qFormat/>
    <w:uiPriority w:val="99"/>
    <w:pPr>
      <w:tabs>
        <w:tab w:val="center" w:pos="7143"/>
        <w:tab w:val="right" w:pos="14287"/>
      </w:tabs>
    </w:pPr>
  </w:style>
  <w:style w:type="paragraph" w:styleId="22">
    <w:name w:val="header"/>
    <w:basedOn w:val="1"/>
    <w:link w:val="59"/>
    <w:unhideWhenUsed/>
    <w:qFormat/>
    <w:uiPriority w:val="99"/>
    <w:pPr>
      <w:tabs>
        <w:tab w:val="center" w:pos="7143"/>
        <w:tab w:val="right" w:pos="14287"/>
      </w:tabs>
    </w:pPr>
  </w:style>
  <w:style w:type="paragraph" w:styleId="23">
    <w:name w:val="toc 1"/>
    <w:basedOn w:val="1"/>
    <w:next w:val="1"/>
    <w:unhideWhenUsed/>
    <w:qFormat/>
    <w:uiPriority w:val="39"/>
    <w:pPr>
      <w:spacing w:after="57"/>
    </w:pPr>
  </w:style>
  <w:style w:type="paragraph" w:styleId="24">
    <w:name w:val="toc 4"/>
    <w:basedOn w:val="1"/>
    <w:next w:val="1"/>
    <w:unhideWhenUsed/>
    <w:qFormat/>
    <w:uiPriority w:val="39"/>
    <w:pPr>
      <w:spacing w:after="57"/>
      <w:ind w:left="850"/>
    </w:pPr>
  </w:style>
  <w:style w:type="paragraph" w:styleId="25">
    <w:name w:val="Subtitle"/>
    <w:basedOn w:val="1"/>
    <w:next w:val="1"/>
    <w:link w:val="54"/>
    <w:qFormat/>
    <w:uiPriority w:val="11"/>
    <w:pPr>
      <w:spacing w:before="200" w:after="200"/>
    </w:pPr>
    <w:rPr>
      <w:sz w:val="24"/>
      <w:szCs w:val="24"/>
    </w:rPr>
  </w:style>
  <w:style w:type="paragraph" w:styleId="26">
    <w:name w:val="footnote text"/>
    <w:basedOn w:val="1"/>
    <w:link w:val="187"/>
    <w:semiHidden/>
    <w:unhideWhenUsed/>
    <w:qFormat/>
    <w:uiPriority w:val="99"/>
    <w:pPr>
      <w:spacing w:after="40"/>
    </w:pPr>
    <w:rPr>
      <w:sz w:val="18"/>
    </w:rPr>
  </w:style>
  <w:style w:type="paragraph" w:styleId="27">
    <w:name w:val="toc 6"/>
    <w:basedOn w:val="1"/>
    <w:next w:val="1"/>
    <w:unhideWhenUsed/>
    <w:qFormat/>
    <w:uiPriority w:val="39"/>
    <w:pPr>
      <w:spacing w:after="57"/>
      <w:ind w:left="1417"/>
    </w:pPr>
  </w:style>
  <w:style w:type="paragraph" w:styleId="28">
    <w:name w:val="table of figures"/>
    <w:basedOn w:val="1"/>
    <w:next w:val="1"/>
    <w:unhideWhenUsed/>
    <w:qFormat/>
    <w:uiPriority w:val="99"/>
  </w:style>
  <w:style w:type="paragraph" w:styleId="29">
    <w:name w:val="toc 2"/>
    <w:basedOn w:val="1"/>
    <w:next w:val="1"/>
    <w:unhideWhenUsed/>
    <w:qFormat/>
    <w:uiPriority w:val="39"/>
    <w:pPr>
      <w:spacing w:after="57"/>
      <w:ind w:left="283"/>
    </w:pPr>
  </w:style>
  <w:style w:type="paragraph" w:styleId="30">
    <w:name w:val="toc 9"/>
    <w:basedOn w:val="1"/>
    <w:next w:val="1"/>
    <w:unhideWhenUsed/>
    <w:qFormat/>
    <w:uiPriority w:val="39"/>
    <w:pPr>
      <w:spacing w:after="57"/>
      <w:ind w:left="2268"/>
    </w:pPr>
  </w:style>
  <w:style w:type="paragraph" w:styleId="31">
    <w:name w:val="Normal (Web)"/>
    <w:basedOn w:val="1"/>
    <w:unhideWhenUsed/>
    <w:qFormat/>
    <w:uiPriority w:val="99"/>
    <w:pPr>
      <w:widowControl/>
      <w:spacing w:before="100" w:beforeAutospacing="1" w:after="100" w:afterAutospacing="1"/>
      <w:jc w:val="left"/>
    </w:pPr>
    <w:rPr>
      <w:rFonts w:ascii="宋体" w:hAnsi="宋体" w:cs="宋体"/>
      <w:sz w:val="24"/>
      <w:szCs w:val="24"/>
    </w:rPr>
  </w:style>
  <w:style w:type="paragraph" w:styleId="32">
    <w:name w:val="Title"/>
    <w:basedOn w:val="1"/>
    <w:next w:val="1"/>
    <w:link w:val="53"/>
    <w:qFormat/>
    <w:uiPriority w:val="10"/>
    <w:pPr>
      <w:spacing w:before="300" w:after="200"/>
      <w:contextualSpacing/>
    </w:pPr>
    <w:rPr>
      <w:sz w:val="48"/>
      <w:szCs w:val="48"/>
    </w:rPr>
  </w:style>
  <w:style w:type="table" w:styleId="34">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6">
    <w:name w:val="endnote reference"/>
    <w:semiHidden/>
    <w:unhideWhenUsed/>
    <w:qFormat/>
    <w:uiPriority w:val="99"/>
    <w:rPr>
      <w:vertAlign w:val="superscript"/>
    </w:rPr>
  </w:style>
  <w:style w:type="character" w:styleId="37">
    <w:name w:val="Hyperlink"/>
    <w:unhideWhenUsed/>
    <w:qFormat/>
    <w:uiPriority w:val="99"/>
    <w:rPr>
      <w:color w:val="0000FF" w:themeColor="hyperlink"/>
      <w:u w:val="single"/>
      <w14:textFill>
        <w14:solidFill>
          <w14:schemeClr w14:val="hlink"/>
        </w14:solidFill>
      </w14:textFill>
    </w:rPr>
  </w:style>
  <w:style w:type="character" w:styleId="38">
    <w:name w:val="footnote reference"/>
    <w:unhideWhenUsed/>
    <w:qFormat/>
    <w:uiPriority w:val="99"/>
    <w:rPr>
      <w:vertAlign w:val="superscript"/>
    </w:rPr>
  </w:style>
  <w:style w:type="paragraph" w:customStyle="1" w:styleId="39">
    <w:name w:val="正文文本缩进12"/>
    <w:next w:val="40"/>
    <w:unhideWhenUsed/>
    <w:qFormat/>
    <w:uiPriority w:val="0"/>
    <w:pPr>
      <w:widowControl w:val="0"/>
      <w:spacing w:after="120"/>
      <w:ind w:left="420"/>
      <w:jc w:val="both"/>
    </w:pPr>
    <w:rPr>
      <w:rFonts w:ascii="Times New Roman" w:hAnsi="Times New Roman" w:eastAsia="宋体" w:cs="Times New Roman"/>
      <w:sz w:val="21"/>
      <w:lang w:val="en-US" w:eastAsia="zh-CN" w:bidi="ar-SA"/>
    </w:rPr>
  </w:style>
  <w:style w:type="paragraph" w:customStyle="1" w:styleId="40">
    <w:name w:val="寄信人地址11"/>
    <w:qFormat/>
    <w:uiPriority w:val="0"/>
    <w:pPr>
      <w:widowControl w:val="0"/>
      <w:jc w:val="both"/>
    </w:pPr>
    <w:rPr>
      <w:rFonts w:ascii="Arial" w:hAnsi="Arial" w:eastAsia="楷体_GB2312" w:cs="Times New Roman"/>
      <w:sz w:val="26"/>
      <w:szCs w:val="22"/>
      <w:lang w:val="en-US" w:eastAsia="zh-CN" w:bidi="ar-SA"/>
    </w:rPr>
  </w:style>
  <w:style w:type="paragraph" w:customStyle="1" w:styleId="41">
    <w:name w:val="索引 41"/>
    <w:basedOn w:val="1"/>
    <w:next w:val="1"/>
    <w:unhideWhenUsed/>
    <w:qFormat/>
    <w:uiPriority w:val="99"/>
    <w:pPr>
      <w:spacing w:before="100" w:beforeAutospacing="1" w:after="100" w:afterAutospacing="1"/>
      <w:ind w:left="600"/>
    </w:pPr>
    <w:rPr>
      <w:rFonts w:ascii="宋体"/>
      <w:b/>
      <w:bCs/>
      <w:position w:val="-10"/>
      <w:sz w:val="24"/>
      <w:szCs w:val="22"/>
    </w:rPr>
  </w:style>
  <w:style w:type="character" w:customStyle="1" w:styleId="42">
    <w:name w:val="标题 1 Char"/>
    <w:link w:val="2"/>
    <w:qFormat/>
    <w:uiPriority w:val="9"/>
    <w:rPr>
      <w:rFonts w:ascii="Arial" w:hAnsi="Arial" w:eastAsia="Arial" w:cs="Arial"/>
      <w:sz w:val="40"/>
      <w:szCs w:val="40"/>
    </w:rPr>
  </w:style>
  <w:style w:type="character" w:customStyle="1" w:styleId="43">
    <w:name w:val="标题 2 Char"/>
    <w:link w:val="3"/>
    <w:qFormat/>
    <w:uiPriority w:val="9"/>
    <w:rPr>
      <w:rFonts w:ascii="Arial" w:hAnsi="Arial" w:eastAsia="Arial" w:cs="Arial"/>
      <w:sz w:val="34"/>
    </w:rPr>
  </w:style>
  <w:style w:type="character" w:customStyle="1" w:styleId="44">
    <w:name w:val="标题 3 Char1"/>
    <w:link w:val="4"/>
    <w:qFormat/>
    <w:uiPriority w:val="9"/>
    <w:rPr>
      <w:rFonts w:ascii="Arial" w:hAnsi="Arial" w:eastAsia="Arial" w:cs="Arial"/>
      <w:sz w:val="30"/>
      <w:szCs w:val="30"/>
    </w:rPr>
  </w:style>
  <w:style w:type="character" w:customStyle="1" w:styleId="45">
    <w:name w:val="标题 4 Char"/>
    <w:link w:val="5"/>
    <w:qFormat/>
    <w:uiPriority w:val="9"/>
    <w:rPr>
      <w:rFonts w:ascii="Arial" w:hAnsi="Arial" w:eastAsia="Arial" w:cs="Arial"/>
      <w:b/>
      <w:bCs/>
      <w:sz w:val="26"/>
      <w:szCs w:val="26"/>
    </w:rPr>
  </w:style>
  <w:style w:type="character" w:customStyle="1" w:styleId="46">
    <w:name w:val="标题 5 Char"/>
    <w:link w:val="6"/>
    <w:qFormat/>
    <w:uiPriority w:val="9"/>
    <w:rPr>
      <w:rFonts w:ascii="Arial" w:hAnsi="Arial" w:eastAsia="Arial" w:cs="Arial"/>
      <w:b/>
      <w:bCs/>
      <w:sz w:val="24"/>
      <w:szCs w:val="24"/>
    </w:rPr>
  </w:style>
  <w:style w:type="character" w:customStyle="1" w:styleId="47">
    <w:name w:val="标题 6 Char"/>
    <w:link w:val="7"/>
    <w:qFormat/>
    <w:uiPriority w:val="9"/>
    <w:rPr>
      <w:rFonts w:ascii="Arial" w:hAnsi="Arial" w:eastAsia="Arial" w:cs="Arial"/>
      <w:b/>
      <w:bCs/>
      <w:sz w:val="22"/>
      <w:szCs w:val="22"/>
    </w:rPr>
  </w:style>
  <w:style w:type="character" w:customStyle="1" w:styleId="48">
    <w:name w:val="标题 7 Char"/>
    <w:link w:val="8"/>
    <w:qFormat/>
    <w:uiPriority w:val="9"/>
    <w:rPr>
      <w:rFonts w:ascii="Arial" w:hAnsi="Arial" w:eastAsia="Arial" w:cs="Arial"/>
      <w:b/>
      <w:bCs/>
      <w:i/>
      <w:iCs/>
      <w:sz w:val="22"/>
      <w:szCs w:val="22"/>
    </w:rPr>
  </w:style>
  <w:style w:type="character" w:customStyle="1" w:styleId="49">
    <w:name w:val="标题 8 Char"/>
    <w:link w:val="9"/>
    <w:qFormat/>
    <w:uiPriority w:val="9"/>
    <w:rPr>
      <w:rFonts w:ascii="Arial" w:hAnsi="Arial" w:eastAsia="Arial" w:cs="Arial"/>
      <w:i/>
      <w:iCs/>
      <w:sz w:val="22"/>
      <w:szCs w:val="22"/>
    </w:rPr>
  </w:style>
  <w:style w:type="character" w:customStyle="1" w:styleId="50">
    <w:name w:val="标题 9 Char"/>
    <w:link w:val="10"/>
    <w:qFormat/>
    <w:uiPriority w:val="9"/>
    <w:rPr>
      <w:rFonts w:ascii="Arial" w:hAnsi="Arial" w:eastAsia="Arial" w:cs="Arial"/>
      <w:i/>
      <w:iCs/>
      <w:sz w:val="21"/>
      <w:szCs w:val="21"/>
    </w:rPr>
  </w:style>
  <w:style w:type="paragraph" w:styleId="51">
    <w:name w:val="List Paragraph"/>
    <w:basedOn w:val="1"/>
    <w:qFormat/>
    <w:uiPriority w:val="34"/>
    <w:pPr>
      <w:ind w:left="720"/>
      <w:contextualSpacing/>
    </w:pPr>
  </w:style>
  <w:style w:type="paragraph" w:styleId="52">
    <w:name w:val="No Spacing"/>
    <w:qFormat/>
    <w:uiPriority w:val="1"/>
    <w:rPr>
      <w:rFonts w:ascii="Times New Roman" w:hAnsi="Times New Roman" w:eastAsia="宋体" w:cs="Times New Roman"/>
      <w:lang w:val="en-US" w:eastAsia="zh-CN" w:bidi="ar-SA"/>
    </w:rPr>
  </w:style>
  <w:style w:type="character" w:customStyle="1" w:styleId="53">
    <w:name w:val="标题 Char"/>
    <w:link w:val="32"/>
    <w:qFormat/>
    <w:uiPriority w:val="10"/>
    <w:rPr>
      <w:sz w:val="48"/>
      <w:szCs w:val="48"/>
    </w:rPr>
  </w:style>
  <w:style w:type="character" w:customStyle="1" w:styleId="54">
    <w:name w:val="副标题 Char"/>
    <w:link w:val="25"/>
    <w:qFormat/>
    <w:uiPriority w:val="11"/>
    <w:rPr>
      <w:sz w:val="24"/>
      <w:szCs w:val="24"/>
    </w:rPr>
  </w:style>
  <w:style w:type="paragraph" w:styleId="55">
    <w:name w:val="Quote"/>
    <w:basedOn w:val="1"/>
    <w:next w:val="1"/>
    <w:link w:val="56"/>
    <w:qFormat/>
    <w:uiPriority w:val="29"/>
    <w:pPr>
      <w:ind w:left="720" w:right="720"/>
    </w:pPr>
    <w:rPr>
      <w:i/>
    </w:rPr>
  </w:style>
  <w:style w:type="character" w:customStyle="1" w:styleId="56">
    <w:name w:val="引用 Char"/>
    <w:link w:val="55"/>
    <w:qFormat/>
    <w:uiPriority w:val="29"/>
    <w:rPr>
      <w:i/>
    </w:rPr>
  </w:style>
  <w:style w:type="paragraph" w:styleId="57">
    <w:name w:val="Intense Quote"/>
    <w:basedOn w:val="1"/>
    <w:next w:val="1"/>
    <w:link w:val="5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8">
    <w:name w:val="明显引用 Char"/>
    <w:link w:val="57"/>
    <w:qFormat/>
    <w:uiPriority w:val="30"/>
    <w:rPr>
      <w:i/>
    </w:rPr>
  </w:style>
  <w:style w:type="character" w:customStyle="1" w:styleId="59">
    <w:name w:val="页眉 Char"/>
    <w:link w:val="22"/>
    <w:qFormat/>
    <w:uiPriority w:val="99"/>
  </w:style>
  <w:style w:type="character" w:customStyle="1" w:styleId="60">
    <w:name w:val="Footer Char"/>
    <w:link w:val="21"/>
    <w:qFormat/>
    <w:uiPriority w:val="99"/>
  </w:style>
  <w:style w:type="character" w:customStyle="1" w:styleId="61">
    <w:name w:val="页脚 Char"/>
    <w:link w:val="21"/>
    <w:qFormat/>
    <w:uiPriority w:val="99"/>
  </w:style>
  <w:style w:type="table" w:customStyle="1" w:styleId="62">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3">
    <w:name w:val="Plain Table 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4">
    <w:name w:val="Plain Table 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5">
    <w:name w:val="Plain Table 3"/>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4"/>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Plain Table 5"/>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Grid Table 1 Light"/>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9">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0">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1">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2">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3">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4">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5">
    <w:name w:val="Grid Table 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7">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8">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9">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0">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1">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2">
    <w:name w:val="Grid Table 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4">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5">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6">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7">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8">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9">
    <w:name w:val="Grid Table 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1">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2">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3">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4">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5">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6">
    <w:name w:val="Grid Table 5 Dark"/>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7">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8">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9">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0">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1">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2">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3">
    <w:name w:val="Grid Table 6 Colorful"/>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4">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5">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6">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07">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8">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9">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0">
    <w:name w:val="Grid Table 7 Colorful"/>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1">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2">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3">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4">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5">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6">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7">
    <w:name w:val="List Table 1 Light"/>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8">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9">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0">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1">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2">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3">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4">
    <w:name w:val="List Table 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5">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6">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7">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8">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9">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0">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1">
    <w:name w:val="List Table 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2">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3">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4">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5">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6">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7">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8">
    <w:name w:val="List Table 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9">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0">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1">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2">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3">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4">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5">
    <w:name w:val="List Table 5 Dark"/>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6">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7">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8">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9">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0">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1">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2">
    <w:name w:val="List Table 6 Colorful"/>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3">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4">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5">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6">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7">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8">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9">
    <w:name w:val="List Table 7 Colorful"/>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0">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1">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2">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3">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4">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5">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6">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7">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8">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9">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0">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1">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2">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3">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4">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5">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6">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7">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8">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9">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0">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1">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2">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3">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4">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5">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6">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7">
    <w:name w:val="脚注文本 Char"/>
    <w:link w:val="26"/>
    <w:qFormat/>
    <w:uiPriority w:val="99"/>
    <w:rPr>
      <w:sz w:val="18"/>
    </w:rPr>
  </w:style>
  <w:style w:type="character" w:customStyle="1" w:styleId="188">
    <w:name w:val="尾注文本 Char"/>
    <w:link w:val="20"/>
    <w:qFormat/>
    <w:uiPriority w:val="99"/>
    <w:rPr>
      <w:sz w:val="20"/>
    </w:rPr>
  </w:style>
  <w:style w:type="paragraph" w:customStyle="1" w:styleId="189">
    <w:name w:val="TOC 标题1"/>
    <w:unhideWhenUsed/>
    <w:qFormat/>
    <w:uiPriority w:val="39"/>
    <w:rPr>
      <w:rFonts w:ascii="Times New Roman" w:hAnsi="Times New Roman" w:eastAsia="宋体" w:cs="Times New Roman"/>
      <w:lang w:val="en-US" w:eastAsia="zh-CN" w:bidi="ar-SA"/>
    </w:rPr>
  </w:style>
  <w:style w:type="paragraph" w:customStyle="1" w:styleId="190">
    <w:name w:val="标题 11"/>
    <w:basedOn w:val="1"/>
    <w:next w:val="1"/>
    <w:qFormat/>
    <w:uiPriority w:val="0"/>
    <w:pPr>
      <w:keepNext/>
      <w:jc w:val="center"/>
      <w:outlineLvl w:val="0"/>
    </w:pPr>
    <w:rPr>
      <w:rFonts w:ascii="楷体_GB2312" w:eastAsia="楷体_GB2312"/>
      <w:sz w:val="28"/>
      <w:szCs w:val="28"/>
    </w:rPr>
  </w:style>
  <w:style w:type="paragraph" w:customStyle="1" w:styleId="191">
    <w:name w:val="标题 21"/>
    <w:basedOn w:val="1"/>
    <w:next w:val="1"/>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192">
    <w:name w:val="标题 311"/>
    <w:basedOn w:val="1"/>
    <w:next w:val="1"/>
    <w:link w:val="202"/>
    <w:qFormat/>
    <w:uiPriority w:val="0"/>
    <w:pPr>
      <w:keepNext/>
      <w:keepLines/>
      <w:spacing w:before="260" w:after="260" w:line="416" w:lineRule="auto"/>
      <w:outlineLvl w:val="2"/>
    </w:pPr>
    <w:rPr>
      <w:b/>
      <w:bCs/>
      <w:sz w:val="32"/>
      <w:szCs w:val="32"/>
    </w:rPr>
  </w:style>
  <w:style w:type="paragraph" w:customStyle="1" w:styleId="193">
    <w:name w:val="标题 411"/>
    <w:basedOn w:val="1"/>
    <w:next w:val="194"/>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194">
    <w:name w:val="正文缩进11"/>
    <w:basedOn w:val="1"/>
    <w:link w:val="203"/>
    <w:qFormat/>
    <w:uiPriority w:val="0"/>
    <w:pPr>
      <w:ind w:firstLine="420"/>
    </w:pPr>
  </w:style>
  <w:style w:type="paragraph" w:customStyle="1" w:styleId="195">
    <w:name w:val="标题 51"/>
    <w:basedOn w:val="1"/>
    <w:next w:val="194"/>
    <w:qFormat/>
    <w:uiPriority w:val="0"/>
    <w:pPr>
      <w:keepNext/>
      <w:outlineLvl w:val="4"/>
    </w:pPr>
    <w:rPr>
      <w:rFonts w:ascii="宋体"/>
      <w:color w:val="000000"/>
      <w:sz w:val="28"/>
      <w:szCs w:val="28"/>
    </w:rPr>
  </w:style>
  <w:style w:type="paragraph" w:customStyle="1" w:styleId="196">
    <w:name w:val="标题 61"/>
    <w:basedOn w:val="1"/>
    <w:next w:val="1"/>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197">
    <w:name w:val="标题 71"/>
    <w:basedOn w:val="1"/>
    <w:next w:val="1"/>
    <w:qFormat/>
    <w:uiPriority w:val="0"/>
    <w:pPr>
      <w:keepNext/>
      <w:keepLines/>
      <w:numPr>
        <w:ilvl w:val="6"/>
        <w:numId w:val="1"/>
      </w:numPr>
      <w:spacing w:before="240" w:after="64" w:line="320" w:lineRule="auto"/>
      <w:outlineLvl w:val="6"/>
    </w:pPr>
    <w:rPr>
      <w:b/>
      <w:bCs/>
      <w:sz w:val="24"/>
      <w:szCs w:val="24"/>
    </w:rPr>
  </w:style>
  <w:style w:type="paragraph" w:customStyle="1" w:styleId="198">
    <w:name w:val="标题 81"/>
    <w:basedOn w:val="1"/>
    <w:next w:val="1"/>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199">
    <w:name w:val="标题 91"/>
    <w:basedOn w:val="1"/>
    <w:next w:val="1"/>
    <w:qFormat/>
    <w:uiPriority w:val="0"/>
    <w:pPr>
      <w:keepNext/>
      <w:keepLines/>
      <w:numPr>
        <w:ilvl w:val="8"/>
        <w:numId w:val="1"/>
      </w:numPr>
      <w:spacing w:before="240" w:after="64" w:line="320" w:lineRule="auto"/>
      <w:outlineLvl w:val="8"/>
    </w:pPr>
    <w:rPr>
      <w:rFonts w:ascii="Arial" w:hAnsi="Arial" w:eastAsia="黑体"/>
    </w:rPr>
  </w:style>
  <w:style w:type="character" w:customStyle="1" w:styleId="200">
    <w:name w:val="默认段落字体1"/>
    <w:semiHidden/>
    <w:qFormat/>
    <w:uiPriority w:val="0"/>
  </w:style>
  <w:style w:type="table" w:customStyle="1" w:styleId="201">
    <w:name w:val="普通表格1"/>
    <w:semiHidden/>
    <w:qFormat/>
    <w:uiPriority w:val="0"/>
    <w:tblPr>
      <w:tblCellMar>
        <w:top w:w="0" w:type="dxa"/>
        <w:left w:w="0" w:type="dxa"/>
        <w:bottom w:w="0" w:type="dxa"/>
        <w:right w:w="0" w:type="dxa"/>
      </w:tblCellMar>
    </w:tblPr>
  </w:style>
  <w:style w:type="character" w:customStyle="1" w:styleId="202">
    <w:name w:val="标题 3 Char"/>
    <w:link w:val="192"/>
    <w:qFormat/>
    <w:uiPriority w:val="0"/>
    <w:rPr>
      <w:rFonts w:eastAsia="宋体"/>
      <w:b/>
      <w:bCs/>
      <w:sz w:val="32"/>
      <w:szCs w:val="32"/>
      <w:lang w:val="en-US" w:eastAsia="zh-CN" w:bidi="ar-SA"/>
    </w:rPr>
  </w:style>
  <w:style w:type="character" w:customStyle="1" w:styleId="203">
    <w:name w:val="正文缩进 Char"/>
    <w:link w:val="194"/>
    <w:qFormat/>
    <w:uiPriority w:val="0"/>
    <w:rPr>
      <w:sz w:val="21"/>
      <w:szCs w:val="21"/>
    </w:rPr>
  </w:style>
  <w:style w:type="paragraph" w:customStyle="1" w:styleId="204">
    <w:name w:val="列表 31"/>
    <w:basedOn w:val="1"/>
    <w:qFormat/>
    <w:uiPriority w:val="0"/>
    <w:pPr>
      <w:ind w:left="100" w:hanging="200"/>
    </w:pPr>
  </w:style>
  <w:style w:type="paragraph" w:customStyle="1" w:styleId="205">
    <w:name w:val="目录 71"/>
    <w:basedOn w:val="1"/>
    <w:next w:val="1"/>
    <w:semiHidden/>
    <w:qFormat/>
    <w:uiPriority w:val="0"/>
    <w:pPr>
      <w:ind w:left="1260"/>
      <w:jc w:val="left"/>
    </w:pPr>
  </w:style>
  <w:style w:type="paragraph" w:customStyle="1" w:styleId="206">
    <w:name w:val="文档结构图1"/>
    <w:basedOn w:val="1"/>
    <w:link w:val="207"/>
    <w:semiHidden/>
    <w:qFormat/>
    <w:uiPriority w:val="0"/>
    <w:pPr>
      <w:shd w:val="clear" w:color="auto" w:fill="000080"/>
    </w:pPr>
  </w:style>
  <w:style w:type="character" w:customStyle="1" w:styleId="207">
    <w:name w:val="文档结构图 Char"/>
    <w:link w:val="206"/>
    <w:qFormat/>
    <w:uiPriority w:val="0"/>
    <w:rPr>
      <w:rFonts w:eastAsia="宋体"/>
      <w:sz w:val="21"/>
      <w:szCs w:val="21"/>
      <w:lang w:val="en-US" w:eastAsia="zh-CN" w:bidi="ar-SA"/>
    </w:rPr>
  </w:style>
  <w:style w:type="paragraph" w:customStyle="1" w:styleId="208">
    <w:name w:val="批注文字1"/>
    <w:basedOn w:val="1"/>
    <w:semiHidden/>
    <w:qFormat/>
    <w:uiPriority w:val="0"/>
    <w:pPr>
      <w:jc w:val="left"/>
    </w:pPr>
  </w:style>
  <w:style w:type="paragraph" w:customStyle="1" w:styleId="209">
    <w:name w:val="正文文本 31"/>
    <w:basedOn w:val="1"/>
    <w:qFormat/>
    <w:uiPriority w:val="0"/>
    <w:rPr>
      <w:rFonts w:ascii="仿宋_GB2312" w:hAnsi="Arial" w:eastAsia="仿宋_GB2312"/>
      <w:sz w:val="32"/>
      <w:szCs w:val="32"/>
    </w:rPr>
  </w:style>
  <w:style w:type="paragraph" w:customStyle="1" w:styleId="210">
    <w:name w:val="正文文本1"/>
    <w:basedOn w:val="1"/>
    <w:next w:val="211"/>
    <w:qFormat/>
    <w:uiPriority w:val="0"/>
    <w:rPr>
      <w:rFonts w:ascii="楷体_GB2312" w:hAnsi="Arial" w:eastAsia="楷体_GB2312"/>
      <w:sz w:val="28"/>
      <w:szCs w:val="28"/>
    </w:rPr>
  </w:style>
  <w:style w:type="paragraph" w:customStyle="1" w:styleId="211">
    <w:name w:val="Default"/>
    <w:basedOn w:val="1"/>
    <w:next w:val="212"/>
    <w:qFormat/>
    <w:uiPriority w:val="0"/>
    <w:pPr>
      <w:jc w:val="left"/>
    </w:pPr>
    <w:rPr>
      <w:rFonts w:ascii="宋体" w:hAnsi="Calibri" w:cs="宋体"/>
      <w:color w:val="000000"/>
      <w:sz w:val="24"/>
    </w:rPr>
  </w:style>
  <w:style w:type="paragraph" w:customStyle="1" w:styleId="212">
    <w:name w:val="TOC 71"/>
    <w:next w:val="1"/>
    <w:qFormat/>
    <w:uiPriority w:val="0"/>
    <w:pPr>
      <w:ind w:left="2550"/>
      <w:jc w:val="both"/>
    </w:pPr>
    <w:rPr>
      <w:rFonts w:ascii="Times New Roman" w:hAnsi="Times New Roman" w:eastAsia="宋体" w:cs="Times New Roman"/>
      <w:sz w:val="21"/>
      <w:szCs w:val="22"/>
      <w:lang w:val="en-US" w:eastAsia="zh-CN" w:bidi="ar-SA"/>
    </w:rPr>
  </w:style>
  <w:style w:type="paragraph" w:customStyle="1" w:styleId="213">
    <w:name w:val="正文文本缩进1"/>
    <w:basedOn w:val="1"/>
    <w:next w:val="214"/>
    <w:qFormat/>
    <w:uiPriority w:val="0"/>
    <w:pPr>
      <w:ind w:firstLine="645"/>
    </w:pPr>
    <w:rPr>
      <w:rFonts w:ascii="楷体_GB2312" w:eastAsia="楷体_GB2312"/>
      <w:sz w:val="32"/>
      <w:szCs w:val="32"/>
    </w:rPr>
  </w:style>
  <w:style w:type="paragraph" w:customStyle="1" w:styleId="214">
    <w:name w:val="寄信人地址1"/>
    <w:basedOn w:val="1"/>
    <w:qFormat/>
    <w:uiPriority w:val="0"/>
    <w:rPr>
      <w:rFonts w:ascii="Arial" w:hAnsi="Arial"/>
    </w:rPr>
  </w:style>
  <w:style w:type="paragraph" w:customStyle="1" w:styleId="215">
    <w:name w:val="列表 21"/>
    <w:basedOn w:val="1"/>
    <w:qFormat/>
    <w:uiPriority w:val="0"/>
    <w:pPr>
      <w:ind w:left="100" w:hanging="200"/>
    </w:pPr>
  </w:style>
  <w:style w:type="paragraph" w:customStyle="1" w:styleId="216">
    <w:name w:val="索引 42"/>
    <w:basedOn w:val="1"/>
    <w:next w:val="1"/>
    <w:unhideWhenUsed/>
    <w:qFormat/>
    <w:uiPriority w:val="99"/>
    <w:pPr>
      <w:spacing w:before="100" w:beforeAutospacing="1" w:after="100" w:afterAutospacing="1"/>
      <w:ind w:left="600"/>
    </w:pPr>
    <w:rPr>
      <w:rFonts w:ascii="宋体"/>
      <w:b/>
      <w:bCs/>
      <w:position w:val="-10"/>
      <w:sz w:val="24"/>
      <w:szCs w:val="22"/>
    </w:rPr>
  </w:style>
  <w:style w:type="paragraph" w:customStyle="1" w:styleId="217">
    <w:name w:val="目录 51"/>
    <w:basedOn w:val="1"/>
    <w:next w:val="1"/>
    <w:semiHidden/>
    <w:qFormat/>
    <w:uiPriority w:val="0"/>
    <w:pPr>
      <w:ind w:left="840"/>
      <w:jc w:val="left"/>
    </w:pPr>
  </w:style>
  <w:style w:type="paragraph" w:customStyle="1" w:styleId="218">
    <w:name w:val="目录 31"/>
    <w:basedOn w:val="1"/>
    <w:next w:val="1"/>
    <w:semiHidden/>
    <w:qFormat/>
    <w:uiPriority w:val="0"/>
    <w:pPr>
      <w:ind w:left="420"/>
      <w:jc w:val="left"/>
    </w:pPr>
    <w:rPr>
      <w:i/>
      <w:iCs/>
      <w:szCs w:val="24"/>
    </w:rPr>
  </w:style>
  <w:style w:type="paragraph" w:customStyle="1" w:styleId="219">
    <w:name w:val="纯文本1"/>
    <w:basedOn w:val="1"/>
    <w:link w:val="220"/>
    <w:qFormat/>
    <w:uiPriority w:val="0"/>
    <w:rPr>
      <w:rFonts w:ascii="宋体" w:hAnsi="Courier New"/>
    </w:rPr>
  </w:style>
  <w:style w:type="character" w:customStyle="1" w:styleId="220">
    <w:name w:val="纯文本 Char"/>
    <w:link w:val="219"/>
    <w:qFormat/>
    <w:uiPriority w:val="0"/>
    <w:rPr>
      <w:rFonts w:ascii="宋体" w:hAnsi="Courier New" w:cs="Courier New"/>
      <w:sz w:val="21"/>
      <w:szCs w:val="21"/>
    </w:rPr>
  </w:style>
  <w:style w:type="paragraph" w:customStyle="1" w:styleId="221">
    <w:name w:val="目录 81"/>
    <w:basedOn w:val="1"/>
    <w:next w:val="1"/>
    <w:semiHidden/>
    <w:qFormat/>
    <w:uiPriority w:val="0"/>
    <w:pPr>
      <w:ind w:left="1470"/>
      <w:jc w:val="left"/>
    </w:pPr>
  </w:style>
  <w:style w:type="paragraph" w:customStyle="1" w:styleId="222">
    <w:name w:val="日期1"/>
    <w:basedOn w:val="1"/>
    <w:next w:val="1"/>
    <w:qFormat/>
    <w:uiPriority w:val="0"/>
    <w:rPr>
      <w:sz w:val="24"/>
      <w:szCs w:val="24"/>
    </w:rPr>
  </w:style>
  <w:style w:type="paragraph" w:customStyle="1" w:styleId="223">
    <w:name w:val="正文文本缩进 21"/>
    <w:basedOn w:val="1"/>
    <w:qFormat/>
    <w:uiPriority w:val="0"/>
    <w:pPr>
      <w:ind w:left="630" w:firstLine="645"/>
    </w:pPr>
    <w:rPr>
      <w:rFonts w:ascii="Arial" w:hAnsi="Arial" w:eastAsia="仿宋_GB2312" w:cs="Arial"/>
      <w:sz w:val="32"/>
      <w:szCs w:val="32"/>
    </w:rPr>
  </w:style>
  <w:style w:type="paragraph" w:customStyle="1" w:styleId="224">
    <w:name w:val="批注框文本1"/>
    <w:basedOn w:val="1"/>
    <w:semiHidden/>
    <w:qFormat/>
    <w:uiPriority w:val="0"/>
    <w:rPr>
      <w:sz w:val="18"/>
      <w:szCs w:val="18"/>
    </w:rPr>
  </w:style>
  <w:style w:type="paragraph" w:customStyle="1" w:styleId="225">
    <w:name w:val="页脚1"/>
    <w:basedOn w:val="1"/>
    <w:qFormat/>
    <w:uiPriority w:val="0"/>
    <w:pPr>
      <w:tabs>
        <w:tab w:val="center" w:pos="4153"/>
        <w:tab w:val="right" w:pos="8306"/>
      </w:tabs>
      <w:jc w:val="left"/>
    </w:pPr>
    <w:rPr>
      <w:sz w:val="18"/>
      <w:szCs w:val="18"/>
    </w:rPr>
  </w:style>
  <w:style w:type="paragraph" w:customStyle="1" w:styleId="226">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227">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28">
    <w:name w:val="目录 41"/>
    <w:basedOn w:val="1"/>
    <w:next w:val="1"/>
    <w:semiHidden/>
    <w:qFormat/>
    <w:uiPriority w:val="0"/>
    <w:pPr>
      <w:ind w:left="630"/>
      <w:jc w:val="left"/>
    </w:pPr>
  </w:style>
  <w:style w:type="paragraph" w:customStyle="1" w:styleId="229">
    <w:name w:val="列表1"/>
    <w:basedOn w:val="1"/>
    <w:qFormat/>
    <w:uiPriority w:val="0"/>
    <w:pPr>
      <w:ind w:left="200" w:hanging="200"/>
    </w:pPr>
  </w:style>
  <w:style w:type="paragraph" w:customStyle="1" w:styleId="230">
    <w:name w:val="目录 61"/>
    <w:basedOn w:val="1"/>
    <w:next w:val="1"/>
    <w:semiHidden/>
    <w:qFormat/>
    <w:uiPriority w:val="0"/>
    <w:pPr>
      <w:ind w:left="1050"/>
      <w:jc w:val="left"/>
    </w:pPr>
  </w:style>
  <w:style w:type="paragraph" w:customStyle="1" w:styleId="231">
    <w:name w:val="正文文本缩进 31"/>
    <w:basedOn w:val="1"/>
    <w:qFormat/>
    <w:uiPriority w:val="0"/>
    <w:pPr>
      <w:ind w:left="645" w:firstLine="645"/>
    </w:pPr>
    <w:rPr>
      <w:rFonts w:ascii="Arial" w:hAnsi="Arial" w:eastAsia="仿宋_GB2312" w:cs="Arial"/>
      <w:color w:val="FFFF00"/>
      <w:sz w:val="32"/>
      <w:szCs w:val="32"/>
    </w:rPr>
  </w:style>
  <w:style w:type="paragraph" w:customStyle="1" w:styleId="232">
    <w:name w:val="图表目录1"/>
    <w:basedOn w:val="1"/>
    <w:next w:val="1"/>
    <w:semiHidden/>
    <w:qFormat/>
    <w:uiPriority w:val="0"/>
    <w:pPr>
      <w:ind w:left="840" w:hanging="420"/>
    </w:pPr>
  </w:style>
  <w:style w:type="paragraph" w:customStyle="1" w:styleId="233">
    <w:name w:val="目录 21"/>
    <w:basedOn w:val="1"/>
    <w:next w:val="1"/>
    <w:semiHidden/>
    <w:qFormat/>
    <w:uiPriority w:val="0"/>
    <w:pPr>
      <w:ind w:left="210"/>
      <w:jc w:val="left"/>
    </w:pPr>
    <w:rPr>
      <w:smallCaps/>
      <w:szCs w:val="24"/>
    </w:rPr>
  </w:style>
  <w:style w:type="paragraph" w:customStyle="1" w:styleId="234">
    <w:name w:val="目录 91"/>
    <w:basedOn w:val="1"/>
    <w:next w:val="1"/>
    <w:semiHidden/>
    <w:qFormat/>
    <w:uiPriority w:val="0"/>
    <w:pPr>
      <w:ind w:left="1680"/>
      <w:jc w:val="left"/>
    </w:pPr>
  </w:style>
  <w:style w:type="paragraph" w:customStyle="1" w:styleId="235">
    <w:name w:val="正文文本 21"/>
    <w:basedOn w:val="1"/>
    <w:qFormat/>
    <w:uiPriority w:val="0"/>
    <w:pPr>
      <w:widowControl/>
      <w:jc w:val="center"/>
    </w:pPr>
    <w:rPr>
      <w:rFonts w:ascii="楷体_GB2312" w:eastAsia="楷体_GB2312"/>
      <w:sz w:val="28"/>
      <w:szCs w:val="28"/>
    </w:rPr>
  </w:style>
  <w:style w:type="paragraph" w:customStyle="1" w:styleId="236">
    <w:name w:val="普通(网站)1"/>
    <w:basedOn w:val="1"/>
    <w:qFormat/>
    <w:uiPriority w:val="0"/>
    <w:pPr>
      <w:widowControl/>
      <w:spacing w:before="100" w:beforeAutospacing="1" w:after="100" w:afterAutospacing="1"/>
      <w:jc w:val="left"/>
    </w:pPr>
    <w:rPr>
      <w:rFonts w:ascii="宋体" w:hAnsi="宋体" w:cs="宋体"/>
      <w:sz w:val="24"/>
      <w:szCs w:val="24"/>
    </w:rPr>
  </w:style>
  <w:style w:type="paragraph" w:customStyle="1" w:styleId="237">
    <w:name w:val="索引 11"/>
    <w:basedOn w:val="1"/>
    <w:next w:val="1"/>
    <w:semiHidden/>
    <w:qFormat/>
    <w:uiPriority w:val="0"/>
    <w:pPr>
      <w:spacing w:line="240" w:lineRule="atLeast"/>
    </w:pPr>
    <w:rPr>
      <w:b/>
      <w:bCs/>
    </w:rPr>
  </w:style>
  <w:style w:type="paragraph" w:customStyle="1" w:styleId="238">
    <w:name w:val="批注主题1"/>
    <w:basedOn w:val="208"/>
    <w:next w:val="208"/>
    <w:semiHidden/>
    <w:qFormat/>
    <w:uiPriority w:val="0"/>
    <w:rPr>
      <w:b/>
      <w:bCs/>
    </w:rPr>
  </w:style>
  <w:style w:type="paragraph" w:customStyle="1" w:styleId="239">
    <w:name w:val="正文首行缩进1"/>
    <w:basedOn w:val="210"/>
    <w:next w:val="1"/>
    <w:qFormat/>
    <w:uiPriority w:val="0"/>
    <w:pPr>
      <w:spacing w:line="360" w:lineRule="auto"/>
      <w:ind w:firstLine="200"/>
    </w:pPr>
    <w:rPr>
      <w:rFonts w:ascii="仿宋_GB2312" w:eastAsia="仿宋_GB2312"/>
      <w:sz w:val="30"/>
      <w:szCs w:val="30"/>
    </w:rPr>
  </w:style>
  <w:style w:type="paragraph" w:customStyle="1" w:styleId="240">
    <w:name w:val="正文首行缩进 21"/>
    <w:basedOn w:val="213"/>
    <w:next w:val="194"/>
    <w:qFormat/>
    <w:uiPriority w:val="0"/>
    <w:pPr>
      <w:spacing w:line="360" w:lineRule="auto"/>
      <w:ind w:firstLine="420"/>
    </w:pPr>
    <w:rPr>
      <w:rFonts w:ascii="宋体" w:hAnsi="宋体" w:eastAsia="宋体"/>
      <w:sz w:val="21"/>
      <w:szCs w:val="20"/>
    </w:rPr>
  </w:style>
  <w:style w:type="table" w:customStyle="1" w:styleId="241">
    <w:name w:val="网格型1"/>
    <w:basedOn w:val="201"/>
    <w:qFormat/>
    <w:uiPriority w:val="0"/>
    <w:tblPr>
      <w:tblCellMar>
        <w:top w:w="0" w:type="dxa"/>
        <w:left w:w="0" w:type="dxa"/>
        <w:bottom w:w="0" w:type="dxa"/>
        <w:right w:w="0" w:type="dxa"/>
      </w:tblCellMar>
    </w:tblPr>
  </w:style>
  <w:style w:type="character" w:customStyle="1" w:styleId="242">
    <w:name w:val="要点1"/>
    <w:qFormat/>
    <w:uiPriority w:val="0"/>
    <w:rPr>
      <w:b/>
      <w:bCs/>
    </w:rPr>
  </w:style>
  <w:style w:type="character" w:customStyle="1" w:styleId="243">
    <w:name w:val="页码1"/>
    <w:qFormat/>
    <w:uiPriority w:val="0"/>
  </w:style>
  <w:style w:type="character" w:customStyle="1" w:styleId="244">
    <w:name w:val="已访问的超链接1"/>
    <w:basedOn w:val="200"/>
    <w:qFormat/>
    <w:uiPriority w:val="0"/>
    <w:rPr>
      <w:color w:val="000000"/>
      <w:u w:val="none"/>
    </w:rPr>
  </w:style>
  <w:style w:type="character" w:customStyle="1" w:styleId="245">
    <w:name w:val="强调1"/>
    <w:qFormat/>
    <w:uiPriority w:val="20"/>
    <w:rPr>
      <w:i/>
    </w:rPr>
  </w:style>
  <w:style w:type="character" w:customStyle="1" w:styleId="246">
    <w:name w:val="超链接1"/>
    <w:basedOn w:val="200"/>
    <w:qFormat/>
    <w:uiPriority w:val="0"/>
    <w:rPr>
      <w:color w:val="000000"/>
      <w:u w:val="none"/>
    </w:rPr>
  </w:style>
  <w:style w:type="character" w:customStyle="1" w:styleId="247">
    <w:name w:val="批注引用1"/>
    <w:semiHidden/>
    <w:qFormat/>
    <w:uiPriority w:val="0"/>
    <w:rPr>
      <w:sz w:val="21"/>
      <w:szCs w:val="21"/>
    </w:rPr>
  </w:style>
  <w:style w:type="paragraph" w:customStyle="1" w:styleId="248">
    <w:name w:val="_Style 1"/>
    <w:qFormat/>
    <w:uiPriority w:val="0"/>
    <w:rPr>
      <w:rFonts w:ascii="Tahoma" w:hAnsi="Tahoma" w:eastAsia="宋体" w:cs="Times New Roman"/>
      <w:sz w:val="22"/>
      <w:szCs w:val="22"/>
      <w:lang w:val="en-US" w:eastAsia="zh-CN" w:bidi="ar-SA"/>
    </w:rPr>
  </w:style>
  <w:style w:type="paragraph" w:customStyle="1" w:styleId="249">
    <w:name w:val="列出段落1"/>
    <w:basedOn w:val="1"/>
    <w:qFormat/>
    <w:uiPriority w:val="34"/>
    <w:pPr>
      <w:widowControl/>
      <w:ind w:left="720"/>
      <w:contextualSpacing/>
      <w:jc w:val="left"/>
    </w:pPr>
    <w:rPr>
      <w:rFonts w:ascii="Calibri" w:hAnsi="Calibri"/>
      <w:sz w:val="24"/>
      <w:szCs w:val="24"/>
      <w:lang w:eastAsia="en-US" w:bidi="en-US"/>
    </w:rPr>
  </w:style>
  <w:style w:type="character" w:customStyle="1" w:styleId="250">
    <w:name w:val="font41"/>
    <w:qFormat/>
    <w:uiPriority w:val="0"/>
    <w:rPr>
      <w:rFonts w:hint="eastAsia" w:ascii="宋体" w:hAnsi="宋体" w:eastAsia="宋体" w:cs="宋体"/>
      <w:b/>
      <w:bCs/>
      <w:color w:val="000000"/>
      <w:sz w:val="22"/>
      <w:szCs w:val="22"/>
      <w:u w:val="none"/>
    </w:rPr>
  </w:style>
  <w:style w:type="character" w:customStyle="1" w:styleId="251">
    <w:name w:val="列出段落 Char"/>
    <w:link w:val="252"/>
    <w:qFormat/>
    <w:uiPriority w:val="0"/>
    <w:rPr>
      <w:rFonts w:ascii="Calibri" w:hAnsi="Calibri"/>
      <w:sz w:val="24"/>
      <w:szCs w:val="24"/>
      <w:lang w:eastAsia="en-US" w:bidi="en-US"/>
    </w:rPr>
  </w:style>
  <w:style w:type="paragraph" w:customStyle="1" w:styleId="252">
    <w:name w:val="列出段落11"/>
    <w:basedOn w:val="1"/>
    <w:link w:val="251"/>
    <w:qFormat/>
    <w:uiPriority w:val="0"/>
    <w:pPr>
      <w:widowControl/>
      <w:ind w:left="720"/>
      <w:contextualSpacing/>
      <w:jc w:val="left"/>
    </w:pPr>
    <w:rPr>
      <w:rFonts w:ascii="Calibri" w:hAnsi="Calibri"/>
      <w:sz w:val="24"/>
      <w:szCs w:val="24"/>
      <w:lang w:eastAsia="en-US" w:bidi="en-US"/>
    </w:rPr>
  </w:style>
  <w:style w:type="character" w:customStyle="1" w:styleId="253">
    <w:name w:val="font71"/>
    <w:qFormat/>
    <w:uiPriority w:val="0"/>
    <w:rPr>
      <w:rFonts w:ascii="Cambria Math" w:hAnsi="Cambria Math" w:eastAsia="Cambria Math" w:cs="Cambria Math"/>
      <w:color w:val="000000"/>
      <w:sz w:val="22"/>
      <w:szCs w:val="22"/>
      <w:u w:val="none"/>
    </w:rPr>
  </w:style>
  <w:style w:type="character" w:customStyle="1" w:styleId="254">
    <w:name w:val="font91"/>
    <w:qFormat/>
    <w:uiPriority w:val="0"/>
    <w:rPr>
      <w:rFonts w:hint="eastAsia" w:ascii="宋体" w:hAnsi="宋体" w:eastAsia="宋体" w:cs="宋体"/>
      <w:color w:val="FF0000"/>
      <w:sz w:val="22"/>
      <w:szCs w:val="22"/>
      <w:u w:val="none"/>
    </w:rPr>
  </w:style>
  <w:style w:type="character" w:customStyle="1" w:styleId="255">
    <w:name w:val="font5 Char"/>
    <w:qFormat/>
    <w:uiPriority w:val="0"/>
    <w:rPr>
      <w:rFonts w:ascii="宋体" w:hAnsi="宋体" w:eastAsia="宋体"/>
      <w:sz w:val="28"/>
      <w:szCs w:val="28"/>
      <w:lang w:val="en-US" w:eastAsia="zh-CN" w:bidi="ar-SA"/>
    </w:rPr>
  </w:style>
  <w:style w:type="character" w:customStyle="1" w:styleId="256">
    <w:name w:val="二级目录 Char"/>
    <w:link w:val="257"/>
    <w:qFormat/>
    <w:uiPriority w:val="0"/>
    <w:rPr>
      <w:b/>
      <w:sz w:val="30"/>
      <w:szCs w:val="28"/>
    </w:rPr>
  </w:style>
  <w:style w:type="paragraph" w:customStyle="1" w:styleId="257">
    <w:name w:val="二级目录"/>
    <w:next w:val="1"/>
    <w:link w:val="256"/>
    <w:qFormat/>
    <w:uiPriority w:val="0"/>
    <w:pPr>
      <w:tabs>
        <w:tab w:val="left" w:pos="907"/>
        <w:tab w:val="left" w:pos="1145"/>
      </w:tabs>
      <w:ind w:left="907" w:hanging="907"/>
      <w:outlineLvl w:val="1"/>
    </w:pPr>
    <w:rPr>
      <w:rFonts w:ascii="Times New Roman" w:hAnsi="Times New Roman" w:eastAsia="宋体" w:cs="Times New Roman"/>
      <w:b/>
      <w:sz w:val="30"/>
      <w:szCs w:val="28"/>
      <w:lang w:val="en-US" w:eastAsia="zh-CN" w:bidi="ar-SA"/>
    </w:rPr>
  </w:style>
  <w:style w:type="character" w:customStyle="1" w:styleId="258">
    <w:name w:val="apple-converted-space"/>
    <w:qFormat/>
    <w:uiPriority w:val="99"/>
  </w:style>
  <w:style w:type="character" w:customStyle="1" w:styleId="259">
    <w:name w:val="Char Char Char Char Char"/>
    <w:link w:val="260"/>
    <w:qFormat/>
    <w:uiPriority w:val="0"/>
    <w:rPr>
      <w:rFonts w:ascii="Tahoma" w:hAnsi="Tahoma" w:eastAsia="宋体"/>
      <w:sz w:val="24"/>
      <w:szCs w:val="24"/>
      <w:lang w:val="en-US" w:eastAsia="zh-CN" w:bidi="ar-SA"/>
    </w:rPr>
  </w:style>
  <w:style w:type="paragraph" w:customStyle="1" w:styleId="260">
    <w:name w:val="Char Char Char Char"/>
    <w:basedOn w:val="206"/>
    <w:link w:val="259"/>
    <w:qFormat/>
    <w:uiPriority w:val="0"/>
    <w:pPr>
      <w:spacing w:line="360" w:lineRule="auto"/>
    </w:pPr>
    <w:rPr>
      <w:rFonts w:ascii="Tahoma" w:hAnsi="Tahoma"/>
      <w:sz w:val="24"/>
      <w:szCs w:val="24"/>
    </w:rPr>
  </w:style>
  <w:style w:type="character" w:customStyle="1" w:styleId="261">
    <w:name w:val="普通正文 Char"/>
    <w:link w:val="262"/>
    <w:qFormat/>
    <w:uiPriority w:val="0"/>
    <w:rPr>
      <w:rFonts w:ascii="Arial" w:hAnsi="Arial"/>
      <w:sz w:val="24"/>
      <w:szCs w:val="24"/>
    </w:rPr>
  </w:style>
  <w:style w:type="paragraph" w:customStyle="1" w:styleId="262">
    <w:name w:val="普通正文"/>
    <w:basedOn w:val="1"/>
    <w:link w:val="261"/>
    <w:qFormat/>
    <w:uiPriority w:val="0"/>
    <w:pPr>
      <w:spacing w:before="120" w:after="120" w:line="360" w:lineRule="auto"/>
      <w:ind w:firstLine="480"/>
      <w:jc w:val="left"/>
    </w:pPr>
    <w:rPr>
      <w:rFonts w:ascii="Arial" w:hAnsi="Arial"/>
      <w:sz w:val="24"/>
      <w:szCs w:val="24"/>
    </w:rPr>
  </w:style>
  <w:style w:type="character" w:customStyle="1" w:styleId="263">
    <w:name w:val="font51"/>
    <w:qFormat/>
    <w:uiPriority w:val="0"/>
    <w:rPr>
      <w:rFonts w:hint="eastAsia" w:ascii="宋体" w:hAnsi="宋体" w:eastAsia="宋体" w:cs="宋体"/>
      <w:color w:val="000000"/>
      <w:sz w:val="22"/>
      <w:szCs w:val="22"/>
      <w:u w:val="none"/>
    </w:rPr>
  </w:style>
  <w:style w:type="character" w:customStyle="1" w:styleId="264">
    <w:name w:val="font61"/>
    <w:qFormat/>
    <w:uiPriority w:val="0"/>
    <w:rPr>
      <w:rFonts w:ascii="Wingdings" w:hAnsi="Wingdings" w:cs="Wingdings"/>
      <w:color w:val="000000"/>
      <w:sz w:val="22"/>
      <w:szCs w:val="22"/>
      <w:u w:val="none"/>
    </w:rPr>
  </w:style>
  <w:style w:type="paragraph" w:customStyle="1" w:styleId="265">
    <w:name w:val="Body Text(ch)"/>
    <w:basedOn w:val="1"/>
    <w:next w:val="210"/>
    <w:qFormat/>
    <w:uiPriority w:val="0"/>
    <w:pPr>
      <w:spacing w:after="120"/>
    </w:pPr>
    <w:rPr>
      <w:rFonts w:ascii="宋体" w:hAnsi="Arial"/>
      <w:bCs/>
      <w:iCs/>
      <w:szCs w:val="24"/>
    </w:rPr>
  </w:style>
  <w:style w:type="paragraph" w:customStyle="1" w:styleId="266">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67">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68">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69">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70">
    <w:name w:val="table_1stline"/>
    <w:basedOn w:val="1"/>
    <w:qFormat/>
    <w:uiPriority w:val="0"/>
    <w:pPr>
      <w:widowControl/>
      <w:spacing w:before="120"/>
      <w:jc w:val="left"/>
    </w:pPr>
    <w:rPr>
      <w:bCs/>
      <w:sz w:val="20"/>
      <w:szCs w:val="20"/>
      <w:lang w:val="de-DE" w:eastAsia="de-DE"/>
    </w:rPr>
  </w:style>
  <w:style w:type="paragraph" w:customStyle="1" w:styleId="271">
    <w:name w:val="Achievement"/>
    <w:basedOn w:val="1"/>
    <w:qFormat/>
    <w:uiPriority w:val="0"/>
    <w:pPr>
      <w:widowControl/>
      <w:numPr>
        <w:ilvl w:val="0"/>
        <w:numId w:val="2"/>
      </w:numPr>
      <w:spacing w:before="60" w:after="60"/>
      <w:jc w:val="left"/>
    </w:pPr>
    <w:rPr>
      <w:sz w:val="20"/>
      <w:szCs w:val="20"/>
      <w:lang w:val="it-IT"/>
    </w:rPr>
  </w:style>
  <w:style w:type="paragraph" w:customStyle="1" w:styleId="272">
    <w:name w:val="_Style 3"/>
    <w:basedOn w:val="1"/>
    <w:qFormat/>
    <w:uiPriority w:val="34"/>
    <w:pPr>
      <w:ind w:firstLine="420"/>
    </w:pPr>
    <w:rPr>
      <w:szCs w:val="24"/>
    </w:rPr>
  </w:style>
  <w:style w:type="paragraph" w:customStyle="1" w:styleId="273">
    <w:name w:val="table_lines"/>
    <w:basedOn w:val="1"/>
    <w:qFormat/>
    <w:uiPriority w:val="0"/>
    <w:pPr>
      <w:widowControl/>
      <w:jc w:val="left"/>
    </w:pPr>
    <w:rPr>
      <w:sz w:val="20"/>
      <w:szCs w:val="20"/>
      <w:lang w:val="de-DE" w:eastAsia="de-DE"/>
    </w:rPr>
  </w:style>
  <w:style w:type="paragraph" w:customStyle="1" w:styleId="274">
    <w:name w:val="附录1"/>
    <w:qFormat/>
    <w:uiPriority w:val="0"/>
    <w:pPr>
      <w:numPr>
        <w:ilvl w:val="0"/>
        <w:numId w:val="3"/>
      </w:numPr>
      <w:spacing w:before="240" w:line="600" w:lineRule="atLeast"/>
    </w:pPr>
    <w:rPr>
      <w:rFonts w:ascii="Times New Roman" w:hAnsi="Times New Roman" w:eastAsia="宋体" w:cs="Times New Roman"/>
      <w:b/>
      <w:i/>
      <w:sz w:val="28"/>
      <w:lang w:val="en-US" w:eastAsia="zh-CN" w:bidi="ar-SA"/>
    </w:rPr>
  </w:style>
  <w:style w:type="paragraph" w:customStyle="1" w:styleId="275">
    <w:name w:val="Char"/>
    <w:basedOn w:val="1"/>
    <w:qFormat/>
    <w:uiPriority w:val="0"/>
    <w:pPr>
      <w:tabs>
        <w:tab w:val="left" w:pos="360"/>
      </w:tabs>
      <w:ind w:firstLine="200"/>
    </w:pPr>
    <w:rPr>
      <w:sz w:val="28"/>
      <w:szCs w:val="30"/>
    </w:rPr>
  </w:style>
  <w:style w:type="paragraph" w:customStyle="1" w:styleId="276">
    <w:name w:val="样式1"/>
    <w:basedOn w:val="1"/>
    <w:qFormat/>
    <w:uiPriority w:val="0"/>
    <w:pPr>
      <w:numPr>
        <w:ilvl w:val="0"/>
        <w:numId w:val="4"/>
      </w:numPr>
    </w:pPr>
    <w:rPr>
      <w:rFonts w:ascii="宋体" w:hAnsi="宋体"/>
    </w:rPr>
  </w:style>
  <w:style w:type="paragraph" w:customStyle="1" w:styleId="277">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78">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79">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80">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81">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82">
    <w:name w:val="Table Paragraph"/>
    <w:basedOn w:val="1"/>
    <w:qFormat/>
    <w:uiPriority w:val="1"/>
    <w:pPr>
      <w:spacing w:line="276" w:lineRule="auto"/>
    </w:pPr>
    <w:rPr>
      <w:rFonts w:ascii="Calibri" w:hAnsi="Calibri" w:cs="Calibri"/>
      <w:szCs w:val="22"/>
    </w:rPr>
  </w:style>
  <w:style w:type="paragraph" w:customStyle="1" w:styleId="283">
    <w:name w:val="Char Char Char Char1"/>
    <w:basedOn w:val="206"/>
    <w:qFormat/>
    <w:uiPriority w:val="0"/>
    <w:pPr>
      <w:spacing w:line="360" w:lineRule="auto"/>
    </w:pPr>
    <w:rPr>
      <w:rFonts w:ascii="Tahoma" w:hAnsi="Tahoma"/>
      <w:sz w:val="24"/>
      <w:szCs w:val="24"/>
    </w:rPr>
  </w:style>
  <w:style w:type="paragraph" w:customStyle="1" w:styleId="284">
    <w:name w:val="_Style 5"/>
    <w:basedOn w:val="1"/>
    <w:next w:val="249"/>
    <w:qFormat/>
    <w:uiPriority w:val="99"/>
    <w:pPr>
      <w:ind w:firstLine="420"/>
    </w:pPr>
    <w:rPr>
      <w:szCs w:val="22"/>
    </w:rPr>
  </w:style>
  <w:style w:type="paragraph" w:customStyle="1" w:styleId="285">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286">
    <w:name w:val="Other|1"/>
    <w:basedOn w:val="1"/>
    <w:qFormat/>
    <w:uiPriority w:val="0"/>
    <w:pPr>
      <w:spacing w:after="140" w:line="324" w:lineRule="auto"/>
    </w:pPr>
    <w:rPr>
      <w:rFonts w:ascii="宋体" w:hAnsi="宋体" w:cs="宋体"/>
      <w:sz w:val="20"/>
      <w:szCs w:val="20"/>
      <w:lang w:val="zh-TW" w:eastAsia="zh-TW" w:bidi="zh-TW"/>
    </w:rPr>
  </w:style>
  <w:style w:type="paragraph" w:customStyle="1" w:styleId="287">
    <w:name w:val="Char Char Char Char Char Char Char Char Char Char"/>
    <w:basedOn w:val="1"/>
    <w:qFormat/>
    <w:uiPriority w:val="0"/>
    <w:pPr>
      <w:spacing w:line="360" w:lineRule="auto"/>
    </w:pPr>
    <w:rPr>
      <w:sz w:val="24"/>
      <w:szCs w:val="20"/>
    </w:rPr>
  </w:style>
  <w:style w:type="paragraph" w:customStyle="1" w:styleId="288">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89">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90">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91">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92">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93">
    <w:name w:val="Char1"/>
    <w:basedOn w:val="206"/>
    <w:qFormat/>
    <w:uiPriority w:val="0"/>
    <w:rPr>
      <w:rFonts w:ascii="Tahoma" w:hAnsi="Tahoma"/>
      <w:sz w:val="24"/>
      <w:szCs w:val="24"/>
    </w:rPr>
  </w:style>
  <w:style w:type="paragraph" w:customStyle="1" w:styleId="294">
    <w:name w:val="4"/>
    <w:basedOn w:val="1"/>
    <w:next w:val="231"/>
    <w:qFormat/>
    <w:uiPriority w:val="99"/>
    <w:pPr>
      <w:spacing w:line="360" w:lineRule="auto"/>
      <w:ind w:firstLine="420"/>
    </w:pPr>
    <w:rPr>
      <w:color w:val="FF0000"/>
      <w:sz w:val="24"/>
      <w:szCs w:val="24"/>
    </w:rPr>
  </w:style>
  <w:style w:type="paragraph" w:customStyle="1" w:styleId="295">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character" w:customStyle="1" w:styleId="296">
    <w:name w:val="font31"/>
    <w:basedOn w:val="200"/>
    <w:qFormat/>
    <w:uiPriority w:val="0"/>
    <w:rPr>
      <w:rFonts w:hint="eastAsia" w:ascii="黑体" w:hAnsi="宋体" w:eastAsia="黑体" w:cs="黑体"/>
      <w:color w:val="000000"/>
      <w:sz w:val="13"/>
      <w:szCs w:val="13"/>
      <w:u w:val="none"/>
    </w:rPr>
  </w:style>
  <w:style w:type="table" w:customStyle="1" w:styleId="297">
    <w:name w:val="Table Normal"/>
    <w:unhideWhenUsed/>
    <w:qFormat/>
    <w:uiPriority w:val="0"/>
    <w:tblPr>
      <w:tblCellMar>
        <w:top w:w="0" w:type="dxa"/>
        <w:left w:w="0" w:type="dxa"/>
        <w:bottom w:w="0" w:type="dxa"/>
        <w:right w:w="0" w:type="dxa"/>
      </w:tblCellMar>
    </w:tblPr>
  </w:style>
  <w:style w:type="paragraph" w:customStyle="1" w:styleId="298">
    <w:name w:val="标题 31"/>
    <w:basedOn w:val="1"/>
    <w:next w:val="299"/>
    <w:qFormat/>
    <w:uiPriority w:val="9"/>
    <w:pPr>
      <w:keepNext/>
      <w:keepLines/>
      <w:spacing w:before="260" w:after="260" w:line="416" w:lineRule="auto"/>
      <w:outlineLvl w:val="2"/>
    </w:pPr>
    <w:rPr>
      <w:b/>
      <w:bCs/>
      <w:sz w:val="32"/>
      <w:szCs w:val="32"/>
    </w:rPr>
  </w:style>
  <w:style w:type="paragraph" w:customStyle="1" w:styleId="299">
    <w:name w:val="正文缩进1"/>
    <w:basedOn w:val="1"/>
    <w:qFormat/>
    <w:uiPriority w:val="0"/>
    <w:pPr>
      <w:ind w:firstLine="420"/>
    </w:pPr>
  </w:style>
  <w:style w:type="paragraph" w:customStyle="1" w:styleId="300">
    <w:name w:val="标题 41"/>
    <w:basedOn w:val="1"/>
    <w:next w:val="299"/>
    <w:qFormat/>
    <w:uiPriority w:val="9"/>
    <w:pPr>
      <w:keepNext/>
      <w:keepLines/>
      <w:spacing w:before="280" w:after="290" w:line="376" w:lineRule="auto"/>
      <w:outlineLvl w:val="3"/>
    </w:pPr>
    <w:rPr>
      <w:rFonts w:ascii="Arial" w:hAnsi="Arial" w:eastAsia="黑体"/>
      <w:b/>
      <w:bCs/>
      <w:sz w:val="28"/>
      <w:szCs w:val="28"/>
    </w:rPr>
  </w:style>
  <w:style w:type="character" w:customStyle="1" w:styleId="301">
    <w:name w:val="active15"/>
    <w:basedOn w:val="200"/>
    <w:qFormat/>
    <w:uiPriority w:val="0"/>
    <w:rPr>
      <w:color w:val="FFFFFF"/>
      <w:shd w:val="clear" w:color="auto" w:fill="0F5BB9"/>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43</Pages>
  <Words>23614</Words>
  <Characters>25266</Characters>
  <Lines>261</Lines>
  <Paragraphs>73</Paragraphs>
  <TotalTime>49</TotalTime>
  <ScaleCrop>false</ScaleCrop>
  <LinksUpToDate>false</LinksUpToDate>
  <CharactersWithSpaces>26255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2026-08-19T02:57:00Z</dcterms:created>
  <dc:creator>政府采</dc:creator>
  <cp:lastModifiedBy>艾沁</cp:lastModifiedBy>
  <cp:lastPrinted>2026-09-30T01:33:00Z</cp:lastPrinted>
  <dcterms:modified xsi:type="dcterms:W3CDTF">2026-09-30T02:10:41Z</dcterms:modified>
  <dc:title>江苏卫生信息</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5FA5192077B748C58A75C5B069ACF732_13</vt:lpwstr>
  </property>
  <property fmtid="{D5CDD505-2E9C-101B-9397-08002B2CF9AE}" pid="4" name="KSOTemplateDocerSaveRecord">
    <vt:lpwstr>eyJoZGlkIjoiMjUyOTQwMDFlMjM0YWY2ZDk2YWJkODc2YWEzNTRkZGQiLCJ1c2VySWQiOiIzMjY2MDkwNTcifQ==</vt:lpwstr>
  </property>
</Properties>
</file>