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0370B">
      <w:pPr>
        <w:spacing w:line="360" w:lineRule="auto"/>
        <w:jc w:val="center"/>
        <w:rPr>
          <w:rFonts w:ascii="楷体" w:hAnsi="楷体" w:eastAsia="楷体" w:cs="楷体"/>
          <w:color w:val="000000" w:themeColor="text1"/>
          <w:sz w:val="24"/>
          <w:szCs w:val="24"/>
          <w:highlight w:val="none"/>
          <w:lang w:val="en-US"/>
          <w14:textFill>
            <w14:solidFill>
              <w14:schemeClr w14:val="tx1"/>
            </w14:solidFill>
          </w14:textFill>
        </w:rPr>
      </w:pPr>
      <w:r>
        <w:rPr>
          <w:rFonts w:hint="eastAsia" w:ascii="楷体" w:hAnsi="楷体" w:eastAsia="楷体" w:cs="楷体"/>
          <w:b/>
          <w:color w:val="000000" w:themeColor="text1"/>
          <w:sz w:val="36"/>
          <w:szCs w:val="36"/>
          <w:highlight w:val="none"/>
          <w:lang w:val="en-US"/>
          <w14:textFill>
            <w14:solidFill>
              <w14:schemeClr w14:val="tx1"/>
            </w14:solidFill>
          </w14:textFill>
        </w:rPr>
        <w:t>采购需求</w:t>
      </w:r>
    </w:p>
    <w:p w14:paraId="5B266C42">
      <w:pPr>
        <w:spacing w:line="360" w:lineRule="auto"/>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一、项目</w:t>
      </w:r>
      <w:r>
        <w:rPr>
          <w:rFonts w:hint="eastAsia" w:ascii="楷体" w:hAnsi="楷体" w:eastAsia="楷体" w:cs="楷体"/>
          <w:b/>
          <w:bCs/>
          <w:color w:val="000000" w:themeColor="text1"/>
          <w:sz w:val="30"/>
          <w:szCs w:val="30"/>
          <w:highlight w:val="none"/>
          <w:lang w:val="en-US"/>
          <w14:textFill>
            <w14:solidFill>
              <w14:schemeClr w14:val="tx1"/>
            </w14:solidFill>
          </w14:textFill>
        </w:rPr>
        <w:t>概况</w:t>
      </w:r>
    </w:p>
    <w:p w14:paraId="1BD7E635">
      <w:pPr>
        <w:spacing w:line="360" w:lineRule="auto"/>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1、项目名称：</w:t>
      </w:r>
      <w:r>
        <w:rPr>
          <w:rFonts w:hint="eastAsia" w:ascii="楷体" w:hAnsi="楷体" w:eastAsia="楷体" w:cs="楷体"/>
          <w:color w:val="000000" w:themeColor="text1"/>
          <w:sz w:val="30"/>
          <w:szCs w:val="30"/>
          <w:highlight w:val="none"/>
          <w14:textFill>
            <w14:solidFill>
              <w14:schemeClr w14:val="tx1"/>
            </w14:solidFill>
          </w14:textFill>
        </w:rPr>
        <w:t>镇江市产品质量监督检验中心重点工业产品检验检测设备更新采购。</w:t>
      </w:r>
    </w:p>
    <w:p w14:paraId="00C45A59">
      <w:pPr>
        <w:spacing w:line="360" w:lineRule="auto"/>
        <w:rPr>
          <w:rFonts w:ascii="楷体" w:hAnsi="楷体" w:eastAsia="楷体" w:cs="楷体"/>
          <w:bCs/>
          <w:color w:val="000000" w:themeColor="text1"/>
          <w:sz w:val="30"/>
          <w:szCs w:val="30"/>
          <w:highlight w:val="none"/>
          <w:shd w:val="clear" w:color="auto" w:fill="FFFFFF"/>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2、</w:t>
      </w:r>
      <w:r>
        <w:rPr>
          <w:rFonts w:hint="eastAsia" w:ascii="楷体" w:hAnsi="楷体" w:eastAsia="楷体" w:cs="楷体"/>
          <w:color w:val="000000" w:themeColor="text1"/>
          <w:sz w:val="30"/>
          <w:szCs w:val="30"/>
          <w:highlight w:val="none"/>
          <w:shd w:val="clear" w:color="auto" w:fill="FFFFFF"/>
          <w:lang w:val="en-US"/>
          <w14:textFill>
            <w14:solidFill>
              <w14:schemeClr w14:val="tx1"/>
            </w14:solidFill>
          </w14:textFill>
        </w:rPr>
        <w:t>预算金额和</w:t>
      </w:r>
      <w:r>
        <w:rPr>
          <w:rFonts w:hint="eastAsia" w:ascii="楷体" w:hAnsi="楷体" w:eastAsia="楷体" w:cs="楷体"/>
          <w:color w:val="000000" w:themeColor="text1"/>
          <w:sz w:val="30"/>
          <w:szCs w:val="30"/>
          <w:highlight w:val="none"/>
          <w14:textFill>
            <w14:solidFill>
              <w14:schemeClr w14:val="tx1"/>
            </w14:solidFill>
          </w14:textFill>
        </w:rPr>
        <w:t>最高限价</w:t>
      </w:r>
      <w:r>
        <w:rPr>
          <w:rFonts w:hint="eastAsia" w:ascii="楷体" w:hAnsi="楷体" w:eastAsia="楷体" w:cs="楷体"/>
          <w:color w:val="000000" w:themeColor="text1"/>
          <w:sz w:val="30"/>
          <w:szCs w:val="30"/>
          <w:highlight w:val="none"/>
          <w:shd w:val="clear" w:color="auto" w:fill="FFFFFF"/>
          <w:lang w:val="en-US"/>
          <w14:textFill>
            <w14:solidFill>
              <w14:schemeClr w14:val="tx1"/>
            </w14:solidFill>
          </w14:textFill>
        </w:rPr>
        <w:t>：为人民币232.8</w:t>
      </w:r>
      <w:r>
        <w:rPr>
          <w:rFonts w:hint="eastAsia" w:ascii="楷体" w:hAnsi="楷体" w:eastAsia="楷体" w:cs="楷体"/>
          <w:bCs/>
          <w:color w:val="000000" w:themeColor="text1"/>
          <w:sz w:val="30"/>
          <w:szCs w:val="30"/>
          <w:highlight w:val="none"/>
          <w:shd w:val="clear" w:color="auto" w:fill="FFFFFF"/>
          <w:lang w:val="en-US"/>
          <w14:textFill>
            <w14:solidFill>
              <w14:schemeClr w14:val="tx1"/>
            </w14:solidFill>
          </w14:textFill>
        </w:rPr>
        <w:t>万元。</w:t>
      </w:r>
      <w:r>
        <w:rPr>
          <w:rFonts w:hint="eastAsia" w:ascii="楷体" w:hAnsi="楷体" w:eastAsia="楷体" w:cs="楷体"/>
          <w:color w:val="000000" w:themeColor="text1"/>
          <w:sz w:val="30"/>
          <w:szCs w:val="30"/>
          <w:highlight w:val="none"/>
          <w:shd w:val="clear" w:color="auto" w:fill="FFFFFF"/>
          <w:lang w:val="en-US"/>
          <w14:textFill>
            <w14:solidFill>
              <w14:schemeClr w14:val="tx1"/>
            </w14:solidFill>
          </w14:textFill>
        </w:rPr>
        <w:t>本项目分为以下9个采购包</w:t>
      </w:r>
      <w:r>
        <w:rPr>
          <w:rFonts w:hint="eastAsia" w:ascii="楷体" w:hAnsi="楷体" w:eastAsia="楷体" w:cs="楷体"/>
          <w:bCs/>
          <w:color w:val="000000" w:themeColor="text1"/>
          <w:sz w:val="30"/>
          <w:szCs w:val="30"/>
          <w:highlight w:val="none"/>
          <w:shd w:val="clear" w:color="auto" w:fill="FFFFFF"/>
          <w:lang w:val="en-US"/>
          <w14:textFill>
            <w14:solidFill>
              <w14:schemeClr w14:val="tx1"/>
            </w14:solidFill>
          </w14:textFill>
        </w:rPr>
        <w:t>：</w:t>
      </w:r>
    </w:p>
    <w:tbl>
      <w:tblPr>
        <w:tblStyle w:val="5"/>
        <w:tblW w:w="9271"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501"/>
        <w:gridCol w:w="4215"/>
        <w:gridCol w:w="1860"/>
        <w:gridCol w:w="1695"/>
      </w:tblGrid>
      <w:tr w14:paraId="24F26F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317" w:hRule="atLeast"/>
          <w:jc w:val="center"/>
        </w:trPr>
        <w:tc>
          <w:tcPr>
            <w:tcW w:w="1501" w:type="dxa"/>
            <w:vAlign w:val="center"/>
          </w:tcPr>
          <w:p w14:paraId="49C9B22E">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采购包号</w:t>
            </w:r>
          </w:p>
        </w:tc>
        <w:tc>
          <w:tcPr>
            <w:tcW w:w="4215" w:type="dxa"/>
            <w:vAlign w:val="center"/>
          </w:tcPr>
          <w:p w14:paraId="62855859">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采购包名称</w:t>
            </w:r>
          </w:p>
        </w:tc>
        <w:tc>
          <w:tcPr>
            <w:tcW w:w="1860" w:type="dxa"/>
            <w:vAlign w:val="center"/>
          </w:tcPr>
          <w:p w14:paraId="1D3F9370">
            <w:pPr>
              <w:autoSpaceDE w:val="0"/>
              <w:autoSpaceDN w:val="0"/>
              <w:spacing w:line="360" w:lineRule="auto"/>
              <w:jc w:val="center"/>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预算</w:t>
            </w:r>
            <w:r>
              <w:rPr>
                <w:rFonts w:hint="eastAsia" w:ascii="楷体" w:hAnsi="楷体" w:eastAsia="楷体" w:cs="楷体"/>
                <w:color w:val="000000" w:themeColor="text1"/>
                <w:sz w:val="30"/>
                <w:szCs w:val="30"/>
                <w:highlight w:val="none"/>
                <w:lang w:val="en-US"/>
                <w14:textFill>
                  <w14:solidFill>
                    <w14:schemeClr w14:val="tx1"/>
                  </w14:solidFill>
                </w14:textFill>
              </w:rPr>
              <w:t>金额</w:t>
            </w:r>
          </w:p>
          <w:p w14:paraId="52E17E5F">
            <w:pPr>
              <w:autoSpaceDE w:val="0"/>
              <w:autoSpaceDN w:val="0"/>
              <w:spacing w:before="100" w:line="360" w:lineRule="auto"/>
              <w:jc w:val="center"/>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(万元)</w:t>
            </w:r>
          </w:p>
        </w:tc>
        <w:tc>
          <w:tcPr>
            <w:tcW w:w="1695" w:type="dxa"/>
            <w:vAlign w:val="center"/>
          </w:tcPr>
          <w:p w14:paraId="3BCC5C55">
            <w:pPr>
              <w:autoSpaceDE w:val="0"/>
              <w:autoSpaceDN w:val="0"/>
              <w:spacing w:line="360" w:lineRule="auto"/>
              <w:jc w:val="center"/>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最高限价</w:t>
            </w:r>
          </w:p>
          <w:p w14:paraId="42871D8F">
            <w:pPr>
              <w:autoSpaceDE w:val="0"/>
              <w:autoSpaceDN w:val="0"/>
              <w:spacing w:line="360" w:lineRule="auto"/>
              <w:jc w:val="center"/>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(万元)</w:t>
            </w:r>
          </w:p>
        </w:tc>
      </w:tr>
      <w:tr w14:paraId="492080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501" w:type="dxa"/>
            <w:vAlign w:val="center"/>
          </w:tcPr>
          <w:p w14:paraId="3FD5E26D">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采购包1</w:t>
            </w:r>
          </w:p>
        </w:tc>
        <w:tc>
          <w:tcPr>
            <w:tcW w:w="4215" w:type="dxa"/>
            <w:vAlign w:val="center"/>
          </w:tcPr>
          <w:p w14:paraId="4A490551">
            <w:pPr>
              <w:autoSpaceDE w:val="0"/>
              <w:autoSpaceDN w:val="0"/>
              <w:spacing w:line="360" w:lineRule="auto"/>
              <w:jc w:val="center"/>
              <w:rPr>
                <w:rFonts w:ascii="楷体" w:hAnsi="楷体" w:eastAsia="楷体" w:cs="楷体"/>
                <w:color w:val="000000" w:themeColor="text1"/>
                <w:kern w:val="2"/>
                <w:sz w:val="30"/>
                <w:szCs w:val="30"/>
                <w:highlight w:val="none"/>
                <w:lang w:val="en-US"/>
                <w14:textFill>
                  <w14:solidFill>
                    <w14:schemeClr w14:val="tx1"/>
                  </w14:solidFill>
                </w14:textFill>
              </w:rPr>
            </w:pPr>
            <w:r>
              <w:rPr>
                <w:rFonts w:hint="eastAsia" w:ascii="楷体" w:hAnsi="楷体" w:eastAsia="楷体" w:cs="楷体"/>
                <w:color w:val="000000" w:themeColor="text1"/>
                <w:kern w:val="2"/>
                <w:sz w:val="30"/>
                <w:szCs w:val="30"/>
                <w:highlight w:val="none"/>
                <w:lang w:val="en-US"/>
                <w14:textFill>
                  <w14:solidFill>
                    <w14:schemeClr w14:val="tx1"/>
                  </w14:solidFill>
                </w14:textFill>
              </w:rPr>
              <w:t>抗扰度综合测试系统</w:t>
            </w:r>
          </w:p>
        </w:tc>
        <w:tc>
          <w:tcPr>
            <w:tcW w:w="1860" w:type="dxa"/>
            <w:vAlign w:val="center"/>
          </w:tcPr>
          <w:p w14:paraId="72456573">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6</w:t>
            </w:r>
          </w:p>
        </w:tc>
        <w:tc>
          <w:tcPr>
            <w:tcW w:w="1695" w:type="dxa"/>
            <w:vAlign w:val="center"/>
          </w:tcPr>
          <w:p w14:paraId="522E6BDC">
            <w:pPr>
              <w:spacing w:line="360" w:lineRule="auto"/>
              <w:jc w:val="center"/>
              <w:rPr>
                <w:rFonts w:ascii="楷体" w:hAnsi="楷体" w:eastAsia="楷体" w:cs="楷体"/>
                <w:color w:val="000000" w:themeColor="text1"/>
                <w:kern w:val="2"/>
                <w:sz w:val="30"/>
                <w:szCs w:val="30"/>
                <w:highlight w:val="none"/>
                <w:lang w:val="en-US" w:bidi="ar"/>
                <w14:textFill>
                  <w14:solidFill>
                    <w14:schemeClr w14:val="tx1"/>
                  </w14:solidFill>
                </w14:textFill>
              </w:rPr>
            </w:pPr>
            <w:r>
              <w:rPr>
                <w:rFonts w:hint="eastAsia" w:ascii="楷体" w:hAnsi="楷体" w:eastAsia="楷体" w:cs="楷体"/>
                <w:color w:val="000000" w:themeColor="text1"/>
                <w:kern w:val="2"/>
                <w:sz w:val="30"/>
                <w:szCs w:val="30"/>
                <w:highlight w:val="none"/>
                <w:lang w:val="en-US" w:bidi="ar"/>
                <w14:textFill>
                  <w14:solidFill>
                    <w14:schemeClr w14:val="tx1"/>
                  </w14:solidFill>
                </w14:textFill>
              </w:rPr>
              <w:t>6</w:t>
            </w:r>
          </w:p>
        </w:tc>
      </w:tr>
      <w:tr w14:paraId="10EFF0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501" w:type="dxa"/>
            <w:vAlign w:val="center"/>
          </w:tcPr>
          <w:p w14:paraId="046E42D8">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采购包2</w:t>
            </w:r>
          </w:p>
        </w:tc>
        <w:tc>
          <w:tcPr>
            <w:tcW w:w="4215" w:type="dxa"/>
            <w:vAlign w:val="center"/>
          </w:tcPr>
          <w:p w14:paraId="063723E9">
            <w:pPr>
              <w:autoSpaceDE w:val="0"/>
              <w:autoSpaceDN w:val="0"/>
              <w:spacing w:line="360" w:lineRule="auto"/>
              <w:jc w:val="center"/>
              <w:rPr>
                <w:rFonts w:ascii="楷体" w:hAnsi="楷体" w:eastAsia="楷体" w:cs="楷体"/>
                <w:color w:val="000000" w:themeColor="text1"/>
                <w:kern w:val="2"/>
                <w:sz w:val="30"/>
                <w:szCs w:val="30"/>
                <w:highlight w:val="none"/>
                <w:lang w:val="en-US"/>
                <w14:textFill>
                  <w14:solidFill>
                    <w14:schemeClr w14:val="tx1"/>
                  </w14:solidFill>
                </w14:textFill>
              </w:rPr>
            </w:pPr>
            <w:r>
              <w:rPr>
                <w:rFonts w:hint="eastAsia" w:ascii="楷体" w:hAnsi="楷体" w:eastAsia="楷体" w:cs="楷体"/>
                <w:color w:val="000000" w:themeColor="text1"/>
                <w:kern w:val="2"/>
                <w:sz w:val="30"/>
                <w:szCs w:val="30"/>
                <w:highlight w:val="none"/>
                <w:lang w:val="en-US"/>
                <w14:textFill>
                  <w14:solidFill>
                    <w14:schemeClr w14:val="tx1"/>
                  </w14:solidFill>
                </w14:textFill>
              </w:rPr>
              <w:t>模拟大功率交直流标准电阻器</w:t>
            </w:r>
          </w:p>
        </w:tc>
        <w:tc>
          <w:tcPr>
            <w:tcW w:w="1860" w:type="dxa"/>
            <w:vAlign w:val="center"/>
          </w:tcPr>
          <w:p w14:paraId="06B70CCF">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2.3</w:t>
            </w:r>
          </w:p>
        </w:tc>
        <w:tc>
          <w:tcPr>
            <w:tcW w:w="1695" w:type="dxa"/>
            <w:shd w:val="clear" w:color="auto" w:fill="auto"/>
            <w:vAlign w:val="center"/>
          </w:tcPr>
          <w:p w14:paraId="17668DBA">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2.3</w:t>
            </w:r>
          </w:p>
        </w:tc>
      </w:tr>
      <w:tr w14:paraId="7D02CD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501" w:type="dxa"/>
            <w:vAlign w:val="center"/>
          </w:tcPr>
          <w:p w14:paraId="14635234">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采购包3</w:t>
            </w:r>
          </w:p>
        </w:tc>
        <w:tc>
          <w:tcPr>
            <w:tcW w:w="4215" w:type="dxa"/>
            <w:vAlign w:val="center"/>
          </w:tcPr>
          <w:p w14:paraId="53B7B921">
            <w:pPr>
              <w:autoSpaceDE w:val="0"/>
              <w:autoSpaceDN w:val="0"/>
              <w:spacing w:line="360" w:lineRule="auto"/>
              <w:jc w:val="center"/>
              <w:rPr>
                <w:rFonts w:ascii="楷体" w:hAnsi="楷体" w:eastAsia="楷体" w:cs="楷体"/>
                <w:color w:val="000000" w:themeColor="text1"/>
                <w:kern w:val="2"/>
                <w:sz w:val="30"/>
                <w:szCs w:val="30"/>
                <w:highlight w:val="none"/>
                <w:lang w:val="en-US"/>
                <w14:textFill>
                  <w14:solidFill>
                    <w14:schemeClr w14:val="tx1"/>
                  </w14:solidFill>
                </w14:textFill>
              </w:rPr>
            </w:pPr>
            <w:r>
              <w:rPr>
                <w:rFonts w:hint="eastAsia" w:ascii="楷体" w:hAnsi="楷体" w:eastAsia="楷体" w:cs="楷体"/>
                <w:color w:val="000000" w:themeColor="text1"/>
                <w:kern w:val="2"/>
                <w:sz w:val="30"/>
                <w:szCs w:val="30"/>
                <w:highlight w:val="none"/>
                <w:lang w:val="en-US"/>
                <w14:textFill>
                  <w14:solidFill>
                    <w14:schemeClr w14:val="tx1"/>
                  </w14:solidFill>
                </w14:textFill>
              </w:rPr>
              <w:t>电子万能材料试验机-I</w:t>
            </w:r>
          </w:p>
        </w:tc>
        <w:tc>
          <w:tcPr>
            <w:tcW w:w="1860" w:type="dxa"/>
            <w:vAlign w:val="center"/>
          </w:tcPr>
          <w:p w14:paraId="58024010">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65</w:t>
            </w:r>
          </w:p>
        </w:tc>
        <w:tc>
          <w:tcPr>
            <w:tcW w:w="1695" w:type="dxa"/>
            <w:shd w:val="clear" w:color="auto" w:fill="auto"/>
            <w:vAlign w:val="center"/>
          </w:tcPr>
          <w:p w14:paraId="34A61739">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65</w:t>
            </w:r>
          </w:p>
        </w:tc>
      </w:tr>
      <w:tr w14:paraId="774FE5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501" w:type="dxa"/>
            <w:vAlign w:val="center"/>
          </w:tcPr>
          <w:p w14:paraId="18BB401E">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采购包4</w:t>
            </w:r>
          </w:p>
        </w:tc>
        <w:tc>
          <w:tcPr>
            <w:tcW w:w="4215" w:type="dxa"/>
            <w:vAlign w:val="center"/>
          </w:tcPr>
          <w:p w14:paraId="34595E20">
            <w:pPr>
              <w:autoSpaceDE w:val="0"/>
              <w:autoSpaceDN w:val="0"/>
              <w:spacing w:line="360" w:lineRule="auto"/>
              <w:jc w:val="center"/>
              <w:rPr>
                <w:rFonts w:ascii="楷体" w:hAnsi="楷体" w:eastAsia="楷体" w:cs="楷体"/>
                <w:color w:val="000000" w:themeColor="text1"/>
                <w:kern w:val="2"/>
                <w:sz w:val="30"/>
                <w:szCs w:val="30"/>
                <w:highlight w:val="none"/>
                <w:lang w:val="en-US"/>
                <w14:textFill>
                  <w14:solidFill>
                    <w14:schemeClr w14:val="tx1"/>
                  </w14:solidFill>
                </w14:textFill>
              </w:rPr>
            </w:pPr>
            <w:r>
              <w:rPr>
                <w:rFonts w:hint="eastAsia" w:ascii="楷体" w:hAnsi="楷体" w:eastAsia="楷体" w:cs="楷体"/>
                <w:color w:val="000000" w:themeColor="text1"/>
                <w:kern w:val="2"/>
                <w:sz w:val="30"/>
                <w:szCs w:val="30"/>
                <w:highlight w:val="none"/>
                <w:lang w:val="en-US"/>
                <w14:textFill>
                  <w14:solidFill>
                    <w14:schemeClr w14:val="tx1"/>
                  </w14:solidFill>
                </w14:textFill>
              </w:rPr>
              <w:t>微机控制环刚度试验机</w:t>
            </w:r>
          </w:p>
        </w:tc>
        <w:tc>
          <w:tcPr>
            <w:tcW w:w="1860" w:type="dxa"/>
            <w:vAlign w:val="center"/>
          </w:tcPr>
          <w:p w14:paraId="14B45773">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10</w:t>
            </w:r>
          </w:p>
        </w:tc>
        <w:tc>
          <w:tcPr>
            <w:tcW w:w="1695" w:type="dxa"/>
            <w:shd w:val="clear" w:color="auto" w:fill="auto"/>
            <w:vAlign w:val="center"/>
          </w:tcPr>
          <w:p w14:paraId="1FFB69E9">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10</w:t>
            </w:r>
          </w:p>
        </w:tc>
      </w:tr>
      <w:tr w14:paraId="244543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501" w:type="dxa"/>
            <w:vAlign w:val="center"/>
          </w:tcPr>
          <w:p w14:paraId="05C1C317">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采购包5</w:t>
            </w:r>
          </w:p>
        </w:tc>
        <w:tc>
          <w:tcPr>
            <w:tcW w:w="4215" w:type="dxa"/>
            <w:vAlign w:val="center"/>
          </w:tcPr>
          <w:p w14:paraId="368C79F8">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高效液相色谱仪</w:t>
            </w:r>
          </w:p>
        </w:tc>
        <w:tc>
          <w:tcPr>
            <w:tcW w:w="1860" w:type="dxa"/>
            <w:vAlign w:val="center"/>
          </w:tcPr>
          <w:p w14:paraId="14A4D442">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43</w:t>
            </w:r>
          </w:p>
        </w:tc>
        <w:tc>
          <w:tcPr>
            <w:tcW w:w="1695" w:type="dxa"/>
            <w:shd w:val="clear" w:color="auto" w:fill="auto"/>
            <w:vAlign w:val="center"/>
          </w:tcPr>
          <w:p w14:paraId="3FB3229E">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43</w:t>
            </w:r>
          </w:p>
        </w:tc>
      </w:tr>
      <w:tr w14:paraId="080B5E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501" w:type="dxa"/>
            <w:vAlign w:val="center"/>
          </w:tcPr>
          <w:p w14:paraId="320CABC8">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采购包6</w:t>
            </w:r>
          </w:p>
        </w:tc>
        <w:tc>
          <w:tcPr>
            <w:tcW w:w="4215" w:type="dxa"/>
            <w:vAlign w:val="center"/>
          </w:tcPr>
          <w:p w14:paraId="0287293A">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X射线荧光光谱仪</w:t>
            </w:r>
          </w:p>
        </w:tc>
        <w:tc>
          <w:tcPr>
            <w:tcW w:w="1860" w:type="dxa"/>
            <w:vAlign w:val="center"/>
          </w:tcPr>
          <w:p w14:paraId="569C7300">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18</w:t>
            </w:r>
          </w:p>
        </w:tc>
        <w:tc>
          <w:tcPr>
            <w:tcW w:w="1695" w:type="dxa"/>
            <w:shd w:val="clear" w:color="auto" w:fill="auto"/>
            <w:vAlign w:val="center"/>
          </w:tcPr>
          <w:p w14:paraId="59556AA9">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18</w:t>
            </w:r>
          </w:p>
        </w:tc>
      </w:tr>
      <w:tr w14:paraId="7486BA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501" w:type="dxa"/>
            <w:vAlign w:val="center"/>
          </w:tcPr>
          <w:p w14:paraId="43E8FE5C">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采购包7</w:t>
            </w:r>
          </w:p>
        </w:tc>
        <w:tc>
          <w:tcPr>
            <w:tcW w:w="4215" w:type="dxa"/>
            <w:vAlign w:val="center"/>
          </w:tcPr>
          <w:p w14:paraId="61B81598">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电子万能材料试验机</w:t>
            </w:r>
          </w:p>
        </w:tc>
        <w:tc>
          <w:tcPr>
            <w:tcW w:w="1860" w:type="dxa"/>
            <w:vAlign w:val="center"/>
          </w:tcPr>
          <w:p w14:paraId="4F51DB5A">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20</w:t>
            </w:r>
          </w:p>
        </w:tc>
        <w:tc>
          <w:tcPr>
            <w:tcW w:w="1695" w:type="dxa"/>
            <w:shd w:val="clear" w:color="auto" w:fill="auto"/>
            <w:vAlign w:val="center"/>
          </w:tcPr>
          <w:p w14:paraId="7CE4DEC1">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20</w:t>
            </w:r>
          </w:p>
        </w:tc>
      </w:tr>
      <w:tr w14:paraId="2BFCCA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501" w:type="dxa"/>
            <w:vAlign w:val="center"/>
          </w:tcPr>
          <w:p w14:paraId="4CB6153A">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采购包8</w:t>
            </w:r>
          </w:p>
        </w:tc>
        <w:tc>
          <w:tcPr>
            <w:tcW w:w="4215" w:type="dxa"/>
            <w:shd w:val="clear" w:color="auto" w:fill="auto"/>
            <w:vAlign w:val="center"/>
          </w:tcPr>
          <w:p w14:paraId="00C14DFA">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单纱强力机、透气性测试仪</w:t>
            </w:r>
          </w:p>
        </w:tc>
        <w:tc>
          <w:tcPr>
            <w:tcW w:w="1860" w:type="dxa"/>
            <w:shd w:val="clear" w:color="auto" w:fill="auto"/>
            <w:vAlign w:val="center"/>
          </w:tcPr>
          <w:p w14:paraId="0C37C79A">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14.5</w:t>
            </w:r>
          </w:p>
        </w:tc>
        <w:tc>
          <w:tcPr>
            <w:tcW w:w="1695" w:type="dxa"/>
            <w:shd w:val="clear" w:color="auto" w:fill="auto"/>
            <w:vAlign w:val="center"/>
          </w:tcPr>
          <w:p w14:paraId="75D00C87">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14.5</w:t>
            </w:r>
          </w:p>
        </w:tc>
      </w:tr>
      <w:tr w14:paraId="2BF2BA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501" w:type="dxa"/>
            <w:vAlign w:val="center"/>
          </w:tcPr>
          <w:p w14:paraId="405D88D2">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采购包9</w:t>
            </w:r>
          </w:p>
        </w:tc>
        <w:tc>
          <w:tcPr>
            <w:tcW w:w="4215" w:type="dxa"/>
            <w:vAlign w:val="center"/>
          </w:tcPr>
          <w:p w14:paraId="333A4F21">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原子吸收光谱仪</w:t>
            </w:r>
          </w:p>
        </w:tc>
        <w:tc>
          <w:tcPr>
            <w:tcW w:w="1860" w:type="dxa"/>
            <w:vAlign w:val="center"/>
          </w:tcPr>
          <w:p w14:paraId="4A7F58FD">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54</w:t>
            </w:r>
          </w:p>
        </w:tc>
        <w:tc>
          <w:tcPr>
            <w:tcW w:w="1695" w:type="dxa"/>
            <w:shd w:val="clear" w:color="auto" w:fill="auto"/>
            <w:vAlign w:val="center"/>
          </w:tcPr>
          <w:p w14:paraId="61BBE8F6">
            <w:pPr>
              <w:autoSpaceDE w:val="0"/>
              <w:autoSpaceDN w:val="0"/>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54</w:t>
            </w:r>
          </w:p>
        </w:tc>
      </w:tr>
    </w:tbl>
    <w:p w14:paraId="135EA040">
      <w:pPr>
        <w:spacing w:line="360" w:lineRule="auto"/>
        <w:ind w:firstLine="480"/>
        <w:rPr>
          <w:rFonts w:ascii="楷体" w:hAnsi="楷体" w:eastAsia="楷体" w:cs="楷体"/>
          <w:b/>
          <w:color w:val="000000" w:themeColor="text1"/>
          <w:sz w:val="28"/>
          <w:szCs w:val="28"/>
          <w:highlight w:val="none"/>
          <w:u w:val="single"/>
          <w14:textFill>
            <w14:solidFill>
              <w14:schemeClr w14:val="tx1"/>
            </w14:solidFill>
          </w14:textFill>
        </w:rPr>
      </w:pPr>
      <w:r>
        <w:rPr>
          <w:rFonts w:hint="eastAsia" w:ascii="楷体" w:hAnsi="楷体" w:eastAsia="楷体" w:cs="楷体"/>
          <w:b/>
          <w:color w:val="000000" w:themeColor="text1"/>
          <w:sz w:val="28"/>
          <w:szCs w:val="28"/>
          <w:highlight w:val="none"/>
          <w:shd w:val="clear" w:color="auto" w:fill="FFFFFF"/>
          <w:lang w:val="en-US"/>
          <w14:textFill>
            <w14:solidFill>
              <w14:schemeClr w14:val="tx1"/>
            </w14:solidFill>
          </w14:textFill>
        </w:rPr>
        <w:t>投标人报价超过最高限价的为无效报价，按照无效响应处理。</w:t>
      </w:r>
    </w:p>
    <w:p w14:paraId="65D8C6D0">
      <w:pPr>
        <w:spacing w:line="360" w:lineRule="auto"/>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b/>
          <w:color w:val="000000" w:themeColor="text1"/>
          <w:sz w:val="28"/>
          <w:szCs w:val="28"/>
          <w:highlight w:val="none"/>
          <w:u w:val="single"/>
          <w14:textFill>
            <w14:solidFill>
              <w14:schemeClr w14:val="tx1"/>
            </w14:solidFill>
          </w14:textFill>
        </w:rPr>
        <w:t>本项目共设置</w:t>
      </w:r>
      <w:r>
        <w:rPr>
          <w:rFonts w:hint="eastAsia" w:ascii="楷体" w:hAnsi="楷体" w:eastAsia="楷体" w:cs="楷体"/>
          <w:b/>
          <w:color w:val="000000" w:themeColor="text1"/>
          <w:sz w:val="28"/>
          <w:szCs w:val="28"/>
          <w:highlight w:val="none"/>
          <w:u w:val="single"/>
          <w:lang w:val="en-US"/>
          <w14:textFill>
            <w14:solidFill>
              <w14:schemeClr w14:val="tx1"/>
            </w14:solidFill>
          </w14:textFill>
        </w:rPr>
        <w:t>9个采购包</w:t>
      </w:r>
      <w:r>
        <w:rPr>
          <w:rFonts w:hint="eastAsia" w:ascii="楷体" w:hAnsi="楷体" w:eastAsia="楷体" w:cs="楷体"/>
          <w:b/>
          <w:color w:val="000000" w:themeColor="text1"/>
          <w:sz w:val="28"/>
          <w:szCs w:val="28"/>
          <w:highlight w:val="none"/>
          <w:u w:val="single"/>
          <w14:textFill>
            <w14:solidFill>
              <w14:schemeClr w14:val="tx1"/>
            </w14:solidFill>
          </w14:textFill>
        </w:rPr>
        <w:t>，投标人可兼</w:t>
      </w:r>
      <w:r>
        <w:rPr>
          <w:rFonts w:hint="eastAsia" w:ascii="楷体" w:hAnsi="楷体" w:eastAsia="楷体" w:cs="楷体"/>
          <w:b/>
          <w:color w:val="000000" w:themeColor="text1"/>
          <w:sz w:val="28"/>
          <w:szCs w:val="28"/>
          <w:highlight w:val="none"/>
          <w:u w:val="single"/>
          <w:lang w:val="en-US"/>
          <w14:textFill>
            <w14:solidFill>
              <w14:schemeClr w14:val="tx1"/>
            </w14:solidFill>
          </w14:textFill>
        </w:rPr>
        <w:t>投</w:t>
      </w:r>
      <w:r>
        <w:rPr>
          <w:rFonts w:hint="eastAsia" w:ascii="楷体" w:hAnsi="楷体" w:eastAsia="楷体" w:cs="楷体"/>
          <w:b/>
          <w:color w:val="000000" w:themeColor="text1"/>
          <w:sz w:val="28"/>
          <w:szCs w:val="28"/>
          <w:highlight w:val="none"/>
          <w:u w:val="single"/>
          <w14:textFill>
            <w14:solidFill>
              <w14:schemeClr w14:val="tx1"/>
            </w14:solidFill>
          </w14:textFill>
        </w:rPr>
        <w:t>兼中。本项目按照采购包1</w:t>
      </w:r>
      <w:r>
        <w:rPr>
          <w:rFonts w:hint="eastAsia" w:ascii="楷体" w:hAnsi="楷体" w:eastAsia="楷体" w:cs="楷体"/>
          <w:b/>
          <w:color w:val="000000" w:themeColor="text1"/>
          <w:sz w:val="28"/>
          <w:szCs w:val="28"/>
          <w:highlight w:val="none"/>
          <w:u w:val="single"/>
          <w:lang w:val="en-US"/>
          <w14:textFill>
            <w14:solidFill>
              <w14:schemeClr w14:val="tx1"/>
            </w14:solidFill>
          </w14:textFill>
        </w:rPr>
        <w:t>-</w:t>
      </w:r>
      <w:r>
        <w:rPr>
          <w:rFonts w:hint="eastAsia" w:ascii="楷体" w:hAnsi="楷体" w:eastAsia="楷体" w:cs="楷体"/>
          <w:b/>
          <w:color w:val="000000" w:themeColor="text1"/>
          <w:sz w:val="28"/>
          <w:szCs w:val="28"/>
          <w:highlight w:val="none"/>
          <w:u w:val="single"/>
          <w14:textFill>
            <w14:solidFill>
              <w14:schemeClr w14:val="tx1"/>
            </w14:solidFill>
          </w14:textFill>
        </w:rPr>
        <w:t>采购包</w:t>
      </w:r>
      <w:r>
        <w:rPr>
          <w:rFonts w:hint="eastAsia" w:ascii="楷体" w:hAnsi="楷体" w:eastAsia="楷体" w:cs="楷体"/>
          <w:b/>
          <w:color w:val="000000" w:themeColor="text1"/>
          <w:sz w:val="28"/>
          <w:szCs w:val="28"/>
          <w:highlight w:val="none"/>
          <w:u w:val="single"/>
          <w:lang w:val="en-US"/>
          <w14:textFill>
            <w14:solidFill>
              <w14:schemeClr w14:val="tx1"/>
            </w14:solidFill>
          </w14:textFill>
        </w:rPr>
        <w:t>9</w:t>
      </w:r>
      <w:r>
        <w:rPr>
          <w:rFonts w:hint="eastAsia" w:ascii="楷体" w:hAnsi="楷体" w:eastAsia="楷体" w:cs="楷体"/>
          <w:b/>
          <w:color w:val="000000" w:themeColor="text1"/>
          <w:sz w:val="28"/>
          <w:szCs w:val="28"/>
          <w:highlight w:val="none"/>
          <w:u w:val="single"/>
          <w14:textFill>
            <w14:solidFill>
              <w14:schemeClr w14:val="tx1"/>
            </w14:solidFill>
          </w14:textFill>
        </w:rPr>
        <w:t>的先后顺序进行评审。</w:t>
      </w:r>
    </w:p>
    <w:p w14:paraId="1278FF59">
      <w:pPr>
        <w:spacing w:line="360" w:lineRule="auto"/>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3、本次采购内容为</w:t>
      </w:r>
      <w:r>
        <w:rPr>
          <w:rFonts w:hint="eastAsia" w:ascii="楷体" w:hAnsi="楷体" w:eastAsia="楷体" w:cs="楷体"/>
          <w:color w:val="000000" w:themeColor="text1"/>
          <w:sz w:val="30"/>
          <w:szCs w:val="30"/>
          <w:highlight w:val="none"/>
          <w14:textFill>
            <w14:solidFill>
              <w14:schemeClr w14:val="tx1"/>
            </w14:solidFill>
          </w14:textFill>
        </w:rPr>
        <w:t>镇江市产品质量监督检验中心重点工业产品检验检测设备更新采购</w:t>
      </w:r>
      <w:r>
        <w:rPr>
          <w:rFonts w:hint="eastAsia" w:ascii="楷体" w:hAnsi="楷体" w:eastAsia="楷体" w:cs="楷体"/>
          <w:color w:val="000000" w:themeColor="text1"/>
          <w:sz w:val="30"/>
          <w:szCs w:val="30"/>
          <w:highlight w:val="none"/>
          <w:lang w:val="en-US"/>
          <w14:textFill>
            <w14:solidFill>
              <w14:schemeClr w14:val="tx1"/>
            </w14:solidFill>
          </w14:textFill>
        </w:rPr>
        <w:t>，根据招标人要求提供货物和服务。</w:t>
      </w:r>
    </w:p>
    <w:p w14:paraId="7C7098B0">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4、</w:t>
      </w:r>
      <w:r>
        <w:rPr>
          <w:rFonts w:hint="eastAsia" w:ascii="楷体" w:hAnsi="楷体" w:eastAsia="楷体" w:cs="楷体"/>
          <w:color w:val="000000" w:themeColor="text1"/>
          <w:sz w:val="30"/>
          <w:szCs w:val="30"/>
          <w:highlight w:val="none"/>
          <w14:textFill>
            <w14:solidFill>
              <w14:schemeClr w14:val="tx1"/>
            </w14:solidFill>
          </w14:textFill>
        </w:rPr>
        <w:t>本次招标确定的中标</w:t>
      </w:r>
      <w:r>
        <w:rPr>
          <w:rFonts w:hint="eastAsia" w:ascii="楷体" w:hAnsi="楷体" w:eastAsia="楷体" w:cs="楷体"/>
          <w:color w:val="000000" w:themeColor="text1"/>
          <w:sz w:val="30"/>
          <w:szCs w:val="30"/>
          <w:highlight w:val="none"/>
          <w:lang w:val="en-US"/>
          <w14:textFill>
            <w14:solidFill>
              <w14:schemeClr w14:val="tx1"/>
            </w14:solidFill>
          </w14:textFill>
        </w:rPr>
        <w:t>人</w:t>
      </w:r>
      <w:r>
        <w:rPr>
          <w:rFonts w:hint="eastAsia" w:ascii="楷体" w:hAnsi="楷体" w:eastAsia="楷体" w:cs="楷体"/>
          <w:color w:val="000000" w:themeColor="text1"/>
          <w:sz w:val="30"/>
          <w:szCs w:val="30"/>
          <w:highlight w:val="none"/>
          <w14:textFill>
            <w14:solidFill>
              <w14:schemeClr w14:val="tx1"/>
            </w14:solidFill>
          </w14:textFill>
        </w:rPr>
        <w:t>数量：</w:t>
      </w:r>
      <w:r>
        <w:rPr>
          <w:rFonts w:hint="eastAsia" w:ascii="楷体" w:hAnsi="楷体" w:eastAsia="楷体" w:cs="楷体"/>
          <w:color w:val="000000" w:themeColor="text1"/>
          <w:sz w:val="30"/>
          <w:szCs w:val="30"/>
          <w:highlight w:val="none"/>
          <w:shd w:val="clear" w:color="auto" w:fill="FFFFFF"/>
          <w:lang w:val="en-US"/>
          <w14:textFill>
            <w14:solidFill>
              <w14:schemeClr w14:val="tx1"/>
            </w14:solidFill>
          </w14:textFill>
        </w:rPr>
        <w:t>每个</w:t>
      </w:r>
      <w:r>
        <w:rPr>
          <w:rFonts w:hint="eastAsia" w:ascii="楷体" w:hAnsi="楷体" w:eastAsia="楷体" w:cs="楷体"/>
          <w:color w:val="000000" w:themeColor="text1"/>
          <w:sz w:val="28"/>
          <w:szCs w:val="28"/>
          <w:highlight w:val="none"/>
          <w:shd w:val="clear" w:color="auto" w:fill="FFFFFF"/>
          <w:lang w:val="en-US"/>
          <w14:textFill>
            <w14:solidFill>
              <w14:schemeClr w14:val="tx1"/>
            </w14:solidFill>
          </w14:textFill>
        </w:rPr>
        <w:t>采购包各</w:t>
      </w:r>
      <w:r>
        <w:rPr>
          <w:rFonts w:hint="eastAsia" w:ascii="楷体" w:hAnsi="楷体" w:eastAsia="楷体" w:cs="楷体"/>
          <w:color w:val="000000" w:themeColor="text1"/>
          <w:sz w:val="30"/>
          <w:szCs w:val="30"/>
          <w:highlight w:val="none"/>
          <w:shd w:val="clear" w:color="auto" w:fill="FFFFFF"/>
          <w14:textFill>
            <w14:solidFill>
              <w14:schemeClr w14:val="tx1"/>
            </w14:solidFill>
          </w14:textFill>
        </w:rPr>
        <w:t>1名，</w:t>
      </w:r>
      <w:r>
        <w:rPr>
          <w:rFonts w:hint="eastAsia" w:ascii="楷体" w:hAnsi="楷体" w:eastAsia="楷体" w:cs="楷体"/>
          <w:b/>
          <w:bCs/>
          <w:color w:val="000000" w:themeColor="text1"/>
          <w:sz w:val="30"/>
          <w:szCs w:val="30"/>
          <w:highlight w:val="none"/>
          <w:shd w:val="clear" w:color="auto" w:fill="FFFFFF"/>
          <w:lang w:val="en-US"/>
          <w14:textFill>
            <w14:solidFill>
              <w14:schemeClr w14:val="tx1"/>
            </w14:solidFill>
          </w14:textFill>
        </w:rPr>
        <w:t>兼投兼中</w:t>
      </w:r>
      <w:r>
        <w:rPr>
          <w:rFonts w:hint="eastAsia" w:ascii="楷体" w:hAnsi="楷体" w:eastAsia="楷体" w:cs="楷体"/>
          <w:color w:val="000000" w:themeColor="text1"/>
          <w:sz w:val="30"/>
          <w:szCs w:val="30"/>
          <w:highlight w:val="none"/>
          <w14:textFill>
            <w14:solidFill>
              <w14:schemeClr w14:val="tx1"/>
            </w14:solidFill>
          </w14:textFill>
        </w:rPr>
        <w:t>。</w:t>
      </w:r>
    </w:p>
    <w:p w14:paraId="4C650C46">
      <w:pPr>
        <w:spacing w:line="360" w:lineRule="auto"/>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5、</w:t>
      </w:r>
      <w:r>
        <w:rPr>
          <w:rFonts w:hint="eastAsia" w:ascii="楷体" w:hAnsi="楷体" w:eastAsia="楷体" w:cs="楷体"/>
          <w:color w:val="000000" w:themeColor="text1"/>
          <w:sz w:val="30"/>
          <w:szCs w:val="30"/>
          <w:highlight w:val="none"/>
          <w14:textFill>
            <w14:solidFill>
              <w14:schemeClr w14:val="tx1"/>
            </w14:solidFill>
          </w14:textFill>
        </w:rPr>
        <w:t>项目所属行业：工业。</w:t>
      </w:r>
    </w:p>
    <w:p w14:paraId="59570ED5">
      <w:pPr>
        <w:spacing w:line="360" w:lineRule="auto"/>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二、采购标的汇总表</w:t>
      </w:r>
    </w:p>
    <w:p w14:paraId="72F7236E">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（一） 采购标的</w:t>
      </w:r>
    </w:p>
    <w:p w14:paraId="61075FC0">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w:t>
      </w:r>
      <w:r>
        <w:rPr>
          <w:rFonts w:hint="eastAsia" w:ascii="楷体" w:hAnsi="楷体" w:eastAsia="楷体" w:cs="楷体"/>
          <w:color w:val="000000" w:themeColor="text1"/>
          <w:sz w:val="30"/>
          <w:szCs w:val="30"/>
          <w:highlight w:val="none"/>
          <w:lang w:val="en-US"/>
          <w14:textFill>
            <w14:solidFill>
              <w14:schemeClr w14:val="tx1"/>
            </w14:solidFill>
          </w14:textFill>
        </w:rPr>
        <w:t>货物</w:t>
      </w:r>
      <w:r>
        <w:rPr>
          <w:rFonts w:hint="eastAsia" w:ascii="楷体" w:hAnsi="楷体" w:eastAsia="楷体" w:cs="楷体"/>
          <w:color w:val="000000" w:themeColor="text1"/>
          <w:sz w:val="30"/>
          <w:szCs w:val="30"/>
          <w:highlight w:val="none"/>
          <w14:textFill>
            <w14:solidFill>
              <w14:schemeClr w14:val="tx1"/>
            </w14:solidFill>
          </w14:textFill>
        </w:rPr>
        <w:t>类标的</w:t>
      </w:r>
    </w:p>
    <w:tbl>
      <w:tblPr>
        <w:tblStyle w:val="5"/>
        <w:tblW w:w="8915"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2"/>
        <w:gridCol w:w="2867"/>
        <w:gridCol w:w="1472"/>
        <w:gridCol w:w="1241"/>
        <w:gridCol w:w="1377"/>
        <w:gridCol w:w="1146"/>
      </w:tblGrid>
      <w:tr w14:paraId="3DE45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6" w:hRule="atLeast"/>
          <w:tblCellSpacing w:w="0" w:type="dxa"/>
          <w:jc w:val="center"/>
        </w:trPr>
        <w:tc>
          <w:tcPr>
            <w:tcW w:w="812" w:type="dxa"/>
            <w:noWrap/>
            <w:vAlign w:val="center"/>
          </w:tcPr>
          <w:p w14:paraId="54EBFECC">
            <w:pPr>
              <w:spacing w:line="360" w:lineRule="auto"/>
              <w:jc w:val="center"/>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序号</w:t>
            </w:r>
          </w:p>
        </w:tc>
        <w:tc>
          <w:tcPr>
            <w:tcW w:w="2867" w:type="dxa"/>
            <w:noWrap/>
            <w:vAlign w:val="center"/>
          </w:tcPr>
          <w:p w14:paraId="15E79C24">
            <w:pPr>
              <w:spacing w:line="360" w:lineRule="auto"/>
              <w:jc w:val="center"/>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货物</w:t>
            </w:r>
            <w:r>
              <w:rPr>
                <w:rFonts w:hint="eastAsia" w:ascii="楷体" w:hAnsi="楷体" w:eastAsia="楷体" w:cs="楷体"/>
                <w:color w:val="000000" w:themeColor="text1"/>
                <w:sz w:val="30"/>
                <w:szCs w:val="30"/>
                <w:highlight w:val="none"/>
                <w14:textFill>
                  <w14:solidFill>
                    <w14:schemeClr w14:val="tx1"/>
                  </w14:solidFill>
                </w14:textFill>
              </w:rPr>
              <w:t>类标的名称</w:t>
            </w:r>
          </w:p>
        </w:tc>
        <w:tc>
          <w:tcPr>
            <w:tcW w:w="1472" w:type="dxa"/>
            <w:noWrap/>
            <w:vAlign w:val="center"/>
          </w:tcPr>
          <w:p w14:paraId="1B90F85E">
            <w:pPr>
              <w:spacing w:line="360" w:lineRule="auto"/>
              <w:jc w:val="center"/>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计量单位</w:t>
            </w:r>
          </w:p>
        </w:tc>
        <w:tc>
          <w:tcPr>
            <w:tcW w:w="1241" w:type="dxa"/>
            <w:noWrap/>
            <w:vAlign w:val="center"/>
          </w:tcPr>
          <w:p w14:paraId="12B5B1C5">
            <w:pPr>
              <w:spacing w:line="360" w:lineRule="auto"/>
              <w:jc w:val="center"/>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数量</w:t>
            </w:r>
          </w:p>
        </w:tc>
        <w:tc>
          <w:tcPr>
            <w:tcW w:w="1377" w:type="dxa"/>
            <w:noWrap/>
            <w:vAlign w:val="center"/>
          </w:tcPr>
          <w:p w14:paraId="592A2E8D">
            <w:pPr>
              <w:spacing w:line="360" w:lineRule="auto"/>
              <w:jc w:val="center"/>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是否进口</w:t>
            </w:r>
          </w:p>
        </w:tc>
        <w:tc>
          <w:tcPr>
            <w:tcW w:w="1146" w:type="dxa"/>
            <w:noWrap/>
            <w:vAlign w:val="center"/>
          </w:tcPr>
          <w:p w14:paraId="26B6051C">
            <w:pPr>
              <w:spacing w:line="360" w:lineRule="auto"/>
              <w:jc w:val="center"/>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备注</w:t>
            </w:r>
          </w:p>
        </w:tc>
      </w:tr>
      <w:tr w14:paraId="0207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2" w:hRule="atLeast"/>
          <w:tblCellSpacing w:w="0" w:type="dxa"/>
          <w:jc w:val="center"/>
        </w:trPr>
        <w:tc>
          <w:tcPr>
            <w:tcW w:w="812" w:type="dxa"/>
            <w:noWrap/>
            <w:vAlign w:val="center"/>
          </w:tcPr>
          <w:p w14:paraId="33BB680C">
            <w:pPr>
              <w:spacing w:line="360" w:lineRule="auto"/>
              <w:jc w:val="center"/>
              <w:rPr>
                <w:rFonts w:ascii="楷体" w:hAnsi="楷体" w:eastAsia="楷体" w:cs="楷体"/>
                <w:color w:val="000000" w:themeColor="text1"/>
                <w:sz w:val="30"/>
                <w:szCs w:val="30"/>
                <w:highlight w:val="none"/>
                <w:lang w:val="en-US"/>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w:t>
            </w:r>
          </w:p>
        </w:tc>
        <w:tc>
          <w:tcPr>
            <w:tcW w:w="2867" w:type="dxa"/>
            <w:noWrap/>
            <w:vAlign w:val="center"/>
          </w:tcPr>
          <w:p w14:paraId="160D9251">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镇江市产品质量监督检验中心重点工业产品检验检测设备更新采购</w:t>
            </w:r>
          </w:p>
        </w:tc>
        <w:tc>
          <w:tcPr>
            <w:tcW w:w="1472" w:type="dxa"/>
            <w:noWrap/>
            <w:vAlign w:val="center"/>
          </w:tcPr>
          <w:p w14:paraId="03B95FDA">
            <w:pPr>
              <w:spacing w:line="360" w:lineRule="auto"/>
              <w:jc w:val="center"/>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项</w:t>
            </w:r>
          </w:p>
        </w:tc>
        <w:tc>
          <w:tcPr>
            <w:tcW w:w="1241" w:type="dxa"/>
            <w:noWrap/>
            <w:vAlign w:val="center"/>
          </w:tcPr>
          <w:p w14:paraId="176838F2">
            <w:pPr>
              <w:spacing w:line="360" w:lineRule="auto"/>
              <w:jc w:val="center"/>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1.0</w:t>
            </w:r>
          </w:p>
        </w:tc>
        <w:tc>
          <w:tcPr>
            <w:tcW w:w="1377" w:type="dxa"/>
            <w:noWrap/>
            <w:vAlign w:val="center"/>
          </w:tcPr>
          <w:p w14:paraId="74052A2A">
            <w:pPr>
              <w:spacing w:line="360" w:lineRule="auto"/>
              <w:jc w:val="center"/>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否</w:t>
            </w:r>
          </w:p>
        </w:tc>
        <w:tc>
          <w:tcPr>
            <w:tcW w:w="1146" w:type="dxa"/>
            <w:noWrap/>
            <w:vAlign w:val="center"/>
          </w:tcPr>
          <w:p w14:paraId="6D028F02">
            <w:pPr>
              <w:spacing w:line="360" w:lineRule="auto"/>
              <w:jc w:val="center"/>
              <w:rPr>
                <w:rFonts w:ascii="楷体" w:hAnsi="楷体" w:eastAsia="楷体" w:cs="楷体"/>
                <w:color w:val="000000" w:themeColor="text1"/>
                <w:sz w:val="30"/>
                <w:szCs w:val="30"/>
                <w:highlight w:val="none"/>
                <w14:textFill>
                  <w14:solidFill>
                    <w14:schemeClr w14:val="tx1"/>
                  </w14:solidFill>
                </w14:textFill>
              </w:rPr>
            </w:pPr>
          </w:p>
        </w:tc>
      </w:tr>
    </w:tbl>
    <w:p w14:paraId="782133C7">
      <w:pPr>
        <w:widowControl/>
        <w:spacing w:line="360" w:lineRule="auto"/>
        <w:rPr>
          <w:rFonts w:ascii="楷体" w:hAnsi="楷体" w:eastAsia="楷体" w:cs="楷体"/>
          <w:b/>
          <w:color w:val="000000" w:themeColor="text1"/>
          <w:spacing w:val="15"/>
          <w:sz w:val="30"/>
          <w:szCs w:val="30"/>
          <w:highlight w:val="none"/>
          <w14:textFill>
            <w14:solidFill>
              <w14:schemeClr w14:val="tx1"/>
            </w14:solidFill>
          </w14:textFill>
        </w:rPr>
      </w:pPr>
      <w:r>
        <w:rPr>
          <w:rFonts w:hint="eastAsia" w:ascii="楷体" w:hAnsi="楷体" w:eastAsia="楷体" w:cs="楷体"/>
          <w:b/>
          <w:color w:val="000000" w:themeColor="text1"/>
          <w:sz w:val="30"/>
          <w:szCs w:val="30"/>
          <w:highlight w:val="none"/>
          <w:lang w:val="en-US"/>
          <w14:textFill>
            <w14:solidFill>
              <w14:schemeClr w14:val="tx1"/>
            </w14:solidFill>
          </w14:textFill>
        </w:rPr>
        <w:t>三、技术参数</w:t>
      </w:r>
    </w:p>
    <w:p w14:paraId="2102890F">
      <w:pPr>
        <w:pStyle w:val="7"/>
        <w:spacing w:line="360" w:lineRule="auto"/>
        <w:ind w:firstLine="0"/>
        <w:rPr>
          <w:rFonts w:cs="楷体"/>
          <w:b/>
          <w:bCs/>
          <w:color w:val="000000" w:themeColor="text1"/>
          <w:sz w:val="30"/>
          <w:szCs w:val="30"/>
          <w:highlight w:val="none"/>
          <w:lang w:val="en-US"/>
          <w14:textFill>
            <w14:solidFill>
              <w14:schemeClr w14:val="tx1"/>
            </w14:solidFill>
          </w14:textFill>
        </w:rPr>
      </w:pPr>
      <w:r>
        <w:rPr>
          <w:rFonts w:hint="eastAsia" w:cs="楷体"/>
          <w:b/>
          <w:bCs/>
          <w:color w:val="000000" w:themeColor="text1"/>
          <w:sz w:val="30"/>
          <w:szCs w:val="30"/>
          <w:highlight w:val="none"/>
          <w:lang w:val="en-US"/>
          <w14:textFill>
            <w14:solidFill>
              <w14:schemeClr w14:val="tx1"/>
            </w14:solidFill>
          </w14:textFill>
        </w:rPr>
        <w:t>采购包1：</w:t>
      </w:r>
      <w:r>
        <w:rPr>
          <w:rFonts w:hint="eastAsia" w:cs="楷体"/>
          <w:b/>
          <w:bCs/>
          <w:color w:val="000000" w:themeColor="text1"/>
          <w:kern w:val="2"/>
          <w:sz w:val="30"/>
          <w:szCs w:val="30"/>
          <w:highlight w:val="none"/>
          <w:lang w:val="en-US"/>
          <w14:textFill>
            <w14:solidFill>
              <w14:schemeClr w14:val="tx1"/>
            </w14:solidFill>
          </w14:textFill>
        </w:rPr>
        <w:t>抗扰度综合测试系统</w:t>
      </w:r>
    </w:p>
    <w:p w14:paraId="1B70FA10">
      <w:pPr>
        <w:pStyle w:val="3"/>
        <w:adjustRightInd w:val="0"/>
        <w:snapToGrid w:val="0"/>
        <w:spacing w:line="360" w:lineRule="auto"/>
        <w:ind w:firstLine="0"/>
        <w:outlineLvl w:val="1"/>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（一）项目背景</w:t>
      </w:r>
    </w:p>
    <w:p w14:paraId="0A826BD1">
      <w:pPr>
        <w:spacing w:line="360" w:lineRule="auto"/>
        <w:ind w:firstLine="437"/>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GB/T 17626.8-2006标准实行时间已有20年，新标准的发布亦不会太久，可以预见新标准中会有高于等级5的新等级出现，而低压元器件的产品标准在逐步更替中也对试验要求进行了不同程度的提升。低压成套产品的EMC试验均涉及到工频磁场这个试验，低压元器件产品的EMC试验目前有一半产品涉及。因此购置一台新的工频磁场测试设备可以避免老旧设备功能降低、测试不稳定、频出故障等现象，更能提升我单位工频磁场的检测能力，可以满足等级要求更高的低压电器认证和委托检测。</w:t>
      </w:r>
    </w:p>
    <w:p w14:paraId="390D779A">
      <w:pPr>
        <w:pStyle w:val="3"/>
        <w:adjustRightInd w:val="0"/>
        <w:snapToGrid w:val="0"/>
        <w:spacing w:line="360" w:lineRule="auto"/>
        <w:ind w:firstLine="0"/>
        <w:outlineLvl w:val="1"/>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（二）设备技术要求</w:t>
      </w:r>
    </w:p>
    <w:p w14:paraId="6081885A">
      <w:pPr>
        <w:adjustRightInd w:val="0"/>
        <w:snapToGrid w:val="0"/>
        <w:spacing w:line="360" w:lineRule="auto"/>
        <w:ind w:firstLine="573" w:firstLineChars="191"/>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设备需满足GB/T 17626.8和IEC 61000-4-8最新标准对工频磁场设备的要求，可完全按照标准进行测试。具体技术要求如下：</w:t>
      </w:r>
    </w:p>
    <w:p w14:paraId="332434CE">
      <w:pPr>
        <w:spacing w:line="360" w:lineRule="auto"/>
        <w:ind w:firstLine="450" w:firstLineChars="150"/>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★1.稳定磁场：1A/m~500A/m</w:t>
      </w:r>
    </w:p>
    <w:p w14:paraId="6003F2EA">
      <w:pPr>
        <w:spacing w:line="360" w:lineRule="auto"/>
        <w:ind w:firstLine="450" w:firstLineChars="150"/>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★2.短时磁场：500A/m~1200A/m（时间1s~5s）</w:t>
      </w:r>
    </w:p>
    <w:p w14:paraId="175D8EE7">
      <w:pPr>
        <w:spacing w:line="360" w:lineRule="auto"/>
        <w:ind w:firstLine="450" w:firstLineChars="150"/>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★3.场强频率：50Hz、60Hz</w:t>
      </w:r>
    </w:p>
    <w:p w14:paraId="57E15A0E">
      <w:pPr>
        <w:spacing w:line="360" w:lineRule="auto"/>
        <w:ind w:firstLine="450" w:firstLineChars="150"/>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★4.感应线圈尺寸：1m×1m</w:t>
      </w:r>
    </w:p>
    <w:p w14:paraId="2A06CB54">
      <w:pPr>
        <w:spacing w:line="360" w:lineRule="auto"/>
        <w:ind w:firstLine="450" w:firstLineChars="150"/>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5.输出电流总畸变率：＜8%</w:t>
      </w:r>
    </w:p>
    <w:p w14:paraId="0C30D35C">
      <w:pPr>
        <w:spacing w:line="360" w:lineRule="auto"/>
        <w:ind w:firstLine="450" w:firstLineChars="150"/>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6.电源电压：AC220/230V</w:t>
      </w:r>
    </w:p>
    <w:p w14:paraId="62917D8D">
      <w:pPr>
        <w:spacing w:line="360" w:lineRule="auto"/>
        <w:ind w:firstLine="450" w:firstLineChars="150"/>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7.电源频率：50Hz和60Hz，可手动选择</w:t>
      </w:r>
    </w:p>
    <w:p w14:paraId="4505B758">
      <w:pPr>
        <w:spacing w:line="360" w:lineRule="auto"/>
        <w:ind w:firstLine="450" w:firstLineChars="150"/>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8.输出电流波形为正弦波</w:t>
      </w:r>
    </w:p>
    <w:p w14:paraId="12935E05">
      <w:pPr>
        <w:spacing w:line="360" w:lineRule="auto"/>
        <w:ind w:firstLine="450" w:firstLineChars="150"/>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9.需配套测试桌、连接线缆、转接头等必要配件</w:t>
      </w:r>
    </w:p>
    <w:p w14:paraId="72F0AB16">
      <w:pPr>
        <w:spacing w:line="360" w:lineRule="auto"/>
        <w:ind w:firstLine="450" w:firstLineChars="150"/>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★10.设备有显示屏提供场强、测试时间等信息，可通过软件完成设定及测试。</w:t>
      </w:r>
    </w:p>
    <w:p w14:paraId="5A5FD1DA">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1：技术规格和要求必须逐条响应（符合或偏离），若指标项存在正、负偏离的均应详细说明，存在细微偏离，但评标委员会认定不影响招标人实际使用功能和效果的，可视为响应。投标人须如实填写技术偏离表，确保内容的真实性和准确性。若在评审时被评标委员会认定为虚假陈述，按投标无效处理；提供虚假材料谋取成交的，将被取消中标资格。</w:t>
      </w:r>
    </w:p>
    <w:p w14:paraId="18F37117">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2：标“★”条款的技术参数：投标人除了在《技术参数响应及偏离表》中详细说明外，还须提供招标文件“采购需求”中明确要求的相关证明材料作为评分依据；如果招标文件采购需求中没有明确要求证明材料的，投标人可以提供制造商的相关证明材料佐证，如：制造商公开发布正式印刷的产品样本、有技术参数的产品彩页说明、原厂说明书截图、数据报告，或由有关政府部门或国家确定的机构出具的检定证书或检测报告等相关证明材料,以便于评标委员会正确评判，并自行承担偏离所产生的风险。</w:t>
      </w:r>
    </w:p>
    <w:p w14:paraId="6CC59CB2">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投标人应在《技术参数响应及偏离表》“页码”一栏填写标★、非标★条款技术参数证明材料的页码位置，并以明显方式标明，以便于评标委员会正确评判，如因标示不清导致无法查找，投标人自行承担偏离所产生的风险。</w:t>
      </w:r>
    </w:p>
    <w:p w14:paraId="4A1A4A3D">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注3：技术要求中如出现具体产品的品牌、型号、参数等，仅供投标人更好地理解招标人对设备的需求，不能理解为唯一指定，只要优或相当于其技术参数及功能要求的，均可视为响应。</w:t>
      </w:r>
    </w:p>
    <w:p w14:paraId="6A37AFC4">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注4：投标人投标的设备应符合国家对于相关设备的生产、销售、检验的标准和规定，符合行业主管部门的规定。</w:t>
      </w:r>
    </w:p>
    <w:p w14:paraId="3FE3B427">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注5：“★”号项参数为实质性要求，负偏离为无效响应；</w:t>
      </w:r>
    </w:p>
    <w:p w14:paraId="104130D0">
      <w:pPr>
        <w:pStyle w:val="8"/>
        <w:adjustRightInd w:val="0"/>
        <w:snapToGrid w:val="0"/>
        <w:ind w:firstLine="1205" w:firstLineChars="4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非“★”号项参数为一般参数要求，负偏离在评分中可以扣分。</w:t>
      </w:r>
    </w:p>
    <w:p w14:paraId="4141FDDC">
      <w:pPr>
        <w:pStyle w:val="7"/>
        <w:spacing w:line="360" w:lineRule="auto"/>
        <w:ind w:firstLine="602" w:firstLineChars="200"/>
        <w:rPr>
          <w:rFonts w:cs="楷体"/>
          <w:b/>
          <w:bCs/>
          <w:color w:val="000000" w:themeColor="text1"/>
          <w:sz w:val="30"/>
          <w:szCs w:val="30"/>
          <w:highlight w:val="none"/>
          <w14:textFill>
            <w14:solidFill>
              <w14:schemeClr w14:val="tx1"/>
            </w14:solidFill>
          </w14:textFill>
        </w:rPr>
      </w:pPr>
      <w:r>
        <w:rPr>
          <w:rFonts w:hint="eastAsia" w:cs="楷体"/>
          <w:b/>
          <w:bCs/>
          <w:color w:val="000000" w:themeColor="text1"/>
          <w:sz w:val="30"/>
          <w:szCs w:val="30"/>
          <w:highlight w:val="none"/>
          <w14:textFill>
            <w14:solidFill>
              <w14:schemeClr w14:val="tx1"/>
            </w14:solidFill>
          </w14:textFill>
        </w:rPr>
        <w:t>以上参数均需要提供参数证明材料。</w:t>
      </w:r>
    </w:p>
    <w:p w14:paraId="332AA7D0">
      <w:pPr>
        <w:spacing w:line="360" w:lineRule="auto"/>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三</w:t>
      </w:r>
      <w:r>
        <w:rPr>
          <w:rFonts w:hint="eastAsia" w:ascii="楷体" w:hAnsi="楷体" w:eastAsia="楷体" w:cs="楷体"/>
          <w:b/>
          <w:bCs/>
          <w:color w:val="000000" w:themeColor="text1"/>
          <w:sz w:val="30"/>
          <w:szCs w:val="30"/>
          <w:highlight w:val="none"/>
          <w14:textFill>
            <w14:solidFill>
              <w14:schemeClr w14:val="tx1"/>
            </w14:solidFill>
          </w14:textFill>
        </w:rPr>
        <w:t>）拟实现功能或目标</w:t>
      </w:r>
    </w:p>
    <w:p w14:paraId="21C37605">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满足GB/T 17626.8和IEC 61000-4-8最新标准对工频磁场设备的要求，可完全按照标准进行测试。</w:t>
      </w:r>
    </w:p>
    <w:p w14:paraId="169BB955">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br w:type="page"/>
      </w:r>
    </w:p>
    <w:p w14:paraId="64331EA2">
      <w:pPr>
        <w:pStyle w:val="7"/>
        <w:spacing w:line="360" w:lineRule="auto"/>
        <w:ind w:firstLine="0"/>
        <w:rPr>
          <w:rFonts w:cs="楷体"/>
          <w:b/>
          <w:bCs/>
          <w:color w:val="000000" w:themeColor="text1"/>
          <w:sz w:val="30"/>
          <w:szCs w:val="30"/>
          <w:highlight w:val="none"/>
          <w14:textFill>
            <w14:solidFill>
              <w14:schemeClr w14:val="tx1"/>
            </w14:solidFill>
          </w14:textFill>
        </w:rPr>
      </w:pPr>
      <w:r>
        <w:rPr>
          <w:rFonts w:hint="eastAsia" w:cs="楷体"/>
          <w:b/>
          <w:bCs/>
          <w:color w:val="000000" w:themeColor="text1"/>
          <w:sz w:val="30"/>
          <w:szCs w:val="30"/>
          <w:highlight w:val="none"/>
          <w14:textFill>
            <w14:solidFill>
              <w14:schemeClr w14:val="tx1"/>
            </w14:solidFill>
          </w14:textFill>
        </w:rPr>
        <w:t>采购包</w:t>
      </w:r>
      <w:r>
        <w:rPr>
          <w:rFonts w:hint="eastAsia" w:cs="楷体"/>
          <w:b/>
          <w:bCs/>
          <w:color w:val="000000" w:themeColor="text1"/>
          <w:sz w:val="30"/>
          <w:szCs w:val="30"/>
          <w:highlight w:val="none"/>
          <w:lang w:val="en-US"/>
          <w14:textFill>
            <w14:solidFill>
              <w14:schemeClr w14:val="tx1"/>
            </w14:solidFill>
          </w14:textFill>
        </w:rPr>
        <w:t>2</w:t>
      </w:r>
      <w:r>
        <w:rPr>
          <w:rFonts w:hint="eastAsia" w:cs="楷体"/>
          <w:b/>
          <w:bCs/>
          <w:color w:val="000000" w:themeColor="text1"/>
          <w:sz w:val="30"/>
          <w:szCs w:val="30"/>
          <w:highlight w:val="none"/>
          <w14:textFill>
            <w14:solidFill>
              <w14:schemeClr w14:val="tx1"/>
            </w14:solidFill>
          </w14:textFill>
        </w:rPr>
        <w:t>：</w:t>
      </w:r>
      <w:r>
        <w:rPr>
          <w:rFonts w:hint="eastAsia" w:cs="楷体"/>
          <w:b/>
          <w:bCs/>
          <w:color w:val="000000" w:themeColor="text1"/>
          <w:kern w:val="2"/>
          <w:sz w:val="30"/>
          <w:szCs w:val="30"/>
          <w:highlight w:val="none"/>
          <w:lang w:val="en-US"/>
          <w14:textFill>
            <w14:solidFill>
              <w14:schemeClr w14:val="tx1"/>
            </w14:solidFill>
          </w14:textFill>
        </w:rPr>
        <w:t>模拟大功率交直流标准电阻器</w:t>
      </w:r>
    </w:p>
    <w:p w14:paraId="0B3C02A5">
      <w:pPr>
        <w:pStyle w:val="3"/>
        <w:adjustRightInd w:val="0"/>
        <w:snapToGrid w:val="0"/>
        <w:spacing w:line="360" w:lineRule="auto"/>
        <w:ind w:firstLine="0"/>
        <w:outlineLvl w:val="1"/>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lang w:val="en-US"/>
          <w14:textFill>
            <w14:solidFill>
              <w14:schemeClr w14:val="tx1"/>
            </w14:solidFill>
          </w14:textFill>
        </w:rPr>
        <w:t>（一）</w:t>
      </w:r>
      <w:r>
        <w:rPr>
          <w:rFonts w:hint="eastAsia" w:ascii="楷体" w:hAnsi="楷体" w:eastAsia="楷体" w:cs="楷体"/>
          <w:b/>
          <w:bCs/>
          <w:color w:val="000000" w:themeColor="text1"/>
          <w:sz w:val="30"/>
          <w:szCs w:val="30"/>
          <w:highlight w:val="none"/>
          <w14:textFill>
            <w14:solidFill>
              <w14:schemeClr w14:val="tx1"/>
            </w14:solidFill>
          </w14:textFill>
        </w:rPr>
        <w:t>项目背景</w:t>
      </w:r>
    </w:p>
    <w:p w14:paraId="73335821">
      <w:pPr>
        <w:pStyle w:val="2"/>
        <w:spacing w:line="360" w:lineRule="auto"/>
        <w:ind w:left="0" w:leftChars="0"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镇江市作为长三角重要的制造业基地，周边密布着电力装备及少量家用电器等产业。随着家用电器行业的快速发展，家用电器的品类和功能日益繁杂，检测能力的短板更加凸显，当前，区域内缺乏家用及类似用途产品检测能力的第三方机构，企业普遍面临“检不了、检不快”的痛点。</w:t>
      </w:r>
    </w:p>
    <w:p w14:paraId="6871DA36">
      <w:pPr>
        <w:pStyle w:val="2"/>
        <w:spacing w:line="360" w:lineRule="auto"/>
        <w:ind w:left="0" w:leftChars="0"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为解决企业检测的“急难愁盼”，服务企业“高质量发展提质增效”为目标。同时基于拓展中心业务，对现有阶段和未来检测布局研判的背景下，启动新设备采购计划，旨在填补本地区在大电流、低阻值检测领域的空白，同时服务企业形成良性发展的“双向奔赴”。新设备一方面可面向周边家用电器检测需求企业和其他用户，提供高附加值的对外检测业务，解决企业检测“痛点”，高质高效服务周边企业发展，另一方面，能够满足本中心业务规模拓展，新增业务收入，提升本中心检测效率与检测能力。</w:t>
      </w:r>
    </w:p>
    <w:p w14:paraId="7C723EED">
      <w:pPr>
        <w:pStyle w:val="3"/>
        <w:adjustRightInd w:val="0"/>
        <w:snapToGrid w:val="0"/>
        <w:spacing w:line="360" w:lineRule="auto"/>
        <w:ind w:firstLine="0"/>
        <w:outlineLvl w:val="1"/>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（二）设备技术要求</w:t>
      </w:r>
    </w:p>
    <w:p w14:paraId="0AF0013C">
      <w:pPr>
        <w:adjustRightInd w:val="0"/>
        <w:snapToGrid w:val="0"/>
        <w:spacing w:line="360" w:lineRule="auto"/>
        <w:ind w:firstLine="573" w:firstLineChars="191"/>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 xml:space="preserve">★1.电阻量程20-300mΩ   </w:t>
      </w:r>
    </w:p>
    <w:p w14:paraId="482E915F">
      <w:pPr>
        <w:adjustRightInd w:val="0"/>
        <w:snapToGrid w:val="0"/>
        <w:spacing w:line="360" w:lineRule="auto"/>
        <w:ind w:firstLine="573" w:firstLineChars="191"/>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2.电阻分辨率：±10μΩ</w:t>
      </w:r>
    </w:p>
    <w:p w14:paraId="4955CA79">
      <w:pPr>
        <w:adjustRightInd w:val="0"/>
        <w:snapToGrid w:val="0"/>
        <w:spacing w:line="360" w:lineRule="auto"/>
        <w:ind w:firstLine="573" w:firstLineChars="191"/>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3.电流：量程10-60A；精度：±0.5%</w:t>
      </w:r>
    </w:p>
    <w:p w14:paraId="17A962E4">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注1：技术规格和要求必须逐条响应（符合或偏离），若指标项存在正、负偏离的均应详细说明，存在细微偏离，但评标委员会认定不影响采购人实际使用功能和效果的，可视为响应。</w:t>
      </w:r>
      <w:r>
        <w:rPr>
          <w:rFonts w:hint="eastAsia" w:ascii="楷体" w:hAnsi="楷体" w:eastAsia="楷体" w:cs="楷体"/>
          <w:b/>
          <w:bCs/>
          <w:color w:val="000000" w:themeColor="text1"/>
          <w:sz w:val="30"/>
          <w:szCs w:val="30"/>
          <w:highlight w:val="none"/>
          <w:lang w:val="en-US"/>
          <w14:textFill>
            <w14:solidFill>
              <w14:schemeClr w14:val="tx1"/>
            </w14:solidFill>
          </w14:textFill>
        </w:rPr>
        <w:t>投标人</w:t>
      </w:r>
      <w:r>
        <w:rPr>
          <w:rFonts w:hint="eastAsia" w:ascii="楷体" w:hAnsi="楷体" w:eastAsia="楷体" w:cs="楷体"/>
          <w:b/>
          <w:bCs/>
          <w:color w:val="000000" w:themeColor="text1"/>
          <w:sz w:val="30"/>
          <w:szCs w:val="30"/>
          <w:highlight w:val="none"/>
          <w14:textFill>
            <w14:solidFill>
              <w14:schemeClr w14:val="tx1"/>
            </w14:solidFill>
          </w14:textFill>
        </w:rPr>
        <w:t>如实填写技术偏离表，确保内容的真实性和准确性。若在评审时被评标委员会认定为虚假陈述，按投标无效处理；提供虚假材料谋取</w:t>
      </w:r>
      <w:r>
        <w:rPr>
          <w:rFonts w:hint="eastAsia" w:ascii="楷体" w:hAnsi="楷体" w:eastAsia="楷体" w:cs="楷体"/>
          <w:b/>
          <w:bCs/>
          <w:color w:val="000000" w:themeColor="text1"/>
          <w:sz w:val="30"/>
          <w:szCs w:val="30"/>
          <w:highlight w:val="none"/>
          <w:lang w:val="en-US"/>
          <w14:textFill>
            <w14:solidFill>
              <w14:schemeClr w14:val="tx1"/>
            </w14:solidFill>
          </w14:textFill>
        </w:rPr>
        <w:t>中标</w:t>
      </w:r>
      <w:r>
        <w:rPr>
          <w:rFonts w:hint="eastAsia" w:ascii="楷体" w:hAnsi="楷体" w:eastAsia="楷体" w:cs="楷体"/>
          <w:b/>
          <w:bCs/>
          <w:color w:val="000000" w:themeColor="text1"/>
          <w:sz w:val="30"/>
          <w:szCs w:val="30"/>
          <w:highlight w:val="none"/>
          <w14:textFill>
            <w14:solidFill>
              <w14:schemeClr w14:val="tx1"/>
            </w14:solidFill>
          </w14:textFill>
        </w:rPr>
        <w:t>的，将被取消中标资格。</w:t>
      </w:r>
    </w:p>
    <w:p w14:paraId="2D77F153">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2：标“★”条款的技术参数：投标人除了在《技术参数响应及偏离表》中详细说明外，还须提供招标文件“采购需求”中明确要求的相关证明材料作为评分依据；如果招标文件采购需求中没有明确要求证明材料的，投标人可以提供制造商的相关证明材料佐证，如：制造商公开发布正式印刷的产品样本、有技术参数的产品彩页说明、原厂说明书截图、数据报告，或由有关政府部门或国家确定的机构出具的检定证书或检测报告等相关证明材料,以便于评标委员会正确评判，并自行承担偏离所产生的风险。</w:t>
      </w:r>
    </w:p>
    <w:p w14:paraId="453A90FB">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投标人应在《技术参数响应及偏离表》“页码”一栏填写标★、非标★条款技术参数证明材料的页码位置，并以明显方式标明，以便于评标委员会正确评判，如因标示不清导致无法查找，投标人自行承担偏离所产生的风险。</w:t>
      </w:r>
    </w:p>
    <w:p w14:paraId="3B09B20C">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注3：技术要求中如出现具体产品的品牌、型号、参数等，仅供投标人更好地理解招标人对设备的需求，不能理解为唯一指定，只要优或相当于其技术参数及功能要求的，均可视为响应。</w:t>
      </w:r>
    </w:p>
    <w:p w14:paraId="6F641237">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注4：投标人投标的设备应符合国家对于相关设备的生产、销售、检验的标准和规定，符合行业主管部门的规定。</w:t>
      </w:r>
    </w:p>
    <w:p w14:paraId="4E8F9F4A">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注5：“★”号项参数为实质性要求，负偏离为无效响应；</w:t>
      </w:r>
    </w:p>
    <w:p w14:paraId="5791692D">
      <w:pPr>
        <w:pStyle w:val="8"/>
        <w:adjustRightInd w:val="0"/>
        <w:snapToGrid w:val="0"/>
        <w:ind w:firstLine="1205" w:firstLineChars="4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非“★”号项参数为一般参数要求，负偏离在评分中可以扣分。</w:t>
      </w:r>
    </w:p>
    <w:p w14:paraId="0B66AAC3">
      <w:pPr>
        <w:spacing w:line="360" w:lineRule="auto"/>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以上参数均需要提供参数证明材料。</w:t>
      </w:r>
    </w:p>
    <w:p w14:paraId="52E4D536">
      <w:pPr>
        <w:spacing w:line="360" w:lineRule="auto"/>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三</w:t>
      </w:r>
      <w:r>
        <w:rPr>
          <w:rFonts w:hint="eastAsia" w:ascii="楷体" w:hAnsi="楷体" w:eastAsia="楷体" w:cs="楷体"/>
          <w:b/>
          <w:bCs/>
          <w:color w:val="000000" w:themeColor="text1"/>
          <w:sz w:val="30"/>
          <w:szCs w:val="30"/>
          <w:highlight w:val="none"/>
          <w14:textFill>
            <w14:solidFill>
              <w14:schemeClr w14:val="tx1"/>
            </w14:solidFill>
          </w14:textFill>
        </w:rPr>
        <w:t>）拟实现功能或目标</w:t>
      </w:r>
    </w:p>
    <w:p w14:paraId="79AAE5EA">
      <w:pPr>
        <w:spacing w:line="360" w:lineRule="auto"/>
        <w:ind w:firstLine="600"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对20-300mΩ量程电阻进行测量。</w:t>
      </w:r>
      <w:r>
        <w:rPr>
          <w:rFonts w:hint="eastAsia" w:ascii="楷体" w:hAnsi="楷体" w:eastAsia="楷体" w:cs="楷体"/>
          <w:b/>
          <w:bCs/>
          <w:color w:val="000000" w:themeColor="text1"/>
          <w:sz w:val="30"/>
          <w:szCs w:val="30"/>
          <w:highlight w:val="none"/>
          <w14:textFill>
            <w14:solidFill>
              <w14:schemeClr w14:val="tx1"/>
            </w14:solidFill>
          </w14:textFill>
        </w:rPr>
        <w:br w:type="page"/>
      </w:r>
    </w:p>
    <w:p w14:paraId="28C0F620">
      <w:pPr>
        <w:pStyle w:val="7"/>
        <w:spacing w:line="360" w:lineRule="auto"/>
        <w:ind w:firstLine="0"/>
        <w:rPr>
          <w:rFonts w:cs="楷体"/>
          <w:b/>
          <w:bCs/>
          <w:color w:val="000000" w:themeColor="text1"/>
          <w:sz w:val="30"/>
          <w:szCs w:val="30"/>
          <w:highlight w:val="none"/>
          <w14:textFill>
            <w14:solidFill>
              <w14:schemeClr w14:val="tx1"/>
            </w14:solidFill>
          </w14:textFill>
        </w:rPr>
      </w:pPr>
      <w:r>
        <w:rPr>
          <w:rFonts w:hint="eastAsia" w:cs="楷体"/>
          <w:b/>
          <w:bCs/>
          <w:color w:val="000000" w:themeColor="text1"/>
          <w:sz w:val="30"/>
          <w:szCs w:val="30"/>
          <w:highlight w:val="none"/>
          <w14:textFill>
            <w14:solidFill>
              <w14:schemeClr w14:val="tx1"/>
            </w14:solidFill>
          </w14:textFill>
        </w:rPr>
        <w:t>采购包</w:t>
      </w:r>
      <w:r>
        <w:rPr>
          <w:rFonts w:hint="eastAsia" w:cs="楷体"/>
          <w:b/>
          <w:bCs/>
          <w:color w:val="000000" w:themeColor="text1"/>
          <w:sz w:val="30"/>
          <w:szCs w:val="30"/>
          <w:highlight w:val="none"/>
          <w:lang w:val="en-US"/>
          <w14:textFill>
            <w14:solidFill>
              <w14:schemeClr w14:val="tx1"/>
            </w14:solidFill>
          </w14:textFill>
        </w:rPr>
        <w:t>3</w:t>
      </w:r>
      <w:r>
        <w:rPr>
          <w:rFonts w:hint="eastAsia" w:cs="楷体"/>
          <w:b/>
          <w:bCs/>
          <w:color w:val="000000" w:themeColor="text1"/>
          <w:sz w:val="30"/>
          <w:szCs w:val="30"/>
          <w:highlight w:val="none"/>
          <w14:textFill>
            <w14:solidFill>
              <w14:schemeClr w14:val="tx1"/>
            </w14:solidFill>
          </w14:textFill>
        </w:rPr>
        <w:t>：</w:t>
      </w:r>
      <w:r>
        <w:rPr>
          <w:rFonts w:hint="eastAsia" w:cs="楷体"/>
          <w:b/>
          <w:bCs/>
          <w:color w:val="000000" w:themeColor="text1"/>
          <w:kern w:val="2"/>
          <w:sz w:val="30"/>
          <w:szCs w:val="30"/>
          <w:highlight w:val="none"/>
          <w:lang w:val="en-US"/>
          <w14:textFill>
            <w14:solidFill>
              <w14:schemeClr w14:val="tx1"/>
            </w14:solidFill>
          </w14:textFill>
        </w:rPr>
        <w:t>电子万能材料试验机-I</w:t>
      </w:r>
    </w:p>
    <w:p w14:paraId="562BF91B">
      <w:pPr>
        <w:spacing w:line="360" w:lineRule="auto"/>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（一）项目背景</w:t>
      </w:r>
    </w:p>
    <w:p w14:paraId="0D1F0FC6">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为保障检测数据的准确可靠，拓展金属材料及制品力学性能检测能力，满足日益增长的检测业务需求，亟需购置一台高精度、多功能、具备高温测试能力的300kN电子万能材料试验机。</w:t>
      </w:r>
    </w:p>
    <w:p w14:paraId="2E1CF53A">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（二）设备技术要求</w:t>
      </w:r>
    </w:p>
    <w:p w14:paraId="7CFA29B7">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本次拟采购试验机需满足以下核心技术要求：</w:t>
      </w:r>
    </w:p>
    <w:p w14:paraId="718F99F9">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w:t>
      </w:r>
      <w:r>
        <w:rPr>
          <w:rFonts w:hint="eastAsia" w:ascii="楷体" w:hAnsi="楷体" w:eastAsia="楷体" w:cs="楷体"/>
          <w:color w:val="000000" w:themeColor="text1"/>
          <w:sz w:val="30"/>
          <w:szCs w:val="30"/>
          <w:highlight w:val="none"/>
          <w14:textFill>
            <w14:solidFill>
              <w14:schemeClr w14:val="tx1"/>
            </w14:solidFill>
          </w14:textFill>
        </w:rPr>
        <w:t>试验机整体高度不超过3000mm；</w:t>
      </w:r>
    </w:p>
    <w:p w14:paraId="7FC2ADF5">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lang w:val="en-US"/>
          <w14:textFill>
            <w14:solidFill>
              <w14:schemeClr w14:val="tx1"/>
            </w14:solidFill>
          </w14:textFill>
        </w:rPr>
        <w:t>2.</w:t>
      </w:r>
      <w:r>
        <w:rPr>
          <w:rFonts w:hint="eastAsia" w:ascii="楷体" w:hAnsi="楷体" w:eastAsia="楷体" w:cs="楷体"/>
          <w:color w:val="000000" w:themeColor="text1"/>
          <w:sz w:val="30"/>
          <w:szCs w:val="30"/>
          <w:highlight w:val="none"/>
          <w14:textFill>
            <w14:solidFill>
              <w14:schemeClr w14:val="tx1"/>
            </w14:solidFill>
          </w14:textFill>
        </w:rPr>
        <w:t>最大试验力300kN，精度等级0.5级；</w:t>
      </w:r>
    </w:p>
    <w:p w14:paraId="6FABBD1B">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3.</w:t>
      </w:r>
      <w:r>
        <w:rPr>
          <w:rFonts w:hint="eastAsia" w:ascii="楷体" w:hAnsi="楷体" w:eastAsia="楷体" w:cs="楷体"/>
          <w:color w:val="000000" w:themeColor="text1"/>
          <w:sz w:val="30"/>
          <w:szCs w:val="30"/>
          <w:highlight w:val="none"/>
          <w14:textFill>
            <w14:solidFill>
              <w14:schemeClr w14:val="tx1"/>
            </w14:solidFill>
          </w14:textFill>
        </w:rPr>
        <w:t>力测量范围应至少覆盖0.4%～100%FS，试验力分辨力不低于1/1000000 FS，试验机试验力测量精度不低于示值±0.5%；</w:t>
      </w:r>
    </w:p>
    <w:p w14:paraId="2AF714ED">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4.</w:t>
      </w:r>
      <w:r>
        <w:rPr>
          <w:rFonts w:hint="eastAsia" w:ascii="楷体" w:hAnsi="楷体" w:eastAsia="楷体" w:cs="楷体"/>
          <w:color w:val="000000" w:themeColor="text1"/>
          <w:sz w:val="30"/>
          <w:szCs w:val="30"/>
          <w:highlight w:val="none"/>
          <w14:textFill>
            <w14:solidFill>
              <w14:schemeClr w14:val="tx1"/>
            </w14:solidFill>
          </w14:textFill>
        </w:rPr>
        <w:t xml:space="preserve">横梁速度范围应覆盖0.01～250mm/min，横梁位移分辨率不低于0.0001mm，位移精度不低于0.5%； </w:t>
      </w:r>
    </w:p>
    <w:p w14:paraId="5391F1E2">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5.</w:t>
      </w:r>
      <w:r>
        <w:rPr>
          <w:rFonts w:hint="eastAsia" w:ascii="楷体" w:hAnsi="楷体" w:eastAsia="楷体" w:cs="楷体"/>
          <w:color w:val="000000" w:themeColor="text1"/>
          <w:sz w:val="30"/>
          <w:szCs w:val="30"/>
          <w:highlight w:val="none"/>
          <w14:textFill>
            <w14:solidFill>
              <w14:schemeClr w14:val="tx1"/>
            </w14:solidFill>
          </w14:textFill>
        </w:rPr>
        <w:t xml:space="preserve">主机形式为双立柱（门式），试验机试验空间宽度不小于580mm，横梁有效试验行程不小于1000mm； </w:t>
      </w:r>
    </w:p>
    <w:p w14:paraId="3F93BCA1">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lang w:val="en-US"/>
          <w14:textFill>
            <w14:solidFill>
              <w14:schemeClr w14:val="tx1"/>
            </w14:solidFill>
          </w14:textFill>
        </w:rPr>
        <w:t>6.</w:t>
      </w:r>
      <w:r>
        <w:rPr>
          <w:rFonts w:hint="eastAsia" w:ascii="楷体" w:hAnsi="楷体" w:eastAsia="楷体" w:cs="楷体"/>
          <w:color w:val="000000" w:themeColor="text1"/>
          <w:sz w:val="30"/>
          <w:szCs w:val="30"/>
          <w:highlight w:val="none"/>
          <w14:textFill>
            <w14:solidFill>
              <w14:schemeClr w14:val="tx1"/>
            </w14:solidFill>
          </w14:textFill>
        </w:rPr>
        <w:t>测控系统需具备全数字控制功能，能够实现应力速率控制、应变速率控制、横梁位移控制，速率的范围及精度应满足GB/T 228.1-2021、GB/T 228.1-2015标准的规定；</w:t>
      </w:r>
    </w:p>
    <w:p w14:paraId="071E8243">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7.</w:t>
      </w:r>
      <w:r>
        <w:rPr>
          <w:rFonts w:hint="eastAsia" w:ascii="楷体" w:hAnsi="楷体" w:eastAsia="楷体" w:cs="楷体"/>
          <w:color w:val="000000" w:themeColor="text1"/>
          <w:sz w:val="30"/>
          <w:szCs w:val="30"/>
          <w:highlight w:val="none"/>
          <w14:textFill>
            <w14:solidFill>
              <w14:schemeClr w14:val="tx1"/>
            </w14:solidFill>
          </w14:textFill>
        </w:rPr>
        <w:t xml:space="preserve">控制器数据采集频率不低于1200Hz； </w:t>
      </w:r>
    </w:p>
    <w:p w14:paraId="0CF42E5F">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lang w:val="en-US"/>
          <w14:textFill>
            <w14:solidFill>
              <w14:schemeClr w14:val="tx1"/>
            </w14:solidFill>
          </w14:textFill>
        </w:rPr>
        <w:t>8.</w:t>
      </w:r>
      <w:r>
        <w:rPr>
          <w:rFonts w:hint="eastAsia" w:ascii="楷体" w:hAnsi="楷体" w:eastAsia="楷体" w:cs="楷体"/>
          <w:color w:val="000000" w:themeColor="text1"/>
          <w:sz w:val="30"/>
          <w:szCs w:val="30"/>
          <w:highlight w:val="none"/>
          <w14:textFill>
            <w14:solidFill>
              <w14:schemeClr w14:val="tx1"/>
            </w14:solidFill>
          </w14:textFill>
        </w:rPr>
        <w:t>高温测试系统需配置高温炉，工作温度应覆盖100°C~1100°C，均温区不低于100mm。温度允许偏差及温度梯度应满足或优于GB/T 228.2-2015的要求，具体为：T≤600℃时，允许偏差±3℃、温度梯度3℃；600℃＜T≤800℃时，允许偏差±4℃、温度梯度4℃；800℃＜T≤1000℃时，允许偏差±5℃、温度梯度5℃；1000℃＜T≤1100℃时，允许偏差±6℃、温度梯度6℃。温度测量装置最低分辨力为1℃，允许误差应在±0.004T或±2℃内（取最大值）；</w:t>
      </w:r>
    </w:p>
    <w:p w14:paraId="4ADE408A">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9.</w:t>
      </w:r>
      <w:r>
        <w:rPr>
          <w:rFonts w:hint="eastAsia" w:ascii="楷体" w:hAnsi="楷体" w:eastAsia="楷体" w:cs="楷体"/>
          <w:color w:val="000000" w:themeColor="text1"/>
          <w:sz w:val="30"/>
          <w:szCs w:val="30"/>
          <w:highlight w:val="none"/>
          <w14:textFill>
            <w14:solidFill>
              <w14:schemeClr w14:val="tx1"/>
            </w14:solidFill>
          </w14:textFill>
        </w:rPr>
        <w:t>温度控制器应采用高性能智能化数显调节器，具备温度显示、测量与控制功能；测量精度不低于±0.1%读数；采用PID控制算法，具备参数自动整定功能，能根据负载特性自动优化控制参数，实现升温无超调、恒温无震荡；输入类型支持热电偶输入，至少涵盖K、S型热电偶，适配高温炉测温需求；具备程序设定器功能，可存储多条工艺曲线；具备热电偶断线检测、超温报警及输出限幅等安全保护功能。</w:t>
      </w:r>
    </w:p>
    <w:p w14:paraId="6B113BB4">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lang w:val="en-US"/>
          <w14:textFill>
            <w14:solidFill>
              <w14:schemeClr w14:val="tx1"/>
            </w14:solidFill>
          </w14:textFill>
        </w:rPr>
        <w:t>10.</w:t>
      </w:r>
      <w:r>
        <w:rPr>
          <w:rFonts w:hint="eastAsia" w:ascii="楷体" w:hAnsi="楷体" w:eastAsia="楷体" w:cs="楷体"/>
          <w:color w:val="000000" w:themeColor="text1"/>
          <w:sz w:val="30"/>
          <w:szCs w:val="30"/>
          <w:highlight w:val="none"/>
          <w14:textFill>
            <w14:solidFill>
              <w14:schemeClr w14:val="tx1"/>
            </w14:solidFill>
          </w14:textFill>
        </w:rPr>
        <w:t>测温热电偶配置至少3支，试样两端及中心位置各一支，能够适用于100℃～1100℃的温度环境；</w:t>
      </w:r>
    </w:p>
    <w:p w14:paraId="0E8EA438">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11.</w:t>
      </w:r>
      <w:r>
        <w:rPr>
          <w:rFonts w:hint="eastAsia" w:ascii="楷体" w:hAnsi="楷体" w:eastAsia="楷体" w:cs="楷体"/>
          <w:color w:val="000000" w:themeColor="text1"/>
          <w:sz w:val="30"/>
          <w:szCs w:val="30"/>
          <w:highlight w:val="none"/>
          <w14:textFill>
            <w14:solidFill>
              <w14:schemeClr w14:val="tx1"/>
            </w14:solidFill>
          </w14:textFill>
        </w:rPr>
        <w:t>高温拉伸试验夹具在额定载荷下的最高使用温度应不低于1100℃，板试样夹持范围应覆盖：0.5～8mm，圆柱试样夹持范围应覆盖：M10、M16、M20；</w:t>
      </w:r>
    </w:p>
    <w:p w14:paraId="67FEF09B">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12.</w:t>
      </w:r>
      <w:r>
        <w:rPr>
          <w:rFonts w:hint="eastAsia" w:ascii="楷体" w:hAnsi="楷体" w:eastAsia="楷体" w:cs="楷体"/>
          <w:color w:val="000000" w:themeColor="text1"/>
          <w:sz w:val="30"/>
          <w:szCs w:val="30"/>
          <w:highlight w:val="none"/>
          <w14:textFill>
            <w14:solidFill>
              <w14:schemeClr w14:val="tx1"/>
            </w14:solidFill>
          </w14:textFill>
        </w:rPr>
        <w:t>常温拉伸板试样夹持范围应覆盖：0～30mm，圆柱试样夹持范围应覆盖：φ6～φ40；</w:t>
      </w:r>
    </w:p>
    <w:p w14:paraId="14B3E7E4">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lang w:val="en-US"/>
          <w14:textFill>
            <w14:solidFill>
              <w14:schemeClr w14:val="tx1"/>
            </w14:solidFill>
          </w14:textFill>
        </w:rPr>
        <w:t>13.</w:t>
      </w:r>
      <w:r>
        <w:rPr>
          <w:rFonts w:hint="eastAsia" w:ascii="楷体" w:hAnsi="楷体" w:eastAsia="楷体" w:cs="楷体"/>
          <w:color w:val="000000" w:themeColor="text1"/>
          <w:sz w:val="30"/>
          <w:szCs w:val="30"/>
          <w:highlight w:val="none"/>
          <w14:textFill>
            <w14:solidFill>
              <w14:schemeClr w14:val="tx1"/>
            </w14:solidFill>
          </w14:textFill>
        </w:rPr>
        <w:t>设备机架配置防意外伤害防护罩；设备需具备力过载保护、位移限位保护、电压过载保护、防撞保护等安全保护功能；能够实现力、位移、温度的同步采集与控制，支持Excel/PDF数据导出，具备试验报告自动生成功能；软件支持GB/T 228.1-2021、GB/T 228.2-2015、GB/T 5027及GB/T 5028标准所规定的全部拉伸性能参数测定，并支持方法A（应变速率控制）、位移速率控制和方法B（应力速率控制）试验速率控制模式。</w:t>
      </w:r>
    </w:p>
    <w:p w14:paraId="1F2CD304">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14.</w:t>
      </w:r>
      <w:r>
        <w:rPr>
          <w:rFonts w:hint="eastAsia" w:ascii="楷体" w:hAnsi="楷体" w:eastAsia="楷体" w:cs="楷体"/>
          <w:color w:val="000000" w:themeColor="text1"/>
          <w:sz w:val="30"/>
          <w:szCs w:val="30"/>
          <w:highlight w:val="none"/>
          <w14:textFill>
            <w14:solidFill>
              <w14:schemeClr w14:val="tx1"/>
            </w14:solidFill>
          </w14:textFill>
        </w:rPr>
        <w:t>电脑配置不低于：处理器Intel Core i5-12400或同等性能处理器、内存16GB、512GB 固态硬盘、主流商用操作系统、23英寸显示器、激光打印机；</w:t>
      </w:r>
    </w:p>
    <w:p w14:paraId="1679A36C">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lang w:val="en-US"/>
          <w14:textFill>
            <w14:solidFill>
              <w14:schemeClr w14:val="tx1"/>
            </w14:solidFill>
          </w14:textFill>
        </w:rPr>
        <w:t>15.</w:t>
      </w:r>
      <w:r>
        <w:rPr>
          <w:rFonts w:hint="eastAsia" w:ascii="楷体" w:hAnsi="楷体" w:eastAsia="楷体" w:cs="楷体"/>
          <w:color w:val="000000" w:themeColor="text1"/>
          <w:sz w:val="30"/>
          <w:szCs w:val="30"/>
          <w:highlight w:val="none"/>
          <w14:textFill>
            <w14:solidFill>
              <w14:schemeClr w14:val="tx1"/>
            </w14:solidFill>
          </w14:textFill>
        </w:rPr>
        <w:t>设备配套引伸计需满足GB/T 228.1-2021和GB/T 228.2-2015对室温及高温条件下变形测量的要求，本次设备需同时配置三种类型的引伸计，以适应不同测试场景：</w:t>
      </w:r>
    </w:p>
    <w:p w14:paraId="6C4AC418">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15.1</w:t>
      </w:r>
      <w:r>
        <w:rPr>
          <w:rFonts w:hint="eastAsia" w:ascii="楷体" w:hAnsi="楷体" w:eastAsia="楷体" w:cs="楷体"/>
          <w:color w:val="000000" w:themeColor="text1"/>
          <w:sz w:val="30"/>
          <w:szCs w:val="30"/>
          <w:highlight w:val="none"/>
          <w14:textFill>
            <w14:solidFill>
              <w14:schemeClr w14:val="tx1"/>
            </w14:solidFill>
          </w14:textFill>
        </w:rPr>
        <w:t>机械引伸计（接触式），适用于室温条件下的变形量测量，精度要求不低于0.5级，标距50mm，变形量不少于10mm。</w:t>
      </w:r>
    </w:p>
    <w:p w14:paraId="630B1D41">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15.2</w:t>
      </w:r>
      <w:r>
        <w:rPr>
          <w:rFonts w:hint="eastAsia" w:ascii="楷体" w:hAnsi="楷体" w:eastAsia="楷体" w:cs="楷体"/>
          <w:color w:val="000000" w:themeColor="text1"/>
          <w:sz w:val="30"/>
          <w:szCs w:val="30"/>
          <w:highlight w:val="none"/>
          <w14:textFill>
            <w14:solidFill>
              <w14:schemeClr w14:val="tx1"/>
            </w14:solidFill>
          </w14:textFill>
        </w:rPr>
        <w:t>高温引伸计（接触式），适用于高温环境下的变形测量，需满足GB/T 228.2-2015对高温引伸计的要求，引伸计准确度不低于0.5级，可变标距25/50mm，适用温度不低于1100℃，其伸出加热装置外的部分应能防止气流干扰；</w:t>
      </w:r>
    </w:p>
    <w:p w14:paraId="1F998FD9">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15.3</w:t>
      </w:r>
      <w:r>
        <w:rPr>
          <w:rFonts w:hint="eastAsia" w:ascii="楷体" w:hAnsi="楷体" w:eastAsia="楷体" w:cs="楷体"/>
          <w:color w:val="000000" w:themeColor="text1"/>
          <w:sz w:val="30"/>
          <w:szCs w:val="30"/>
          <w:highlight w:val="none"/>
          <w14:textFill>
            <w14:solidFill>
              <w14:schemeClr w14:val="tx1"/>
            </w14:solidFill>
          </w14:textFill>
        </w:rPr>
        <w:t>视频引伸计（非接触式），适用于接触式引伸计不便使用的场景，可自定义标距大小，精度等级不低于0.5级，支持纵向和横向应变测量，能够测试GB/T 228.1-2021、GB/T 228.2-2015、GB/T 5027-2025及GB/T 5028-2025标准中所有应用引伸计测量的参数。</w:t>
      </w:r>
    </w:p>
    <w:p w14:paraId="519DF9B5">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1：技术规格和要求必须逐条响应（符合或偏离），若指标项存在正、负偏离的均应详细说明，存在细微偏离，但评标委员会认定不影响招标人实际使用功能和效果的，可视为响应。投标人须如实填写技术偏离表，确保内容的真实性和准确性。若在评审时被评标委员会认定为虚假陈述，按投标无效处理；提供虚假材料谋取成交的，将被取消中标资格。</w:t>
      </w:r>
    </w:p>
    <w:p w14:paraId="261D56A4">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2：标“★”条款的技术参数：投标人除了在《技术参数响应及偏离表》中详细说明外，还须提供招标文件“采购需求”中明确要求的相关证明材料作为评分依据；如果招标文件采购需求中没有明确要求证明材料的，投标人可以提供制造商的相关证明材料佐证，如：制造商公开发布正式印刷的产品样本、有技术参数的产品彩页说明、原厂说明书截图、数据报告，或由有关政府部门或国家确定的机构出具的检定证书或检测报告等相关证明材料,以便于评标委员会正确评判，并自行承担偏离所产生的风险。</w:t>
      </w:r>
    </w:p>
    <w:p w14:paraId="360A6F52">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投标人应在《技术参数响应及偏离表》“页码”一栏填写标★、非标★条款技术参数证明材料的页码位置，并以明显方式标明，以便于评标委员会正确评判，如因标示不清导致无法查找，投标人自行承担偏离所产生的风险。</w:t>
      </w:r>
    </w:p>
    <w:p w14:paraId="0B0DD645">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注3：技术要求中如出现具体产品的品牌、型号、参数等，仅供投标人更好地理解招标人对设备的需求，不能理解为唯一指定，只要优或相当于其技术参数及功能要求的，均可视为响应。</w:t>
      </w:r>
    </w:p>
    <w:p w14:paraId="337E851E">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注4：投标人投标的设备应符合国家对于相关设备的生产、销售、检验的标准和规定，符合行业主管部门的规定。</w:t>
      </w:r>
    </w:p>
    <w:p w14:paraId="3ED880B8">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注5：“★”号项参数为实质性要求，负偏离为无效响应；</w:t>
      </w:r>
    </w:p>
    <w:p w14:paraId="37506313">
      <w:pPr>
        <w:pStyle w:val="8"/>
        <w:adjustRightInd w:val="0"/>
        <w:snapToGrid w:val="0"/>
        <w:ind w:left="598" w:leftChars="272"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非“★”号项参数为一般参数要求，负偏离在评分中可以扣分。以上参数均需要提供参数证明材料。</w:t>
      </w:r>
    </w:p>
    <w:p w14:paraId="5A3AA117">
      <w:pPr>
        <w:pStyle w:val="8"/>
        <w:adjustRightInd w:val="0"/>
        <w:snapToGrid w:val="0"/>
        <w:ind w:firstLine="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三</w:t>
      </w:r>
      <w:r>
        <w:rPr>
          <w:rFonts w:hint="eastAsia" w:ascii="楷体" w:hAnsi="楷体" w:eastAsia="楷体" w:cs="楷体"/>
          <w:b/>
          <w:bCs/>
          <w:color w:val="000000" w:themeColor="text1"/>
          <w:sz w:val="30"/>
          <w:szCs w:val="30"/>
          <w:highlight w:val="none"/>
          <w14:textFill>
            <w14:solidFill>
              <w14:schemeClr w14:val="tx1"/>
            </w14:solidFill>
          </w14:textFill>
        </w:rPr>
        <w:t>）拟实现功能或目标</w:t>
      </w:r>
    </w:p>
    <w:p w14:paraId="63D10F72">
      <w:pPr>
        <w:pStyle w:val="8"/>
        <w:adjustRightInd w:val="0"/>
        <w:snapToGrid w:val="0"/>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完成最大试验力300kN的金属材料试验。</w:t>
      </w:r>
    </w:p>
    <w:p w14:paraId="12E4D0F1">
      <w:pPr>
        <w:spacing w:line="360" w:lineRule="auto"/>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br w:type="page"/>
      </w:r>
    </w:p>
    <w:p w14:paraId="38B0FDC6">
      <w:pPr>
        <w:pStyle w:val="7"/>
        <w:spacing w:line="360" w:lineRule="auto"/>
        <w:ind w:firstLine="0"/>
        <w:rPr>
          <w:rFonts w:cs="楷体"/>
          <w:b/>
          <w:bCs/>
          <w:color w:val="000000" w:themeColor="text1"/>
          <w:sz w:val="30"/>
          <w:szCs w:val="30"/>
          <w:highlight w:val="none"/>
          <w14:textFill>
            <w14:solidFill>
              <w14:schemeClr w14:val="tx1"/>
            </w14:solidFill>
          </w14:textFill>
        </w:rPr>
      </w:pPr>
      <w:r>
        <w:rPr>
          <w:rFonts w:hint="eastAsia" w:cs="楷体"/>
          <w:b/>
          <w:bCs/>
          <w:color w:val="000000" w:themeColor="text1"/>
          <w:sz w:val="30"/>
          <w:szCs w:val="30"/>
          <w:highlight w:val="none"/>
          <w14:textFill>
            <w14:solidFill>
              <w14:schemeClr w14:val="tx1"/>
            </w14:solidFill>
          </w14:textFill>
        </w:rPr>
        <w:t>采购包</w:t>
      </w:r>
      <w:r>
        <w:rPr>
          <w:rFonts w:hint="eastAsia" w:cs="楷体"/>
          <w:b/>
          <w:bCs/>
          <w:color w:val="000000" w:themeColor="text1"/>
          <w:sz w:val="30"/>
          <w:szCs w:val="30"/>
          <w:highlight w:val="none"/>
          <w:lang w:val="en-US"/>
          <w14:textFill>
            <w14:solidFill>
              <w14:schemeClr w14:val="tx1"/>
            </w14:solidFill>
          </w14:textFill>
        </w:rPr>
        <w:t>4</w:t>
      </w:r>
      <w:r>
        <w:rPr>
          <w:rFonts w:hint="eastAsia" w:cs="楷体"/>
          <w:b/>
          <w:bCs/>
          <w:color w:val="000000" w:themeColor="text1"/>
          <w:sz w:val="30"/>
          <w:szCs w:val="30"/>
          <w:highlight w:val="none"/>
          <w14:textFill>
            <w14:solidFill>
              <w14:schemeClr w14:val="tx1"/>
            </w14:solidFill>
          </w14:textFill>
        </w:rPr>
        <w:t>：</w:t>
      </w:r>
      <w:r>
        <w:rPr>
          <w:rFonts w:hint="eastAsia" w:cs="楷体"/>
          <w:b/>
          <w:bCs/>
          <w:color w:val="000000" w:themeColor="text1"/>
          <w:kern w:val="2"/>
          <w:sz w:val="30"/>
          <w:szCs w:val="30"/>
          <w:highlight w:val="none"/>
          <w:lang w:val="en-US"/>
          <w14:textFill>
            <w14:solidFill>
              <w14:schemeClr w14:val="tx1"/>
            </w14:solidFill>
          </w14:textFill>
        </w:rPr>
        <w:t>微机控制环刚度试验机</w:t>
      </w:r>
    </w:p>
    <w:p w14:paraId="20A54449">
      <w:pPr>
        <w:spacing w:line="360" w:lineRule="auto"/>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（一）项目背景</w:t>
      </w:r>
    </w:p>
    <w:p w14:paraId="2A86B51B">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我</w:t>
      </w:r>
      <w:r>
        <w:rPr>
          <w:rFonts w:hint="eastAsia" w:ascii="楷体" w:hAnsi="楷体" w:eastAsia="楷体" w:cs="楷体"/>
          <w:color w:val="000000" w:themeColor="text1"/>
          <w:sz w:val="30"/>
          <w:szCs w:val="30"/>
          <w:highlight w:val="none"/>
          <w:lang w:val="en-US"/>
          <w14:textFill>
            <w14:solidFill>
              <w14:schemeClr w14:val="tx1"/>
            </w14:solidFill>
          </w14:textFill>
        </w:rPr>
        <w:t>单位</w:t>
      </w:r>
      <w:r>
        <w:rPr>
          <w:rFonts w:hint="eastAsia" w:ascii="楷体" w:hAnsi="楷体" w:eastAsia="楷体" w:cs="楷体"/>
          <w:color w:val="000000" w:themeColor="text1"/>
          <w:sz w:val="30"/>
          <w:szCs w:val="30"/>
          <w:highlight w:val="none"/>
          <w14:textFill>
            <w14:solidFill>
              <w14:schemeClr w14:val="tx1"/>
            </w14:solidFill>
          </w14:textFill>
        </w:rPr>
        <w:t>现有试验机量程和精度难以满足塑料管材生产厂家日益苛刻的检验检测要求，通过环刚度设备更新，能够准确评估塑料管材的抵抗外部压力能力，直接关系到管材在实际使用中的安全性与可靠性，有效筛选出质量不达标的产品，避免因管材破裂等问题引发的安全事故和经济损失，具有显著的经济效益和社会效益。</w:t>
      </w:r>
    </w:p>
    <w:p w14:paraId="513A7566">
      <w:pPr>
        <w:spacing w:line="360" w:lineRule="auto"/>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（二）设备技术要求</w:t>
      </w:r>
    </w:p>
    <w:p w14:paraId="500E9161">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本次拟采购试验机需满足以下核心技术要求：</w:t>
      </w:r>
    </w:p>
    <w:p w14:paraId="12108517">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w:t>
      </w:r>
      <w:r>
        <w:rPr>
          <w:rFonts w:hint="eastAsia" w:ascii="楷体" w:hAnsi="楷体" w:eastAsia="楷体" w:cs="楷体"/>
          <w:color w:val="000000" w:themeColor="text1"/>
          <w:sz w:val="30"/>
          <w:szCs w:val="30"/>
          <w:highlight w:val="none"/>
          <w14:textFill>
            <w14:solidFill>
              <w14:schemeClr w14:val="tx1"/>
            </w14:solidFill>
          </w14:textFill>
        </w:rPr>
        <w:t>试验机整体高度不超过3000mm；</w:t>
      </w:r>
    </w:p>
    <w:p w14:paraId="3F40565B">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lang w:val="en-US"/>
          <w14:textFill>
            <w14:solidFill>
              <w14:schemeClr w14:val="tx1"/>
            </w14:solidFill>
          </w14:textFill>
        </w:rPr>
        <w:t>2.</w:t>
      </w:r>
      <w:r>
        <w:rPr>
          <w:rFonts w:hint="eastAsia" w:ascii="楷体" w:hAnsi="楷体" w:eastAsia="楷体" w:cs="楷体"/>
          <w:color w:val="000000" w:themeColor="text1"/>
          <w:sz w:val="30"/>
          <w:szCs w:val="30"/>
          <w:highlight w:val="none"/>
          <w14:textFill>
            <w14:solidFill>
              <w14:schemeClr w14:val="tx1"/>
            </w14:solidFill>
          </w14:textFill>
        </w:rPr>
        <w:t>需配置内径测量装置，内径测量精确到内径的0.5%；在负荷方向上试样的内径变形量测量精确到0.1mm或变形量的1%，取较大值；</w:t>
      </w:r>
    </w:p>
    <w:p w14:paraId="54D9EAC6">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3.</w:t>
      </w:r>
      <w:r>
        <w:rPr>
          <w:rFonts w:hint="eastAsia" w:ascii="楷体" w:hAnsi="楷体" w:eastAsia="楷体" w:cs="楷体"/>
          <w:color w:val="000000" w:themeColor="text1"/>
          <w:sz w:val="30"/>
          <w:szCs w:val="30"/>
          <w:highlight w:val="none"/>
          <w14:textFill>
            <w14:solidFill>
              <w14:schemeClr w14:val="tx1"/>
            </w14:solidFill>
          </w14:textFill>
        </w:rPr>
        <w:t>试验机结构及试验空间应能满足公称直径不小于DN1500mm管材的环刚度试验，确保试样安装、压缩及变形过程中不与立柱发生干涉；</w:t>
      </w:r>
    </w:p>
    <w:p w14:paraId="519CD7A6">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lang w:val="en-US"/>
          <w14:textFill>
            <w14:solidFill>
              <w14:schemeClr w14:val="tx1"/>
            </w14:solidFill>
          </w14:textFill>
        </w:rPr>
        <w:t>4.</w:t>
      </w:r>
      <w:r>
        <w:rPr>
          <w:rFonts w:hint="eastAsia" w:ascii="楷体" w:hAnsi="楷体" w:eastAsia="楷体" w:cs="楷体"/>
          <w:color w:val="000000" w:themeColor="text1"/>
          <w:sz w:val="30"/>
          <w:szCs w:val="30"/>
          <w:highlight w:val="none"/>
          <w14:textFill>
            <w14:solidFill>
              <w14:schemeClr w14:val="tx1"/>
            </w14:solidFill>
          </w14:textFill>
        </w:rPr>
        <w:t>试验机压缩平板表面应平整、光滑、洁净，具有足够硬度和刚度；平板长度不小于试样长度，宽度至少比试样与压板的接触表面宽25mm；</w:t>
      </w:r>
    </w:p>
    <w:p w14:paraId="3824A30C">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lang w:val="en-US"/>
          <w14:textFill>
            <w14:solidFill>
              <w14:schemeClr w14:val="tx1"/>
            </w14:solidFill>
          </w14:textFill>
        </w:rPr>
        <w:t>5.</w:t>
      </w:r>
      <w:r>
        <w:rPr>
          <w:rFonts w:hint="eastAsia" w:ascii="楷体" w:hAnsi="楷体" w:eastAsia="楷体" w:cs="楷体"/>
          <w:color w:val="000000" w:themeColor="text1"/>
          <w:sz w:val="30"/>
          <w:szCs w:val="30"/>
          <w:highlight w:val="none"/>
          <w14:textFill>
            <w14:solidFill>
              <w14:schemeClr w14:val="tx1"/>
            </w14:solidFill>
          </w14:textFill>
        </w:rPr>
        <w:t>试验机最大试验力50kN，精度等级0.5级；</w:t>
      </w:r>
    </w:p>
    <w:p w14:paraId="13EFDE4C">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6.</w:t>
      </w:r>
      <w:r>
        <w:rPr>
          <w:rFonts w:hint="eastAsia" w:ascii="楷体" w:hAnsi="楷体" w:eastAsia="楷体" w:cs="楷体"/>
          <w:color w:val="000000" w:themeColor="text1"/>
          <w:sz w:val="30"/>
          <w:szCs w:val="30"/>
          <w:highlight w:val="none"/>
          <w14:textFill>
            <w14:solidFill>
              <w14:schemeClr w14:val="tx1"/>
            </w14:solidFill>
          </w14:textFill>
        </w:rPr>
        <w:t>力测量范围应至少覆盖0.4%～100%FS，试验力分辨率不低于0.1N；</w:t>
      </w:r>
    </w:p>
    <w:p w14:paraId="72D5B390">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7.</w:t>
      </w:r>
      <w:r>
        <w:rPr>
          <w:rFonts w:hint="eastAsia" w:ascii="楷体" w:hAnsi="楷体" w:eastAsia="楷体" w:cs="楷体"/>
          <w:color w:val="000000" w:themeColor="text1"/>
          <w:sz w:val="30"/>
          <w:szCs w:val="30"/>
          <w:highlight w:val="none"/>
          <w14:textFill>
            <w14:solidFill>
              <w14:schemeClr w14:val="tx1"/>
            </w14:solidFill>
          </w14:textFill>
        </w:rPr>
        <w:t>位移分辨率不低于0.01mm；位移测量精度不低于示值的±0.5%；</w:t>
      </w:r>
    </w:p>
    <w:p w14:paraId="142E234C">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8.</w:t>
      </w:r>
      <w:r>
        <w:rPr>
          <w:rFonts w:hint="eastAsia" w:ascii="楷体" w:hAnsi="楷体" w:eastAsia="楷体" w:cs="楷体"/>
          <w:color w:val="000000" w:themeColor="text1"/>
          <w:sz w:val="30"/>
          <w:szCs w:val="30"/>
          <w:highlight w:val="none"/>
          <w14:textFill>
            <w14:solidFill>
              <w14:schemeClr w14:val="tx1"/>
            </w14:solidFill>
          </w14:textFill>
        </w:rPr>
        <w:t>试验速率可无极调速，速度范围应至少覆盖0.1mm/min～50mm/min；</w:t>
      </w:r>
    </w:p>
    <w:p w14:paraId="2CC3BF9F">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lang w:val="en-US"/>
          <w14:textFill>
            <w14:solidFill>
              <w14:schemeClr w14:val="tx1"/>
            </w14:solidFill>
          </w14:textFill>
        </w:rPr>
        <w:t>9.</w:t>
      </w:r>
      <w:r>
        <w:rPr>
          <w:rFonts w:hint="eastAsia" w:ascii="楷体" w:hAnsi="楷体" w:eastAsia="楷体" w:cs="楷体"/>
          <w:color w:val="000000" w:themeColor="text1"/>
          <w:sz w:val="30"/>
          <w:szCs w:val="30"/>
          <w:highlight w:val="none"/>
          <w14:textFill>
            <w14:solidFill>
              <w14:schemeClr w14:val="tx1"/>
            </w14:solidFill>
          </w14:textFill>
        </w:rPr>
        <w:t>设备需具备力过载保护、位移限位保护、电压过载保护、防撞保护等安全保护功能；</w:t>
      </w:r>
    </w:p>
    <w:p w14:paraId="408CA5A1">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10.</w:t>
      </w:r>
      <w:r>
        <w:rPr>
          <w:rFonts w:hint="eastAsia" w:ascii="楷体" w:hAnsi="楷体" w:eastAsia="楷体" w:cs="楷体"/>
          <w:color w:val="000000" w:themeColor="text1"/>
          <w:sz w:val="30"/>
          <w:szCs w:val="30"/>
          <w:highlight w:val="none"/>
          <w14:textFill>
            <w14:solidFill>
              <w14:schemeClr w14:val="tx1"/>
            </w14:solidFill>
          </w14:textFill>
        </w:rPr>
        <w:t>能够实现力、位移的同步采集与控制，实时显示动态曲线，支持数据导出，具备试验报告自动生成功能。</w:t>
      </w:r>
    </w:p>
    <w:p w14:paraId="23DAB3EA">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11.</w:t>
      </w:r>
      <w:r>
        <w:rPr>
          <w:rFonts w:hint="eastAsia" w:ascii="楷体" w:hAnsi="楷体" w:eastAsia="楷体" w:cs="楷体"/>
          <w:color w:val="000000" w:themeColor="text1"/>
          <w:sz w:val="30"/>
          <w:szCs w:val="30"/>
          <w:highlight w:val="none"/>
          <w14:textFill>
            <w14:solidFill>
              <w14:schemeClr w14:val="tx1"/>
            </w14:solidFill>
          </w14:textFill>
        </w:rPr>
        <w:t>电脑配置不低于：处理器Intel Core i5-12400或同等性能处理器、内存16GB、512GB 固态硬盘、主流商用操作系统、23英寸显示器、激光打印机；</w:t>
      </w:r>
    </w:p>
    <w:p w14:paraId="244EAA3C">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1：技术规格和要求必须逐条响应（符合或偏离），若指标项存在正、负偏离的均应详细说明，存在细微偏离，但评标委员会认定不影响招标人实际使用功能和效果的，可视为响应。投标人须如实填写技术偏离表，确保内容的真实性和准确性。若在评审时被评标委员会认定为虚假陈述，按投标无效处理；提供虚假材料谋取成交的，将被取消中标资格。</w:t>
      </w:r>
    </w:p>
    <w:p w14:paraId="229F9C8B">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2：标“★”条款的技术参数：投标人除了在《技术参数响应及偏离表》中详细说明外，还须提供招标文件“采购需求”中明确要求的相关证明材料作为评分依据；如果招标文件采购需求中没有明确要求证明材料的，投标人可以提供制造商的相关证明材料佐证，如：制造商公开发布正式印刷的产品样本、有技术参数的产品彩页说明、原厂说明书截图、数据报告，或由有关政府部门或国家确定的机构出具的检定证书或检测报告等相关证明材料,以便于评标委员会正确评判，并自行承担偏离所产生的风险。</w:t>
      </w:r>
    </w:p>
    <w:p w14:paraId="2EDDA33C">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投标人应在《技术参数响应及偏离表》“页码”一栏填写标★、非标★条款技术参数证明材料的页码位置，并以明显方式标明，以便于评标委员会正确评判，如因标示不清导致无法查找，投标人自行承担偏离所产生的风险。</w:t>
      </w:r>
    </w:p>
    <w:p w14:paraId="0E550EAF">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注3：技术要求中如出现具体产品的品牌、型号、参数等，仅供投标人更好地理解招标人对设备的需求，不能理解为唯一指定，只要优或相当于其技术参数及功能要求的，均可视为响应。</w:t>
      </w:r>
    </w:p>
    <w:p w14:paraId="77EC4530">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注4：投标人投标的设备应符合国家对于相关设备的生产、销售、检验的标准和规定，符合行业主管部门的规定。</w:t>
      </w:r>
    </w:p>
    <w:p w14:paraId="24C89256">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注5：“★”号项参数为实质性要求，负偏离为无效响应；</w:t>
      </w:r>
    </w:p>
    <w:p w14:paraId="445F1B68">
      <w:pPr>
        <w:pStyle w:val="8"/>
        <w:adjustRightInd w:val="0"/>
        <w:snapToGrid w:val="0"/>
        <w:ind w:firstLine="1205" w:firstLineChars="4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非“★”号项参数为一般参数要求，负偏离在评分中可以扣分。</w:t>
      </w:r>
    </w:p>
    <w:p w14:paraId="5A7580CB">
      <w:pPr>
        <w:spacing w:line="360" w:lineRule="auto"/>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以上参数均需要提供参数证明材料。</w:t>
      </w:r>
    </w:p>
    <w:p w14:paraId="58490F74">
      <w:pPr>
        <w:pStyle w:val="8"/>
        <w:adjustRightInd w:val="0"/>
        <w:snapToGrid w:val="0"/>
        <w:ind w:firstLine="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三</w:t>
      </w:r>
      <w:r>
        <w:rPr>
          <w:rFonts w:hint="eastAsia" w:ascii="楷体" w:hAnsi="楷体" w:eastAsia="楷体" w:cs="楷体"/>
          <w:b/>
          <w:bCs/>
          <w:color w:val="000000" w:themeColor="text1"/>
          <w:sz w:val="30"/>
          <w:szCs w:val="30"/>
          <w:highlight w:val="none"/>
          <w14:textFill>
            <w14:solidFill>
              <w14:schemeClr w14:val="tx1"/>
            </w14:solidFill>
          </w14:textFill>
        </w:rPr>
        <w:t>）拟实现功能或目标</w:t>
      </w:r>
    </w:p>
    <w:p w14:paraId="146AE0ED">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符合GB/T 9647-2015标准的要求，试验机最大试验力50kN。</w:t>
      </w:r>
    </w:p>
    <w:p w14:paraId="6C24F768">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br w:type="page"/>
      </w:r>
    </w:p>
    <w:p w14:paraId="185373F2">
      <w:pPr>
        <w:pStyle w:val="7"/>
        <w:spacing w:line="360" w:lineRule="auto"/>
        <w:ind w:firstLine="0"/>
        <w:rPr>
          <w:rFonts w:cs="楷体"/>
          <w:b/>
          <w:bCs/>
          <w:color w:val="000000" w:themeColor="text1"/>
          <w:sz w:val="30"/>
          <w:szCs w:val="30"/>
          <w:highlight w:val="none"/>
          <w14:textFill>
            <w14:solidFill>
              <w14:schemeClr w14:val="tx1"/>
            </w14:solidFill>
          </w14:textFill>
        </w:rPr>
      </w:pPr>
      <w:r>
        <w:rPr>
          <w:rFonts w:hint="eastAsia" w:cs="楷体"/>
          <w:b/>
          <w:bCs/>
          <w:color w:val="000000" w:themeColor="text1"/>
          <w:sz w:val="30"/>
          <w:szCs w:val="30"/>
          <w:highlight w:val="none"/>
          <w14:textFill>
            <w14:solidFill>
              <w14:schemeClr w14:val="tx1"/>
            </w14:solidFill>
          </w14:textFill>
        </w:rPr>
        <w:t>采购包</w:t>
      </w:r>
      <w:r>
        <w:rPr>
          <w:rFonts w:hint="eastAsia" w:cs="楷体"/>
          <w:b/>
          <w:bCs/>
          <w:color w:val="000000" w:themeColor="text1"/>
          <w:sz w:val="30"/>
          <w:szCs w:val="30"/>
          <w:highlight w:val="none"/>
          <w:lang w:val="en-US"/>
          <w14:textFill>
            <w14:solidFill>
              <w14:schemeClr w14:val="tx1"/>
            </w14:solidFill>
          </w14:textFill>
        </w:rPr>
        <w:t>5</w:t>
      </w:r>
      <w:r>
        <w:rPr>
          <w:rFonts w:hint="eastAsia" w:cs="楷体"/>
          <w:b/>
          <w:bCs/>
          <w:color w:val="000000" w:themeColor="text1"/>
          <w:sz w:val="30"/>
          <w:szCs w:val="30"/>
          <w:highlight w:val="none"/>
          <w14:textFill>
            <w14:solidFill>
              <w14:schemeClr w14:val="tx1"/>
            </w14:solidFill>
          </w14:textFill>
        </w:rPr>
        <w:t>：</w:t>
      </w:r>
      <w:r>
        <w:rPr>
          <w:rFonts w:hint="eastAsia" w:cs="楷体"/>
          <w:b/>
          <w:bCs/>
          <w:color w:val="000000" w:themeColor="text1"/>
          <w:sz w:val="30"/>
          <w:szCs w:val="30"/>
          <w:highlight w:val="none"/>
          <w:lang w:val="en-US"/>
          <w14:textFill>
            <w14:solidFill>
              <w14:schemeClr w14:val="tx1"/>
            </w14:solidFill>
          </w14:textFill>
        </w:rPr>
        <w:t>高效液相色谱仪</w:t>
      </w:r>
    </w:p>
    <w:p w14:paraId="0245D3AF">
      <w:pPr>
        <w:pStyle w:val="3"/>
        <w:adjustRightInd w:val="0"/>
        <w:snapToGrid w:val="0"/>
        <w:spacing w:line="360" w:lineRule="auto"/>
        <w:ind w:firstLine="0"/>
        <w:outlineLvl w:val="1"/>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（一）项目背景</w:t>
      </w:r>
    </w:p>
    <w:p w14:paraId="121A3DC7">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高效液相色谱技术广泛应用于化学分析领域。样品通过进样器与流动相混合后进入色谱柱中，由于不同组分和固定相结合力不同，各组分在柱内被分离，各个单一组分依次进入检测器，获得检测信号值。通过检测器信号进行分析，从而实现对待测组分的定量定性分析，是实现样品定量定性分析的重要技术手段。</w:t>
      </w:r>
    </w:p>
    <w:p w14:paraId="1F7BA973">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我单位购买液相色谱主要用于检测镇江本地企业的产品：复合肥料、有机无机复混肥料和土壤调理剂、间苯二酚（1,3-苯二酚）等。</w:t>
      </w:r>
    </w:p>
    <w:p w14:paraId="0EB37B42">
      <w:pPr>
        <w:pStyle w:val="3"/>
        <w:adjustRightInd w:val="0"/>
        <w:snapToGrid w:val="0"/>
        <w:spacing w:line="360" w:lineRule="auto"/>
        <w:ind w:firstLine="0"/>
        <w:outlineLvl w:val="1"/>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（二）设备技术要求</w:t>
      </w:r>
    </w:p>
    <w:p w14:paraId="023E0DFE">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1.工作条件</w:t>
      </w:r>
    </w:p>
    <w:p w14:paraId="6196DBE1">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1.1 电源：100-240V，50Hz电源</w:t>
      </w:r>
    </w:p>
    <w:p w14:paraId="5214ACE3">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1.2 环境温度：4-55℃</w:t>
      </w:r>
    </w:p>
    <w:p w14:paraId="22ED045D">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1.3 环境湿度：&lt;95%</w:t>
      </w:r>
    </w:p>
    <w:p w14:paraId="355AB5B5">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2.技术性能</w:t>
      </w:r>
    </w:p>
    <w:p w14:paraId="0F296661">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2.1 四元梯度泵</w:t>
      </w:r>
    </w:p>
    <w:p w14:paraId="5F995F41">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★2.1.1双泵；具备可变冲程（20μL～100μL）或具备技术性能相当的产品，自动清洗柱塞杆功能，提供软件截图证明。</w:t>
      </w:r>
    </w:p>
    <w:p w14:paraId="5DF2A85E">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2.1.2 流量范围：0.001mL/min~10.0mL/min，递增率0.001mL/min</w:t>
      </w:r>
    </w:p>
    <w:p w14:paraId="1B73B671">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★2.1.3流量精度：≤0.075%RSD，允许同等或优于该指标产品</w:t>
      </w:r>
    </w:p>
    <w:p w14:paraId="0953BC1A">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2.1.4 压力范围：0-400bar</w:t>
      </w:r>
    </w:p>
    <w:p w14:paraId="043D3F58">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2.1.5 压力脉动：在整个压力范围内，1mL/min流量时，&lt;1%。</w:t>
      </w:r>
    </w:p>
    <w:p w14:paraId="7835759D">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2.1.6 混合精度：&lt; 0.5 % RSD</w:t>
      </w:r>
    </w:p>
    <w:p w14:paraId="5BD281F4">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2.2 四通道真空在线脱气机或五通道脱气机</w:t>
      </w:r>
    </w:p>
    <w:p w14:paraId="795D035B">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2.2.1 真空膜过滤方式；内置真空泵、压力传感器。</w:t>
      </w:r>
    </w:p>
    <w:p w14:paraId="29FB3CC9">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2.2.2 通路：4或5</w:t>
      </w:r>
    </w:p>
    <w:p w14:paraId="6D430F7C">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2.3 自动进样器</w:t>
      </w:r>
    </w:p>
    <w:p w14:paraId="72D18C59">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★2.3.1 样品容量：≥120位以上2mL样品瓶</w:t>
      </w:r>
      <w:r>
        <w:rPr>
          <w:rFonts w:hint="eastAsia" w:ascii="楷体" w:hAnsi="楷体" w:eastAsia="楷体" w:cs="楷体"/>
          <w:b/>
          <w:color w:val="000000" w:themeColor="text1"/>
          <w:kern w:val="2"/>
          <w:sz w:val="30"/>
          <w:szCs w:val="30"/>
          <w:highlight w:val="none"/>
          <w:lang w:val="en-US"/>
          <w14:textFill>
            <w14:solidFill>
              <w14:schemeClr w14:val="tx1"/>
            </w14:solidFill>
          </w14:textFill>
        </w:rPr>
        <w:t>（需提供官方证明文件）</w:t>
      </w:r>
    </w:p>
    <w:p w14:paraId="39CD3CFE">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2.3.2 进样范围：0.1~100μL</w:t>
      </w:r>
    </w:p>
    <w:p w14:paraId="18CC8875">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2.3.3进样精度：≤0.3% RSD（10μL进样时）</w:t>
      </w:r>
    </w:p>
    <w:p w14:paraId="061AF54B">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2.3.4 交叉污染：&lt;0.004%</w:t>
      </w:r>
    </w:p>
    <w:p w14:paraId="79928E69">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2.4 独立柱温箱</w:t>
      </w:r>
    </w:p>
    <w:p w14:paraId="65775945">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2.4.1 柱温范围：室温以上5℃至85℃。</w:t>
      </w:r>
    </w:p>
    <w:p w14:paraId="0DECE92F">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2.4.2 温度稳定性：&lt;0.15℃</w:t>
      </w:r>
    </w:p>
    <w:p w14:paraId="6AC2FEA3">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2.4.3 温度准确度：≤0.5℃</w:t>
      </w:r>
    </w:p>
    <w:p w14:paraId="72280DDB">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★2.4.4 柱容量：长度最高为 300 mm的色谱柱≥4 根色谱柱</w:t>
      </w:r>
      <w:r>
        <w:rPr>
          <w:rFonts w:hint="eastAsia" w:ascii="楷体" w:hAnsi="楷体" w:eastAsia="楷体" w:cs="楷体"/>
          <w:b/>
          <w:color w:val="000000" w:themeColor="text1"/>
          <w:kern w:val="2"/>
          <w:sz w:val="30"/>
          <w:szCs w:val="30"/>
          <w:highlight w:val="none"/>
          <w:lang w:val="en-US"/>
          <w14:textFill>
            <w14:solidFill>
              <w14:schemeClr w14:val="tx1"/>
            </w14:solidFill>
          </w14:textFill>
        </w:rPr>
        <w:t>（需提供官方证明文件）</w:t>
      </w:r>
    </w:p>
    <w:p w14:paraId="75AF4B1E">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2.5 二极管阵列检测器</w:t>
      </w:r>
    </w:p>
    <w:p w14:paraId="2EB1B481">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2.5.1检测器类型：≥1024 个二极管元件</w:t>
      </w:r>
      <w:r>
        <w:rPr>
          <w:rFonts w:hint="eastAsia" w:ascii="楷体" w:hAnsi="楷体" w:eastAsia="楷体" w:cs="楷体"/>
          <w:b/>
          <w:color w:val="000000" w:themeColor="text1"/>
          <w:kern w:val="2"/>
          <w:sz w:val="30"/>
          <w:szCs w:val="30"/>
          <w:highlight w:val="none"/>
          <w:lang w:val="en-US"/>
          <w14:textFill>
            <w14:solidFill>
              <w14:schemeClr w14:val="tx1"/>
            </w14:solidFill>
          </w14:textFill>
        </w:rPr>
        <w:t>（需提供官方证明文件）</w:t>
      </w:r>
    </w:p>
    <w:p w14:paraId="731D4604">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2.5.2光源：氘灯加钨灯</w:t>
      </w:r>
    </w:p>
    <w:p w14:paraId="3D8AC7E3">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2.5.3最大采样速率：≥115Hz</w:t>
      </w:r>
    </w:p>
    <w:p w14:paraId="1D549D4B">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2.5.4短期噪声：&lt;7x 10-6 AU</w:t>
      </w:r>
    </w:p>
    <w:p w14:paraId="7757D7C1">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2.5.5漂移：&lt;1 x 10-3 AU/小时</w:t>
      </w:r>
    </w:p>
    <w:p w14:paraId="345BF220">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2.5.6线性：&gt;2.0 AU (5 %)</w:t>
      </w:r>
    </w:p>
    <w:p w14:paraId="54197589">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★2.5.7波长范围：195–950 nm（需提供软件截图）</w:t>
      </w:r>
      <w:r>
        <w:rPr>
          <w:rFonts w:hint="eastAsia" w:ascii="楷体" w:hAnsi="楷体" w:eastAsia="楷体" w:cs="楷体"/>
          <w:b/>
          <w:color w:val="000000" w:themeColor="text1"/>
          <w:kern w:val="2"/>
          <w:sz w:val="30"/>
          <w:szCs w:val="30"/>
          <w:highlight w:val="none"/>
          <w:lang w:val="en-US"/>
          <w14:textFill>
            <w14:solidFill>
              <w14:schemeClr w14:val="tx1"/>
            </w14:solidFill>
          </w14:textFill>
        </w:rPr>
        <w:t>。</w:t>
      </w:r>
    </w:p>
    <w:p w14:paraId="65608C76">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2.5.8萘-甲醇溶液的最小检测浓度：＜6x10-9 g/mL，越低越好（根据JJG 705-2014指定物质）</w:t>
      </w:r>
    </w:p>
    <w:p w14:paraId="42AAE053">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2.5.9光谱工具：数据分析软件，用于光谱评估，包括谱库和峰纯度分析功能。</w:t>
      </w:r>
    </w:p>
    <w:p w14:paraId="7168F6CB">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3.仪器控制及数据处理系统</w:t>
      </w:r>
    </w:p>
    <w:p w14:paraId="47ECBBBF">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3.1参数输入：仪器控制参数，数据采集及计算处理参数的设定。</w:t>
      </w:r>
    </w:p>
    <w:p w14:paraId="4A627E96">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3.2报告：内置多种报告格式，可自动生成系统适应性报告、峰纯度报告、光谱检索报告等；用户也可编辑个性化的报告模板。</w:t>
      </w:r>
    </w:p>
    <w:p w14:paraId="19BD4B84">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3.3在线诊断：内置多项对各组件的自动测试程序，可根据仪器使用情况，随时检查仪器性能；内置多种色谱常见问题及其解决方案。</w:t>
      </w:r>
    </w:p>
    <w:p w14:paraId="08559A8E">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3.4早期维护预警：提供消耗元件累计使用情况，以便及时进行系统预防性维护。</w:t>
      </w:r>
    </w:p>
    <w:p w14:paraId="0B1CFB88">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3.5电子日志：实时记录仪器使用操作情况，随时查阅仪器状态。</w:t>
      </w:r>
    </w:p>
    <w:p w14:paraId="1F41F21A">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4.售后服务与技术支持</w:t>
      </w:r>
    </w:p>
    <w:p w14:paraId="37916ABF">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4.1具备完善的售后服务体系，每台仪器包含一机一人免费培训。</w:t>
      </w:r>
    </w:p>
    <w:p w14:paraId="6F974080">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4.2 质保期：1年。</w:t>
      </w:r>
    </w:p>
    <w:p w14:paraId="10864611">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4.3 全国免费服务热线，在线服务，指导操作，诊断故障，排除故障。</w:t>
      </w:r>
    </w:p>
    <w:p w14:paraId="7C010AC6">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5.配置</w:t>
      </w:r>
    </w:p>
    <w:p w14:paraId="3A201B0D">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5.1 四元泵1套</w:t>
      </w:r>
    </w:p>
    <w:p w14:paraId="5AB62BD5">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5.2 四通道脱气机或五通道脱气机1套</w:t>
      </w:r>
    </w:p>
    <w:p w14:paraId="2317B4B2">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5.3 自动进样器1套</w:t>
      </w:r>
    </w:p>
    <w:p w14:paraId="673C58A5">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5.4 柱温箱1套</w:t>
      </w:r>
    </w:p>
    <w:p w14:paraId="50D7D415">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5.5 二极管阵列检测器1套</w:t>
      </w:r>
    </w:p>
    <w:p w14:paraId="49FE4671">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5.6 工作站1套。（配置满足以下性能要求：处理器物理核心数≥6核、基础主频≥2.5GHz（或通过等效技术手段达到同等及以上运算性能）；内存≥16GB；硬盘≥1TB；配备液晶显示器；USB 3.0及以上接口不少于4个；配备激光打印机。操作系统须为已获得合法授权、符合国家相关标准的正版操作系统（含等效国产操作系统），采购人不指定特定品牌或版本。工作站整体性能应满足高效液相色谱仪工作站软件运行、数据采集与处理需要）。验收时须提供工作站配置清单。</w:t>
      </w:r>
    </w:p>
    <w:p w14:paraId="0211D6EC">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5.7 液相工具包1套</w:t>
      </w:r>
    </w:p>
    <w:p w14:paraId="6BBDE920">
      <w:pPr>
        <w:pStyle w:val="3"/>
        <w:adjustRightInd w:val="0"/>
        <w:snapToGrid w:val="0"/>
        <w:spacing w:line="360" w:lineRule="auto"/>
        <w:ind w:firstLine="600" w:firstLineChars="200"/>
        <w:outlineLvl w:val="1"/>
        <w:rPr>
          <w:rFonts w:ascii="楷体" w:hAnsi="楷体" w:eastAsia="楷体" w:cs="楷体"/>
          <w:bCs/>
          <w:color w:val="000000" w:themeColor="text1"/>
          <w:kern w:val="2"/>
          <w:sz w:val="30"/>
          <w:szCs w:val="30"/>
          <w:highlight w:val="none"/>
          <w:lang w:val="en-US"/>
          <w14:textFill>
            <w14:solidFill>
              <w14:schemeClr w14:val="tx1"/>
            </w14:solidFill>
          </w14:textFill>
        </w:rPr>
      </w:pPr>
      <w:r>
        <w:rPr>
          <w:rFonts w:hint="eastAsia" w:ascii="楷体" w:hAnsi="楷体" w:eastAsia="楷体" w:cs="楷体"/>
          <w:bCs/>
          <w:color w:val="000000" w:themeColor="text1"/>
          <w:kern w:val="2"/>
          <w:sz w:val="30"/>
          <w:szCs w:val="30"/>
          <w:highlight w:val="none"/>
          <w:lang w:val="en-US"/>
          <w14:textFill>
            <w14:solidFill>
              <w14:schemeClr w14:val="tx1"/>
            </w14:solidFill>
          </w14:textFill>
        </w:rPr>
        <w:t>5.8 选配安全盖和放空阀</w:t>
      </w:r>
    </w:p>
    <w:p w14:paraId="481CE8E5">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1：技术规格和要求必须逐条响应（符合或偏离），若指标项存在正、负偏离的均应详细说明，存在细微偏离，但评标委员会认定不影响招标人实际使用功能和效果的，可视为响应。投标人须如实填写技术偏离表，确保内容的真实性和准确性。若在评审时被评标委员会认定为虚假陈述，按投标无效处理；提供虚假材料谋取成交的，将被取消中标资格。</w:t>
      </w:r>
    </w:p>
    <w:p w14:paraId="35F7E7F6">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2：标“★”条款的技术参数：投标人除了在《技术参数响应及偏离表》中详细说明外，还须提供招标文件“采购需求”中明确要求的相关证明材料作为评分依据；如果招标文件采购需求中没有明确要求证明材料的，投标人可以提供制造商的相关证明材料佐证，如：制造商公开发布正式印刷的产品样本、有技术参数的产品彩页说明、原厂说明书截图、数据报告，或由有关政府部门或国家确定的机构出具的检定证书或检测报告等相关证明材料,以便于评标委员会正确评判，并自行承担偏离所产生的风险。</w:t>
      </w:r>
    </w:p>
    <w:p w14:paraId="48B54212">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投标人应在《技术参数响应及偏离表》“页码”一栏填写标★、非标★条款技术参数证明材料的页码位置，并以明显方式标明，以便于评标委员会正确评判，如因标示不清导致无法查找，投标人自行承担偏离所产生的风险。</w:t>
      </w:r>
    </w:p>
    <w:p w14:paraId="6CC6B61A">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注3：技术要求中如出现具体产品的品牌、型号、参数等，仅供投标人更好地理解招标人对设备的需求，不能理解为唯一指定，只要优或相当于其技术参数及功能要求的，均可视为响应。</w:t>
      </w:r>
    </w:p>
    <w:p w14:paraId="2B05E3E1">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注4：投标人投标的设备应符合国家对于相关设备的生产、销售、检验的标准和规定，符合行业主管部门的规定。</w:t>
      </w:r>
    </w:p>
    <w:p w14:paraId="449FC81E">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注5：“★”号项参数为实质性要求，负偏离为无效响应；</w:t>
      </w:r>
    </w:p>
    <w:p w14:paraId="2421F4B0">
      <w:pPr>
        <w:pStyle w:val="8"/>
        <w:adjustRightInd w:val="0"/>
        <w:snapToGrid w:val="0"/>
        <w:ind w:firstLine="1205" w:firstLineChars="4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非“★”号项参数为一般参数要求，负偏离在评分中可以扣分。</w:t>
      </w:r>
    </w:p>
    <w:p w14:paraId="01856CE5">
      <w:pPr>
        <w:spacing w:line="360" w:lineRule="auto"/>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以上参数均需要提供参数证明材料。</w:t>
      </w:r>
    </w:p>
    <w:p w14:paraId="3535DC50">
      <w:pPr>
        <w:pStyle w:val="8"/>
        <w:adjustRightInd w:val="0"/>
        <w:snapToGrid w:val="0"/>
        <w:ind w:firstLine="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三</w:t>
      </w:r>
      <w:r>
        <w:rPr>
          <w:rFonts w:hint="eastAsia" w:ascii="楷体" w:hAnsi="楷体" w:eastAsia="楷体" w:cs="楷体"/>
          <w:b/>
          <w:bCs/>
          <w:color w:val="000000" w:themeColor="text1"/>
          <w:sz w:val="30"/>
          <w:szCs w:val="30"/>
          <w:highlight w:val="none"/>
          <w14:textFill>
            <w14:solidFill>
              <w14:schemeClr w14:val="tx1"/>
            </w14:solidFill>
          </w14:textFill>
        </w:rPr>
        <w:t>）拟实现功能或目标</w:t>
      </w:r>
    </w:p>
    <w:p w14:paraId="3E09A8F1">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用于检测镇江本地企业的产品：复合肥料、掺混肥料（BB肥）、高氯酸、硫酸等。</w:t>
      </w:r>
    </w:p>
    <w:p w14:paraId="409C030E">
      <w:pPr>
        <w:spacing w:line="360" w:lineRule="auto"/>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br w:type="page"/>
      </w:r>
    </w:p>
    <w:p w14:paraId="7D4BE4A2">
      <w:pPr>
        <w:pStyle w:val="7"/>
        <w:spacing w:line="360" w:lineRule="auto"/>
        <w:ind w:firstLine="0"/>
        <w:rPr>
          <w:rFonts w:cs="楷体"/>
          <w:b/>
          <w:bCs/>
          <w:color w:val="000000" w:themeColor="text1"/>
          <w:sz w:val="30"/>
          <w:szCs w:val="30"/>
          <w:highlight w:val="none"/>
          <w:lang w:val="en-US"/>
          <w14:textFill>
            <w14:solidFill>
              <w14:schemeClr w14:val="tx1"/>
            </w14:solidFill>
          </w14:textFill>
        </w:rPr>
      </w:pPr>
      <w:r>
        <w:rPr>
          <w:rFonts w:hint="eastAsia" w:cs="楷体"/>
          <w:b/>
          <w:bCs/>
          <w:color w:val="000000" w:themeColor="text1"/>
          <w:sz w:val="30"/>
          <w:szCs w:val="30"/>
          <w:highlight w:val="none"/>
          <w14:textFill>
            <w14:solidFill>
              <w14:schemeClr w14:val="tx1"/>
            </w14:solidFill>
          </w14:textFill>
        </w:rPr>
        <w:t>采购包</w:t>
      </w:r>
      <w:r>
        <w:rPr>
          <w:rFonts w:hint="eastAsia" w:cs="楷体"/>
          <w:b/>
          <w:bCs/>
          <w:color w:val="000000" w:themeColor="text1"/>
          <w:sz w:val="30"/>
          <w:szCs w:val="30"/>
          <w:highlight w:val="none"/>
          <w:lang w:val="en-US"/>
          <w14:textFill>
            <w14:solidFill>
              <w14:schemeClr w14:val="tx1"/>
            </w14:solidFill>
          </w14:textFill>
        </w:rPr>
        <w:t>6</w:t>
      </w:r>
      <w:r>
        <w:rPr>
          <w:rFonts w:hint="eastAsia" w:cs="楷体"/>
          <w:b/>
          <w:bCs/>
          <w:color w:val="000000" w:themeColor="text1"/>
          <w:sz w:val="30"/>
          <w:szCs w:val="30"/>
          <w:highlight w:val="none"/>
          <w14:textFill>
            <w14:solidFill>
              <w14:schemeClr w14:val="tx1"/>
            </w14:solidFill>
          </w14:textFill>
        </w:rPr>
        <w:t>：</w:t>
      </w:r>
      <w:r>
        <w:rPr>
          <w:rFonts w:hint="eastAsia" w:cs="楷体"/>
          <w:b/>
          <w:bCs/>
          <w:color w:val="000000" w:themeColor="text1"/>
          <w:sz w:val="30"/>
          <w:szCs w:val="30"/>
          <w:highlight w:val="none"/>
          <w:lang w:val="en-US"/>
          <w14:textFill>
            <w14:solidFill>
              <w14:schemeClr w14:val="tx1"/>
            </w14:solidFill>
          </w14:textFill>
        </w:rPr>
        <w:t>X射线荧光光谱仪</w:t>
      </w:r>
    </w:p>
    <w:p w14:paraId="7BAFED45">
      <w:pPr>
        <w:pStyle w:val="7"/>
        <w:spacing w:line="360" w:lineRule="auto"/>
        <w:ind w:firstLine="0"/>
        <w:rPr>
          <w:rFonts w:cs="楷体"/>
          <w:b/>
          <w:bCs/>
          <w:color w:val="000000" w:themeColor="text1"/>
          <w:sz w:val="30"/>
          <w:szCs w:val="30"/>
          <w:highlight w:val="none"/>
          <w14:textFill>
            <w14:solidFill>
              <w14:schemeClr w14:val="tx1"/>
            </w14:solidFill>
          </w14:textFill>
        </w:rPr>
      </w:pPr>
      <w:r>
        <w:rPr>
          <w:rFonts w:hint="eastAsia" w:cs="楷体"/>
          <w:b/>
          <w:bCs/>
          <w:color w:val="000000" w:themeColor="text1"/>
          <w:sz w:val="30"/>
          <w:szCs w:val="30"/>
          <w:highlight w:val="none"/>
          <w:lang w:val="en-US"/>
          <w14:textFill>
            <w14:solidFill>
              <w14:schemeClr w14:val="tx1"/>
            </w14:solidFill>
          </w14:textFill>
        </w:rPr>
        <w:t>（一）</w:t>
      </w:r>
      <w:r>
        <w:rPr>
          <w:rFonts w:hint="eastAsia" w:cs="楷体"/>
          <w:b/>
          <w:bCs/>
          <w:color w:val="000000" w:themeColor="text1"/>
          <w:sz w:val="30"/>
          <w:szCs w:val="30"/>
          <w:highlight w:val="none"/>
          <w14:textFill>
            <w14:solidFill>
              <w14:schemeClr w14:val="tx1"/>
            </w14:solidFill>
          </w14:textFill>
        </w:rPr>
        <w:t>项目背景</w:t>
      </w:r>
    </w:p>
    <w:p w14:paraId="7DF880CA">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荧光光谱仪是一种无损、快速、精准的物质成分分析仪器，基于X射线荧光光谱分析原理，通过激发样品产生特征X射线，对射线波长、强度进行检测，实现物质元素定性与定量分析。设备主要由X射线管、探测器、光学系统、样品腔及智能分析软件组成，无需破坏样品，操作便捷，检测效率高，是贵金属、冶金、珠宝、质检等领域核心检测设备。</w:t>
      </w:r>
    </w:p>
    <w:p w14:paraId="7577736D">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贵金属检测是关乎市场秩序、民生诚信、社会公共利益的关键工作，覆盖黄金珠宝市场监管、贵金属饰品质量核验、金融贵金属保真、涉案贵金属鉴定等多类重要场景。单位出具的检测结果，直接关联消费者合法权益保障、市场公平交易维护、司法案件公正裁定、行业乱象整治等各类社会事件，检测数据的精准性，不仅体现单位专业公信力，更对社会稳定、市场诚信体系建设具有直接影响。</w:t>
      </w:r>
    </w:p>
    <w:p w14:paraId="0A719258">
      <w:pPr>
        <w:pStyle w:val="3"/>
        <w:adjustRightInd w:val="0"/>
        <w:snapToGrid w:val="0"/>
        <w:spacing w:line="360" w:lineRule="auto"/>
        <w:ind w:firstLine="0"/>
        <w:outlineLvl w:val="1"/>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（二）设备技术要求</w:t>
      </w:r>
    </w:p>
    <w:p w14:paraId="722956AA">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1.应符合国标GB/T 18043-2013《首饰 贵金属含量的测定 X射线荧光光谱法》中检测仪器的要求；</w:t>
      </w:r>
    </w:p>
    <w:p w14:paraId="4F9F76FB">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2.元素分析范围：硫（S）～铀（U）以上；</w:t>
      </w:r>
    </w:p>
    <w:p w14:paraId="30389AD3">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3.元素含量分析范围：ppm级～99.99%，元素定量分析数量≥40种元素（至少包括金、银、铂、钯、铑、铁、铼、铱、铜、锌、钨、镍、锇、钌、铱等）；</w:t>
      </w:r>
    </w:p>
    <w:p w14:paraId="1319770E">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4.锰元素在5.89keV能量位置的峰，分辨率优于125eV；</w:t>
      </w:r>
    </w:p>
    <w:p w14:paraId="6663D81D">
      <w:pPr>
        <w:spacing w:line="360" w:lineRule="auto"/>
        <w:ind w:firstLine="602"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5</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探测器：SDD，探测面积≥25mm</w:t>
      </w:r>
      <w:r>
        <w:rPr>
          <w:rFonts w:hint="eastAsia" w:ascii="楷体" w:hAnsi="楷体" w:eastAsia="楷体" w:cs="楷体"/>
          <w:color w:val="000000" w:themeColor="text1"/>
          <w:sz w:val="30"/>
          <w:szCs w:val="30"/>
          <w:highlight w:val="none"/>
          <w:vertAlign w:val="superscript"/>
          <w14:textFill>
            <w14:solidFill>
              <w14:schemeClr w14:val="tx1"/>
            </w14:solidFill>
          </w14:textFill>
        </w:rPr>
        <w:t>2</w:t>
      </w:r>
      <w:r>
        <w:rPr>
          <w:rFonts w:hint="eastAsia" w:ascii="楷体" w:hAnsi="楷体" w:eastAsia="楷体" w:cs="楷体"/>
          <w:color w:val="000000" w:themeColor="text1"/>
          <w:sz w:val="30"/>
          <w:szCs w:val="30"/>
          <w:highlight w:val="none"/>
          <w14:textFill>
            <w14:solidFill>
              <w14:schemeClr w14:val="tx1"/>
            </w14:solidFill>
          </w14:textFill>
        </w:rPr>
        <w:t>；</w:t>
      </w:r>
    </w:p>
    <w:p w14:paraId="23CDB31B">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6.分析检出限：ppm级（其测试下限最高可以达到1ppm）；</w:t>
      </w:r>
    </w:p>
    <w:p w14:paraId="2847EB6D">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7.X荧光光管：钨靶材；</w:t>
      </w:r>
    </w:p>
    <w:p w14:paraId="7644B4DA">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8.重复性：0.3‰；</w:t>
      </w:r>
    </w:p>
    <w:p w14:paraId="7EF90A86">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9.长期工作稳定性: 0.5‰ (含量960‰以上)；</w:t>
      </w:r>
    </w:p>
    <w:p w14:paraId="57913357">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10.测量时间：5s～200s（可自行设定调节）；</w:t>
      </w:r>
    </w:p>
    <w:p w14:paraId="04E7685A">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11.可调滤光片：≥5种（需提供实物照片）；</w:t>
      </w:r>
    </w:p>
    <w:p w14:paraId="56D531B9">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12.准直器：不少于8种，可自动切换，其中准直器最小直径≤0.3mm，最大直径≥7mm，以满足各种尺寸样品测试要求（需提供各种实物照片）；</w:t>
      </w:r>
    </w:p>
    <w:p w14:paraId="14C45BFC">
      <w:pPr>
        <w:spacing w:line="360" w:lineRule="auto"/>
        <w:ind w:firstLine="602"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13</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样品腔尺寸：≥400mm×300mm×90mm；</w:t>
      </w:r>
    </w:p>
    <w:p w14:paraId="56154453">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14.摄像头：CDD工业级高清晰摄像头；</w:t>
      </w:r>
    </w:p>
    <w:p w14:paraId="1EBE8A93">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15.测量镀层厚度：≥8μm (测量精度±5%)；</w:t>
      </w:r>
    </w:p>
    <w:p w14:paraId="171FBB2A">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16.有开盖测试功能，采用手动二维移动平台；</w:t>
      </w:r>
    </w:p>
    <w:p w14:paraId="373DF330">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w:t>
      </w:r>
      <w:r>
        <w:rPr>
          <w:rFonts w:hint="eastAsia" w:ascii="楷体" w:hAnsi="楷体" w:eastAsia="楷体" w:cs="楷体"/>
          <w:color w:val="000000" w:themeColor="text1"/>
          <w:sz w:val="30"/>
          <w:szCs w:val="30"/>
          <w:highlight w:val="none"/>
          <w:lang w:val="en-US"/>
          <w14:textFill>
            <w14:solidFill>
              <w14:schemeClr w14:val="tx1"/>
            </w14:solidFill>
          </w14:textFill>
        </w:rPr>
        <w:t>7</w:t>
      </w:r>
      <w:r>
        <w:rPr>
          <w:rFonts w:hint="eastAsia" w:ascii="楷体" w:hAnsi="楷体" w:eastAsia="楷体" w:cs="楷体"/>
          <w:color w:val="000000" w:themeColor="text1"/>
          <w:sz w:val="30"/>
          <w:szCs w:val="30"/>
          <w:highlight w:val="none"/>
          <w14:textFill>
            <w14:solidFill>
              <w14:schemeClr w14:val="tx1"/>
            </w14:solidFill>
          </w14:textFill>
        </w:rPr>
        <w:t>.制冷方式：电制冷，无需液氮制冷，可常温保存，适用于贵金属产品测试；</w:t>
      </w:r>
    </w:p>
    <w:p w14:paraId="539D9559">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w:t>
      </w:r>
      <w:r>
        <w:rPr>
          <w:rFonts w:hint="eastAsia" w:ascii="楷体" w:hAnsi="楷体" w:eastAsia="楷体" w:cs="楷体"/>
          <w:color w:val="000000" w:themeColor="text1"/>
          <w:sz w:val="30"/>
          <w:szCs w:val="30"/>
          <w:highlight w:val="none"/>
          <w:lang w:val="en-US"/>
          <w14:textFill>
            <w14:solidFill>
              <w14:schemeClr w14:val="tx1"/>
            </w14:solidFill>
          </w14:textFill>
        </w:rPr>
        <w:t>8</w:t>
      </w:r>
      <w:r>
        <w:rPr>
          <w:rFonts w:hint="eastAsia" w:ascii="楷体" w:hAnsi="楷体" w:eastAsia="楷体" w:cs="楷体"/>
          <w:color w:val="000000" w:themeColor="text1"/>
          <w:sz w:val="30"/>
          <w:szCs w:val="30"/>
          <w:highlight w:val="none"/>
          <w14:textFill>
            <w14:solidFill>
              <w14:schemeClr w14:val="tx1"/>
            </w14:solidFill>
          </w14:textFill>
        </w:rPr>
        <w:t>.配备操作软件要求: 贵金属成分分析软件；镀层成分分析软件（可分析常见贵金属镀层厚度，可分析至少4-5层,含铜镀金、银镀金曲线）；贵金属有害元素分析软件（可分析常见贵金属中含有的Cr、Hg、Pb、Br、Cd这几种重金属元素）。软件拥有自主使用权，并承诺后期能提供免费升级更新（提供拥有自主使用权证明材料和提供免费升级更新的承诺书）。贵金属成分分析软件中要有能测试镀层厚度模块功能，镀层厚度测试模块中要有测试贵金属模块功能，且可以自由切换；</w:t>
      </w:r>
    </w:p>
    <w:p w14:paraId="6B434E0A">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19</w:t>
      </w:r>
      <w:r>
        <w:rPr>
          <w:rFonts w:hint="eastAsia" w:ascii="楷体" w:hAnsi="楷体" w:eastAsia="楷体" w:cs="楷体"/>
          <w:color w:val="000000" w:themeColor="text1"/>
          <w:sz w:val="30"/>
          <w:szCs w:val="30"/>
          <w:highlight w:val="none"/>
          <w14:textFill>
            <w14:solidFill>
              <w14:schemeClr w14:val="tx1"/>
            </w14:solidFill>
          </w14:textFill>
        </w:rPr>
        <w:t>.操作软件定性分析要求：有智能模式，可以测试常见珠宝玉石（翡翠、钻石、玻璃等物质）的杂质含量，做到定性半定量，显示测量数据，还可以对部分宝石进行辨别（如能区分钻石和合成立方氧化锆、人工处理绿松石和天然绿松石、海水珍珠和淡水珍珠等）；</w:t>
      </w:r>
    </w:p>
    <w:p w14:paraId="203191EC">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lang w:val="en-US"/>
          <w14:textFill>
            <w14:solidFill>
              <w14:schemeClr w14:val="tx1"/>
            </w14:solidFill>
          </w14:textFill>
        </w:rPr>
        <w:t>20.贵金属软件应具备对常见掺假元素超标或疑似包金电镀样品的识别和数据提示功能（提供软件截图证明）；</w:t>
      </w:r>
    </w:p>
    <w:p w14:paraId="6BD27496">
      <w:pPr>
        <w:pStyle w:val="8"/>
        <w:adjustRightInd w:val="0"/>
        <w:snapToGrid w:val="0"/>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2</w:t>
      </w:r>
      <w:r>
        <w:rPr>
          <w:rFonts w:hint="eastAsia" w:ascii="楷体" w:hAnsi="楷体" w:eastAsia="楷体" w:cs="楷体"/>
          <w:color w:val="000000" w:themeColor="text1"/>
          <w:sz w:val="30"/>
          <w:szCs w:val="30"/>
          <w:highlight w:val="none"/>
          <w:lang w:val="en-US"/>
          <w14:textFill>
            <w14:solidFill>
              <w14:schemeClr w14:val="tx1"/>
            </w14:solidFill>
          </w14:textFill>
        </w:rPr>
        <w:t>1</w:t>
      </w:r>
      <w:r>
        <w:rPr>
          <w:rFonts w:hint="eastAsia" w:ascii="楷体" w:hAnsi="楷体" w:eastAsia="楷体" w:cs="楷体"/>
          <w:color w:val="000000" w:themeColor="text1"/>
          <w:sz w:val="30"/>
          <w:szCs w:val="30"/>
          <w:highlight w:val="none"/>
          <w14:textFill>
            <w14:solidFill>
              <w14:schemeClr w14:val="tx1"/>
            </w14:solidFill>
          </w14:textFill>
        </w:rPr>
        <w:t>.具备测试金包银镀层厚度以及同时测出底材材质成分的功能（提供软件相关功能截图）。</w:t>
      </w:r>
    </w:p>
    <w:p w14:paraId="28AA08FE">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1：技术规格和要求必须逐条响应（符合或偏离），若指标项存在正、负偏离的均应详细说明，存在细微偏离，但评标委员会认定不影响招标人实际使用功能和效果的，可视为响应。投标人须如实填写技术偏离表，确保内容的真实性和准确性。若在评审时被评标委员会认定为虚假陈述，按投标无效处理；提供虚假材料谋取成交的，将被取消中标资格。</w:t>
      </w:r>
    </w:p>
    <w:p w14:paraId="15C024F0">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2：标“★”条款的技术参数：投标人除了在《技术参数响应及偏离表》中详细说明外，还须提供招标文件“采购需求”中明确要求的相关证明材料作为评分依据；如果招标文件采购需求中没有明确要求证明材料的，投标人可以提供制造商的相关证明材料佐证，如：制造商公开发布正式印刷的产品样本、有技术参数的产品彩页说明、原厂说明书截图、数据报告，或由有关政府部门或国家确定的机构出具的检定证书或检测报告等相关证明材料,以便于评标委员会正确评判，并自行承担偏离所产生的风险。</w:t>
      </w:r>
    </w:p>
    <w:p w14:paraId="5C2D8913">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投标人应在《技术参数响应及偏离表》“页码”一栏填写标★、非标★条款技术参数证明材料的页码位置，并以明显方式标明，以便于评标委员会正确评判，如因标示不清导致无法查找，投标人自行承担偏离所产生的风险。</w:t>
      </w:r>
    </w:p>
    <w:p w14:paraId="2CE0F8E2">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注3：技术要求中如出现具体产品的品牌、型号、参数等，仅供投标人更好地理解招标人对设备的需求，不能理解为唯一指定，只要优或相当于其技术参数及功能要求的，均可视为响应。</w:t>
      </w:r>
    </w:p>
    <w:p w14:paraId="34588398">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注4：投标人投标的设备应符合国家对于相关设备的生产、销售、检验的标准和规定，符合行业主管部门的规定。</w:t>
      </w:r>
    </w:p>
    <w:p w14:paraId="621FD3D9">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注5：“★”号项参数为实质性要求，负偏离为无效响应；</w:t>
      </w:r>
    </w:p>
    <w:p w14:paraId="6DB034A4">
      <w:pPr>
        <w:pStyle w:val="8"/>
        <w:adjustRightInd w:val="0"/>
        <w:snapToGrid w:val="0"/>
        <w:ind w:firstLine="1205" w:firstLineChars="4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非“★”号项参数为一般参数要求，负偏离在评分中可以扣分。</w:t>
      </w:r>
    </w:p>
    <w:p w14:paraId="129BE4EB">
      <w:pPr>
        <w:spacing w:line="360" w:lineRule="auto"/>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以上参数均需要提供参数证明材料。</w:t>
      </w:r>
    </w:p>
    <w:p w14:paraId="5B0976AF">
      <w:pPr>
        <w:pStyle w:val="8"/>
        <w:adjustRightInd w:val="0"/>
        <w:snapToGrid w:val="0"/>
        <w:ind w:firstLine="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三</w:t>
      </w:r>
      <w:r>
        <w:rPr>
          <w:rFonts w:hint="eastAsia" w:ascii="楷体" w:hAnsi="楷体" w:eastAsia="楷体" w:cs="楷体"/>
          <w:b/>
          <w:bCs/>
          <w:color w:val="000000" w:themeColor="text1"/>
          <w:sz w:val="30"/>
          <w:szCs w:val="30"/>
          <w:highlight w:val="none"/>
          <w14:textFill>
            <w14:solidFill>
              <w14:schemeClr w14:val="tx1"/>
            </w14:solidFill>
          </w14:textFill>
        </w:rPr>
        <w:t>）拟实现功能或目标</w:t>
      </w:r>
    </w:p>
    <w:p w14:paraId="2C6F173A">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符合国标GB/T 18043-2013《首饰 贵金属含量的测定 X射线荧光光谱法》中检测仪器的要求。</w:t>
      </w:r>
    </w:p>
    <w:p w14:paraId="5001A899">
      <w:pPr>
        <w:spacing w:line="360" w:lineRule="auto"/>
        <w:rPr>
          <w:rFonts w:ascii="楷体" w:hAnsi="楷体" w:eastAsia="楷体" w:cs="楷体"/>
          <w:b/>
          <w:bCs/>
          <w:color w:val="000000" w:themeColor="text1"/>
          <w:sz w:val="30"/>
          <w:szCs w:val="30"/>
          <w:highlight w:val="none"/>
          <w14:textFill>
            <w14:solidFill>
              <w14:schemeClr w14:val="tx1"/>
            </w14:solidFill>
          </w14:textFill>
        </w:rPr>
      </w:pPr>
    </w:p>
    <w:p w14:paraId="54595133">
      <w:pPr>
        <w:spacing w:line="360" w:lineRule="auto"/>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br w:type="page"/>
      </w:r>
    </w:p>
    <w:p w14:paraId="0B5A6B46">
      <w:pPr>
        <w:spacing w:line="360" w:lineRule="auto"/>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采购包</w:t>
      </w:r>
      <w:r>
        <w:rPr>
          <w:rFonts w:hint="eastAsia" w:ascii="楷体" w:hAnsi="楷体" w:eastAsia="楷体" w:cs="楷体"/>
          <w:b/>
          <w:bCs/>
          <w:color w:val="000000" w:themeColor="text1"/>
          <w:sz w:val="30"/>
          <w:szCs w:val="30"/>
          <w:highlight w:val="none"/>
          <w:lang w:val="en-US"/>
          <w14:textFill>
            <w14:solidFill>
              <w14:schemeClr w14:val="tx1"/>
            </w14:solidFill>
          </w14:textFill>
        </w:rPr>
        <w:t>7</w:t>
      </w: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电子万能材料试验机</w:t>
      </w:r>
    </w:p>
    <w:p w14:paraId="4ACDC1F9">
      <w:pPr>
        <w:pStyle w:val="3"/>
        <w:adjustRightInd w:val="0"/>
        <w:snapToGrid w:val="0"/>
        <w:spacing w:line="360" w:lineRule="auto"/>
        <w:ind w:firstLine="0"/>
        <w:outlineLvl w:val="1"/>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（一）项目背景</w:t>
      </w:r>
    </w:p>
    <w:p w14:paraId="74E8FBFC">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万能材料试验机是一种功能全面、精度稳定、适配性强的材料力学性能检测设备，基于静态载荷施加与形变测量原理，通过对试样施加可控的拉力、压力、弯曲力等不同载荷，对载荷大小、形变位移、加载速度进行精准采集，实现各类材料力学性能的定性验证与定量测算。设备主要由高刚性加载框架、传动加载系统、测量传感单元、适配夹具及数据处理分析系统组成，无需复杂样品前处理，操作流程标准化，检测结果可追溯，是冶金、建材、制造、科研、质检等领域开展材料性能检测的核心设备。</w:t>
      </w:r>
    </w:p>
    <w:p w14:paraId="33144A1A">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与万能材料试验机相关的安全鞋及橡塑材料检测是轻工部门的重要收入来源，同时是关乎生产安全、民生防护、产品质量监管的关键工作，覆盖劳保产品市场监管、安全鞋成品质量核验、轻工制品质量抽检等多类重要场景。单位出具的检测结果，直接关联劳动者职业安全保障、市场公平交易维护、产品合规准入审核、轻工行业质量升级等各类民生与产业事件，检测数据的准确性，不仅体现单位专业公信力，更对安全生产保障、轻工产品质量诚信体系建设具有直接影响。</w:t>
      </w:r>
    </w:p>
    <w:p w14:paraId="2AB4316E">
      <w:pPr>
        <w:pStyle w:val="3"/>
        <w:adjustRightInd w:val="0"/>
        <w:snapToGrid w:val="0"/>
        <w:spacing w:line="360" w:lineRule="auto"/>
        <w:ind w:firstLine="0"/>
        <w:outlineLvl w:val="1"/>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（二）设备技术要求</w:t>
      </w:r>
    </w:p>
    <w:p w14:paraId="425B008A">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1.满足QB/T 2710-2018、QB/T 2711-2005、GB/T 528-2009、GB/T 529-2008、</w:t>
      </w:r>
      <w:r>
        <w:rPr>
          <w:rFonts w:hint="eastAsia" w:ascii="楷体" w:hAnsi="楷体" w:eastAsia="楷体" w:cs="楷体"/>
          <w:bCs/>
          <w:color w:val="000000" w:themeColor="text1"/>
          <w:sz w:val="30"/>
          <w:szCs w:val="30"/>
          <w:highlight w:val="none"/>
          <w14:textFill>
            <w14:solidFill>
              <w14:schemeClr w14:val="tx1"/>
            </w14:solidFill>
          </w14:textFill>
        </w:rPr>
        <w:t>GB/T 9341-2008</w:t>
      </w:r>
      <w:r>
        <w:rPr>
          <w:rFonts w:hint="eastAsia" w:ascii="楷体" w:hAnsi="楷体" w:eastAsia="楷体" w:cs="楷体"/>
          <w:color w:val="000000" w:themeColor="text1"/>
          <w:sz w:val="30"/>
          <w:szCs w:val="30"/>
          <w:highlight w:val="none"/>
          <w14:textFill>
            <w14:solidFill>
              <w14:schemeClr w14:val="tx1"/>
            </w14:solidFill>
          </w14:textFill>
        </w:rPr>
        <w:t>、GB/T 1041-2008、GB/T 20991（保护包头耐压力性、刺穿垫抗刺穿性、鞋座区域能量吸收、鞋帮外底结合强度、外底中间层结合强度）、GB/T 1040系列塑料拉伸性能标准等标准检测要求，并具备相应的试验夹具。</w:t>
      </w:r>
    </w:p>
    <w:p w14:paraId="44917F00">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2.力量传感器个数及容量：2kN传感器1个（拉力方向），20kN传感器1个（压力方向）；</w:t>
      </w:r>
    </w:p>
    <w:p w14:paraId="0E769F21">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3.可多单位切换：如kgf、lbf、N、kN、Pa、kPa、MPa等；</w:t>
      </w:r>
    </w:p>
    <w:p w14:paraId="5FC31629">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4.试验机等级：0.5级；</w:t>
      </w:r>
    </w:p>
    <w:p w14:paraId="0BF7D6F2">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5.力量分辨率：不低于1/500000 FS，全程不分档且分辨率不变；</w:t>
      </w:r>
    </w:p>
    <w:p w14:paraId="6CFEA22C">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6.力量放大倍率：无段自动放大；</w:t>
      </w:r>
    </w:p>
    <w:p w14:paraId="1D22EEBB">
      <w:pPr>
        <w:spacing w:line="360" w:lineRule="auto"/>
        <w:ind w:firstLine="602"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lang w:val="en-US"/>
          <w14:textFill>
            <w14:solidFill>
              <w14:schemeClr w14:val="tx1"/>
            </w14:solidFill>
          </w14:textFill>
        </w:rPr>
        <w:t>7.</w:t>
      </w:r>
      <w:r>
        <w:rPr>
          <w:rFonts w:hint="eastAsia" w:ascii="楷体" w:hAnsi="楷体" w:eastAsia="楷体" w:cs="楷体"/>
          <w:color w:val="000000" w:themeColor="text1"/>
          <w:sz w:val="30"/>
          <w:szCs w:val="30"/>
          <w:highlight w:val="none"/>
          <w14:textFill>
            <w14:solidFill>
              <w14:schemeClr w14:val="tx1"/>
            </w14:solidFill>
          </w14:textFill>
        </w:rPr>
        <w:t>力量测量精度：±0.5%；</w:t>
      </w:r>
    </w:p>
    <w:p w14:paraId="1362D0D9">
      <w:pPr>
        <w:spacing w:line="360" w:lineRule="auto"/>
        <w:ind w:firstLine="602"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lang w:val="en-US"/>
          <w14:textFill>
            <w14:solidFill>
              <w14:schemeClr w14:val="tx1"/>
            </w14:solidFill>
          </w14:textFill>
        </w:rPr>
        <w:t>8.</w:t>
      </w:r>
      <w:r>
        <w:rPr>
          <w:rFonts w:hint="eastAsia" w:ascii="楷体" w:hAnsi="楷体" w:eastAsia="楷体" w:cs="楷体"/>
          <w:color w:val="000000" w:themeColor="text1"/>
          <w:sz w:val="30"/>
          <w:szCs w:val="30"/>
          <w:highlight w:val="none"/>
          <w14:textFill>
            <w14:solidFill>
              <w14:schemeClr w14:val="tx1"/>
            </w14:solidFill>
          </w14:textFill>
        </w:rPr>
        <w:t>机台最大行程（不含夹具）：≥1100mm；</w:t>
      </w:r>
    </w:p>
    <w:p w14:paraId="6653A486">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9.机台有效宽度：≥400mm；</w:t>
      </w:r>
    </w:p>
    <w:p w14:paraId="204E7254">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10.位移分辨率：不低于0.00004mm；</w:t>
      </w:r>
    </w:p>
    <w:p w14:paraId="5210060C">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11.变形示值相对误差：示值的±0.5%范围内；</w:t>
      </w:r>
    </w:p>
    <w:p w14:paraId="75D12A22">
      <w:pPr>
        <w:spacing w:line="360" w:lineRule="auto"/>
        <w:ind w:firstLine="602"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1</w:t>
      </w:r>
      <w:r>
        <w:rPr>
          <w:rFonts w:hint="eastAsia" w:ascii="楷体" w:hAnsi="楷体" w:eastAsia="楷体" w:cs="楷体"/>
          <w:color w:val="000000" w:themeColor="text1"/>
          <w:sz w:val="30"/>
          <w:szCs w:val="30"/>
          <w:highlight w:val="none"/>
          <w:lang w:val="en-US"/>
          <w14:textFill>
            <w14:solidFill>
              <w14:schemeClr w14:val="tx1"/>
            </w14:solidFill>
          </w14:textFill>
        </w:rPr>
        <w:t>2.</w:t>
      </w:r>
      <w:r>
        <w:rPr>
          <w:rFonts w:hint="eastAsia" w:ascii="楷体" w:hAnsi="楷体" w:eastAsia="楷体" w:cs="楷体"/>
          <w:color w:val="000000" w:themeColor="text1"/>
          <w:sz w:val="30"/>
          <w:szCs w:val="30"/>
          <w:highlight w:val="none"/>
          <w14:textFill>
            <w14:solidFill>
              <w14:schemeClr w14:val="tx1"/>
            </w14:solidFill>
          </w14:textFill>
        </w:rPr>
        <w:t>测试速度：0.001～1000mm/min；</w:t>
      </w:r>
    </w:p>
    <w:p w14:paraId="4DB234AE">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13.速度精度：±0.5%；</w:t>
      </w:r>
    </w:p>
    <w:p w14:paraId="6BC2B386">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14.数据采样频率：1000HZ-10000HZ，可任意设置（提供软件功能说明、操作手册或第三方检测报告等证明材料）；</w:t>
      </w:r>
    </w:p>
    <w:p w14:paraId="676D9B02">
      <w:pPr>
        <w:spacing w:line="360" w:lineRule="auto"/>
        <w:ind w:firstLine="602"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1</w:t>
      </w:r>
      <w:r>
        <w:rPr>
          <w:rFonts w:hint="eastAsia" w:ascii="楷体" w:hAnsi="楷体" w:eastAsia="楷体" w:cs="楷体"/>
          <w:color w:val="000000" w:themeColor="text1"/>
          <w:sz w:val="30"/>
          <w:szCs w:val="30"/>
          <w:highlight w:val="none"/>
          <w:lang w:val="en-US"/>
          <w14:textFill>
            <w14:solidFill>
              <w14:schemeClr w14:val="tx1"/>
            </w14:solidFill>
          </w14:textFill>
        </w:rPr>
        <w:t>5.</w:t>
      </w:r>
      <w:r>
        <w:rPr>
          <w:rFonts w:hint="eastAsia" w:ascii="楷体" w:hAnsi="楷体" w:eastAsia="楷体" w:cs="楷体"/>
          <w:color w:val="000000" w:themeColor="text1"/>
          <w:sz w:val="30"/>
          <w:szCs w:val="30"/>
          <w:highlight w:val="none"/>
          <w14:textFill>
            <w14:solidFill>
              <w14:schemeClr w14:val="tx1"/>
            </w14:solidFill>
          </w14:textFill>
        </w:rPr>
        <w:t>试验力测量范围：0.2%～100%FS；</w:t>
      </w:r>
    </w:p>
    <w:p w14:paraId="7AE15AA1">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16.变形测量范围：0.20%～100%FS；</w:t>
      </w:r>
    </w:p>
    <w:p w14:paraId="00174CE5">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 xml:space="preserve">    1</w:t>
      </w:r>
      <w:r>
        <w:rPr>
          <w:rFonts w:hint="eastAsia" w:ascii="楷体" w:hAnsi="楷体" w:eastAsia="楷体" w:cs="楷体"/>
          <w:color w:val="000000" w:themeColor="text1"/>
          <w:sz w:val="30"/>
          <w:szCs w:val="30"/>
          <w:highlight w:val="none"/>
          <w:lang w:val="en-US"/>
          <w14:textFill>
            <w14:solidFill>
              <w14:schemeClr w14:val="tx1"/>
            </w14:solidFill>
          </w14:textFill>
        </w:rPr>
        <w:t>7.</w:t>
      </w:r>
      <w:r>
        <w:rPr>
          <w:rFonts w:hint="eastAsia" w:ascii="楷体" w:hAnsi="楷体" w:eastAsia="楷体" w:cs="楷体"/>
          <w:color w:val="000000" w:themeColor="text1"/>
          <w:sz w:val="30"/>
          <w:szCs w:val="30"/>
          <w:highlight w:val="none"/>
          <w14:textFill>
            <w14:solidFill>
              <w14:schemeClr w14:val="tx1"/>
            </w14:solidFill>
          </w14:textFill>
        </w:rPr>
        <w:t>恒力、恒变形、恒位移控制范围：0.50%～100%FS；</w:t>
      </w:r>
    </w:p>
    <w:p w14:paraId="10F33AA5">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 xml:space="preserve">    1</w:t>
      </w:r>
      <w:r>
        <w:rPr>
          <w:rFonts w:hint="eastAsia" w:ascii="楷体" w:hAnsi="楷体" w:eastAsia="楷体" w:cs="楷体"/>
          <w:color w:val="000000" w:themeColor="text1"/>
          <w:sz w:val="30"/>
          <w:szCs w:val="30"/>
          <w:highlight w:val="none"/>
          <w:lang w:val="en-US"/>
          <w14:textFill>
            <w14:solidFill>
              <w14:schemeClr w14:val="tx1"/>
            </w14:solidFill>
          </w14:textFill>
        </w:rPr>
        <w:t>8.</w:t>
      </w:r>
      <w:r>
        <w:rPr>
          <w:rFonts w:hint="eastAsia" w:ascii="楷体" w:hAnsi="楷体" w:eastAsia="楷体" w:cs="楷体"/>
          <w:color w:val="000000" w:themeColor="text1"/>
          <w:sz w:val="30"/>
          <w:szCs w:val="30"/>
          <w:highlight w:val="none"/>
          <w14:textFill>
            <w14:solidFill>
              <w14:schemeClr w14:val="tx1"/>
            </w14:solidFill>
          </w14:textFill>
        </w:rPr>
        <w:t>机台应分级管理：机台软件可设置管理员、多用户权限管理，方便管理，互不干扰（提供软件功能说明、操作手册或第三方检测报告等证明材料）；</w:t>
      </w:r>
    </w:p>
    <w:p w14:paraId="45371A4E">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 xml:space="preserve">    1</w:t>
      </w:r>
      <w:r>
        <w:rPr>
          <w:rFonts w:hint="eastAsia" w:ascii="楷体" w:hAnsi="楷体" w:eastAsia="楷体" w:cs="楷体"/>
          <w:color w:val="000000" w:themeColor="text1"/>
          <w:sz w:val="30"/>
          <w:szCs w:val="30"/>
          <w:highlight w:val="none"/>
          <w:lang w:val="en-US"/>
          <w14:textFill>
            <w14:solidFill>
              <w14:schemeClr w14:val="tx1"/>
            </w14:solidFill>
          </w14:textFill>
        </w:rPr>
        <w:t>9.</w:t>
      </w:r>
      <w:r>
        <w:rPr>
          <w:rFonts w:hint="eastAsia" w:ascii="楷体" w:hAnsi="楷体" w:eastAsia="楷体" w:cs="楷体"/>
          <w:color w:val="000000" w:themeColor="text1"/>
          <w:sz w:val="30"/>
          <w:szCs w:val="30"/>
          <w:highlight w:val="none"/>
          <w14:textFill>
            <w14:solidFill>
              <w14:schemeClr w14:val="tx1"/>
            </w14:solidFill>
          </w14:textFill>
        </w:rPr>
        <w:t>具备多点力量校正（5-35点，可任意设置），保证测试结果的准确性（提供软件功能说明、操作手册或第三方检测报告等证明材料）；</w:t>
      </w:r>
    </w:p>
    <w:p w14:paraId="78674FBA">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 xml:space="preserve">    2</w:t>
      </w:r>
      <w:r>
        <w:rPr>
          <w:rFonts w:hint="eastAsia" w:ascii="楷体" w:hAnsi="楷体" w:eastAsia="楷体" w:cs="楷体"/>
          <w:color w:val="000000" w:themeColor="text1"/>
          <w:sz w:val="30"/>
          <w:szCs w:val="30"/>
          <w:highlight w:val="none"/>
          <w:lang w:val="en-US"/>
          <w14:textFill>
            <w14:solidFill>
              <w14:schemeClr w14:val="tx1"/>
            </w14:solidFill>
          </w14:textFill>
        </w:rPr>
        <w:t>0.</w:t>
      </w:r>
      <w:r>
        <w:rPr>
          <w:rFonts w:hint="eastAsia" w:ascii="楷体" w:hAnsi="楷体" w:eastAsia="楷体" w:cs="楷体"/>
          <w:color w:val="000000" w:themeColor="text1"/>
          <w:sz w:val="30"/>
          <w:szCs w:val="30"/>
          <w:highlight w:val="none"/>
          <w14:textFill>
            <w14:solidFill>
              <w14:schemeClr w14:val="tx1"/>
            </w14:solidFill>
          </w14:textFill>
        </w:rPr>
        <w:t>采用结构化设计，能够智能诊断故障，维护方便；</w:t>
      </w:r>
    </w:p>
    <w:p w14:paraId="70841DCA">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 xml:space="preserve">    21</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机器有力值超负荷和位移超行程自我检测和保护功能，有效降低人为失误造成的损坏（提供软件功能说明、操作手册或第三方检测报告等证明材料）；</w:t>
      </w:r>
    </w:p>
    <w:p w14:paraId="4F20423C">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 xml:space="preserve">    22</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具备碰撞保护功能，横梁快速移动时（如设定500mm/min）发生碰撞，系统能自动停止横梁移动并立即反向制动，防止设备和试样的损坏（需提供具备相应功能承诺书）；</w:t>
      </w:r>
    </w:p>
    <w:p w14:paraId="72918E7E">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 xml:space="preserve">    23</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具备根据不同材料种类自由设置断裂敏感度数值功能，保证测试结果的准确性（提供软件功能说明、操作手册或第三方检测报告等证明材料）；</w:t>
      </w:r>
    </w:p>
    <w:p w14:paraId="139CCE5E">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 xml:space="preserve">    24</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有独立的操作软件，至少应包含所列标准有独立的可选择操作程序，操作者可依据其他标准或要求自行编辑和保存操作程序，和设定具体的试验参数，可依据自身需求修改测试方法和试验报告；</w:t>
      </w:r>
    </w:p>
    <w:p w14:paraId="42B76A38">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 xml:space="preserve">    25</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软件具备取任意点功能：有取任意点功能，可自由定义侦测任意非特征点的数据（提供软件功能说明、操作手册或第三方检测报告等证明材料）；</w:t>
      </w:r>
    </w:p>
    <w:p w14:paraId="23764E09">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 xml:space="preserve">    26</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软件采用模块化的软件设计，测试过程中可查看历史测试数据；</w:t>
      </w:r>
    </w:p>
    <w:p w14:paraId="4D3A83FF">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 xml:space="preserve">    27</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承诺后期能提供免费软件升级更新服务（提供承诺书）；</w:t>
      </w:r>
    </w:p>
    <w:p w14:paraId="2AF6B2FC">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 xml:space="preserve">    28</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配置要求：至少包含主机1台，20KN传感器1套、2KN传感器1套、计算机1套，软件系统1套、防碰撞保护系统1套、大变形引伸计1套、楔形夹具1套、气压双作动平面夹具1套、压盘1套、穿刺夹具1套、弯曲夹具1套、拉力机底座1个。</w:t>
      </w:r>
    </w:p>
    <w:p w14:paraId="28B4CBAE">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1：技术规格和要求必须逐条响应（符合或偏离），若指标项存在正、负偏离的均应详细说明，存在细微偏离，但评标委员会认定不影响招标人实际使用功能和效果的，可视为响应。投标人须如实填写技术偏离表，确保内容的真实性和准确性。若在评审时被评标委员会认定为虚假陈述，按投标无效处理；提供虚假材料谋取成交的，将被取消中标资格。</w:t>
      </w:r>
    </w:p>
    <w:p w14:paraId="2D335342">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2：标“★”条款的技术参数：投标人除了在《技术参数响应及偏离表》中详细说明外，还须提供招标文件“采购需求”中明确要求的相关证明材料作为评分依据；如果招标文件采购需求中没有明确要求证明材料的，投标人可以提供制造商的相关证明材料佐证，如：制造商公开发布正式印刷的产品样本、有技术参数的产品彩页说明、原厂说明书截图、数据报告，或由有关政府部门或国家确定的机构出具的检定证书或检测报告等相关证明材料,以便于评标委员会正确评判，并自行承担偏离所产生的风险。</w:t>
      </w:r>
    </w:p>
    <w:p w14:paraId="3592EDDD">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投标人应在《技术参数响应及偏离表》“页码”一栏填写标★、非标★条款技术参数证明材料的页码位置，并以明显方式标明，以便于评标委员会正确评判，如因标示不清导致无法查找，投标人自行承担偏离所产生的风险。</w:t>
      </w:r>
    </w:p>
    <w:p w14:paraId="16FDF5FD">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注3：技术要求中如出现具体产品的品牌、型号、参数等，仅供投标人更好地理解招标人对设备的需求，不能理解为唯一指定，只要优或相当于其技术参数及功能要求的，均可视为响应。</w:t>
      </w:r>
    </w:p>
    <w:p w14:paraId="2B430D63">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注4：投标人投标的设备应符合国家对于相关设备的生产、销售、检验的标准和规定，符合行业主管部门的规定。</w:t>
      </w:r>
    </w:p>
    <w:p w14:paraId="05B35A92">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注5：“★”号项参数为实质性要求，负偏离为无效响应；</w:t>
      </w:r>
    </w:p>
    <w:p w14:paraId="3F91FA85">
      <w:pPr>
        <w:pStyle w:val="8"/>
        <w:adjustRightInd w:val="0"/>
        <w:snapToGrid w:val="0"/>
        <w:ind w:firstLine="1205" w:firstLineChars="4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非“★”号项参数为一般参数要求，负偏离在评分中可以扣分。</w:t>
      </w:r>
    </w:p>
    <w:p w14:paraId="7DC5870C">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以上参数均需要提供参数证明材料。</w:t>
      </w:r>
    </w:p>
    <w:p w14:paraId="3B291DD2">
      <w:pPr>
        <w:pStyle w:val="8"/>
        <w:adjustRightInd w:val="0"/>
        <w:snapToGrid w:val="0"/>
        <w:ind w:firstLine="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三</w:t>
      </w:r>
      <w:r>
        <w:rPr>
          <w:rFonts w:hint="eastAsia" w:ascii="楷体" w:hAnsi="楷体" w:eastAsia="楷体" w:cs="楷体"/>
          <w:b/>
          <w:bCs/>
          <w:color w:val="000000" w:themeColor="text1"/>
          <w:sz w:val="30"/>
          <w:szCs w:val="30"/>
          <w:highlight w:val="none"/>
          <w14:textFill>
            <w14:solidFill>
              <w14:schemeClr w14:val="tx1"/>
            </w14:solidFill>
          </w14:textFill>
        </w:rPr>
        <w:t>）拟实现功能或目标</w:t>
      </w:r>
    </w:p>
    <w:p w14:paraId="16914560">
      <w:pPr>
        <w:pStyle w:val="8"/>
        <w:adjustRightInd w:val="0"/>
        <w:snapToGrid w:val="0"/>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满足QB/T 2710-2018、QB/T 2711-2005、GB/T 528-2009、GB/T 529-2008、GB/T 9341-2008、GB/T 1041-2008、GB/T 20991（保护包头耐压力性、刺穿垫抗刺穿性、鞋座区域能量吸收、鞋帮外底结合强度、外底中间层结合强度）、GB/T 1040系列塑料拉伸性能标准等标准检测要求，并具备相应的试验夹具。</w:t>
      </w:r>
    </w:p>
    <w:p w14:paraId="79B5B972">
      <w:pPr>
        <w:pStyle w:val="8"/>
        <w:adjustRightInd w:val="0"/>
        <w:snapToGrid w:val="0"/>
        <w:ind w:firstLine="600" w:firstLineChars="200"/>
        <w:rPr>
          <w:rFonts w:ascii="楷体" w:hAnsi="楷体" w:eastAsia="楷体" w:cs="楷体"/>
          <w:color w:val="000000" w:themeColor="text1"/>
          <w:sz w:val="30"/>
          <w:szCs w:val="30"/>
          <w:highlight w:val="none"/>
          <w14:textFill>
            <w14:solidFill>
              <w14:schemeClr w14:val="tx1"/>
            </w14:solidFill>
          </w14:textFill>
        </w:rPr>
      </w:pPr>
    </w:p>
    <w:p w14:paraId="6693AC44">
      <w:pPr>
        <w:spacing w:line="360" w:lineRule="auto"/>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br w:type="page"/>
      </w:r>
    </w:p>
    <w:p w14:paraId="2B434D10">
      <w:pPr>
        <w:pStyle w:val="8"/>
        <w:adjustRightInd w:val="0"/>
        <w:snapToGrid w:val="0"/>
        <w:ind w:firstLine="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采购包</w:t>
      </w:r>
      <w:r>
        <w:rPr>
          <w:rFonts w:hint="eastAsia" w:ascii="楷体" w:hAnsi="楷体" w:eastAsia="楷体" w:cs="楷体"/>
          <w:b/>
          <w:bCs/>
          <w:color w:val="000000" w:themeColor="text1"/>
          <w:sz w:val="30"/>
          <w:szCs w:val="30"/>
          <w:highlight w:val="none"/>
          <w:lang w:val="en-US"/>
          <w14:textFill>
            <w14:solidFill>
              <w14:schemeClr w14:val="tx1"/>
            </w14:solidFill>
          </w14:textFill>
        </w:rPr>
        <w:t>8</w:t>
      </w: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单纱强力机、透气性测试仪</w:t>
      </w:r>
    </w:p>
    <w:p w14:paraId="2CFAEA45">
      <w:pPr>
        <w:pStyle w:val="3"/>
        <w:adjustRightInd w:val="0"/>
        <w:snapToGrid w:val="0"/>
        <w:spacing w:line="360" w:lineRule="auto"/>
        <w:ind w:firstLine="0"/>
        <w:outlineLvl w:val="1"/>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（一）单纱强力机项目背景</w:t>
      </w:r>
    </w:p>
    <w:p w14:paraId="4A239DDA">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单纱强力机是一种专门用于纤维纱线断裂强力及断裂伸长率的专用检测设备，纱线的强力大小直接关系到最终织物的强力，从而影响产品使用耐久性。目前中心现有设备为电子单纱强力仪设备（型号：HD021N-12（柜式）），该设备应用年代较长，前期经常保修，目前处于报废状态，所以急需新购一台新设备，能维护好现有资质运行，从而为当地企业提供更好服务。</w:t>
      </w:r>
    </w:p>
    <w:p w14:paraId="6F47482E">
      <w:pPr>
        <w:pStyle w:val="3"/>
        <w:adjustRightInd w:val="0"/>
        <w:snapToGrid w:val="0"/>
        <w:spacing w:line="360" w:lineRule="auto"/>
        <w:ind w:firstLine="0"/>
        <w:outlineLvl w:val="1"/>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（二）单纱强力机设备技术要求</w:t>
      </w:r>
    </w:p>
    <w:p w14:paraId="1F6E3990">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1.应符合GB/T 3916-2013《纺织品 卷装纱 单根纱线断裂强力和断裂伸长率的测定（CRE法）》中检测仪器的要求；</w:t>
      </w:r>
    </w:p>
    <w:p w14:paraId="2EDE1B43">
      <w:pPr>
        <w:pStyle w:val="9"/>
        <w:spacing w:line="360" w:lineRule="auto"/>
        <w:ind w:firstLine="422"/>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2</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预加张力调节范围不低于0～150cN，根据设定值自动施加；</w:t>
      </w:r>
    </w:p>
    <w:p w14:paraId="231C670E">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3.采样频率不低于1000Hz；</w:t>
      </w:r>
    </w:p>
    <w:p w14:paraId="09D6E5D5">
      <w:pPr>
        <w:pStyle w:val="9"/>
        <w:spacing w:line="360" w:lineRule="auto"/>
        <w:ind w:firstLine="422"/>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4</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测力范围不低于0～100N；</w:t>
      </w:r>
    </w:p>
    <w:p w14:paraId="49DE0BA0">
      <w:pPr>
        <w:pStyle w:val="9"/>
        <w:spacing w:line="360" w:lineRule="auto"/>
        <w:ind w:firstLine="422"/>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5</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测力精度不低于≤±0.2%FS；</w:t>
      </w:r>
    </w:p>
    <w:p w14:paraId="3908C7D1">
      <w:pPr>
        <w:pStyle w:val="9"/>
        <w:spacing w:line="360" w:lineRule="auto"/>
        <w:ind w:firstLine="422"/>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6</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拉伸速度不低于20～1000mm/min且可调；</w:t>
      </w:r>
    </w:p>
    <w:p w14:paraId="379A8764">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7</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有效动程不小于800mm ；</w:t>
      </w:r>
    </w:p>
    <w:p w14:paraId="7F3E18F3">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8</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夹持距离至少包含100mm,250 mm,500mm可选择,或自由可设，自动定位，无须人工手动移动(需提供软件操作界面截图或相关佐证资料)；</w:t>
      </w:r>
    </w:p>
    <w:p w14:paraId="3FE947E5">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9</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具有定速拉伸和定时拉伸两种测试模式选择；</w:t>
      </w:r>
    </w:p>
    <w:p w14:paraId="3CF88553">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10</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高清彩色触屏程控，中文菜单操作，主机能直观显示拉伸强力曲线(需提供软件相应界面截图)；</w:t>
      </w:r>
    </w:p>
    <w:p w14:paraId="69D9C5B9">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11</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提供多种统计模式，如：全曲线、单曲线、直方图等，并可自由编辑打印(需提供软件相应界面截图)；</w:t>
      </w:r>
    </w:p>
    <w:p w14:paraId="5D15CC50">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w:t>
      </w:r>
      <w:r>
        <w:rPr>
          <w:rFonts w:hint="eastAsia" w:ascii="楷体" w:hAnsi="楷体" w:eastAsia="楷体" w:cs="楷体"/>
          <w:color w:val="000000" w:themeColor="text1"/>
          <w:sz w:val="30"/>
          <w:szCs w:val="30"/>
          <w:highlight w:val="none"/>
          <w:lang w:val="en-US"/>
          <w14:textFill>
            <w14:solidFill>
              <w14:schemeClr w14:val="tx1"/>
            </w14:solidFill>
          </w14:textFill>
        </w:rPr>
        <w:t>2.</w:t>
      </w:r>
      <w:r>
        <w:rPr>
          <w:rFonts w:hint="eastAsia"/>
          <w:color w:val="000000" w:themeColor="text1"/>
          <w:highlight w:val="none"/>
          <w14:textFill>
            <w14:solidFill>
              <w14:schemeClr w14:val="tx1"/>
            </w14:solidFill>
          </w14:textFill>
        </w:rPr>
        <w:t xml:space="preserve"> </w:t>
      </w:r>
      <w:r>
        <w:rPr>
          <w:rFonts w:hint="eastAsia" w:ascii="楷体" w:hAnsi="楷体" w:eastAsia="楷体" w:cs="楷体"/>
          <w:color w:val="000000" w:themeColor="text1"/>
          <w:sz w:val="30"/>
          <w:szCs w:val="30"/>
          <w:highlight w:val="none"/>
          <w14:textFill>
            <w14:solidFill>
              <w14:schemeClr w14:val="tx1"/>
            </w14:solidFill>
          </w14:textFill>
        </w:rPr>
        <w:t>能连电脑操作，操作软件具有合法、完整知识产权，不得侵犯任何第三方知识产权（需提供有效佐证材料，如软件著作权登记证书、合法授权书或知识产权合规声明等）；</w:t>
      </w:r>
    </w:p>
    <w:p w14:paraId="6C4E1C59">
      <w:pPr>
        <w:pStyle w:val="8"/>
        <w:adjustRightInd w:val="0"/>
        <w:snapToGrid w:val="0"/>
        <w:ind w:firstLine="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三</w:t>
      </w:r>
      <w:r>
        <w:rPr>
          <w:rFonts w:hint="eastAsia" w:ascii="楷体" w:hAnsi="楷体" w:eastAsia="楷体" w:cs="楷体"/>
          <w:b/>
          <w:bCs/>
          <w:color w:val="000000" w:themeColor="text1"/>
          <w:sz w:val="30"/>
          <w:szCs w:val="30"/>
          <w:highlight w:val="none"/>
          <w14:textFill>
            <w14:solidFill>
              <w14:schemeClr w14:val="tx1"/>
            </w14:solidFill>
          </w14:textFill>
        </w:rPr>
        <w:t>）单纱强力机拟实现功能或目标</w:t>
      </w:r>
    </w:p>
    <w:p w14:paraId="2DBCC170">
      <w:pPr>
        <w:pStyle w:val="9"/>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符合GB/T 3916-2013《纺织品 卷装纱 单根纱线断裂强力和断裂伸长率的测定（CRE法）》中检测仪器的要求。</w:t>
      </w:r>
    </w:p>
    <w:p w14:paraId="088DF199">
      <w:pPr>
        <w:pStyle w:val="3"/>
        <w:adjustRightInd w:val="0"/>
        <w:snapToGrid w:val="0"/>
        <w:spacing w:line="360" w:lineRule="auto"/>
        <w:ind w:firstLine="0"/>
        <w:outlineLvl w:val="1"/>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四</w:t>
      </w: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透气性测试仪</w:t>
      </w:r>
      <w:r>
        <w:rPr>
          <w:rFonts w:hint="eastAsia" w:ascii="楷体" w:hAnsi="楷体" w:eastAsia="楷体" w:cs="楷体"/>
          <w:b/>
          <w:bCs/>
          <w:color w:val="000000" w:themeColor="text1"/>
          <w:sz w:val="30"/>
          <w:szCs w:val="30"/>
          <w:highlight w:val="none"/>
          <w14:textFill>
            <w14:solidFill>
              <w14:schemeClr w14:val="tx1"/>
            </w14:solidFill>
          </w14:textFill>
        </w:rPr>
        <w:t>项目背景</w:t>
      </w:r>
    </w:p>
    <w:p w14:paraId="0160A352">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透气性测试仪是纺织服装面料或成品的专用检测设备，透气性的大小影响最终产品的舒适性，甚至影响穿着者的身体健康。目前中心现有设备为数字式织物透气性能测定仪设备（型号：YG(B)461E），该设备应用年代较长，该经常出现启动不了和数据结果波动性大的情况，所以急需新购一台新设备，能维护好现有能力运行，从而为当地企业提供更好服务。</w:t>
      </w:r>
    </w:p>
    <w:p w14:paraId="5A276D67">
      <w:pPr>
        <w:pStyle w:val="3"/>
        <w:adjustRightInd w:val="0"/>
        <w:snapToGrid w:val="0"/>
        <w:spacing w:line="360" w:lineRule="auto"/>
        <w:ind w:firstLine="0"/>
        <w:outlineLvl w:val="1"/>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五</w:t>
      </w: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透气性测试仪</w:t>
      </w:r>
      <w:r>
        <w:rPr>
          <w:rFonts w:hint="eastAsia" w:ascii="楷体" w:hAnsi="楷体" w:eastAsia="楷体" w:cs="楷体"/>
          <w:b/>
          <w:bCs/>
          <w:color w:val="000000" w:themeColor="text1"/>
          <w:sz w:val="30"/>
          <w:szCs w:val="30"/>
          <w:highlight w:val="none"/>
          <w14:textFill>
            <w14:solidFill>
              <w14:schemeClr w14:val="tx1"/>
            </w14:solidFill>
          </w14:textFill>
        </w:rPr>
        <w:t>设备技术要求</w:t>
      </w:r>
    </w:p>
    <w:p w14:paraId="391DE8CB">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1.应符合GB/T 5453-2025《纺织品 织物透气性的测定》中检测仪器的要求；</w:t>
      </w:r>
    </w:p>
    <w:p w14:paraId="28BF9289">
      <w:pPr>
        <w:pStyle w:val="9"/>
        <w:spacing w:line="360" w:lineRule="auto"/>
        <w:ind w:firstLine="422"/>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2</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压力量程可设定范围不小于0.1～4000Pa，且支持该范围任意设定；</w:t>
      </w:r>
    </w:p>
    <w:p w14:paraId="492B3C15">
      <w:pPr>
        <w:pStyle w:val="9"/>
        <w:spacing w:line="360" w:lineRule="auto"/>
        <w:ind w:firstLine="422"/>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3</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可测透气率范围不小于1～10000mm/s，测量误差≤±2％；</w:t>
      </w:r>
    </w:p>
    <w:p w14:paraId="32D4DB0B">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4.单次测量时间≤15秒；</w:t>
      </w:r>
    </w:p>
    <w:p w14:paraId="57CFE084">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5.可测织物厚度范围不小于:0～10mm；</w:t>
      </w:r>
    </w:p>
    <w:p w14:paraId="58E67225">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6.试样压差设定范围不小于0.1～500Pa，压差精度≤1％；</w:t>
      </w:r>
    </w:p>
    <w:p w14:paraId="577DAF33">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7.设备配备两种试样面积(测试头):20cm2、38cm2，系统能自动识别更换的测试头规格，无需手动选定（需提供密封测试头实物照片作为投标资料）；</w:t>
      </w:r>
    </w:p>
    <w:p w14:paraId="1DED4819">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8.采用流量计法高精度透气测试模式，实现全量程智能动态数据采集，具备相应的测试模式使用授权，便于后期升级维护。（</w:t>
      </w:r>
      <w:r>
        <w:rPr>
          <w:rFonts w:ascii="楷体" w:hAnsi="楷体" w:eastAsia="楷体" w:cs="楷体"/>
          <w:color w:val="000000" w:themeColor="text1"/>
          <w:sz w:val="30"/>
          <w:szCs w:val="30"/>
          <w:highlight w:val="none"/>
          <w14:textFill>
            <w14:solidFill>
              <w14:schemeClr w14:val="tx1"/>
            </w14:solidFill>
          </w14:textFill>
        </w:rPr>
        <w:t>软件具备该测试模式功能并提供功能截图或第三方检测报告</w:t>
      </w:r>
      <w:r>
        <w:rPr>
          <w:rFonts w:hint="eastAsia" w:ascii="楷体" w:hAnsi="楷体" w:eastAsia="楷体" w:cs="楷体"/>
          <w:color w:val="000000" w:themeColor="text1"/>
          <w:sz w:val="30"/>
          <w:szCs w:val="30"/>
          <w:highlight w:val="none"/>
          <w14:textFill>
            <w14:solidFill>
              <w14:schemeClr w14:val="tx1"/>
            </w14:solidFill>
          </w14:textFill>
        </w:rPr>
        <w:t>）</w:t>
      </w:r>
    </w:p>
    <w:p w14:paraId="6DB959DE">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9.多种测试单位选择：mm/s、cm³/cm²/s、L/dm²/min、L/m²/s、m³/m²/min、m³/m²/h、ft³/ft²/min等；单位之间自由切换，无需人工换算（需提供多单位切换界面照片）；</w:t>
      </w:r>
    </w:p>
    <w:p w14:paraId="5BF32408">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10.具备一键测试功能，即启动后自动完成整个测试过程，包含试样夹持、松开等动作等，无须人工分步操作；</w:t>
      </w:r>
    </w:p>
    <w:p w14:paraId="09028783">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11.夹持方式：气动柔性夹持；</w:t>
      </w:r>
    </w:p>
    <w:p w14:paraId="64AA1FA6">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12.测试风道应为全密封型，采用多重隔音装置，设备负载运行时的发射声压级噪声应不大于 65 dB(A)，有效隔绝外界干扰，保证测试数据精度，降低设备运行噪音；</w:t>
      </w:r>
    </w:p>
    <w:p w14:paraId="598585A7">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13.具备高清彩色触屏程控，中文、英文系统可选；</w:t>
      </w:r>
    </w:p>
    <w:p w14:paraId="5949C942">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14.内置打印功能，能够完成检测数据打印输出；具备电脑通讯接口，可连接计算机开展设备操作，并实现测试结果的传输与输出；</w:t>
      </w:r>
    </w:p>
    <w:p w14:paraId="2001BF77">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15.具有连续测试模式功能，提高测试效率；</w:t>
      </w:r>
    </w:p>
    <w:p w14:paraId="37D8C771">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16.具有自主知识产权或提供合法知识产权声明，确保技术先进性及后期的升级维护（需提供有效佐证材料或合法知识产权声明）；</w:t>
      </w:r>
    </w:p>
    <w:p w14:paraId="4FA0905F">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17.</w:t>
      </w:r>
      <w:r>
        <w:rPr>
          <w:rFonts w:hint="eastAsia"/>
          <w:color w:val="000000" w:themeColor="text1"/>
          <w:highlight w:val="none"/>
          <w14:textFill>
            <w14:solidFill>
              <w14:schemeClr w14:val="tx1"/>
            </w14:solidFill>
          </w14:textFill>
        </w:rPr>
        <w:t xml:space="preserve"> </w:t>
      </w:r>
      <w:r>
        <w:rPr>
          <w:rFonts w:hint="eastAsia" w:ascii="楷体" w:hAnsi="楷体" w:eastAsia="楷体" w:cs="楷体"/>
          <w:color w:val="000000" w:themeColor="text1"/>
          <w:sz w:val="30"/>
          <w:szCs w:val="30"/>
          <w:highlight w:val="none"/>
          <w14:textFill>
            <w14:solidFill>
              <w14:schemeClr w14:val="tx1"/>
            </w14:solidFill>
          </w14:textFill>
        </w:rPr>
        <w:t>具有配套可连接电脑使用的操作测试软件，软件具备合法、完整知识产权，不得侵犯任何第三方知识产权（需提供有效佐证材料，如软件著作权登记证书、合法授权书或知识产权合规声明等）</w:t>
      </w:r>
    </w:p>
    <w:p w14:paraId="251B39B3">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18.配置要求：至少包含主机1台、静音气泵1台、测试软件1套；</w:t>
      </w:r>
    </w:p>
    <w:p w14:paraId="47036ACC">
      <w:pPr>
        <w:pStyle w:val="8"/>
        <w:adjustRightInd w:val="0"/>
        <w:snapToGrid w:val="0"/>
        <w:ind w:firstLine="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六</w:t>
      </w:r>
      <w:r>
        <w:rPr>
          <w:rFonts w:hint="eastAsia" w:ascii="楷体" w:hAnsi="楷体" w:eastAsia="楷体" w:cs="楷体"/>
          <w:b/>
          <w:bCs/>
          <w:color w:val="000000" w:themeColor="text1"/>
          <w:sz w:val="30"/>
          <w:szCs w:val="30"/>
          <w:highlight w:val="none"/>
          <w14:textFill>
            <w14:solidFill>
              <w14:schemeClr w14:val="tx1"/>
            </w14:solidFill>
          </w14:textFill>
        </w:rPr>
        <w:t>）透气性测试仪拟实现功能或目标</w:t>
      </w:r>
    </w:p>
    <w:p w14:paraId="2F39F2F3">
      <w:pPr>
        <w:spacing w:line="360" w:lineRule="auto"/>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符合GB/T 5453-2025《纺织品 织物透气性的测定》中检测仪器的要求。</w:t>
      </w:r>
    </w:p>
    <w:p w14:paraId="09DFE8EA">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1：技术规格和要求必须逐条响应（符合或偏离），若指标项存在正、负偏离的均应详细说明，存在细微偏离，但评标委员会认定不影响招标人实际使用功能和效果的，可视为响应。投标人须如实填写技术偏离表，确保内容的真实性和准确性。若在评审时被评标委员会认定为虚假陈述，按投标无效处理；提供虚假材料谋取成交的，将被取消中标资格。</w:t>
      </w:r>
    </w:p>
    <w:p w14:paraId="4A67E2F5">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2：标“★”条款的技术参数：投标人除了在《技术参数响应及偏离表》中详细说明外，还须提供招标文件“采购需求”中明确要求的相关证明材料作为评分依据；如果招标文件采购需求中没有明确要求证明材料的，投标人可以提供制造商的相关证明材料佐证，如：制造商公开发布正式印刷的产品样本、有技术参数的产品彩页说明、原厂说明书截图、数据报告，或由有关政府部门或国家确定的机构出具的检定证书或检测报告等相关证明材料,以便于评标委员会正确评判，并自行承担偏离所产生的风险。</w:t>
      </w:r>
    </w:p>
    <w:p w14:paraId="79FF8DE3">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投标人应在《技术参数响应及偏离表》“页码”一栏填写标★、非标★条款技术参数证明材料的页码位置，并以明显方式标明，以便于评标委员会正确评判，如因标示不清导致无法查找，投标人自行承担偏离所产生的风险。</w:t>
      </w:r>
    </w:p>
    <w:p w14:paraId="3EA59768">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注3：技术要求中如出现具体产品的品牌、型号、参数等，仅供投标人更好地理解招标人对设备的需求，不能理解为唯一指定，只要优或相当于其技术参数及功能要求的，均可视为响应。</w:t>
      </w:r>
    </w:p>
    <w:p w14:paraId="4FB970B5">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注4：投标人投标的设备应符合国家对于相关设备的生产、销售、检验的标准和规定，符合行业主管部门的规定。</w:t>
      </w:r>
    </w:p>
    <w:p w14:paraId="1DA104BA">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注5：“★”号项参数为实质性要求，负偏离为无效响应；</w:t>
      </w:r>
    </w:p>
    <w:p w14:paraId="36BD026D">
      <w:pPr>
        <w:pStyle w:val="8"/>
        <w:adjustRightInd w:val="0"/>
        <w:snapToGrid w:val="0"/>
        <w:ind w:firstLine="1205" w:firstLineChars="4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非“★”号项参数为一般参数要求，负偏离在评分中可以扣分。</w:t>
      </w:r>
    </w:p>
    <w:p w14:paraId="0F9BC46A">
      <w:pPr>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以上参数均需要提供参数证明材料。</w:t>
      </w:r>
    </w:p>
    <w:p w14:paraId="17EBE2C3">
      <w:pPr>
        <w:spacing w:line="360" w:lineRule="auto"/>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br w:type="page"/>
      </w:r>
    </w:p>
    <w:p w14:paraId="14A18C60">
      <w:pPr>
        <w:pStyle w:val="7"/>
        <w:spacing w:line="360" w:lineRule="auto"/>
        <w:ind w:firstLine="0"/>
        <w:rPr>
          <w:rFonts w:cs="楷体"/>
          <w:b/>
          <w:bCs/>
          <w:color w:val="000000" w:themeColor="text1"/>
          <w:sz w:val="30"/>
          <w:szCs w:val="30"/>
          <w:highlight w:val="none"/>
          <w14:textFill>
            <w14:solidFill>
              <w14:schemeClr w14:val="tx1"/>
            </w14:solidFill>
          </w14:textFill>
        </w:rPr>
      </w:pPr>
      <w:r>
        <w:rPr>
          <w:rFonts w:hint="eastAsia" w:cs="楷体"/>
          <w:b/>
          <w:bCs/>
          <w:color w:val="000000" w:themeColor="text1"/>
          <w:sz w:val="30"/>
          <w:szCs w:val="30"/>
          <w:highlight w:val="none"/>
          <w14:textFill>
            <w14:solidFill>
              <w14:schemeClr w14:val="tx1"/>
            </w14:solidFill>
          </w14:textFill>
        </w:rPr>
        <w:t>采购包</w:t>
      </w:r>
      <w:r>
        <w:rPr>
          <w:rFonts w:hint="eastAsia" w:cs="楷体"/>
          <w:b/>
          <w:bCs/>
          <w:color w:val="000000" w:themeColor="text1"/>
          <w:sz w:val="30"/>
          <w:szCs w:val="30"/>
          <w:highlight w:val="none"/>
          <w:lang w:val="en-US"/>
          <w14:textFill>
            <w14:solidFill>
              <w14:schemeClr w14:val="tx1"/>
            </w14:solidFill>
          </w14:textFill>
        </w:rPr>
        <w:t>9</w:t>
      </w:r>
      <w:r>
        <w:rPr>
          <w:rFonts w:hint="eastAsia" w:cs="楷体"/>
          <w:b/>
          <w:bCs/>
          <w:color w:val="000000" w:themeColor="text1"/>
          <w:sz w:val="30"/>
          <w:szCs w:val="30"/>
          <w:highlight w:val="none"/>
          <w14:textFill>
            <w14:solidFill>
              <w14:schemeClr w14:val="tx1"/>
            </w14:solidFill>
          </w14:textFill>
        </w:rPr>
        <w:t>：</w:t>
      </w:r>
      <w:r>
        <w:rPr>
          <w:rFonts w:hint="eastAsia" w:cs="楷体"/>
          <w:b/>
          <w:bCs/>
          <w:color w:val="000000" w:themeColor="text1"/>
          <w:sz w:val="30"/>
          <w:szCs w:val="30"/>
          <w:highlight w:val="none"/>
          <w:lang w:val="en-US"/>
          <w14:textFill>
            <w14:solidFill>
              <w14:schemeClr w14:val="tx1"/>
            </w14:solidFill>
          </w14:textFill>
        </w:rPr>
        <w:t>原子吸收光谱仪</w:t>
      </w:r>
    </w:p>
    <w:p w14:paraId="0F746C2F">
      <w:pPr>
        <w:pStyle w:val="3"/>
        <w:adjustRightInd w:val="0"/>
        <w:snapToGrid w:val="0"/>
        <w:spacing w:line="360" w:lineRule="auto"/>
        <w:ind w:firstLine="0"/>
        <w:outlineLvl w:val="1"/>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（一）项目背景</w:t>
      </w:r>
    </w:p>
    <w:p w14:paraId="3F68048D">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原子吸收光谱仪是基于基态原子对特征波长光的选择性吸收进行定量分析的仪器，核心用于检测样品中重金属元素含量，具备灵敏度高、选择性好、精密度优的特点，广泛应用于纺织、化工、食品、轻工等领域，我中心主要用于在</w:t>
      </w:r>
      <w:r>
        <w:rPr>
          <w:rFonts w:hint="eastAsia" w:ascii="楷体" w:hAnsi="楷体" w:eastAsia="楷体" w:cs="楷体"/>
          <w:bCs/>
          <w:color w:val="000000" w:themeColor="text1"/>
          <w:sz w:val="30"/>
          <w:szCs w:val="30"/>
          <w:highlight w:val="none"/>
          <w14:textFill>
            <w14:solidFill>
              <w14:schemeClr w14:val="tx1"/>
            </w14:solidFill>
          </w14:textFill>
        </w:rPr>
        <w:t>纺织服装、皮革、家具、化工产品</w:t>
      </w:r>
      <w:r>
        <w:rPr>
          <w:rFonts w:hint="eastAsia" w:ascii="楷体" w:hAnsi="楷体" w:eastAsia="楷体" w:cs="楷体"/>
          <w:color w:val="000000" w:themeColor="text1"/>
          <w:sz w:val="30"/>
          <w:szCs w:val="30"/>
          <w:highlight w:val="none"/>
          <w14:textFill>
            <w14:solidFill>
              <w14:schemeClr w14:val="tx1"/>
            </w14:solidFill>
          </w14:textFill>
        </w:rPr>
        <w:t>做</w:t>
      </w:r>
      <w:r>
        <w:rPr>
          <w:rFonts w:hint="eastAsia" w:ascii="楷体" w:hAnsi="楷体" w:eastAsia="楷体" w:cs="楷体"/>
          <w:bCs/>
          <w:color w:val="000000" w:themeColor="text1"/>
          <w:sz w:val="30"/>
          <w:szCs w:val="30"/>
          <w:highlight w:val="none"/>
          <w14:textFill>
            <w14:solidFill>
              <w14:schemeClr w14:val="tx1"/>
            </w14:solidFill>
          </w14:textFill>
        </w:rPr>
        <w:t>可萃取 / 可溶性重金属</w:t>
      </w:r>
      <w:r>
        <w:rPr>
          <w:rFonts w:hint="eastAsia" w:ascii="楷体" w:hAnsi="楷体" w:eastAsia="楷体" w:cs="楷体"/>
          <w:color w:val="000000" w:themeColor="text1"/>
          <w:sz w:val="30"/>
          <w:szCs w:val="30"/>
          <w:highlight w:val="none"/>
          <w14:textFill>
            <w14:solidFill>
              <w14:schemeClr w14:val="tx1"/>
            </w14:solidFill>
          </w14:textFill>
        </w:rPr>
        <w:t>检测。</w:t>
      </w:r>
    </w:p>
    <w:p w14:paraId="4581375E">
      <w:pPr>
        <w:pStyle w:val="3"/>
        <w:adjustRightInd w:val="0"/>
        <w:snapToGrid w:val="0"/>
        <w:spacing w:line="360" w:lineRule="auto"/>
        <w:ind w:firstLine="0"/>
        <w:outlineLvl w:val="1"/>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（二）设备技术要求</w:t>
      </w:r>
    </w:p>
    <w:p w14:paraId="3059F1B4">
      <w:pPr>
        <w:pStyle w:val="9"/>
        <w:spacing w:line="360" w:lineRule="auto"/>
        <w:ind w:left="432" w:firstLine="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w:t>
      </w:r>
      <w:r>
        <w:rPr>
          <w:rFonts w:hint="eastAsia" w:ascii="楷体" w:hAnsi="楷体" w:eastAsia="楷体" w:cs="楷体"/>
          <w:b/>
          <w:color w:val="000000" w:themeColor="text1"/>
          <w:sz w:val="30"/>
          <w:szCs w:val="30"/>
          <w:highlight w:val="none"/>
          <w14:textFill>
            <w14:solidFill>
              <w14:schemeClr w14:val="tx1"/>
            </w14:solidFill>
          </w14:textFill>
        </w:rPr>
        <w:t>光学系统</w:t>
      </w:r>
    </w:p>
    <w:p w14:paraId="0BBE3EBA">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w:t>
      </w:r>
      <w:r>
        <w:rPr>
          <w:rFonts w:hint="eastAsia" w:ascii="楷体" w:hAnsi="楷体" w:eastAsia="楷体" w:cs="楷体"/>
          <w:color w:val="000000" w:themeColor="text1"/>
          <w:sz w:val="30"/>
          <w:szCs w:val="30"/>
          <w:highlight w:val="none"/>
          <w:lang w:val="en-US"/>
          <w14:textFill>
            <w14:solidFill>
              <w14:schemeClr w14:val="tx1"/>
            </w14:solidFill>
          </w14:textFill>
        </w:rPr>
        <w:t>1.</w:t>
      </w:r>
      <w:r>
        <w:rPr>
          <w:rFonts w:hint="eastAsia" w:ascii="楷体" w:hAnsi="楷体" w:eastAsia="楷体" w:cs="楷体"/>
          <w:color w:val="000000" w:themeColor="text1"/>
          <w:sz w:val="30"/>
          <w:szCs w:val="30"/>
          <w:highlight w:val="none"/>
          <w14:textFill>
            <w14:solidFill>
              <w14:schemeClr w14:val="tx1"/>
            </w14:solidFill>
          </w14:textFill>
        </w:rPr>
        <w:t>波长范围：184-900nm；</w:t>
      </w:r>
    </w:p>
    <w:p w14:paraId="22C6C111">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1.2</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实时双光束；</w:t>
      </w:r>
    </w:p>
    <w:p w14:paraId="03B16A13">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w:t>
      </w:r>
      <w:r>
        <w:rPr>
          <w:rFonts w:hint="eastAsia" w:ascii="楷体" w:hAnsi="楷体" w:eastAsia="楷体" w:cs="楷体"/>
          <w:color w:val="000000" w:themeColor="text1"/>
          <w:sz w:val="30"/>
          <w:szCs w:val="30"/>
          <w:highlight w:val="none"/>
          <w:lang w:val="en-US"/>
          <w14:textFill>
            <w14:solidFill>
              <w14:schemeClr w14:val="tx1"/>
            </w14:solidFill>
          </w14:textFill>
        </w:rPr>
        <w:t>3.</w:t>
      </w:r>
      <w:r>
        <w:rPr>
          <w:rFonts w:hint="eastAsia" w:ascii="楷体" w:hAnsi="楷体" w:eastAsia="楷体" w:cs="楷体"/>
          <w:color w:val="000000" w:themeColor="text1"/>
          <w:sz w:val="30"/>
          <w:szCs w:val="30"/>
          <w:highlight w:val="none"/>
          <w14:textFill>
            <w14:solidFill>
              <w14:schemeClr w14:val="tx1"/>
            </w14:solidFill>
          </w14:textFill>
        </w:rPr>
        <w:t>光栅面积大于60×70mm，1800线/mm平面光栅分光系统；</w:t>
      </w:r>
    </w:p>
    <w:p w14:paraId="32E8A9DB">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w:t>
      </w:r>
      <w:r>
        <w:rPr>
          <w:rFonts w:hint="eastAsia" w:ascii="楷体" w:hAnsi="楷体" w:eastAsia="楷体" w:cs="楷体"/>
          <w:color w:val="000000" w:themeColor="text1"/>
          <w:sz w:val="30"/>
          <w:szCs w:val="30"/>
          <w:highlight w:val="none"/>
          <w:lang w:val="en-US"/>
          <w14:textFill>
            <w14:solidFill>
              <w14:schemeClr w14:val="tx1"/>
            </w14:solidFill>
          </w14:textFill>
        </w:rPr>
        <w:t>4.</w:t>
      </w:r>
      <w:r>
        <w:rPr>
          <w:rFonts w:hint="eastAsia" w:ascii="楷体" w:hAnsi="楷体" w:eastAsia="楷体" w:cs="楷体"/>
          <w:color w:val="000000" w:themeColor="text1"/>
          <w:sz w:val="30"/>
          <w:szCs w:val="30"/>
          <w:highlight w:val="none"/>
          <w14:textFill>
            <w14:solidFill>
              <w14:schemeClr w14:val="tx1"/>
            </w14:solidFill>
          </w14:textFill>
        </w:rPr>
        <w:t>检测器：全谱高灵敏度阵列式CCD固态检测器或2个光电倍增管；</w:t>
      </w:r>
    </w:p>
    <w:p w14:paraId="1E6C5DFD">
      <w:pPr>
        <w:pStyle w:val="9"/>
        <w:spacing w:line="360" w:lineRule="auto"/>
        <w:ind w:left="432" w:firstLine="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2.</w:t>
      </w:r>
      <w:r>
        <w:rPr>
          <w:rFonts w:hint="eastAsia" w:ascii="楷体" w:hAnsi="楷体" w:eastAsia="楷体" w:cs="楷体"/>
          <w:b/>
          <w:color w:val="000000" w:themeColor="text1"/>
          <w:sz w:val="30"/>
          <w:szCs w:val="30"/>
          <w:highlight w:val="none"/>
          <w14:textFill>
            <w14:solidFill>
              <w14:schemeClr w14:val="tx1"/>
            </w14:solidFill>
          </w14:textFill>
        </w:rPr>
        <w:t>进样系统</w:t>
      </w:r>
    </w:p>
    <w:p w14:paraId="696723B4">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2.</w:t>
      </w:r>
      <w:r>
        <w:rPr>
          <w:rFonts w:hint="eastAsia" w:ascii="楷体" w:hAnsi="楷体" w:eastAsia="楷体" w:cs="楷体"/>
          <w:color w:val="000000" w:themeColor="text1"/>
          <w:sz w:val="30"/>
          <w:szCs w:val="30"/>
          <w:highlight w:val="none"/>
          <w:lang w:val="en-US"/>
          <w14:textFill>
            <w14:solidFill>
              <w14:schemeClr w14:val="tx1"/>
            </w14:solidFill>
          </w14:textFill>
        </w:rPr>
        <w:t>1.</w:t>
      </w:r>
      <w:r>
        <w:rPr>
          <w:rFonts w:hint="eastAsia" w:ascii="楷体" w:hAnsi="楷体" w:eastAsia="楷体" w:cs="楷体"/>
          <w:color w:val="000000" w:themeColor="text1"/>
          <w:sz w:val="30"/>
          <w:szCs w:val="30"/>
          <w:highlight w:val="none"/>
          <w14:textFill>
            <w14:solidFill>
              <w14:schemeClr w14:val="tx1"/>
            </w14:solidFill>
          </w14:textFill>
        </w:rPr>
        <w:t>火焰AAS耐HF酸进样系统，可耐HCl、HNO</w:t>
      </w:r>
      <w:r>
        <w:rPr>
          <w:rFonts w:hint="eastAsia" w:ascii="楷体" w:hAnsi="楷体" w:eastAsia="楷体" w:cs="楷体"/>
          <w:color w:val="000000" w:themeColor="text1"/>
          <w:sz w:val="30"/>
          <w:szCs w:val="30"/>
          <w:highlight w:val="none"/>
          <w:vertAlign w:val="subscript"/>
          <w14:textFill>
            <w14:solidFill>
              <w14:schemeClr w14:val="tx1"/>
            </w14:solidFill>
          </w14:textFill>
        </w:rPr>
        <w:t>3</w:t>
      </w:r>
      <w:r>
        <w:rPr>
          <w:rFonts w:hint="eastAsia" w:ascii="楷体" w:hAnsi="楷体" w:eastAsia="楷体" w:cs="楷体"/>
          <w:color w:val="000000" w:themeColor="text1"/>
          <w:sz w:val="30"/>
          <w:szCs w:val="30"/>
          <w:highlight w:val="none"/>
          <w14:textFill>
            <w14:solidFill>
              <w14:schemeClr w14:val="tx1"/>
            </w14:solidFill>
          </w14:textFill>
        </w:rPr>
        <w:t>、H</w:t>
      </w:r>
      <w:r>
        <w:rPr>
          <w:rFonts w:hint="eastAsia" w:ascii="楷体" w:hAnsi="楷体" w:eastAsia="楷体" w:cs="楷体"/>
          <w:color w:val="000000" w:themeColor="text1"/>
          <w:sz w:val="30"/>
          <w:szCs w:val="30"/>
          <w:highlight w:val="none"/>
          <w:vertAlign w:val="subscript"/>
          <w14:textFill>
            <w14:solidFill>
              <w14:schemeClr w14:val="tx1"/>
            </w14:solidFill>
          </w14:textFill>
        </w:rPr>
        <w:t>2</w:t>
      </w:r>
      <w:r>
        <w:rPr>
          <w:rFonts w:hint="eastAsia" w:ascii="楷体" w:hAnsi="楷体" w:eastAsia="楷体" w:cs="楷体"/>
          <w:color w:val="000000" w:themeColor="text1"/>
          <w:sz w:val="30"/>
          <w:szCs w:val="30"/>
          <w:highlight w:val="none"/>
          <w14:textFill>
            <w14:solidFill>
              <w14:schemeClr w14:val="tx1"/>
            </w14:solidFill>
          </w14:textFill>
        </w:rPr>
        <w:t>SO</w:t>
      </w:r>
      <w:r>
        <w:rPr>
          <w:rFonts w:hint="eastAsia" w:ascii="楷体" w:hAnsi="楷体" w:eastAsia="楷体" w:cs="楷体"/>
          <w:color w:val="000000" w:themeColor="text1"/>
          <w:sz w:val="30"/>
          <w:szCs w:val="30"/>
          <w:highlight w:val="none"/>
          <w:vertAlign w:val="subscript"/>
          <w14:textFill>
            <w14:solidFill>
              <w14:schemeClr w14:val="tx1"/>
            </w14:solidFill>
          </w14:textFill>
        </w:rPr>
        <w:t>4</w:t>
      </w:r>
      <w:r>
        <w:rPr>
          <w:rFonts w:hint="eastAsia" w:ascii="楷体" w:hAnsi="楷体" w:eastAsia="楷体" w:cs="楷体"/>
          <w:color w:val="000000" w:themeColor="text1"/>
          <w:sz w:val="30"/>
          <w:szCs w:val="30"/>
          <w:highlight w:val="none"/>
          <w14:textFill>
            <w14:solidFill>
              <w14:schemeClr w14:val="tx1"/>
            </w14:solidFill>
          </w14:textFill>
        </w:rPr>
        <w:t>、H</w:t>
      </w:r>
      <w:r>
        <w:rPr>
          <w:rFonts w:hint="eastAsia" w:ascii="楷体" w:hAnsi="楷体" w:eastAsia="楷体" w:cs="楷体"/>
          <w:color w:val="000000" w:themeColor="text1"/>
          <w:sz w:val="30"/>
          <w:szCs w:val="30"/>
          <w:highlight w:val="none"/>
          <w:vertAlign w:val="subscript"/>
          <w14:textFill>
            <w14:solidFill>
              <w14:schemeClr w14:val="tx1"/>
            </w14:solidFill>
          </w14:textFill>
        </w:rPr>
        <w:t>3</w:t>
      </w:r>
      <w:r>
        <w:rPr>
          <w:rFonts w:hint="eastAsia" w:ascii="楷体" w:hAnsi="楷体" w:eastAsia="楷体" w:cs="楷体"/>
          <w:color w:val="000000" w:themeColor="text1"/>
          <w:sz w:val="30"/>
          <w:szCs w:val="30"/>
          <w:highlight w:val="none"/>
          <w14:textFill>
            <w14:solidFill>
              <w14:schemeClr w14:val="tx1"/>
            </w14:solidFill>
          </w14:textFill>
        </w:rPr>
        <w:t>PO</w:t>
      </w:r>
      <w:r>
        <w:rPr>
          <w:rFonts w:hint="eastAsia" w:ascii="楷体" w:hAnsi="楷体" w:eastAsia="楷体" w:cs="楷体"/>
          <w:color w:val="000000" w:themeColor="text1"/>
          <w:sz w:val="30"/>
          <w:szCs w:val="30"/>
          <w:highlight w:val="none"/>
          <w:vertAlign w:val="subscript"/>
          <w14:textFill>
            <w14:solidFill>
              <w14:schemeClr w14:val="tx1"/>
            </w14:solidFill>
          </w14:textFill>
        </w:rPr>
        <w:t>4</w:t>
      </w:r>
      <w:r>
        <w:rPr>
          <w:rFonts w:hint="eastAsia" w:ascii="楷体" w:hAnsi="楷体" w:eastAsia="楷体" w:cs="楷体"/>
          <w:color w:val="000000" w:themeColor="text1"/>
          <w:sz w:val="30"/>
          <w:szCs w:val="30"/>
          <w:highlight w:val="none"/>
          <w14:textFill>
            <w14:solidFill>
              <w14:schemeClr w14:val="tx1"/>
            </w14:solidFill>
          </w14:textFill>
        </w:rPr>
        <w:t>，HF， NaOH以及高盐样品。可调式通用型雾化器，高强度惰性材料预混室，全钛燃烧头；</w:t>
      </w:r>
    </w:p>
    <w:p w14:paraId="39CB21FC">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2.2</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燃烧器系统：预混燃烧器可通过软件控制驱动装置自动换入样品室。火焰在光路中的准直，燃烧器的垂直，水平位置的调节完全自动化，并由软件控制自动进行位置最佳化；</w:t>
      </w:r>
    </w:p>
    <w:p w14:paraId="7120FE40">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2.3</w:t>
      </w:r>
      <w:r>
        <w:rPr>
          <w:rFonts w:hint="eastAsia" w:ascii="楷体" w:hAnsi="楷体" w:eastAsia="楷体" w:cs="楷体"/>
          <w:color w:val="000000" w:themeColor="text1"/>
          <w:sz w:val="30"/>
          <w:szCs w:val="30"/>
          <w:highlight w:val="none"/>
          <w:lang w:val="en-US"/>
          <w14:textFill>
            <w14:solidFill>
              <w14:schemeClr w14:val="tx1"/>
            </w14:solidFill>
          </w14:textFill>
        </w:rPr>
        <w:t>.火焰进样系统:雾化器手动操作维护方便快捷，无需任何工具；</w:t>
      </w:r>
    </w:p>
    <w:p w14:paraId="19455A34">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★2.4</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石墨炉AAS进样系统：石墨炉进样盘单盘≥140位以上的自动进样器，进样量1-99微升连续可调；</w:t>
      </w:r>
    </w:p>
    <w:p w14:paraId="4E6BF37C">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★2.5</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石墨炉AAS进样系统，配备加氧装置，加氧流量由软件自动控制，流量控制范围：0~250ml/min；</w:t>
      </w:r>
    </w:p>
    <w:p w14:paraId="05731940">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2.6</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火焰系统安全保护：安全联锁装置与燃烧头，雾化器/端盖，排液系统，废液桶液面高度，气体流量等联锁，防止在任何不当条件下点火，当监测不到火焰或任何锁定功能能激活时，联锁系统会自动关闭燃烧气体，以防万一。突然断电时，仪器会从任何操作方式按预设程序自动关机，确保安全；</w:t>
      </w:r>
    </w:p>
    <w:p w14:paraId="01713117">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3</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火焰采用高强度宽范围氘灯背景校正，可校正357nm铬；</w:t>
      </w:r>
    </w:p>
    <w:p w14:paraId="79DCFEB8">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★4</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石墨炉使用均匀的横向加热方式，背景校正：氘灯/纵向塞曼；</w:t>
      </w:r>
    </w:p>
    <w:p w14:paraId="4A685DE6">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5</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石墨炉需配置具备过程状态监测功能的监测装置或具备相同功能效果的装置，监控温度不低于1000度，完整监测石墨炉进样位置、样品溶液的干燥、灰化、原子化和清洗等过程状态；</w:t>
      </w:r>
    </w:p>
    <w:p w14:paraId="0E7870AE">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6</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灯选择：内置两种灯电源，可连接空心阴极灯和无极放电灯；通过软件由计算机控制灯的选择和自动准直，可自动识别灯名称和设定灯电流推荐值；</w:t>
      </w:r>
    </w:p>
    <w:p w14:paraId="16643E73">
      <w:pPr>
        <w:pStyle w:val="9"/>
        <w:spacing w:line="360" w:lineRule="auto"/>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7</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灯位数：火焰≥8灯座（独立灯座），石墨炉≥8灯座（独立灯座），火焰和石墨炉分别做样分析8种元素无需换灯；</w:t>
      </w:r>
    </w:p>
    <w:p w14:paraId="7EBD47F3">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8</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电源：内置直流石墨炉电源，整个仪器为一个整体；</w:t>
      </w:r>
    </w:p>
    <w:p w14:paraId="0DFD59C7">
      <w:pPr>
        <w:pStyle w:val="9"/>
        <w:spacing w:line="360" w:lineRule="auto"/>
        <w:ind w:left="432" w:firstLine="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9</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b/>
          <w:color w:val="000000" w:themeColor="text1"/>
          <w:sz w:val="30"/>
          <w:szCs w:val="30"/>
          <w:highlight w:val="none"/>
          <w14:textFill>
            <w14:solidFill>
              <w14:schemeClr w14:val="tx1"/>
            </w14:solidFill>
          </w14:textFill>
        </w:rPr>
        <w:t>性能指标</w:t>
      </w:r>
    </w:p>
    <w:p w14:paraId="016860F9">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9.1</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火焰AAS的灵敏度，2ppm Cu 吸光度＞0.35，精密度RSD＜0.4%。测量方法按照GB/T 21187-2007的4.5.2.1和4.7.2.1试验程序进行；</w:t>
      </w:r>
    </w:p>
    <w:p w14:paraId="43915BD6">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9.2</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Cu元素2ppm浓度，一小时连续测试12次/5分钟，每次测试值≤1%；</w:t>
      </w:r>
    </w:p>
    <w:p w14:paraId="2CCAE2C3">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9.3</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标配石墨炉加氧除碳炉内消解装置:在石墨炉灰化阶段软件可自动控制加氧时间和流量，可对悬浮液等样品直接进样，无需样品消解，测量样品中的铅和砷，12.5ppb的加标回收率在95-105%范围，RSD&lt;2%；</w:t>
      </w:r>
    </w:p>
    <w:p w14:paraId="7357DEA2">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9.4</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石墨炉灵敏度，25ppb Cu 进样20微升，特征质量＜16.5pg，精密度RSD＜2%。测量方法按照GB/T 21187-2007的4.5.2.2、4.6.2.2和4.7.2.2试验程序进行；</w:t>
      </w:r>
    </w:p>
    <w:p w14:paraId="64023581">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9.5</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以石墨炉方法测量1%氯化钠基体溶液中10ppb、20ppb、30ppb、40ppb、50ppb的铅标准溶液，以线性计算截距的校准方式，线性相关系数必须＞0.999；</w:t>
      </w:r>
    </w:p>
    <w:p w14:paraId="442927D7">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9.6</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以石墨炉方法测量，2ppb、4ppb、6ppb、8ppb的砷标准溶液，以线性计算截距的校准方式，线性相关系数必须大于0.999；</w:t>
      </w:r>
    </w:p>
    <w:p w14:paraId="3DB0CF68">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9.7</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石墨炉法样品进样体积（不包含基体改进剂和稀释液体积）60微升测量，测试0ppb、1ppb、2ppb、3ppb、4ppb的铜标准溶液，以线性计算截距的校准方式，线性相关系数必须＞0.999；</w:t>
      </w:r>
    </w:p>
    <w:p w14:paraId="181EBE85">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10</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操作软件</w:t>
      </w:r>
    </w:p>
    <w:p w14:paraId="7504D938">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10.1</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全中文AAS操作软件，和中文帮助软件，而且生成的报告应为全中文报告；</w:t>
      </w:r>
    </w:p>
    <w:p w14:paraId="0E811BB1">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10.2</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color w:val="000000" w:themeColor="text1"/>
          <w:highlight w:val="none"/>
          <w14:textFill>
            <w14:solidFill>
              <w14:schemeClr w14:val="tx1"/>
            </w14:solidFill>
          </w14:textFill>
        </w:rPr>
        <w:t xml:space="preserve"> </w:t>
      </w:r>
      <w:r>
        <w:rPr>
          <w:rFonts w:hint="eastAsia" w:ascii="楷体" w:hAnsi="楷体" w:eastAsia="楷体" w:cs="楷体"/>
          <w:color w:val="000000" w:themeColor="text1"/>
          <w:sz w:val="30"/>
          <w:szCs w:val="30"/>
          <w:highlight w:val="none"/>
          <w14:textFill>
            <w14:solidFill>
              <w14:schemeClr w14:val="tx1"/>
            </w14:solidFill>
          </w14:textFill>
        </w:rPr>
        <w:t>仪器吸收值、浓度或发射强度等读数可在0.01至100倍的范围内扩展。积分时间可按0.1秒的增量至少在0.1至60秒或更宽之间任选，读数方式包括时间平均积分、峰面积和峰高测量法，同时内置数理统计功能；</w:t>
      </w:r>
    </w:p>
    <w:p w14:paraId="0B4D7953">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10.3</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color w:val="000000" w:themeColor="text1"/>
          <w:highlight w:val="none"/>
          <w14:textFill>
            <w14:solidFill>
              <w14:schemeClr w14:val="tx1"/>
            </w14:solidFill>
          </w14:textFill>
        </w:rPr>
        <w:t xml:space="preserve"> </w:t>
      </w:r>
      <w:r>
        <w:rPr>
          <w:rFonts w:hint="eastAsia" w:ascii="楷体" w:hAnsi="楷体" w:eastAsia="楷体" w:cs="楷体"/>
          <w:color w:val="000000" w:themeColor="text1"/>
          <w:sz w:val="30"/>
          <w:szCs w:val="30"/>
          <w:highlight w:val="none"/>
          <w14:textFill>
            <w14:solidFill>
              <w14:schemeClr w14:val="tx1"/>
            </w14:solidFill>
          </w14:textFill>
        </w:rPr>
        <w:t>校正曲线：支持不少于 10 个标准点的多种校正曲线拟合方式，标准点数量应能满足火焰及石墨炉分析方法对校准范围的要求；具备任选单一标准点对已建立曲线进行斜率重校的功能；</w:t>
      </w:r>
    </w:p>
    <w:p w14:paraId="72AB5B26">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10.4</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color w:val="000000" w:themeColor="text1"/>
          <w:highlight w:val="none"/>
          <w14:textFill>
            <w14:solidFill>
              <w14:schemeClr w14:val="tx1"/>
            </w14:solidFill>
          </w14:textFill>
        </w:rPr>
        <w:t xml:space="preserve"> </w:t>
      </w:r>
      <w:r>
        <w:rPr>
          <w:rFonts w:hint="eastAsia" w:ascii="楷体" w:hAnsi="楷体" w:eastAsia="楷体" w:cs="楷体"/>
          <w:color w:val="000000" w:themeColor="text1"/>
          <w:sz w:val="30"/>
          <w:szCs w:val="30"/>
          <w:highlight w:val="none"/>
          <w14:textFill>
            <w14:solidFill>
              <w14:schemeClr w14:val="tx1"/>
            </w14:solidFill>
          </w14:textFill>
        </w:rPr>
        <w:t>校正曲线应支持不少于线性、二次及三次多项式拟合，并具备标准加入法（含简化标准加入法或等效方式）的校准功能；</w:t>
      </w:r>
    </w:p>
    <w:p w14:paraId="166F2566">
      <w:pPr>
        <w:pStyle w:val="9"/>
        <w:spacing w:line="360" w:lineRule="auto"/>
        <w:ind w:firstLine="48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11</w:t>
      </w:r>
      <w:r>
        <w:rPr>
          <w:rFonts w:hint="eastAsia" w:ascii="楷体" w:hAnsi="楷体" w:eastAsia="楷体" w:cs="楷体"/>
          <w:color w:val="000000" w:themeColor="text1"/>
          <w:sz w:val="30"/>
          <w:szCs w:val="30"/>
          <w:highlight w:val="none"/>
          <w:lang w:val="en-US"/>
          <w14:textFill>
            <w14:solidFill>
              <w14:schemeClr w14:val="tx1"/>
            </w14:solidFill>
          </w14:textFill>
        </w:rPr>
        <w:t>.</w:t>
      </w:r>
      <w:r>
        <w:rPr>
          <w:rFonts w:hint="eastAsia" w:ascii="楷体" w:hAnsi="楷体" w:eastAsia="楷体" w:cs="楷体"/>
          <w:color w:val="000000" w:themeColor="text1"/>
          <w:sz w:val="30"/>
          <w:szCs w:val="30"/>
          <w:highlight w:val="none"/>
          <w14:textFill>
            <w14:solidFill>
              <w14:schemeClr w14:val="tx1"/>
            </w14:solidFill>
          </w14:textFill>
        </w:rPr>
        <w:t>配置要求：原子吸收分光光度计主机1套、操作软件1套、石墨炉加氧装置 1套、编码元素灯6只、循环水1台、空压机1台，电脑1台。</w:t>
      </w:r>
    </w:p>
    <w:p w14:paraId="77A7AC53">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1：技术规格和要求必须逐条响应（符合或偏离），若指标项存在正、负偏离的均应详细说明，存在细微偏离，但评标委员会认定不影响招标人实际使用功能和效果的，可视为响应。投标人须如实填写技术偏离表，确保内容的真实性和准确性。若在评审时被评标委员会认定为虚假陈述，按投标无效处理；提供虚假材料谋取成交的，将被取消中标资格。</w:t>
      </w:r>
    </w:p>
    <w:p w14:paraId="0A230481">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2：标“★”条款的技术参数：投标人除了在《技术参数响应及偏离表》中详细说明外，还须提供招标文件“采购需求”中明确要求的相关证明材料作为评分依据；如果招标文件采购需求中没有明确要求证明材料的，投标人可以提供制造商的相关证明材料佐证，如：制造商公开发布正式印刷的产品样本、有技术参数的产品彩页说明、原厂说明书截图、数据报告，或由有关政府部门或国家确定的机构出具的检定证书或检测报告等相关证明材料,以便于评标委员会正确评判，并自行承担偏离所产生的风险。</w:t>
      </w:r>
    </w:p>
    <w:p w14:paraId="62E21E33">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投标人应在《技术参数响应及偏离表》“页码”一栏填写标★、非标★条款技术参数证明材料的页码位置，并以明显方式标明，以便于评标委员会正确评判，如因标示不清导致无法查找，投标人自行承担偏离所产生的风险。</w:t>
      </w:r>
    </w:p>
    <w:p w14:paraId="0A82CB6A">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注3：技术要求中如出现具体产品的品牌、型号、参数等，仅供投标人更好地理解招标人对设备的需求，不能理解为唯一指定，只要优或相当于其技术参数及功能要求的，均可视为响应。</w:t>
      </w:r>
    </w:p>
    <w:p w14:paraId="397B123F">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注4：投标人投标的设备应符合国家对于相关设备的生产、销售、检验的标准和规定，符合行业主管部门的规定。</w:t>
      </w:r>
    </w:p>
    <w:p w14:paraId="0EAD88E6">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注5：“★”号项参数为实质性要求，负偏离为无效响应；</w:t>
      </w:r>
    </w:p>
    <w:p w14:paraId="76C28F78">
      <w:pPr>
        <w:pStyle w:val="8"/>
        <w:adjustRightInd w:val="0"/>
        <w:snapToGrid w:val="0"/>
        <w:ind w:firstLine="1205" w:firstLineChars="4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非“★”号项参数为一般参数要求，负偏离在评分中可以扣分。</w:t>
      </w:r>
    </w:p>
    <w:p w14:paraId="25C512E6">
      <w:pPr>
        <w:pStyle w:val="8"/>
        <w:adjustRightInd w:val="0"/>
        <w:snapToGrid w:val="0"/>
        <w:ind w:firstLine="602" w:firstLineChars="20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以上参数均需要提供参数证明材料。</w:t>
      </w:r>
    </w:p>
    <w:p w14:paraId="6DA8FB91">
      <w:pPr>
        <w:pStyle w:val="8"/>
        <w:adjustRightInd w:val="0"/>
        <w:snapToGrid w:val="0"/>
        <w:ind w:firstLine="0"/>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w:t>
      </w:r>
      <w:r>
        <w:rPr>
          <w:rFonts w:hint="eastAsia" w:ascii="楷体" w:hAnsi="楷体" w:eastAsia="楷体" w:cs="楷体"/>
          <w:b/>
          <w:bCs/>
          <w:color w:val="000000" w:themeColor="text1"/>
          <w:sz w:val="30"/>
          <w:szCs w:val="30"/>
          <w:highlight w:val="none"/>
          <w:lang w:val="en-US"/>
          <w14:textFill>
            <w14:solidFill>
              <w14:schemeClr w14:val="tx1"/>
            </w14:solidFill>
          </w14:textFill>
        </w:rPr>
        <w:t>三</w:t>
      </w:r>
      <w:r>
        <w:rPr>
          <w:rFonts w:hint="eastAsia" w:ascii="楷体" w:hAnsi="楷体" w:eastAsia="楷体" w:cs="楷体"/>
          <w:b/>
          <w:bCs/>
          <w:color w:val="000000" w:themeColor="text1"/>
          <w:sz w:val="30"/>
          <w:szCs w:val="30"/>
          <w:highlight w:val="none"/>
          <w14:textFill>
            <w14:solidFill>
              <w14:schemeClr w14:val="tx1"/>
            </w14:solidFill>
          </w14:textFill>
        </w:rPr>
        <w:t>）拟实现功能或目标</w:t>
      </w:r>
    </w:p>
    <w:p w14:paraId="49A2FD9F">
      <w:pPr>
        <w:pStyle w:val="8"/>
        <w:adjustRightInd w:val="0"/>
        <w:snapToGrid w:val="0"/>
        <w:ind w:firstLine="600" w:firstLineChars="200"/>
        <w:rPr>
          <w:rFonts w:ascii="楷体" w:hAnsi="楷体" w:eastAsia="楷体" w:cs="楷体"/>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highlight w:val="none"/>
          <w14:textFill>
            <w14:solidFill>
              <w14:schemeClr w14:val="tx1"/>
            </w14:solidFill>
          </w14:textFill>
        </w:rPr>
        <w:t>用于在纺织服装、皮革、家具、化工产品做可萃取 / 可溶性重金属检测。</w:t>
      </w:r>
    </w:p>
    <w:p w14:paraId="43A1DE68">
      <w:pPr>
        <w:spacing w:line="360" w:lineRule="auto"/>
        <w:rPr>
          <w:rFonts w:ascii="楷体" w:hAnsi="楷体" w:eastAsia="楷体" w:cs="楷体"/>
          <w:b/>
          <w:color w:val="000000" w:themeColor="text1"/>
          <w:sz w:val="30"/>
          <w:szCs w:val="30"/>
          <w:highlight w:val="none"/>
          <w:lang w:val="en-US"/>
          <w14:textFill>
            <w14:solidFill>
              <w14:schemeClr w14:val="tx1"/>
            </w14:solidFill>
          </w14:textFill>
        </w:rPr>
      </w:pPr>
      <w:bookmarkStart w:id="0" w:name="_Toc12887272"/>
      <w:r>
        <w:rPr>
          <w:rFonts w:hint="eastAsia" w:ascii="楷体" w:hAnsi="楷体" w:eastAsia="楷体" w:cs="楷体"/>
          <w:b/>
          <w:color w:val="000000" w:themeColor="text1"/>
          <w:sz w:val="30"/>
          <w:szCs w:val="30"/>
          <w:highlight w:val="none"/>
          <w:lang w:val="en-US"/>
          <w14:textFill>
            <w14:solidFill>
              <w14:schemeClr w14:val="tx1"/>
            </w14:solidFill>
          </w14:textFill>
        </w:rPr>
        <w:t>四、服务要求</w:t>
      </w:r>
    </w:p>
    <w:p w14:paraId="6D7D3956">
      <w:pPr>
        <w:pStyle w:val="4"/>
        <w:spacing w:line="360" w:lineRule="auto"/>
        <w:rPr>
          <w:rStyle w:val="10"/>
          <w:rFonts w:hint="default" w:ascii="楷体" w:hAnsi="楷体" w:eastAsia="楷体" w:cs="楷体"/>
          <w:b/>
          <w:bCs/>
          <w:color w:val="000000" w:themeColor="text1"/>
          <w:sz w:val="30"/>
          <w:szCs w:val="30"/>
          <w:highlight w:val="none"/>
          <w:lang w:val="en-US"/>
          <w14:textFill>
            <w14:solidFill>
              <w14:schemeClr w14:val="tx1"/>
            </w14:solidFill>
          </w14:textFill>
        </w:rPr>
      </w:pPr>
      <w:r>
        <w:rPr>
          <w:rStyle w:val="10"/>
          <w:rFonts w:ascii="楷体" w:hAnsi="楷体" w:eastAsia="楷体" w:cs="楷体"/>
          <w:b/>
          <w:bCs/>
          <w:color w:val="000000" w:themeColor="text1"/>
          <w:sz w:val="30"/>
          <w:szCs w:val="30"/>
          <w:highlight w:val="none"/>
          <w:lang w:val="en-US"/>
          <w14:textFill>
            <w14:solidFill>
              <w14:schemeClr w14:val="tx1"/>
            </w14:solidFill>
          </w14:textFill>
        </w:rPr>
        <w:t>采购包1-采购包9：</w:t>
      </w:r>
    </w:p>
    <w:p w14:paraId="3650A278">
      <w:pPr>
        <w:pStyle w:val="3"/>
        <w:adjustRightInd w:val="0"/>
        <w:snapToGrid w:val="0"/>
        <w:spacing w:line="360" w:lineRule="auto"/>
        <w:ind w:firstLine="480"/>
        <w:outlineLvl w:val="1"/>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1.产品免费质保期一年，质保期自验收合格在验收单上签字之日起开始计算。质保期内，除不可抗力因素，因货物制造质量不良或非人为因素而产生损坏或不能正常使用，投标人应免费提供更换和维修。非人为因素是指没有超出招标文件和国家规定的技术指标的行为。如果产品、材料是人为损坏，或不在保修范围内，投标人也必须为招标人修复，但费用由招标人承担，投标人只收取成本价。投标人必须提出免费质保期内的维修、维护内容及服务方式、范围（产品、技术、部件）。</w:t>
      </w:r>
    </w:p>
    <w:p w14:paraId="594C6AA0">
      <w:pPr>
        <w:widowControl/>
        <w:spacing w:line="360" w:lineRule="auto"/>
        <w:ind w:firstLine="602" w:firstLineChars="200"/>
        <w:rPr>
          <w:rFonts w:ascii="楷体" w:hAnsi="楷体" w:eastAsia="楷体" w:cs="楷体"/>
          <w:b/>
          <w:bCs/>
          <w:color w:val="000000" w:themeColor="text1"/>
          <w:sz w:val="30"/>
          <w:szCs w:val="30"/>
          <w:highlight w:val="none"/>
          <w:lang w:val="en-US"/>
          <w14:textFill>
            <w14:solidFill>
              <w14:schemeClr w14:val="tx1"/>
            </w14:solidFill>
          </w14:textFill>
        </w:rPr>
      </w:pPr>
      <w:r>
        <w:rPr>
          <w:rFonts w:hint="eastAsia" w:ascii="楷体" w:hAnsi="楷体" w:eastAsia="楷体" w:cs="楷体"/>
          <w:b/>
          <w:bCs/>
          <w:color w:val="000000" w:themeColor="text1"/>
          <w:sz w:val="30"/>
          <w:szCs w:val="30"/>
          <w:highlight w:val="none"/>
          <w:lang w:val="en-US"/>
          <w14:textFill>
            <w14:solidFill>
              <w14:schemeClr w14:val="tx1"/>
            </w14:solidFill>
          </w14:textFill>
        </w:rPr>
        <w:t>中标后须提供符合国家标准及采购合同约定的质保服务承诺，中标人为本项目售后服务第一责任主体，全面承担质保期内维修、更换、技术支持等全部义务，保证所投产品的产品质量、售后服务满足招标文件及合同约定。若中标人未按承诺履行质保义务、存在产品非原厂、假冒伪劣等违约情形，招标人有权依据政府采购合同追究中标人全部违约责任。</w:t>
      </w:r>
    </w:p>
    <w:p w14:paraId="71D84301">
      <w:pPr>
        <w:pStyle w:val="3"/>
        <w:adjustRightInd w:val="0"/>
        <w:snapToGrid w:val="0"/>
        <w:spacing w:line="360" w:lineRule="auto"/>
        <w:ind w:firstLine="480"/>
        <w:outlineLvl w:val="1"/>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2.投标人保证所提供的设备为合同协议规定厂家的原装产品，全新、未曾用过，其产品应符合合同规定的型号、规格和性能指标，并要有产品的检测证书。</w:t>
      </w:r>
    </w:p>
    <w:p w14:paraId="4CBE713C">
      <w:pPr>
        <w:pStyle w:val="3"/>
        <w:adjustRightInd w:val="0"/>
        <w:snapToGrid w:val="0"/>
        <w:spacing w:line="360" w:lineRule="auto"/>
        <w:ind w:firstLine="480"/>
        <w:outlineLvl w:val="1"/>
        <w:rPr>
          <w:rFonts w:ascii="楷体" w:hAnsi="楷体" w:eastAsia="楷体" w:cs="楷体"/>
          <w:b/>
          <w:color w:val="000000" w:themeColor="text1"/>
          <w:sz w:val="30"/>
          <w:szCs w:val="30"/>
          <w:highlight w:val="none"/>
          <w14:textFill>
            <w14:solidFill>
              <w14:schemeClr w14:val="tx1"/>
            </w14:solidFill>
          </w14:textFill>
        </w:rPr>
      </w:pPr>
      <w:r>
        <w:rPr>
          <w:rFonts w:hint="eastAsia" w:ascii="楷体" w:hAnsi="楷体" w:eastAsia="楷体" w:cs="楷体"/>
          <w:b/>
          <w:color w:val="000000" w:themeColor="text1"/>
          <w:sz w:val="30"/>
          <w:szCs w:val="30"/>
          <w:highlight w:val="none"/>
          <w14:textFill>
            <w14:solidFill>
              <w14:schemeClr w14:val="tx1"/>
            </w14:solidFill>
          </w14:textFill>
        </w:rPr>
        <w:t>3.在质量保证期满时，投标人工程师和招标人代表共同对设备进行全面检查，如得到招标人认可，双方签订保证期满合格证书。</w:t>
      </w:r>
    </w:p>
    <w:p w14:paraId="1BFA283D">
      <w:pPr>
        <w:pStyle w:val="3"/>
        <w:adjustRightInd w:val="0"/>
        <w:snapToGrid w:val="0"/>
        <w:spacing w:line="360" w:lineRule="auto"/>
        <w:ind w:firstLine="480"/>
        <w:outlineLvl w:val="1"/>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lang w:val="en-US"/>
          <w14:textFill>
            <w14:solidFill>
              <w14:schemeClr w14:val="tx1"/>
            </w14:solidFill>
          </w14:textFill>
        </w:rPr>
        <w:t>★4.质保期自货物最终验收合格之日起计算，整机保修，质保期内提供免费保修及免费更换配件服务；质保期届满后，投标人承诺继续为招标人提供合同项下材料设备维修服务，招标人按投标人提供的优惠维修服务价格支付相关费用，投标人保证在设备使用期内以不高于本合同设备及相关配件的价格供应备品，同时投标人须承诺对设备提供技术支持、维修及零配件供应服务。</w:t>
      </w:r>
    </w:p>
    <w:p w14:paraId="1640C675">
      <w:pPr>
        <w:pStyle w:val="3"/>
        <w:adjustRightInd w:val="0"/>
        <w:snapToGrid w:val="0"/>
        <w:spacing w:line="360" w:lineRule="auto"/>
        <w:ind w:firstLine="480"/>
        <w:outlineLvl w:val="1"/>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5.投标人提供产品及其附件应有完整技术文档，投标人应提供中文版的操作系统及有关的应用软件，招标人在使用和开发应用过程中，投标人应及时提供各项必要的技术支持。</w:t>
      </w:r>
    </w:p>
    <w:p w14:paraId="2D81859C">
      <w:pPr>
        <w:pStyle w:val="3"/>
        <w:adjustRightInd w:val="0"/>
        <w:snapToGrid w:val="0"/>
        <w:spacing w:line="360" w:lineRule="auto"/>
        <w:ind w:firstLine="480"/>
        <w:outlineLvl w:val="1"/>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6.质保期内24小时内没有响应或在规定时间内拒绝或没有派员到达招标人提供技术服务、修理或退换问题材料设备，招标人有权委托第三人对合同材料设备进行维修或提供技术服务，由此产生的一切费用由中标人承担。</w:t>
      </w:r>
    </w:p>
    <w:p w14:paraId="1555ABE3">
      <w:pPr>
        <w:pStyle w:val="3"/>
        <w:adjustRightInd w:val="0"/>
        <w:snapToGrid w:val="0"/>
        <w:spacing w:line="360" w:lineRule="auto"/>
        <w:ind w:firstLine="480"/>
        <w:outlineLvl w:val="1"/>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7.安装调试培训：投标人应免费向招标人技术人员提供产品安装调试及使用方面的培训，培训内容包括测试原理、操作使用、维护保养等，保证设备的正常运行。</w:t>
      </w:r>
    </w:p>
    <w:p w14:paraId="7AAA15B8">
      <w:pPr>
        <w:spacing w:line="360" w:lineRule="auto"/>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
          <w:color w:val="000000" w:themeColor="text1"/>
          <w:sz w:val="30"/>
          <w:szCs w:val="30"/>
          <w:highlight w:val="none"/>
          <w14:textFill>
            <w14:solidFill>
              <w14:schemeClr w14:val="tx1"/>
            </w14:solidFill>
          </w14:textFill>
        </w:rPr>
        <w:t>注：</w:t>
      </w:r>
      <w:r>
        <w:rPr>
          <w:rFonts w:hint="eastAsia" w:ascii="楷体" w:hAnsi="楷体" w:eastAsia="楷体" w:cs="楷体"/>
          <w:bCs/>
          <w:color w:val="000000" w:themeColor="text1"/>
          <w:sz w:val="30"/>
          <w:szCs w:val="30"/>
          <w:highlight w:val="none"/>
          <w14:textFill>
            <w14:solidFill>
              <w14:schemeClr w14:val="tx1"/>
            </w14:solidFill>
          </w14:textFill>
        </w:rPr>
        <w:t>必须针对上述要求在投标文件中逐条表述及承诺（格式自拟）。</w:t>
      </w:r>
      <w:r>
        <w:rPr>
          <w:rFonts w:hint="eastAsia" w:ascii="楷体" w:hAnsi="楷体" w:eastAsia="楷体" w:cs="楷体"/>
          <w:b/>
          <w:color w:val="000000" w:themeColor="text1"/>
          <w:sz w:val="30"/>
          <w:szCs w:val="30"/>
          <w:highlight w:val="none"/>
          <w14:textFill>
            <w14:solidFill>
              <w14:schemeClr w14:val="tx1"/>
            </w14:solidFill>
          </w14:textFill>
        </w:rPr>
        <w:t>服务要求中标“★”条款属于实质性响应要求须提供承诺函并加盖公章（格式自拟），如不满足，作无效响应处理。</w:t>
      </w:r>
    </w:p>
    <w:bookmarkEnd w:id="0"/>
    <w:p w14:paraId="5213C843">
      <w:pPr>
        <w:spacing w:line="360" w:lineRule="auto"/>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五、运输、安装、验收</w:t>
      </w:r>
    </w:p>
    <w:p w14:paraId="1928F31E">
      <w:pPr>
        <w:pStyle w:val="4"/>
        <w:spacing w:line="360" w:lineRule="auto"/>
        <w:rPr>
          <w:rStyle w:val="10"/>
          <w:rFonts w:hint="default" w:ascii="楷体" w:hAnsi="楷体" w:eastAsia="楷体" w:cs="楷体"/>
          <w:b/>
          <w:bCs/>
          <w:color w:val="000000" w:themeColor="text1"/>
          <w:sz w:val="30"/>
          <w:szCs w:val="30"/>
          <w:highlight w:val="none"/>
          <w:lang w:val="en-US"/>
          <w14:textFill>
            <w14:solidFill>
              <w14:schemeClr w14:val="tx1"/>
            </w14:solidFill>
          </w14:textFill>
        </w:rPr>
      </w:pPr>
      <w:r>
        <w:rPr>
          <w:rStyle w:val="10"/>
          <w:rFonts w:ascii="楷体" w:hAnsi="楷体" w:eastAsia="楷体" w:cs="楷体"/>
          <w:b/>
          <w:bCs/>
          <w:color w:val="000000" w:themeColor="text1"/>
          <w:sz w:val="30"/>
          <w:szCs w:val="30"/>
          <w:highlight w:val="none"/>
          <w:lang w:val="en-US"/>
          <w14:textFill>
            <w14:solidFill>
              <w14:schemeClr w14:val="tx1"/>
            </w14:solidFill>
          </w14:textFill>
        </w:rPr>
        <w:t>采购包1-采购包9：</w:t>
      </w:r>
    </w:p>
    <w:p w14:paraId="1AF9A76F">
      <w:pPr>
        <w:pStyle w:val="3"/>
        <w:adjustRightInd w:val="0"/>
        <w:snapToGrid w:val="0"/>
        <w:spacing w:line="360" w:lineRule="auto"/>
        <w:ind w:firstLine="480"/>
        <w:outlineLvl w:val="1"/>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1. 设备运输：中标人免费送货上门，并送货至招标人指定位置，包括搬运上楼，包装应抗震、防潮、防冻、防锈，</w:t>
      </w:r>
      <w:r>
        <w:rPr>
          <w:rFonts w:hint="eastAsia" w:ascii="楷体" w:hAnsi="楷体" w:eastAsia="楷体" w:cs="楷体"/>
          <w:bCs/>
          <w:color w:val="000000" w:themeColor="text1"/>
          <w:sz w:val="30"/>
          <w:szCs w:val="30"/>
          <w:highlight w:val="none"/>
          <w:lang w:val="en-US"/>
          <w14:textFill>
            <w14:solidFill>
              <w14:schemeClr w14:val="tx1"/>
            </w14:solidFill>
          </w14:textFill>
        </w:rPr>
        <w:t>适合长途运输</w:t>
      </w:r>
      <w:r>
        <w:rPr>
          <w:rFonts w:hint="eastAsia" w:ascii="楷体" w:hAnsi="楷体" w:eastAsia="楷体" w:cs="楷体"/>
          <w:bCs/>
          <w:color w:val="000000" w:themeColor="text1"/>
          <w:sz w:val="30"/>
          <w:szCs w:val="30"/>
          <w:highlight w:val="none"/>
          <w14:textFill>
            <w14:solidFill>
              <w14:schemeClr w14:val="tx1"/>
            </w14:solidFill>
          </w14:textFill>
        </w:rPr>
        <w:t>。中标人应对由于包装不当或防护措施不力而导致的商品损坏、损失、腐蚀、增加费用等后果负责。</w:t>
      </w:r>
    </w:p>
    <w:p w14:paraId="65E176A5">
      <w:pPr>
        <w:pStyle w:val="3"/>
        <w:adjustRightInd w:val="0"/>
        <w:snapToGrid w:val="0"/>
        <w:spacing w:line="360" w:lineRule="auto"/>
        <w:ind w:firstLine="480"/>
        <w:outlineLvl w:val="1"/>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2.投标人负责提供设备安装相关技术要求的图纸或安装施工技术条件，并配合招标人进行施工技术指导。</w:t>
      </w:r>
    </w:p>
    <w:p w14:paraId="4F382006">
      <w:pPr>
        <w:pStyle w:val="3"/>
        <w:adjustRightInd w:val="0"/>
        <w:snapToGrid w:val="0"/>
        <w:spacing w:line="360" w:lineRule="auto"/>
        <w:ind w:firstLine="480"/>
        <w:outlineLvl w:val="1"/>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3.设备安装：设备到达指定地点后，中标人应在约定时间内上门免费安装、调试，直至符合技术性能为止。安装调试期间产生的一切费用（安装、人工、运输搬运、交通、打孔、安全防护设施、打孔后防水恢复等）由中标人负责。安装过程中除基础水电配备外，一切安装需要的硬件和软件均由中标人免费提供。合同签订后，在1周内投标人将设备工作环境要求通知招标人。</w:t>
      </w:r>
    </w:p>
    <w:p w14:paraId="539E5E03">
      <w:pPr>
        <w:pStyle w:val="3"/>
        <w:adjustRightInd w:val="0"/>
        <w:snapToGrid w:val="0"/>
        <w:spacing w:line="360" w:lineRule="auto"/>
        <w:ind w:firstLine="480"/>
        <w:outlineLvl w:val="1"/>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4.设备验收：中标人需安排专业的安装工程师在招标人的实验室内或指定地方安装设备仪器（须含相关随机附件，须提供现场安装服务），根据制造商（生产者）产品及附件样本各项技术指标以及招标文件的要求做验收试验。直至招标人认可仪器符合技术性能为止，如不能通过验收，招标人有权拒绝验收要求退还货物并追究成交人的法律责任。</w:t>
      </w:r>
    </w:p>
    <w:p w14:paraId="65F4D4AD">
      <w:pPr>
        <w:pStyle w:val="4"/>
        <w:spacing w:line="360" w:lineRule="auto"/>
        <w:ind w:firstLine="600" w:firstLineChars="200"/>
        <w:rPr>
          <w:rFonts w:hint="default" w:ascii="楷体" w:hAnsi="楷体" w:eastAsia="楷体" w:cs="楷体"/>
          <w:bCs/>
          <w:color w:val="000000" w:themeColor="text1"/>
          <w:sz w:val="30"/>
          <w:szCs w:val="30"/>
          <w:highlight w:val="none"/>
          <w14:textFill>
            <w14:solidFill>
              <w14:schemeClr w14:val="tx1"/>
            </w14:solidFill>
          </w14:textFill>
        </w:rPr>
      </w:pPr>
      <w:r>
        <w:rPr>
          <w:rFonts w:ascii="楷体" w:hAnsi="楷体" w:eastAsia="楷体" w:cs="楷体"/>
          <w:bCs/>
          <w:color w:val="000000" w:themeColor="text1"/>
          <w:sz w:val="30"/>
          <w:szCs w:val="30"/>
          <w:highlight w:val="none"/>
          <w14:textFill>
            <w14:solidFill>
              <w14:schemeClr w14:val="tx1"/>
            </w14:solidFill>
          </w14:textFill>
        </w:rPr>
        <w:t>5.设备</w:t>
      </w:r>
      <w:r>
        <w:rPr>
          <w:rFonts w:ascii="楷体" w:hAnsi="楷体" w:eastAsia="楷体" w:cs="楷体"/>
          <w:bCs/>
          <w:color w:val="000000" w:themeColor="text1"/>
          <w:sz w:val="30"/>
          <w:szCs w:val="30"/>
          <w:highlight w:val="none"/>
          <w:lang w:val="en-US"/>
          <w14:textFill>
            <w14:solidFill>
              <w14:schemeClr w14:val="tx1"/>
            </w14:solidFill>
          </w14:textFill>
        </w:rPr>
        <w:t>安装调试完成并稳定运行后</w:t>
      </w:r>
      <w:r>
        <w:rPr>
          <w:rFonts w:ascii="楷体" w:hAnsi="楷体" w:eastAsia="楷体" w:cs="楷体"/>
          <w:bCs/>
          <w:color w:val="000000" w:themeColor="text1"/>
          <w:sz w:val="30"/>
          <w:szCs w:val="30"/>
          <w:highlight w:val="none"/>
          <w14:textFill>
            <w14:solidFill>
              <w14:schemeClr w14:val="tx1"/>
            </w14:solidFill>
          </w14:textFill>
        </w:rPr>
        <w:t>，提供具备CNAS资质的第三方校准证书。</w:t>
      </w:r>
    </w:p>
    <w:p w14:paraId="5686911E">
      <w:pPr>
        <w:pStyle w:val="3"/>
        <w:adjustRightInd w:val="0"/>
        <w:snapToGrid w:val="0"/>
        <w:spacing w:line="360" w:lineRule="auto"/>
        <w:ind w:firstLine="0"/>
        <w:outlineLvl w:val="1"/>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六、交货期和交货地点</w:t>
      </w:r>
    </w:p>
    <w:p w14:paraId="326DF210">
      <w:pPr>
        <w:pStyle w:val="3"/>
        <w:adjustRightInd w:val="0"/>
        <w:snapToGrid w:val="0"/>
        <w:spacing w:line="360" w:lineRule="auto"/>
        <w:ind w:firstLine="480"/>
        <w:outlineLvl w:val="1"/>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1.设备供货期为：合同签订后60天内完成设备安装、调试工作。</w:t>
      </w:r>
    </w:p>
    <w:p w14:paraId="7EBAF6BC">
      <w:pPr>
        <w:pStyle w:val="3"/>
        <w:adjustRightInd w:val="0"/>
        <w:snapToGrid w:val="0"/>
        <w:spacing w:line="360" w:lineRule="auto"/>
        <w:ind w:firstLine="480"/>
        <w:outlineLvl w:val="1"/>
        <w:rPr>
          <w:rFonts w:ascii="楷体" w:hAnsi="楷体" w:eastAsia="楷体" w:cs="楷体"/>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2.本次所采购的设备交货地点为镇江市产品质量监督检验中心指定地点。</w:t>
      </w:r>
    </w:p>
    <w:p w14:paraId="219DB053">
      <w:pPr>
        <w:spacing w:line="360" w:lineRule="auto"/>
        <w:rPr>
          <w:rFonts w:ascii="楷体" w:hAnsi="楷体" w:eastAsia="楷体" w:cs="楷体"/>
          <w:b/>
          <w:color w:val="000000" w:themeColor="text1"/>
          <w:sz w:val="30"/>
          <w:szCs w:val="30"/>
          <w:highlight w:val="none"/>
          <w14:textFill>
            <w14:solidFill>
              <w14:schemeClr w14:val="tx1"/>
            </w14:solidFill>
          </w14:textFill>
        </w:rPr>
      </w:pPr>
      <w:r>
        <w:rPr>
          <w:rFonts w:hint="eastAsia" w:ascii="楷体" w:hAnsi="楷体" w:eastAsia="楷体" w:cs="楷体"/>
          <w:b/>
          <w:color w:val="000000" w:themeColor="text1"/>
          <w:sz w:val="30"/>
          <w:szCs w:val="30"/>
          <w:highlight w:val="none"/>
          <w:lang w:val="en-US"/>
          <w14:textFill>
            <w14:solidFill>
              <w14:schemeClr w14:val="tx1"/>
            </w14:solidFill>
          </w14:textFill>
        </w:rPr>
        <w:t>七</w:t>
      </w:r>
      <w:r>
        <w:rPr>
          <w:rFonts w:hint="eastAsia" w:ascii="楷体" w:hAnsi="楷体" w:eastAsia="楷体" w:cs="楷体"/>
          <w:b/>
          <w:color w:val="000000" w:themeColor="text1"/>
          <w:sz w:val="30"/>
          <w:szCs w:val="30"/>
          <w:highlight w:val="none"/>
          <w14:textFill>
            <w14:solidFill>
              <w14:schemeClr w14:val="tx1"/>
            </w14:solidFill>
          </w14:textFill>
        </w:rPr>
        <w:t>、付款方式</w:t>
      </w:r>
    </w:p>
    <w:p w14:paraId="240C5312">
      <w:pPr>
        <w:spacing w:line="360" w:lineRule="auto"/>
        <w:ind w:firstLine="600" w:firstLineChars="200"/>
        <w:rPr>
          <w:rStyle w:val="10"/>
          <w:rFonts w:ascii="楷体" w:hAnsi="楷体" w:eastAsia="楷体" w:cs="楷体"/>
          <w:color w:val="000000" w:themeColor="text1"/>
          <w:sz w:val="30"/>
          <w:szCs w:val="30"/>
          <w:highlight w:val="none"/>
          <w14:textFill>
            <w14:solidFill>
              <w14:schemeClr w14:val="tx1"/>
            </w14:solidFill>
          </w14:textFill>
        </w:rPr>
      </w:pPr>
      <w:r>
        <w:rPr>
          <w:rStyle w:val="10"/>
          <w:rFonts w:hint="eastAsia" w:ascii="楷体" w:hAnsi="楷体" w:eastAsia="楷体" w:cs="楷体"/>
          <w:color w:val="000000" w:themeColor="text1"/>
          <w:sz w:val="30"/>
          <w:szCs w:val="30"/>
          <w:highlight w:val="none"/>
          <w14:textFill>
            <w14:solidFill>
              <w14:schemeClr w14:val="tx1"/>
            </w14:solidFill>
          </w14:textFill>
        </w:rPr>
        <w:t>投标人按采购合同内容合格地履行供货义务后，经验收合格后，凭销售</w:t>
      </w:r>
      <w:bookmarkStart w:id="1" w:name="OLE_LINK23"/>
      <w:bookmarkStart w:id="2" w:name="OLE_LINK24"/>
      <w:r>
        <w:rPr>
          <w:rStyle w:val="10"/>
          <w:rFonts w:hint="eastAsia" w:ascii="楷体" w:hAnsi="楷体" w:eastAsia="楷体" w:cs="楷体"/>
          <w:color w:val="000000" w:themeColor="text1"/>
          <w:sz w:val="30"/>
          <w:szCs w:val="30"/>
          <w:highlight w:val="none"/>
          <w14:textFill>
            <w14:solidFill>
              <w14:schemeClr w14:val="tx1"/>
            </w14:solidFill>
          </w14:textFill>
        </w:rPr>
        <w:t>增值税专用发票</w:t>
      </w:r>
      <w:bookmarkEnd w:id="1"/>
      <w:bookmarkEnd w:id="2"/>
      <w:r>
        <w:rPr>
          <w:rStyle w:val="10"/>
          <w:rFonts w:hint="eastAsia" w:ascii="楷体" w:hAnsi="楷体" w:eastAsia="楷体" w:cs="楷体"/>
          <w:color w:val="000000" w:themeColor="text1"/>
          <w:sz w:val="30"/>
          <w:szCs w:val="30"/>
          <w:highlight w:val="none"/>
          <w14:textFill>
            <w14:solidFill>
              <w14:schemeClr w14:val="tx1"/>
            </w14:solidFill>
          </w14:textFill>
        </w:rPr>
        <w:t>到招标人办理货款结算手续。</w:t>
      </w:r>
    </w:p>
    <w:p w14:paraId="6D5AFF91">
      <w:pPr>
        <w:spacing w:line="360" w:lineRule="auto"/>
        <w:ind w:firstLine="600" w:firstLineChars="200"/>
        <w:rPr>
          <w:rStyle w:val="10"/>
          <w:rFonts w:ascii="楷体" w:hAnsi="楷体" w:eastAsia="楷体" w:cs="楷体"/>
          <w:color w:val="000000" w:themeColor="text1"/>
          <w:sz w:val="30"/>
          <w:szCs w:val="30"/>
          <w:highlight w:val="none"/>
          <w14:textFill>
            <w14:solidFill>
              <w14:schemeClr w14:val="tx1"/>
            </w14:solidFill>
          </w14:textFill>
        </w:rPr>
      </w:pPr>
      <w:r>
        <w:rPr>
          <w:rStyle w:val="10"/>
          <w:rFonts w:hint="eastAsia" w:ascii="楷体" w:hAnsi="楷体" w:eastAsia="楷体" w:cs="楷体"/>
          <w:color w:val="000000" w:themeColor="text1"/>
          <w:sz w:val="30"/>
          <w:szCs w:val="30"/>
          <w:highlight w:val="none"/>
          <w14:textFill>
            <w14:solidFill>
              <w14:schemeClr w14:val="tx1"/>
            </w14:solidFill>
          </w14:textFill>
        </w:rPr>
        <w:t>1.合同签订生效后，</w:t>
      </w:r>
      <w:r>
        <w:rPr>
          <w:rFonts w:hint="eastAsia" w:ascii="楷体" w:hAnsi="楷体" w:eastAsia="楷体" w:cs="楷体"/>
          <w:color w:val="000000" w:themeColor="text1"/>
          <w:sz w:val="30"/>
          <w:szCs w:val="30"/>
          <w:highlight w:val="none"/>
          <w14:textFill>
            <w14:solidFill>
              <w14:schemeClr w14:val="tx1"/>
            </w14:solidFill>
          </w14:textFill>
        </w:rPr>
        <w:t>招标人自收到中标人开具的正规</w:t>
      </w:r>
      <w:bookmarkStart w:id="3" w:name="OLE_LINK26"/>
      <w:bookmarkStart w:id="4" w:name="OLE_LINK25"/>
      <w:r>
        <w:rPr>
          <w:rStyle w:val="10"/>
          <w:rFonts w:hint="eastAsia" w:ascii="楷体" w:hAnsi="楷体" w:eastAsia="楷体" w:cs="楷体"/>
          <w:color w:val="000000" w:themeColor="text1"/>
          <w:sz w:val="30"/>
          <w:szCs w:val="30"/>
          <w:highlight w:val="none"/>
          <w:lang w:val="en-US"/>
          <w14:textFill>
            <w14:solidFill>
              <w14:schemeClr w14:val="tx1"/>
            </w14:solidFill>
          </w14:textFill>
        </w:rPr>
        <w:t>增</w:t>
      </w:r>
      <w:r>
        <w:rPr>
          <w:rFonts w:hint="eastAsia" w:ascii="楷体" w:hAnsi="楷体" w:eastAsia="楷体" w:cs="楷体"/>
          <w:color w:val="000000" w:themeColor="text1"/>
          <w:sz w:val="30"/>
          <w:szCs w:val="30"/>
          <w:highlight w:val="none"/>
          <w14:textFill>
            <w14:solidFill>
              <w14:schemeClr w14:val="tx1"/>
            </w14:solidFill>
          </w14:textFill>
        </w:rPr>
        <w:t>值税专用发票</w:t>
      </w:r>
      <w:bookmarkEnd w:id="3"/>
      <w:bookmarkEnd w:id="4"/>
      <w:r>
        <w:rPr>
          <w:rFonts w:hint="eastAsia" w:ascii="楷体" w:hAnsi="楷体" w:eastAsia="楷体" w:cs="楷体"/>
          <w:color w:val="000000" w:themeColor="text1"/>
          <w:sz w:val="30"/>
          <w:szCs w:val="30"/>
          <w:highlight w:val="none"/>
          <w14:textFill>
            <w14:solidFill>
              <w14:schemeClr w14:val="tx1"/>
            </w14:solidFill>
          </w14:textFill>
        </w:rPr>
        <w:t>后，</w:t>
      </w:r>
      <w:r>
        <w:rPr>
          <w:rStyle w:val="10"/>
          <w:rFonts w:hint="eastAsia" w:ascii="楷体" w:hAnsi="楷体" w:eastAsia="楷体" w:cs="楷体"/>
          <w:color w:val="000000" w:themeColor="text1"/>
          <w:sz w:val="30"/>
          <w:szCs w:val="30"/>
          <w:highlight w:val="none"/>
          <w14:textFill>
            <w14:solidFill>
              <w14:schemeClr w14:val="tx1"/>
            </w14:solidFill>
          </w14:textFill>
        </w:rPr>
        <w:t>1</w:t>
      </w:r>
      <w:r>
        <w:rPr>
          <w:rStyle w:val="10"/>
          <w:rFonts w:hint="eastAsia" w:ascii="楷体" w:hAnsi="楷体" w:eastAsia="楷体" w:cs="楷体"/>
          <w:color w:val="000000" w:themeColor="text1"/>
          <w:sz w:val="30"/>
          <w:szCs w:val="30"/>
          <w:highlight w:val="none"/>
          <w:lang w:val="en-US"/>
          <w14:textFill>
            <w14:solidFill>
              <w14:schemeClr w14:val="tx1"/>
            </w14:solidFill>
          </w14:textFill>
        </w:rPr>
        <w:t>0</w:t>
      </w:r>
      <w:r>
        <w:rPr>
          <w:rStyle w:val="10"/>
          <w:rFonts w:hint="eastAsia" w:ascii="楷体" w:hAnsi="楷体" w:eastAsia="楷体" w:cs="楷体"/>
          <w:color w:val="000000" w:themeColor="text1"/>
          <w:sz w:val="30"/>
          <w:szCs w:val="30"/>
          <w:highlight w:val="none"/>
          <w14:textFill>
            <w14:solidFill>
              <w14:schemeClr w14:val="tx1"/>
            </w14:solidFill>
          </w14:textFill>
        </w:rPr>
        <w:t>个工作日内</w:t>
      </w:r>
      <w:r>
        <w:rPr>
          <w:rStyle w:val="10"/>
          <w:rFonts w:hint="eastAsia" w:ascii="楷体" w:hAnsi="楷体" w:eastAsia="楷体" w:cs="楷体"/>
          <w:color w:val="000000" w:themeColor="text1"/>
          <w:sz w:val="30"/>
          <w:szCs w:val="30"/>
          <w:highlight w:val="none"/>
          <w:lang w:val="en-US"/>
          <w14:textFill>
            <w14:solidFill>
              <w14:schemeClr w14:val="tx1"/>
            </w14:solidFill>
          </w14:textFill>
        </w:rPr>
        <w:t>以银行转账方式</w:t>
      </w:r>
      <w:r>
        <w:rPr>
          <w:rStyle w:val="10"/>
          <w:rFonts w:hint="eastAsia" w:ascii="楷体" w:hAnsi="楷体" w:eastAsia="楷体" w:cs="楷体"/>
          <w:color w:val="000000" w:themeColor="text1"/>
          <w:sz w:val="30"/>
          <w:szCs w:val="30"/>
          <w:highlight w:val="none"/>
          <w14:textFill>
            <w14:solidFill>
              <w14:schemeClr w14:val="tx1"/>
            </w14:solidFill>
          </w14:textFill>
        </w:rPr>
        <w:t>支付</w:t>
      </w:r>
      <w:r>
        <w:rPr>
          <w:rStyle w:val="10"/>
          <w:rFonts w:hint="eastAsia" w:ascii="楷体" w:hAnsi="楷体" w:eastAsia="楷体" w:cs="楷体"/>
          <w:color w:val="000000" w:themeColor="text1"/>
          <w:sz w:val="30"/>
          <w:szCs w:val="30"/>
          <w:highlight w:val="none"/>
          <w:lang w:val="en-US"/>
          <w14:textFill>
            <w14:solidFill>
              <w14:schemeClr w14:val="tx1"/>
            </w14:solidFill>
          </w14:textFill>
        </w:rPr>
        <w:t>4</w:t>
      </w:r>
      <w:r>
        <w:rPr>
          <w:rStyle w:val="10"/>
          <w:rFonts w:hint="eastAsia" w:ascii="楷体" w:hAnsi="楷体" w:eastAsia="楷体" w:cs="楷体"/>
          <w:color w:val="000000" w:themeColor="text1"/>
          <w:sz w:val="30"/>
          <w:szCs w:val="30"/>
          <w:highlight w:val="none"/>
          <w:lang w:val="en-US" w:eastAsia="zh-CN"/>
          <w14:textFill>
            <w14:solidFill>
              <w14:schemeClr w14:val="tx1"/>
            </w14:solidFill>
          </w14:textFill>
        </w:rPr>
        <w:t>5</w:t>
      </w:r>
      <w:r>
        <w:rPr>
          <w:rStyle w:val="10"/>
          <w:rFonts w:hint="eastAsia" w:ascii="楷体" w:hAnsi="楷体" w:eastAsia="楷体" w:cs="楷体"/>
          <w:color w:val="000000" w:themeColor="text1"/>
          <w:sz w:val="30"/>
          <w:szCs w:val="30"/>
          <w:highlight w:val="none"/>
          <w14:textFill>
            <w14:solidFill>
              <w14:schemeClr w14:val="tx1"/>
            </w14:solidFill>
          </w14:textFill>
        </w:rPr>
        <w:t>%的预付款</w:t>
      </w:r>
      <w:r>
        <w:rPr>
          <w:rStyle w:val="10"/>
          <w:rFonts w:hint="eastAsia" w:ascii="楷体" w:hAnsi="楷体" w:eastAsia="楷体" w:cs="楷体"/>
          <w:color w:val="000000" w:themeColor="text1"/>
          <w:sz w:val="30"/>
          <w:szCs w:val="30"/>
          <w:highlight w:val="none"/>
          <w:lang w:val="en-US"/>
          <w14:textFill>
            <w14:solidFill>
              <w14:schemeClr w14:val="tx1"/>
            </w14:solidFill>
          </w14:textFill>
        </w:rPr>
        <w:t>汇入</w:t>
      </w:r>
      <w:r>
        <w:rPr>
          <w:rFonts w:hint="eastAsia" w:ascii="楷体" w:hAnsi="楷体" w:eastAsia="楷体" w:cs="楷体"/>
          <w:color w:val="000000" w:themeColor="text1"/>
          <w:sz w:val="30"/>
          <w:szCs w:val="30"/>
          <w:highlight w:val="none"/>
          <w14:textFill>
            <w14:solidFill>
              <w14:schemeClr w14:val="tx1"/>
            </w14:solidFill>
          </w14:textFill>
        </w:rPr>
        <w:t>中标人</w:t>
      </w:r>
      <w:r>
        <w:rPr>
          <w:rStyle w:val="10"/>
          <w:rFonts w:hint="eastAsia" w:ascii="楷体" w:hAnsi="楷体" w:eastAsia="楷体" w:cs="楷体"/>
          <w:color w:val="000000" w:themeColor="text1"/>
          <w:sz w:val="30"/>
          <w:szCs w:val="30"/>
          <w:highlight w:val="none"/>
          <w:lang w:val="en-US"/>
          <w14:textFill>
            <w14:solidFill>
              <w14:schemeClr w14:val="tx1"/>
            </w14:solidFill>
          </w14:textFill>
        </w:rPr>
        <w:t>指定账户</w:t>
      </w:r>
      <w:r>
        <w:rPr>
          <w:rStyle w:val="10"/>
          <w:rFonts w:hint="eastAsia" w:ascii="楷体" w:hAnsi="楷体" w:eastAsia="楷体" w:cs="楷体"/>
          <w:color w:val="000000" w:themeColor="text1"/>
          <w:sz w:val="30"/>
          <w:szCs w:val="30"/>
          <w:highlight w:val="none"/>
          <w14:textFill>
            <w14:solidFill>
              <w14:schemeClr w14:val="tx1"/>
            </w14:solidFill>
          </w14:textFill>
        </w:rPr>
        <w:t>（</w:t>
      </w:r>
      <w:r>
        <w:rPr>
          <w:rFonts w:hint="eastAsia" w:ascii="楷体" w:hAnsi="楷体" w:eastAsia="楷体" w:cs="楷体"/>
          <w:color w:val="000000" w:themeColor="text1"/>
          <w:sz w:val="28"/>
          <w:szCs w:val="28"/>
          <w:highlight w:val="none"/>
          <w:lang w:val="en-US"/>
          <w14:textFill>
            <w14:solidFill>
              <w14:schemeClr w14:val="tx1"/>
            </w14:solidFill>
          </w14:textFill>
        </w:rPr>
        <w:t>如中标人不需支付此项费用的，招标人可不支付，本项费用连同后期一并支付</w:t>
      </w:r>
      <w:r>
        <w:rPr>
          <w:rStyle w:val="10"/>
          <w:rFonts w:hint="eastAsia" w:ascii="楷体" w:hAnsi="楷体" w:eastAsia="楷体" w:cs="楷体"/>
          <w:color w:val="000000" w:themeColor="text1"/>
          <w:sz w:val="30"/>
          <w:szCs w:val="30"/>
          <w:highlight w:val="none"/>
          <w14:textFill>
            <w14:solidFill>
              <w14:schemeClr w14:val="tx1"/>
            </w14:solidFill>
          </w14:textFill>
        </w:rPr>
        <w:t>）；</w:t>
      </w:r>
    </w:p>
    <w:p w14:paraId="77A6FD85">
      <w:pPr>
        <w:spacing w:line="360" w:lineRule="auto"/>
        <w:ind w:firstLine="600" w:firstLineChars="200"/>
        <w:rPr>
          <w:rStyle w:val="10"/>
          <w:rFonts w:ascii="楷体" w:hAnsi="楷体" w:eastAsia="楷体" w:cs="楷体"/>
          <w:color w:val="000000" w:themeColor="text1"/>
          <w:sz w:val="30"/>
          <w:szCs w:val="30"/>
          <w:highlight w:val="none"/>
          <w:lang w:val="en-US"/>
          <w14:textFill>
            <w14:solidFill>
              <w14:schemeClr w14:val="tx1"/>
            </w14:solidFill>
          </w14:textFill>
        </w:rPr>
      </w:pPr>
      <w:r>
        <w:rPr>
          <w:rStyle w:val="10"/>
          <w:rFonts w:hint="eastAsia" w:ascii="楷体" w:hAnsi="楷体" w:eastAsia="楷体" w:cs="楷体"/>
          <w:color w:val="000000" w:themeColor="text1"/>
          <w:sz w:val="30"/>
          <w:szCs w:val="30"/>
          <w:highlight w:val="none"/>
          <w:lang w:val="en-US"/>
          <w14:textFill>
            <w14:solidFill>
              <w14:schemeClr w14:val="tx1"/>
            </w14:solidFill>
          </w14:textFill>
        </w:rPr>
        <w:t>2.货物到招标人现场并经招标人初步验收合格，招标人自收到中标人开具的正规增</w:t>
      </w:r>
      <w:r>
        <w:rPr>
          <w:rFonts w:hint="eastAsia" w:ascii="楷体" w:hAnsi="楷体" w:eastAsia="楷体" w:cs="楷体"/>
          <w:color w:val="000000" w:themeColor="text1"/>
          <w:sz w:val="30"/>
          <w:szCs w:val="30"/>
          <w:highlight w:val="none"/>
          <w14:textFill>
            <w14:solidFill>
              <w14:schemeClr w14:val="tx1"/>
            </w14:solidFill>
          </w14:textFill>
        </w:rPr>
        <w:t>值税专用发票</w:t>
      </w:r>
      <w:r>
        <w:rPr>
          <w:rStyle w:val="10"/>
          <w:rFonts w:hint="eastAsia" w:ascii="楷体" w:hAnsi="楷体" w:eastAsia="楷体" w:cs="楷体"/>
          <w:color w:val="000000" w:themeColor="text1"/>
          <w:sz w:val="30"/>
          <w:szCs w:val="30"/>
          <w:highlight w:val="none"/>
          <w:lang w:val="en-US"/>
          <w14:textFill>
            <w14:solidFill>
              <w14:schemeClr w14:val="tx1"/>
            </w14:solidFill>
          </w14:textFill>
        </w:rPr>
        <w:t>后，在10个工作日内以银行转账方式支付</w:t>
      </w:r>
      <w:r>
        <w:rPr>
          <w:rStyle w:val="10"/>
          <w:rFonts w:hint="eastAsia" w:ascii="楷体" w:hAnsi="楷体" w:eastAsia="楷体" w:cs="楷体"/>
          <w:color w:val="000000" w:themeColor="text1"/>
          <w:sz w:val="30"/>
          <w:szCs w:val="30"/>
          <w:highlight w:val="none"/>
          <w:lang w:val="en-US" w:eastAsia="zh-CN"/>
          <w14:textFill>
            <w14:solidFill>
              <w14:schemeClr w14:val="tx1"/>
            </w14:solidFill>
          </w14:textFill>
        </w:rPr>
        <w:t>35</w:t>
      </w:r>
      <w:r>
        <w:rPr>
          <w:rStyle w:val="10"/>
          <w:rFonts w:hint="eastAsia" w:ascii="楷体" w:hAnsi="楷体" w:eastAsia="楷体" w:cs="楷体"/>
          <w:color w:val="000000" w:themeColor="text1"/>
          <w:sz w:val="30"/>
          <w:szCs w:val="30"/>
          <w:highlight w:val="none"/>
          <w:lang w:val="en-US"/>
          <w14:textFill>
            <w14:solidFill>
              <w14:schemeClr w14:val="tx1"/>
            </w14:solidFill>
          </w14:textFill>
        </w:rPr>
        <w:t>%的合同款汇入中标人指定账户；</w:t>
      </w:r>
    </w:p>
    <w:p w14:paraId="3B1FAF2F">
      <w:pPr>
        <w:spacing w:line="360" w:lineRule="auto"/>
        <w:ind w:firstLine="600" w:firstLineChars="200"/>
        <w:rPr>
          <w:rStyle w:val="10"/>
          <w:rFonts w:ascii="楷体" w:hAnsi="楷体" w:eastAsia="楷体" w:cs="楷体"/>
          <w:color w:val="000000" w:themeColor="text1"/>
          <w:sz w:val="30"/>
          <w:szCs w:val="30"/>
          <w:highlight w:val="none"/>
          <w14:textFill>
            <w14:solidFill>
              <w14:schemeClr w14:val="tx1"/>
            </w14:solidFill>
          </w14:textFill>
        </w:rPr>
      </w:pPr>
      <w:r>
        <w:rPr>
          <w:rStyle w:val="10"/>
          <w:rFonts w:hint="eastAsia" w:ascii="楷体" w:hAnsi="楷体" w:eastAsia="楷体" w:cs="楷体"/>
          <w:color w:val="000000" w:themeColor="text1"/>
          <w:sz w:val="30"/>
          <w:szCs w:val="30"/>
          <w:highlight w:val="none"/>
          <w:lang w:val="en-US"/>
          <w14:textFill>
            <w14:solidFill>
              <w14:schemeClr w14:val="tx1"/>
            </w14:solidFill>
          </w14:textFill>
        </w:rPr>
        <w:t>3.全部设备完成安装调试，经招标人组织</w:t>
      </w:r>
      <w:r>
        <w:rPr>
          <w:rFonts w:hint="eastAsia" w:ascii="楷体" w:hAnsi="楷体" w:eastAsia="楷体" w:cs="楷体"/>
          <w:color w:val="000000" w:themeColor="text1"/>
          <w:sz w:val="30"/>
          <w:szCs w:val="30"/>
          <w:highlight w:val="none"/>
          <w:lang w:val="en-US"/>
          <w14:textFill>
            <w14:solidFill>
              <w14:schemeClr w14:val="tx1"/>
            </w14:solidFill>
          </w14:textFill>
        </w:rPr>
        <w:t>验收合格后</w:t>
      </w:r>
      <w:r>
        <w:rPr>
          <w:rFonts w:hint="eastAsia" w:ascii="楷体" w:hAnsi="楷体" w:eastAsia="楷体" w:cs="楷体"/>
          <w:color w:val="000000" w:themeColor="text1"/>
          <w:sz w:val="30"/>
          <w:szCs w:val="30"/>
          <w:highlight w:val="none"/>
          <w14:textFill>
            <w14:solidFill>
              <w14:schemeClr w14:val="tx1"/>
            </w14:solidFill>
          </w14:textFill>
        </w:rPr>
        <w:t>，招标人自收到中标人开具的正规</w:t>
      </w:r>
      <w:r>
        <w:rPr>
          <w:rStyle w:val="10"/>
          <w:rFonts w:hint="eastAsia" w:ascii="楷体" w:hAnsi="楷体" w:eastAsia="楷体" w:cs="楷体"/>
          <w:color w:val="000000" w:themeColor="text1"/>
          <w:sz w:val="30"/>
          <w:szCs w:val="30"/>
          <w:highlight w:val="none"/>
          <w:lang w:val="en-US"/>
          <w14:textFill>
            <w14:solidFill>
              <w14:schemeClr w14:val="tx1"/>
            </w14:solidFill>
          </w14:textFill>
        </w:rPr>
        <w:t>增</w:t>
      </w:r>
      <w:r>
        <w:rPr>
          <w:rFonts w:hint="eastAsia" w:ascii="楷体" w:hAnsi="楷体" w:eastAsia="楷体" w:cs="楷体"/>
          <w:color w:val="000000" w:themeColor="text1"/>
          <w:sz w:val="30"/>
          <w:szCs w:val="30"/>
          <w:highlight w:val="none"/>
          <w14:textFill>
            <w14:solidFill>
              <w14:schemeClr w14:val="tx1"/>
            </w14:solidFill>
          </w14:textFill>
        </w:rPr>
        <w:t>值税专用发票后，</w:t>
      </w:r>
      <w:r>
        <w:rPr>
          <w:rStyle w:val="10"/>
          <w:rFonts w:hint="eastAsia" w:ascii="楷体" w:hAnsi="楷体" w:eastAsia="楷体" w:cs="楷体"/>
          <w:color w:val="000000" w:themeColor="text1"/>
          <w:sz w:val="30"/>
          <w:szCs w:val="30"/>
          <w:highlight w:val="none"/>
          <w14:textFill>
            <w14:solidFill>
              <w14:schemeClr w14:val="tx1"/>
            </w14:solidFill>
          </w14:textFill>
        </w:rPr>
        <w:t>在1</w:t>
      </w:r>
      <w:r>
        <w:rPr>
          <w:rStyle w:val="10"/>
          <w:rFonts w:hint="eastAsia" w:ascii="楷体" w:hAnsi="楷体" w:eastAsia="楷体" w:cs="楷体"/>
          <w:color w:val="000000" w:themeColor="text1"/>
          <w:sz w:val="30"/>
          <w:szCs w:val="30"/>
          <w:highlight w:val="none"/>
          <w:lang w:val="en-US"/>
          <w14:textFill>
            <w14:solidFill>
              <w14:schemeClr w14:val="tx1"/>
            </w14:solidFill>
          </w14:textFill>
        </w:rPr>
        <w:t>0</w:t>
      </w:r>
      <w:r>
        <w:rPr>
          <w:rStyle w:val="10"/>
          <w:rFonts w:hint="eastAsia" w:ascii="楷体" w:hAnsi="楷体" w:eastAsia="楷体" w:cs="楷体"/>
          <w:color w:val="000000" w:themeColor="text1"/>
          <w:sz w:val="30"/>
          <w:szCs w:val="30"/>
          <w:highlight w:val="none"/>
          <w14:textFill>
            <w14:solidFill>
              <w14:schemeClr w14:val="tx1"/>
            </w14:solidFill>
          </w14:textFill>
        </w:rPr>
        <w:t>个工作日内</w:t>
      </w:r>
      <w:r>
        <w:rPr>
          <w:rStyle w:val="10"/>
          <w:rFonts w:hint="eastAsia" w:ascii="楷体" w:hAnsi="楷体" w:eastAsia="楷体" w:cs="楷体"/>
          <w:color w:val="000000" w:themeColor="text1"/>
          <w:sz w:val="30"/>
          <w:szCs w:val="30"/>
          <w:highlight w:val="none"/>
          <w:lang w:val="en-US"/>
          <w14:textFill>
            <w14:solidFill>
              <w14:schemeClr w14:val="tx1"/>
            </w14:solidFill>
          </w14:textFill>
        </w:rPr>
        <w:t>以银行转账方式支</w:t>
      </w:r>
      <w:bookmarkStart w:id="5" w:name="_GoBack"/>
      <w:bookmarkEnd w:id="5"/>
      <w:r>
        <w:rPr>
          <w:rStyle w:val="10"/>
          <w:rFonts w:hint="eastAsia" w:ascii="楷体" w:hAnsi="楷体" w:eastAsia="楷体" w:cs="楷体"/>
          <w:color w:val="000000" w:themeColor="text1"/>
          <w:sz w:val="30"/>
          <w:szCs w:val="30"/>
          <w:highlight w:val="none"/>
          <w:lang w:val="en-US"/>
          <w14:textFill>
            <w14:solidFill>
              <w14:schemeClr w14:val="tx1"/>
            </w14:solidFill>
          </w14:textFill>
        </w:rPr>
        <w:t>付剩余合同款</w:t>
      </w:r>
      <w:r>
        <w:rPr>
          <w:rFonts w:hint="eastAsia" w:ascii="楷体" w:hAnsi="楷体" w:eastAsia="楷体" w:cs="楷体"/>
          <w:color w:val="000000" w:themeColor="text1"/>
          <w:sz w:val="30"/>
          <w:szCs w:val="30"/>
          <w:highlight w:val="none"/>
          <w14:textFill>
            <w14:solidFill>
              <w14:schemeClr w14:val="tx1"/>
            </w14:solidFill>
          </w14:textFill>
        </w:rPr>
        <w:t>。</w:t>
      </w:r>
    </w:p>
    <w:p w14:paraId="60EE773B">
      <w:pPr>
        <w:pStyle w:val="3"/>
        <w:adjustRightInd w:val="0"/>
        <w:snapToGrid w:val="0"/>
        <w:spacing w:line="360" w:lineRule="auto"/>
        <w:ind w:firstLine="600" w:firstLineChars="200"/>
        <w:outlineLvl w:val="1"/>
        <w:rPr>
          <w:rFonts w:ascii="楷体" w:hAnsi="楷体" w:eastAsia="楷体" w:cs="楷体"/>
          <w:b/>
          <w:bCs/>
          <w:color w:val="000000" w:themeColor="text1"/>
          <w:sz w:val="30"/>
          <w:szCs w:val="30"/>
          <w:highlight w:val="none"/>
          <w14:textFill>
            <w14:solidFill>
              <w14:schemeClr w14:val="tx1"/>
            </w14:solidFill>
          </w14:textFill>
        </w:rPr>
      </w:pPr>
      <w:r>
        <w:rPr>
          <w:rStyle w:val="10"/>
          <w:rFonts w:hint="eastAsia" w:ascii="楷体" w:hAnsi="楷体" w:eastAsia="楷体" w:cs="楷体"/>
          <w:color w:val="000000" w:themeColor="text1"/>
          <w:sz w:val="30"/>
          <w:szCs w:val="30"/>
          <w:highlight w:val="none"/>
          <w:lang w:val="en-US"/>
          <w14:textFill>
            <w14:solidFill>
              <w14:schemeClr w14:val="tx1"/>
            </w14:solidFill>
          </w14:textFill>
        </w:rPr>
        <w:t>4</w:t>
      </w:r>
      <w:r>
        <w:rPr>
          <w:rStyle w:val="10"/>
          <w:rFonts w:hint="eastAsia" w:ascii="楷体" w:hAnsi="楷体" w:eastAsia="楷体" w:cs="楷体"/>
          <w:color w:val="000000" w:themeColor="text1"/>
          <w:sz w:val="30"/>
          <w:szCs w:val="30"/>
          <w:highlight w:val="none"/>
          <w14:textFill>
            <w14:solidFill>
              <w14:schemeClr w14:val="tx1"/>
            </w14:solidFill>
          </w14:textFill>
        </w:rPr>
        <w:t>.以上采购项目资金支付程序，按照国家、省、市有关财政资金支付管理的规定执行，市财政部门批复资金到账后立即付款。</w:t>
      </w:r>
    </w:p>
    <w:p w14:paraId="68C0BED9">
      <w:pPr>
        <w:pStyle w:val="3"/>
        <w:adjustRightInd w:val="0"/>
        <w:snapToGrid w:val="0"/>
        <w:spacing w:line="360" w:lineRule="auto"/>
        <w:ind w:firstLine="0"/>
        <w:outlineLvl w:val="1"/>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
          <w:bCs/>
          <w:color w:val="000000" w:themeColor="text1"/>
          <w:sz w:val="30"/>
          <w:szCs w:val="30"/>
          <w:highlight w:val="none"/>
          <w14:textFill>
            <w14:solidFill>
              <w14:schemeClr w14:val="tx1"/>
            </w14:solidFill>
          </w14:textFill>
        </w:rPr>
        <w:t>八、报价要求</w:t>
      </w:r>
    </w:p>
    <w:p w14:paraId="45150B17">
      <w:pPr>
        <w:pStyle w:val="3"/>
        <w:adjustRightInd w:val="0"/>
        <w:snapToGrid w:val="0"/>
        <w:spacing w:line="360" w:lineRule="auto"/>
        <w:ind w:firstLine="480"/>
        <w:outlineLvl w:val="1"/>
        <w:rPr>
          <w:rFonts w:ascii="楷体" w:hAnsi="楷体" w:eastAsia="楷体" w:cs="楷体"/>
          <w:b/>
          <w:bCs/>
          <w:color w:val="000000" w:themeColor="text1"/>
          <w:sz w:val="30"/>
          <w:szCs w:val="30"/>
          <w:highlight w:val="none"/>
          <w14:textFill>
            <w14:solidFill>
              <w14:schemeClr w14:val="tx1"/>
            </w14:solidFill>
          </w14:textFill>
        </w:rPr>
      </w:pPr>
      <w:r>
        <w:rPr>
          <w:rFonts w:hint="eastAsia" w:ascii="楷体" w:hAnsi="楷体" w:eastAsia="楷体" w:cs="楷体"/>
          <w:bCs/>
          <w:color w:val="000000" w:themeColor="text1"/>
          <w:sz w:val="30"/>
          <w:szCs w:val="30"/>
          <w:highlight w:val="none"/>
          <w14:textFill>
            <w14:solidFill>
              <w14:schemeClr w14:val="tx1"/>
            </w14:solidFill>
          </w14:textFill>
        </w:rPr>
        <w:t>本项目为交钥匙项目，报价包括全部货物、软件系统、计量校准、辅材、配件、运输、管理、维护、利润、税金、保险、现场安装（包括安装过程中损坏的修补）调试达到正常可使用状态、政策性文件规定及合同包含的所有风险、责任等各项应有费用。投标投标人须对所要采购的全部内容进行报价，只投其中部分内容者，其投标文件将被拒绝。采购单位除支付本次采购项目的合同金额外不再承担其他任何费用。</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351B62"/>
    <w:rsid w:val="26F039F9"/>
    <w:rsid w:val="470A4433"/>
    <w:rsid w:val="51351B62"/>
    <w:rsid w:val="594F55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宋体" w:hAnsi="Times New Roman" w:eastAsia="宋体" w:cs="Times New Roman"/>
      <w:sz w:val="22"/>
      <w:szCs w:val="22"/>
      <w:lang w:val="zh-CN"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Normal Indent"/>
    <w:basedOn w:val="1"/>
    <w:unhideWhenUsed/>
    <w:qFormat/>
    <w:uiPriority w:val="0"/>
    <w:pPr>
      <w:ind w:firstLine="420"/>
    </w:pPr>
  </w:style>
  <w:style w:type="paragraph" w:styleId="4">
    <w:name w:val="Plain Text"/>
    <w:basedOn w:val="1"/>
    <w:qFormat/>
    <w:uiPriority w:val="99"/>
    <w:rPr>
      <w:rFonts w:hint="eastAsia" w:hAnsi="Courier New"/>
      <w:szCs w:val="20"/>
    </w:rPr>
  </w:style>
  <w:style w:type="paragraph" w:customStyle="1" w:styleId="7">
    <w:name w:val="00-合正"/>
    <w:basedOn w:val="1"/>
    <w:qFormat/>
    <w:uiPriority w:val="0"/>
    <w:pPr>
      <w:spacing w:line="560" w:lineRule="exact"/>
      <w:ind w:firstLine="200"/>
    </w:pPr>
    <w:rPr>
      <w:rFonts w:ascii="楷体" w:hAnsi="楷体" w:eastAsia="楷体"/>
      <w:color w:val="000000"/>
      <w:sz w:val="28"/>
    </w:rPr>
  </w:style>
  <w:style w:type="paragraph" w:customStyle="1" w:styleId="8">
    <w:name w:val="正文-奇安信"/>
    <w:basedOn w:val="1"/>
    <w:qFormat/>
    <w:uiPriority w:val="0"/>
    <w:pPr>
      <w:spacing w:line="360" w:lineRule="auto"/>
      <w:ind w:firstLine="420"/>
    </w:pPr>
    <w:rPr>
      <w:rFonts w:eastAsia="仿宋"/>
      <w:sz w:val="24"/>
      <w:szCs w:val="20"/>
    </w:rPr>
  </w:style>
  <w:style w:type="paragraph" w:styleId="9">
    <w:name w:val="List Paragraph"/>
    <w:basedOn w:val="1"/>
    <w:qFormat/>
    <w:uiPriority w:val="34"/>
    <w:pPr>
      <w:ind w:firstLine="420"/>
    </w:pPr>
  </w:style>
  <w:style w:type="character" w:customStyle="1" w:styleId="10">
    <w:name w:val="纯文本 Char"/>
    <w:link w:val="11"/>
    <w:qFormat/>
    <w:uiPriority w:val="0"/>
  </w:style>
  <w:style w:type="paragraph" w:customStyle="1" w:styleId="11">
    <w:name w:val="纯文本1"/>
    <w:basedOn w:val="1"/>
    <w:link w:val="10"/>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19155</Words>
  <Characters>21196</Characters>
  <Lines>0</Lines>
  <Paragraphs>0</Paragraphs>
  <TotalTime>0</TotalTime>
  <ScaleCrop>false</ScaleCrop>
  <LinksUpToDate>false</LinksUpToDate>
  <CharactersWithSpaces>21390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2026-10-30T01:11:00Z</dcterms:created>
  <dc:creator>▕&amp;讀</dc:creator>
  <cp:lastModifiedBy>▕&amp;讀</cp:lastModifiedBy>
  <dcterms:modified xsi:type="dcterms:W3CDTF">2026-10-30T05:45:47Z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0AD8DD7240F943D6975FF589F033CAD2_11</vt:lpwstr>
  </property>
  <property fmtid="{D5CDD505-2E9C-101B-9397-08002B2CF9AE}" pid="4" name="KSOTemplateDocerSaveRecord">
    <vt:lpwstr>eyJoZGlkIjoiNWY0NjEyNGUzZTk2YjBkNjE3NmFjODZlOWRkNjMxMGMiLCJ1c2VySWQiOiIxMzI5MDY0NzI5In0=</vt:lpwstr>
  </property>
</Properties>
</file>