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ind w:firstLine="422"/>
        <w:jc w:val="center"/>
        <w:rPr>
          <w:rFonts w:hint="eastAsia"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r>
      <w:r/>
    </w:p>
    <w:p>
      <w:pPr>
        <w:pStyle w:val="868"/>
        <w:ind w:left="0"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招　标　文　件</w:t>
      </w:r>
      <w:r/>
    </w:p>
    <w:p>
      <w:pPr>
        <w:pStyle w:val="868"/>
        <w:ind w:firstLine="161"/>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868"/>
        <w:ind w:firstLine="141"/>
        <w:rPr>
          <w:b/>
          <w:bCs/>
          <w:color w:val="000000" w:themeColor="text1"/>
          <w:spacing w:val="-20"/>
          <w:sz w:val="32"/>
          <w:highlight w:val="none"/>
          <w14:textFill>
            <w14:solidFill>
              <w14:schemeClr w14:val="tx1"/>
            </w14:solidFill>
          </w14:textFill>
        </w:rPr>
      </w:pPr>
      <w:r>
        <w:rPr>
          <w:b/>
          <w:bCs/>
          <w:color w:val="000000" w:themeColor="text1"/>
          <w:spacing w:val="-20"/>
          <w:sz w:val="32"/>
          <w:highlight w:val="none"/>
          <w14:textFill>
            <w14:solidFill>
              <w14:schemeClr w14:val="tx1"/>
            </w14:solidFill>
          </w14:textFill>
        </w:rPr>
      </w:r>
      <w:r/>
    </w:p>
    <w:p>
      <w:pPr>
        <w:pStyle w:val="868"/>
        <w:ind w:left="0" w:right="-420" w:firstLine="0"/>
        <w:keepLines w:val="0"/>
        <w:keepNext w:val="0"/>
        <w:pageBreakBefore w:val="0"/>
        <w:widowControl/>
        <w:rPr>
          <w:rFonts w:hint="eastAsia" w:eastAsia="宋体" w:cs="宋体"/>
          <w:b/>
          <w:bCs/>
          <w:color w:val="000000" w:themeColor="text1"/>
          <w:sz w:val="30"/>
          <w:szCs w:val="30"/>
          <w:highlight w:val="none"/>
          <w:lang w:val="en-US" w:eastAsia="zh-CN"/>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项目名称：</w:t>
      </w:r>
      <w:r>
        <w:rPr>
          <w:rFonts w:hint="eastAsia" w:cs="宋体"/>
          <w:b/>
          <w:bCs/>
          <w:color w:val="000000" w:themeColor="text1"/>
          <w:sz w:val="30"/>
          <w:szCs w:val="30"/>
          <w:highlight w:val="none"/>
          <w:lang w:val="en-US" w:eastAsia="zh-CN"/>
          <w14:textFill>
            <w14:solidFill>
              <w14:schemeClr w14:val="tx1"/>
            </w14:solidFill>
          </w14:textFill>
        </w:rPr>
        <w:t xml:space="preserve">2026年民生实事（亿丰岗等25处信号灯路口电子监控升级改造项目）</w:t>
      </w:r>
      <w:r/>
    </w:p>
    <w:p>
      <w:pPr>
        <w:pStyle w:val="868"/>
        <w:ind w:left="0" w:right="-420" w:firstLine="0"/>
        <w:keepLines w:val="0"/>
        <w:keepNext w:val="0"/>
        <w:pageBreakBefore w:val="0"/>
        <w:widowControl/>
        <w:rPr>
          <w:rFonts w:hint="eastAsia" w:ascii="Arial" w:hAnsi="Arial" w:eastAsia="宋体" w:cs="宋体"/>
          <w:b/>
          <w:bCs/>
          <w:color w:val="000000" w:themeColor="text1"/>
          <w:sz w:val="30"/>
          <w:szCs w:val="30"/>
          <w:highlight w:val="none"/>
          <w:lang w:val="en-US" w:eastAsia="zh-CN" w:bidi="ar-SA"/>
          <w14:textFill>
            <w14:solidFill>
              <w14:schemeClr w14:val="tx1"/>
            </w14:solidFill>
          </w14:textFill>
        </w:rPr>
      </w:pPr>
      <w:r>
        <w:rPr>
          <w:rFonts w:hint="eastAsia" w:ascii="Arial" w:hAnsi="Arial"/>
          <w:b/>
          <w:bCs/>
          <w:color w:val="000000" w:themeColor="text1"/>
          <w:sz w:val="30"/>
          <w:szCs w:val="30"/>
          <w:highlight w:val="none"/>
          <w14:textFill>
            <w14:solidFill>
              <w14:schemeClr w14:val="tx1"/>
            </w14:solidFill>
          </w14:textFill>
        </w:rPr>
        <w:t xml:space="preserve">项目编号：</w:t>
      </w:r>
      <w:r>
        <w:rPr>
          <w:rFonts w:hint="eastAsia" w:cs="宋体"/>
          <w:b/>
          <w:bCs/>
          <w:color w:val="000000" w:themeColor="text1"/>
          <w:sz w:val="30"/>
          <w:szCs w:val="30"/>
          <w:highlight w:val="none"/>
          <w:lang w:val="en-US" w:eastAsia="zh-CN" w:bidi="ar-SA"/>
          <w14:textFill>
            <w14:solidFill>
              <w14:schemeClr w14:val="tx1"/>
            </w14:solidFill>
          </w14:textFill>
        </w:rPr>
        <w:t xml:space="preserve">JSZC-321023-JNZX-G2026-0019    </w:t>
      </w:r>
      <w:r>
        <w:rPr>
          <w:rFonts w:hint="eastAsia" w:ascii="Arial" w:hAnsi="Arial" w:eastAsia="宋体" w:cs="宋体"/>
          <w:b/>
          <w:bCs/>
          <w:color w:val="000000" w:themeColor="text1"/>
          <w:sz w:val="30"/>
          <w:szCs w:val="30"/>
          <w:highlight w:val="none"/>
          <w:lang w:val="en-US" w:eastAsia="zh-CN" w:bidi="ar-SA"/>
          <w14:textFill>
            <w14:solidFill>
              <w14:schemeClr w14:val="tx1"/>
            </w14:solidFill>
          </w14:textFill>
        </w:rPr>
        <w:t xml:space="preserve"> </w:t>
      </w:r>
      <w:r/>
    </w:p>
    <w:p>
      <w:pPr>
        <w:pStyle w:val="868"/>
        <w:ind w:firstLine="12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68"/>
        <w:ind w:firstLine="12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68"/>
        <w:ind w:firstLine="12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68"/>
        <w:ind w:left="0"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68"/>
        <w:ind w:firstLine="12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68"/>
        <w:ind w:firstLine="12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68"/>
        <w:ind w:firstLine="12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68"/>
        <w:ind w:firstLine="12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68"/>
        <w:ind w:firstLine="12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1440"/>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r>
      <w:r/>
    </w:p>
    <w:p>
      <w:pPr>
        <w:ind w:firstLine="960"/>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采 </w:t>
      </w:r>
      <w:r>
        <w:rPr>
          <w:rFonts w:hint="eastAsia"/>
          <w:color w:val="000000" w:themeColor="text1"/>
          <w:sz w:val="32"/>
          <w:szCs w:val="32"/>
          <w:highlight w:val="none"/>
          <w:lang w:val="en-US" w:eastAsia="zh-CN"/>
          <w14:textFill>
            <w14:solidFill>
              <w14:schemeClr w14:val="tx1"/>
            </w14:solidFill>
          </w14:textFill>
        </w:rPr>
        <w:t xml:space="preserve">  </w:t>
      </w:r>
      <w:r>
        <w:rPr>
          <w:rFonts w:hint="eastAsia"/>
          <w:color w:val="000000" w:themeColor="text1"/>
          <w:sz w:val="32"/>
          <w:szCs w:val="32"/>
          <w:highlight w:val="none"/>
          <w14:textFill>
            <w14:solidFill>
              <w14:schemeClr w14:val="tx1"/>
            </w14:solidFill>
          </w14:textFill>
        </w:rPr>
        <w:t xml:space="preserve">购</w:t>
      </w:r>
      <w:r>
        <w:rPr>
          <w:rFonts w:hint="eastAsia"/>
          <w:color w:val="000000" w:themeColor="text1"/>
          <w:sz w:val="32"/>
          <w:szCs w:val="32"/>
          <w:highlight w:val="none"/>
          <w:lang w:val="en-US" w:eastAsia="zh-CN"/>
          <w14:textFill>
            <w14:solidFill>
              <w14:schemeClr w14:val="tx1"/>
            </w14:solidFill>
          </w14:textFill>
        </w:rPr>
        <w:t xml:space="preserve">  </w:t>
      </w:r>
      <w:r>
        <w:rPr>
          <w:rFonts w:hint="eastAsia"/>
          <w:color w:val="000000" w:themeColor="text1"/>
          <w:sz w:val="32"/>
          <w:szCs w:val="32"/>
          <w:highlight w:val="none"/>
          <w14:textFill>
            <w14:solidFill>
              <w14:schemeClr w14:val="tx1"/>
            </w14:solidFill>
          </w14:textFill>
        </w:rPr>
        <w:t xml:space="preserve"> 人：</w:t>
      </w:r>
      <w:r>
        <w:rPr>
          <w:rFonts w:hint="eastAsia" w:cs="宋体"/>
          <w:color w:val="000000" w:themeColor="text1"/>
          <w:sz w:val="32"/>
          <w:szCs w:val="32"/>
          <w:highlight w:val="none"/>
          <w:lang w:eastAsia="zh-CN"/>
          <w14:textFill>
            <w14:solidFill>
              <w14:schemeClr w14:val="tx1"/>
            </w14:solidFill>
          </w14:textFill>
        </w:rPr>
        <w:t xml:space="preserve">宝应县公安局</w:t>
      </w:r>
      <w:r/>
    </w:p>
    <w:p>
      <w:pPr>
        <w:ind w:firstLine="960"/>
        <w:rPr>
          <w:rFonts w:hint="eastAsia" w:eastAsia="宋体"/>
          <w:b/>
          <w:bCs/>
          <w:color w:val="000000" w:themeColor="text1"/>
          <w:sz w:val="32"/>
          <w:highlight w:val="none"/>
          <w:lang w:eastAsia="zh-CN"/>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采购代理机构：</w:t>
      </w:r>
      <w:r>
        <w:rPr>
          <w:rFonts w:hint="eastAsia"/>
          <w:color w:val="000000" w:themeColor="text1"/>
          <w:sz w:val="32"/>
          <w:szCs w:val="32"/>
          <w:highlight w:val="none"/>
          <w:lang w:eastAsia="zh-CN"/>
          <w14:textFill>
            <w14:solidFill>
              <w14:schemeClr w14:val="tx1"/>
            </w14:solidFill>
          </w14:textFill>
        </w:rPr>
        <w:t xml:space="preserve">江苏江南工程管理咨询有限公司</w:t>
      </w:r>
      <w:r/>
    </w:p>
    <w:p>
      <w:pPr>
        <w:jc w:val="center"/>
        <w:rPr>
          <w:rFonts w:hint="eastAsia"/>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202</w:t>
      </w:r>
      <w:r>
        <w:rPr>
          <w:rFonts w:hint="eastAsia"/>
          <w:b/>
          <w:bCs/>
          <w:color w:val="000000" w:themeColor="text1"/>
          <w:sz w:val="32"/>
          <w:highlight w:val="none"/>
          <w:lang w:val="en-US" w:eastAsia="zh-CN"/>
          <w14:textFill>
            <w14:solidFill>
              <w14:schemeClr w14:val="tx1"/>
            </w14:solidFill>
          </w14:textFill>
        </w:rPr>
        <w:t xml:space="preserve">6</w:t>
      </w:r>
      <w:r>
        <w:rPr>
          <w:rFonts w:hint="eastAsia"/>
          <w:b/>
          <w:bCs/>
          <w:color w:val="000000" w:themeColor="text1"/>
          <w:sz w:val="32"/>
          <w:highlight w:val="none"/>
          <w14:textFill>
            <w14:solidFill>
              <w14:schemeClr w14:val="tx1"/>
            </w14:solidFill>
          </w14:textFill>
        </w:rPr>
        <w:t xml:space="preserve">年</w:t>
      </w:r>
      <w:r>
        <w:rPr>
          <w:rFonts w:hint="eastAsia"/>
          <w:b/>
          <w:bCs/>
          <w:color w:val="000000" w:themeColor="text1"/>
          <w:sz w:val="32"/>
          <w:highlight w:val="none"/>
          <w:lang w:val="en-US" w:eastAsia="zh-CN"/>
          <w14:textFill>
            <w14:solidFill>
              <w14:schemeClr w14:val="tx1"/>
            </w14:solidFill>
          </w14:textFill>
        </w:rPr>
        <w:t xml:space="preserve">10</w:t>
      </w:r>
      <w:r>
        <w:rPr>
          <w:rFonts w:hint="eastAsia"/>
          <w:b/>
          <w:bCs/>
          <w:color w:val="000000" w:themeColor="text1"/>
          <w:sz w:val="32"/>
          <w:highlight w:val="none"/>
          <w14:textFill>
            <w14:solidFill>
              <w14:schemeClr w14:val="tx1"/>
            </w14:solidFill>
          </w14:textFill>
        </w:rPr>
        <w:t xml:space="preserve">月</w:t>
      </w:r>
      <w:r/>
    </w:p>
    <w:p>
      <w:pPr>
        <w:rPr>
          <w:rFonts w:hint="eastAsia"/>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br w:type="page" w:clear="all"/>
      </w:r>
      <w:r/>
    </w:p>
    <w:p>
      <w:pPr>
        <w:jc w:val="center"/>
        <w:rPr>
          <w:rFonts w:hint="eastAsia"/>
          <w:b/>
          <w:bCs/>
          <w:color w:val="000000" w:themeColor="text1"/>
          <w:sz w:val="32"/>
          <w:highlight w:val="none"/>
          <w14:textFill>
            <w14:solidFill>
              <w14:schemeClr w14:val="tx1"/>
            </w14:solidFill>
          </w14:textFill>
        </w:rPr>
      </w:pPr>
      <w:r>
        <w:rPr>
          <w:rFonts w:hint="eastAsia"/>
          <w:b/>
          <w:bCs/>
          <w:color w:val="000000" w:themeColor="text1"/>
          <w:sz w:val="32"/>
          <w:highlight w:val="none"/>
          <w14:textFill>
            <w14:solidFill>
              <w14:schemeClr w14:val="tx1"/>
            </w14:solidFill>
          </w14:textFill>
        </w:rPr>
      </w:r>
      <w:r/>
    </w:p>
    <w:p>
      <w:pPr>
        <w:jc w:val="center"/>
        <w:rPr>
          <w:rFonts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 xml:space="preserve">目</w:t>
      </w:r>
      <w:r>
        <w:rPr>
          <w:rFonts w:ascii="宋体" w:hAnsi="宋体"/>
          <w:b/>
          <w:color w:val="000000" w:themeColor="text1"/>
          <w:sz w:val="44"/>
          <w:szCs w:val="44"/>
          <w:highlight w:val="none"/>
          <w14:textFill>
            <w14:solidFill>
              <w14:schemeClr w14:val="tx1"/>
            </w14:solidFill>
          </w14:textFill>
        </w:rPr>
        <w:t xml:space="preserve"> 录</w:t>
      </w:r>
      <w:r/>
    </w:p>
    <w:p>
      <w:pPr>
        <w:jc w:val="cente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682"/>
        <w:spacing w:line="360" w:lineRule="auto"/>
        <w:tabs>
          <w:tab w:val="right" w:pos="8296" w:leader="dot"/>
        </w:tabs>
        <w:rPr>
          <w:rFonts w:hint="eastAsia" w:ascii="Calibri" w:hAnsi="Calibri" w:eastAsia="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"1-3" \f </w:instrText>
      </w:r>
      <w:r>
        <w:rPr>
          <w:rFonts w:hint="eastAsia" w:ascii="宋体" w:hAnsi="宋体" w:cs="宋体"/>
          <w:color w:val="000000" w:themeColor="text1"/>
          <w:szCs w:val="21"/>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第一章投标邀请</w:t>
      </w:r>
      <w:r>
        <w:rPr>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3</w:t>
      </w:r>
      <w:r/>
    </w:p>
    <w:p>
      <w:pPr>
        <w:pStyle w:val="682"/>
        <w:spacing w:line="360" w:lineRule="auto"/>
        <w:tabs>
          <w:tab w:val="right" w:pos="8296" w:leader="dot"/>
        </w:tabs>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第二章投标人须知</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7</w:t>
      </w:r>
      <w:r/>
    </w:p>
    <w:p>
      <w:pPr>
        <w:pStyle w:val="682"/>
        <w:spacing w:line="360" w:lineRule="auto"/>
        <w:tabs>
          <w:tab w:val="right" w:pos="8296" w:leader="dot"/>
        </w:tabs>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第三章合同条款及格式</w:t>
      </w:r>
      <w:r>
        <w:rPr>
          <w:color w:val="000000" w:themeColor="text1"/>
          <w:highlight w:val="none"/>
          <w14:textFill>
            <w14:solidFill>
              <w14:schemeClr w14:val="tx1"/>
            </w14:solidFill>
          </w14:textFill>
        </w:rPr>
        <w:tab/>
        <w:t xml:space="preserve">19</w:t>
      </w:r>
      <w:r/>
    </w:p>
    <w:p>
      <w:pPr>
        <w:pStyle w:val="682"/>
        <w:spacing w:line="360" w:lineRule="auto"/>
        <w:tabs>
          <w:tab w:val="right" w:pos="8296" w:leader="dot"/>
        </w:tabs>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第四章项目需求</w:t>
      </w:r>
      <w:r>
        <w:rPr>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24</w:t>
      </w:r>
      <w:r/>
    </w:p>
    <w:p>
      <w:pPr>
        <w:pStyle w:val="682"/>
        <w:spacing w:line="360" w:lineRule="auto"/>
        <w:tabs>
          <w:tab w:val="right" w:pos="8296" w:leader="dot"/>
        </w:tabs>
        <w:rPr>
          <w:rFonts w:ascii="Calibri" w:hAnsi="Calibri"/>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第五章评标方法及评标标准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64</w:t>
      </w:r>
      <w:r/>
    </w:p>
    <w:p>
      <w:pPr>
        <w:pStyle w:val="682"/>
        <w:spacing w:line="360" w:lineRule="auto"/>
        <w:tabs>
          <w:tab w:val="right" w:pos="8296"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第六章投标文件格式</w:t>
      </w:r>
      <w:r>
        <w:rPr>
          <w:color w:val="000000" w:themeColor="text1"/>
          <w:highlight w:val="none"/>
          <w14:textFill>
            <w14:solidFill>
              <w14:schemeClr w14:val="tx1"/>
            </w14:solidFill>
          </w14:textFill>
        </w:rPr>
        <w:tab/>
        <w:t xml:space="preserve">67</w:t>
      </w:r>
      <w:r>
        <w:rPr>
          <w:rFonts w:hint="eastAsia"/>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宋体" w:hAnsi="宋体"/>
          <w:color w:val="000000" w:themeColor="text1"/>
          <w:sz w:val="28"/>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fldChar w:fldCharType="end"/>
      </w:r>
      <w:r/>
    </w:p>
    <w:p>
      <w:pPr>
        <w:pStyle w:val="870"/>
        <w:numPr>
          <w:ilvl w:val="0"/>
          <w:numId w:val="1"/>
        </w:numPr>
        <w:jc w:val="center"/>
        <w:spacing w:line="440" w:lineRule="exact"/>
        <w:rPr>
          <w:rFonts w:ascii="宋体" w:hAnsi="宋体"/>
          <w:color w:val="000000" w:themeColor="text1"/>
          <w:sz w:val="36"/>
          <w:highlight w:val="none"/>
          <w14:textFill>
            <w14:solidFill>
              <w14:schemeClr w14:val="tx1"/>
            </w14:solidFill>
          </w14:textFill>
        </w:rPr>
      </w:pPr>
      <w:r/>
      <w:bookmarkStart w:id="0" w:name="_Toc500859145"/>
      <w:r>
        <w:rPr>
          <w:rFonts w:hint="eastAsia" w:ascii="宋体" w:hAnsi="宋体"/>
          <w:color w:val="000000" w:themeColor="text1"/>
          <w:sz w:val="36"/>
          <w:highlight w:val="none"/>
          <w14:textFill>
            <w14:solidFill>
              <w14:schemeClr w14:val="tx1"/>
            </w14:solidFill>
          </w14:textFill>
        </w:rPr>
        <w:t xml:space="preserve">投标</w:t>
      </w:r>
      <w:r>
        <w:rPr>
          <w:rFonts w:ascii="宋体" w:hAnsi="宋体"/>
          <w:color w:val="000000" w:themeColor="text1"/>
          <w:sz w:val="36"/>
          <w:highlight w:val="none"/>
          <w14:textFill>
            <w14:solidFill>
              <w14:schemeClr w14:val="tx1"/>
            </w14:solidFill>
          </w14:textFill>
        </w:rPr>
        <w:t xml:space="preserve">邀请</w:t>
      </w:r>
      <w:r/>
    </w:p>
    <w:p>
      <w:pPr>
        <w:ind w:firstLine="316"/>
        <w:jc w:val="center"/>
        <w:spacing w:line="44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0"/>
        <w:spacing w:line="360" w:lineRule="auto"/>
        <w:tabs>
          <w:tab w:val="left" w:pos="266"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受</w:t>
      </w:r>
      <w:r>
        <w:rPr>
          <w:rFonts w:hint="eastAsia" w:ascii="宋体" w:hAnsi="宋体" w:cs="宋体"/>
          <w:color w:val="000000" w:themeColor="text1"/>
          <w:highlight w:val="none"/>
          <w:lang w:eastAsia="zh-CN"/>
          <w14:textFill>
            <w14:solidFill>
              <w14:schemeClr w14:val="tx1"/>
            </w14:solidFill>
          </w14:textFill>
        </w:rPr>
        <w:t xml:space="preserve">宝应县公安局</w:t>
      </w:r>
      <w:r>
        <w:rPr>
          <w:rFonts w:hint="eastAsia" w:ascii="宋体" w:hAnsi="宋体" w:cs="宋体"/>
          <w:color w:val="000000" w:themeColor="text1"/>
          <w:highlight w:val="none"/>
          <w14:textFill>
            <w14:solidFill>
              <w14:schemeClr w14:val="tx1"/>
            </w14:solidFill>
          </w14:textFill>
        </w:rPr>
        <w:t xml:space="preserve">的委托，</w:t>
      </w:r>
      <w:r>
        <w:rPr>
          <w:rFonts w:hint="eastAsia" w:ascii="宋体" w:hAnsi="宋体" w:cs="宋体"/>
          <w:color w:val="000000" w:themeColor="text1"/>
          <w:highlight w:val="none"/>
          <w:lang w:eastAsia="zh-CN"/>
          <w14:textFill>
            <w14:solidFill>
              <w14:schemeClr w14:val="tx1"/>
            </w14:solidFill>
          </w14:textFill>
        </w:rPr>
        <w:t xml:space="preserve">江苏江南工程管理咨询有限公司</w:t>
      </w:r>
      <w:r>
        <w:rPr>
          <w:rFonts w:hint="eastAsia" w:ascii="宋体" w:hAnsi="宋体" w:cs="宋体"/>
          <w:color w:val="000000" w:themeColor="text1"/>
          <w:highlight w:val="none"/>
          <w14:textFill>
            <w14:solidFill>
              <w14:schemeClr w14:val="tx1"/>
            </w14:solidFill>
          </w14:textFill>
        </w:rPr>
        <w:t xml:space="preserve">就</w:t>
      </w:r>
      <w:r>
        <w:rPr>
          <w:rFonts w:hint="eastAsia" w:ascii="宋体" w:hAnsi="宋体"/>
          <w:color w:val="000000" w:themeColor="text1"/>
          <w:szCs w:val="21"/>
          <w:highlight w:val="none"/>
          <w:u w:val="single"/>
          <w:lang w:eastAsia="zh-CN"/>
          <w14:textFill>
            <w14:solidFill>
              <w14:schemeClr w14:val="tx1"/>
            </w14:solidFill>
          </w14:textFill>
        </w:rPr>
        <w:t xml:space="preserve">2026年民生实事（亿丰岗等25处信号灯路口电子监控升级改造项目）</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eastAsia="zh-CN"/>
          <w14:textFill>
            <w14:solidFill>
              <w14:schemeClr w14:val="tx1"/>
            </w14:solidFill>
          </w14:textFill>
        </w:rPr>
        <w:t xml:space="preserve">JSZC-321023-JNZX-G2026-0019</w:t>
      </w:r>
      <w:r>
        <w:rPr>
          <w:rFonts w:hint="eastAsia" w:ascii="宋体" w:hAnsi="宋体" w:cs="宋体"/>
          <w:color w:val="000000" w:themeColor="text1"/>
          <w:highlight w:val="none"/>
          <w14:textFill>
            <w14:solidFill>
              <w14:schemeClr w14:val="tx1"/>
            </w14:solidFill>
          </w14:textFill>
        </w:rPr>
        <w:t xml:space="preserve">)进行公开招标采购，欢迎符合条件的供应商投标。</w:t>
      </w:r>
      <w:r/>
    </w:p>
    <w:p>
      <w:pPr>
        <w:ind w:firstLine="420"/>
        <w:rPr>
          <w:rFonts w:ascii="宋体" w:hAnsi="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highlight w:val="none"/>
          <w14:textFill>
            <w14:solidFill>
              <w14:schemeClr w14:val="tx1"/>
            </w14:solidFill>
          </w14:textFill>
        </w:rPr>
        <w:t xml:space="preserve">项目概况</w:t>
      </w:r>
      <w:r/>
    </w:p>
    <w:p>
      <w:pPr>
        <w:ind w:firstLine="420"/>
        <w:rPr>
          <w:rFonts w:ascii="宋体" w:hAnsi="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highlight w:val="none"/>
          <w:u w:val="single"/>
          <w:lang w:eastAsia="zh-CN"/>
          <w14:textFill>
            <w14:solidFill>
              <w14:schemeClr w14:val="tx1"/>
            </w14:solidFill>
          </w14:textFill>
        </w:rPr>
        <w:t xml:space="preserve">2026年民生实事（亿丰岗等25处信号灯路口电子监控升级改造项目）</w:t>
      </w:r>
      <w:r>
        <w:rPr>
          <w:rFonts w:ascii="宋体" w:hAnsi="宋体"/>
          <w:color w:val="000000" w:themeColor="text1"/>
          <w:szCs w:val="21"/>
          <w:highlight w:val="none"/>
          <w14:textFill>
            <w14:solidFill>
              <w14:schemeClr w14:val="tx1"/>
            </w14:solidFill>
          </w14:textFill>
        </w:rPr>
        <w:t xml:space="preserve">的潜在投标人可在</w:t>
      </w:r>
      <w:r>
        <w:rPr>
          <w:rFonts w:ascii="宋体" w:hAnsi="宋体"/>
          <w:color w:val="000000" w:themeColor="text1"/>
          <w:szCs w:val="21"/>
          <w:highlight w:val="none"/>
          <w:u w:val="single"/>
          <w14:textFill>
            <w14:solidFill>
              <w14:schemeClr w14:val="tx1"/>
            </w14:solidFill>
          </w14:textFill>
        </w:rPr>
        <w:t xml:space="preserve"> “扬州市政府采购网”、“江苏省政府采购网”</w:t>
      </w:r>
      <w:r>
        <w:rPr>
          <w:rFonts w:hint="eastAsia" w:ascii="MS Mincho" w:hAnsi="MS Mincho" w:eastAsia="MS Mincho" w:cs="MS Mincho"/>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自行下载招标文件，并于</w:t>
      </w:r>
      <w:r>
        <w:rPr>
          <w:rFonts w:ascii="宋体" w:hAnsi="宋体"/>
          <w:color w:val="000000" w:themeColor="text1"/>
          <w:szCs w:val="21"/>
          <w:highlight w:val="none"/>
          <w:u w:val="single"/>
          <w14:textFill>
            <w14:solidFill>
              <w14:schemeClr w14:val="tx1"/>
            </w14:solidFill>
          </w14:textFill>
        </w:rPr>
        <w:t xml:space="preserve">202</w:t>
      </w:r>
      <w:r>
        <w:rPr>
          <w:rFonts w:hint="eastAsia" w:ascii="宋体" w:hAnsi="宋体"/>
          <w:color w:val="000000" w:themeColor="text1"/>
          <w:szCs w:val="21"/>
          <w:highlight w:val="none"/>
          <w:u w:val="single"/>
          <w14:textFill>
            <w14:solidFill>
              <w14:schemeClr w14:val="tx1"/>
            </w14:solidFill>
          </w14:textFill>
        </w:rPr>
        <w:t xml:space="preserve">6</w:t>
      </w:r>
      <w:r>
        <w:rPr>
          <w:rFonts w:ascii="宋体" w:hAnsi="宋体"/>
          <w:color w:val="000000" w:themeColor="text1"/>
          <w:szCs w:val="21"/>
          <w:highlight w:val="none"/>
          <w:u w:val="single"/>
          <w14:textFill>
            <w14:solidFill>
              <w14:schemeClr w14:val="tx1"/>
            </w14:solidFill>
          </w14:textFill>
        </w:rPr>
        <w:t xml:space="preserve">年</w:t>
      </w:r>
      <w:r>
        <w:rPr>
          <w:rFonts w:hint="eastAsia" w:ascii="宋体" w:hAnsi="宋体"/>
          <w:color w:val="000000" w:themeColor="text1"/>
          <w:szCs w:val="21"/>
          <w:highlight w:val="none"/>
          <w:u w:val="single"/>
          <w:lang w:val="en-US" w:eastAsia="zh-CN"/>
          <w14:textFill>
            <w14:solidFill>
              <w14:schemeClr w14:val="tx1"/>
            </w14:solidFill>
          </w14:textFill>
        </w:rPr>
        <w:t xml:space="preserve">10</w:t>
      </w:r>
      <w:r>
        <w:rPr>
          <w:rFonts w:ascii="宋体" w:hAnsi="宋体"/>
          <w:color w:val="000000" w:themeColor="text1"/>
          <w:szCs w:val="21"/>
          <w:highlight w:val="none"/>
          <w:u w:val="single"/>
          <w14:textFill>
            <w14:solidFill>
              <w14:schemeClr w14:val="tx1"/>
            </w14:solidFill>
          </w14:textFill>
        </w:rPr>
        <w:t xml:space="preserve">月</w:t>
      </w:r>
      <w:r>
        <w:rPr>
          <w:rFonts w:hint="eastAsia" w:ascii="宋体" w:hAnsi="宋体"/>
          <w:color w:val="000000" w:themeColor="text1"/>
          <w:szCs w:val="21"/>
          <w:highlight w:val="none"/>
          <w:u w:val="single"/>
          <w:lang w:val="en-US" w:eastAsia="zh-CN"/>
          <w14:textFill>
            <w14:solidFill>
              <w14:schemeClr w14:val="tx1"/>
            </w14:solidFill>
          </w14:textFill>
        </w:rPr>
        <w:t xml:space="preserve">30</w:t>
      </w:r>
      <w:r>
        <w:rPr>
          <w:rFonts w:ascii="宋体" w:hAnsi="宋体"/>
          <w:color w:val="000000" w:themeColor="text1"/>
          <w:szCs w:val="21"/>
          <w:highlight w:val="none"/>
          <w:u w:val="single"/>
          <w14:textFill>
            <w14:solidFill>
              <w14:schemeClr w14:val="tx1"/>
            </w14:solidFill>
          </w14:textFill>
        </w:rPr>
        <w:t xml:space="preserve">日</w:t>
      </w:r>
      <w:r>
        <w:rPr>
          <w:rFonts w:hint="eastAsia" w:ascii="宋体" w:hAnsi="宋体"/>
          <w:color w:val="000000" w:themeColor="text1"/>
          <w:szCs w:val="21"/>
          <w:highlight w:val="none"/>
          <w:u w:val="single"/>
          <w14:textFill>
            <w14:solidFill>
              <w14:schemeClr w14:val="tx1"/>
            </w14:solidFill>
          </w14:textFill>
        </w:rPr>
        <w:t xml:space="preserve">15</w:t>
      </w:r>
      <w:r>
        <w:rPr>
          <w:rFonts w:ascii="宋体" w:hAnsi="宋体"/>
          <w:color w:val="000000" w:themeColor="text1"/>
          <w:szCs w:val="21"/>
          <w:highlight w:val="none"/>
          <w:u w:val="single"/>
          <w14:textFill>
            <w14:solidFill>
              <w14:schemeClr w14:val="tx1"/>
            </w14:solidFill>
          </w14:textFill>
        </w:rPr>
        <w:t xml:space="preserve">点</w:t>
      </w:r>
      <w:r>
        <w:rPr>
          <w:rFonts w:hint="eastAsia" w:ascii="宋体" w:hAnsi="宋体"/>
          <w:color w:val="000000" w:themeColor="text1"/>
          <w:szCs w:val="21"/>
          <w:highlight w:val="none"/>
          <w:u w:val="single"/>
          <w14:textFill>
            <w14:solidFill>
              <w14:schemeClr w14:val="tx1"/>
            </w14:solidFill>
          </w14:textFill>
        </w:rPr>
        <w:t xml:space="preserve">0</w:t>
      </w:r>
      <w:r>
        <w:rPr>
          <w:rFonts w:ascii="宋体" w:hAnsi="宋体"/>
          <w:color w:val="000000" w:themeColor="text1"/>
          <w:szCs w:val="21"/>
          <w:highlight w:val="none"/>
          <w:u w:val="single"/>
          <w14:textFill>
            <w14:solidFill>
              <w14:schemeClr w14:val="tx1"/>
            </w14:solidFill>
          </w14:textFill>
        </w:rPr>
        <w:t xml:space="preserve">0分</w:t>
      </w:r>
      <w:r>
        <w:rPr>
          <w:rFonts w:ascii="宋体" w:hAnsi="宋体"/>
          <w:color w:val="000000" w:themeColor="text1"/>
          <w:szCs w:val="21"/>
          <w:highlight w:val="none"/>
          <w:u w:val="singl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北京时间）前递交投标文件</w:t>
      </w:r>
      <w:r>
        <w:rPr>
          <w:rFonts w:hint="eastAsia" w:ascii="宋体" w:hAnsi="宋体"/>
          <w:color w:val="000000" w:themeColor="text1"/>
          <w:szCs w:val="21"/>
          <w:highlight w:val="none"/>
          <w14:textFill>
            <w14:solidFill>
              <w14:schemeClr w14:val="tx1"/>
            </w14:solidFill>
          </w14:textFill>
        </w:rPr>
        <w:t xml:space="preserve">。</w:t>
      </w:r>
      <w:r/>
    </w:p>
    <w:p>
      <w:pPr>
        <w:pStyle w:val="652"/>
        <w:spacing w:line="360" w:lineRule="auto"/>
        <w:rPr>
          <w:rFonts w:ascii="宋体" w:hAnsi="宋体" w:eastAsia="宋体" w:cs="宋体"/>
          <w:color w:val="000000" w:themeColor="text1"/>
          <w:sz w:val="24"/>
          <w:szCs w:val="24"/>
          <w:highlight w:val="none"/>
          <w14:textFill>
            <w14:solidFill>
              <w14:schemeClr w14:val="tx1"/>
            </w14:solidFill>
          </w14:textFill>
        </w:rPr>
      </w:pPr>
      <w:r/>
      <w:bookmarkStart w:id="1" w:name="_Toc35393798"/>
      <w:r/>
      <w:bookmarkStart w:id="2" w:name="_Toc28359089"/>
      <w:r/>
      <w:bookmarkStart w:id="3" w:name="_Toc35393629"/>
      <w:r/>
      <w:bookmarkStart w:id="4" w:name="_Toc28359012"/>
      <w:r>
        <w:rPr>
          <w:rFonts w:hint="eastAsia" w:ascii="宋体" w:hAnsi="宋体" w:eastAsia="宋体" w:cs="宋体"/>
          <w:color w:val="000000" w:themeColor="text1"/>
          <w:sz w:val="24"/>
          <w:szCs w:val="24"/>
          <w:highlight w:val="none"/>
          <w14:textFill>
            <w14:solidFill>
              <w14:schemeClr w14:val="tx1"/>
            </w14:solidFill>
          </w14:textFill>
        </w:rPr>
        <w:t xml:space="preserve">一、项目基本情况</w:t>
      </w:r>
      <w:bookmarkEnd w:id="1"/>
      <w:r/>
      <w:bookmarkEnd w:id="2"/>
      <w:r/>
      <w:bookmarkEnd w:id="3"/>
      <w:r/>
      <w:bookmarkEnd w:id="4"/>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1.项目编号：</w:t>
      </w:r>
      <w:r>
        <w:rPr>
          <w:rFonts w:hint="eastAsia" w:ascii="宋体" w:hAnsi="宋体" w:cs="宋体"/>
          <w:color w:val="000000" w:themeColor="text1"/>
          <w:highlight w:val="none"/>
          <w:lang w:eastAsia="zh-CN"/>
          <w14:textFill>
            <w14:solidFill>
              <w14:schemeClr w14:val="tx1"/>
            </w14:solidFill>
          </w14:textFill>
        </w:rPr>
        <w:t xml:space="preserve">JSZC-321023-JNZX-G2026-0019</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2.项目名称：</w:t>
      </w:r>
      <w:r>
        <w:rPr>
          <w:rFonts w:hint="eastAsia" w:ascii="宋体" w:hAnsi="宋体" w:cs="宋体"/>
          <w:color w:val="000000" w:themeColor="text1"/>
          <w:highlight w:val="none"/>
          <w:lang w:eastAsia="zh-CN"/>
          <w14:textFill>
            <w14:solidFill>
              <w14:schemeClr w14:val="tx1"/>
            </w14:solidFill>
          </w14:textFill>
        </w:rPr>
        <w:t xml:space="preserve">2026年民生实事（亿丰岗等25处信号灯路口电子监控升级改造项目）</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bookmarkStart w:id="169" w:name="_GoBack"/>
      <w:r/>
      <w:bookmarkEnd w:id="169"/>
      <w:r>
        <w:rPr>
          <w:rFonts w:hint="eastAsia" w:ascii="宋体" w:hAnsi="宋体" w:cs="宋体"/>
          <w:color w:val="000000" w:themeColor="text1"/>
          <w:highlight w:val="none"/>
          <w14:textFill>
            <w14:solidFill>
              <w14:schemeClr w14:val="tx1"/>
            </w14:solidFill>
          </w14:textFill>
        </w:rPr>
        <w:t xml:space="preserve">预算金额：</w:t>
      </w:r>
      <w:r>
        <w:rPr>
          <w:rFonts w:hint="eastAsia" w:ascii="宋体" w:hAnsi="宋体" w:cs="宋体"/>
          <w:color w:val="000000" w:themeColor="text1"/>
          <w:highlight w:val="none"/>
          <w:lang w:val="en-US" w:eastAsia="zh-CN"/>
          <w14:textFill>
            <w14:solidFill>
              <w14:schemeClr w14:val="tx1"/>
            </w14:solidFill>
          </w14:textFill>
        </w:rPr>
        <w:t xml:space="preserve">398</w:t>
      </w:r>
      <w:r>
        <w:rPr>
          <w:rFonts w:hint="eastAsia" w:ascii="宋体" w:hAnsi="宋体" w:cs="宋体"/>
          <w:color w:val="000000" w:themeColor="text1"/>
          <w:highlight w:val="none"/>
          <w14:textFill>
            <w14:solidFill>
              <w14:schemeClr w14:val="tx1"/>
            </w14:solidFill>
          </w14:textFill>
        </w:rPr>
        <w:t xml:space="preserve">万元</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4.最高限价：</w:t>
      </w:r>
      <w:r>
        <w:rPr>
          <w:rFonts w:hint="eastAsia" w:ascii="宋体" w:hAnsi="宋体" w:cs="宋体"/>
          <w:color w:val="000000" w:themeColor="text1"/>
          <w:highlight w:val="none"/>
          <w:lang w:val="en-US" w:eastAsia="zh-CN"/>
          <w14:textFill>
            <w14:solidFill>
              <w14:schemeClr w14:val="tx1"/>
            </w14:solidFill>
          </w14:textFill>
        </w:rPr>
        <w:t xml:space="preserve">390</w:t>
      </w:r>
      <w:r>
        <w:rPr>
          <w:rFonts w:hint="eastAsia" w:ascii="宋体" w:hAnsi="宋体" w:cs="宋体"/>
          <w:color w:val="000000" w:themeColor="text1"/>
          <w:highlight w:val="none"/>
          <w14:textFill>
            <w14:solidFill>
              <w14:schemeClr w14:val="tx1"/>
            </w14:solidFill>
          </w14:textFill>
        </w:rPr>
        <w:t xml:space="preserve">万元</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5.采购需求：见招标文件第四章</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6.合同履行期限：签订合同之日起60天</w:t>
      </w:r>
      <w:bookmarkStart w:id="5" w:name="_Toc28359013"/>
      <w:r/>
      <w:bookmarkStart w:id="6" w:name="_Toc28359090"/>
      <w:r/>
      <w:bookmarkStart w:id="7" w:name="_Toc35393799"/>
      <w:r/>
      <w:bookmarkStart w:id="8" w:name="_Toc35393630"/>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二、申请人的资格要求：</w:t>
      </w:r>
      <w:bookmarkEnd w:id="5"/>
      <w:r/>
      <w:bookmarkEnd w:id="6"/>
      <w:r/>
      <w:bookmarkEnd w:id="7"/>
      <w:r/>
      <w:bookmarkEnd w:id="8"/>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（一）通用资格要求</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9" w:name="_Toc28359014"/>
      <w:r/>
      <w:bookmarkStart w:id="10" w:name="_Toc35393800"/>
      <w:r/>
      <w:bookmarkStart w:id="11" w:name="_Toc35393631"/>
      <w:r/>
      <w:bookmarkStart w:id="12" w:name="_Toc28359091"/>
      <w:r>
        <w:rPr>
          <w:rFonts w:hint="eastAsia" w:ascii="宋体" w:hAnsi="宋体" w:eastAsia="宋体" w:cs="宋体"/>
          <w:color w:val="000000" w:themeColor="text1"/>
          <w:szCs w:val="21"/>
          <w:highlight w:val="none"/>
          <w14:textFill>
            <w14:solidFill>
              <w14:schemeClr w14:val="tx1"/>
            </w14:solidFill>
          </w14:textFill>
        </w:rPr>
        <w:t xml:space="preserve">1.满足《中华人民共和国政府采购法》第二十二条规定，并提供下列材料：</w:t>
      </w:r>
      <w:r/>
    </w:p>
    <w:p>
      <w:pPr>
        <w:ind w:firstLine="420"/>
        <w:spacing w:line="360" w:lineRule="auto"/>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1.1 法人或者其他组织的营业执照等证明文件，自然人的身份证明；</w:t>
      </w:r>
      <w:r/>
    </w:p>
    <w:p>
      <w:pPr>
        <w:ind w:firstLine="420"/>
        <w:spacing w:line="360" w:lineRule="auto"/>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14:textFill>
            <w14:solidFill>
              <w14:schemeClr w14:val="tx1"/>
            </w14:solidFill>
          </w14:textFill>
        </w:rPr>
        <w:t xml:space="preserve">1.2上一年度财务状况报</w:t>
      </w:r>
      <w:r>
        <w:rPr>
          <w:rFonts w:hint="eastAsia" w:ascii="宋体" w:hAnsi="宋体" w:eastAsia="宋体" w:cs="宋体"/>
          <w:i/>
          <w:iCs/>
          <w:color w:val="000000" w:themeColor="text1"/>
          <w:highlight w:val="none"/>
          <w:u w:val="single"/>
          <w14:textFill>
            <w14:solidFill>
              <w14:schemeClr w14:val="tx1"/>
            </w14:solidFill>
          </w14:textFill>
        </w:rPr>
        <w:t xml:space="preserve">告（成立不满一年无需提供）；</w:t>
      </w:r>
      <w:r/>
    </w:p>
    <w:p>
      <w:pPr>
        <w:ind w:firstLine="420"/>
        <w:spacing w:line="360" w:lineRule="auto"/>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1.4具备履行合同所必需的设备和专业技术能力的书面声明；</w:t>
      </w:r>
      <w:r/>
    </w:p>
    <w:p>
      <w:pPr>
        <w:ind w:firstLine="420"/>
        <w:spacing w:line="360" w:lineRule="auto"/>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1.5参加政府采购活动前3年内在经营活动中没有重大违法记录的书面声明；</w:t>
      </w:r>
      <w:r/>
    </w:p>
    <w:p>
      <w:pPr>
        <w:ind w:firstLine="420"/>
        <w:spacing w:line="360" w:lineRule="auto"/>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1.6供应商信用承诺函；</w:t>
      </w:r>
      <w:r/>
    </w:p>
    <w:p>
      <w:pPr>
        <w:ind w:firstLine="420"/>
        <w:spacing w:line="360" w:lineRule="auto"/>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s="宋体"/>
          <w:bCs/>
          <w:i/>
          <w:i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.落实政府采购政策需满足的资格要求：</w:t>
      </w:r>
      <w:bookmarkStart w:id="13" w:name="OLE_LINK2"/>
      <w:r/>
      <w:bookmarkStart w:id="14" w:name="OLE_LINK3"/>
      <w:r/>
      <w:bookmarkStart w:id="15" w:name="OLE_LINK1"/>
      <w:r>
        <w:rPr>
          <w:rFonts w:hint="eastAsia" w:ascii="宋体" w:hAnsi="宋体" w:cs="宋体"/>
          <w:bCs/>
          <w:i w:val="0"/>
          <w:iCs w:val="0"/>
          <w:color w:val="000000" w:themeColor="text1"/>
          <w:szCs w:val="21"/>
          <w:highlight w:val="none"/>
          <w:u w:val="none"/>
          <w:lang w:val="en-US" w:eastAsia="zh-CN"/>
          <w14:textFill>
            <w14:solidFill>
              <w14:schemeClr w14:val="tx1"/>
            </w14:solidFill>
          </w14:textFill>
        </w:rPr>
        <w:t xml:space="preserve">无</w:t>
      </w:r>
      <w:r>
        <w:rPr>
          <w:rFonts w:hint="eastAsia" w:ascii="宋体" w:hAnsi="宋体" w:cs="宋体"/>
          <w:bCs/>
          <w:i w:val="0"/>
          <w:iCs w:val="0"/>
          <w:color w:val="000000" w:themeColor="text1"/>
          <w:szCs w:val="21"/>
          <w:highlight w:val="none"/>
          <w:u w:val="none"/>
          <w14:textFill>
            <w14:solidFill>
              <w14:schemeClr w14:val="tx1"/>
            </w14:solidFill>
          </w14:textFill>
        </w:rPr>
        <w:t xml:space="preserve">。</w:t>
      </w:r>
      <w:bookmarkEnd w:id="13"/>
      <w:r/>
      <w:bookmarkEnd w:id="14"/>
      <w:r/>
      <w:bookmarkEnd w:id="15"/>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.本项目</w:t>
      </w:r>
      <w:bookmarkStart w:id="16" w:name="XMISLHT_1"/>
      <w:r>
        <w:rPr>
          <w:rFonts w:hint="eastAsia" w:ascii="宋体" w:hAnsi="宋体" w:cs="宋体"/>
          <w:color w:val="000000" w:themeColor="text1"/>
          <w:highlight w:val="none"/>
          <w14:textFill>
            <w14:solidFill>
              <w14:schemeClr w14:val="tx1"/>
            </w14:solidFill>
          </w14:textFill>
        </w:rPr>
        <w:t xml:space="preserve">不接受</w:t>
      </w:r>
      <w:bookmarkEnd w:id="16"/>
      <w:r>
        <w:rPr>
          <w:rFonts w:hint="eastAsia" w:ascii="宋体" w:hAnsi="宋体" w:cs="宋体"/>
          <w:color w:val="000000" w:themeColor="text1"/>
          <w:highlight w:val="none"/>
          <w14:textFill>
            <w14:solidFill>
              <w14:schemeClr w14:val="tx1"/>
            </w14:solidFill>
          </w14:textFill>
        </w:rPr>
        <w:t xml:space="preserve">联合体投标</w:t>
      </w:r>
      <w:r/>
    </w:p>
    <w:p>
      <w:pPr>
        <w:ind w:firstLine="420"/>
        <w:spacing w:line="360" w:lineRule="auto"/>
        <w:rPr>
          <w:rFonts w:hint="eastAsia" w:ascii="宋体" w:hAnsi="宋体" w:cs="宋体"/>
          <w:bCs/>
          <w:i/>
          <w:iCs/>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.本项目不接受进口产品投标</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二</w:t>
      </w:r>
      <w:r>
        <w:rPr>
          <w:rFonts w:hint="eastAsia" w:ascii="宋体" w:hAnsi="宋体" w:eastAsia="宋体" w:cs="宋体"/>
          <w:color w:val="000000" w:themeColor="text1"/>
          <w:szCs w:val="21"/>
          <w:highlight w:val="none"/>
          <w14:textFill>
            <w14:solidFill>
              <w14:schemeClr w14:val="tx1"/>
            </w14:solidFill>
          </w14:textFill>
        </w:rPr>
        <w:t xml:space="preserve">）本项目的特定资格要求：</w:t>
      </w:r>
      <w:bookmarkStart w:id="17" w:name="OLE_LINK84"/>
      <w:r/>
      <w:bookmarkStart w:id="18" w:name="OLE_LINK85"/>
      <w:r/>
      <w:r/>
    </w:p>
    <w:p>
      <w:pPr>
        <w:ind w:firstLine="420"/>
        <w:spacing w:line="360" w:lineRule="auto"/>
        <w:rPr>
          <w:rFonts w:hint="eastAsia" w:ascii="宋体" w:hAnsi="宋体" w:eastAsia="宋体" w:cs="宋体"/>
          <w:i/>
          <w:iCs/>
          <w:color w:val="000000" w:themeColor="text1"/>
          <w:szCs w:val="21"/>
          <w:highlight w:val="none"/>
          <w:u w:val="single"/>
          <w:lang w:eastAsia="zh-CN"/>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w:t>
      </w:r>
      <w:r>
        <w:rPr>
          <w:rFonts w:hint="eastAsia" w:ascii="宋体" w:hAnsi="宋体" w:cs="宋体"/>
          <w:i/>
          <w:iCs/>
          <w:color w:val="000000" w:themeColor="text1"/>
          <w:szCs w:val="21"/>
          <w:highlight w:val="none"/>
          <w:u w:val="single"/>
          <w14:textFill>
            <w14:solidFill>
              <w14:schemeClr w14:val="tx1"/>
            </w14:solidFill>
          </w14:textFill>
        </w:rPr>
        <w:t xml:space="preserve">投标人具有</w:t>
      </w:r>
      <w:bookmarkStart w:id="19" w:name="OLE_LINK17"/>
      <w:r/>
      <w:bookmarkStart w:id="20" w:name="OLE_LINK78"/>
      <w:r/>
      <w:bookmarkStart w:id="21" w:name="OLE_LINK76"/>
      <w:r>
        <w:rPr>
          <w:rFonts w:hint="eastAsia" w:ascii="宋体" w:hAnsi="宋体" w:cs="宋体"/>
          <w:i/>
          <w:iCs/>
          <w:color w:val="000000" w:themeColor="text1"/>
          <w:szCs w:val="21"/>
          <w:highlight w:val="none"/>
          <w:u w:val="single"/>
          <w14:textFill>
            <w14:solidFill>
              <w14:schemeClr w14:val="tx1"/>
            </w14:solidFill>
          </w14:textFill>
        </w:rPr>
        <w:t xml:space="preserve">有效期内的电子与智能化工程专业承包二级及以上资质</w:t>
      </w:r>
      <w:bookmarkEnd w:id="19"/>
      <w:r/>
      <w:bookmarkEnd w:id="20"/>
      <w:r/>
      <w:bookmarkEnd w:id="21"/>
      <w:r>
        <w:rPr>
          <w:rFonts w:hint="eastAsia" w:ascii="宋体" w:hAnsi="宋体" w:cs="宋体"/>
          <w:i/>
          <w:iCs/>
          <w:color w:val="000000" w:themeColor="text1"/>
          <w:szCs w:val="21"/>
          <w:highlight w:val="none"/>
          <w:u w:val="single"/>
          <w:lang w:eastAsia="zh-CN"/>
          <w14:textFill>
            <w14:solidFill>
              <w14:schemeClr w14:val="tx1"/>
            </w14:solidFill>
          </w14:textFill>
        </w:rPr>
        <w:t xml:space="preserve">；</w:t>
      </w:r>
      <w:r/>
    </w:p>
    <w:p>
      <w:pPr>
        <w:ind w:firstLine="420"/>
        <w:spacing w:line="360" w:lineRule="auto"/>
        <w:rPr>
          <w:rFonts w:ascii="宋体" w:hAnsi="宋体" w:cs="宋体"/>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2.</w:t>
      </w:r>
      <w:r>
        <w:rPr>
          <w:rFonts w:hint="eastAsia" w:ascii="宋体" w:hAnsi="宋体" w:cs="宋体"/>
          <w:i/>
          <w:iCs/>
          <w:color w:val="000000" w:themeColor="text1"/>
          <w:szCs w:val="21"/>
          <w:highlight w:val="none"/>
          <w:u w:val="single"/>
          <w14:textFill>
            <w14:solidFill>
              <w14:schemeClr w14:val="tx1"/>
            </w14:solidFill>
          </w14:textFill>
        </w:rPr>
        <w:t xml:space="preserve">投标人具备安全生产条件，并取得有效期内的安全生产许可证。</w:t>
      </w:r>
      <w:bookmarkEnd w:id="17"/>
      <w:r/>
      <w:bookmarkEnd w:id="18"/>
      <w:r/>
      <w:r/>
    </w:p>
    <w:p>
      <w:pPr>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w:t>
      </w:r>
      <w:bookmarkEnd w:id="9"/>
      <w:r/>
      <w:bookmarkEnd w:id="10"/>
      <w:r/>
      <w:bookmarkEnd w:id="11"/>
      <w:r/>
      <w:bookmarkEnd w:id="12"/>
      <w:r>
        <w:rPr>
          <w:rFonts w:hint="eastAsia" w:ascii="宋体" w:hAnsi="宋体" w:cs="宋体"/>
          <w:b/>
          <w:bCs/>
          <w:color w:val="000000" w:themeColor="text1"/>
          <w:sz w:val="24"/>
          <w:highlight w:val="none"/>
          <w14:textFill>
            <w14:solidFill>
              <w14:schemeClr w14:val="tx1"/>
            </w14:solidFill>
          </w14:textFill>
        </w:rPr>
        <w:t xml:space="preserve">获取招标文件</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1.时间：自招标公告发布之日起5个工作日。5个工作日后仍可下载采购文件，但不作为供应商权益受到损害的证明材料和依据。</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2.获取方式：本项目采用网上注册登记方式。</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3.潜在供应商访问政府采购管理交易系统（苏采云）的网络地址和方法：</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潜在供应商访问政府采购管理交易系统（苏采云）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地址：</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http://zfcg.yangzho</w:t>
      </w:r>
      <w:r>
        <w:rPr>
          <w:rFonts w:hint="eastAsia" w:ascii="宋体" w:hAnsi="宋体" w:cs="宋体"/>
          <w:color w:val="000000" w:themeColor="text1"/>
          <w:szCs w:val="21"/>
          <w:highlight w:val="none"/>
          <w14:textFill>
            <w14:solidFill>
              <w14:schemeClr w14:val="tx1"/>
            </w14:solidFill>
          </w14:textFill>
        </w:rPr>
        <w:t xml:space="preserve">µ</w:t>
      </w:r>
      <w:r>
        <w:rPr>
          <w:rFonts w:ascii="宋体" w:hAnsi="宋体" w:cs="宋体"/>
          <w:color w:val="000000" w:themeColor="text1"/>
          <w:szCs w:val="21"/>
          <w:highlight w:val="none"/>
          <w14:textFill>
            <w14:solidFill>
              <w14:schemeClr w14:val="tx1"/>
            </w14:solidFill>
          </w14:textFill>
        </w:rPr>
        <w:t xml:space="preserve">.gov.cn/xzzx/art/2023/art_4d7de1f7865f4a2894fc22bc452f94d8.ht</w:t>
      </w:r>
      <w:r>
        <w:rPr>
          <w:rFonts w:hint="eastAsia" w:ascii="宋体" w:hAnsi="宋体" w:cs="宋体"/>
          <w:color w:val="000000" w:themeColor="text1"/>
          <w:szCs w:val="21"/>
          <w:highlight w:val="none"/>
          <w14:textFill>
            <w14:solidFill>
              <w14:schemeClr w14:val="tx1"/>
            </w14:solidFill>
          </w14:textFill>
        </w:rPr>
        <w:t xml:space="preserve">mL。</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（2）潜在供应商访问“苏采云”系统的网络地址和方法：“苏采云”系统的网址：http://jszfcg.jsczt.cn/。</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（3）“CA数字证书”的获取：供应商需办理CA锁，“苏采云”系统目前仅支持“苏采云”系统下的国信CA，省内各地区办理的“苏采云”系统下的国信CA全省通用。“CA数字证书”的办理方法详见</w:t>
      </w:r>
      <w:r>
        <w:rPr>
          <w:rFonts w:ascii="宋体" w:hAnsi="宋体" w:cs="宋体"/>
          <w:color w:val="000000" w:themeColor="text1"/>
          <w:szCs w:val="21"/>
          <w:highlight w:val="none"/>
          <w14:textFill>
            <w14:solidFill>
              <w14:schemeClr w14:val="tx1"/>
            </w14:solidFill>
          </w14:textFill>
        </w:rPr>
        <w:t xml:space="preserve">http://zfcg.yangzho</w:t>
      </w:r>
      <w:r>
        <w:rPr>
          <w:rFonts w:hint="eastAsia" w:ascii="宋体" w:hAnsi="宋体" w:cs="宋体"/>
          <w:color w:val="000000" w:themeColor="text1"/>
          <w:szCs w:val="21"/>
          <w:highlight w:val="none"/>
          <w14:textFill>
            <w14:solidFill>
              <w14:schemeClr w14:val="tx1"/>
            </w14:solidFill>
          </w14:textFill>
        </w:rPr>
        <w:t xml:space="preserve">µ</w:t>
      </w:r>
      <w:r>
        <w:rPr>
          <w:rFonts w:ascii="宋体" w:hAnsi="宋体" w:cs="宋体"/>
          <w:color w:val="000000" w:themeColor="text1"/>
          <w:szCs w:val="21"/>
          <w:highlight w:val="none"/>
          <w14:textFill>
            <w14:solidFill>
              <w14:schemeClr w14:val="tx1"/>
            </w14:solidFill>
          </w14:textFill>
        </w:rPr>
        <w:t xml:space="preserve">.gov.cn/xzzx/art/2023/art_4d7de1f7865f4a2894fc22bc452f94d8.ht</w:t>
      </w:r>
      <w:r>
        <w:rPr>
          <w:rFonts w:hint="eastAsia" w:ascii="宋体" w:hAnsi="宋体" w:cs="宋体"/>
          <w:color w:val="000000" w:themeColor="text1"/>
          <w:szCs w:val="21"/>
          <w:highlight w:val="none"/>
          <w14:textFill>
            <w14:solidFill>
              <w14:schemeClr w14:val="tx1"/>
            </w14:solidFill>
          </w14:textFill>
        </w:rPr>
        <w:t xml:space="preserve">mL。</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（5）招标代理机构（采购代理机构）将数据电文形式的采购文件加载至“苏采云”系统，供潜在供应商下载或者查阅。     </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（6）苏采云系统使用谷歌浏览器参与不见面开标。</w:t>
      </w:r>
      <w:r/>
    </w:p>
    <w:p>
      <w:pPr>
        <w:pStyle w:val="652"/>
        <w:spacing w:line="360" w:lineRule="auto"/>
        <w:rPr>
          <w:rFonts w:ascii="宋体" w:hAnsi="宋体" w:eastAsia="宋体" w:cs="宋体"/>
          <w:color w:val="000000" w:themeColor="text1"/>
          <w:sz w:val="24"/>
          <w:szCs w:val="24"/>
          <w:highlight w:val="none"/>
          <w14:textFill>
            <w14:solidFill>
              <w14:schemeClr w14:val="tx1"/>
            </w14:solidFill>
          </w14:textFill>
        </w:rPr>
      </w:pPr>
      <w:r/>
      <w:bookmarkStart w:id="22" w:name="_Toc35393801"/>
      <w:r/>
      <w:bookmarkStart w:id="23" w:name="_Toc28359092"/>
      <w:r/>
      <w:bookmarkStart w:id="24" w:name="_Toc28359015"/>
      <w:r/>
      <w:bookmarkStart w:id="25" w:name="_Toc35393632"/>
      <w:r>
        <w:rPr>
          <w:rFonts w:hint="eastAsia" w:ascii="宋体" w:hAnsi="宋体" w:eastAsia="宋体" w:cs="宋体"/>
          <w:color w:val="000000" w:themeColor="text1"/>
          <w:sz w:val="24"/>
          <w:szCs w:val="24"/>
          <w:highlight w:val="none"/>
          <w14:textFill>
            <w14:solidFill>
              <w14:schemeClr w14:val="tx1"/>
            </w14:solidFill>
          </w14:textFill>
        </w:rPr>
        <w:t xml:space="preserve">四、</w:t>
      </w:r>
      <w:bookmarkEnd w:id="22"/>
      <w:r/>
      <w:bookmarkEnd w:id="23"/>
      <w:r/>
      <w:bookmarkEnd w:id="24"/>
      <w:r/>
      <w:bookmarkEnd w:id="25"/>
      <w:r>
        <w:rPr>
          <w:rFonts w:hint="eastAsia" w:ascii="宋体" w:hAnsi="宋体" w:eastAsia="宋体" w:cs="宋体"/>
          <w:color w:val="000000" w:themeColor="text1"/>
          <w:sz w:val="24"/>
          <w:szCs w:val="24"/>
          <w:highlight w:val="none"/>
          <w14:textFill>
            <w14:solidFill>
              <w14:schemeClr w14:val="tx1"/>
            </w14:solidFill>
          </w14:textFill>
        </w:rPr>
        <w:t xml:space="preserve">提交投标文件截止时间、开标时间和地点</w:t>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w:t>
      </w:r>
      <w:r>
        <w:rPr>
          <w:rFonts w:hint="eastAsia" w:ascii="宋体" w:hAnsi="宋体"/>
          <w:color w:val="000000" w:themeColor="text1"/>
          <w:szCs w:val="21"/>
          <w:highlight w:val="none"/>
          <w:u w:val="single"/>
          <w14:textFill>
            <w14:solidFill>
              <w14:schemeClr w14:val="tx1"/>
            </w14:solidFill>
          </w14:textFill>
        </w:rPr>
        <w:t xml:space="preserve">2026年</w:t>
      </w:r>
      <w:r>
        <w:rPr>
          <w:rFonts w:hint="eastAsia" w:ascii="宋体" w:hAnsi="宋体"/>
          <w:color w:val="000000" w:themeColor="text1"/>
          <w:szCs w:val="21"/>
          <w:highlight w:val="none"/>
          <w:u w:val="single"/>
          <w:lang w:val="en-US" w:eastAsia="zh-CN"/>
          <w14:textFill>
            <w14:solidFill>
              <w14:schemeClr w14:val="tx1"/>
            </w14:solidFill>
          </w14:textFill>
        </w:rPr>
        <w:t xml:space="preserve">10</w:t>
      </w:r>
      <w:r>
        <w:rPr>
          <w:rFonts w:hint="eastAsia" w:ascii="宋体" w:hAnsi="宋体"/>
          <w:color w:val="000000" w:themeColor="text1"/>
          <w:szCs w:val="21"/>
          <w:highlight w:val="none"/>
          <w:u w:val="single"/>
          <w14:textFill>
            <w14:solidFill>
              <w14:schemeClr w14:val="tx1"/>
            </w14:solidFill>
          </w14:textFill>
        </w:rPr>
        <w:t xml:space="preserve">月</w:t>
      </w:r>
      <w:r>
        <w:rPr>
          <w:rFonts w:hint="eastAsia" w:ascii="宋体" w:hAnsi="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olor w:val="000000" w:themeColor="text1"/>
          <w:szCs w:val="21"/>
          <w:highlight w:val="none"/>
          <w:u w:val="single"/>
          <w14:textFill>
            <w14:solidFill>
              <w14:schemeClr w14:val="tx1"/>
            </w14:solidFill>
          </w14:textFill>
        </w:rPr>
        <w:t xml:space="preserve">日</w:t>
      </w:r>
      <w:r>
        <w:rPr>
          <w:rFonts w:hint="eastAsia" w:ascii="宋体" w:hAnsi="宋体"/>
          <w:bCs/>
          <w:color w:val="000000" w:themeColor="text1"/>
          <w:szCs w:val="21"/>
          <w:highlight w:val="none"/>
          <w:u w:val="single"/>
          <w14:textFill>
            <w14:solidFill>
              <w14:schemeClr w14:val="tx1"/>
            </w14:solidFill>
          </w14:textFill>
        </w:rPr>
        <w:t xml:space="preserve">15点00分</w:t>
      </w:r>
      <w:r>
        <w:rPr>
          <w:rFonts w:hint="eastAsia" w:ascii="宋体" w:hAnsi="宋体" w:cs="宋体"/>
          <w:color w:val="000000" w:themeColor="text1"/>
          <w:szCs w:val="21"/>
          <w:highlight w:val="none"/>
          <w:u w:val="single"/>
          <w14:textFill>
            <w14:solidFill>
              <w14:schemeClr w14:val="tx1"/>
            </w14:solidFill>
          </w14:textFill>
        </w:rPr>
        <w:t xml:space="preserve">（北京时间）</w:t>
      </w:r>
      <w:r>
        <w:rPr>
          <w:rFonts w:hint="eastAsia" w:ascii="宋体" w:hAnsi="宋体" w:cs="宋体"/>
          <w:color w:val="000000" w:themeColor="text1"/>
          <w:szCs w:val="21"/>
          <w:highlight w:val="none"/>
          <w14:textFill>
            <w14:solidFill>
              <w14:schemeClr w14:val="tx1"/>
            </w14:solidFill>
          </w14:textFill>
        </w:rPr>
        <w:t xml:space="preserve">（自招标文件开始发出之日起至投标人提交投标文件截止之日止，不得少于20日）</w:t>
      </w:r>
      <w:r/>
    </w:p>
    <w:p>
      <w:pPr>
        <w:ind w:firstLine="420"/>
        <w:spacing w:line="44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b/>
          <w:bCs/>
          <w:color w:val="000000" w:themeColor="text1"/>
          <w:szCs w:val="21"/>
          <w:highlight w:val="none"/>
          <w:shd w:val="clear" w:color="auto" w:fill="ffffff"/>
          <w14:textFill>
            <w14:solidFill>
              <w14:schemeClr w14:val="tx1"/>
            </w14:solidFill>
          </w14:textFill>
        </w:rPr>
        <w:t xml:space="preserve">“苏采云”系统（网址： http://jszfcg.jsczt.cn/）“开标大厅”</w:t>
      </w:r>
      <w:r/>
    </w:p>
    <w:p>
      <w:pPr>
        <w:pStyle w:val="652"/>
        <w:spacing w:line="360" w:lineRule="auto"/>
        <w:rPr>
          <w:rFonts w:ascii="宋体" w:hAnsi="宋体" w:eastAsia="宋体" w:cs="宋体"/>
          <w:color w:val="000000" w:themeColor="text1"/>
          <w:sz w:val="24"/>
          <w:szCs w:val="24"/>
          <w:highlight w:val="none"/>
          <w14:textFill>
            <w14:solidFill>
              <w14:schemeClr w14:val="tx1"/>
            </w14:solidFill>
          </w14:textFill>
        </w:rPr>
      </w:pPr>
      <w:r/>
      <w:bookmarkStart w:id="26" w:name="_Toc35393803"/>
      <w:r/>
      <w:bookmarkStart w:id="27" w:name="_Toc28359094"/>
      <w:r/>
      <w:bookmarkStart w:id="28" w:name="_Toc28359017"/>
      <w:r/>
      <w:bookmarkStart w:id="29" w:name="_Toc35393634"/>
      <w:r>
        <w:rPr>
          <w:rFonts w:hint="eastAsia" w:ascii="宋体" w:hAnsi="宋体" w:eastAsia="宋体" w:cs="宋体"/>
          <w:color w:val="000000" w:themeColor="text1"/>
          <w:sz w:val="24"/>
          <w:szCs w:val="24"/>
          <w:highlight w:val="none"/>
          <w14:textFill>
            <w14:solidFill>
              <w14:schemeClr w14:val="tx1"/>
            </w14:solidFill>
          </w14:textFill>
        </w:rPr>
        <w:t xml:space="preserve">五、公告期限</w:t>
      </w:r>
      <w:bookmarkEnd w:id="26"/>
      <w:r/>
      <w:bookmarkEnd w:id="27"/>
      <w:r/>
      <w:bookmarkEnd w:id="28"/>
      <w:r/>
      <w:bookmarkEnd w:id="29"/>
      <w:r/>
      <w:r/>
    </w:p>
    <w:p>
      <w:pPr>
        <w:ind w:firstLine="420"/>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pStyle w:val="652"/>
        <w:spacing w:line="360" w:lineRule="auto"/>
        <w:rPr>
          <w:rFonts w:ascii="宋体" w:hAnsi="宋体" w:eastAsia="宋体" w:cs="宋体"/>
          <w:color w:val="000000" w:themeColor="text1"/>
          <w:sz w:val="24"/>
          <w:szCs w:val="24"/>
          <w:highlight w:val="none"/>
          <w14:textFill>
            <w14:solidFill>
              <w14:schemeClr w14:val="tx1"/>
            </w14:solidFill>
          </w14:textFill>
        </w:rPr>
      </w:pPr>
      <w:r/>
      <w:bookmarkStart w:id="30" w:name="_Toc35393635"/>
      <w:r/>
      <w:bookmarkStart w:id="31" w:name="_Toc35393804"/>
      <w:r>
        <w:rPr>
          <w:rFonts w:hint="eastAsia" w:ascii="宋体" w:hAnsi="宋体" w:eastAsia="宋体" w:cs="宋体"/>
          <w:color w:val="000000" w:themeColor="text1"/>
          <w:sz w:val="24"/>
          <w:szCs w:val="24"/>
          <w:highlight w:val="none"/>
          <w14:textFill>
            <w14:solidFill>
              <w14:schemeClr w14:val="tx1"/>
            </w14:solidFill>
          </w14:textFill>
        </w:rPr>
        <w:t xml:space="preserve">六、其他补充事宜</w:t>
      </w:r>
      <w:bookmarkEnd w:id="30"/>
      <w:r/>
      <w:bookmarkEnd w:id="31"/>
      <w:r/>
      <w:r/>
    </w:p>
    <w:p>
      <w:pPr>
        <w:ind w:firstLine="420"/>
        <w:spacing w:line="4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无</w:t>
      </w:r>
      <w:r/>
    </w:p>
    <w:p>
      <w:pPr>
        <w:pStyle w:val="652"/>
        <w:spacing w:line="360" w:lineRule="auto"/>
        <w:rPr>
          <w:rFonts w:ascii="宋体" w:hAnsi="宋体" w:eastAsia="宋体" w:cs="宋体"/>
          <w:color w:val="000000" w:themeColor="text1"/>
          <w:sz w:val="24"/>
          <w:szCs w:val="24"/>
          <w:highlight w:val="none"/>
          <w14:textFill>
            <w14:solidFill>
              <w14:schemeClr w14:val="tx1"/>
            </w14:solidFill>
          </w14:textFill>
        </w:rPr>
      </w:pPr>
      <w:r/>
      <w:bookmarkStart w:id="32" w:name="_Toc35393805"/>
      <w:r/>
      <w:bookmarkStart w:id="33" w:name="_Toc28359095"/>
      <w:r/>
      <w:bookmarkStart w:id="34" w:name="_Toc28359018"/>
      <w:r/>
      <w:bookmarkStart w:id="35" w:name="_Toc35393636"/>
      <w:r>
        <w:rPr>
          <w:rFonts w:hint="eastAsia" w:ascii="宋体" w:hAnsi="宋体" w:eastAsia="宋体" w:cs="宋体"/>
          <w:color w:val="000000" w:themeColor="text1"/>
          <w:sz w:val="24"/>
          <w:szCs w:val="24"/>
          <w:highlight w:val="none"/>
          <w14:textFill>
            <w14:solidFill>
              <w14:schemeClr w14:val="tx1"/>
            </w14:solidFill>
          </w14:textFill>
        </w:rPr>
        <w:t xml:space="preserve">七、凡对本次采购提出询问，请按</w:t>
      </w:r>
      <w:r>
        <w:rPr>
          <w:rFonts w:ascii="宋体" w:hAnsi="宋体" w:eastAsia="宋体" w:cs="宋体"/>
          <w:color w:val="000000" w:themeColor="text1"/>
          <w:sz w:val="24"/>
          <w:szCs w:val="24"/>
          <w:highlight w:val="none"/>
          <w14:textFill>
            <w14:solidFill>
              <w14:schemeClr w14:val="tx1"/>
            </w14:solidFill>
          </w14:textFill>
        </w:rPr>
        <w:t xml:space="preserve">以下方式</w:t>
      </w:r>
      <w:r>
        <w:rPr>
          <w:rFonts w:hint="eastAsia" w:ascii="宋体" w:hAnsi="宋体" w:eastAsia="宋体" w:cs="宋体"/>
          <w:color w:val="000000" w:themeColor="text1"/>
          <w:sz w:val="24"/>
          <w:szCs w:val="24"/>
          <w:highlight w:val="none"/>
          <w14:textFill>
            <w14:solidFill>
              <w14:schemeClr w14:val="tx1"/>
            </w14:solidFill>
          </w14:textFill>
        </w:rPr>
        <w:t xml:space="preserve">联系。</w:t>
      </w:r>
      <w:bookmarkEnd w:id="32"/>
      <w:r/>
      <w:bookmarkEnd w:id="33"/>
      <w:r/>
      <w:bookmarkEnd w:id="34"/>
      <w:r/>
      <w:bookmarkEnd w:id="35"/>
      <w:r/>
      <w:r/>
    </w:p>
    <w:p>
      <w:pPr>
        <w:ind w:firstLine="420"/>
        <w:spacing w:line="360" w:lineRule="auto"/>
        <w:rPr>
          <w:rFonts w:ascii="宋体" w:hAnsi="宋体" w:cs="宋体"/>
          <w:color w:val="000000" w:themeColor="text1"/>
          <w:szCs w:val="21"/>
          <w:highlight w:val="none"/>
          <w:u w:val="none"/>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1.采购人信息</w:t>
      </w:r>
      <w:r/>
    </w:p>
    <w:p>
      <w:pPr>
        <w:ind w:firstLine="420"/>
        <w:spacing w:line="360" w:lineRule="auto"/>
        <w:rPr>
          <w:rFonts w:hint="eastAsia" w:ascii="宋体" w:hAnsi="宋体" w:cs="宋体"/>
          <w:color w:val="000000" w:themeColor="text1"/>
          <w:szCs w:val="21"/>
          <w:highlight w:val="none"/>
          <w:u w:val="none"/>
          <w:lang w:eastAsia="zh-CN"/>
          <w14:textFill>
            <w14:solidFill>
              <w14:schemeClr w14:val="tx1"/>
            </w14:solidFill>
          </w14:textFill>
        </w:rPr>
      </w:pPr>
      <w:r/>
      <w:bookmarkStart w:id="36" w:name="_Toc28359086"/>
      <w:r/>
      <w:bookmarkStart w:id="37" w:name="_Toc28359009"/>
      <w:r>
        <w:rPr>
          <w:rFonts w:hint="eastAsia" w:ascii="宋体" w:hAnsi="宋体" w:cs="宋体"/>
          <w:color w:val="000000" w:themeColor="text1"/>
          <w:szCs w:val="21"/>
          <w:highlight w:val="none"/>
          <w:u w:val="none"/>
          <w14:textFill>
            <w14:solidFill>
              <w14:schemeClr w14:val="tx1"/>
            </w14:solidFill>
          </w14:textFill>
        </w:rPr>
        <w:t xml:space="preserve">名 称：</w:t>
      </w:r>
      <w:r>
        <w:rPr>
          <w:rFonts w:hint="eastAsia" w:ascii="宋体" w:hAnsi="宋体" w:cs="宋体"/>
          <w:color w:val="000000" w:themeColor="text1"/>
          <w:szCs w:val="21"/>
          <w:highlight w:val="none"/>
          <w:u w:val="none"/>
          <w:lang w:eastAsia="zh-CN"/>
          <w14:textFill>
            <w14:solidFill>
              <w14:schemeClr w14:val="tx1"/>
            </w14:solidFill>
          </w14:textFill>
        </w:rPr>
        <w:t xml:space="preserve">宝应县公安局</w:t>
      </w:r>
      <w:r/>
    </w:p>
    <w:p>
      <w:pPr>
        <w:ind w:firstLine="420"/>
        <w:spacing w:line="360" w:lineRule="auto"/>
        <w:rPr>
          <w:rFonts w:ascii="宋体" w:hAnsi="宋体" w:cs="宋体"/>
          <w:color w:val="000000" w:themeColor="text1"/>
          <w:szCs w:val="21"/>
          <w:highlight w:val="none"/>
          <w:u w:val="none"/>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地 址：</w:t>
      </w:r>
      <w:r>
        <w:rPr>
          <w:rFonts w:hint="eastAsia" w:ascii="宋体" w:hAnsi="宋体" w:cs="宋体"/>
          <w:color w:val="000000" w:themeColor="text1"/>
          <w:szCs w:val="21"/>
          <w:highlight w:val="none"/>
          <w:u w:val="none"/>
          <w:lang w:eastAsia="zh-CN"/>
          <w14:textFill>
            <w14:solidFill>
              <w14:schemeClr w14:val="tx1"/>
            </w14:solidFill>
          </w14:textFill>
        </w:rPr>
        <w:t xml:space="preserve">宝应县叶挺路181号</w:t>
      </w:r>
      <w:r/>
    </w:p>
    <w:p>
      <w:pPr>
        <w:ind w:firstLine="420"/>
        <w:spacing w:line="360" w:lineRule="auto"/>
        <w:rPr>
          <w:rFonts w:hint="default" w:ascii="宋体" w:hAnsi="宋体" w:cs="宋体"/>
          <w:color w:val="000000" w:themeColor="text1"/>
          <w:szCs w:val="21"/>
          <w:highlight w:val="none"/>
          <w:u w:val="none"/>
          <w:lang w:val="en-US"/>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联系人：</w:t>
      </w:r>
      <w:r>
        <w:rPr>
          <w:rFonts w:hint="eastAsia" w:ascii="宋体" w:hAnsi="宋体" w:cs="宋体"/>
          <w:color w:val="000000" w:themeColor="text1"/>
          <w:szCs w:val="21"/>
          <w:highlight w:val="none"/>
          <w:u w:val="none"/>
          <w:lang w:val="en-US" w:eastAsia="zh-CN"/>
          <w14:textFill>
            <w14:solidFill>
              <w14:schemeClr w14:val="tx1"/>
            </w14:solidFill>
          </w14:textFill>
        </w:rPr>
        <w:t xml:space="preserve">夏存辉</w:t>
      </w:r>
      <w:r/>
    </w:p>
    <w:p>
      <w:pPr>
        <w:ind w:firstLine="420"/>
        <w:spacing w:line="360" w:lineRule="auto"/>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联系方式：</w:t>
      </w:r>
      <w:r>
        <w:rPr>
          <w:rFonts w:hint="eastAsia" w:ascii="宋体" w:hAnsi="宋体" w:cs="宋体"/>
          <w:color w:val="000000" w:themeColor="text1"/>
          <w:szCs w:val="21"/>
          <w:highlight w:val="none"/>
          <w:u w:val="none"/>
          <w:lang w:val="en-US" w:eastAsia="zh-CN"/>
          <w14:textFill>
            <w14:solidFill>
              <w14:schemeClr w14:val="tx1"/>
            </w14:solidFill>
          </w14:textFill>
        </w:rPr>
        <w:t xml:space="preserve">13651515702</w:t>
      </w:r>
      <w:r/>
    </w:p>
    <w:p>
      <w:pPr>
        <w:ind w:firstLine="420"/>
        <w:spacing w:line="360" w:lineRule="auto"/>
        <w:rPr>
          <w:rFonts w:ascii="宋体" w:hAnsi="宋体" w:cs="宋体"/>
          <w:color w:val="000000" w:themeColor="text1"/>
          <w:szCs w:val="21"/>
          <w:highlight w:val="none"/>
          <w:u w:val="none"/>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2.</w:t>
      </w:r>
      <w:bookmarkEnd w:id="36"/>
      <w:r/>
      <w:bookmarkEnd w:id="37"/>
      <w:r>
        <w:rPr>
          <w:rFonts w:hint="eastAsia" w:ascii="宋体" w:hAnsi="宋体" w:cs="宋体"/>
          <w:color w:val="000000" w:themeColor="text1"/>
          <w:szCs w:val="21"/>
          <w:highlight w:val="none"/>
          <w:u w:val="none"/>
          <w14:textFill>
            <w14:solidFill>
              <w14:schemeClr w14:val="tx1"/>
            </w14:solidFill>
          </w14:textFill>
        </w:rPr>
        <w:t xml:space="preserve"> 代理机构信息</w:t>
      </w:r>
      <w:r/>
    </w:p>
    <w:p>
      <w:pPr>
        <w:ind w:firstLine="420"/>
        <w:spacing w:line="360" w:lineRule="auto"/>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名 </w:t>
      </w:r>
      <w:r>
        <w:rPr>
          <w:rFonts w:hint="eastAsia" w:ascii="宋体" w:hAnsi="宋体" w:cs="宋体"/>
          <w:color w:val="000000" w:themeColor="text1"/>
          <w:szCs w:val="21"/>
          <w:highlight w:val="none"/>
          <w:u w:val="none"/>
          <w:lang w:val="en-US" w:eastAsia="zh-CN"/>
          <w14:textFill>
            <w14:solidFill>
              <w14:schemeClr w14:val="tx1"/>
            </w14:solidFill>
          </w14:textFill>
        </w:rPr>
        <w:t xml:space="preserve">  </w:t>
      </w:r>
      <w:r>
        <w:rPr>
          <w:rFonts w:hint="eastAsia" w:ascii="宋体" w:hAnsi="宋体" w:cs="宋体"/>
          <w:color w:val="000000" w:themeColor="text1"/>
          <w:szCs w:val="21"/>
          <w:highlight w:val="none"/>
          <w:u w:val="none"/>
          <w14:textFill>
            <w14:solidFill>
              <w14:schemeClr w14:val="tx1"/>
            </w14:solidFill>
          </w14:textFill>
        </w:rPr>
        <w:t xml:space="preserve">称：</w:t>
      </w:r>
      <w:r>
        <w:rPr>
          <w:rFonts w:hint="eastAsia" w:ascii="宋体" w:hAnsi="宋体" w:cs="宋体"/>
          <w:color w:val="000000" w:themeColor="text1"/>
          <w:szCs w:val="21"/>
          <w:highlight w:val="none"/>
          <w:u w:val="none"/>
          <w:lang w:eastAsia="zh-CN"/>
          <w14:textFill>
            <w14:solidFill>
              <w14:schemeClr w14:val="tx1"/>
            </w14:solidFill>
          </w14:textFill>
        </w:rPr>
        <w:t xml:space="preserve">江苏江南工程管理咨询有限公司</w:t>
      </w:r>
      <w:r/>
    </w:p>
    <w:p>
      <w:pPr>
        <w:ind w:firstLine="420"/>
        <w:spacing w:line="360" w:lineRule="auto"/>
        <w:rPr>
          <w:rFonts w:hint="eastAsia"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地　址：</w:t>
      </w:r>
      <w:r>
        <w:rPr>
          <w:rFonts w:hint="eastAsia" w:ascii="宋体" w:hAnsi="宋体" w:cs="宋体"/>
          <w:color w:val="000000" w:themeColor="text1"/>
          <w:szCs w:val="21"/>
          <w:highlight w:val="none"/>
          <w:u w:val="none"/>
          <w:lang w:val="en-US" w:eastAsia="zh-CN"/>
          <w14:textFill>
            <w14:solidFill>
              <w14:schemeClr w14:val="tx1"/>
            </w14:solidFill>
          </w14:textFill>
        </w:rPr>
        <w:t xml:space="preserve">宝应县柳河路86-1号</w:t>
      </w:r>
      <w:r/>
    </w:p>
    <w:p>
      <w:pPr>
        <w:ind w:firstLine="420"/>
        <w:spacing w:line="360" w:lineRule="auto"/>
        <w:rPr>
          <w:rFonts w:hint="default"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14:textFill>
            <w14:solidFill>
              <w14:schemeClr w14:val="tx1"/>
            </w14:solidFill>
          </w14:textFill>
        </w:rPr>
        <w:t xml:space="preserve">联系人：</w:t>
      </w:r>
      <w:r>
        <w:rPr>
          <w:rFonts w:hint="eastAsia" w:ascii="宋体" w:hAnsi="宋体" w:cs="宋体"/>
          <w:color w:val="000000" w:themeColor="text1"/>
          <w:szCs w:val="21"/>
          <w:highlight w:val="none"/>
          <w:u w:val="none"/>
          <w:lang w:val="en-US" w:eastAsia="zh-CN"/>
          <w14:textFill>
            <w14:solidFill>
              <w14:schemeClr w14:val="tx1"/>
            </w14:solidFill>
          </w14:textFill>
        </w:rPr>
        <w:t xml:space="preserve">李昕玥</w:t>
      </w:r>
      <w:r/>
    </w:p>
    <w:p>
      <w:pPr>
        <w:ind w:firstLine="420"/>
        <w:spacing w:line="360" w:lineRule="auto"/>
        <w:rPr>
          <w:rFonts w:hint="eastAsia" w:ascii="宋体" w:hAnsi="宋体" w:cs="宋体"/>
          <w:color w:val="000000" w:themeColor="text1"/>
          <w:szCs w:val="21"/>
          <w:highlight w:val="none"/>
          <w:u w:val="none"/>
          <w:lang w:val="en-US" w:eastAsia="zh-CN"/>
          <w14:textFill>
            <w14:solidFill>
              <w14:schemeClr w14:val="tx1"/>
            </w14:solidFill>
          </w14:textFill>
        </w:rPr>
      </w:pPr>
      <w:r>
        <w:rPr>
          <w:rFonts w:hint="eastAsia" w:ascii="宋体" w:hAnsi="宋体" w:cs="宋体"/>
          <w:color w:val="000000" w:themeColor="text1"/>
          <w:szCs w:val="21"/>
          <w:highlight w:val="none"/>
          <w:u w:val="none"/>
          <w:lang w:eastAsia="zh-CN"/>
          <w14:textFill>
            <w14:solidFill>
              <w14:schemeClr w14:val="tx1"/>
            </w14:solidFill>
          </w14:textFill>
        </w:rPr>
        <w:t xml:space="preserve">联系方式：</w:t>
      </w:r>
      <w:r>
        <w:rPr>
          <w:rFonts w:hint="eastAsia" w:ascii="宋体" w:hAnsi="宋体" w:cs="宋体"/>
          <w:color w:val="000000" w:themeColor="text1"/>
          <w:szCs w:val="21"/>
          <w:highlight w:val="none"/>
          <w:u w:val="none"/>
          <w:lang w:val="en-US" w:eastAsia="zh-CN"/>
          <w14:textFill>
            <w14:solidFill>
              <w14:schemeClr w14:val="tx1"/>
            </w14:solidFill>
          </w14:textFill>
        </w:rPr>
        <w:t xml:space="preserve">15298472891</w:t>
      </w:r>
      <w:r/>
    </w:p>
    <w:p>
      <w:pPr>
        <w:numPr>
          <w:ilvl w:val="0"/>
          <w:numId w:val="0"/>
        </w:numPr>
        <w:ind w:firstLine="42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八、其他</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1.根据省财政厅《关于更换全省政府采购交易系统CA数字证书和电</w:t>
      </w:r>
      <w:r>
        <w:rPr>
          <w:rFonts w:hint="eastAsia" w:ascii="宋体" w:hAnsi="宋体" w:eastAsia="宋体" w:cs="宋体"/>
          <w:color w:val="000000" w:themeColor="text1"/>
          <w:szCs w:val="21"/>
          <w:highlight w:val="none"/>
          <w14:textFill>
            <w14:solidFill>
              <w14:schemeClr w14:val="tx1"/>
            </w14:solidFill>
          </w14:textFill>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领取CA和办理电子签章（请至扬州市文昌东路9号广陵新城市民中心1号楼5楼办理，具体联系方式：18952716110）。</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.供应商如确定参加投标，可自行下载招标文件及有关资料，按照《操作手册》进行注册，领取CA和办理电子签章，并按《操作手册》要求制作、上传电子投标文件，技术支持联系方式：13813140731。</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.本次招标不收取投标保证金。</w:t>
      </w:r>
      <w:r/>
    </w:p>
    <w:p>
      <w:pPr>
        <w:ind w:firstLine="42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.有关本次招标的事项若存在变动或修改，敬请及时关注江苏苏美达仪器设备有限公司在“江苏省政府采购网”“扬州市政府采购网”发布的信息。</w:t>
      </w:r>
      <w:r/>
    </w:p>
    <w:p>
      <w:pPr>
        <w:ind w:firstLine="420"/>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.潜在投标人对招标文件项目需求部分的询问、质疑请向采购人提出，由采购人负责答复。</w:t>
      </w:r>
      <w:r/>
    </w:p>
    <w:p>
      <w:pPr>
        <w:ind w:firstLine="420"/>
        <w:spacing w:line="440" w:lineRule="exact"/>
        <w:rPr>
          <w:rFonts w:hint="eastAsia" w:ascii="宋体" w:hAnsi="宋体" w:eastAsia="宋体" w:cs="宋体"/>
          <w:i/>
          <w:iCs/>
          <w:color w:val="000000" w:themeColor="text1"/>
          <w:szCs w:val="21"/>
          <w:highlight w:val="none"/>
          <w:u w:val="single"/>
          <w14:textFill>
            <w14:solidFill>
              <w14:schemeClr w14:val="tx1"/>
            </w14:solidFill>
          </w14:textFill>
        </w:rPr>
      </w:pP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7</w:t>
      </w:r>
      <w:r>
        <w:rPr>
          <w:rFonts w:hint="eastAsia" w:ascii="宋体" w:hAnsi="宋体" w:eastAsia="宋体" w:cs="宋体"/>
          <w:i/>
          <w:iCs/>
          <w:color w:val="000000" w:themeColor="text1"/>
          <w:szCs w:val="21"/>
          <w:highlight w:val="none"/>
          <w:u w:val="single"/>
          <w14:textFill>
            <w14:solidFill>
              <w14:schemeClr w14:val="tx1"/>
            </w14:solidFill>
          </w14:textFill>
        </w:rPr>
        <w:t xml:space="preserve">.本项目招标文件中所有斜体下划线部分为实质性条款，如不满足，则为无效响应。</w:t>
      </w:r>
      <w:r/>
    </w:p>
    <w:p>
      <w:pPr>
        <w:ind w:firstLine="422"/>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651"/>
        <w:jc w:val="center"/>
        <w:spacing w:before="240" w:after="240"/>
        <w:rPr>
          <w:rFonts w:ascii="宋体" w:hAnsi="宋体"/>
          <w:b w:val="0"/>
          <w:bCs w:val="0"/>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br w:type="page" w:clear="all"/>
      </w:r>
      <w:r/>
    </w:p>
    <w:p>
      <w:pPr>
        <w:pStyle w:val="651"/>
        <w:jc w:val="center"/>
        <w:spacing w:line="360" w:lineRule="auto"/>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第二章 投标人须知</w:t>
      </w:r>
      <w:bookmarkEnd w:id="0"/>
      <w:r/>
      <w:r/>
    </w:p>
    <w:p>
      <w:pPr>
        <w:pStyle w:val="654"/>
        <w:ind w:firstLine="422"/>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38" w:name="_Toc458694821"/>
      <w:r/>
      <w:bookmarkStart w:id="39" w:name="_Toc16938520"/>
      <w:r/>
      <w:bookmarkStart w:id="40" w:name="_Toc513029204"/>
      <w:r/>
      <w:bookmarkStart w:id="41" w:name="_Toc20823276"/>
      <w:r>
        <w:rPr>
          <w:rFonts w:hint="eastAsia"/>
          <w:color w:val="000000" w:themeColor="text1"/>
          <w:highlight w:val="none"/>
          <w14:textFill>
            <w14:solidFill>
              <w14:schemeClr w14:val="tx1"/>
            </w14:solidFill>
          </w14:textFill>
        </w:rPr>
        <w:t xml:space="preserve">一、总则</w:t>
      </w:r>
      <w:r/>
    </w:p>
    <w:p>
      <w:pPr>
        <w:pStyle w:val="654"/>
        <w:ind w:firstLine="422"/>
        <w:spacing w:before="0" w:after="0" w:line="360" w:lineRule="auto"/>
        <w:rPr>
          <w:rFonts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1</w:t>
      </w:r>
      <w:bookmarkEnd w:id="38"/>
      <w:r>
        <w:rPr>
          <w:rFonts w:hint="eastAsia" w:ascii="宋体" w:hAnsi="宋体" w:eastAsia="宋体" w:cs="宋体"/>
          <w:bCs w:val="0"/>
          <w:color w:val="000000" w:themeColor="text1"/>
          <w:sz w:val="21"/>
          <w:szCs w:val="21"/>
          <w:highlight w:val="none"/>
          <w14:textFill>
            <w14:solidFill>
              <w14:schemeClr w14:val="tx1"/>
            </w14:solidFill>
          </w14:textFill>
        </w:rPr>
        <w:t xml:space="preserve">、招标方式</w:t>
      </w:r>
      <w:bookmarkEnd w:id="39"/>
      <w:r/>
      <w:bookmarkEnd w:id="40"/>
      <w:r/>
      <w:bookmarkEnd w:id="41"/>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本次招标采取公开招标方式，本招标文件仅适用于</w:t>
      </w:r>
      <w:r>
        <w:rPr>
          <w:rFonts w:hint="eastAsia" w:ascii="宋体" w:hAnsi="宋体" w:cs="宋体"/>
          <w:color w:val="000000" w:themeColor="text1"/>
          <w:szCs w:val="21"/>
          <w:highlight w:val="none"/>
          <w:lang w:eastAsia="zh-CN"/>
          <w14:textFill>
            <w14:solidFill>
              <w14:schemeClr w14:val="tx1"/>
            </w14:solidFill>
          </w14:textFill>
        </w:rPr>
        <w:t xml:space="preserve">JSZC-321023-JNZX-G2026-0019</w:t>
      </w:r>
      <w:r>
        <w:rPr>
          <w:rFonts w:hint="eastAsia" w:ascii="宋体" w:hAnsi="宋体" w:cs="宋体"/>
          <w:color w:val="000000" w:themeColor="text1"/>
          <w:szCs w:val="21"/>
          <w:highlight w:val="none"/>
          <w14:textFill>
            <w14:solidFill>
              <w14:schemeClr w14:val="tx1"/>
            </w14:solidFill>
          </w14:textFill>
        </w:rPr>
        <w:t xml:space="preserve">号项目。</w:t>
      </w:r>
      <w:r/>
    </w:p>
    <w:p>
      <w:pPr>
        <w:pStyle w:val="654"/>
        <w:ind w:firstLine="422"/>
        <w:spacing w:before="0" w:after="0" w:line="360" w:lineRule="auto"/>
        <w:rPr>
          <w:rFonts w:ascii="宋体" w:hAnsi="宋体" w:eastAsia="宋体" w:cs="宋体"/>
          <w:bCs w:val="0"/>
          <w:color w:val="000000" w:themeColor="text1"/>
          <w:sz w:val="21"/>
          <w:szCs w:val="21"/>
          <w:highlight w:val="none"/>
          <w14:textFill>
            <w14:solidFill>
              <w14:schemeClr w14:val="tx1"/>
            </w14:solidFill>
          </w14:textFill>
        </w:rPr>
      </w:pPr>
      <w:r/>
      <w:bookmarkStart w:id="42" w:name="_Toc513029205"/>
      <w:r/>
      <w:bookmarkStart w:id="43" w:name="_Toc20823277"/>
      <w:r/>
      <w:bookmarkStart w:id="44" w:name="_Toc16938521"/>
      <w:r>
        <w:rPr>
          <w:rFonts w:hint="eastAsia" w:ascii="宋体" w:hAnsi="宋体" w:eastAsia="宋体" w:cs="宋体"/>
          <w:bCs w:val="0"/>
          <w:color w:val="000000" w:themeColor="text1"/>
          <w:sz w:val="21"/>
          <w:szCs w:val="21"/>
          <w:highlight w:val="none"/>
          <w14:textFill>
            <w14:solidFill>
              <w14:schemeClr w14:val="tx1"/>
            </w14:solidFill>
          </w14:textFill>
        </w:rPr>
        <w:t xml:space="preserve">2、投标人</w:t>
      </w:r>
      <w:r/>
    </w:p>
    <w:p>
      <w:pPr>
        <w:pStyle w:val="654"/>
        <w:ind w:firstLine="420"/>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2.1 本招标文件中“供应商”，即“投标人”，是指参加投标竞争，并符合招标文件规定资格条件的法人、其他组织或者自然人。</w:t>
      </w:r>
      <w:r/>
    </w:p>
    <w:p>
      <w:pPr>
        <w:pStyle w:val="654"/>
        <w:ind w:firstLine="420"/>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2.2合格的投标人</w:t>
      </w:r>
      <w:bookmarkEnd w:id="42"/>
      <w:r/>
      <w:bookmarkEnd w:id="43"/>
      <w:r/>
      <w:bookmarkEnd w:id="44"/>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2.2.1 满足投标邀请中供应商的资格条件要求的规定。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2.2.2 满足本文件实质性条款的规定。</w:t>
      </w:r>
      <w:r/>
    </w:p>
    <w:p>
      <w:pPr>
        <w:pStyle w:val="654"/>
        <w:ind w:firstLine="422"/>
        <w:spacing w:before="0" w:after="0" w:line="360" w:lineRule="auto"/>
        <w:rPr>
          <w:rFonts w:ascii="宋体" w:hAnsi="宋体" w:eastAsia="宋体" w:cs="宋体"/>
          <w:bCs w:val="0"/>
          <w:color w:val="000000" w:themeColor="text1"/>
          <w:sz w:val="21"/>
          <w:szCs w:val="21"/>
          <w:highlight w:val="none"/>
          <w14:textFill>
            <w14:solidFill>
              <w14:schemeClr w14:val="tx1"/>
            </w14:solidFill>
          </w14:textFill>
        </w:rPr>
      </w:pPr>
      <w:r/>
      <w:bookmarkStart w:id="45" w:name="_Toc513029206"/>
      <w:r/>
      <w:bookmarkStart w:id="46" w:name="_Toc20823278"/>
      <w:r/>
      <w:bookmarkStart w:id="47" w:name="_Toc16938522"/>
      <w:r>
        <w:rPr>
          <w:rFonts w:hint="eastAsia" w:ascii="宋体" w:hAnsi="宋体" w:eastAsia="宋体" w:cs="宋体"/>
          <w:bCs w:val="0"/>
          <w:color w:val="000000" w:themeColor="text1"/>
          <w:sz w:val="21"/>
          <w:szCs w:val="21"/>
          <w:highlight w:val="none"/>
          <w14:textFill>
            <w14:solidFill>
              <w14:schemeClr w14:val="tx1"/>
            </w14:solidFill>
          </w14:textFill>
        </w:rPr>
        <w:t xml:space="preserve">3、适用法律</w:t>
      </w:r>
      <w:bookmarkEnd w:id="45"/>
      <w:r/>
      <w:bookmarkEnd w:id="46"/>
      <w:r/>
      <w:bookmarkEnd w:id="47"/>
      <w:r/>
      <w:r/>
    </w:p>
    <w:p>
      <w:pPr>
        <w:pStyle w:val="654"/>
        <w:ind w:firstLine="420"/>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3.1 本次招标及由此产生的合同受中华人民共和国有关的法律法规制约和保护。</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4、投标费用</w:t>
      </w:r>
      <w:r/>
    </w:p>
    <w:p>
      <w:pPr>
        <w:ind w:firstLine="420"/>
        <w:spacing w:line="360" w:lineRule="auto"/>
        <w:rPr>
          <w:rFonts w:ascii="宋体" w:cs="宋体"/>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4.1</w:t>
      </w:r>
      <w:r>
        <w:rPr>
          <w:rFonts w:hint="eastAsia" w:ascii="宋体" w:hAnsi="宋体" w:cs="宋体"/>
          <w:color w:val="000000" w:themeColor="text1"/>
          <w:szCs w:val="21"/>
          <w:highlight w:val="none"/>
          <w14:textFill>
            <w14:solidFill>
              <w14:schemeClr w14:val="tx1"/>
            </w14:solidFill>
          </w14:textFill>
        </w:rPr>
        <w:t xml:space="preserve">投标人应自行承担所有与参加投标有关的费用，无论投标过程中的做法和结果如何，采购人在任何情况下均无义务和责任承担这些费用。</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4.2</w:t>
      </w:r>
      <w:r>
        <w:rPr>
          <w:rFonts w:hint="eastAsia" w:ascii="宋体" w:hAnsi="宋体" w:cs="宋体"/>
          <w:bCs/>
          <w:color w:val="000000" w:themeColor="text1"/>
          <w:szCs w:val="21"/>
          <w:highlight w:val="none"/>
          <w14:textFill>
            <w14:solidFill>
              <w14:schemeClr w14:val="tx1"/>
            </w14:solidFill>
          </w14:textFill>
        </w:rPr>
        <w:t xml:space="preserve">本次采购由中标单位在领取中标通知书前按照苏政采协【2024】20号文件的标准一次性支付给招标代理机构代理服务费。 </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（1）代理服务费以人民币支付； </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（2）代理服务费一次性以电汇、转账等非现金形式支付； </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（3）招标代理服务费不在投标报价中单列，包含在总价中，由中标单位支付给代理机构。 </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招标代理服务费开户银行：中国工商银行股份有限公司宝应白田支行 </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开户名称：江苏江南工程管理咨询有限公司宝应开发区分公司</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开户账号：1108200609100069420</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4.3本次采购专家评审费由采购人支付，专家评审费按宝财购〔2020〕14号《关于进一步规范宝应县政府采购专家评审费标准的通知》执行。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4.4在供货或服务期间，如遇政策改变，规定必须增加的内容，中标方需增加相应服务内容，服务费用不变。</w:t>
      </w:r>
      <w:r/>
    </w:p>
    <w:p>
      <w:pPr>
        <w:pStyle w:val="654"/>
        <w:ind w:firstLine="422"/>
        <w:spacing w:before="0" w:after="0" w:line="360" w:lineRule="auto"/>
        <w:rPr>
          <w:rFonts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bCs w:val="0"/>
          <w:color w:val="000000" w:themeColor="text1"/>
          <w:sz w:val="21"/>
          <w:szCs w:val="21"/>
          <w:highlight w:val="none"/>
          <w14:textFill>
            <w14:solidFill>
              <w14:schemeClr w14:val="tx1"/>
            </w14:solidFill>
          </w14:textFill>
        </w:rPr>
        <w:t xml:space="preserve">招标文件的约束力</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5.1</w:t>
      </w:r>
      <w:r>
        <w:rPr>
          <w:rFonts w:hint="eastAsia" w:ascii="宋体" w:hAnsi="宋体" w:cs="宋体"/>
          <w:color w:val="000000" w:themeColor="text1"/>
          <w:szCs w:val="21"/>
          <w:highlight w:val="none"/>
          <w14:textFill>
            <w14:solidFill>
              <w14:schemeClr w14:val="tx1"/>
            </w14:solidFill>
          </w14:textFill>
        </w:rPr>
        <w:t xml:space="preserve"> 投标人一旦参加本项目采购活动，即被认为接受了本招标文件的规定和约束。</w:t>
      </w:r>
      <w:r/>
    </w:p>
    <w:p>
      <w:pPr>
        <w:pStyle w:val="654"/>
        <w:ind w:firstLine="422"/>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48" w:name="_Toc16938526"/>
      <w:r/>
      <w:bookmarkStart w:id="49" w:name="_Toc513029210"/>
      <w:r/>
      <w:bookmarkStart w:id="50" w:name="_Toc20823282"/>
      <w:r>
        <w:rPr>
          <w:rFonts w:hint="eastAsia"/>
          <w:color w:val="000000" w:themeColor="text1"/>
          <w:highlight w:val="none"/>
          <w14:textFill>
            <w14:solidFill>
              <w14:schemeClr w14:val="tx1"/>
            </w14:solidFill>
          </w14:textFill>
        </w:rPr>
        <w:t xml:space="preserve">二、招标文件</w:t>
      </w:r>
      <w:r/>
    </w:p>
    <w:p>
      <w:pPr>
        <w:pStyle w:val="654"/>
        <w:ind w:firstLine="422"/>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6、招标文件构成</w:t>
      </w:r>
      <w:bookmarkEnd w:id="48"/>
      <w:r/>
      <w:bookmarkEnd w:id="49"/>
      <w:r/>
      <w:bookmarkEnd w:id="50"/>
      <w:r/>
      <w:r/>
    </w:p>
    <w:p>
      <w:pPr>
        <w:pStyle w:val="654"/>
        <w:ind w:firstLine="422"/>
        <w:spacing w:before="0"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6.1 招标文件由以下部分组成：</w:t>
      </w:r>
      <w:r/>
    </w:p>
    <w:p>
      <w:pPr>
        <w:ind w:firstLine="31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w:t>
      </w:r>
      <w:r>
        <w:rPr>
          <w:rFonts w:ascii="宋体" w:hAnsi="宋体" w:cs="宋体"/>
          <w:color w:val="000000" w:themeColor="text1"/>
          <w:szCs w:val="21"/>
          <w:highlight w:val="none"/>
          <w14:textFill>
            <w14:solidFill>
              <w14:schemeClr w14:val="tx1"/>
            </w14:solidFill>
          </w14:textFill>
        </w:rPr>
        <w:t xml:space="preserve">邀请</w:t>
      </w:r>
      <w:r/>
    </w:p>
    <w:p>
      <w:pPr>
        <w:ind w:firstLine="31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（2）投标人须知</w:t>
      </w:r>
      <w:r/>
    </w:p>
    <w:p>
      <w:pPr>
        <w:ind w:firstLine="31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（3）合同文本</w:t>
      </w:r>
      <w:r/>
    </w:p>
    <w:p>
      <w:pPr>
        <w:ind w:firstLine="31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（4）采购需求</w:t>
      </w:r>
      <w:r/>
    </w:p>
    <w:p>
      <w:pPr>
        <w:ind w:firstLine="31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（5）评标方法与评标标准</w:t>
      </w:r>
      <w:r/>
    </w:p>
    <w:p>
      <w:pPr>
        <w:ind w:firstLine="31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（6）投标文件格式</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请仔细检查招标文件是否齐全，如有缺漏请立即与采购人联系解决。</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6.3 招标文件如果要求供应商提交备选投标方案的，供应商可以提交备选方案；否则，备选方案将被拒绝。</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6.4</w:t>
      </w:r>
      <w:r>
        <w:rPr>
          <w:rFonts w:hint="eastAsia" w:ascii="宋体" w:hAnsi="宋体" w:cs="宋体"/>
          <w:color w:val="000000" w:themeColor="text1"/>
          <w:szCs w:val="21"/>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bookmarkStart w:id="51" w:name="_Toc462564070"/>
      <w:r/>
      <w:bookmarkStart w:id="52" w:name="_Toc20823283"/>
      <w:r/>
      <w:bookmarkStart w:id="53" w:name="_Toc16938527"/>
      <w:r/>
      <w:bookmarkStart w:id="54" w:name="_Toc513029211"/>
      <w:r>
        <w:rPr>
          <w:rFonts w:hint="eastAsia" w:ascii="宋体" w:hAnsi="宋体" w:eastAsia="宋体" w:cs="宋体"/>
          <w:bCs w:val="0"/>
          <w:color w:val="000000" w:themeColor="text1"/>
          <w:sz w:val="21"/>
          <w:szCs w:val="21"/>
          <w:highlight w:val="none"/>
          <w14:textFill>
            <w14:solidFill>
              <w14:schemeClr w14:val="tx1"/>
            </w14:solidFill>
          </w14:textFill>
        </w:rPr>
        <w:t xml:space="preserve">7</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招标文件的</w:t>
      </w:r>
      <w:bookmarkEnd w:id="51"/>
      <w:r/>
      <w:bookmarkEnd w:id="52"/>
      <w:r/>
      <w:bookmarkEnd w:id="53"/>
      <w:r/>
      <w:bookmarkEnd w:id="54"/>
      <w:r>
        <w:rPr>
          <w:rFonts w:hint="eastAsia" w:ascii="宋体" w:hAnsi="宋体" w:eastAsia="宋体" w:cs="宋体"/>
          <w:bCs w:val="0"/>
          <w:color w:val="000000" w:themeColor="text1"/>
          <w:sz w:val="21"/>
          <w:szCs w:val="21"/>
          <w:highlight w:val="none"/>
          <w14:textFill>
            <w14:solidFill>
              <w14:schemeClr w14:val="tx1"/>
            </w14:solidFill>
          </w14:textFill>
        </w:rPr>
        <w:t xml:space="preserve">澄清</w:t>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55" w:name="_Toc462564071"/>
      <w:r/>
      <w:bookmarkStart w:id="56" w:name="_Toc16938528"/>
      <w:r/>
      <w:bookmarkStart w:id="57" w:name="_Toc20823284"/>
      <w:r/>
      <w:bookmarkStart w:id="58" w:name="_Toc513029212"/>
      <w:r>
        <w:rPr>
          <w:rFonts w:hint="eastAsia" w:ascii="宋体" w:hAnsi="宋体"/>
          <w:color w:val="000000" w:themeColor="text1"/>
          <w:szCs w:val="21"/>
          <w:highlight w:val="none"/>
          <w14:textFill>
            <w14:solidFill>
              <w14:schemeClr w14:val="tx1"/>
            </w14:solidFill>
          </w14:textFill>
        </w:rPr>
        <w:t xml:space="preserve">7.1</w:t>
      </w:r>
      <w:r>
        <w:rPr>
          <w:rFonts w:hint="eastAsia" w:ascii="宋体" w:hAnsi="宋体"/>
          <w:bCs/>
          <w:color w:val="000000" w:themeColor="text1"/>
          <w:szCs w:val="21"/>
          <w:highlight w:val="none"/>
          <w14:textFill>
            <w14:solidFill>
              <w14:schemeClr w14:val="tx1"/>
            </w14:solidFill>
          </w14:textFill>
        </w:rPr>
        <w:t xml:space="preserve">任何要求对招标文件进行澄清的投标人，应在投标截止日期的十日前按招标公告中的通讯地址，以书面形式通知代理机构。</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Cs w:val="0"/>
          <w:color w:val="000000" w:themeColor="text1"/>
          <w:sz w:val="21"/>
          <w:szCs w:val="21"/>
          <w:highlight w:val="none"/>
          <w14:textFill>
            <w14:solidFill>
              <w14:schemeClr w14:val="tx1"/>
            </w14:solidFill>
          </w14:textFill>
        </w:rPr>
        <w:t xml:space="preserve">招标文件的修改</w:t>
      </w:r>
      <w:bookmarkEnd w:id="55"/>
      <w:r/>
      <w:bookmarkEnd w:id="56"/>
      <w:r/>
      <w:bookmarkEnd w:id="57"/>
      <w:r/>
      <w:bookmarkEnd w:id="58"/>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8.1</w:t>
      </w:r>
      <w:r>
        <w:rPr>
          <w:rFonts w:hint="eastAsia" w:ascii="宋体" w:hAnsi="宋体" w:cs="宋体"/>
          <w:color w:val="000000" w:themeColor="text1"/>
          <w:szCs w:val="21"/>
          <w:highlight w:val="none"/>
          <w14:textFill>
            <w14:solidFill>
              <w14:schemeClr w14:val="tx1"/>
            </w14:solidFill>
          </w14:textFill>
        </w:rPr>
        <w:t xml:space="preserve"> 在投标截止时间前，采购人可以对招标文件进行修改。</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8.2采购人在招标文件要求提交投标文件截止时间前，有权决定延长投标截止时间和开标时间，并在原采购信息发布媒体上发布变更公告。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8.3</w:t>
      </w:r>
      <w:r>
        <w:rPr>
          <w:rFonts w:hint="eastAsia" w:ascii="宋体" w:hAnsi="宋体" w:cs="宋体"/>
          <w:color w:val="000000" w:themeColor="text1"/>
          <w:szCs w:val="21"/>
          <w:highlight w:val="none"/>
          <w14:textFill>
            <w14:solidFill>
              <w14:schemeClr w14:val="tx1"/>
            </w14:solidFill>
          </w14:textFill>
        </w:rPr>
        <w:t xml:space="preserve">招标文件的修改将在“扬州市政府采购网”、“江苏省政府采购网”公布，补充文件将作为招标文件的组成部分，并对投标人具有约束力。</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8.4投标人应在投标截止时间前关注采购信息发布媒体上有关本招标项目有无变更公告。</w:t>
      </w:r>
      <w:r/>
    </w:p>
    <w:p>
      <w:pPr>
        <w:pStyle w:val="654"/>
        <w:ind w:firstLine="422"/>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59" w:name="_Toc16938530"/>
      <w:r/>
      <w:bookmarkStart w:id="60" w:name="_Toc462564073"/>
      <w:r/>
      <w:bookmarkStart w:id="61" w:name="_Toc20823286"/>
      <w:r/>
      <w:bookmarkStart w:id="62" w:name="_Toc513029214"/>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三、投标文件的编制</w:t>
      </w:r>
      <w:bookmarkEnd w:id="59"/>
      <w:bookmarkEnd w:id="60"/>
      <w:bookmarkEnd w:id="61"/>
      <w:bookmarkEnd w:id="62"/>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9、投标文件的语言及度量衡单位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 除技术性能另有规定外，投标文件所使用的度量衡单位，均须采用国家法定计量单位。</w:t>
      </w:r>
      <w:r/>
    </w:p>
    <w:p>
      <w:pPr>
        <w:pStyle w:val="654"/>
        <w:ind w:firstLine="420"/>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bookmarkStart w:id="63" w:name="_Toc513029219"/>
      <w:r/>
      <w:bookmarkStart w:id="64" w:name="_Toc14577357"/>
      <w:r/>
      <w:bookmarkStart w:id="65" w:name="_Toc49090509"/>
      <w:r/>
      <w:bookmarkStart w:id="66" w:name="_Toc14577354"/>
      <w:r/>
      <w:bookmarkStart w:id="67" w:name="_Toc513029216"/>
      <w:r/>
      <w:bookmarkStart w:id="68" w:name="_Toc49090507"/>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10、投标文件构成</w:t>
      </w:r>
      <w:r/>
    </w:p>
    <w:p>
      <w:pPr>
        <w:pStyle w:val="654"/>
        <w:ind w:firstLine="420"/>
        <w:spacing w:before="0" w:after="0" w:line="360" w:lineRule="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10.1 投标人编写的投标文件应包括资格证明文件、符合性证明文件、投标分项报价表、技术要求响应及偏离表、商务要求响应及偏离表、其他证明文件、投标函、开标一览表等部分。</w:t>
      </w:r>
      <w:r/>
    </w:p>
    <w:p>
      <w:pPr>
        <w:pStyle w:val="654"/>
        <w:ind w:firstLine="420"/>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10.2 如标书制作工具中格式和内容与“江苏政府采购网”、“扬州市政府采购网”发布的招标文件不一致，请以“江苏政府采购网”、“扬州市政府采购网”发布的招标文件为准。</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11、证明投标人资格及符合招标文件规定的文件</w:t>
      </w:r>
      <w:bookmarkEnd w:id="63"/>
      <w:r/>
      <w:bookmarkEnd w:id="64"/>
      <w:r/>
      <w:bookmarkEnd w:id="65"/>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11.1投标人应按要求提交资格证明文件及符合招标文件规定的文件。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11.2投标人应提交证明其有资格参加投标和中标后有能力独立履行合同的文件。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11.3投标人除必须具有履行合同所需提供的货物或服务的能力外，还必须具备相应的财务、技术方面的能力。</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11.4投标人应提交根据合同要求提供的证明服务（或产品）质量合格以及符合招标文件规定的证明文件。</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11.5证明投标人所提供服务（或产品）与招标文件的要求相一致的文件可以是手册、图纸、文字资料和数据</w:t>
      </w:r>
      <w:r>
        <w:rPr>
          <w:rFonts w:hint="eastAsia" w:ascii="宋体" w:hAnsi="宋体" w:cs="宋体"/>
          <w:bCs/>
          <w:color w:val="000000" w:themeColor="text1"/>
          <w:szCs w:val="21"/>
          <w:highlight w:val="none"/>
          <w14:textFill>
            <w14:solidFill>
              <w14:schemeClr w14:val="tx1"/>
            </w14:solidFill>
          </w14:textFill>
        </w:rPr>
        <w:t xml:space="preserve">。</w:t>
      </w:r>
      <w:bookmarkEnd w:id="66"/>
      <w:bookmarkEnd w:id="67"/>
      <w:bookmarkEnd w:id="68"/>
      <w:r/>
    </w:p>
    <w:p>
      <w:pPr>
        <w:pStyle w:val="654"/>
        <w:ind w:firstLine="422"/>
        <w:spacing w:before="0" w:after="0" w:line="360" w:lineRule="auto"/>
        <w:rPr>
          <w:rFonts w:ascii="宋体" w:hAnsi="宋体" w:eastAsia="宋体" w:cs="宋体"/>
          <w:bCs w:val="0"/>
          <w:color w:val="000000" w:themeColor="text1"/>
          <w:sz w:val="21"/>
          <w:szCs w:val="21"/>
          <w:highlight w:val="none"/>
          <w14:textFill>
            <w14:solidFill>
              <w14:schemeClr w14:val="tx1"/>
            </w14:solidFill>
          </w14:textFill>
        </w:rPr>
      </w:pPr>
      <w:r/>
      <w:bookmarkStart w:id="69" w:name="_Toc14577355"/>
      <w:r/>
      <w:bookmarkStart w:id="70" w:name="_Toc49090508"/>
      <w:r>
        <w:rPr>
          <w:rFonts w:hint="eastAsia" w:ascii="宋体" w:hAnsi="宋体" w:eastAsia="宋体" w:cs="宋体"/>
          <w:bCs w:val="0"/>
          <w:color w:val="000000" w:themeColor="text1"/>
          <w:sz w:val="21"/>
          <w:szCs w:val="21"/>
          <w:highlight w:val="none"/>
          <w14:textFill>
            <w14:solidFill>
              <w14:schemeClr w14:val="tx1"/>
            </w14:solidFill>
          </w14:textFill>
        </w:rPr>
        <w:t xml:space="preserve">12、供货一览表和投标配置与分项报价</w:t>
      </w:r>
      <w:bookmarkEnd w:id="69"/>
      <w:r>
        <w:rPr>
          <w:rFonts w:hint="eastAsia" w:ascii="宋体" w:hAnsi="宋体" w:eastAsia="宋体" w:cs="宋体"/>
          <w:bCs w:val="0"/>
          <w:color w:val="000000" w:themeColor="text1"/>
          <w:sz w:val="21"/>
          <w:szCs w:val="21"/>
          <w:highlight w:val="none"/>
          <w14:textFill>
            <w14:solidFill>
              <w14:schemeClr w14:val="tx1"/>
            </w14:solidFill>
          </w14:textFill>
        </w:rPr>
        <w:t xml:space="preserve">表</w:t>
      </w:r>
      <w:bookmarkEnd w:id="70"/>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12.1</w:t>
      </w:r>
      <w:r>
        <w:rPr>
          <w:rFonts w:hint="eastAsia" w:ascii="宋体" w:hAnsi="宋体"/>
          <w:color w:val="000000" w:themeColor="text1"/>
          <w:szCs w:val="21"/>
          <w:highlight w:val="none"/>
          <w14:textFill>
            <w14:solidFill>
              <w14:schemeClr w14:val="tx1"/>
            </w14:solidFill>
          </w14:textFill>
        </w:rPr>
        <w:t xml:space="preserve">投标人应按照招标文件规定格式填报投标分项报价表，每项服务或设备只允许有一个报价，任何有选择的报价将不予接受</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12.2</w:t>
      </w:r>
      <w:r>
        <w:rPr>
          <w:rFonts w:hint="eastAsia" w:ascii="宋体" w:hAnsi="宋体" w:cs="宋体"/>
          <w:color w:val="000000" w:themeColor="text1"/>
          <w:szCs w:val="21"/>
          <w:highlight w:val="none"/>
          <w14:textFill>
            <w14:solidFill>
              <w14:schemeClr w14:val="tx1"/>
            </w14:solidFill>
          </w14:textFill>
        </w:rPr>
        <w:t xml:space="preserve"> 标的物</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采购人需求的服务供应、安装，调试及有关技术服务等。</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w:t>
      </w:r>
      <w:r>
        <w:rPr>
          <w:rFonts w:hint="eastAsia" w:ascii="宋体" w:hAnsi="宋体" w:cs="宋体"/>
          <w:bCs/>
          <w:color w:val="000000" w:themeColor="text1"/>
          <w:szCs w:val="21"/>
          <w:highlight w:val="none"/>
          <w14:textFill>
            <w14:solidFill>
              <w14:schemeClr w14:val="tx1"/>
            </w14:solidFill>
          </w14:textFill>
        </w:rPr>
        <w:t xml:space="preserve">有关费用处理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招标报价采用固定单价方式，投标人的报价应包括所投设备、培训费、运行维护费用、税金及其他有关的为完成本项目发生的所有费用，招标文件中另有规定的除外。</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w:t>
      </w:r>
      <w:r>
        <w:rPr>
          <w:rFonts w:hint="eastAsia" w:ascii="宋体" w:hAnsi="宋体" w:cs="宋体"/>
          <w:bCs/>
          <w:color w:val="000000" w:themeColor="text1"/>
          <w:szCs w:val="21"/>
          <w:highlight w:val="none"/>
          <w14:textFill>
            <w14:solidFill>
              <w14:schemeClr w14:val="tx1"/>
            </w14:solidFill>
          </w14:textFill>
        </w:rPr>
        <w:t xml:space="preserve">其它费用处理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招标文件未列明，而投标人认为必需的费用也需列入报价。</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rPr>
          <w:rFonts w:hint="eastAsia" w:ascii="宋体" w:hAnsi="宋体" w:cs="宋体"/>
          <w:bCs/>
          <w:color w:val="000000" w:themeColor="text1"/>
          <w:szCs w:val="21"/>
          <w:highlight w:val="none"/>
          <w14:textFill>
            <w14:solidFill>
              <w14:schemeClr w14:val="tx1"/>
            </w14:solidFill>
          </w14:textFill>
        </w:rPr>
        <w:t xml:space="preserve">投标货币</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投标文件中的服务（或货物）单价和总价无特殊规定的采用人民币报价，以元为单位标注。</w:t>
      </w:r>
      <w:r>
        <w:rPr>
          <w:rFonts w:hint="eastAsia" w:ascii="宋体" w:hAnsi="宋体" w:cs="宋体"/>
          <w:color w:val="000000" w:themeColor="text1"/>
          <w:szCs w:val="21"/>
          <w:highlight w:val="none"/>
          <w14:textFill>
            <w14:solidFill>
              <w14:schemeClr w14:val="tx1"/>
            </w14:solidFill>
          </w14:textFill>
        </w:rPr>
        <w:t xml:space="preserve">招标文件中另有规定的按规定执行。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w:t>
      </w:r>
      <w:r>
        <w:rPr>
          <w:rFonts w:hint="eastAsia" w:ascii="宋体" w:hAnsi="宋体" w:cs="宋体"/>
          <w:bCs/>
          <w:color w:val="000000" w:themeColor="text1"/>
          <w:szCs w:val="21"/>
          <w:highlight w:val="none"/>
          <w14:textFill>
            <w14:solidFill>
              <w14:schemeClr w14:val="tx1"/>
            </w14:solidFill>
          </w14:textFill>
        </w:rPr>
        <w:t xml:space="preserve"> 投标配置与分项报价表上的价格应按下列方式分开填写</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12.6.1项目总价：包括采购人需求的产品价格、质量保证费用、培训费用及售后服务费用，项目在交货地点、环境交付、安装、调试、验收所需费用和所有相关税金费用及为完成整个项目所产生的其他所有费用。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12.6.2</w:t>
      </w:r>
      <w:r>
        <w:rPr>
          <w:rFonts w:hint="eastAsia" w:ascii="宋体" w:hAnsi="宋体" w:cs="宋体"/>
          <w:bCs/>
          <w:color w:val="000000" w:themeColor="text1"/>
          <w:szCs w:val="21"/>
          <w:highlight w:val="none"/>
          <w14:textFill>
            <w14:solidFill>
              <w14:schemeClr w14:val="tx1"/>
            </w14:solidFill>
          </w14:textFill>
        </w:rPr>
        <w:t xml:space="preserve">项目单价按投标配置及分项报价表中要求填报。</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13、</w:t>
      </w:r>
      <w:r>
        <w:rPr>
          <w:rFonts w:hint="eastAsia" w:ascii="宋体" w:hAnsi="宋体" w:cs="宋体"/>
          <w:b/>
          <w:color w:val="000000" w:themeColor="text1"/>
          <w:szCs w:val="21"/>
          <w:highlight w:val="none"/>
          <w14:textFill>
            <w14:solidFill>
              <w14:schemeClr w14:val="tx1"/>
            </w14:solidFill>
          </w14:textFill>
        </w:rPr>
        <w:t xml:space="preserve">技术参数响应及偏离表、商务条款响应及偏离表及投标货物说明</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13.1</w:t>
      </w:r>
      <w:r>
        <w:rPr>
          <w:rFonts w:hint="eastAsia" w:ascii="宋体" w:hAnsi="宋体" w:cs="宋体"/>
          <w:color w:val="000000" w:themeColor="text1"/>
          <w:szCs w:val="21"/>
          <w:highlight w:val="none"/>
          <w:lang w:val="zh-CN"/>
          <w14:textFill>
            <w14:solidFill>
              <w14:schemeClr w14:val="tx1"/>
            </w14:solidFill>
          </w14:textFill>
        </w:rPr>
        <w:t xml:space="preserve"> 对招标文件中的技术与商务条款要求逐项作出响应或偏离，并说明原因；</w:t>
      </w:r>
      <w:r/>
    </w:p>
    <w:p>
      <w:pPr>
        <w:ind w:firstLine="420"/>
        <w:spacing w:line="360" w:lineRule="auto"/>
        <w:tabs>
          <w:tab w:val="left" w:pos="1035"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13.2 提供参加本项目类似案例简介；</w:t>
      </w:r>
      <w:r/>
    </w:p>
    <w:p>
      <w:pPr>
        <w:ind w:firstLine="420"/>
        <w:spacing w:line="360" w:lineRule="auto"/>
        <w:tabs>
          <w:tab w:val="left" w:pos="1035"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13.3 </w:t>
      </w:r>
      <w:r>
        <w:rPr>
          <w:rFonts w:hint="eastAsia" w:ascii="宋体" w:hAnsi="宋体"/>
          <w:color w:val="000000" w:themeColor="text1"/>
          <w:szCs w:val="21"/>
          <w:highlight w:val="none"/>
          <w14:textFill>
            <w14:solidFill>
              <w14:schemeClr w14:val="tx1"/>
            </w14:solidFill>
          </w14:textFill>
        </w:rPr>
        <w:t xml:space="preserve">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tabs>
          <w:tab w:val="left" w:pos="1035"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13.4 投标人认为需要的其他技术文件或说明。</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14、服务承诺及售后服务机构、人员的情况介绍</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14.1</w:t>
      </w:r>
      <w:r>
        <w:rPr>
          <w:rFonts w:hint="eastAsia" w:ascii="宋体" w:hAnsi="宋体" w:cs="宋体"/>
          <w:color w:val="000000" w:themeColor="text1"/>
          <w:szCs w:val="21"/>
          <w:highlight w:val="none"/>
          <w14:textFill>
            <w14:solidFill>
              <w14:schemeClr w14:val="tx1"/>
            </w14:solidFill>
          </w14:textFill>
        </w:rPr>
        <w:t xml:space="preserve">投标人的服务承诺应按不低于招标文件中商务要求的标准。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14.2</w:t>
      </w:r>
      <w:r>
        <w:rPr>
          <w:rFonts w:hint="eastAsia" w:ascii="宋体" w:hAnsi="宋体" w:cs="宋体"/>
          <w:color w:val="000000" w:themeColor="text1"/>
          <w:szCs w:val="21"/>
          <w:highlight w:val="none"/>
          <w14:textFill>
            <w14:solidFill>
              <w14:schemeClr w14:val="tx1"/>
            </w14:solidFill>
          </w14:textFill>
        </w:rPr>
        <w:t xml:space="preserve">提供投标人有关售后服务的管理制度、售后服务机构的分布情况、售后服务人员的数量、素质、技术水平及售后服务的反应能力。</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bookmarkStart w:id="71" w:name="_Toc49090510"/>
      <w:r/>
      <w:bookmarkStart w:id="72" w:name="_Toc14577359"/>
      <w:r>
        <w:rPr>
          <w:rFonts w:hint="eastAsia" w:ascii="宋体" w:hAnsi="宋体" w:eastAsia="宋体" w:cs="宋体"/>
          <w:bCs w:val="0"/>
          <w:color w:val="000000" w:themeColor="text1"/>
          <w:sz w:val="21"/>
          <w:szCs w:val="21"/>
          <w:highlight w:val="none"/>
          <w14:textFill>
            <w14:solidFill>
              <w14:schemeClr w14:val="tx1"/>
            </w14:solidFill>
          </w14:textFill>
        </w:rPr>
        <w:t xml:space="preserve">15、投标函和开标一览表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15.1</w:t>
      </w:r>
      <w:r>
        <w:rPr>
          <w:rFonts w:hint="eastAsia" w:ascii="宋体" w:hAnsi="宋体" w:cs="宋体"/>
          <w:color w:val="000000" w:themeColor="text1"/>
          <w:szCs w:val="21"/>
          <w:highlight w:val="none"/>
          <w14:textFill>
            <w14:solidFill>
              <w14:schemeClr w14:val="tx1"/>
            </w14:solidFill>
          </w14:textFill>
        </w:rPr>
        <w:t xml:space="preserve"> 投标人应按照招标文件中提供的格式完整、正确填写投标函、开标一览表。</w:t>
      </w:r>
      <w:r/>
    </w:p>
    <w:p>
      <w:pPr>
        <w:ind w:firstLine="420"/>
        <w:spacing w:line="360" w:lineRule="auto"/>
        <w:rPr>
          <w:rFonts w:ascii="宋体" w:cs="宋体"/>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15.2</w:t>
      </w:r>
      <w:r>
        <w:rPr>
          <w:rFonts w:hint="eastAsia" w:ascii="宋体" w:hAnsi="宋体" w:cs="宋体"/>
          <w:bCs/>
          <w:color w:val="000000" w:themeColor="text1"/>
          <w:szCs w:val="21"/>
          <w:highlight w:val="none"/>
          <w14:textFill>
            <w14:solidFill>
              <w14:schemeClr w14:val="tx1"/>
            </w14:solidFill>
          </w14:textFill>
        </w:rPr>
        <w:t xml:space="preserve">开标一览表中的价格应与投标文件中投标配置与分项报价表中的价格一致，如不一致，</w:t>
      </w:r>
      <w:r>
        <w:rPr>
          <w:rFonts w:hint="eastAsia" w:ascii="宋体" w:hAnsi="宋体" w:cs="宋体"/>
          <w:color w:val="000000" w:themeColor="text1"/>
          <w:szCs w:val="21"/>
          <w:highlight w:val="none"/>
          <w14:textFill>
            <w14:solidFill>
              <w14:schemeClr w14:val="tx1"/>
            </w14:solidFill>
          </w14:textFill>
        </w:rPr>
        <w:t xml:space="preserve">不作为无效投标处理</w:t>
      </w:r>
      <w:r>
        <w:rPr>
          <w:rFonts w:hint="eastAsia" w:ascii="宋体" w:hAnsi="宋体" w:cs="宋体"/>
          <w:bCs/>
          <w:color w:val="000000" w:themeColor="text1"/>
          <w:szCs w:val="21"/>
          <w:highlight w:val="none"/>
          <w14:textFill>
            <w14:solidFill>
              <w14:schemeClr w14:val="tx1"/>
            </w14:solidFill>
          </w14:textFill>
        </w:rPr>
        <w:t xml:space="preserve">，但评标时按开标一览表中价格为准</w:t>
      </w:r>
      <w:r>
        <w:rPr>
          <w:rFonts w:hint="eastAsia" w:ascii="宋体" w:hAnsi="宋体" w:cs="宋体"/>
          <w:b/>
          <w:bCs/>
          <w:color w:val="000000" w:themeColor="text1"/>
          <w:szCs w:val="21"/>
          <w:highlight w:val="none"/>
          <w14:textFill>
            <w14:solidFill>
              <w14:schemeClr w14:val="tx1"/>
            </w14:solidFill>
          </w14:textFill>
        </w:rPr>
        <w:t xml:space="preserve">。</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16、投标保证金</w:t>
      </w:r>
      <w:bookmarkEnd w:id="71"/>
      <w:r/>
      <w:bookmarkEnd w:id="72"/>
      <w:r/>
      <w:r/>
    </w:p>
    <w:p>
      <w:pPr>
        <w:ind w:firstLine="420"/>
        <w:spacing w:line="360" w:lineRule="auto"/>
        <w:rPr>
          <w:rFonts w:ascii="宋体" w:hAnsi="宋体" w:cs="宋体"/>
          <w:bCs/>
          <w:color w:val="000000" w:themeColor="text1"/>
          <w:szCs w:val="21"/>
          <w:highlight w:val="none"/>
          <w14:textFill>
            <w14:solidFill>
              <w14:schemeClr w14:val="tx1"/>
            </w14:solidFill>
          </w14:textFill>
        </w:rPr>
      </w:pPr>
      <w:r/>
      <w:bookmarkStart w:id="73" w:name="_Toc14577360"/>
      <w:r/>
      <w:bookmarkStart w:id="74" w:name="_Toc49090511"/>
      <w:r>
        <w:rPr>
          <w:rFonts w:hint="eastAsia" w:ascii="宋体" w:hAnsi="宋体"/>
          <w:color w:val="000000" w:themeColor="text1"/>
          <w:szCs w:val="21"/>
          <w:highlight w:val="none"/>
          <w14:textFill>
            <w14:solidFill>
              <w14:schemeClr w14:val="tx1"/>
            </w14:solidFill>
          </w14:textFill>
        </w:rPr>
        <w:t xml:space="preserve">16.1</w:t>
      </w:r>
      <w:r>
        <w:rPr>
          <w:rFonts w:hint="eastAsia" w:ascii="宋体" w:hAnsi="宋体"/>
          <w:bCs/>
          <w:color w:val="000000" w:themeColor="text1"/>
          <w:szCs w:val="21"/>
          <w:highlight w:val="none"/>
          <w14:textFill>
            <w14:solidFill>
              <w14:schemeClr w14:val="tx1"/>
            </w14:solidFill>
          </w14:textFill>
        </w:rPr>
        <w:t xml:space="preserve">本项目免收投标人投标保证金。</w:t>
      </w:r>
      <w:r/>
    </w:p>
    <w:p>
      <w:pPr>
        <w:pStyle w:val="654"/>
        <w:ind w:firstLine="422"/>
        <w:spacing w:before="0" w:after="0" w:line="52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17、投标有效期</w:t>
      </w:r>
      <w:bookmarkEnd w:id="73"/>
      <w:r/>
      <w:bookmarkEnd w:id="74"/>
      <w:r/>
      <w:r/>
    </w:p>
    <w:p>
      <w:pPr>
        <w:ind w:firstLine="420"/>
        <w:spacing w:line="5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w:t>
      </w:r>
      <w:r>
        <w:rPr>
          <w:rFonts w:hint="eastAsia" w:ascii="宋体" w:hAnsi="宋体"/>
          <w:bCs/>
          <w:color w:val="000000" w:themeColor="text1"/>
          <w:szCs w:val="21"/>
          <w:highlight w:val="none"/>
          <w14:textFill>
            <w14:solidFill>
              <w14:schemeClr w14:val="tx1"/>
            </w14:solidFill>
          </w14:textFill>
        </w:rPr>
        <w:t xml:space="preserve">投标有效期为采购人规定的开标之日起</w:t>
      </w:r>
      <w:r>
        <w:rPr>
          <w:rFonts w:hint="eastAsia" w:ascii="宋体" w:hAnsi="宋体"/>
          <w:b/>
          <w:color w:val="000000" w:themeColor="text1"/>
          <w:szCs w:val="21"/>
          <w:highlight w:val="none"/>
          <w:u w:val="single"/>
          <w14:textFill>
            <w14:solidFill>
              <w14:schemeClr w14:val="tx1"/>
            </w14:solidFill>
          </w14:textFill>
        </w:rPr>
        <w:t xml:space="preserve">六十（60）天</w:t>
      </w:r>
      <w:r>
        <w:rPr>
          <w:rFonts w:hint="eastAsia" w:ascii="宋体" w:hAnsi="宋体"/>
          <w:bCs/>
          <w:color w:val="000000" w:themeColor="text1"/>
          <w:szCs w:val="21"/>
          <w:highlight w:val="none"/>
          <w14:textFill>
            <w14:solidFill>
              <w14:schemeClr w14:val="tx1"/>
            </w14:solidFill>
          </w14:textFill>
        </w:rPr>
        <w:t xml:space="preserve">。投标有效期比规定短的将被视为非响应性投标而予以拒绝</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5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w:t>
      </w:r>
      <w:r>
        <w:rPr>
          <w:rFonts w:hint="eastAsia" w:ascii="宋体" w:hAnsi="宋体" w:cs="宋体"/>
          <w:bCs/>
          <w:color w:val="000000" w:themeColor="text1"/>
          <w:szCs w:val="21"/>
          <w:highlight w:val="none"/>
          <w14:textFill>
            <w14:solidFill>
              <w14:schemeClr w14:val="tx1"/>
            </w14:solidFill>
          </w14:textFill>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highlight w:val="none"/>
          <w14:textFill>
            <w14:solidFill>
              <w14:schemeClr w14:val="tx1"/>
            </w14:solidFill>
          </w14:textFill>
        </w:rPr>
        <w:t xml:space="preserve">同意延长投标有效期的投标人既不能要求也不允许修改其投标文件。本招标文件受投标有效期约束的所有权利与义务均延长至新的有效期。</w:t>
      </w:r>
      <w:r/>
    </w:p>
    <w:p>
      <w:pPr>
        <w:pStyle w:val="654"/>
        <w:ind w:firstLine="422"/>
        <w:spacing w:before="0" w:after="0" w:line="520" w:lineRule="exact"/>
        <w:rPr>
          <w:rFonts w:hint="eastAsia" w:ascii="宋体" w:hAnsi="宋体" w:eastAsia="宋体" w:cs="宋体"/>
          <w:bCs w:val="0"/>
          <w:color w:val="000000" w:themeColor="text1"/>
          <w:sz w:val="21"/>
          <w:szCs w:val="21"/>
          <w:highlight w:val="none"/>
          <w14:textFill>
            <w14:solidFill>
              <w14:schemeClr w14:val="tx1"/>
            </w14:solidFill>
          </w14:textFill>
        </w:rPr>
      </w:pPr>
      <w:r/>
      <w:bookmarkStart w:id="75" w:name="_Toc49090512"/>
      <w:r/>
      <w:bookmarkStart w:id="76" w:name="_Toc14577361"/>
      <w:r>
        <w:rPr>
          <w:rFonts w:hint="eastAsia"/>
          <w:color w:val="000000" w:themeColor="text1"/>
          <w:highlight w:val="none"/>
          <w14:textFill>
            <w14:solidFill>
              <w14:schemeClr w14:val="tx1"/>
            </w14:solidFill>
          </w14:textFill>
        </w:rPr>
        <w:t xml:space="preserve">四、投标文件的递交</w:t>
      </w:r>
      <w:r/>
    </w:p>
    <w:p>
      <w:pPr>
        <w:pStyle w:val="654"/>
        <w:ind w:firstLine="422"/>
        <w:spacing w:before="0" w:after="0" w:line="520" w:lineRule="exact"/>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18、</w:t>
      </w:r>
      <w:bookmarkEnd w:id="75"/>
      <w:r/>
      <w:bookmarkEnd w:id="76"/>
      <w:r>
        <w:rPr>
          <w:rFonts w:hint="eastAsia" w:ascii="宋体" w:hAnsi="宋体" w:eastAsia="宋体" w:cs="宋体"/>
          <w:bCs w:val="0"/>
          <w:color w:val="000000" w:themeColor="text1"/>
          <w:sz w:val="21"/>
          <w:szCs w:val="21"/>
          <w:highlight w:val="none"/>
          <w14:textFill>
            <w14:solidFill>
              <w14:schemeClr w14:val="tx1"/>
            </w14:solidFill>
          </w14:textFill>
        </w:rPr>
        <w:t xml:space="preserve">投标文件的递交</w:t>
      </w:r>
      <w:r/>
    </w:p>
    <w:p>
      <w:pPr>
        <w:ind w:firstLine="420"/>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 电子投标文件的递交投标人应当按照《操作手册》规定，在投标截止时间前制作并上传电子投标文件。</w:t>
      </w:r>
      <w:r/>
    </w:p>
    <w:p>
      <w:pPr>
        <w:ind w:firstLine="420"/>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18.2政府采购管理交易系统（苏采云）相关要求是本招标文件的组成部分。</w:t>
      </w:r>
      <w:r/>
    </w:p>
    <w:p>
      <w:pPr>
        <w:ind w:firstLine="420"/>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18.3投标人应对 CA 证书妥善保管，如被他人盗用投标，因此带来的结果均由投标人自行承担。</w:t>
      </w:r>
      <w:r/>
    </w:p>
    <w:p>
      <w:pPr>
        <w:ind w:firstLine="420"/>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18.4投标人应当对招标文件提出的要求和条件作出实质性响应，并在电子投标系统逐条应答。</w:t>
      </w:r>
      <w:r/>
    </w:p>
    <w:p>
      <w:pPr>
        <w:ind w:firstLine="420"/>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18.5投标人应对要求提供的资格证明文件（如资质证书、资格证书）、技术资料（如白皮书、彩页、手册、检测报告等）扫描上传至投标系统。</w:t>
      </w:r>
      <w:r/>
    </w:p>
    <w:p>
      <w:pPr>
        <w:ind w:firstLine="420"/>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18.6投标人应当在招标文件要求提交投标文件的截止时间前，将投标文件提交至“苏采云”系统，逾期提交的投标文件，“苏采云”系统将自动拒收。</w:t>
      </w:r>
      <w:r/>
    </w:p>
    <w:p>
      <w:pPr>
        <w:ind w:firstLine="420"/>
        <w:spacing w:line="5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18.7各投标人应在规定时间内凭CA证书进行网上解密。</w:t>
      </w:r>
      <w:r/>
    </w:p>
    <w:p>
      <w:pPr>
        <w:pStyle w:val="654"/>
        <w:ind w:firstLine="422"/>
        <w:spacing w:before="0" w:after="0" w:line="520" w:lineRule="exact"/>
        <w:rPr>
          <w:rFonts w:ascii="宋体" w:hAnsi="宋体" w:eastAsia="宋体" w:cs="宋体"/>
          <w:b w:val="0"/>
          <w:bCs w:val="0"/>
          <w:color w:val="000000" w:themeColor="text1"/>
          <w:sz w:val="21"/>
          <w:szCs w:val="21"/>
          <w:highlight w:val="none"/>
          <w14:textFill>
            <w14:solidFill>
              <w14:schemeClr w14:val="tx1"/>
            </w14:solidFill>
          </w14:textFill>
        </w:rPr>
      </w:pPr>
      <w:r/>
      <w:bookmarkStart w:id="77" w:name="_Toc513029225"/>
      <w:r/>
      <w:bookmarkStart w:id="78" w:name="_Toc16938541"/>
      <w:r/>
      <w:bookmarkStart w:id="79" w:name="_Toc462564084"/>
      <w:r/>
      <w:bookmarkStart w:id="80" w:name="_Toc20823297"/>
      <w:r>
        <w:rPr>
          <w:rFonts w:hint="eastAsia" w:ascii="宋体" w:hAnsi="宋体" w:eastAsia="宋体" w:cs="宋体"/>
          <w:bCs w:val="0"/>
          <w:color w:val="000000" w:themeColor="text1"/>
          <w:sz w:val="21"/>
          <w:szCs w:val="21"/>
          <w:highlight w:val="none"/>
          <w14:textFill>
            <w14:solidFill>
              <w14:schemeClr w14:val="tx1"/>
            </w14:solidFill>
          </w14:textFill>
        </w:rPr>
        <w:t xml:space="preserve">19、</w:t>
      </w:r>
      <w:bookmarkEnd w:id="77"/>
      <w:r/>
      <w:bookmarkEnd w:id="78"/>
      <w:r/>
      <w:bookmarkEnd w:id="79"/>
      <w:r/>
      <w:bookmarkEnd w:id="80"/>
      <w:r>
        <w:rPr>
          <w:rFonts w:hint="eastAsia" w:ascii="宋体" w:hAnsi="宋体" w:eastAsia="宋体" w:cs="宋体"/>
          <w:bCs w:val="0"/>
          <w:color w:val="000000" w:themeColor="text1"/>
          <w:sz w:val="21"/>
          <w:szCs w:val="21"/>
          <w:highlight w:val="none"/>
          <w14:textFill>
            <w14:solidFill>
              <w14:schemeClr w14:val="tx1"/>
            </w14:solidFill>
          </w14:textFill>
        </w:rPr>
        <w:t xml:space="preserve">投标截止日期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w:t>
      </w:r>
      <w:r>
        <w:rPr>
          <w:rFonts w:hint="eastAsia" w:ascii="宋体" w:hAnsi="宋体"/>
          <w:bCs/>
          <w:i/>
          <w:iCs/>
          <w:color w:val="000000" w:themeColor="text1"/>
          <w:szCs w:val="21"/>
          <w:highlight w:val="none"/>
          <w:u w:val="single"/>
          <w14:textFill>
            <w14:solidFill>
              <w14:schemeClr w14:val="tx1"/>
            </w14:solidFill>
          </w14:textFill>
        </w:rPr>
        <w:t xml:space="preserve">投标人上传电子投标文件的时间不得迟于招标公告中规定的投标截止时间。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w:t>
      </w:r>
      <w:r>
        <w:rPr>
          <w:rFonts w:hint="eastAsia" w:ascii="宋体" w:hAnsi="宋体" w:cs="宋体"/>
          <w:bCs/>
          <w:color w:val="000000" w:themeColor="text1"/>
          <w:szCs w:val="21"/>
          <w:highlight w:val="none"/>
          <w14:textFill>
            <w14:solidFill>
              <w14:schemeClr w14:val="tx1"/>
            </w14:solidFill>
          </w14:textFill>
        </w:rPr>
        <w:t xml:space="preserve"> 采购人可以通过修改招标文件酌情延长投标截止日期，在此情况下，投标人的所有权利和义务以及投标人受制的截止日期均应以延长后新的截止日期为准。</w:t>
      </w:r>
      <w:r/>
    </w:p>
    <w:p>
      <w:pPr>
        <w:pStyle w:val="654"/>
        <w:ind w:firstLine="422"/>
        <w:spacing w:before="0" w:after="0" w:line="360" w:lineRule="auto"/>
        <w:rPr>
          <w:rFonts w:ascii="宋体" w:hAnsi="宋体" w:eastAsia="宋体" w:cs="宋体"/>
          <w:bCs w:val="0"/>
          <w:color w:val="000000" w:themeColor="text1"/>
          <w:sz w:val="21"/>
          <w:szCs w:val="21"/>
          <w:highlight w:val="none"/>
          <w14:textFill>
            <w14:solidFill>
              <w14:schemeClr w14:val="tx1"/>
            </w14:solidFill>
          </w14:textFill>
        </w:rPr>
      </w:pPr>
      <w:r/>
      <w:bookmarkStart w:id="81" w:name="_Toc513029227"/>
      <w:r/>
      <w:bookmarkStart w:id="82" w:name="_Toc16938543"/>
      <w:r/>
      <w:bookmarkStart w:id="83" w:name="_Toc20823299"/>
      <w:r>
        <w:rPr>
          <w:rFonts w:hint="eastAsia" w:ascii="宋体" w:hAnsi="宋体" w:eastAsia="宋体" w:cs="宋体"/>
          <w:bCs w:val="0"/>
          <w:color w:val="000000" w:themeColor="text1"/>
          <w:sz w:val="21"/>
          <w:szCs w:val="21"/>
          <w:highlight w:val="none"/>
          <w14:textFill>
            <w14:solidFill>
              <w14:schemeClr w14:val="tx1"/>
            </w14:solidFill>
          </w14:textFill>
        </w:rPr>
        <w:t xml:space="preserve">20、</w:t>
      </w:r>
      <w:bookmarkEnd w:id="81"/>
      <w:r/>
      <w:bookmarkEnd w:id="82"/>
      <w:r/>
      <w:bookmarkEnd w:id="83"/>
      <w:r>
        <w:rPr>
          <w:rFonts w:hint="eastAsia" w:ascii="宋体" w:hAnsi="宋体" w:eastAsia="宋体" w:cs="宋体"/>
          <w:bCs w:val="0"/>
          <w:color w:val="000000" w:themeColor="text1"/>
          <w:sz w:val="21"/>
          <w:szCs w:val="21"/>
          <w:highlight w:val="none"/>
          <w14:textFill>
            <w14:solidFill>
              <w14:schemeClr w14:val="tx1"/>
            </w14:solidFill>
          </w14:textFill>
        </w:rPr>
        <w:t xml:space="preserve">投标文件的拒收</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20.1</w:t>
      </w:r>
      <w:r>
        <w:rPr>
          <w:rFonts w:hint="eastAsia" w:ascii="宋体" w:hAnsi="宋体"/>
          <w:bCs/>
          <w:color w:val="000000" w:themeColor="text1"/>
          <w:szCs w:val="21"/>
          <w:highlight w:val="none"/>
          <w14:textFill>
            <w14:solidFill>
              <w14:schemeClr w14:val="tx1"/>
            </w14:solidFill>
          </w14:textFill>
        </w:rPr>
        <w:t xml:space="preserve">代理机构拒绝接收在其规定的投标截止时间后上传的任何投标文件</w:t>
      </w:r>
      <w:r>
        <w:rPr>
          <w:rFonts w:hint="eastAsia" w:ascii="宋体" w:hAnsi="宋体" w:cs="宋体"/>
          <w:bCs/>
          <w:color w:val="000000" w:themeColor="text1"/>
          <w:szCs w:val="21"/>
          <w:highlight w:val="none"/>
          <w14:textFill>
            <w14:solidFill>
              <w14:schemeClr w14:val="tx1"/>
            </w14:solidFill>
          </w14:textFill>
        </w:rPr>
        <w:t xml:space="preserve">。</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bookmarkStart w:id="84" w:name="_Toc16938544"/>
      <w:r/>
      <w:bookmarkStart w:id="85" w:name="_Toc513029228"/>
      <w:r/>
      <w:bookmarkStart w:id="86" w:name="_Toc20823300"/>
      <w:r>
        <w:rPr>
          <w:rFonts w:hint="eastAsia" w:ascii="宋体" w:hAnsi="宋体" w:eastAsia="宋体" w:cs="宋体"/>
          <w:bCs w:val="0"/>
          <w:color w:val="000000" w:themeColor="text1"/>
          <w:sz w:val="21"/>
          <w:szCs w:val="21"/>
          <w:highlight w:val="none"/>
          <w14:textFill>
            <w14:solidFill>
              <w14:schemeClr w14:val="tx1"/>
            </w14:solidFill>
          </w14:textFill>
        </w:rPr>
        <w:t xml:space="preserve">21、投标文件的修改和撤回</w:t>
      </w:r>
      <w:bookmarkEnd w:id="84"/>
      <w:r/>
      <w:bookmarkEnd w:id="85"/>
      <w:r/>
      <w:bookmarkEnd w:id="86"/>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21.1 投标文件的撤回</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21.1.1 电子投标文件的撤回</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投标人可在投标截止时间前，撤回其电子投标文件，具体操作方法见《操作手册》。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21.1.2 投标人撤回电子投标文件，则认为其不再参与本项目投标活动。</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21.2 投标文件的修改</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投标人可在投标截止时间前，对其电子投标文件进行修改，具体操作方法见《操作手册》。</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21.3 在投标截止时间之后，投标人不得对其电子投标文件作任何修改。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21.4 在投标截止时间至招标文件中规定的投标有效期满之间的这段时间内，投标人不得撤回其投标。</w:t>
      </w:r>
      <w:r/>
    </w:p>
    <w:p>
      <w:pPr>
        <w:pStyle w:val="654"/>
        <w:ind w:firstLine="422"/>
        <w:spacing w:before="0" w:after="0" w:line="360" w:lineRule="auto"/>
        <w:rPr>
          <w:rFonts w:hint="eastAsia" w:ascii="宋体" w:hAnsi="宋体" w:eastAsia="宋体" w:cs="宋体"/>
          <w:bCs w:val="0"/>
          <w:color w:val="000000" w:themeColor="text1"/>
          <w:sz w:val="21"/>
          <w:szCs w:val="21"/>
          <w:highlight w:val="none"/>
          <w14:textFill>
            <w14:solidFill>
              <w14:schemeClr w14:val="tx1"/>
            </w14:solidFill>
          </w14:textFill>
        </w:rPr>
      </w:pPr>
      <w:r/>
      <w:bookmarkStart w:id="87" w:name="_Toc513029230"/>
      <w:r/>
      <w:bookmarkStart w:id="88" w:name="_Toc16938546"/>
      <w:r/>
      <w:bookmarkStart w:id="89" w:name="_Toc20823302"/>
      <w:r>
        <w:rPr>
          <w:rFonts w:hint="eastAsia"/>
          <w:color w:val="000000" w:themeColor="text1"/>
          <w:highlight w:val="none"/>
          <w14:textFill>
            <w14:solidFill>
              <w14:schemeClr w14:val="tx1"/>
            </w14:solidFill>
          </w14:textFill>
        </w:rPr>
        <w:t xml:space="preserve">五、开标与评标</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22、开标</w:t>
      </w:r>
      <w:bookmarkEnd w:id="87"/>
      <w:r/>
      <w:bookmarkEnd w:id="88"/>
      <w:r/>
      <w:bookmarkEnd w:id="89"/>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90" w:name="_Toc513029231"/>
      <w:r/>
      <w:bookmarkStart w:id="91" w:name="_Toc20823303"/>
      <w:r/>
      <w:bookmarkStart w:id="92" w:name="_Toc16938547"/>
      <w:r>
        <w:rPr>
          <w:rFonts w:hint="eastAsia" w:ascii="宋体" w:hAnsi="宋体"/>
          <w:color w:val="000000" w:themeColor="text1"/>
          <w:szCs w:val="21"/>
          <w:highlight w:val="none"/>
          <w14:textFill>
            <w14:solidFill>
              <w14:schemeClr w14:val="tx1"/>
            </w14:solidFill>
          </w14:textFill>
        </w:rPr>
        <w:t xml:space="preserve">22.1</w:t>
      </w:r>
      <w:r>
        <w:rPr>
          <w:rFonts w:hint="eastAsia" w:ascii="宋体" w:hAnsi="宋体"/>
          <w:bCs/>
          <w:color w:val="000000" w:themeColor="text1"/>
          <w:szCs w:val="21"/>
          <w:highlight w:val="none"/>
          <w14:textFill>
            <w14:solidFill>
              <w14:schemeClr w14:val="tx1"/>
            </w14:solidFill>
          </w14:textFill>
        </w:rPr>
        <w:t xml:space="preserve"> 采购人将在招标公告中规定的时间和地点组织公开开标。投标人应当按照《操作手册》规定，参加开标活动。投标人未参加开标的，视同认可开标结果。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22.2投标人不足3家的，不得开标。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22.3开标仪式由代理机构主持。“政府采购管理交易系统（苏采云）”将自动对项目进行开标，并宣读各投标人的《开标一览表》。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22.4投标人在开标过程中涉及到的投标文件解密、开标结果确认等工作，应按照《操作手册》规定执行。</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23、评标委员会</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23.1开标后，采购人将立即组织评标委员会（以下简称评委会）进行评标。</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23.2 评委会由</w:t>
      </w:r>
      <w:r>
        <w:rPr>
          <w:rFonts w:hint="eastAsia" w:ascii="宋体" w:hAnsi="宋体"/>
          <w:bCs/>
          <w:color w:val="000000" w:themeColor="text1"/>
          <w:szCs w:val="21"/>
          <w:highlight w:val="none"/>
          <w14:textFill>
            <w14:solidFill>
              <w14:schemeClr w14:val="tx1"/>
            </w14:solidFill>
          </w14:textFill>
        </w:rPr>
        <w:t xml:space="preserve">采购人代表和</w:t>
      </w:r>
      <w:r>
        <w:rPr>
          <w:rFonts w:hint="eastAsia" w:ascii="宋体" w:hAnsi="宋体"/>
          <w:color w:val="000000" w:themeColor="text1"/>
          <w:szCs w:val="21"/>
          <w:highlight w:val="none"/>
          <w14:textFill>
            <w14:solidFill>
              <w14:schemeClr w14:val="tx1"/>
            </w14:solidFill>
          </w14:textFill>
        </w:rPr>
        <w:t xml:space="preserve">有关技术、经济等方面的专家组成，且人员构成符合政府采购有关规定。</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23.3评委会独立工作，负责评审所有投标文件并确定中标候选人。</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24、评标过程的保密与公正</w:t>
      </w:r>
      <w:bookmarkEnd w:id="90"/>
      <w:bookmarkEnd w:id="91"/>
      <w:bookmarkEnd w:id="92"/>
      <w:r/>
    </w:p>
    <w:p>
      <w:pPr>
        <w:ind w:firstLine="420"/>
        <w:spacing w:line="360" w:lineRule="auto"/>
        <w:rPr>
          <w:rFonts w:ascii="宋体" w:hAnsi="宋体"/>
          <w:bCs/>
          <w:color w:val="000000" w:themeColor="text1"/>
          <w:szCs w:val="21"/>
          <w:highlight w:val="none"/>
          <w14:textFill>
            <w14:solidFill>
              <w14:schemeClr w14:val="tx1"/>
            </w14:solidFill>
          </w14:textFill>
        </w:rPr>
      </w:pPr>
      <w:r/>
      <w:bookmarkStart w:id="93" w:name="_Toc16938548"/>
      <w:r/>
      <w:bookmarkStart w:id="94" w:name="_Toc20823304"/>
      <w:r/>
      <w:bookmarkStart w:id="95" w:name="_Toc513029232"/>
      <w:r>
        <w:rPr>
          <w:rFonts w:hint="eastAsia" w:ascii="宋体" w:hAnsi="宋体"/>
          <w:color w:val="000000" w:themeColor="text1"/>
          <w:szCs w:val="21"/>
          <w:highlight w:val="none"/>
          <w14:textFill>
            <w14:solidFill>
              <w14:schemeClr w14:val="tx1"/>
            </w14:solidFill>
          </w14:textFill>
        </w:rPr>
        <w:t xml:space="preserve">24.1</w:t>
      </w:r>
      <w:r>
        <w:rPr>
          <w:rFonts w:hint="eastAsia" w:ascii="宋体" w:hAnsi="宋体"/>
          <w:bCs/>
          <w:color w:val="000000" w:themeColor="text1"/>
          <w:szCs w:val="21"/>
          <w:highlight w:val="none"/>
          <w14:textFill>
            <w14:solidFill>
              <w14:schemeClr w14:val="tx1"/>
            </w14:solidFill>
          </w14:textFill>
        </w:rPr>
        <w:t xml:space="preserve">公开开标后，凡是与审查、澄清、评价和比较投标的有关资料以及授标建议等，采购人、评委、采购人工作人员均不得向投标人或与评标无关的其他人员透露。</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24.2在评标过程中，投标人不得以任何行为影响评标过程，否则其投标文件将被作为无效投标文件。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24.3 在评标期间，采购人将设专门工作人员与投标人联系。</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24.4 代理机构和评委会不向未中标的投标人解释未中标原因，也不公布评标过程中的相关细节。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24.5 采用综合评分法的项目，未中标的投标人可于中标结果公告期限届满之日起通过“政府采购管理交易系统（苏采云）”查看自己的评审得分及排序情况。</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25、投标的澄清</w:t>
      </w:r>
      <w:bookmarkEnd w:id="93"/>
      <w:r/>
      <w:bookmarkEnd w:id="94"/>
      <w:r/>
      <w:bookmarkEnd w:id="95"/>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25.1评标期间，为有助于对投标文件的审查、评价和比较，评委会有权以</w:t>
      </w:r>
      <w:r>
        <w:rPr>
          <w:rFonts w:hint="eastAsia" w:ascii="宋体" w:hAnsi="宋体"/>
          <w:bCs/>
          <w:color w:val="000000" w:themeColor="text1"/>
          <w:szCs w:val="21"/>
          <w:highlight w:val="none"/>
          <w14:textFill>
            <w14:solidFill>
              <w14:schemeClr w14:val="tx1"/>
            </w14:solidFill>
          </w14:textFill>
        </w:rPr>
        <w:t xml:space="preserve">电子函件</w:t>
      </w:r>
      <w:r>
        <w:rPr>
          <w:rFonts w:hint="eastAsia" w:ascii="宋体" w:hAnsi="宋体" w:cs="宋体"/>
          <w:color w:val="000000" w:themeColor="text1"/>
          <w:szCs w:val="21"/>
          <w:highlight w:val="none"/>
          <w14:textFill>
            <w14:solidFill>
              <w14:schemeClr w14:val="tx1"/>
            </w14:solidFill>
          </w14:textFill>
        </w:rPr>
        <w:t xml:space="preserve">形式要求投标人对其投标文件进行澄清，但并非对每个投标人都作澄清要求。</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25.2</w:t>
      </w:r>
      <w:r>
        <w:rPr>
          <w:rFonts w:hint="eastAsia" w:ascii="宋体" w:hAnsi="宋体"/>
          <w:bCs/>
          <w:color w:val="000000" w:themeColor="text1"/>
          <w:szCs w:val="21"/>
          <w:highlight w:val="none"/>
          <w14:textFill>
            <w14:solidFill>
              <w14:schemeClr w14:val="tx1"/>
            </w14:solidFill>
          </w14:textFill>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25.3 接到评委会澄清要求的投标人如未按规定做出澄清，其风险由投标人自行承担。</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bookmarkStart w:id="96" w:name="_Toc16938549"/>
      <w:r/>
      <w:bookmarkStart w:id="97" w:name="_Toc513029233"/>
      <w:r/>
      <w:bookmarkStart w:id="98" w:name="_Toc20823305"/>
      <w:r>
        <w:rPr>
          <w:rFonts w:hint="eastAsia" w:ascii="宋体" w:hAnsi="宋体" w:eastAsia="宋体" w:cs="宋体"/>
          <w:bCs w:val="0"/>
          <w:color w:val="000000" w:themeColor="text1"/>
          <w:sz w:val="21"/>
          <w:szCs w:val="21"/>
          <w:highlight w:val="none"/>
          <w14:textFill>
            <w14:solidFill>
              <w14:schemeClr w14:val="tx1"/>
            </w14:solidFill>
          </w14:textFill>
        </w:rPr>
        <w:t xml:space="preserve">26、对投标文件的初审</w:t>
      </w:r>
      <w:bookmarkEnd w:id="96"/>
      <w:r/>
      <w:bookmarkEnd w:id="97"/>
      <w:r/>
      <w:bookmarkEnd w:id="98"/>
      <w:r/>
      <w:r/>
    </w:p>
    <w:p>
      <w:pPr>
        <w:ind w:firstLine="420"/>
        <w:spacing w:line="360" w:lineRule="auto"/>
        <w:rPr>
          <w:rFonts w:ascii="宋体" w:hAnsi="宋体"/>
          <w:bCs/>
          <w:color w:val="000000" w:themeColor="text1"/>
          <w:szCs w:val="21"/>
          <w:highlight w:val="none"/>
          <w14:textFill>
            <w14:solidFill>
              <w14:schemeClr w14:val="tx1"/>
            </w14:solidFill>
          </w14:textFill>
        </w:rPr>
      </w:pPr>
      <w:r/>
      <w:bookmarkStart w:id="99" w:name="_Toc16938550"/>
      <w:r/>
      <w:bookmarkStart w:id="100" w:name="_Toc20823306"/>
      <w:r/>
      <w:bookmarkStart w:id="101" w:name="_Toc513029234"/>
      <w:r>
        <w:rPr>
          <w:rFonts w:hint="eastAsia" w:ascii="宋体" w:hAnsi="宋体"/>
          <w:color w:val="000000" w:themeColor="text1"/>
          <w:szCs w:val="21"/>
          <w:highlight w:val="none"/>
          <w14:textFill>
            <w14:solidFill>
              <w14:schemeClr w14:val="tx1"/>
            </w14:solidFill>
          </w14:textFill>
        </w:rPr>
        <w:t xml:space="preserve">26.1</w:t>
      </w:r>
      <w:r>
        <w:rPr>
          <w:rFonts w:hint="eastAsia" w:ascii="宋体" w:hAnsi="宋体"/>
          <w:bCs/>
          <w:color w:val="000000" w:themeColor="text1"/>
          <w:szCs w:val="21"/>
          <w:highlight w:val="none"/>
          <w14:textFill>
            <w14:solidFill>
              <w14:schemeClr w14:val="tx1"/>
            </w14:solidFill>
          </w14:textFill>
        </w:rPr>
        <w:t xml:space="preserve">投标文件初审分为资格检查和符合性检查。</w:t>
      </w:r>
      <w:r/>
    </w:p>
    <w:p>
      <w:pPr>
        <w:ind w:firstLine="420"/>
        <w:jc w:val="left"/>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26.1.1</w:t>
      </w:r>
      <w:r>
        <w:rPr>
          <w:rFonts w:hint="eastAsia" w:ascii="宋体" w:hAnsi="宋体"/>
          <w:bCs/>
          <w:color w:val="000000" w:themeColor="text1"/>
          <w:szCs w:val="21"/>
          <w:highlight w:val="none"/>
          <w14:textFill>
            <w14:solidFill>
              <w14:schemeClr w14:val="tx1"/>
            </w14:solidFill>
          </w14:textFill>
        </w:rPr>
        <w:t xml:space="preserve">资格审查：依据法律法规和招标文件的规定，对投标文件中的资格证明文件进行审查。并将审查结论以书面形式向评委会反馈。</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若接受联合体投标的项目，两个及两个以上的自然人、法人或者其他组织组成一个联合体，以一个供应商的身份共同参加政府采购活动的,联合体成员必须同时满足本项目要求的资格条件。</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26.1.2</w:t>
      </w:r>
      <w:r>
        <w:rPr>
          <w:rFonts w:hint="eastAsia" w:ascii="宋体" w:hAnsi="宋体"/>
          <w:bCs/>
          <w:color w:val="000000" w:themeColor="text1"/>
          <w:szCs w:val="21"/>
          <w:highlight w:val="none"/>
          <w14:textFill>
            <w14:solidFill>
              <w14:schemeClr w14:val="tx1"/>
            </w14:solidFill>
          </w14:textFill>
        </w:rPr>
        <w:t xml:space="preserve">符合性检查：依据招标文件的规定，从投标文件的有效性、完整性和对招标文件的响应程度进行审查，以确定是否对招标文件的实质性要求作出响应。</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26.1.3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w:t>
      </w:r>
      <w:r>
        <w:rPr>
          <w:rFonts w:hint="eastAsia" w:ascii="宋体" w:hAnsi="宋体"/>
          <w:bCs/>
          <w:color w:val="000000" w:themeColor="text1"/>
          <w:szCs w:val="21"/>
          <w:highlight w:val="none"/>
          <w14:textFill>
            <w14:solidFill>
              <w14:schemeClr w14:val="tx1"/>
            </w14:solidFill>
          </w14:textFill>
        </w:rPr>
        <w:t xml:space="preserve">合同中买方（采购人）和见证方（代理机构）</w:t>
      </w:r>
      <w:r>
        <w:rPr>
          <w:rFonts w:hint="eastAsia" w:ascii="宋体" w:hAnsi="宋体"/>
          <w:color w:val="000000" w:themeColor="text1"/>
          <w:szCs w:val="21"/>
          <w:highlight w:val="none"/>
          <w14:textFill>
            <w14:solidFill>
              <w14:schemeClr w14:val="tx1"/>
            </w14:solidFill>
          </w14:textFill>
        </w:rPr>
        <w:t xml:space="preserve">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000000" w:themeColor="text1"/>
          <w:szCs w:val="21"/>
          <w:highlight w:val="none"/>
          <w14:textFill>
            <w14:solidFill>
              <w14:schemeClr w14:val="tx1"/>
            </w14:solidFill>
          </w14:textFill>
        </w:rPr>
        <w:t xml:space="preserve">评委决定投标文件的响应性只根据投标文件本身的内容，而不寻求外部的证据。</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26.3</w:t>
      </w:r>
      <w:r>
        <w:rPr>
          <w:rFonts w:hint="eastAsia" w:ascii="宋体" w:hAnsi="宋体"/>
          <w:bCs/>
          <w:color w:val="000000" w:themeColor="text1"/>
          <w:szCs w:val="21"/>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20"/>
        <w:jc w:val="left"/>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26.4</w:t>
      </w:r>
      <w:r>
        <w:rPr>
          <w:rFonts w:hint="eastAsia" w:ascii="宋体" w:hAnsi="宋体"/>
          <w:bCs/>
          <w:color w:val="000000" w:themeColor="text1"/>
          <w:szCs w:val="21"/>
          <w:highlight w:val="none"/>
          <w14:textFill>
            <w14:solidFill>
              <w14:schemeClr w14:val="tx1"/>
            </w14:solidFill>
          </w14:textFill>
        </w:rPr>
        <w:t xml:space="preserve">评委会将对确定为实质性响应的投标进行进一步审核，看其是否有计算上或累加上的算术错误，对开标一览表内容修正错误的原则如下：</w:t>
      </w:r>
      <w:r/>
    </w:p>
    <w:p>
      <w:pPr>
        <w:ind w:firstLine="420"/>
        <w:jc w:val="left"/>
        <w:spacing w:line="360" w:lineRule="auto"/>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）投标文件中开标一览表内容与投标文件中相应内容不一致的，以开标一览表为准。</w:t>
      </w:r>
      <w:r/>
    </w:p>
    <w:p>
      <w:pPr>
        <w:ind w:firstLine="420"/>
        <w:jc w:val="left"/>
        <w:spacing w:line="360" w:lineRule="auto"/>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）投标文件、“开标一览表”中报价的大写金额与小写金额不一致的，以大写金额为准。</w:t>
      </w:r>
      <w:r/>
    </w:p>
    <w:p>
      <w:pPr>
        <w:ind w:firstLine="420"/>
        <w:jc w:val="left"/>
        <w:spacing w:line="360" w:lineRule="auto"/>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）单价金额小数点或者百分比有明显错位的，以开标一览表的总价为准，并修改单价。</w:t>
      </w:r>
      <w:r/>
    </w:p>
    <w:p>
      <w:pPr>
        <w:ind w:firstLine="420"/>
        <w:jc w:val="left"/>
        <w:spacing w:line="360" w:lineRule="auto"/>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）总价金额与按单价汇总金额不一致的，以单价金额计算结果为准。</w:t>
      </w:r>
      <w:r/>
    </w:p>
    <w:p>
      <w:pPr>
        <w:ind w:firstLine="420"/>
        <w:jc w:val="left"/>
        <w:spacing w:line="360" w:lineRule="auto"/>
        <w:rPr>
          <w:rFonts w:asci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同时出现两种以上错误的，按照前款规定的顺序修正。对不同文字文本投标文件的解释发生异议的，以中文文本为准。</w:t>
      </w:r>
      <w:r/>
    </w:p>
    <w:p>
      <w:pPr>
        <w:ind w:firstLine="420"/>
        <w:jc w:val="left"/>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26.5</w:t>
      </w:r>
      <w:r>
        <w:rPr>
          <w:rFonts w:hint="eastAsia" w:ascii="宋体" w:hAnsi="宋体"/>
          <w:bCs/>
          <w:color w:val="000000" w:themeColor="text1"/>
          <w:szCs w:val="21"/>
          <w:highlight w:val="none"/>
          <w14:textFill>
            <w14:solidFill>
              <w14:schemeClr w14:val="tx1"/>
            </w14:solidFill>
          </w14:textFill>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26.6</w:t>
      </w:r>
      <w:r>
        <w:rPr>
          <w:rFonts w:hint="eastAsia" w:ascii="宋体" w:hAnsi="宋体"/>
          <w:bCs/>
          <w:color w:val="000000" w:themeColor="text1"/>
          <w:szCs w:val="21"/>
          <w:highlight w:val="none"/>
          <w14:textFill>
            <w14:solidFill>
              <w14:schemeClr w14:val="tx1"/>
            </w14:solidFill>
          </w14:textFill>
        </w:rPr>
        <w:t xml:space="preserve">评委会将允许修正投标文件中不构成重大偏离的、微小的、非正规的、不一致的或不规则的地方，但这些修改不能影响任何投标人相应的名次排列，否则不允许修正。</w:t>
      </w:r>
      <w:r/>
    </w:p>
    <w:p>
      <w:pPr>
        <w:ind w:firstLine="420"/>
        <w:jc w:val="left"/>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26.7投标人在开、评标全过程中应保持通讯畅通，并安排专人与代理机构及评委会联系。</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26.8</w:t>
      </w:r>
      <w:r>
        <w:rPr>
          <w:rFonts w:ascii="宋体" w:hAnsi="宋体"/>
          <w:color w:val="000000" w:themeColor="text1"/>
          <w:szCs w:val="21"/>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highlight w:val="none"/>
          <w14:textFill>
            <w14:solidFill>
              <w14:schemeClr w14:val="tx1"/>
            </w14:solidFill>
          </w14:textFill>
        </w:rPr>
        <w:t xml:space="preserve">按照招标文件规定的方式确定，招标文件未规定的通过</w:t>
      </w:r>
      <w:r>
        <w:rPr>
          <w:rFonts w:ascii="宋体" w:hAnsi="宋体"/>
          <w:color w:val="000000" w:themeColor="text1"/>
          <w:szCs w:val="21"/>
          <w:highlight w:val="none"/>
          <w14:textFill>
            <w14:solidFill>
              <w14:schemeClr w14:val="tx1"/>
            </w14:solidFill>
          </w14:textFill>
        </w:rPr>
        <w:t xml:space="preserve">随机抽取</w:t>
      </w:r>
      <w:r>
        <w:rPr>
          <w:rFonts w:hint="eastAsia" w:ascii="宋体" w:hAnsi="宋体"/>
          <w:color w:val="000000" w:themeColor="text1"/>
          <w:szCs w:val="21"/>
          <w:highlight w:val="none"/>
          <w14:textFill>
            <w14:solidFill>
              <w14:schemeClr w14:val="tx1"/>
            </w14:solidFill>
          </w14:textFill>
        </w:rPr>
        <w:t xml:space="preserve">的</w:t>
      </w:r>
      <w:r>
        <w:rPr>
          <w:rFonts w:ascii="宋体" w:hAnsi="宋体"/>
          <w:color w:val="000000" w:themeColor="text1"/>
          <w:szCs w:val="21"/>
          <w:highlight w:val="none"/>
          <w14:textFill>
            <w14:solidFill>
              <w14:schemeClr w14:val="tx1"/>
            </w14:solidFill>
          </w14:textFill>
        </w:rPr>
        <w:t xml:space="preserve">方式确定</w:t>
      </w:r>
      <w:r>
        <w:rPr>
          <w:rFonts w:hint="eastAsia" w:ascii="宋体" w:hAnsi="宋体"/>
          <w:color w:val="000000" w:themeColor="text1"/>
          <w:szCs w:val="21"/>
          <w:highlight w:val="none"/>
          <w14:textFill>
            <w14:solidFill>
              <w14:schemeClr w14:val="tx1"/>
            </w14:solidFill>
          </w14:textFill>
        </w:rPr>
        <w:t xml:space="preserve">中标人</w:t>
      </w:r>
      <w:r>
        <w:rPr>
          <w:rFonts w:ascii="宋体" w:hAnsi="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highlight w:val="none"/>
          <w14:textFill>
            <w14:solidFill>
              <w14:schemeClr w14:val="tx1"/>
            </w14:solidFill>
          </w14:textFill>
        </w:rPr>
        <w:t xml:space="preserve">根据招标文件规定的方式确定，招标文件未规定的采取随机抽取的方式</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一个中标候选人</w:t>
      </w:r>
      <w:r>
        <w:rPr>
          <w:rFonts w:ascii="宋体" w:hAnsi="宋体"/>
          <w:color w:val="000000" w:themeColor="text1"/>
          <w:szCs w:val="21"/>
          <w:highlight w:val="none"/>
          <w14:textFill>
            <w14:solidFill>
              <w14:schemeClr w14:val="tx1"/>
            </w14:solidFill>
          </w14:textFill>
        </w:rPr>
        <w:t xml:space="preserve">，其他同品牌投标人不作为中标候选人。</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非单一产品采购项目，招标文件中</w:t>
      </w:r>
      <w:r>
        <w:rPr>
          <w:rFonts w:hint="eastAsia" w:ascii="宋体" w:hAnsi="宋体"/>
          <w:color w:val="000000" w:themeColor="text1"/>
          <w:szCs w:val="21"/>
          <w:highlight w:val="none"/>
          <w14:textFill>
            <w14:solidFill>
              <w14:schemeClr w14:val="tx1"/>
            </w14:solidFill>
          </w14:textFill>
        </w:rPr>
        <w:t xml:space="preserve">将载明其中的核心产品</w:t>
      </w:r>
      <w:r>
        <w:rPr>
          <w:rFonts w:ascii="宋体" w:hAnsi="宋体"/>
          <w:color w:val="000000" w:themeColor="text1"/>
          <w:szCs w:val="21"/>
          <w:highlight w:val="none"/>
          <w14:textFill>
            <w14:solidFill>
              <w14:schemeClr w14:val="tx1"/>
            </w14:solidFill>
          </w14:textFill>
        </w:rPr>
        <w:t xml:space="preserve">。多家投标人提供的核心产品品牌相同的，按前两款规定处理。</w:t>
      </w:r>
      <w:r/>
    </w:p>
    <w:p>
      <w:pPr>
        <w:pStyle w:val="654"/>
        <w:ind w:firstLine="422"/>
        <w:spacing w:before="0" w:after="0" w:line="360" w:lineRule="auto"/>
        <w:rPr>
          <w:rFonts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Cs w:val="0"/>
          <w:color w:val="000000" w:themeColor="text1"/>
          <w:sz w:val="21"/>
          <w:szCs w:val="21"/>
          <w:highlight w:val="none"/>
          <w14:textFill>
            <w14:solidFill>
              <w14:schemeClr w14:val="tx1"/>
            </w14:solidFill>
          </w14:textFill>
        </w:rPr>
        <w:t xml:space="preserve">27、</w:t>
      </w:r>
      <w:bookmarkEnd w:id="99"/>
      <w:r/>
      <w:bookmarkEnd w:id="100"/>
      <w:r/>
      <w:bookmarkEnd w:id="101"/>
      <w:r>
        <w:rPr>
          <w:rFonts w:hint="eastAsia" w:ascii="宋体" w:hAnsi="宋体" w:eastAsia="宋体" w:cs="宋体"/>
          <w:bCs w:val="0"/>
          <w:color w:val="000000" w:themeColor="text1"/>
          <w:sz w:val="21"/>
          <w:szCs w:val="21"/>
          <w:highlight w:val="none"/>
          <w14:textFill>
            <w14:solidFill>
              <w14:schemeClr w14:val="tx1"/>
            </w14:solidFill>
          </w14:textFill>
        </w:rPr>
        <w:t xml:space="preserve">无效投标、废标及投标人不足三家的处理</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bookmarkStart w:id="102" w:name="_Toc513029235"/>
      <w:r/>
      <w:bookmarkStart w:id="103" w:name="_Toc20823307"/>
      <w:r/>
      <w:bookmarkStart w:id="104" w:name="_Toc16938551"/>
      <w:r>
        <w:rPr>
          <w:rFonts w:hint="eastAsia" w:ascii="宋体" w:hAnsi="宋体" w:cs="宋体"/>
          <w:bCs/>
          <w:color w:val="000000" w:themeColor="text1"/>
          <w:szCs w:val="21"/>
          <w:highlight w:val="none"/>
          <w14:textFill>
            <w14:solidFill>
              <w14:schemeClr w14:val="tx1"/>
            </w14:solidFill>
          </w14:textFill>
        </w:rPr>
        <w:t xml:space="preserve">27.1无效投标条款</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27.1.1 投标人未成功解密电子投标文件的。</w:t>
      </w:r>
      <w:r/>
    </w:p>
    <w:p>
      <w:pPr>
        <w:ind w:firstLine="420"/>
        <w:jc w:val="left"/>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27.1.2 投标人未按照招标文件要求上传电子投标文件的。</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27.1.3投标人在报价时采用选择性报价；</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27.1.4投标人不具备招标文件中规定资格要求的；</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27.1.5投标人的报价超过了采购预算或最高限价的；</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27.1.6未通过符合性检查的；</w:t>
      </w:r>
      <w:r/>
    </w:p>
    <w:p>
      <w:pPr>
        <w:ind w:firstLine="315"/>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27.1.7不符合招标文件中规定的其他实质性要求和条件的（</w:t>
      </w:r>
      <w:r>
        <w:rPr>
          <w:rFonts w:hint="eastAsia" w:ascii="宋体" w:hAnsi="宋体" w:cs="宋体"/>
          <w:bCs/>
          <w:i/>
          <w:color w:val="000000" w:themeColor="text1"/>
          <w:szCs w:val="21"/>
          <w:highlight w:val="none"/>
          <w:u w:val="single"/>
          <w14:textFill>
            <w14:solidFill>
              <w14:schemeClr w14:val="tx1"/>
            </w14:solidFill>
          </w14:textFill>
        </w:rPr>
        <w:t xml:space="preserve">本招标文件中斜体且有下划线部分为实质性要求和条件，包括但不限于该范围）；</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27.1.8投标文件含有采购人不能接受的附加条件的。</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27.1.9</w:t>
      </w:r>
      <w:r>
        <w:rPr>
          <w:rFonts w:hint="eastAsia" w:ascii="宋体" w:hAnsi="宋体"/>
          <w:bCs/>
          <w:color w:val="000000" w:themeColor="text1"/>
          <w:szCs w:val="21"/>
          <w:highlight w:val="none"/>
          <w14:textFill>
            <w14:solidFill>
              <w14:schemeClr w14:val="tx1"/>
            </w14:solidFill>
          </w14:textFill>
        </w:rPr>
        <w:t xml:space="preserve">异常低价投标（响应）</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（3）投标（响应）报价低于采购项目最高限价45%的，即投标（响应）报价&lt;采购项目最高限价×45%；</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27.1.10投标文件未按照招标文件要求加盖电子签章。</w:t>
      </w:r>
      <w:r/>
    </w:p>
    <w:p>
      <w:pPr>
        <w:ind w:left="479"/>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27.1.11其他法律、法规及本招标文件规定的属无效投标的情形。</w:t>
      </w:r>
      <w:r/>
    </w:p>
    <w:p>
      <w:pPr>
        <w:ind w:left="47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27.2废标条款：                                                                                                                                         </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p>
    <w:p>
      <w:pPr>
        <w:ind w:left="47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27.2.1符合专业条件的供应商或者对招标文件作实质响应的供应商不足三家的；</w:t>
      </w:r>
      <w:r/>
    </w:p>
    <w:p>
      <w:pPr>
        <w:ind w:left="47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27.2.2投标人的报价均超过采购预算或最高限价；</w:t>
      </w:r>
      <w:r/>
    </w:p>
    <w:p>
      <w:pPr>
        <w:ind w:left="47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27.2.3出现影响采购公正的违法、违规行为的；</w:t>
      </w:r>
      <w:r/>
    </w:p>
    <w:p>
      <w:pPr>
        <w:ind w:left="47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27.2.4因重大变故，采购任务取消的；</w:t>
      </w:r>
      <w:r/>
    </w:p>
    <w:p>
      <w:pPr>
        <w:ind w:left="479"/>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27.2.5评标委员会认定招标文件存在歧义、 重大缺陷导致评审工作无法进行的。</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27.3投标截止时间结束后参加投标的投标人不足三家或者通过资格审查或符合性审查的投标人不足三家的，除采购任务取消情形外，按照以下方式处理：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27.3.1招标文件存在不合理条款或者招标程序不符合规定的，由采购人、采购人改正后依法重新招标；</w:t>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27.3.2 招标文件没有不合理条款、招标程序符合规定，需要采用其他采购人式采购的，采购人应当依法报财政部门批准。</w:t>
      </w:r>
      <w:bookmarkEnd w:id="102"/>
      <w:bookmarkEnd w:id="103"/>
      <w:bookmarkEnd w:id="104"/>
      <w:r/>
    </w:p>
    <w:p>
      <w:pPr>
        <w:pStyle w:val="654"/>
        <w:ind w:firstLine="422"/>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r/>
      <w:bookmarkStart w:id="105" w:name="_Toc513029238"/>
      <w:r/>
      <w:bookmarkStart w:id="106" w:name="_Toc16938554"/>
      <w:r/>
      <w:bookmarkStart w:id="107" w:name="_Toc20823310"/>
      <w:r>
        <w:rPr>
          <w:rFonts w:hint="eastAsia"/>
          <w:color w:val="000000" w:themeColor="text1"/>
          <w:highlight w:val="none"/>
          <w14:textFill>
            <w14:solidFill>
              <w14:schemeClr w14:val="tx1"/>
            </w14:solidFill>
          </w14:textFill>
        </w:rPr>
        <w:t xml:space="preserve">六、定标</w:t>
      </w:r>
      <w:r/>
    </w:p>
    <w:p>
      <w:pPr>
        <w:pStyle w:val="654"/>
        <w:ind w:firstLine="422"/>
        <w:spacing w:before="0" w:after="0" w:line="360" w:lineRule="auto"/>
        <w:rPr>
          <w:rFonts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28、</w:t>
      </w:r>
      <w:bookmarkEnd w:id="105"/>
      <w:r>
        <w:rPr>
          <w:rFonts w:hint="eastAsia" w:ascii="宋体" w:hAnsi="宋体" w:eastAsia="宋体" w:cs="宋体"/>
          <w:color w:val="000000" w:themeColor="text1"/>
          <w:sz w:val="21"/>
          <w:szCs w:val="21"/>
          <w:highlight w:val="none"/>
          <w14:textFill>
            <w14:solidFill>
              <w14:schemeClr w14:val="tx1"/>
            </w14:solidFill>
          </w14:textFill>
        </w:rPr>
        <w:t xml:space="preserve">确定</w:t>
      </w:r>
      <w:bookmarkEnd w:id="106"/>
      <w:r/>
      <w:bookmarkEnd w:id="107"/>
      <w:r>
        <w:rPr>
          <w:rFonts w:hint="eastAsia" w:ascii="宋体" w:hAnsi="宋体" w:eastAsia="宋体" w:cs="宋体"/>
          <w:color w:val="000000" w:themeColor="text1"/>
          <w:sz w:val="21"/>
          <w:szCs w:val="21"/>
          <w:highlight w:val="none"/>
          <w14:textFill>
            <w14:solidFill>
              <w14:schemeClr w14:val="tx1"/>
            </w14:solidFill>
          </w14:textFill>
        </w:rPr>
        <w:t xml:space="preserve">中标单位</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28.1评委会根据本招标文件规定评标方法与评标标准向采购人推荐出三名中标候选人。</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采购人应根据评委会推荐的中标候选人确定中标人。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w:t>
      </w:r>
      <w:r>
        <w:rPr>
          <w:rFonts w:hint="eastAsia" w:ascii="宋体" w:hAnsi="宋体" w:cs="宋体"/>
          <w:color w:val="000000" w:themeColor="text1"/>
          <w:szCs w:val="21"/>
          <w:highlight w:val="none"/>
          <w14:textFill>
            <w14:solidFill>
              <w14:schemeClr w14:val="tx1"/>
            </w14:solidFill>
          </w14:textFill>
        </w:rPr>
        <w:t xml:space="preserve">采购人将在</w:t>
      </w:r>
      <w:r>
        <w:rPr>
          <w:rFonts w:hint="eastAsia" w:ascii="宋体" w:hAnsi="宋体"/>
          <w:color w:val="000000" w:themeColor="text1"/>
          <w:highlight w:val="none"/>
          <w14:textFill>
            <w14:solidFill>
              <w14:schemeClr w14:val="tx1"/>
            </w14:solidFill>
          </w14:textFill>
        </w:rPr>
        <w:t xml:space="preserve">“扬州市政府采购网”、</w:t>
      </w:r>
      <w:r>
        <w:rPr>
          <w:rFonts w:hint="eastAsia" w:ascii="宋体" w:hAnsi="宋体" w:cs="宋体"/>
          <w:color w:val="000000" w:themeColor="text1"/>
          <w:szCs w:val="21"/>
          <w:highlight w:val="none"/>
          <w14:textFill>
            <w14:solidFill>
              <w14:schemeClr w14:val="tx1"/>
            </w14:solidFill>
          </w14:textFill>
        </w:rPr>
        <w:t xml:space="preserve">“江苏省政府采购网”发布中标公告</w:t>
      </w:r>
      <w:r>
        <w:rPr>
          <w:rFonts w:hint="eastAsia" w:ascii="宋体" w:hAnsi="宋体"/>
          <w:bCs/>
          <w:color w:val="000000" w:themeColor="text1"/>
          <w:szCs w:val="21"/>
          <w:highlight w:val="none"/>
          <w14:textFill>
            <w14:solidFill>
              <w14:schemeClr w14:val="tx1"/>
            </w14:solidFill>
          </w14:textFill>
        </w:rPr>
        <w:t xml:space="preserve">，公告期限为1个工作日。</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28.4若有充分证据证明，中标人出现下列情况之一的，一经查实，将被取消中标资格：</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28.4.1提供虚假材料谋取中标的；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28.4.2向采购人、代理机构人员行贿或者提供其他不正当利益的；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28.4.3恶意竞争，投标总报价明显低于其自身合理成本且又无法提供证明的；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28.4.4属于本文件规定的无效条件，但在评标过程中又未被评委会发现的；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28.4.5与采购人或者其他投标人串通投标的；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28.4.6采取不正当手段诋毁、排挤其他供应商的；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28.4.7不符合法律、法规的规定的。</w:t>
      </w:r>
      <w:bookmarkStart w:id="108" w:name="_Toc200451960"/>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28.5.有下列情形之一的，视为投标人串通投标，投标无效：</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28.5.1不同投标人的投标文件由同一单位或者个人编制。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28.5.2不同投标人委托同一单位或者个人办理投标事宜。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28.5.3 不同投标人的投标文件载明的项目管理成员或者联系人员为同一人。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28.5.4不同投标人的投标文件异常一致或者投标报价呈规律性差异。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28.5.5不同投标人的投标文件相互混装。</w:t>
      </w:r>
      <w:r/>
    </w:p>
    <w:p>
      <w:pPr>
        <w:pStyle w:val="654"/>
        <w:ind w:firstLine="422"/>
        <w:spacing w:before="0" w:after="0"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29、质疑处理</w:t>
      </w:r>
      <w:bookmarkEnd w:id="108"/>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对项目需求部分的质疑，潜在供应商应向采购人提出，由采购人负责答复。</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29.2.1对采购文件提出质疑的，应当在获取采购文件之日或者采购文件公告期限届满之日起7个工作日内提出。</w:t>
      </w:r>
      <w:r>
        <w:rPr>
          <w:rFonts w:hint="eastAsia" w:ascii="宋体" w:hAnsi="宋体"/>
          <w:bCs/>
          <w:color w:val="000000" w:themeColor="text1"/>
          <w:szCs w:val="21"/>
          <w:highlight w:val="none"/>
          <w14:textFill>
            <w14:solidFill>
              <w14:schemeClr w14:val="tx1"/>
            </w14:solidFill>
          </w14:textFill>
        </w:rPr>
        <w:br/>
      </w:r>
      <w:r>
        <w:rPr>
          <w:rFonts w:hint="eastAsia" w:ascii="宋体" w:hAnsi="宋体"/>
          <w:bCs/>
          <w:color w:val="000000" w:themeColor="text1"/>
          <w:szCs w:val="21"/>
          <w:highlight w:val="none"/>
          <w14:textFill>
            <w14:solidFill>
              <w14:schemeClr w14:val="tx1"/>
            </w14:solidFill>
          </w14:textFill>
        </w:rPr>
        <w:t xml:space="preserve">    29.2.2对采购过程提出质疑的，为各采购程序环节结束之日起7个工作日内提出。</w:t>
      </w:r>
      <w:r>
        <w:rPr>
          <w:rFonts w:hint="eastAsia" w:ascii="宋体" w:hAnsi="宋体"/>
          <w:bCs/>
          <w:color w:val="000000" w:themeColor="text1"/>
          <w:szCs w:val="21"/>
          <w:highlight w:val="none"/>
          <w14:textFill>
            <w14:solidFill>
              <w14:schemeClr w14:val="tx1"/>
            </w14:solidFill>
          </w14:textFill>
        </w:rPr>
        <w:br/>
      </w:r>
      <w:r>
        <w:rPr>
          <w:rFonts w:hint="eastAsia" w:ascii="宋体" w:hAnsi="宋体"/>
          <w:bCs/>
          <w:color w:val="000000" w:themeColor="text1"/>
          <w:szCs w:val="21"/>
          <w:highlight w:val="none"/>
          <w14:textFill>
            <w14:solidFill>
              <w14:schemeClr w14:val="tx1"/>
            </w14:solidFill>
          </w14:textFill>
        </w:rPr>
        <w:t xml:space="preserve">    29.2.3对中标结果提出质疑的，为中标结果公告期限届满之日起7个工作日内提出。</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29.4质疑函必须按照《质疑函范本》及《授权委托书》要求的格式和内容进行填写，格式见网址：http://zfcg.yangzhoµ.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29.5 代理机构及采购人只接收以纸质原件形式送达的质疑。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采购人质疑接收人及联系方式见招标文件第一章。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29.7质疑人应当在法定质疑期限内进行补正并重新提交质疑函。</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 以下情形的质疑不予受理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29.8.1 内容不符合《政府采购质疑和投诉办法》第十二条规定的质疑。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29.8.2 超出政府采购法定期限的质疑。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29.8.3 以传真、电子邮件等方式递交的非原件形式的质疑。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29.8.4 未参加投标活动的供应商或在投标活动中自身权益未受到损害的供应商所提出的质疑。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29.8.5供应商组成联合体参加投标，联合体中任何一方或多方未按要求签字、盖章、加盖公章的质疑。</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pStyle w:val="654"/>
        <w:ind w:firstLine="527"/>
        <w:spacing w:before="0" w:after="0" w:line="360" w:lineRule="auto"/>
        <w:rPr>
          <w:rFonts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30、中标通知书</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中标结果确定并公示期满后，采购人将向中标人发出中标通知书。</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30.2</w:t>
      </w:r>
      <w:r>
        <w:rPr>
          <w:rFonts w:hint="eastAsia" w:ascii="宋体" w:hAnsi="宋体"/>
          <w:bCs/>
          <w:color w:val="000000" w:themeColor="text1"/>
          <w:szCs w:val="21"/>
          <w:highlight w:val="none"/>
          <w14:textFill>
            <w14:solidFill>
              <w14:schemeClr w14:val="tx1"/>
            </w14:solidFill>
          </w14:textFill>
        </w:rPr>
        <w:t xml:space="preserve">中标人可在“政府采购管理交易系统（苏采云）”中标通知书下载模块中自行下载中标通知书。</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30.3中标通知书将是合同的一个组成部分。对采购人和中标人均具有法律效力。中标通知书发出后，采购人改变中标结果的，或者中标人放弃中标项目的，应当依法承担法律责任。</w:t>
      </w:r>
      <w:r/>
    </w:p>
    <w:p>
      <w:pPr>
        <w:pStyle w:val="654"/>
        <w:ind w:firstLine="422"/>
        <w:spacing w:before="0" w:after="0" w:line="360" w:lineRule="auto"/>
        <w:rPr>
          <w:rFonts w:hint="eastAsia" w:ascii="Arial" w:hAnsi="Arial" w:cs="Times New Roman"/>
          <w:color w:val="000000" w:themeColor="text1"/>
          <w:highlight w:val="none"/>
          <w14:textFill>
            <w14:solidFill>
              <w14:schemeClr w14:val="tx1"/>
            </w14:solidFill>
          </w14:textFill>
        </w:rPr>
      </w:pPr>
      <w:r>
        <w:rPr>
          <w:rFonts w:hint="eastAsia" w:ascii="Arial" w:hAnsi="Arial" w:cs="Times New Roman"/>
          <w:color w:val="000000" w:themeColor="text1"/>
          <w:highlight w:val="none"/>
          <w14:textFill>
            <w14:solidFill>
              <w14:schemeClr w14:val="tx1"/>
            </w14:solidFill>
          </w14:textFill>
        </w:rPr>
        <w:t xml:space="preserve">七、授予合同</w:t>
      </w:r>
      <w:r/>
    </w:p>
    <w:p>
      <w:pPr>
        <w:ind w:firstLine="525"/>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31、 签订合同</w:t>
      </w:r>
      <w:r/>
    </w:p>
    <w:p>
      <w:pPr>
        <w:ind w:firstLine="525"/>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lang w:val="zh-CN"/>
          <w14:textFill>
            <w14:solidFill>
              <w14:schemeClr w14:val="tx1"/>
            </w14:solidFill>
          </w14:textFill>
        </w:rPr>
        <w:t xml:space="preserve">中标人应当在中标通知书发出之日起</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十五</w:t>
      </w:r>
      <w:r>
        <w:rPr>
          <w:rFonts w:hint="eastAsia" w:ascii="宋体" w:hAnsi="宋体" w:eastAsia="宋体" w:cs="宋体"/>
          <w:color w:val="000000" w:themeColor="text1"/>
          <w:szCs w:val="21"/>
          <w:highlight w:val="none"/>
          <w:lang w:val="zh-CN"/>
          <w14:textFill>
            <w14:solidFill>
              <w14:schemeClr w14:val="tx1"/>
            </w14:solidFill>
          </w14:textFill>
        </w:rPr>
        <w:t xml:space="preserve">日内，按照招标文件确定的事项与采购人签订政府采购合同。</w:t>
      </w:r>
      <w:r/>
    </w:p>
    <w:p>
      <w:pPr>
        <w:ind w:firstLine="525"/>
        <w:spacing w:line="360" w:lineRule="auto"/>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31.2 招标文件、中标人的投标文件及招标过程中有关澄清、承诺文件均应作为合同附件。</w:t>
      </w:r>
      <w:r/>
    </w:p>
    <w:p>
      <w:pPr>
        <w:ind w:firstLine="525"/>
        <w:spacing w:line="360" w:lineRule="auto"/>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31.3 签订合同后，</w:t>
      </w:r>
      <w:r>
        <w:rPr>
          <w:rFonts w:hint="eastAsia" w:ascii="宋体" w:hAnsi="宋体" w:eastAsia="宋体" w:cs="宋体"/>
          <w:i/>
          <w:iCs/>
          <w:color w:val="000000" w:themeColor="text1"/>
          <w:szCs w:val="21"/>
          <w:highlight w:val="none"/>
          <w:u w:val="single"/>
          <w:lang w:val="zh-CN"/>
          <w14:textFill>
            <w14:solidFill>
              <w14:schemeClr w14:val="tx1"/>
            </w14:solidFill>
          </w14:textFill>
        </w:rPr>
        <w:t xml:space="preserve">中标人不得将合同标的进行转包</w:t>
      </w:r>
      <w:r>
        <w:rPr>
          <w:rFonts w:hint="eastAsia" w:ascii="宋体" w:hAnsi="宋体" w:eastAsia="宋体" w:cs="宋体"/>
          <w:color w:val="000000" w:themeColor="text1"/>
          <w:szCs w:val="21"/>
          <w:highlight w:val="none"/>
          <w:lang w:val="zh-CN"/>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525"/>
        <w:spacing w:line="360" w:lineRule="auto"/>
        <w:rPr>
          <w:rFonts w:hint="eastAsia" w:ascii="宋体" w:hAnsi="宋体" w:eastAsia="宋体" w:cs="宋体"/>
          <w:b/>
          <w:bCs/>
          <w:color w:val="000000" w:themeColor="text1"/>
          <w:szCs w:val="21"/>
          <w:highlight w:val="none"/>
          <w:lang w:val="zh-CN" w:eastAsia="zh-CN"/>
          <w14:textFill>
            <w14:solidFill>
              <w14:schemeClr w14:val="tx1"/>
            </w14:solidFill>
          </w14:textFill>
        </w:rPr>
      </w:pPr>
      <w:r>
        <w:rPr>
          <w:rFonts w:hint="eastAsia" w:ascii="宋体" w:hAnsi="宋体" w:eastAsia="宋体" w:cs="宋体"/>
          <w:b/>
          <w:bCs/>
          <w:color w:val="000000" w:themeColor="text1"/>
          <w:szCs w:val="21"/>
          <w:highlight w:val="none"/>
          <w:lang w:val="zh-CN" w:eastAsia="zh-CN"/>
          <w14:textFill>
            <w14:solidFill>
              <w14:schemeClr w14:val="tx1"/>
            </w14:solidFill>
          </w14:textFill>
        </w:rPr>
        <w:t xml:space="preserve">32、政府采购履约资金扶持政策</w:t>
      </w:r>
      <w:r/>
    </w:p>
    <w:p>
      <w:pPr>
        <w:ind w:firstLine="525"/>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zh-CN" w:eastAsia="zh-CN"/>
          <w14:textFill>
            <w14:solidFill>
              <w14:schemeClr w14:val="tx1"/>
            </w14:solidFill>
          </w14:textFill>
        </w:rPr>
        <w:t xml:space="preserve">中标人可凭政府采购合同办理融资贷款，详情请见江苏政府采购网、扬州市政府采购网“政采贷”专栏。</w:t>
      </w:r>
      <w:r/>
    </w:p>
    <w:p>
      <w:pPr>
        <w:ind w:firstLine="525"/>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Cs w:val="21"/>
          <w:highlight w:val="none"/>
          <w:lang w:val="en-US" w:eastAsia="zh-CN"/>
          <w14:textFill>
            <w14:solidFill>
              <w14:schemeClr w14:val="tx1"/>
            </w14:solidFill>
          </w14:textFill>
        </w:rPr>
      </w:r>
      <w:r/>
    </w:p>
    <w:p>
      <w:pPr>
        <w:pStyle w:val="651"/>
        <w:jc w:val="center"/>
        <w:spacing w:line="360" w:lineRule="auto"/>
        <w:rPr>
          <w:rFonts w:ascii="宋体" w:hAnsi="宋体"/>
          <w:color w:val="000000" w:themeColor="text1"/>
          <w:sz w:val="36"/>
          <w:highlight w:val="none"/>
          <w14:textFill>
            <w14:solidFill>
              <w14:schemeClr w14:val="tx1"/>
            </w14:solidFill>
          </w14:textFill>
        </w:rPr>
      </w:pPr>
      <w:r/>
      <w:bookmarkStart w:id="109" w:name="_Toc500859146"/>
      <w:r>
        <w:rPr>
          <w:rFonts w:hint="eastAsia" w:ascii="宋体" w:hAnsi="宋体"/>
          <w:color w:val="000000" w:themeColor="text1"/>
          <w:sz w:val="36"/>
          <w:highlight w:val="none"/>
          <w14:textFill>
            <w14:solidFill>
              <w14:schemeClr w14:val="tx1"/>
            </w14:solidFill>
          </w14:textFill>
        </w:rPr>
        <w:t xml:space="preserve">第三章 合同条款及格式</w:t>
      </w:r>
      <w:bookmarkEnd w:id="109"/>
      <w:r/>
      <w:r/>
    </w:p>
    <w:p>
      <w:pPr>
        <w:ind w:firstLine="525"/>
        <w:spacing w:line="360" w:lineRule="auto"/>
        <w:rPr>
          <w:rFonts w:hint="eastAsia" w:ascii="宋体" w:hAnsi="宋体" w:eastAsia="宋体" w:cs="宋体"/>
          <w:color w:val="000000" w:themeColor="text1"/>
          <w:szCs w:val="21"/>
          <w:highlight w:val="none"/>
          <w:lang w:val="zh-CN" w:eastAsia="zh-CN"/>
          <w14:textFill>
            <w14:solidFill>
              <w14:schemeClr w14:val="tx1"/>
            </w14:solidFill>
          </w14:textFill>
        </w:rPr>
      </w:pPr>
      <w:r/>
      <w:bookmarkStart w:id="110" w:name="_Hlt16619369"/>
      <w:r/>
      <w:bookmarkEnd w:id="110"/>
      <w:r/>
      <w:bookmarkStart w:id="111" w:name="_Toc500859147"/>
      <w:r>
        <w:rPr>
          <w:rFonts w:hint="eastAsia" w:ascii="宋体" w:hAnsi="宋体" w:eastAsia="宋体" w:cs="宋体"/>
          <w:color w:val="000000" w:themeColor="text1"/>
          <w:szCs w:val="21"/>
          <w:highlight w:val="none"/>
          <w:lang w:val="zh-CN" w:eastAsia="zh-CN"/>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ind w:firstLine="151"/>
        <w:jc w:val="center"/>
        <w:spacing w:before="145" w:after="145"/>
        <w:rPr>
          <w:rFonts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szCs w:val="22"/>
          <w:highlight w:val="none"/>
          <w14:textFill>
            <w14:solidFill>
              <w14:schemeClr w14:val="tx1"/>
            </w14:solidFill>
          </w14:textFill>
        </w:rPr>
        <w:t xml:space="preserve">江苏省政府采购合同（货物）</w:t>
      </w:r>
      <w:r/>
    </w:p>
    <w:p>
      <w:pPr>
        <w:ind w:firstLine="120"/>
        <w:jc w:val="left"/>
        <w:spacing w:before="120" w:after="12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项目名称：_________     </w:t>
      </w:r>
      <w:r/>
    </w:p>
    <w:p>
      <w:pPr>
        <w:ind w:firstLine="120"/>
        <w:spacing w:before="120" w:after="12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项目编号：_________</w:t>
      </w:r>
      <w:r/>
    </w:p>
    <w:p>
      <w:pPr>
        <w:ind w:firstLine="120"/>
        <w:spacing w:before="120" w:after="12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甲方：（买方）_________</w:t>
      </w:r>
      <w:r/>
    </w:p>
    <w:p>
      <w:pPr>
        <w:ind w:firstLine="120"/>
        <w:spacing w:before="120" w:after="12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乙方：（卖方）_________</w:t>
      </w:r>
      <w:r/>
    </w:p>
    <w:p>
      <w:pPr>
        <w:ind w:firstLine="539"/>
        <w:spacing w:before="120" w:after="120" w:line="240" w:lineRule="auto"/>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甲、乙双方根据</w:t>
      </w:r>
      <w:r>
        <w:rPr>
          <w:rFonts w:hint="eastAsia" w:ascii="宋体" w:hAnsi="宋体" w:cs="宋体"/>
          <w:color w:val="000000" w:themeColor="text1"/>
          <w:sz w:val="21"/>
          <w:szCs w:val="21"/>
          <w:highlight w:val="none"/>
          <w:lang w:eastAsia="zh-CN"/>
          <w14:textFill>
            <w14:solidFill>
              <w14:schemeClr w14:val="tx1"/>
            </w14:solidFill>
          </w14:textFill>
        </w:rPr>
        <w:t xml:space="preserve">江苏江南工程管理咨询有限公司</w:t>
      </w:r>
      <w:r>
        <w:rPr>
          <w:rFonts w:hint="eastAsia" w:ascii="宋体" w:hAnsi="宋体" w:cs="宋体"/>
          <w:color w:val="000000" w:themeColor="text1"/>
          <w:sz w:val="21"/>
          <w:szCs w:val="21"/>
          <w:highlight w:val="none"/>
          <w:lang w:val="en-US" w:eastAsia="zh-CN"/>
          <w14:textFill>
            <w14:solidFill>
              <w14:schemeClr w14:val="tx1"/>
            </w14:solidFill>
          </w14:textFill>
        </w:rPr>
        <w:t xml:space="preserve">关于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项目公开招标的结果，签署本合同。</w:t>
      </w:r>
      <w:r/>
    </w:p>
    <w:p>
      <w:pPr>
        <w:ind w:firstLine="120"/>
        <w:spacing w:before="120" w:after="12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一、合同内容</w:t>
      </w:r>
      <w:r/>
    </w:p>
    <w:p>
      <w:pPr>
        <w:ind w:firstLine="420"/>
        <w:keepLines w:val="0"/>
        <w:keepNext w:val="0"/>
        <w:pageBreakBefore w:val="0"/>
        <w:spacing w:before="120" w:after="12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 标的名称：______</w:t>
      </w:r>
      <w:r/>
    </w:p>
    <w:p>
      <w:pPr>
        <w:ind w:firstLine="420"/>
        <w:keepLines w:val="0"/>
        <w:keepNext w:val="0"/>
        <w:pageBreakBefore w:val="0"/>
        <w:spacing w:before="120" w:after="12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 标的质量：______</w:t>
      </w:r>
      <w:r/>
    </w:p>
    <w:p>
      <w:pPr>
        <w:ind w:firstLine="420"/>
        <w:keepLines w:val="0"/>
        <w:keepNext w:val="0"/>
        <w:pageBreakBefore w:val="0"/>
        <w:spacing w:before="120" w:after="12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1.3 标的数量（规模）：______</w:t>
      </w:r>
      <w:r/>
    </w:p>
    <w:p>
      <w:pPr>
        <w:ind w:firstLine="420"/>
        <w:keepLines w:val="0"/>
        <w:keepNext w:val="0"/>
        <w:pageBreakBefore w:val="0"/>
        <w:spacing w:before="120" w:after="12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1.4 履行时间（期限）：______</w:t>
      </w:r>
      <w:r/>
    </w:p>
    <w:p>
      <w:pPr>
        <w:ind w:firstLine="420"/>
        <w:keepLines w:val="0"/>
        <w:keepNext w:val="0"/>
        <w:pageBreakBefore w:val="0"/>
        <w:spacing w:before="120" w:after="12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 履行地点：______</w:t>
      </w:r>
      <w:r/>
    </w:p>
    <w:p>
      <w:pPr>
        <w:ind w:firstLine="420"/>
        <w:keepLines w:val="0"/>
        <w:keepNext w:val="0"/>
        <w:pageBreakBefore w:val="0"/>
        <w:spacing w:before="120" w:after="12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1.6 履行方式：______</w:t>
      </w:r>
      <w:r/>
    </w:p>
    <w:p>
      <w:pPr>
        <w:ind w:firstLine="420"/>
        <w:keepLines w:val="0"/>
        <w:keepNext w:val="0"/>
        <w:pageBreakBefore w:val="0"/>
        <w:spacing w:before="120" w:after="120"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1.7 包装方式：______</w:t>
      </w:r>
      <w:r/>
    </w:p>
    <w:p>
      <w:pPr>
        <w:ind w:firstLine="120"/>
        <w:spacing w:before="120" w:after="12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二、合同金额</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2.1 本合同金额为（大写）：_______圆（___元）人民币或其他币种。</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三、技术资料</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3.1乙方应按招标文件规定的时间向甲方提供使用货物(包含与货物相关的服务)的有关技术资料。</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四、知识产权</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4.1乙方应保证甲方在使用、接受本合同货物（包含与货物相关的服务）或其任何一部分时不受第三方提出侵犯其专利权、版权、商标权和工业设计权等知识产权的起诉。一旦出现侵权，由乙方负全部责任。     </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五、产权担保</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5.1 乙方保证所交付的货物（包含与货物相关的服务）的所有权完全属于乙方且无任何抵押、查封等产权瑕疵。</w:t>
      </w:r>
      <w:r/>
    </w:p>
    <w:p>
      <w:pPr>
        <w:keepLines w:val="0"/>
        <w:keepNext w:val="0"/>
        <w:pageBreakBefore w:val="0"/>
        <w:spacing w:before="120" w:after="120" w:line="312" w:lineRule="auto"/>
        <w:widowControl w:val="off"/>
        <w:rPr>
          <w:rFonts w:hint="eastAsia" w:ascii="宋体" w:hAnsi="宋体" w:eastAsia="宋体" w:cs="宋体"/>
          <w:b/>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六、履约保证金</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6.1 乙方缴纳人民币合同金额</w:t>
      </w:r>
      <w:r>
        <w:rPr>
          <w:rFonts w:hint="eastAsia" w:ascii="宋体" w:hAnsi="宋体" w:eastAsia="宋体" w:cs="宋体"/>
          <w:color w:val="000000" w:themeColor="text1"/>
          <w:sz w:val="21"/>
          <w:szCs w:val="21"/>
          <w:highlight w:val="none"/>
          <w:u w:val="single"/>
          <w14:textFill>
            <w14:solidFill>
              <w14:schemeClr w14:val="tx1"/>
            </w14:solidFill>
          </w14:textFill>
        </w:rPr>
        <w:t xml:space="preserve">10%</w:t>
      </w:r>
      <w:r>
        <w:rPr>
          <w:rFonts w:hint="eastAsia" w:ascii="宋体" w:hAnsi="宋体" w:eastAsia="宋体" w:cs="宋体"/>
          <w:color w:val="000000" w:themeColor="text1"/>
          <w:sz w:val="21"/>
          <w:szCs w:val="21"/>
          <w:highlight w:val="none"/>
          <w14:textFill>
            <w14:solidFill>
              <w14:schemeClr w14:val="tx1"/>
            </w14:solidFill>
          </w14:textFill>
        </w:rPr>
        <w:t xml:space="preserve">作为本合同的履约保证金。（不得超过合同金额的10%）</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6.2合同履行结束后，甲方应及时退还交纳的履约保证金。</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6.2.1履约保证金退还方式：乙方凭甲方签署的验收报告，至甲方处办理履约保证金退还手续，乙方递交材料后10日内甲方退还履约保证金，甲方逾期未退还履约保证金，应当按照银行同期借款利息偿还。</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6.2.2履约保证金退还时间：乙方凭甲方签署的验收报告，至甲方处办理履约保证金退还手续，乙方递交材料后10日内甲方退还履约保证金。</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6.2.3履约保证金退还条件：乙方凭甲方签署的验收报告，至甲方处办理履约保证金退还手续。</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6.2.4履约保证金不予退还的情形：（a）签订合同后，乙方不得将货物及其他服务进行转包。未经甲方同意，乙方也不得采用分包的形式履行合同，否则甲方有权终止合同，乙方的履约保证金将不予退还。转包或分包造成采购人损失的，乙方应承担赔偿责任。（b）如乙方不能按时完成服务内容，给甲方造成损失的，履约保证金将不予退还。</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七、质保期</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质保期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6 </w:t>
      </w:r>
      <w:r>
        <w:rPr>
          <w:rFonts w:hint="eastAsia" w:ascii="宋体" w:hAnsi="宋体" w:eastAsia="宋体" w:cs="宋体"/>
          <w:color w:val="000000" w:themeColor="text1"/>
          <w:sz w:val="21"/>
          <w:szCs w:val="21"/>
          <w:highlight w:val="none"/>
          <w14:textFill>
            <w14:solidFill>
              <w14:schemeClr w14:val="tx1"/>
            </w14:solidFill>
          </w14:textFill>
        </w:rPr>
        <w:t xml:space="preserve">年。（自交货验收合格之日起计）</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八、合同转包或分包</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8.1乙方不得将合同标的转包给他人履行。</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8.2乙方不得将合同标的分包给他人履行。</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8.3乙方如有转包或未经甲方同意的分包行为，甲方有权给予终止合同。</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九、合同款项支付</w:t>
      </w:r>
      <w:r/>
    </w:p>
    <w:p>
      <w:pPr>
        <w:ind w:firstLine="420"/>
        <w:keepLines w:val="0"/>
        <w:keepNext w:val="0"/>
        <w:pageBreakBefore w:val="0"/>
        <w:spacing w:before="145" w:after="145" w:line="312"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（1）合同签订后，乙方向甲方开具发票，甲方自收到发票之日起10个工作日内支付合同总价30%的预付款</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before="145" w:after="145"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bookmarkStart w:id="112" w:name="OLE_LINK112"/>
      <w:r/>
      <w:bookmarkStart w:id="113" w:name="OLE_LINK113"/>
      <w:r/>
      <w:bookmarkStart w:id="114" w:name="OLE_LINK111"/>
      <w:r>
        <w:rPr>
          <w:rFonts w:hint="eastAsia" w:ascii="宋体" w:hAnsi="宋体" w:eastAsia="宋体" w:cs="宋体"/>
          <w:color w:val="000000" w:themeColor="text1"/>
          <w:sz w:val="21"/>
          <w:szCs w:val="21"/>
          <w:highlight w:val="none"/>
          <w14:textFill>
            <w14:solidFill>
              <w14:schemeClr w14:val="tx1"/>
            </w14:solidFill>
          </w14:textFill>
        </w:rPr>
        <w:t xml:space="preserve">（2）</w:t>
      </w:r>
      <w:bookmarkEnd w:id="112"/>
      <w:r/>
      <w:bookmarkEnd w:id="113"/>
      <w:r/>
      <w:bookmarkEnd w:id="114"/>
      <w:r>
        <w:rPr>
          <w:rFonts w:hint="eastAsia" w:ascii="宋体" w:hAnsi="宋体" w:eastAsia="宋体" w:cs="宋体"/>
          <w:color w:val="000000" w:themeColor="text1"/>
          <w:sz w:val="21"/>
          <w:szCs w:val="21"/>
          <w:highlight w:val="none"/>
          <w14:textFill>
            <w14:solidFill>
              <w14:schemeClr w14:val="tx1"/>
            </w14:solidFill>
          </w14:textFill>
        </w:rPr>
        <w:t xml:space="preserve">货物安装、调试完毕试运行</w:t>
      </w:r>
      <w:r>
        <w:rPr>
          <w:rFonts w:hint="eastAsia" w:ascii="宋体" w:hAnsi="宋体" w:cs="宋体"/>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1"/>
          <w:szCs w:val="21"/>
          <w:highlight w:val="none"/>
          <w14:textFill>
            <w14:solidFill>
              <w14:schemeClr w14:val="tx1"/>
            </w14:solidFill>
          </w14:textFill>
        </w:rPr>
        <w:t xml:space="preserve">个月后</w:t>
      </w:r>
      <w:r>
        <w:rPr>
          <w:rFonts w:hint="eastAsia" w:ascii="宋体" w:hAnsi="宋体" w:eastAsia="宋体" w:cs="宋体"/>
          <w:color w:val="000000" w:themeColor="text1"/>
          <w:sz w:val="21"/>
          <w:szCs w:val="21"/>
          <w:highlight w:val="none"/>
          <w14:textFill>
            <w14:solidFill>
              <w14:schemeClr w14:val="tx1"/>
            </w14:solidFill>
          </w14:textFill>
        </w:rPr>
        <w:t xml:space="preserve">，</w:t>
      </w:r>
      <w:bookmarkStart w:id="115" w:name="OLE_LINK110"/>
      <w:r/>
      <w:bookmarkStart w:id="116" w:name="OLE_LINK109"/>
      <w:r>
        <w:rPr>
          <w:rFonts w:hint="eastAsia" w:ascii="宋体" w:hAnsi="宋体" w:eastAsia="宋体" w:cs="宋体"/>
          <w:color w:val="000000" w:themeColor="text1"/>
          <w:sz w:val="21"/>
          <w:szCs w:val="21"/>
          <w:highlight w:val="none"/>
          <w14:textFill>
            <w14:solidFill>
              <w14:schemeClr w14:val="tx1"/>
            </w14:solidFill>
          </w14:textFill>
        </w:rPr>
        <w:t xml:space="preserve">甲方自收到发票之日起10个工作日内</w:t>
      </w:r>
      <w:bookmarkEnd w:id="115"/>
      <w:r/>
      <w:bookmarkEnd w:id="116"/>
      <w:r>
        <w:rPr>
          <w:rFonts w:hint="eastAsia" w:ascii="宋体" w:hAnsi="宋体" w:eastAsia="宋体" w:cs="宋体"/>
          <w:color w:val="000000" w:themeColor="text1"/>
          <w:sz w:val="21"/>
          <w:szCs w:val="21"/>
          <w:highlight w:val="none"/>
          <w14:textFill>
            <w14:solidFill>
              <w14:schemeClr w14:val="tx1"/>
            </w14:solidFill>
          </w14:textFill>
        </w:rPr>
        <w:t xml:space="preserve">支付合同价款50%；</w:t>
      </w:r>
      <w:r/>
    </w:p>
    <w:p>
      <w:pPr>
        <w:pStyle w:val="924"/>
        <w:ind w:firstLine="420"/>
        <w:jc w:val="both"/>
        <w:keepLines w:val="0"/>
        <w:keepNext w:val="0"/>
        <w:pageBreakBefore w:val="0"/>
        <w:spacing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（3）项目验收合格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且审计结束</w:t>
      </w:r>
      <w:r>
        <w:rPr>
          <w:rFonts w:hint="eastAsia" w:ascii="宋体" w:hAnsi="宋体" w:eastAsia="宋体" w:cs="宋体"/>
          <w:color w:val="000000" w:themeColor="text1"/>
          <w:sz w:val="21"/>
          <w:szCs w:val="21"/>
          <w:highlight w:val="none"/>
          <w14:textFill>
            <w14:solidFill>
              <w14:schemeClr w14:val="tx1"/>
            </w14:solidFill>
          </w14:textFill>
        </w:rPr>
        <w:t xml:space="preserve">后，甲方自收到发票之日起10个工作日内付清余款。</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十、税费</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10.1本合同执行中相关的一切税费均由乙方负担。</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十一、质量保修范围和保修期及售后服务</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11.1 乙方应按招标文件规定的货物性能、技术要求、质量标准向甲方提供未经使用的全新产品。</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11.2 乙方提供的货物在质量期内因货物本身的质量问题发生故障，乙方应负责免费更换。对达不到技术要求者，根据实际情况，经双方协商，可按以下办法处理：</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⑴更换：由乙方承担所发生的全部费用。</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⑵贬值处理：由甲乙双方合议定价。</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11.3 如在使用过程中发生质量问题，乙方在接到甲方通知后在</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1"/>
          <w:szCs w:val="21"/>
          <w:highlight w:val="none"/>
          <w14:textFill>
            <w14:solidFill>
              <w14:schemeClr w14:val="tx1"/>
            </w14:solidFill>
          </w14:textFill>
        </w:rPr>
        <w:t xml:space="preserve">小时内到达甲方现场。</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11.4 在质保期内，乙方应对货物出现的质量及安全问题负责处理解决并承担一切费用。</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11.5上述的货物免费保修期为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6 </w:t>
      </w:r>
      <w:r>
        <w:rPr>
          <w:rFonts w:hint="eastAsia" w:ascii="宋体" w:hAnsi="宋体" w:eastAsia="宋体" w:cs="宋体"/>
          <w:color w:val="000000" w:themeColor="text1"/>
          <w:sz w:val="21"/>
          <w:szCs w:val="21"/>
          <w:highlight w:val="none"/>
          <w14:textFill>
            <w14:solidFill>
              <w14:schemeClr w14:val="tx1"/>
            </w14:solidFill>
          </w14:textFill>
        </w:rPr>
        <w:t xml:space="preserve">年（自交货验收合格之日起计），因人为因素出现的故障不在免费保修范围内。超过保修期的机器设备，终生维修，维修时只收部件成本费。</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十二、项目验收</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12.1 甲方依法组织履约验收工作。</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12.3因本项目产生的人员、运输、食宿、验收等一切与本项目相关的费用，由乙方承担。</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12.4对于实际使用人和甲方分离的项目，甲方邀请实际使用人参与验收。</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12.5如有必要，甲方邀请参加本项目的其他供应商或第三方专业机构及专家参与验收，相关意见将作为验收书的参考资料。</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12.6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12.7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十三、货物的包装、发运及运输</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13.1 乙方应在货物发运前对其进行满足运输距离、防潮、防震、防锈和防破损装卸等要求包装，以保证货物安全运达甲方指定地点。</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13.2 使用说明书、质量检验证明书、随配附件和工具以及清单一并附于货物内。</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13.3 乙方在货物发运手续办理完毕后24小时内或货到甲方48小时前通知甲方，以准备接货。</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13.4 货物在交付甲方前发生的风险均由乙方负责。</w:t>
      </w:r>
      <w:r/>
    </w:p>
    <w:p>
      <w:pPr>
        <w:ind w:firstLine="420"/>
        <w:keepLines w:val="0"/>
        <w:keepNext w:val="0"/>
        <w:pageBreakBefore w:val="0"/>
        <w:spacing w:before="156" w:after="156"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13.5 货物在规定的交付期限内由乙方送达甲方指定的地点视为交付，乙方同时需通知甲方货物已送达。</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十四、违约责任</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14.1 甲方无正当理由拒收货物的，甲方向乙方偿付拒收货款总值</w:t>
      </w:r>
      <w:r>
        <w:rPr>
          <w:rFonts w:hint="eastAsia" w:ascii="宋体" w:hAnsi="宋体" w:eastAsia="宋体" w:cs="宋体"/>
          <w:color w:val="000000" w:themeColor="text1"/>
          <w:sz w:val="21"/>
          <w:szCs w:val="21"/>
          <w:highlight w:val="none"/>
          <w:u w:val="single"/>
          <w14:textFill>
            <w14:solidFill>
              <w14:schemeClr w14:val="tx1"/>
            </w14:solidFill>
          </w14:textFill>
        </w:rPr>
        <w:t xml:space="preserve">百分之五</w:t>
      </w:r>
      <w:r>
        <w:rPr>
          <w:rFonts w:hint="eastAsia" w:ascii="宋体" w:hAnsi="宋体" w:eastAsia="宋体" w:cs="宋体"/>
          <w:color w:val="000000" w:themeColor="text1"/>
          <w:sz w:val="21"/>
          <w:szCs w:val="21"/>
          <w:highlight w:val="none"/>
          <w14:textFill>
            <w14:solidFill>
              <w14:schemeClr w14:val="tx1"/>
            </w14:solidFill>
          </w14:textFill>
        </w:rPr>
        <w:t xml:space="preserve">的违约金。</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14.2 甲方无故逾期验收和办理货款支付手续的,甲方应按逾期付款总额每日</w:t>
      </w:r>
      <w:r>
        <w:rPr>
          <w:rFonts w:hint="eastAsia" w:ascii="宋体" w:hAnsi="宋体" w:eastAsia="宋体" w:cs="宋体"/>
          <w:color w:val="000000" w:themeColor="text1"/>
          <w:sz w:val="21"/>
          <w:szCs w:val="21"/>
          <w:highlight w:val="none"/>
          <w:u w:val="single"/>
          <w14:textFill>
            <w14:solidFill>
              <w14:schemeClr w14:val="tx1"/>
            </w14:solidFill>
          </w14:textFill>
        </w:rPr>
        <w:t xml:space="preserve">万分之五</w:t>
      </w:r>
      <w:r>
        <w:rPr>
          <w:rFonts w:hint="eastAsia" w:ascii="宋体" w:hAnsi="宋体" w:eastAsia="宋体" w:cs="宋体"/>
          <w:color w:val="000000" w:themeColor="text1"/>
          <w:sz w:val="21"/>
          <w:szCs w:val="21"/>
          <w:highlight w:val="none"/>
          <w14:textFill>
            <w14:solidFill>
              <w14:schemeClr w14:val="tx1"/>
            </w14:solidFill>
          </w14:textFill>
        </w:rPr>
        <w:t xml:space="preserve">向乙方支付违约金。</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14.3 乙方逾期交付货物的，乙方应按逾期交货总额每日</w:t>
      </w:r>
      <w:r>
        <w:rPr>
          <w:rFonts w:hint="eastAsia" w:ascii="宋体" w:hAnsi="宋体" w:eastAsia="宋体" w:cs="宋体"/>
          <w:color w:val="000000" w:themeColor="text1"/>
          <w:sz w:val="21"/>
          <w:szCs w:val="21"/>
          <w:highlight w:val="none"/>
          <w:u w:val="single"/>
          <w14:textFill>
            <w14:solidFill>
              <w14:schemeClr w14:val="tx1"/>
            </w14:solidFill>
          </w14:textFill>
        </w:rPr>
        <w:t xml:space="preserve">千分之六</w:t>
      </w:r>
      <w:r>
        <w:rPr>
          <w:rFonts w:hint="eastAsia" w:ascii="宋体" w:hAnsi="宋体" w:eastAsia="宋体" w:cs="宋体"/>
          <w:color w:val="000000" w:themeColor="text1"/>
          <w:sz w:val="21"/>
          <w:szCs w:val="21"/>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themeColor="text1"/>
          <w:sz w:val="21"/>
          <w:szCs w:val="21"/>
          <w:highlight w:val="none"/>
          <w:u w:val="single"/>
          <w14:textFill>
            <w14:solidFill>
              <w14:schemeClr w14:val="tx1"/>
            </w14:solidFill>
          </w14:textFill>
        </w:rPr>
        <w:t xml:space="preserve"> 百分之五  </w:t>
      </w:r>
      <w:r>
        <w:rPr>
          <w:rFonts w:hint="eastAsia" w:ascii="宋体" w:hAnsi="宋体" w:eastAsia="宋体" w:cs="宋体"/>
          <w:color w:val="000000" w:themeColor="text1"/>
          <w:sz w:val="21"/>
          <w:szCs w:val="21"/>
          <w:highlight w:val="none"/>
          <w14:textFill>
            <w14:solidFill>
              <w14:schemeClr w14:val="tx1"/>
            </w14:solidFill>
          </w14:textFill>
        </w:rPr>
        <w:t xml:space="preserve">的违约金，如造成甲方损失超过违约金的，超出部分由乙方继续承担赔偿责任。</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十五、不可抗力事件处理</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15.1 在合同有效期内，任何一方因不可抗力事件导致不能履行合同，则合同履行期可延长，其延长期与不可抗力影响期相同。</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15.2 不可抗力事件发生后，应立即通知对方，并寄送有关权威机构出具的证明。</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t xml:space="preserve">15.3 不可抗力事件延续120天以上，双方应通过友好协商，确定是否继续履行合同。</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十六、解决争议的方法</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16.1甲乙双方因合同签订、履行而发生的一切争议，应通过友好协商解决。如协商不成由甲方住所地人民法院管辖。</w:t>
      </w:r>
      <w:r/>
    </w:p>
    <w:p>
      <w:pPr>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14:textFill>
            <w14:solidFill>
              <w14:schemeClr w14:val="tx1"/>
            </w14:solidFill>
          </w14:textFill>
        </w:rPr>
        <w:t xml:space="preserve">十七、合同生效及其它</w:t>
      </w:r>
      <w:r/>
    </w:p>
    <w:p>
      <w:pPr>
        <w:ind w:firstLine="420"/>
        <w:keepLines w:val="0"/>
        <w:keepNext w:val="0"/>
        <w:pageBreakBefore w:val="0"/>
        <w:spacing w:before="120" w:after="120" w:line="312" w:lineRule="auto"/>
        <w:widowControl w:val="off"/>
        <w:rPr>
          <w:rFonts w:hint="default" w:ascii="宋体" w:hAnsi="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17.1合同履行期间所更换的老旧硬件设备及配套设施等资产均归甲方所有。</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val="en-US" w:eastAsia="zh-CN"/>
          <w14:textFill>
            <w14:solidFill>
              <w14:schemeClr w14:val="tx1"/>
            </w14:solidFill>
          </w14:textFill>
        </w:rPr>
        <w:t xml:space="preserve">17.2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本合同正本一式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陆</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份，具有同等法律效力， 甲方、乙方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见证方各执二份。</w:t>
      </w:r>
      <w:r/>
    </w:p>
    <w:p>
      <w:pPr>
        <w:ind w:firstLine="120"/>
        <w:spacing w:before="120" w:after="120" w:line="85" w:lineRule="atLeast"/>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p>
      <w:pPr>
        <w:ind w:firstLine="120"/>
        <w:spacing w:before="120" w:after="120" w:line="85" w:lineRule="atLeast"/>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甲  方（单位盖章）：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乙  方（单位盖章）：  </w:t>
      </w:r>
      <w:r/>
    </w:p>
    <w:p>
      <w:pPr>
        <w:ind w:firstLine="120"/>
        <w:spacing w:before="120" w:after="120" w:line="85" w:lineRule="atLeast"/>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地  址：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地  址：</w:t>
      </w:r>
      <w:r/>
    </w:p>
    <w:p>
      <w:pPr>
        <w:ind w:firstLine="120"/>
        <w:spacing w:before="120" w:after="120" w:line="85" w:lineRule="atLeast"/>
        <w:rPr>
          <w:rFonts w:hint="default"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代表签字：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代表签字：</w:t>
      </w:r>
      <w:r/>
    </w:p>
    <w:p>
      <w:pPr>
        <w:ind w:firstLine="120"/>
        <w:spacing w:before="120" w:after="120" w:line="85" w:lineRule="atLeast"/>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电  话：</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电  话：</w:t>
      </w:r>
      <w:r/>
    </w:p>
    <w:p>
      <w:pPr>
        <w:ind w:firstLine="120"/>
        <w:spacing w:before="120" w:after="120" w:line="85" w:lineRule="atLeast"/>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ind w:firstLine="120"/>
        <w:spacing w:before="120" w:after="120" w:line="85" w:lineRule="atLeast"/>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见证方（单位盖章）：</w:t>
      </w:r>
      <w:r/>
    </w:p>
    <w:p>
      <w:pPr>
        <w:ind w:firstLine="120"/>
        <w:spacing w:before="120" w:after="120" w:line="85" w:lineRule="atLeast"/>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地  址：</w:t>
      </w:r>
      <w:r/>
    </w:p>
    <w:p>
      <w:pPr>
        <w:ind w:firstLine="120"/>
        <w:spacing w:before="120" w:after="120" w:line="85" w:lineRule="atLeast"/>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电  话：</w:t>
      </w:r>
      <w:r/>
    </w:p>
    <w:p>
      <w:pPr>
        <w:ind w:firstLine="120"/>
        <w:spacing w:before="120" w:after="120" w:line="85" w:lineRule="atLeast"/>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代表签字：</w:t>
      </w:r>
      <w:r/>
    </w:p>
    <w:p>
      <w:pPr>
        <w:ind w:firstLine="120"/>
        <w:spacing w:before="120" w:after="120" w:line="85" w:lineRule="atLeast"/>
        <w:rPr>
          <w:rFonts w:hAnsi="宋体"/>
          <w:color w:val="000000" w:themeColor="text1"/>
          <w:sz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合同签订日期：   年   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日</w:t>
      </w:r>
      <w:bookmarkEnd w:id="111"/>
      <w:r/>
    </w:p>
    <w:p>
      <w:pPr>
        <w:pStyle w:val="674"/>
        <w:ind w:firstLine="200"/>
        <w:spacing w:before="120" w:after="120" w:line="360" w:lineRule="auto"/>
        <w:rPr>
          <w:rFonts w:hAnsi="宋体"/>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Ansi="宋体"/>
          <w:color w:val="000000" w:themeColor="text1"/>
          <w:highlight w:val="none"/>
          <w14:textFill>
            <w14:solidFill>
              <w14:schemeClr w14:val="tx1"/>
            </w14:solidFill>
          </w14:textFill>
        </w:rPr>
      </w:r>
      <w:r/>
    </w:p>
    <w:p>
      <w:pPr>
        <w:jc w:val="center"/>
        <w:spacing w:before="120" w:after="120" w:line="400" w:lineRule="exact"/>
        <w:rPr>
          <w:rFonts w:ascii="宋体" w:hAnsi="宋体" w:cs="宋体"/>
          <w:b/>
          <w:color w:val="000000" w:themeColor="text1"/>
          <w:szCs w:val="21"/>
          <w:highlight w:val="none"/>
          <w14:textFill>
            <w14:solidFill>
              <w14:schemeClr w14:val="tx1"/>
            </w14:solidFill>
          </w14:textFill>
        </w:rPr>
      </w:pPr>
      <w:r>
        <w:rPr>
          <w:rFonts w:hint="eastAsia" w:ascii="宋体" w:hAnsi="宋体"/>
          <w:b/>
          <w:bCs/>
          <w:color w:val="000000" w:themeColor="text1"/>
          <w:sz w:val="36"/>
          <w:szCs w:val="44"/>
          <w:highlight w:val="none"/>
          <w14:textFill>
            <w14:solidFill>
              <w14:schemeClr w14:val="tx1"/>
            </w14:solidFill>
          </w14:textFill>
        </w:rPr>
        <w:t xml:space="preserve">第四章 项目需求</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项目属性:货物类项目</w:t>
      </w:r>
      <w:r/>
    </w:p>
    <w:p>
      <w:pPr>
        <w:ind w:firstLine="12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eastAsia="宋体" w:cs="宋体"/>
          <w:i/>
          <w:iCs/>
          <w:color w:val="000000" w:themeColor="text1"/>
          <w:sz w:val="21"/>
          <w:szCs w:val="21"/>
          <w:highlight w:val="none"/>
          <w:u w:val="single"/>
          <w:lang w:val="zh-CN"/>
          <w14:textFill>
            <w14:solidFill>
              <w14:schemeClr w14:val="tx1"/>
            </w14:solidFill>
          </w14:textFill>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其他条件相同情况下，应当优先采购节能产品、环境标志产品。</w:t>
      </w:r>
      <w:r/>
    </w:p>
    <w:p>
      <w:pPr>
        <w:ind w:firstLine="420"/>
        <w:jc w:val="left"/>
        <w:spacing w:line="400" w:lineRule="exact"/>
        <w:widowControl/>
        <w:tabs>
          <w:tab w:val="center" w:pos="4418" w:leader="none"/>
        </w:tabs>
        <w:rPr>
          <w:rFonts w:asciiTheme="minorEastAsia" w:hAnsiTheme="minorEastAsia" w:eastAsiaTheme="minorEastAsia" w:cstheme="minorEastAsia"/>
          <w:bCs/>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r>
      <w:r/>
    </w:p>
    <w:p>
      <w:pPr>
        <w:ind w:firstLine="422"/>
        <w:spacing w:line="360" w:lineRule="auto"/>
        <w:rPr>
          <w:rFonts w:hint="eastAsia" w:ascii="宋体" w:hAnsi="宋体" w:eastAsia="宋体" w:cs="Times New Roman"/>
          <w:b/>
          <w:bCs/>
          <w:color w:val="000000" w:themeColor="text1"/>
          <w:sz w:val="28"/>
          <w:szCs w:val="28"/>
          <w:highlight w:val="none"/>
          <w14:textFill>
            <w14:solidFill>
              <w14:schemeClr w14:val="tx1"/>
            </w14:solidFill>
          </w14:textFill>
        </w:rPr>
      </w:pPr>
      <w:r>
        <w:rPr>
          <w:rFonts w:hint="eastAsia" w:ascii="宋体" w:hAnsi="宋体" w:eastAsia="宋体" w:cs="Times New Roman"/>
          <w:b/>
          <w:bCs/>
          <w:color w:val="000000" w:themeColor="text1"/>
          <w:sz w:val="28"/>
          <w:szCs w:val="28"/>
          <w:highlight w:val="none"/>
          <w14:textFill>
            <w14:solidFill>
              <w14:schemeClr w14:val="tx1"/>
            </w14:solidFill>
          </w14:textFill>
        </w:rPr>
        <w:t xml:space="preserve">本项目核心产品：监控球机</w:t>
      </w:r>
      <w:r/>
    </w:p>
    <w:p>
      <w:pPr>
        <w:ind w:firstLine="12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采购标的对应的中小企业划分标准所属行业一览表</w:t>
      </w:r>
      <w:r/>
    </w:p>
    <w:tbl>
      <w:tblPr>
        <w:tblStyle w:val="661"/>
        <w:tblW w:w="89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4382"/>
        <w:gridCol w:w="3828"/>
      </w:tblGrid>
      <w:tr>
        <w:trPr>
          <w:cantSplit/>
          <w:jc w:val="center"/>
        </w:trPr>
        <w:tc>
          <w:tcPr>
            <w:tcW w:w="760"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4382"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标的</w:t>
            </w:r>
            <w:r/>
          </w:p>
        </w:tc>
        <w:tc>
          <w:tcPr>
            <w:tcW w:w="38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对应中</w:t>
            </w:r>
            <w:r>
              <w:rPr>
                <w:rFonts w:ascii="宋体" w:hAnsi="宋体"/>
                <w:color w:val="000000" w:themeColor="text1"/>
                <w:sz w:val="24"/>
                <w:szCs w:val="24"/>
                <w:highlight w:val="none"/>
                <w14:textFill>
                  <w14:solidFill>
                    <w14:schemeClr w14:val="tx1"/>
                  </w14:solidFill>
                </w14:textFill>
              </w:rPr>
              <w:t xml:space="preserve">小企业划分标准所属行业</w:t>
            </w:r>
            <w:r/>
          </w:p>
        </w:tc>
      </w:tr>
      <w:tr>
        <w:trPr>
          <w:cantSplit/>
          <w:jc w:val="center"/>
          <w:trHeight w:val="289"/>
        </w:trPr>
        <w:tc>
          <w:tcPr>
            <w:tcW w:w="760" w:type="dxa"/>
            <w:vAlign w:val="center"/>
            <w:textDirection w:val="lrTb"/>
            <w:noWrap w:val="false"/>
          </w:tcPr>
          <w:p>
            <w:pPr>
              <w:jc w:val="center"/>
              <w:spacing w:line="0" w:lineRule="atLeas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4382" w:type="dxa"/>
            <w:vAlign w:val="center"/>
            <w:textDirection w:val="lrTb"/>
            <w:noWrap w:val="false"/>
          </w:tcPr>
          <w:p>
            <w:pPr>
              <w:ind w:firstLine="120"/>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2026年民生实事（亿丰岗等25000处信号灯路口电子监控升级改造项目）</w:t>
            </w:r>
            <w:r/>
          </w:p>
        </w:tc>
        <w:tc>
          <w:tcPr>
            <w:tcW w:w="3828" w:type="dxa"/>
            <w:vAlign w:val="center"/>
            <w:textDirection w:val="lrTb"/>
            <w:noWrap w:val="false"/>
          </w:tcPr>
          <w:p>
            <w:pPr>
              <w:ind w:firstLine="120"/>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工业</w:t>
            </w:r>
            <w:r/>
          </w:p>
        </w:tc>
      </w:tr>
    </w:tbl>
    <w:p>
      <w:pPr>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16"/>
        <w:spacing w:line="600" w:lineRule="exact"/>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一、项目概况</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为进一步提升区域道路通行秩序、强化交通违法精准管控、完善路口标识设施，全面推进智慧交通建设与道路交通安全规范化管理，特实施本次交通路口综合改造项目。</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覆盖高宝岗、跃进岗、氾水岗、宋埠岗、沙氾岗、通湖岗、江宝岗、贾桥岗、刘庄岗、亿丰岗、三洋河桥岗、盐金岗、鑫港岗、滨港岗、为民岗、望亭岗、富港岗、京沪岗、荷香岗、县府岗、金湾岗、宝漕河桥岗、邮政岗、府前岗、金南岗、万民岗、成庄岗、陈家岗、谭家庄岗、宝楠高架岗、环泰岗共 31 个重点路口。</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项目核心建设内容包括：实施卡警系统升级改造，提升智能识别与违法取证能力；针对大货车闯红灯多发路口，增设定向闯红灯抓拍设备（北向、南北向、东西向）；对部分路口实施杆件位置优化迁移，确保设备布设科学合理；同步开展智能交通系统改造，完善路口智慧管控能力；统一增设岗名牌、监控提示牌，规范路口标识体系，强化交通警示与信息告知功能。</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本项目通过系统升级、设备增设、设施完善与布局优化，有效提升路口交通管控效能，遏制重点交通违法行为，完善道路配套设施，为群众出行营造安全、有序、规范、智能的道路交通环境。</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目中机房设备之间、前端存储主机和交换机之间、前端交换机和主干光端机之间所用网络线必须均采用六类线打成的千兆网络线；前端和机房之间主干所用的光端机必须是千兆光端机；前端、机房所采用的交换机必须均采用千兆交换机，其中前端采用耐恶劣环境的工业级千兆交换机、预留两个以上千兆网络口；机房采用高性能千兆交换机集成；</w:t>
      </w:r>
      <w:r/>
    </w:p>
    <w:p>
      <w:pPr>
        <w:ind w:firstLine="420"/>
        <w:keepLines w:val="0"/>
        <w:keepNext w:val="0"/>
        <w:pageBreakBefore w:val="0"/>
        <w:spacing w:before="120" w:after="120" w:line="312" w:lineRule="auto"/>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目包括软件、硬件及设备安装、调试、质保、培训、后续服务及杆件（原则上使用原杆件或利用现有旧杆件，并出新，横杆与竖杆的连接处必须换用热镀锌高强度螺丝。如根据现场实际情况，原杆件或利旧杆件与现有道路不配套的或不符合安全标准的必须换新杆件以及基础，无岗名标牌的岗点需增加岗名牌）、基础、施工、绿化恢复、管道铺设、电源接驳、挂箱换用不绣钢；</w:t>
      </w:r>
      <w:r/>
    </w:p>
    <w:p>
      <w:pPr>
        <w:ind w:firstLine="420"/>
        <w:keepLines w:val="0"/>
        <w:keepNext w:val="0"/>
        <w:pageBreakBefore w:val="0"/>
        <w:spacing w:before="120" w:after="120" w:line="312" w:lineRule="auto"/>
        <w:widowControl w:val="off"/>
        <w:rPr>
          <w:rFonts w:hint="eastAsia" w:ascii="宋体" w:hAnsi="宋体" w:eastAsia="宋体" w:cs="宋体"/>
          <w:i/>
          <w:iCs/>
          <w:color w:val="000000" w:themeColor="text1"/>
          <w:sz w:val="21"/>
          <w:szCs w:val="21"/>
          <w:highlight w:val="none"/>
          <w:u w:val="singl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7、</w:t>
      </w:r>
      <w:r>
        <w:rPr>
          <w:rFonts w:hint="eastAsia" w:ascii="宋体" w:hAnsi="宋体" w:eastAsia="宋体" w:cs="宋体"/>
          <w:i/>
          <w:iCs/>
          <w:color w:val="000000" w:themeColor="text1"/>
          <w:sz w:val="21"/>
          <w:szCs w:val="21"/>
          <w:highlight w:val="none"/>
          <w:u w:val="single"/>
          <w:lang w:val="zh-CN"/>
          <w14:textFill>
            <w14:solidFill>
              <w14:schemeClr w14:val="tx1"/>
            </w14:solidFill>
          </w14:textFill>
        </w:rPr>
        <w:t xml:space="preserve">本项目中改造前端部分需接入到“宝应公安视频图像实战应用平台”和“公安交通集成指挥平台”，能调取查看录像和图片，并与现有系统无缝对接</w:t>
      </w:r>
      <w:bookmarkStart w:id="117" w:name="OLE_LINK34"/>
      <w:r/>
      <w:bookmarkStart w:id="118" w:name="OLE_LINK33"/>
      <w:r>
        <w:rPr>
          <w:rFonts w:hint="eastAsia" w:ascii="宋体" w:hAnsi="宋体" w:eastAsia="宋体" w:cs="宋体"/>
          <w:i/>
          <w:iCs/>
          <w:color w:val="000000" w:themeColor="text1"/>
          <w:sz w:val="21"/>
          <w:szCs w:val="21"/>
          <w:highlight w:val="none"/>
          <w:u w:val="single"/>
          <w:lang w:val="zh-CN"/>
          <w14:textFill>
            <w14:solidFill>
              <w14:schemeClr w14:val="tx1"/>
            </w14:solidFill>
          </w14:textFill>
        </w:rPr>
        <w:t xml:space="preserve">方可验收</w:t>
      </w:r>
      <w:bookmarkEnd w:id="117"/>
      <w:r/>
      <w:bookmarkEnd w:id="118"/>
      <w:r>
        <w:rPr>
          <w:rFonts w:hint="eastAsia" w:ascii="宋体" w:hAnsi="宋体" w:eastAsia="宋体" w:cs="宋体"/>
          <w:i/>
          <w:iCs/>
          <w:color w:val="000000" w:themeColor="text1"/>
          <w:sz w:val="21"/>
          <w:szCs w:val="21"/>
          <w:highlight w:val="none"/>
          <w:u w:val="single"/>
          <w:lang w:val="zh-CN"/>
          <w14:textFill>
            <w14:solidFill>
              <w14:schemeClr w14:val="tx1"/>
            </w14:solidFill>
          </w14:textFill>
        </w:rPr>
        <w:t xml:space="preserve">。</w:t>
      </w:r>
      <w:bookmarkStart w:id="119" w:name="OLE_LINK35"/>
      <w:r/>
      <w:bookmarkStart w:id="120" w:name="OLE_LINK36"/>
      <w:r>
        <w:rPr>
          <w:rFonts w:hint="eastAsia" w:ascii="宋体" w:hAnsi="宋体" w:eastAsia="宋体" w:cs="宋体"/>
          <w:i/>
          <w:iCs/>
          <w:color w:val="000000" w:themeColor="text1"/>
          <w:sz w:val="21"/>
          <w:szCs w:val="21"/>
          <w:highlight w:val="none"/>
          <w:u w:val="single"/>
          <w:lang w:val="zh-CN"/>
          <w14:textFill>
            <w14:solidFill>
              <w14:schemeClr w14:val="tx1"/>
            </w14:solidFill>
          </w14:textFill>
        </w:rPr>
        <w:t xml:space="preserve">（须提供承诺书原件</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扫描件</w:t>
      </w:r>
      <w:r>
        <w:rPr>
          <w:rFonts w:hint="eastAsia" w:ascii="宋体" w:hAnsi="宋体" w:eastAsia="宋体" w:cs="宋体"/>
          <w:i/>
          <w:iCs/>
          <w:color w:val="000000" w:themeColor="text1"/>
          <w:sz w:val="21"/>
          <w:szCs w:val="21"/>
          <w:highlight w:val="none"/>
          <w:u w:val="single"/>
          <w:lang w:val="zh-CN"/>
          <w14:textFill>
            <w14:solidFill>
              <w14:schemeClr w14:val="tx1"/>
            </w14:solidFill>
          </w14:textFill>
        </w:rPr>
        <w:t xml:space="preserve">）</w:t>
      </w:r>
      <w:bookmarkEnd w:id="119"/>
      <w:r/>
      <w:bookmarkEnd w:id="120"/>
      <w:r>
        <w:rPr>
          <w:rFonts w:hint="eastAsia" w:ascii="宋体" w:hAnsi="宋体" w:eastAsia="宋体" w:cs="宋体"/>
          <w:i/>
          <w:iCs/>
          <w:color w:val="000000" w:themeColor="text1"/>
          <w:sz w:val="21"/>
          <w:szCs w:val="21"/>
          <w:highlight w:val="none"/>
          <w:u w:val="single"/>
          <w:lang w:val="zh-CN"/>
          <w14:textFill>
            <w14:solidFill>
              <w14:schemeClr w14:val="tx1"/>
            </w14:solidFill>
          </w14:textFill>
        </w:rPr>
        <w:t xml:space="preserve">；</w:t>
      </w:r>
      <w:r/>
    </w:p>
    <w:p>
      <w:pPr>
        <w:ind w:firstLine="420"/>
        <w:keepLines w:val="0"/>
        <w:keepNext w:val="0"/>
        <w:pageBreakBefore w:val="0"/>
        <w:spacing w:before="120" w:after="120" w:line="312" w:lineRule="auto"/>
        <w:widowControl w:val="off"/>
        <w:rPr>
          <w:i/>
          <w:color w:val="000000" w:themeColor="text1"/>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eastAsia="宋体" w:cs="宋体"/>
          <w:i/>
          <w:iCs/>
          <w:color w:val="000000" w:themeColor="text1"/>
          <w:sz w:val="21"/>
          <w:szCs w:val="21"/>
          <w:highlight w:val="none"/>
          <w:u w:val="single"/>
          <w:lang w:val="zh-CN"/>
          <w14:textFill>
            <w14:solidFill>
              <w14:schemeClr w14:val="tx1"/>
            </w14:solidFill>
          </w14:textFill>
        </w:rPr>
        <w:t xml:space="preserve">本项目中智能交通信号控制系统需接入到宝应的现有智能交通平台，与现有系统无缝对接，实现绿波、特勤等远程控制方可验收。（须提供承诺书原件</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扫描件</w:t>
      </w:r>
      <w:r>
        <w:rPr>
          <w:rFonts w:hint="eastAsia" w:ascii="宋体" w:hAnsi="宋体" w:eastAsia="宋体" w:cs="宋体"/>
          <w:i/>
          <w:iCs/>
          <w:color w:val="000000" w:themeColor="text1"/>
          <w:sz w:val="21"/>
          <w:szCs w:val="21"/>
          <w:highlight w:val="none"/>
          <w:u w:val="single"/>
          <w:lang w:val="zh-CN"/>
          <w14:textFill>
            <w14:solidFill>
              <w14:schemeClr w14:val="tx1"/>
            </w14:solidFill>
          </w14:textFill>
        </w:rPr>
        <w:t xml:space="preserve">）；</w:t>
      </w:r>
      <w:r/>
    </w:p>
    <w:p>
      <w:pPr>
        <w:ind w:firstLine="420"/>
        <w:keepLines w:val="0"/>
        <w:keepNext w:val="0"/>
        <w:pageBreakBefore w:val="0"/>
        <w:spacing w:before="120" w:after="120" w:line="312" w:lineRule="auto"/>
        <w:widowControl w:val="off"/>
        <w:rPr>
          <w:rFonts w:hint="eastAsia" w:ascii="宋体" w:hAnsi="宋体" w:eastAsia="宋体" w:cs="宋体"/>
          <w:color w:val="000000" w:themeColor="text1"/>
          <w:sz w:val="21"/>
          <w:szCs w:val="21"/>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应充分考虑到施工和系统接入中可能遇到的不可预测的具体情况，建议投标前自行对现场杆件、基础、管道进行勘察，根据路口实际情况设计杆件基础，同时必须换用新的电缆、光纤，并对整个系统进行联网接入调试。</w:t>
      </w:r>
      <w:r/>
    </w:p>
    <w:p>
      <w:pPr>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br w:type="page" w:clear="all"/>
      </w:r>
      <w:r/>
    </w:p>
    <w:p>
      <w:pPr>
        <w:pStyle w:val="652"/>
        <w:spacing w:line="24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点位表：</w:t>
      </w:r>
      <w:r/>
    </w:p>
    <w:tbl>
      <w:tblPr>
        <w:tblStyle w:val="661"/>
        <w:tblW w:w="5323" w:type="pct"/>
        <w:tblInd w:w="-318" w:type="dxa"/>
        <w:tblLayout w:type="fixed"/>
        <w:tblCellMar>
          <w:left w:w="108" w:type="dxa"/>
          <w:top w:w="0" w:type="dxa"/>
          <w:right w:w="108" w:type="dxa"/>
          <w:bottom w:w="0" w:type="dxa"/>
        </w:tblCellMar>
        <w:tblLook w:val="04A0" w:firstRow="1" w:lastRow="0" w:firstColumn="1" w:lastColumn="0" w:noHBand="0" w:noVBand="1"/>
      </w:tblPr>
      <w:tblGrid>
        <w:gridCol w:w="918"/>
        <w:gridCol w:w="1677"/>
        <w:gridCol w:w="7166"/>
      </w:tblGrid>
      <w:tr>
        <w:trPr>
          <w:trHeight w:val="285"/>
        </w:trPr>
        <w:tc>
          <w:tcPr>
            <w:gridSpan w:val="3"/>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2026年民生实事项目</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路口名称</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内容</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高宝岗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改造卡警系统、北向大货车闯红灯、移杆件位置东西北、加岗名牌、监控牌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跃进岗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改造卡警系统、南北大货车闯红灯抓拍、移杆件位置南西北、加岗名牌、监控牌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氾水岗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改造卡警系统、南北大货车闯红灯抓拍、移杆件位置南北、加岗名牌、监控牌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宋埠岗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改造卡警系统、南北大货车闯红灯抓拍、移杆件位置南北、加岗名牌、监控牌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沙氾岗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改造卡警系统、南北大货车闯红灯抓拍、移杆件位置南西北、加岗名牌、监控牌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通湖岗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改造卡警系统、南北大货车闯红灯抓拍、加岗名牌、监控牌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江宝岗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改造卡警系统、北大货车闯红灯抓拍、移杆件位置北、加岗名牌、监控牌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贾桥岗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改造卡警系统、南北大货车闯红灯抓拍、移杆件位置南北、加岗名牌、监控牌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刘庄岗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改造卡警系统、南北大货车闯红灯抓拍、移杆件位置南、加岗名牌、监控牌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亿丰岗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改造卡警系统、南北大货车闯红灯抓拍、移杆件位置南北、监控牌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三洋河桥岗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改造卡警系统、智能交通改造、东西大货车闯红灯抓拍、移杆件位置东西、加岗名牌、监控牌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盐金岗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改造卡警系统、智能交通改造、增加岗名牌、监控牌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鑫港岗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滨港岗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为民岗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望亭岗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富港岗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京沪岗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荷香岗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县府岗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金湾岗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宝漕河桥岗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邮政岗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府前岗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金南岗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改造卡警系统、增加岗名牌、监控牌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万民岗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加岗名牌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成庄岗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加岗名牌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陈家岗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加岗名牌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谭家庄岗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加岗名牌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宝楠高架岗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加岗名牌</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470" w:type="pct"/>
            <w:vAlign w:val="center"/>
            <w:textDirection w:val="lrTb"/>
            <w:noWrap/>
          </w:tcPr>
          <w:p>
            <w:pPr>
              <w:jc w:val="center"/>
              <w:widowControl/>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859" w:type="pct"/>
            <w:vAlign w:val="center"/>
            <w:textDirection w:val="lrTb"/>
            <w:noWrap/>
          </w:tcPr>
          <w:p>
            <w:pPr>
              <w:jc w:val="cente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环泰岗</w:t>
            </w:r>
            <w:r/>
          </w:p>
        </w:tc>
        <w:tc>
          <w:tcPr>
            <w:shd w:val="clear" w:color="auto" w:fill="auto"/>
            <w:tcBorders>
              <w:top w:val="none" w:color="000000" w:sz="4" w:space="0"/>
              <w:left w:val="none" w:color="000000" w:sz="4" w:space="0"/>
              <w:bottom w:val="single" w:color="auto" w:sz="4" w:space="0"/>
              <w:right w:val="single" w:color="auto" w:sz="4" w:space="0"/>
            </w:tcBorders>
            <w:tcW w:w="3672" w:type="pct"/>
            <w:vAlign w:val="center"/>
            <w:textDirection w:val="lrTb"/>
            <w:noWrap/>
          </w:tcPr>
          <w:p>
            <w:pPr>
              <w:jc w:val="lef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加岗名牌</w:t>
            </w:r>
            <w:r/>
          </w:p>
        </w:tc>
      </w:tr>
    </w:tbl>
    <w:p>
      <w:pPr>
        <w:pStyle w:val="66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652"/>
        <w:spacing w:line="240" w:lineRule="auto"/>
        <w:rPr>
          <w:rFonts w:hint="eastAsia" w:ascii="宋体" w:hAnsi="宋体" w:eastAsia="宋体" w:cs="宋体"/>
          <w:b/>
          <w:bCs/>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设备清单：</w:t>
      </w:r>
      <w:r/>
    </w:p>
    <w:p>
      <w:pPr>
        <w:pStyle w:val="652"/>
        <w:spacing w:line="240" w:lineRule="auto"/>
        <w:rPr>
          <w:rFonts w:cs="宋体"/>
          <w:b/>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zh-CN"/>
          <w14:textFill>
            <w14:solidFill>
              <w14:schemeClr w14:val="tx1"/>
            </w14:solidFill>
          </w14:textFill>
        </w:rPr>
        <w:t xml:space="preserve">本项目核心产品：监控球机。</w:t>
      </w:r>
      <w:r/>
    </w:p>
    <w:tbl>
      <w:tblPr>
        <w:tblStyle w:val="661"/>
        <w:tblW w:w="5572" w:type="pct"/>
        <w:tblInd w:w="-459" w:type="dxa"/>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9"/>
        <w:gridCol w:w="286"/>
        <w:gridCol w:w="2808"/>
        <w:gridCol w:w="4686"/>
        <w:gridCol w:w="766"/>
        <w:gridCol w:w="803"/>
      </w:tblGrid>
      <w:tr>
        <w:trPr>
          <w:trHeight w:val="27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2026民生实事项目</w:t>
            </w:r>
            <w:r/>
          </w:p>
        </w:tc>
      </w:tr>
      <w:tr>
        <w:trPr>
          <w:trHeight w:val="27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一、G233</w:t>
            </w:r>
            <w:r/>
          </w:p>
        </w:tc>
      </w:tr>
      <w:tr>
        <w:trPr>
          <w:trHeight w:val="27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1、高宝岗（东1南3西1北3）（改造卡警、北向大货车闯红灯、移杆件位置东西北、加岗点牌、加监控牌）</w:t>
            </w:r>
            <w:r/>
          </w:p>
        </w:tc>
      </w:tr>
      <w:tr>
        <w:trPr>
          <w:trHeight w:val="455"/>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280</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过路顶管或破路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Ф100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22</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42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23</w:t>
            </w:r>
            <w:r/>
          </w:p>
        </w:tc>
        <w:tc>
          <w:tcPr>
            <w:gridSpan w:val="2"/>
            <w:shd w:val="clear" w:color="auto" w:fill="auto"/>
            <w:tcBorders>
              <w:top w:val="none" w:color="000000" w:sz="4" w:space="0"/>
              <w:left w:val="none" w:color="000000" w:sz="4" w:space="0"/>
              <w:bottom w:val="single" w:color="auto" w:sz="4" w:space="0"/>
              <w:right w:val="single" w:color="auto" w:sz="4" w:space="0"/>
            </w:tcBorders>
            <w:tcW w:w="151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2、万民岗（加岗点牌）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2、小计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3、跃进岗（改造卡警、南北大货车闯红灯抓拍、移杆件位置南西北、加岗点牌、监控牌）（东1+1、南3+1、西1+1、北3+1）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3、小计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4、氾水岗（南3、西2、北3）（改造卡警、南北大货车闯红灯抓拍、移杆件位置南北、加岗点牌、加监控牌）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4、小计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5、宋埠岗（东1、南2、西1、北2）（改造卡警、南北大货车闯红灯抓拍、移杆件位置南北、加岗点牌、加监控牌）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5、小计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6、沙氾岗（东2、南3+1、西1+1、北3+1）（改造卡警、南北大货车闯红灯抓拍、移杆件位置南西北、加岗点牌、加监控牌）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6、小计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7、通湖岗（南2、西1、北2）（改造卡警、南北大货车闯红灯抓拍、加岗点牌、加监控牌）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240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7、小计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8、成庄岗加岗点牌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8、小计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9、江宝岗（东1、南2、西1、北2）（改造卡警、北大货车闯红灯抓拍、移杆件位置北、加岗点牌、加监控牌）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9、小计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10、贾桥岗（东1+1、南3+1、西1+1、北3+1）（改造卡警、南北大货车闯红灯抓拍、移杆件位置南北、加岗点牌、加监控牌）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10、小计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11、陈家岗（加岗点牌）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11、小计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12、谭家庄岗（加岗点牌）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12、小计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13、刘庄岗（东1、南2、西1、北2）（改造卡警、南北大货车闯红灯抓拍、移杆件位置南、加岗点牌、加监控牌）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13、小计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14、宝楠高架岗（加岗点牌）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14、小计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15、亿丰岗（东5、南3+1、西5、北3+1）（改造卡警、南北大货车闯红灯抓拍、移杆件位置南北、加监控牌）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前端立杆(热镀锌喷塑）</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高6.5米，横臂13米</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360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15、小计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16、环泰岗（加岗点牌）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16、小计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17、三洋河桥岗（东1、南1、西1、北1）（改造卡警、智能交通改造、东西大货车闯红灯抓拍、移杆件位置东西、加岗点牌、加监控牌）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抓拍车尾1200万及以上像素智能交通摄像机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1200万及以上，大货车闯红灯实现特征合成抓拍</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280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智能交通改造</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集中协调式交通信号控制机（含机柜）</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与大队现有平台无缝对接</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系统中心管理软件对接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与大队现有平台无缝对接</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主机基础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17、小计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一、合计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tcPr>
          <w:p>
            <w:pPr>
              <w:jc w:val="center"/>
              <w:widowControl/>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二、331省道</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1、盐金岗(东1、南1、西1)（卡警系统改造、智能交通改造、增加岗名牌、监控牌）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105</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240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小计</w:t>
            </w:r>
            <w:r/>
          </w:p>
        </w:tc>
        <w:tc>
          <w:tcPr>
            <w:gridSpan w:val="3"/>
            <w:shd w:val="clear" w:color="auto" w:fill="auto"/>
            <w:tcBorders>
              <w:top w:val="single" w:color="auto" w:sz="4" w:space="0"/>
              <w:left w:val="single" w:color="auto" w:sz="4" w:space="0"/>
              <w:bottom w:val="single" w:color="auto" w:sz="4" w:space="0"/>
              <w:right w:val="single" w:color="auto" w:sz="4" w:space="0"/>
            </w:tcBorders>
            <w:tcW w:w="3060" w:type="pct"/>
            <w:vAlign w:val="bottom"/>
            <w:textDirection w:val="lrTb"/>
            <w:noWrap/>
          </w:tcPr>
          <w:p>
            <w:pPr>
              <w:jc w:val="left"/>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single" w:color="auto"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集中协调式交通信号控制机（含机柜）</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与大队现有平台无缝对接</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系统中心管理软件对接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与大队现有平台无缝对接</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主机基础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bottom"/>
            <w:textDirection w:val="lrTb"/>
            <w:noWrap/>
          </w:tcPr>
          <w:p>
            <w:pPr>
              <w:jc w:val="left"/>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bottom"/>
            <w:textDirection w:val="lrTb"/>
            <w:noWrap/>
          </w:tcPr>
          <w:p>
            <w:pPr>
              <w:jc w:val="left"/>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2、鑫港岗（东3、西3、北2）（卡警系统改造）</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240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2、小计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3、滨港岗（东3、西3、南2、北2）（卡警系统改造）</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200</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3、小计</w:t>
            </w:r>
            <w:r/>
          </w:p>
        </w:tc>
        <w:tc>
          <w:tcPr>
            <w:gridSpan w:val="3"/>
            <w:shd w:val="clear" w:color="auto" w:fill="auto"/>
            <w:tcBorders>
              <w:top w:val="single" w:color="auto"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4、为民岗（东3、南1、西3、北2）（卡警系统改造、增加岗名牌、监控牌）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前端立杆(热镀锌喷塑）</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高6.5米，横臂5米</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25</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4、小计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5、望亭岗（东3、南1、西3）（卡警系统改造、增加监控牌）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前端立杆(热镀锌喷塑）</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高6.5米，横臂7米</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辅助管道</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增强管 Ф50</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25</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200</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160</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single" w:color="auto"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single" w:color="auto"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single" w:color="auto"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5、小计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6、富港岗(东3、南2、西3)（卡警系统改造、增加监控牌）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6、小计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7、京沪岗(东3+1、南2、西4)（卡警系统改造、增加监控牌）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7、小计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8、荷香岗(东5、南3、西5、北3)（卡警系统改造、增加监控牌）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320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8、小计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9、县府岗(东4+1、南3+1、西4+1、北3+1)（卡警系统改造、增加监控牌）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320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9、小计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10、金湾岗(东5、南2、西5、北3)（卡警系统改造、增加监控牌）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10、小计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11、宝漕河桥岗(东5、南1、北1)（卡警系统改造、增加监控牌）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枪球一体机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11、小计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12、邮政岗(东3+1、南3+1、西3+1、北3+1)（卡警系统改造、增加监控牌）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single" w:color="auto"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single" w:color="auto"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12、小计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13、府前岗(东2、南2、西2、北2)（卡警系统改造、增加岗名牌、监控牌）</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落地机柜</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不锈钢</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落地机柜基础</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配套</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13、小计</w:t>
            </w:r>
            <w:r/>
          </w:p>
        </w:tc>
        <w:tc>
          <w:tcPr>
            <w:gridSpan w:val="3"/>
            <w:shd w:val="clear" w:color="auto" w:fill="auto"/>
            <w:tcBorders>
              <w:top w:val="none" w:color="000000" w:sz="4" w:space="0"/>
              <w:left w:val="none" w:color="000000" w:sz="4" w:space="0"/>
              <w:bottom w:val="single" w:color="auto" w:sz="4" w:space="0"/>
              <w:right w:val="single" w:color="auto" w:sz="4" w:space="0"/>
            </w:tcBorders>
            <w:tcW w:w="3060"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　</w:t>
            </w:r>
            <w:r/>
          </w:p>
        </w:tc>
      </w:tr>
      <w:tr>
        <w:trPr>
          <w:trHeight w:val="23"/>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w:t>
            </w:r>
            <w:r>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t xml:space="preserve">4</w:t>
            </w: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、金南岗(东2、南1、西2、北2)（卡警系统改造、增加岗名牌、监控牌）</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规格、型号</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数量</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抓拍车尾900万像素智能交通摄像机</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900万</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抓拍车头900万像素智能交通摄像机</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自动抓拍安全带、接打手机、人脸识别、新国标环保</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补光灯</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爆闪灯</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新国标环保</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智能交通终端管理设备（16T）</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内含企业级硬盘16T</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信号检测器</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监控球机</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符合参数要求</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收发器</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千兆</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对</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交换机</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8口千兆</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挂杆设备箱</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不锈钢</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落地机柜</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不锈钢</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落地机柜基础</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配套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杆件基础</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含基础笼</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检查井</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450*450</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电源线</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RVV3*1.5mm2</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400</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网线</w:t>
            </w:r>
            <w:r/>
          </w:p>
        </w:tc>
        <w:tc>
          <w:tcPr>
            <w:shd w:val="clear" w:color="auto" w:fill="auto"/>
            <w:tcBorders>
              <w:top w:val="single" w:color="auto"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室外防水超五类</w:t>
            </w:r>
            <w:r/>
          </w:p>
        </w:tc>
        <w:tc>
          <w:tcPr>
            <w:shd w:val="clear" w:color="auto" w:fill="auto"/>
            <w:tcBorders>
              <w:top w:val="single" w:color="auto"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single" w:color="auto"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通讯线</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RVVP2*1</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室外四芯单模光缆</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350</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光缆熔接</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终端盒、尾纤等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水晶头、扎带、胶布等</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岗点名牌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3</w:t>
            </w:r>
            <w:r/>
          </w:p>
        </w:tc>
      </w:tr>
      <w:tr>
        <w:trPr>
          <w:trHeight w:val="23"/>
        </w:trPr>
        <w:tc>
          <w:tcPr>
            <w:gridSpan w:val="2"/>
            <w:shd w:val="clear" w:color="auto" w:fill="auto"/>
            <w:tcBorders>
              <w:top w:val="none" w:color="000000"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交通违法监控牌</w:t>
            </w:r>
            <w:r/>
          </w:p>
        </w:tc>
        <w:tc>
          <w:tcPr>
            <w:shd w:val="clear" w:color="auto" w:fill="auto"/>
            <w:tcBorders>
              <w:top w:val="none" w:color="000000" w:sz="4" w:space="0"/>
              <w:left w:val="none" w:color="000000"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600*800</w:t>
            </w:r>
            <w:r/>
          </w:p>
        </w:tc>
        <w:tc>
          <w:tcPr>
            <w:shd w:val="clear" w:color="auto" w:fill="auto"/>
            <w:tcBorders>
              <w:top w:val="none" w:color="000000" w:sz="4" w:space="0"/>
              <w:left w:val="none" w:color="000000"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4</w:t>
            </w:r>
            <w:r/>
          </w:p>
        </w:tc>
      </w:tr>
      <w:tr>
        <w:trP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374"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安装调试费</w:t>
            </w:r>
            <w:r/>
          </w:p>
        </w:tc>
        <w:tc>
          <w:tcPr>
            <w:shd w:val="clear" w:color="auto" w:fill="auto"/>
            <w:tcBorders>
              <w:top w:val="single" w:color="auto" w:sz="4" w:space="0"/>
              <w:left w:val="single" w:color="auto" w:sz="4" w:space="0"/>
              <w:bottom w:val="single" w:color="auto" w:sz="4" w:space="0"/>
              <w:right w:val="single" w:color="auto" w:sz="4" w:space="0"/>
            </w:tcBorders>
            <w:tcW w:w="2293"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含升降车、吊车费用，拆除、安装</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widowControl/>
              <w:rPr>
                <w:rFonts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t xml:space="preserve">1</w:t>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hint="eastAsia"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1</w:t>
            </w:r>
            <w:r>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t xml:space="preserve">4</w:t>
            </w: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、小计</w:t>
            </w:r>
            <w:r/>
          </w:p>
        </w:tc>
        <w:tc>
          <w:tcPr>
            <w:gridSpan w:val="3"/>
            <w:shd w:val="clear" w:color="auto" w:fill="auto"/>
            <w:tcBorders>
              <w:top w:val="single" w:color="auto" w:sz="4" w:space="0"/>
              <w:left w:val="single" w:color="auto" w:sz="4" w:space="0"/>
              <w:bottom w:val="single" w:color="auto" w:sz="4" w:space="0"/>
              <w:right w:val="single" w:color="auto" w:sz="4" w:space="0"/>
            </w:tcBorders>
            <w:tcW w:w="3060" w:type="pct"/>
            <w:vAlign w:val="center"/>
            <w:textDirection w:val="lrTb"/>
            <w:noWrap w:val="false"/>
          </w:tcPr>
          <w:p>
            <w:pPr>
              <w:jc w:val="center"/>
              <w:widowControl/>
              <w:rPr>
                <w:rFonts w:hint="eastAsia"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r>
            <w:r/>
          </w:p>
        </w:tc>
      </w:tr>
      <w:tr>
        <w:trPr>
          <w:trHeight w:val="23"/>
        </w:trPr>
        <w:tc>
          <w:tcPr>
            <w:gridSpan w:val="3"/>
            <w:shd w:val="clear" w:color="auto" w:fill="auto"/>
            <w:tcBorders>
              <w:top w:val="single" w:color="auto" w:sz="4" w:space="0"/>
              <w:left w:val="single" w:color="auto" w:sz="4" w:space="0"/>
              <w:bottom w:val="single" w:color="auto" w:sz="4" w:space="0"/>
              <w:right w:val="single" w:color="auto" w:sz="4" w:space="0"/>
            </w:tcBorders>
            <w:tcW w:w="1939" w:type="pct"/>
            <w:vAlign w:val="center"/>
            <w:textDirection w:val="lrTb"/>
            <w:noWrap w:val="false"/>
          </w:tcPr>
          <w:p>
            <w:pPr>
              <w:jc w:val="center"/>
              <w:widowControl/>
              <w:rPr>
                <w:rFonts w:hint="eastAsia" w:ascii="宋体" w:hAnsi="宋体" w:cs="宋体"/>
                <w:b/>
                <w:bCs/>
                <w:color w:val="000000" w:themeColor="text1"/>
                <w:sz w:val="21"/>
                <w:szCs w:val="21"/>
                <w:highlight w:val="none"/>
                <w:shd w:val="clear" w:color="auto" w:fill="auto"/>
                <w14:textFill>
                  <w14:solidFill>
                    <w14:schemeClr w14:val="tx1"/>
                  </w14:solidFill>
                </w14:textFill>
              </w:rPr>
            </w:pPr>
            <w:r>
              <w:rPr>
                <w:rFonts w:hint="eastAsia" w:ascii="宋体" w:hAnsi="宋体" w:cs="宋体"/>
                <w:b/>
                <w:bCs/>
                <w:color w:val="000000" w:themeColor="text1"/>
                <w:sz w:val="21"/>
                <w:szCs w:val="21"/>
                <w:highlight w:val="none"/>
                <w:shd w:val="clear" w:color="auto" w:fill="auto"/>
                <w:lang w:val="en-US" w:eastAsia="zh-CN"/>
                <w14:textFill>
                  <w14:solidFill>
                    <w14:schemeClr w14:val="tx1"/>
                  </w14:solidFill>
                </w14:textFill>
              </w:rPr>
              <w:t xml:space="preserve">二</w:t>
            </w:r>
            <w:r>
              <w:rPr>
                <w:rFonts w:hint="eastAsia" w:ascii="宋体" w:hAnsi="宋体" w:cs="宋体"/>
                <w:b/>
                <w:bCs/>
                <w:color w:val="000000" w:themeColor="text1"/>
                <w:sz w:val="21"/>
                <w:szCs w:val="21"/>
                <w:highlight w:val="none"/>
                <w:shd w:val="clear" w:color="auto" w:fill="auto"/>
                <w14:textFill>
                  <w14:solidFill>
                    <w14:schemeClr w14:val="tx1"/>
                  </w14:solidFill>
                </w14:textFill>
              </w:rPr>
              <w:t xml:space="preserve">、合计</w:t>
            </w:r>
            <w:r/>
          </w:p>
        </w:tc>
        <w:tc>
          <w:tcPr>
            <w:gridSpan w:val="3"/>
            <w:shd w:val="clear" w:color="auto" w:fill="auto"/>
            <w:tcBorders>
              <w:top w:val="single" w:color="auto" w:sz="4" w:space="0"/>
              <w:left w:val="single" w:color="auto" w:sz="4" w:space="0"/>
              <w:bottom w:val="single" w:color="auto" w:sz="4" w:space="0"/>
              <w:right w:val="single" w:color="auto" w:sz="4" w:space="0"/>
            </w:tcBorders>
            <w:tcW w:w="3060" w:type="pct"/>
            <w:vAlign w:val="center"/>
            <w:textDirection w:val="lrTb"/>
            <w:noWrap w:val="false"/>
          </w:tcPr>
          <w:p>
            <w:pPr>
              <w:jc w:val="center"/>
              <w:widowControl/>
              <w:rPr>
                <w:rFonts w:hint="eastAsia" w:ascii="宋体" w:hAnsi="宋体" w:cs="宋体"/>
                <w:color w:val="000000" w:themeColor="text1"/>
                <w:sz w:val="21"/>
                <w:szCs w:val="21"/>
                <w:highlight w:val="none"/>
                <w:shd w:val="clear" w:color="auto" w:fill="auto"/>
                <w14:textFill>
                  <w14:solidFill>
                    <w14:schemeClr w14:val="tx1"/>
                  </w14:solidFill>
                </w14:textFill>
              </w:rPr>
            </w:pPr>
            <w:r>
              <w:rPr>
                <w:rFonts w:hint="eastAsia" w:ascii="宋体" w:hAnsi="宋体" w:cs="宋体"/>
                <w:color w:val="000000" w:themeColor="text1"/>
                <w:sz w:val="21"/>
                <w:szCs w:val="21"/>
                <w:highlight w:val="none"/>
                <w:shd w:val="clear" w:color="auto" w:fill="auto"/>
                <w14:textFill>
                  <w14:solidFill>
                    <w14:schemeClr w14:val="tx1"/>
                  </w14:solidFill>
                </w14:textFill>
              </w:rPr>
            </w:r>
            <w:r/>
          </w:p>
        </w:tc>
      </w:tr>
    </w:tbl>
    <w:p>
      <w:pPr>
        <w:ind w:firstLine="316"/>
        <w:spacing w:line="600" w:lineRule="exact"/>
        <w:rPr>
          <w:rFonts w:hint="eastAsia" w:ascii="Times New Roman" w:hAnsi="Times New Roman" w:eastAsia="宋体" w:cs="Times New Roman"/>
          <w:b/>
          <w:color w:val="000000" w:themeColor="text1"/>
          <w:highlight w:val="none"/>
          <w14:textFill>
            <w14:solidFill>
              <w14:schemeClr w14:val="tx1"/>
            </w14:solidFill>
          </w14:textFill>
        </w:rPr>
      </w:pPr>
      <w:r>
        <w:rPr>
          <w:rFonts w:hint="eastAsia" w:ascii="Times New Roman" w:hAnsi="Times New Roman" w:eastAsia="宋体" w:cs="Times New Roman"/>
          <w:b/>
          <w:color w:val="000000" w:themeColor="text1"/>
          <w:highlight w:val="none"/>
          <w14:textFill>
            <w14:solidFill>
              <w14:schemeClr w14:val="tx1"/>
            </w14:solidFill>
          </w14:textFill>
        </w:rPr>
        <w:t xml:space="preserve">二、技术参数：</w:t>
      </w:r>
      <w:r/>
    </w:p>
    <w:p>
      <w:pPr>
        <w:pStyle w:val="652"/>
        <w:jc w:val="left"/>
        <w:spacing w:line="240" w:lineRule="auto"/>
        <w:rPr>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1.闯红灯自动记录系统技术要求</w:t>
      </w:r>
      <w:r/>
    </w:p>
    <w:p>
      <w:pPr>
        <w:ind w:firstLine="420"/>
        <w:jc w:val="left"/>
        <w:keepLines w:val="0"/>
        <w:keepNext w:val="0"/>
        <w:pageBreakBefore w:val="0"/>
        <w:spacing w:line="312" w:lineRule="auto"/>
        <w:widowControl w:val="off"/>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系统须接入宝应县公安局和交警大队现有交通监控管理平台，实现平台现有全部功能。（须提供承诺书原件</w:t>
      </w:r>
      <w:r>
        <w:rPr>
          <w:rFonts w:hint="eastAsia" w:ascii="宋体" w:hAnsi="宋体" w:cs="宋体"/>
          <w:i/>
          <w:iCs/>
          <w:color w:val="000000" w:themeColor="text1"/>
          <w:sz w:val="21"/>
          <w:szCs w:val="21"/>
          <w:highlight w:val="none"/>
          <w:u w:val="single"/>
          <w:lang w:val="en-US" w:eastAsia="zh-CN"/>
          <w14:textFill>
            <w14:solidFill>
              <w14:schemeClr w14:val="tx1"/>
            </w14:solidFill>
          </w14:textFill>
        </w:rPr>
        <w:t xml:space="preserve">扫描件</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r/>
    </w:p>
    <w:p>
      <w:pPr>
        <w:ind w:firstLine="420"/>
        <w:jc w:val="left"/>
        <w:keepLines w:val="0"/>
        <w:keepNext w:val="0"/>
        <w:pageBreakBefore w:val="0"/>
        <w:spacing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▲提供公安部相关部门出具的有效期内的视频式闯红灯自动记录系统检测报告</w:t>
      </w:r>
      <w:r>
        <w:rPr>
          <w:rFonts w:hint="eastAsia" w:ascii="宋体" w:hAnsi="宋体" w:eastAsia="宋体" w:cs="宋体"/>
          <w:b/>
          <w:color w:val="000000" w:themeColor="text1"/>
          <w:sz w:val="21"/>
          <w:szCs w:val="21"/>
          <w:highlight w:val="none"/>
          <w14:textFill>
            <w14:solidFill>
              <w14:schemeClr w14:val="tx1"/>
            </w14:solidFill>
          </w14:textFill>
        </w:rPr>
        <w:t xml:space="preserve">（</w:t>
      </w:r>
      <w:bookmarkStart w:id="121" w:name="OLE_LINK37"/>
      <w:r/>
      <w:bookmarkStart w:id="122" w:name="OLE_LINK38"/>
      <w:r>
        <w:rPr>
          <w:rFonts w:hint="eastAsia" w:ascii="宋体" w:hAnsi="宋体" w:eastAsia="宋体" w:cs="宋体"/>
          <w:b/>
          <w:color w:val="000000" w:themeColor="text1"/>
          <w:sz w:val="21"/>
          <w:szCs w:val="21"/>
          <w:highlight w:val="none"/>
          <w14:textFill>
            <w14:solidFill>
              <w14:schemeClr w14:val="tx1"/>
            </w14:solidFill>
          </w14:textFill>
        </w:rPr>
        <w:t xml:space="preserve">须提供公安部权威检测机构出具有效期内的检测报告</w:t>
      </w:r>
      <w:bookmarkEnd w:id="121"/>
      <w:r/>
      <w:bookmarkEnd w:id="122"/>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1.1系统设计的总体要求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1.1.1、系统建设充分考虑采用先进而成熟的技术（如数据库技术、数据融合技术、网络技术、多媒体技术等）、先进的体系结构、先进的软硬件选型，既保证实用成熟，又能够适应未来的业务发展和技术的更新要求。</w:t>
      </w:r>
      <w:r/>
    </w:p>
    <w:p>
      <w:pPr>
        <w:ind w:firstLine="420"/>
        <w:jc w:val="left"/>
        <w:keepLines w:val="0"/>
        <w:keepNext w:val="0"/>
        <w:pageBreakBefore w:val="0"/>
        <w:spacing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1.1.2、系统应具备良好的可扩充性、可移植性和兼容性，充分考虑到系统的发展因素，系统设计方案充分利用现有的信息化建设成果和路口资源，并预留扩展接口。</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1.1.3、系统采用开放性设计，可配置多种数据传输接口，对外提供标准的接口，以满足更多用户共享信息和其他系统协同工作的要求。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1.1.4、系统功能全面、完善、安全、稳定且可靠。确保系统设备和信息传输链路24小时不间断应用。不受天气变化的影响（包括台风、暴雨和打雷等）。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1.1.5、在进行工程设计中充分考虑到未来的发展需求，以目前的系统容量为基础，保证系统具可持续维护和发展的能力。</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1.1.6、有抵抗恶性攻击、抵抗任何侵入系统的企图和抵抗企图从系统中获取敏感数据和信息的能力，具有一定的防暴力破坏和防窃取信息的能力。保证数据和照片的安全性、保密性、完整性、一致性和相容性。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1.1.7、系统应易于掌握，人机界面友好，容易操作、管理和维护，具备完善的网管功能,能有效实现系统巡检及发现故障。</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1.2 设计标准</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本工程项目需投标单位在设计和建设时必须符合公安部和江苏省道路监控网建设“3•20”工程建设文件相关精神。基本规定本技术规格书使用的标准如下（下列文件对于本系统的应用是必不可少的。凡是注日期的引用文件，仅注日期的版本适用于本系统。凡是不注日期的引用文件，其最新版本（包括所有的修改单）适用于本系统）：</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江苏省公安厅《关于加强全省社会治安监控系统联网调度和资源整合建设工作的规划指导意见》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江苏省公安厅《社会治安监控系统布建指导意见》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江苏省公安厅《全省公安机关道路监控网“3.20”工程建设规划及技术指导意见》（苏公厅[2010]289号）</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江苏省公安厅《全省“3.20工程”道路监控系统数据和图像采集标准及传输规范（试行）》（苏公厅[2010]526号）</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江苏省公安厅《全省“3.20工程”基础网络建设规范指导意见（试行）》（苏公厅[2010]550号）</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江苏省公安厅《江苏省道路监控网建设“3.20”工程总体方案》</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《江苏省公安厅道路监控系统前端设备招标文件》（SJC2010070266）</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《公路车辆智能监测记录系统通用技术条件》（GA/T497）</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《闯红灯自动记录系统通用技术条件》（GA/T496-2014）</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《机动车测速仪》（GB/T21255）</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《道路交通信号灯》（GB 14887-2011）</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《道路交通信号灯设置与安装规范》（GB 14886-2016）</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《交通技术监控成像补光装置通用技术条件》（GA/T1202-2022）</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《城市监控报警联网系统系列标准》（GA/T669-1至10-2008、792.1-2008、793-1至3-2008）</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《道路交通安全违法行为图像取证技术规范》（GA/T832）</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《道路交通安全违法行为视频取证设备技术规范》（GA/T 995—2012）</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《机动车号牌图像自动识别技术规范》（GA/T833-2009）</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《道路交通技术监控设备运行维护规范》（GA/T 1043）</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《安全防范工程技术规范》(中华人民共和国国家标准 GB50348-2004)</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《视频安防监控系统工程设计规范》(中华人民共和国国家标准 GB50395-2007)</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《计算机信息系统安全保护等级划分准则》（GB17859）</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《道路交通电视监视系统验收规范》 (GA/T514-2004)</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《公安交通指挥系统工程设计制图规范》（GA/T515-2004）</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《公安交通管理设备外场设备施工要求》（GA/T652-2006）</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《民用闭路监控电视系统工程技术规范》 （GB50198-94）</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《计算机软件开发规范》（GB8566-88）</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《中国电气装置安装工程施工及验收规范》(GBJ232-90.92)</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《安全防范工程程序与要求》 (GA/T75-94)</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《通信光缆的一般要求》（GB/T7427-87）</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2423.1  电工电子产品环境试验 第2部分：试验方法 试验A：低温</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2423.2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电工电子产品环境试验 第2部分：试验方法 试验B：高温</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2423.3  电工电子产品环境试验 第2部分：试验方法 试验Cab：恒定湿热试验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2423.5  电工电子产品环境试验 第2部分：试验方法 试验Ea和导则：冲击</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2423.10 电工电子产品环境试验 第2部分：试验方法 试验Fc：振动（正弦）</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17626.2 电磁兼容 试验和测量技术 静电放电抗扰度试验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17626.4 电磁兼容 试验和测量技术 电快速瞬变脉冲群抗扰度试验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17626.5 电磁兼容 试验和测量技术 浪涌（冲击）抗扰度试验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17626.11电磁兼容 试验和测量技术 电压暂降、短时中断和电压变化的抗扰度试验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24726   交通信息采集 视频车辆检测器</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28181   安全防范视频监控联网系统信息传输、交换、控制技术要求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50198   民用闭路监视电视系统工程技术规范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 16.31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ab/>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道路交通管理信息代码 第31部分：交通违法行为分类与代码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 36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中华人民共和国机动车号牌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 329.3     全国道路交通管理信息数据库规范 第3部分：交通违法管理信息数据库规范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 648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交通技术监控信息数据规范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 870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闯红灯自动记录系统验收技术规范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 920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道路交通信号控制机与车辆检测器间的通信协议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 XX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交通技术监控成像补光装置通用技术条件</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ISO/IEC 15444:2000  Information technology--JPEG 2000 image coding system（信息技术—JPEG2000图像编码技术）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21255-2007  机动车测速仪 </w:t>
      </w:r>
      <w:r/>
    </w:p>
    <w:p>
      <w:pPr>
        <w:ind w:left="420" w:firstLine="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 50619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电气装置安装工程接地装置施工及验收规范</w:t>
      </w:r>
      <w:r>
        <w:rPr>
          <w:rFonts w:hint="eastAsia" w:ascii="宋体" w:hAnsi="宋体" w:eastAsia="宋体" w:cs="宋体"/>
          <w:i w:val="0"/>
          <w:iCs w:val="0"/>
          <w:color w:val="000000" w:themeColor="text1"/>
          <w:sz w:val="21"/>
          <w:szCs w:val="21"/>
          <w:highlight w:val="none"/>
          <w:u w:val="none"/>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 24.4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机动车登记信息代码 第4部分：车辆类型代码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 24.7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机动车登记信息代码 第7部分：号牌种类代码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GA408.1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道路交通违法管理信息代码 第1部分：交通违法行为分类与代码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GA408.3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道路交通违法管理信息代码 第3部分：交通违法地点编码规则</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GA/T1244—2015  人行横道道路交通安全违法行为监测记录系统通用枝术条件</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 25280-2016</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道路交通信号控制机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 508-2014</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道路交通信号倒计时显示器</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 489-2016</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道路交通信号控制机安装规范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 23827-2021 道路交通标志板及支撑件</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 2175-2024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公安交通集成指挥平台接入规范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 1461-2018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警用电子装备通用技术要求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 1426-2017 </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机动车违法停车自动记录系统通用技术条件</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GA/T  955-2020</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道路交通安全违法行为视频取证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GB/T43229-2025</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交通信号控制机与车辆检测器通行协议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上述规范以外，遵循国家现行规范。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   技术要求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 基本功能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1.3.1.1机动车闯红灯行为记录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1.3.1.1.1系统应能至少记录以下3张反映闯红灯行为过程的图片：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a) 能反映机动车未到达停止线的图片，并能清晰辨别车辆类型、交通信号灯红灯、停止线；</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b) 能反映机动车已越过停止线的图片，并能清晰辨别车辆类型、号牌号码、交通信号灯红灯、停止线；</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c) 能反映机动车与b)图片中机动车向前位移的图片，并能清晰辨别车辆类型、交通信号灯红灯、停止线。</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1.3.1.1.2驾驶人面部特征记录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系统宜能记录机动车闯红灯行为对应驾驶人面部特征的图片，驾驶人面部的分辨率应不小于50×50像素点，作为认定机动车闯红灯违法驾驶人的参考资料。</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1.3.1.1.3图片记录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系统记录的图片应符合以下要求：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a) 图片格式应采用JPEG格式，JPEG图片编码应符合ISO/IEC 15444:2000的要求；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b) 图片应具有防篡改功能；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c) 记录的每张图片应包含时间信息，至少精确到0.1s；</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d) 图片记录要求应符合GA/T 832的要求；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e) 记录的最终图片应合成为一个图片文件，且至少应包含：时间、地点、方向、车道和设备编号等信息，设备编号规则应符合GA/T 1043的要求；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f) 合成的图片清晰度应能满足人工对车辆号牌号码认定的要求，图片不应出现红灯信号泛白、光晕等颜色失真现象；图片合成时，不得出现原始图片遗漏、错位等情形。</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1.3.1.1.4信息记录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闯红灯自动记录系统记录的机动车闯红灯信息应符合GA 16.31、GA 329.3、GA 648的要求。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1.3.1.1.5闯红灯捕获率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在标注的适用条件下，闯红灯捕获率应不小于90％。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1.3.1.1.6记录有效率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在标注的适用条件下，记录有效率应不小于80％。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1.3.1.1.7计时误差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闯红灯自动记录系统24h计时误差应不超过1s。</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1.3.1.1.8数据传输</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数据传输要求</w:t>
      </w: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闯红灯自动记录系统应具备联网数据传输或现场数据下载功能。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1.3.1.1.8.1联网数据传输</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通过网络将机动车闯红灯信息自动传输到指定数据中心，且信息传输应具有防丢失、防篡改等功能。视频数据传输应符合GB/T 28181的要求。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1.3.1.1.8.2现场数据下载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现场将机动车闯红灯信息人工或自动下载到存储介质中后带回数据中心，下载过程不得删改原始信息，且应自动生成下载日志信息，包括下载人、下载时间等信息。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1.3.2扩展功能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1.3.2.1号牌、号牌颜色、车身颜色识别</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系统应具备车辆号牌自动识别功能，用于号牌识别的字符库应齐全，能识别GA 36规定的号牌（除临时号牌外）、武警汽车号牌和军队汽车号牌。日间车辆号牌识别准确率应不小于90%；夜间车辆号牌识别准确率应不小于80%。车辆号牌颜色准确识别率不小于90%。车身颜色准确识别率不小于70%。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技术要求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系统应支持摄像机内置车牌识别功能，能识别的号牌结构应包括：</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1.3.2.1.1号牌结构</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依据号牌上字符的不同排列组合来区分号牌结构，应识别的号牌结构包括：</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单排字符结构的号牌，如军队用小型汽车号牌、GA36-2007中的小型汽车号牌、港澳入出境车号牌、教练汽车号牌等；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武警用小型汽车号牌；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警用汽车号牌；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双排字符结构的号牌，如军队用大型汽车号牌、武警用大型汽车号牌、GA36-2007中的大型汽车号牌、挂车号牌、低速汽车号牌等。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1.3.2.1.2号牌字符</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号牌字符是自动识别的重要内容，应识别的号牌字符包括：</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数字：0~9；</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字母：A~Z；</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省、自治区、直辖市简称：京、津、晋、冀、蒙、辽、吉、黑、沪、苏、浙、皖、闽、赣、鲁、豫、鄂、湘、粤、桂、琼、川、贵、云、藏、陕、甘、青、宁、新、渝；</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军队用汉字：军、海、空、北、沈、南、兰、广、成、济、京；</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号牌分类用汉字：警、学、领、试、挂、港、澳、超、使；</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武警号牌特殊字符：WJ、00~34、练。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1.3.2.1.3号牌颜色</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应识别蓝、黄、白、黑四种底色的机动车号牌。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1.3.2.1.4号牌尺寸</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用于自动识别的机动车号牌图像不限尺寸大小，但机动车号牌在图像中的水平像素点应大于100。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1.3.2.1.5图像格式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用于自动识别的机动车号牌图像应包括JPEG和BMP两种格式。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1.3.2.1.6识别结果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号牌识别结果应包括号牌号码、号牌颜色、号牌结构。</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1.3.2.1.7号牌识别率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号牌号码识别率应符合GA/T497-2016要求。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号牌颜色识别率应不低于90%。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号牌结构识别率应不低于95%。</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1.3.2.1.8识别时间</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识别时间 ≤（Ａ/Ｂ）×（Ｋ×１００）（ms）。</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上述式子中的Ａ表示用于识别的图像分辨率；Ｂ为固定常数，其值为768×576=442368；Ｋ为图像中存在的车牌数量。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即车牌图像为768×576像素点时，当图像中存在一个号牌时，其识别时间≤100ms；当图像中存在二个号牌时，其识别时间≤200ms；当图像中存在三个号牌时，其识别时间≤300ms；当图像中存在四个号牌时，其识别时间≤400ms。</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1.3.2.1.9结果优化</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对于如“0-Q”、“2-Z”、“4-A”、“5-S”、“7-T”、“8-B”、“O-D”等常见的易混淆字符应进行细微区分，确保识别结果的准确性和完整性。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1.3.2.2录像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具备24小时高清视频录像功能，采用H.264、MPEG4或MJPEG编码标准，视频质量不低于720P及8fps，并能确保前端存储连续录像时间不小于15日；录像支持OSD信息叠加，叠加的信息至少包括日期、时间（精确到秒）、监控点名称、所在车道、设备编号等信息。录像中能清晰地反映车辆的颜色、车辆类型、运动轨迹；并提供录像查询、录像下载等功能。900万相机分辨率能够达到3200，最高录像帧数能够达到25帧，300万相机分辨率能够达到2048*1536,最高录像帧数能够达到25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1.3.2.3通过车辆图像记录（卡口功能）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具有卡口功能，即在绿灯、黄灯状态时，对通过每个车道的所有车辆进行检测、抓拍、记录、保存和识别，以减少重复投资。能连续抓拍通过的机动车辆，监控车道包括机动车道正常通行的车辆、骑压车道分界线的车辆、在混合车道的非机动车道（按一个监控车道计算）通行的车辆，路口渠化时提前进入右转弯道右转的车辆。</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应能清晰记录通过车辆的图片，车辆捕获率不小于95%；通过车辆图像合格率不小于90%。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1.3.2.4逆行记录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应能清晰记录逆行车辆的图片，图片应符合GA/T 832的要求，捕获率应不小于80%，记录有效率应不小于80%。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1.3.2.5不按所需行进方向驶入导向车道记录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应能清晰记录不按所需行进方向驶入导向车道的图片，图片应符合GA/T 832的要求，捕获率应不小于80%，记录有效率应不小于80%。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1.3.2.6不按规定车道行驶记录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应能清晰记录不按规定车道行驶车辆的图片，图片应符合GA/T 832的要求，捕获率应不小于80%，记录有效率应不小于80%。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1.3.2.7压线行驶记录功能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系统需支持对压线行驶的违法车辆进行检测、抓拍记录与识别，包括压单、双黄实线，以不少于三张图片清晰、完整表现违法过程且有图片合成功能。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1.3.2.8违法停车记录功能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在车牌可识别范围内，如果车辆静止不动超过规定的时间，则认为该车辆违法停车。系统支持需对此类行为进行检测、抓拍记录与识别，抓拍不少于三张图片清晰、完整表现违法过程且有图片合成功能。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1.3.2.9车流量记录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应能准确记录车流量，信息应符合GA/T 920的要求，检测精度应不小于90%。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1.3.2.10视频检测功能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系统采用视频检测技术，900万像素摄像机可以监控3个车道，300万像素摄像机监控1车道。视频检测可实现如下功能：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视频检测红绿灯状态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本系统采用视频检测和外接红绿灯信号相结合的方式。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实时智能识别车辆牌号、颜色等。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1.3.2.11 信号灯相位同步功能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该系统必须具有信号灯相位同步功能，确保摄像机能够与路口红绿灯信号能够进行同步，保证抓拍到的图片中红绿灯颜色显示准确，避免红灯泛黄或无颜色，确保无争议。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1.3.2.12智能补光功能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为了更好的提高夜间模式的检测率，在夜间情况，需要采用LED补光灯路口进行补光，依据车牌反光原理加大视频检测的准确性，解决行人、自行车、大型车辆干扰问题。同时LED补光灯与相机同步，在相机捕获图像时，LED灯补光强度增强，而且对人眼不造成影响，一条道采用至少一盏LED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补光装置在路面上形成的补光区域应覆盖交通技术监控设备的监控成像区域，光照度均匀，无明显暗区，且不得对周边环境产生影响。闯红灯自动记录系统补光装置的设置要求如下：</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宜采用频闪方式补光装置；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当需要记录驾驶人面部信息时，日间可增加脉冲方式补光装置，但夜间不得使用脉冲方式补光装置；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当补光方向与车辆行驶方向相对时，补光装置应安装在补光车道的侧上方，与地面的垂直距离应大于等于6m；</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补光装置基准轴与补光车道的两条车道分界线所成的空间角度均应大于等于20°。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1.3.2.13前端数据存储功能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采集的车辆图片、违法数据、高清录像等数据需支持前端存储备份功能且有数据统计功能。因传输线路中断或其他故障，前端系统设备应能存储所采集的数据、图片信息，存储容量不得小于15天，故障排除后应能自动上传，不得丢失信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1.3.2.14图片合成功能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违法图片合成工作需在前端完成，减轻数据传输和后端图片存储的压力，同时可以避免后端图片合成带来的系统服务器运算负荷。</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1.3.2.15自诊断和报警功能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高清式卡口型电子警察系统前端设备具备自检功能，当视频信号丢失、设备故障、网络通讯故障等各种情况发生时，系统能自诊断、记录并报警，同时将系统故障信息通过网络按统一接口传输给电子警察管理平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1.3.2.16 设备监控管理功能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前端系统应支持用户通过后台平台对系统运行情况进行管理，对系统参数进行设置，对数据（前端实时视频）进行浏览和查询。同时，提供远程维护功能，可实时监控设备状态，可以通过网络进行系统参数设置，包括路口前端设备的通讯、控制等参数设置、系统故障诊断和记录，当系统设备发生故障时后台平台可实时报警记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1.3.2.17 软件要求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必须免费提供标准硬件接口，开放系统软件开发接口，并根据用户要求免费对软件接口适应性升级调整；支持二次开发：开放数据接口，可实现与公安交警原有各类数据库进行对接整合。</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提供一套自主研发或购买的违法数据筛选、自动上传“六合一”平台管理软件。</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1.3.2.18 联网要求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卡口型高清式电子警察系统前端建设完成后，供应商负责接入扬州市道路监控综合应用系统平台，软、硬件及施工等一切项目由供应商负责提供，并按照平台要求接入各类数据、视频等。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1.3.3电气安全性能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1.3.3.1电源适应性要求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在AC 220V±44V、50Hz±2Hz的电源条件下，闯红灯自动记录系统应能正常工作。</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1.3.3.2绝缘要求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闯红灯自动记录系统的绝缘电阻应不小于10MΩ，经恒湿后，绝缘电阻应不小于5MΩ。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3</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.3.3耐压要求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闯红灯自动记录系统在1500V、50Hz的耐压试验中不应出现击穿现象，应无电气故障，功能应正常。</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1.3.3.4接触电阻</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闯红灯自动记录系统的接触电阻不应超过0.5Ω。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1.3.3.5接地要求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闯红灯自动记录系统的接地电阻应小于等于10Ω；但土壤电阻率大于2000Ω•m时，其接地电阻应小于等于20Ω。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1.3.4电磁抗扰度性能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系统在静电、电快速瞬变脉冲群、浪涌和电压短时中断等电磁骚扰环境下不应出现电气故障，试验结果评定应符合GB/T 17626.2、GB/T 17626.4、 GB/T 17626.5、GB/T 17626.11中2级要求，即允许其基本功能暂时降低或丧失，但在结束后应能自行恢复正常，系统内已贮存的图像、数据不应丢失。</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1.3.5气候环境适应性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所有安装在室外的设备应能承受高温、低温、恒温恒湿等气候环境，系统应无任何电气故障，机壳、插接器等不应有严重变形，功能应保持正常。</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1.3.6机械环境适应性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在承受振动、冲击等机械环境后，系统应无永久性结构变形；零部件应无损坏；应无电气故障；紧固部件应无松脱现象，插头、通信接口等接插件不应有脱落或接触不良现象；系统功能应保持正常。</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1.3.7 其它技术要求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1.3.7.1卡警系统硬件技术要求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本项目高清式卡口型电子警察系统前端系统采用高清一体化摄像机拍摄， LED频闪灯加闪光灯补光的技术路线，控制单元（前端管理设备）置于前端安装点。大部分点位采用300万高清球形摄像机进行24小时全天候录像及手动抓拍。前端系统技术要求如下：</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采用视频检测模式，高清一体化摄像机抓拍，根据安装点要求采用光纤进行传输，每条车道至少配置一台LED频闪灯。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前端高清一体化摄像机要求采用一体化嵌入式结构，内置车牌识别、车身颜色识别，通过相机即可实现机动车闯红灯、不按车道行驶、违法变道、压线、违法停车、逆行等的抓拍。并可输出抓拍图片和视频流，优先考虑一体机模式，放置在路口的前端管理设备接收图片和视频流进行存储，前端管理设备要求利用自身已有的多网卡对前端高清一体化摄像机进行独立组网，前端管理设备需要对前端图片按照用户方指定要求进行合成处理并上传至道路监控综合应用系统平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1.3.7.2卡警功能要求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交通违法拍摄，违法类型包括闯红灯、不按车道行驶、违法变道、压线、违法停车、逆行等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智能卡口监控记录功能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采用外接红绿灯信号和视频检测相结合的方式，以视频检测为主，外接红绿灯信号为辅的检测方式，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号牌识别</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车身颜色识别功能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信号灯相位同步功能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前端图片合成功能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录像功能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图片防篡改功能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上传违法信息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设备自检</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上传设备故障信息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远程系统管理维护功能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断点续传功能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1.3.7.3卡警性能要求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全天车辆通行车辆捕获率不小于95%；通行车辆图像合格率不小于90%。；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白天车辆号牌识别准确率应不小于90%；夜间车辆号牌识别准确率应不小于80%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闯红灯捕获率不低于90%；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识别牌照种类：民用车牌（除5小车辆），警用车牌，04式新军用车牌，07式武警车牌及2002式新车牌。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车辆号牌颜色、车身颜色识别准确率：车辆号牌颜色准确识别率不小于90%，车身颜色准确识别率不小于70%。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图片分辨率要求：900万不低于3392*2008；300万不低于2048*1536</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高清录像要求：900万最大可达到25帧2752×2208；300万最大可达到25帧2048*1536</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对正常行驶车辆提供不少于一张高清图片。对车辆违法行驶行为提供不少于六张高清图片，球机抓拍需一段（时长可自定义）能够反映车辆违法行为过程的录像文件。</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1.4 主要设备技术指标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本项目主要设备的性能及技术指标应相当或优于以下技术指标要求：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1)抓拍车尾1200万及以上像素智能交通摄像机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bookmarkStart w:id="123" w:name="OLE_LINK41"/>
      <w:r/>
      <w:bookmarkStart w:id="124" w:name="OLE_LINK45"/>
      <w:r/>
      <w:bookmarkStart w:id="125" w:name="OLE_LINK42"/>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采用全局曝光 CMOS 传感器</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高清抓拍单元由摄像机、高清镜头、室外防护罩、风扇、补光灯、电源适配器、安装万向节等组成。</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具有2个RJ45 10M/100M/1000M自适应以太网接口(具备双网口双网卡,支持双网隔离)、3个RS485接口、1个RS232串行接口、1个TF卡接口、1个USB接口、1个触发/报警输入口、7路F+/F-输出接口(可作为补光灯同步输出控制)、1个 SYNC 信号灯电源同步输入口。</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支持通过视频检测信号灯故障状态功能，故障状态包括灯组内三个颜色都不亮，灯组内红灯和绿灯同时亮，灯组内红灯或绿灯一直亮或一直不亮，倒计数数字灯不亮。输出故障信息同步上传。</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▲支持识别车身副颜色。</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具有超速、压线、禁止大货车、逆向行驶、闯红灯、不按车道行驶、违法变道、违法掉头、不礼让行人、闯禁令、占用非机动车道、接打电话、不系安全带、货车禁行、外地车未办理进京证的违法行为检测及抓拍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在天气晴朗无雾，车辆无遮挡，号牌无污损白天环境光照度不低于 200lx，夜晚辅助光照度不高于30lx的情况下进行测试；白天车牌号识别准确率≥99%，晚上车牌号识别准确率≥99%； 白天车身颜色识别准确率≥98%，晚上车身颜色识别准确率≥98%； 白天车辆类型识别准确率≥99%，晚上车辆类型识别准确率≥99%。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▲支持对25×10 像素～1100×3000 像素的机动车车牌进行抓拍并识别号码；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支持抓拍并识别垂直倾斜角度≤45°、水平倾斜角度≤35°、俯仰角度≤40°的机动车车牌号码。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▲支持检测并跟踪指定区域内不少于245个目标，目标包括机动车、非机动车以及行人。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具有机动车、行人、骑行者检测功能；在白天视频光照正常、夜间视频补光正常情况下，白天目标检测捕获率&gt;99%；晚上目标检测捕获率&gt;99%；白天目标检测准确率&gt;99%；晚上目标检测准确率&gt;99%。</w:t>
      </w:r>
      <w:r/>
    </w:p>
    <w:p>
      <w:pPr>
        <w:ind w:firstLine="420"/>
        <w:jc w:val="left"/>
        <w:keepLines w:val="0"/>
        <w:keepNext w:val="0"/>
        <w:pageBreakBefore w:val="0"/>
        <w:spacing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▲监控摄像机图像画面信息不应有明显的缺损，图像画面应连贯，物体移动时图像不应有前冲现象、图像边缘不应有明显的锯齿状、拉毛、断裂、拖尾等现象，5级评分应不低于3.5分。</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以上加▲项须提供公安部权威检测机构出具有效期内的检测报告</w:t>
      </w:r>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bookmarkEnd w:id="123"/>
      <w:r/>
      <w:bookmarkEnd w:id="124"/>
      <w:r/>
      <w:bookmarkEnd w:id="125"/>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2)900万电警抓拍单元（车尾）</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摄像机靶面尺寸不小于1英寸；</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应支持图像分辨率不少于4096x2160；未叠加字符信息抓图分辨率：4096像素×2160像素；叠加字符信息抓图分辨率：4096像素×4312像素</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应支持帧率1~50fps可调；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应支持当开启低延时模式时，视频延时≤200ms；</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应支持3D降噪和透雾功能；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应支持单快门、全息双快门、三快门等快门方式；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应支持帧率动态控制功能，当无目标触发时可降低帧率，当有目标触发时自动调整至正常值；</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bookmarkStart w:id="126" w:name="OLE_LINK39"/>
      <w:r/>
      <w:bookmarkStart w:id="127" w:name="OLE_LINK40"/>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w:t>
      </w:r>
      <w:bookmarkEnd w:id="126"/>
      <w:r/>
      <w:bookmarkEnd w:id="127"/>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最低照度要求：支持在0.001lx能基本分辨被摄目标的轮廓特征和彩色，支持在0.0005lx，能基本分辨被摄目标的轮廓特征；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应支持图像OSD信息显示，信息包括通道号、日期和时间；可支持不小于16行字符叠加，字体对齐方式可叠加位置可设；具有图片叠加到视频画面功能；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▲应支持识别车辆闯红灯检测抓拍功能，白天捕获率≥99%，晚上捕获率≥99%；</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应支持对路口右转车辆不让非机动车/行人进行检测抓拍；</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应支持禁左、禁右、禁止掉头检测抓拍功能；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应支持时段车辆信息的热度图功能，并支持热度图导出；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应支持对接入的车辆检测设备进行故障检测，并可显示该设备的故障信息，故障检测延迟&lt;45秒；</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应支持抓图功能，通过浏览器或客户端手动抓拍图片，或当视频画面出现车辆时自动抓拍图片，或外部触发接口抓拍图片，图片格式为JPEG，图片质量可设，抓拍图片从触发到输出的延时不高于69ms；</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▲应支持不少于460种车标识别，在天气晴朗无雾，号牌无遮挡、无污损的条件进行测试白天环境光照度不低于200lx，夜晚辅助光照度不高于30lx的情况下（无牌车除外）白天识别准确率≥99%；晚上识别准确率≥99%；</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支持14种车身颜色识别，包括黑、白、灰、红、绿、蓝、黄、粉、紫、棕、青、金、橙、银灰；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▲支持大型货车闯红灯抓拍功能，包括拖车、挂车、罐车、平板货车、集装箱牵引车等货车类型；</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支持多张图片合成为一张图片；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支持根据现场违章抓拍需求通过web界面设置事件优先度，事件优先度1～16可设，设置后可按事件优先度进行违章抓拍及图片存储；</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应支持IP 冲突报警、设备温度过高报警（温度报警阀值可设置）；支持交通信号灯故障报警，当接收通过RS485 接入的红绿灯信号检测器发送的故障报警时，可在设备IE 界面进行展示；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应支持智能编码功能，在静止场景下，图像质量无明显劣化条件下，设备采用H.264/H.265视频编码方式，当开启智能编码后，码流可降低至未开启时的1/30；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▲应支持目标跟踪功能，支持检测并跟踪指定区域内不少于200个目标，目标包括机动车、非机动车以及行人等；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应支持车辆子品牌检测识别功能；通过车尾识别车辆子品牌不少于3800种；</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应支持对视频画面中设定区域的信号灯在白天和夜晚色彩进行矫正并进行局部增强显示；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车流量统计功能，支持按车道和时段进行辆流量、平均速度、车辆类型、占有率、平均车头时距、平均排队长度、道路状态等指标的统计，可生成图表，流量统计周期1~15000s可设，车流量相对误差不大于1%；</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支持IP67外壳防护等级；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支持宽压供电，在30V~315V供电的条件下正常工作；</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bookmarkStart w:id="128" w:name="OLE_LINK27"/>
      <w:r/>
      <w:bookmarkStart w:id="129" w:name="OLE_LINK28"/>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▲要求提供GA/T 832-2014《道路交通安全违法行为图像取证技术规范》相关的检测报告</w:t>
      </w:r>
      <w:bookmarkEnd w:id="128"/>
      <w:r/>
      <w:bookmarkEnd w:id="129"/>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30" w:name="OLE_LINK43"/>
      <w:r/>
      <w:bookmarkStart w:id="131" w:name="OLE_LINK44"/>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以上加</w:t>
      </w:r>
      <w:bookmarkStart w:id="132" w:name="OLE_LINK20"/>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bookmarkEnd w:id="132"/>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项</w:t>
      </w:r>
      <w:bookmarkEnd w:id="130"/>
      <w:r/>
      <w:bookmarkEnd w:id="131"/>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须提供公安部权威检测机构出具有效期内的检测报告</w:t>
      </w:r>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3)900万卡口抓拍单元（车头）</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摄像机靶面尺寸不小于1.1英寸；</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支持配合生态环保补光灯使用，夜间无需使用白光爆闪，即可输出高质量全彩图像；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支持双帧融合功能，设备可以采集黑白图像和彩色图像并融合显示，全天候输出彩色图像；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要求图像分辨率不少于4096x2160；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支持帧率1~50fps可调；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支持当开启低延时模式时，视频延时≤200ms；</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支持智能编码功能，在静止场景下，图像质量无明显劣化条件下，设备采用H.264/H.265视频编码方式，当开启智能编码后，码流可降低至未开启时的1/30；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具有抓拍快门、视频快门、识别快门等三种模式，支持快门自适应1/1s~1/100000s可调；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▲支持红外模式下的车牌识别功能，白天识别准确率≥99%；晚上识别准确率≥99%；</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支持3D降噪和透雾功能；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支持主码流同时输出不少于 30 路的图像以提供客户端浏览。</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最低照度要求：支持在0.0001lx（F=0.95，快门40ms，彩色模式）能基本分辨被摄目标的轮廓特征和彩色，支持在0.00005lx（F=0.95，快门40ms，黑白模式），能基本分辨被摄目标的轮廓特征；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支持车辆黑白名单功能，最大可设置90万条黑名单和90万条白名单；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支持帧率动态控制功能，当无目标触发时可降低帧率，当有目标触发时自动调整至正常值；</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支持通过浏览器或客户端手动抓拍图片，或当视频画面出现车辆时自动抓拍图片，或外部触发接口抓拍图片，图片格式为JPEG，图片质量可设；</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支持主副驾驶人脸抓拍功能，在实时记录通行车辆的同时，支持主/副驾驶员人脸检测以及抠图功能，单车道场景下，主副驾驶员人脸抠图不小于120×120像素点；</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支持识别主要车辆类型，包括轻型普通货车、轻型厢式货车、轻型平板货车、微型轿车、小型轿车、小型客车、小型越野客车、小型面包车、中型罐式货车、中型仓栅式</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支持侧脸过滤功能，过滤的人脸上下、左右角度阈值可设置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支持通过菜单开启或关闭人脸质量优先抓图功能，当开启时，人脸轨迹中人脸质量分数达到设定值时自动进行人脸抓拍</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支持不少于14种车身颜色识别，包括黑、白、灰、红、绿、蓝、黄、粉、紫、棕、青、金、橙、银灰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按车道、车辆行驶方向（左、直、右）和时段进行车辆流量、平均速度、车辆类型、占有率、平均车头时距、平均排队长度、道路状态等指标的统计，可生成图表。流量统计周期1～15000s可设，车流量相对误差不大于1%；</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支持图像OSD信息显示，信息包括通道号、日期和时间；可支持不小于16行字符叠加，字体对齐方式可叠加位置可设；具有图片叠加到视频画面功能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混合目标检测抓拍功能，支持对机动车、非机动车、行人等混合目标进行检测。摄像机能同时检测不少于130个混合的静态目标并对这些目标进行绿框跟踪；可同时对至少130个混合的静态目标进行优选、抓拍及属性分析；</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支持对行驶在车道内的车辆的停车行为进行检测抓拍；</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支持禁货、禁拖拉机、禁农用车、禁大客车、禁止掉头等违章功能；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支持识别5种车牌颜色，包括：蓝（小车车牌）、黄（公交车、大货车车牌）、黑（涉外车牌）、白（警用车牌）、绿（新能源车牌）；</w:t>
      </w:r>
      <w:r/>
    </w:p>
    <w:p>
      <w:pPr>
        <w:ind w:firstLine="420"/>
        <w:jc w:val="left"/>
        <w:keepLines w:val="0"/>
        <w:keepNext w:val="0"/>
        <w:pageBreakBefore w:val="0"/>
        <w:spacing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支持400种车标识别，白天识别准确率≥99%；晚上识别准确率≥99%；</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支持IP 冲突报警、设备温度过高报警（温度报警阀值可设置）；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支持车辆子品牌检测识别功能；通过车头识别车辆子品牌7100种，白天识别准确率≥98%；晚上识别准确率≥96%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支持8块感兴趣区域（ROI）增强编码功能，ROI区域压缩比0~100可设置；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支持时段车辆信息的热度图功能，并支持热度图导出；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支持设备信息获取功能检查，支持通过客户端获取相机实时的内部温度、水平方位、俯视角度、仰视角度、水乎倾斜角度等信息；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支持智能帧功能，支持通过智能帧输出对象属性，包括车型分类、ID、车牌、车牌颜色置信度、车身颜色、车身颜色置信度等；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支持AC100V~AC240V供电方式，支持DC12V±10%电源返送；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支持在温度-40℃~+65℃，湿度10%~90%环境下正常工作；</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支持IP67防护等级；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支持满足GB 35114-A级加密标准；</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▲要求提供GA/T 832-2014《道路交通安全违法行为图像取证技术规范》相关的检测报告。</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以上加▲项须提供公安部权威检测机构出具有效期内的检测报告</w:t>
      </w:r>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4)补光灯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集成数字式照度传感器，具备自动光感功能；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支持多级环境亮度可选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平均功耗≤23W</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频闪亮度等级1~20级可调；</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支持通过摄像机远程控制亮度等级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支持通过摄像机远程控制补光灯点亮/熄灭</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支持通过RS485控制频率、亮度等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支持频闪级联功能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支持远程显示补光灯状态功能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频闪频率：50、60、75、90、100、120Hz可选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频闪持续时间：1、2、3ms可选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频闪延时：0、1、2、3、4ms可选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色温范围6000k~6700k</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工作温度-40℃~80℃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防护等级：IP66；</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5)爆闪灯（新国标环保）</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补光装置光源包括LED光源（一级频闪）、气体放电光源（二级脉冲）和红外光源</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采用LED光源和气灯放电两种光源，LED光源呈圆形排布，气体放电光源前置转轴叶片，支持红外和白光补光切换</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支持LED频闪、LED爆闪、白光气体爆闪及红外气体爆闪四种补光方式，可通过远程控制切换</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眩光阀值增量TI≤1.08%</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触发信号异常时，爆闪灯进入自动保护，触发信号输入正常，爆闪灯自动恢复正常</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1路RS485接口、1路气体脉冲爆闪输入接口，一路光源切换接口，1路频闪输入接口、1路LED爆闪输入接口</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可通过RS485进行远程升级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支持记录闪光灯闪光次数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防护等级IP66</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6)智能交通终端管理设备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应支持添加不少于12路IP摄像机，支持网络高清视频和图片同时接入；</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应支持无风扇散热结构设计，设备内无风扇；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▲应支持违法图片合成功能，支持将2/3/4/5/6张原始图片进行合成；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应支持预览窗口1、4、9、16分割；</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应支持图片及关联录像下载功能，支持选择车牌图片、特写图片、主驾驶图片、副驾驶图片、行人人脸图片、非机动车人脸图片等抠图类型，下载图片的同时将抠图分离下载；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交通流量统计功能，实时显示和存储车流量信息，支持按时间、通道查询流量信息，支持展示索引号、通道号、车道号、起始时间、周期（分钟）、流量、平均车速（km/h）、占有率、空间占有率、车头时距（秒/辆）、车头间距（米/辆）、排队长度（米）、道路状态等详细流量信息，并支持将查询结果表格导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▲可设置图片的存储空间，在规定的空间内自动循环覆盖，剩余空间为录像存储空间。</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▲对于在记录过程中出现的系统死机或意外故障，设备能够在规定的时间内自动恢复其正常工作状态并使故障前的信息不丢失。</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设备内的录像、图片文件无法直接删除或者修改，只能通过循环覆盖和硬盘格式化操作。</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应支持数据直存功能，可将视频流直接写入存储，采用自动分段记录格式，相邻两段间最大记录间隔时间不大于0.4s；</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应支持图片和录像的存储空间配额比例设置；支持显示本地存储的状态信息：是否存在坏道，容量，使用率等；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应支持无硬盘、硬盘空间不足、非法访问、安全异常等状况报警；</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应支持设置磁盘满后自动循环覆盖或停止；</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应支持录像、图片文件无法直接删除，只能通过循环覆盖和硬盘格式化操作；</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应支持智能帧显功能示，视频预览界面可显示机动车、非机动车、行人检测框等智能轨迹；</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应支持可通过web、NTP服务器、GPS/北斗等对设备进行校时；</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以上加▲项须提供公安部权威检测机构出具有效期内的检测报告</w:t>
      </w:r>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7)信号检测器</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应支持接入20路红/绿灯信号，进行输入通断检测，并通过100M网口将信号状态实时传输给网络摄像机；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应支持通过配置工具设置20路相机参数和检测参数，每个检测通道最多支持关联5个相机IP；</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应支持通过配置工具设置红灯检测模式/绿灯检测模式；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应支持通过配置工具设置红绿灯信号输入异常判断时长，设置范围1~300秒。</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应支持记录最多1700条日志，并通过配置工具查询设备的操作日志、校时日志、ping成功/失败日志、红/绿灯输入信号异常及异常恢复等日志，用于查询设备的操作记录及异常情况；</w:t>
      </w:r>
      <w:r>
        <w:rPr>
          <w:rFonts w:hint="eastAsia" w:ascii="宋体" w:hAnsi="宋体" w:eastAsia="宋体" w:cs="宋体"/>
          <w:i w:val="0"/>
          <w:iCs w:val="0"/>
          <w:color w:val="000000" w:themeColor="text1"/>
          <w:sz w:val="21"/>
          <w:szCs w:val="21"/>
          <w:highlight w:val="none"/>
          <w:u w:val="none"/>
          <w14:textFill>
            <w14:solidFill>
              <w14:schemeClr w14:val="tx1"/>
            </w14:solidFill>
          </w14:textFill>
        </w:rPr>
        <w:br/>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应支持通过配置工具设置NTP校时/同步PC时间；</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应支持DC12V供电方式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应支持在温度-40℃～+65℃，湿度10%～95%（无凝结）环境下正常工作；</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8)监控球机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传感器类型：1/1.8英寸CMOS；</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像素：400万；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最大分辨率：2560×1440；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最低照度：彩色：0.001lux@F1.6；黑白：0.0001lux@F1.6；0lux（红外灯开启）；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最大补光距离：250m（红外）；</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补光类型：红外；</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光学变倍：40倍；</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定时任务：预置点；巡迹；巡航；线扫；</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视频结构化：支持机动车、非机动车、人脸、人体检测；支持优选；支持抓拍；支持上报最优的抓图机动车属性（车牌，车牌颜色 ，车辆类型，车身颜色，车标，车系，遮阳板，安全带，抽烟，打电话，车内饰品，年检标志）；</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周界防范：支持绊线入侵；支持区域入侵；支持穿越围栏；支持徘徊检测；支持物品遗留；支持物品搬移；支持快速移动；支持停车检测；支持人员聚集；支持人车分类报警；支持联动跟踪；</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人脸检测：支持人脸检测；支持优选；支持抓拍；支持上报最优的人脸抓图；支持人脸增强；支持人脸属性提取，支持6种属性8种表情：性别，年龄，眼镜，表情（愤怒，悲伤，厌恶，害怕，惊讶，平静，高兴，困惑），口罩，胡子；支持人脸抠图区域可设：人脸，单寸照；支持实时抓拍，优选抓拍，质量优先三种抓拍策略；</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智能说明：视频结构化，周界，人脸检测彼此互斥使用；</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防抖功能：电子防抖；</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透雾功能：电子透雾；</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网络接口：1个（RJ-45母头网口，支持10M/100M网络数据）；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音频输入：1路（LINE IN；裸线）；</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音频输出：1路（LINE OUT；裸线）；</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语音对讲：支持；</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报警输入：2路，开关量输入（0~5V DC）；</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报警输出：1路；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供电方式：DC36V/2.23A±25%；</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防护等级：IP67；TVS 6000V防雷、防浪涌和防突波保护；</w:t>
      </w:r>
      <w:r/>
    </w:p>
    <w:p>
      <w:pPr>
        <w:ind w:firstLine="420"/>
        <w:jc w:val="left"/>
        <w:keepLines w:val="0"/>
        <w:keepNext w:val="0"/>
        <w:pageBreakBefore w:val="0"/>
        <w:spacing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接口类型：RJ45接口</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9)枪球一体机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bookmarkStart w:id="133" w:name="OLE_LINK15"/>
      <w:r/>
      <w:bookmarkStart w:id="134" w:name="OLE_LINK14"/>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应支持采用枪球一体化设计，全景细节均支持远程电动云台；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支持全景细节像素均不小于400万,CMOS靶面尺寸均不小于1/1.8英寸；</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▲支持内置GPU芯；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支持深度学习算法,有效提升检测准确率；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▲细节相机支持不小于25倍光学变倍；</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支持全景相机内置不小于30米白光灯补光,采用暖色调和柔化处理,有效降低炫目程度；细节相机内置不小于150米柔光补光灯；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▲支持全景摄像机具有不低于4个暖光灯,细节摄像机具备不低于6个混光灯,每个补光灯均包含红外补光模块和白光补光模块,设备支持混合补光,可单独开启红外灯和白光灯；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▲全景摄像机支持水平：0°~360°,连续旋转,垂直角度：0°~30°；细节摄像机支持水平角度：0°~340°,垂直角度：-10°~180°,旋转过程中无水平翻转；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支持设备可输出全景画面和细节画面,所有摄像机可通过IE浏览器设置云台转动位置；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▲支持摄像机具备全景、细节两个通道且均支持远程云台控制及布控功能，可分时复用；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支持快速智能切换,当更换当前智能模式时设备不需重启,新智能使能后即可生效；</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支持多场景分别配置不同智能后,可进行多场景智能巡航,进行不同智能功能的分时复用；</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▲设备支持细节镜头内置GMR磁场传感器，当镜头群组收到外力作用发生偏移时可自动复位；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▲设备支持细节镜头从最小倍变倍聚焦至设备100m处人脸目标时间不大于0.3s，抓拍图片中人脸目标像素不低于70×70；从最小倍变倍聚焦至设备100m处车牌目标时间不大于0.3s，抓拍图片中车牌目标像素不低于150×50；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▲设备支持手动或自动启动雨刷功能；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设备具有螺纹和卡扣安装接口，支持螺纹安装或支架安装方式；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支持内置2路报警输入和1路报警输出,支持报警联动功能；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支持在温度-40℃～+65℃，湿度≤95%环境下正常工作；</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支持DC36V/2.23A（-25%～+25%）供电方式；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支持IP67防护等级,8000V防雷、防浪涌和防突波保护；</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支持支持DC36V±25%宽电压输入</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支持符合GB/35114A标准；</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以上加▲项须提供公安部权威检测机构出具有效期内的检测报告</w:t>
      </w:r>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bookmarkEnd w:id="133"/>
      <w:r/>
      <w:bookmarkEnd w:id="134"/>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10)室外挂箱部分</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室外机箱、生产、安装、施工应严格遵守ANSI/EIA RS-310-D、DIN41491，PART1、IEC297-2、DIN41494，PART7、GB/T3047.2-92标准等相关规范和要求。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技术需求和指标：配置开关电源；能全天候工作，采用不锈钢质箱体，露头机箱应防止顶面积水；能防强电磁干扰，屏蔽功能完善；锁具应采用中心门锁，六方位锁芯，锁紧门缝以使柜体密封更可靠；机箱结构设计应具有足够的机械强度，能承受正常条件下可预料的运输、安装、搬运、维护等过程中的操作，具备一定防冲击、防破坏能力；应设三重铰链，铰链强</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度高；机柜内设备均能合理固定，线缆安装固定整齐有序，电源线和信号线有明显的不同的路由，标识完整，以便于维护管理；防尘、散热装置配套合理完整，箱内空气流动符合要求，密封良好，便于防尘和散热；机柜外形合理，材料采用SPCC优质冷轧钢板制作,厚度：方孔条2.0mm, 安装梁2.0mm，,其它1.5mm, 材料厚度在1.5mm，材料经脱脂、酸洗、磷化、静电喷塑表面处理;防护等级IP20，柜体静负荷能力： 壳盖≥980N，侧表面≥980N，门铰链≥200N，机柜外壳采用塑料粉末喷涂 (防静电) 外形气派， 美观大方。</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11)室外机柜部分</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室外机柜、生产、安装、施工应严格遵守ANSI/EIA RS-310-D、DIN41491，PART1、IEC297-2、DIN41494，PART7、GB/T3047.2-92标准等相关规范和要求。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技术需求和指标</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机箱（机柜）。配置开关电源；能全天候工作，采用不锈钢质箱体，露头机箱应防止顶面积水；能防强电磁干扰，屏蔽功能完善；锁具应采用中心门锁，六方位锁芯，锁紧门缝以使柜体密封更可靠；机箱结构设计应具有足够的机械强度，能承受正常条件下可预料的运输、安装、搬运、维护等过程中的操作，具备一定防冲击、防破坏能力；应设三重铰链，铰链强度高</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柜内设备均能合理固定，线缆安装固定整齐有序，电源线和信号线有明显的不同的路由，标识完整，以便于维护管理；防尘、散热装置配套合理完整，箱内空气流动符合要求，密封良好，便于防尘和散热；机柜外形合理，材料采用SPCC优质冷轧钢板制作,厚度：方孔条2.0mm, 安装梁2.0mm，,其它2.0mm,材料经脱脂、酸洗、磷化、静电喷塑表面处理;防护等级IP20，柜体静负荷能力： 壳盖≥980N，侧表面≥980N，门铰链≥200N，机柜外壳采用塑料粉末喷涂 (防静电) 外形气派， 美观大方。以上参数应在投标文件中注明。</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（2）机柜尺寸≥（600×500×1000）mm</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（3）安装时机柜底部应有0.40米以上的混凝土基础。</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12)杆件和杆件基础管道部分</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（1）杆件</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整体热镀锌喷塑处理。杆的立柱及悬臂均采用八角锥形，断面为正八边形，双立杆为正四边形，角度误差控制在0.5度范围内。悬臂长度在12米之内为整根不分段式。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横臂4~5米：杆件高≥6.5米、锥形，臂厚≥5mm、下口径≥230mm、上口径≥180mm，横臂臂厚≥5mm、大头口径≥180mm、小头口径≥100mm并采用热镀锌处理，表面喷粉末。结构采用普通碳素结构钢，在焊接时要保证焊缝质量，并应进行有效的打毛刺和修磨工作，镀锌工作应保证锌层的厚度及均匀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横臂6~8米：杆件高≥6.5米、锥形，臂厚≥6mm、下口径≥280mm、上口径≥220mm，横臂臂厚≥5mm、大头口径≥180mm、小头口径≥100mm并采用热镀锌处理，表面喷粉末。结构采用普通碳素结构钢，在焊接时要保证焊缝质量，并应进行有效的打毛刺和修磨工作，镀锌工作应保证锌层的厚度及均匀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横臂9~12米：杆件高≥6.5米、锥形，臂厚≥8mm、下口径≥300mm、上口径≥240mm，横臂臂厚≥5mm、大头口径≥220mm、小头口径≥100mm并采用热镀锌处理，表面喷粉末。结构采用普通碳素结构钢，在焊接时要保证焊缝质量，并应进行有效的打毛刺和修磨工作，镀锌工作应保证锌层的厚度及均匀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横臂13米：杆件高≥6.5米、锥形，臂厚≥8mm、下口径≥320mm、上口径≥260mm，横臂臂厚≥5mm、大头口径≥260mm、小头口径≥100mm并采用热镀锌处理，表面喷粉末。结构采用普通碳素结构钢，在焊接时要保证焊缝质量，并应进行有效的打毛刺和修磨工作，镀锌工作应保证锌层的厚度及均匀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钢构件所采用的钢材应符合GB/T 700-188国家标准的要求。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所有构件的焊接满足国家行业标准JGJ81-2002《建筑钢结构焊接技术规程》的技术要求。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所有对接焊缝和贴角焊缝，其强度应与被焊构件相等，焊缝应打磨光滑。</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地脚螺栓采用45#钢制作，连接螺栓、螺母、垫圈均采用高强度部件，并进行热镀锌防腐及对螺纹进行离心处理，镀锌量350g/m²。</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柱杆件结构均采用热镀锌防腐处理，其表面各喷涂二遍环氧富锌底漆和银色调和漆，镀锌量600 g/m²，基础采用明挖法施工，基底应先平整，夯实，控制好标高。</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在浇注基础混凝土时，应注意使定位法兰盘与基础对中，控制好预埋件的标高及水平，并应根据路况对基础法兰盘的方向进行适当的调整。</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地脚螺栓横向与道路中线成90，纵向与道路中心线平行。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施工完毕时，地脚螺栓外露长度宜控制在70-80mm内，用两个螺母紧固，并用黄油进行密封加以防腐保护。</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基础施工。基础采用明挖法施工，基底应先整平、夯实。地脚螺栓宜事先进行防锈处理。施工时如遇有平曲线路段，应注意调整预埋法兰盘的方向，使其纵向中心线与行车方向保持一致。施工基础时要注意预埋穿线管，基础应按设计要求进行养护后方才可进行立杆安装，金属管道应与接地线焊接（不同材质的应加过渡头），电缆穿管应有1%坡度。</w:t>
      </w:r>
      <w:r/>
    </w:p>
    <w:p>
      <w:pPr>
        <w:ind w:firstLine="420"/>
        <w:jc w:val="left"/>
        <w:keepLines w:val="0"/>
        <w:keepNext w:val="0"/>
        <w:pageBreakBefore w:val="0"/>
        <w:spacing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3）管道铺设。投标人应实地测量技术数据，以便估算工程量。线缆埋地的沟槽尺寸：人行道为0.35×0.6米（宽×深），车行道为0.35×0.6米（宽×深）。沟底先铺C20砼垫层，线缆敷设后，用细砂回填、夯实，再根据实际情况复原路面。</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13)电缆线敷设</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（1）每个方向的机箱使用一根电源线、红绿灯控制线、光纤连接主机柜；铺设有电缆线的地面敷设永久固定的交通设施专用标记；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（2）使用标称面积不小于1.5m㎡的铜芯、塑料绝缘、铠甲护套控制电缆线；</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（3）同一根电缆线两端应有相同标识。采用绝缘层颜色相对应的芯线以便于安装和维护。若芯线绝缘层同色时，每股芯线的两端应有相同的标识，采用数字编号标识；</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（4）地下铺设的电缆线不得有接头，每根电缆线应留有2m至4m的余量。每根电缆线在施工完毕后，留一至四股备用芯线。每根电缆线号必须用代码，编号详细、均匀地标在每根线；</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5）地下电缆线穿线管宜使用公称直径50—100mm的内套耐腐衬管的热镀锌钢管或硬质塑料管，钢管用于车行道，硬质塑料管用于人行道。穿线管接头处应使用套管固定，并应包有足够强度的混凝土防护层。使用硬质塑料管时，硬质塑料管周围宜包有足够强度的混凝土防护层。每根管口必须严格处理好毛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（6）地下电缆线穿线管的埋置深度为其顶部距路面的距离，不小于40cm；</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7）地下电缆线穿线管拐弯处或长度超过50m时应设置手井。手井的深度应在60～80cm，底部应设有渗水孔。手井中的管道口应该高于手井底20cm，探出井壁不大于5cm，管道口应封堵，防止雨水、泥沙流入管道或老鼠等进入损坏电缆线。电缆在井中应作盘留，手井井盖应有电子警察专用标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14)防雷接地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各路口接地系统采用共用接地方式，接地装置可采用非金属接地极，也可采用扁热镀锌扁铁(50*5)等人工接地装置，接地系统应严格按相关规范施工，接地电阻≤4Ω，接地模块顶面埋深不应小于0.6米，且与原土层接触良好，防雷接地和设备接地应当分开。</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（2）所有前端摄像机均安装网络及电源防雷器，接地线不小于BVR6mm2。车辆检测器应具备防雷功能，接地线不小于BVR6 mm2。</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（3）电源系统的防雷：接入前端机柜的电源线（含接至前端摄像机）均应采用防雷器保护，接地线不小于BVR6 mm2。</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（4）设备机箱内应设置总等电位接地端子箱，用不小于25平方的BVR铜芯线从接地模块接入。</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（5）前端设备必须采用断电自恢复机制。</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6）电源线缆应一线到位，接、插件联接要可靠，电源线与信号线、控制线要明显分开。所有线缆应套管编号和标识，其隐蔽部分、裸露或弯曲部分要求根据设备材料要求套管保护。卡口系统的强弱电部分均必须合理配置防雷装置。线缆及管线的连接、排列、走向、弯曲与接地处理等应符合国家有关规范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（7）系统电气装置要求：系统安装有效的过载、漏电、短路保护装置及避雷装置，应在使用熔断器处清晰标出熔断电流的额定值，如有必要应使用易熔断器，以保护内部电路。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（8）数据、控制信号、电源防雷器：工作电压6V，最大允许工作电压 8V，最大容通电流 ≥5000A，限制电压 8V，反应速度 10-12秒，插入损耗 &lt;0.2dB，最大数据传输率 2GHz。</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（9）直流电源（模块式）电涌保护器：标称通流容量：5kA；最大容通电流：10kA；电压保护水平： 500V。</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（10）220V电源防雷器：适用电源：220 V；最大工作电压：275 V；标称通流容量：10kA (8/20μs)；最大容通电流：20kA (8/20μs)；电压保护水平：&lt;1500 V。</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（11）等电位联结端子箱:10个接线端子。</w:t>
      </w:r>
      <w:r/>
    </w:p>
    <w:p>
      <w:pPr>
        <w:ind w:firstLine="420"/>
        <w:jc w:val="left"/>
        <w:keepLines w:val="0"/>
        <w:keepNext w:val="0"/>
        <w:pageBreakBefore w:val="0"/>
        <w:spacing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（12）前端设备断电自恢复时间在30s-300s之间。</w:t>
      </w:r>
      <w:r/>
    </w:p>
    <w:p>
      <w:pPr>
        <w:pStyle w:val="652"/>
        <w:jc w:val="left"/>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2.智能交通信号控制系统技术要求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▲所投协调式道路交通信号机必须具有公安部相关部门出具的检测合格报告（</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须提供有效期内的公安部或第三方权威机构检测报告</w:t>
      </w:r>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w:t>
      </w:r>
      <w:r/>
    </w:p>
    <w:p>
      <w:pPr>
        <w:ind w:firstLine="420"/>
        <w:jc w:val="left"/>
        <w:keepLines w:val="0"/>
        <w:keepNext w:val="0"/>
        <w:pageBreakBefore w:val="0"/>
        <w:spacing w:line="312" w:lineRule="auto"/>
        <w:widowControl w:val="off"/>
        <w:rPr>
          <w:rFonts w:hint="eastAsia" w:ascii="宋体" w:hAnsi="宋体" w:eastAsia="宋体" w:cs="宋体"/>
          <w:i/>
          <w:iCs/>
          <w:color w:val="000000" w:themeColor="text1"/>
          <w:sz w:val="21"/>
          <w:szCs w:val="21"/>
          <w:highlight w:val="none"/>
          <w:u w:val="single"/>
          <w14:textFill>
            <w14:solidFill>
              <w14:schemeClr w14:val="tx1"/>
            </w14:solidFill>
          </w14:textFill>
        </w:rPr>
      </w:pP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交通信号系统必须接入现有的宝应智能交通集成指挥平台实现绿波、特勤等远程控制功能。对未能接入平台，实现远程控制功能的，工程将不予验收，造成的损失由中标人承担。</w:t>
      </w:r>
      <w:bookmarkStart w:id="135" w:name="OLE_LINK32"/>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（须提供承诺书原件</w:t>
      </w:r>
      <w:r>
        <w:rPr>
          <w:rFonts w:hint="eastAsia" w:ascii="宋体" w:hAnsi="宋体" w:eastAsia="宋体" w:cs="宋体"/>
          <w:i/>
          <w:iCs/>
          <w:color w:val="000000" w:themeColor="text1"/>
          <w:sz w:val="21"/>
          <w:szCs w:val="21"/>
          <w:highlight w:val="none"/>
          <w:u w:val="single"/>
          <w:lang w:val="en-US" w:eastAsia="zh-CN"/>
          <w14:textFill>
            <w14:solidFill>
              <w14:schemeClr w14:val="tx1"/>
            </w14:solidFill>
          </w14:textFill>
        </w:rPr>
        <w:t xml:space="preserve">扫描件</w:t>
      </w:r>
      <w:r>
        <w:rPr>
          <w:rFonts w:hint="eastAsia" w:ascii="宋体" w:hAnsi="宋体" w:eastAsia="宋体" w:cs="宋体"/>
          <w:i/>
          <w:iCs/>
          <w:color w:val="000000" w:themeColor="text1"/>
          <w:sz w:val="21"/>
          <w:szCs w:val="21"/>
          <w:highlight w:val="none"/>
          <w:u w:val="single"/>
          <w14:textFill>
            <w14:solidFill>
              <w14:schemeClr w14:val="tx1"/>
            </w14:solidFill>
          </w14:textFill>
        </w:rPr>
        <w:t xml:space="preserve">）</w:t>
      </w:r>
      <w:bookmarkEnd w:id="135"/>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36" w:name="OLE_LINK64"/>
      <w:r/>
      <w:bookmarkStart w:id="137" w:name="OLE_LINK63"/>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1）、智能交通信号控制机</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38" w:name="_Toc47350445"/>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（1）.信号机主要功能要求</w:t>
      </w:r>
      <w:bookmarkEnd w:id="138"/>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系统控制功能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系统应具有下列控制功能：区域协调控制、干线协调控制、实时自适应控制、信号优化、定时控制、其他控制方式等，并对以上各功能进行详细介绍。</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单点控制功能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路口信号灯配时由路口的道路交通信号控制机独立控制，道路交通信号控制机应具有下列单点控制方式：单点优化、无电缆联动、感应、闪灯、全红、关灯等，并对以上各功能进行详细介绍。</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特殊控制</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可以根据实际交通情况，由控制中心发出命令，进行特殊交通控制，系统应具有下列特殊控制方式：指定相位控制、警卫路线控制、模拟手动、手动功能、公交优先信号控制、行人过街管理、VIP绿色通道等其他功能，并对以上各功能进行详细介绍。</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绿波功能调试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详细描述绿波控制的依据，对路口相位、周期、相位差等参数如何调试作详细描述。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警卫任务功能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在特殊情况下，如警卫、消防、救护、抢险等，为保证车辆畅通无阻，信号灯按预定或相关要求进行方向和推进，线路由控制中心指挥员预先设置或紧急执行。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要求至少能通过路口警员手动控制、分系统控制和平台控制来实现，并在方案中详细介绍，包括文字和图文描述。</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交通信息采集功能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系统采集、处理、存储、提取控制区域内的车流量、平均车速、停车率、排队长度等交通信息，同时评估交通负荷度，建立交通信息管理数据库，打印分析交通信息各类图表，供交通疏导和交通组织与规划使用。</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交通流量采集、存储</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交通流量统计分析</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数据纠错</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系统监测功能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为提高系统的可靠性，系统对设备和软件运行状况和故障进行全面监测和管理。以报表的形式清晰的反映系统操作员的操作记录，系统参数的修改记录，系统登录记录，系统故障及处理记录，系统运行方案的历史记录，交通阻塞报警及处理记录。</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系统主要设备（交通信号控制机、车辆检测器等）具有完备的自动检测功能，实时检测当前硬件工作状态、软件运行状态及通信状态，检测到有故障产生时应根据故障级别进行相应处理，必要时进行故障降级处理，并记录故障信息，在通讯正常的情况下实时将故障信息上报系统。未联机的情况下可本地保存。</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软件自检功能</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交通信号参数检测功能</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硬件检测功能</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39" w:name="_Toc47350446"/>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（2）.信号机主要技术指标要求</w:t>
      </w:r>
      <w:bookmarkEnd w:id="139"/>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具备区域联控和单点自控（单点优化、线控、单点无电缆线控、感应、多时段、闪灯、全红、关灯、手控）等多种工作方式；</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采用了EMC电磁兼容性设计技术，具有良好的防电网浪涌、防雷击措施；具有漏电保护功能；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全天候室外机箱，整机全模块化（插件单元）设计，系统的硬件配置可作弹性调整，机器维修能简化为功能模块现场快速代换；</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16相位控制，相序、相位含义可由用户设置；信号机按普通日，星期和节假日三种日期类型，每种日期类型具有16个时段（共48个时段）；具有20个控制方案，每种类型将每天24个小时划分为16个时段，根据不同的时段选择相应的控制方案；</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应具备主控单元失效处置功能，当主控单元发生故障时，信号机能继续执行定周期工作方式，无灭灯现象；此时当信号机出现绿冲突、信号灯组红灯、绿灯同时点亮或某信号组所有红灯均熄灭故障时，信号机能立即转入黄闪控制方式。当主控单元故障解除时，能自动恢复自主控制；（须提供公安部权威检测机构出具有效期内的检测报告</w:t>
      </w:r>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40" w:name="OLE_LINK66"/>
      <w:r/>
      <w:bookmarkStart w:id="141" w:name="OLE_LINK65"/>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信号控制机在满配条件下可支持36组灯的控制输出，按通常一个路口4组信号灯的设置，可同时控制3个路口信号灯，且可分别独立运行不同的控制模式及方案；信号控制机也可将信号灯组的输出用于人行信号灯的控制；（须提供公安部权威检测机构出具有效期内的检测报告</w:t>
      </w:r>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bookmarkEnd w:id="140"/>
      <w:r/>
      <w:bookmarkEnd w:id="141"/>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自带16路线圈检测器输入，可扩充到32路，每路检测器具有自适应、自调协、自恢复功能，具有高稳定性、高适应性特点；不用中继，最大馈线长度可到500米；同时设备可接二种以上类型的车辆检测器（环形线圈、微波、雷达、视频等多种车辆检测器）；</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通信接口丰富，包括10MBits/100MBits以太网接口（隔离变压器防雷）、USB主机端口(与USB V2.0 全速及低速规范兼容)、多个Rs232/Rs485通用异步串口、多个高隔离并行通信接口；可以实现与符合TCP\IP协议的局域网、PDA型手持终端、笔记本电脑、区域机、串口服务器、交换机、光端机等多种外设无缝连接；</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至少可控制4块通信式三色倒计时显示屏，并可扩充至16块；为适应优化或线控的需要，可以使倒计时显示屏变频显示；</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可设“特殊日”、“星期”和“普通”三种模式，可指定多于32个特殊日配时方案，可设99天特殊日，每天可设16个时段和20种配时方案；</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2个RS232、1个RS422串行通信口、1个RJ45网络接口；</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具有GPS对时功能，同时信号机本身具有高精度（±2ppm from 0°C to +40°C，±3.5ppm from -40°C to +85°C）的实时时钟（掉电计时功能）来同步多个整机设备的无电缆线控；</w:t>
      </w:r>
      <w:r/>
    </w:p>
    <w:p>
      <w:pPr>
        <w:ind w:firstLine="420"/>
        <w:jc w:val="left"/>
        <w:keepLines w:val="0"/>
        <w:keepNext w:val="0"/>
        <w:pageBreakBefore w:val="0"/>
        <w:spacing w:line="312"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可根据用户的合理需求修改相应功能。</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42" w:name="_Toc47350447"/>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（3）.其他功能</w:t>
      </w:r>
      <w:bookmarkEnd w:id="142"/>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可接4个行人过街请求按钮，1个警察手动按钮，可接无线遥控手控；</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具有GPS对时功能；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配时方案、相位差可设置三位数；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工作方式变化时，红绿灯信号自动平滑过渡；</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具有掉电保护功能，工作参数可保存十年不丢失，时钟至少可保持三个月不丢失；</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信号机内部使用汉字显示系统；</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通过公安网与区域计算机通信，能向区域计算机传送多种状态故障信息和车辆检测信息，能接收执行定相控制、模拟手动、绿波控制、信号配时、指定灯色等中心计算机、区域计算机、终端计算机发送的各种控制指令；</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通过手持终端、掌上电脑、笔记本计算机，能对信号机的主要参数进行现场调看和设置；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通过区域计算机和终端计算机，能对信号机的主要参数进行远程调看和设置；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能和现有正常工作的分系统如电子警察系统协调工作；</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可以接入我区的现有的信号控制系统，与我区现有路口的信号机实施绿波协调控制。</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43" w:name="_Toc47350448"/>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（4）.主要电气指标</w:t>
      </w:r>
      <w:bookmarkEnd w:id="143"/>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每路驱动功率：≥800W（AC220V）；</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交流输入：220（+15%～－20%）VAC，50±2HZ；</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输入功耗：小于50W（不含信号灯）；</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工作温度：－20℃～+70℃；</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相对湿度：5～95%；   </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绝缘电阻：≥10MΩ。</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44" w:name="_Toc47350449"/>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（5）.信号机箱要求</w:t>
      </w:r>
      <w:bookmarkEnd w:id="144"/>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45" w:name="OLE_LINK67"/>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▲外壳对外界机械碰撞的防护等级达到IK10。（须提供公安部权威检测机构出具的有效期内的检测报告</w:t>
      </w:r>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bookmarkEnd w:id="145"/>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增强型机箱设计，有防雨、防潮、防尘、防震能力；高级防锈蚀和抗风化表面处理工艺，完全适合全天候的户外运行；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整机全模块化（插件单元）设计，使系统的硬件配置可大可小，而且机器的维修被简化为功能模块的现场快速代换；</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机箱顶开口能放GPS天线和GPRS天线；</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预留标准电源插座1只以上；</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体积：高≥1200mm、宽≥600mm、深≥400mm。</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机箱内、外表面应光洁、平整，不应有凹痕、划伤、裂缝、变形等缺陷；具备防雨、防潮、防尘、防震的能力，表面做高级防锈蚀以及抗风化处理，能适应全天候的户外运行；</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箱门的最大开启角度≥120°，门轴转动部件采用不锈钢材料，门接缝处应有弹性的密封垫，密封垫应连续设置，不得有间断缺口；机箱门应设有牢固的门锁，门锁锁芯采用铜材，开锁要方便，钥匙单一通用；门锁上后，不应有松动、变形等现象；</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机箱顶盖上设置射频窗，采用工程塑料制作，大小应满足：长200±30mm、宽120±20mm；在射频窗下设有天线托盘，大小应满足：长200±30mm、宽120±20mm、高35±5mm；</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机箱内侧应设有轨道式端子排，用于交流防雷、断路空开和模数化取电插座的安装；右侧应设有倒计时防雷器专用安装位置；</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信号机箱底部中心位置设接线孔，直径≥130㎜，并进行倒角，不得有锋利的边缘；</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箱体使用Q235A冷轧钢板制作，材料厚度≥1.5mm；</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加工外形尺寸误差≤±2mm，箱体垂直度（对角线）和平面度误差≤±1.5mm；</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焊接部件必须牢固可靠，焊缝平整无焊渣，焊后修平；</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表面喷涂环氧聚酯粉料，颜色为冰灰平光，均匀无瑕疵；</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箱体体应有良好的保护接地，接地装置应符合GB50169规范要求，接地电阻≤4Ω；</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其它指标符合国家标准。</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46" w:name="_Toc47350450"/>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（6）.信号机软件</w:t>
      </w:r>
      <w:bookmarkEnd w:id="146"/>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bookmarkStart w:id="147" w:name="OLE_LINK68"/>
      <w:r/>
      <w:bookmarkStart w:id="148" w:name="OLE_LINK69"/>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▲提供计算机软件著作权登记证书（须提供在有效期内的证书</w:t>
      </w:r>
      <w:r>
        <w:rPr>
          <w:rFonts w:hint="eastAsia" w:ascii="宋体" w:hAnsi="宋体" w:eastAsia="宋体" w:cs="宋体"/>
          <w:b/>
          <w:bCs/>
          <w:i w:val="0"/>
          <w:iCs w:val="0"/>
          <w:strike w:val="0"/>
          <w:color w:val="000000" w:themeColor="text1"/>
          <w:sz w:val="21"/>
          <w:szCs w:val="21"/>
          <w:highlight w:val="none"/>
          <w:u w:val="none"/>
          <w:lang w:val="en-US" w:eastAsia="zh-CN"/>
          <w14:textFill>
            <w14:solidFill>
              <w14:schemeClr w14:val="tx1"/>
            </w14:solidFill>
          </w14:textFill>
        </w:rPr>
        <w:t xml:space="preserve">原件扫描件</w:t>
      </w: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w:t>
      </w:r>
      <w:bookmarkEnd w:id="147"/>
      <w:r/>
      <w:bookmarkEnd w:id="148"/>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（7）.接地</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接地使用接地体。但距主机箱的距离不宜小于3m，最大不得超过6m；</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设备机箱的专用接地端子应与接地体/接地棒有效连接，接地电阻应小于4Ω，引入设备机箱的接地线应使用软铜绞线，其截面不得小于10mm2；</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接地体/接地棒施工应符合GB50169的规定。</w:t>
      </w:r>
      <w:r/>
    </w:p>
    <w:p>
      <w:pPr>
        <w:ind w:firstLine="420"/>
        <w:jc w:val="left"/>
        <w:keepLines w:val="0"/>
        <w:keepNext w:val="0"/>
        <w:pageBreakBefore w:val="0"/>
        <w:spacing w:line="312" w:lineRule="auto"/>
        <w:widowControl w:val="off"/>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（8）.交通信号控制机接线要求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电缆安装时，标识应符合下列要求：</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在电缆终端头、接头、拐弯处、管道的两端、窨井内等处的电缆上应装设标识；</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标识上应注明线路编号，无编号时，应注明起迄地点，并联使用的电缆应有顺序号。标识的字迹应清晰不易脱落；</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与信号机的各端子连接的各类电缆，应使用指形、叉形或O形的冷压端子进行冷压连接；</w:t>
      </w:r>
      <w:r/>
    </w:p>
    <w:p>
      <w:pPr>
        <w:ind w:firstLine="420"/>
        <w:jc w:val="left"/>
        <w:keepLines w:val="0"/>
        <w:keepNext w:val="0"/>
        <w:pageBreakBefore w:val="0"/>
        <w:spacing w:line="312"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信号机内电缆应严格按照电工规范进行整理。</w:t>
      </w:r>
      <w:bookmarkEnd w:id="136"/>
      <w:r/>
      <w:bookmarkEnd w:id="137"/>
      <w:r/>
      <w:r/>
    </w:p>
    <w:p>
      <w:pPr>
        <w:rPr>
          <w:rFonts w:hint="eastAsia" w:ascii="宋体" w:hAnsi="宋体"/>
          <w:color w:val="000000" w:themeColor="text1"/>
          <w:sz w:val="36"/>
          <w:highlight w:val="none"/>
          <w14:textFill>
            <w14:solidFill>
              <w14:schemeClr w14:val="tx1"/>
            </w14:solidFill>
          </w14:textFill>
        </w:rPr>
      </w:pPr>
      <w:r/>
      <w:bookmarkStart w:id="149" w:name="_Toc500859148"/>
      <w:r>
        <w:rPr>
          <w:rFonts w:hint="eastAsia" w:ascii="宋体" w:hAnsi="宋体"/>
          <w:color w:val="000000" w:themeColor="text1"/>
          <w:sz w:val="36"/>
          <w:highlight w:val="none"/>
          <w14:textFill>
            <w14:solidFill>
              <w14:schemeClr w14:val="tx1"/>
            </w14:solidFill>
          </w14:textFill>
        </w:rPr>
        <w:br w:type="page" w:clear="all"/>
      </w:r>
      <w:r/>
    </w:p>
    <w:p>
      <w:pPr>
        <w:pStyle w:val="651"/>
        <w:jc w:val="center"/>
        <w:spacing w:line="240" w:lineRule="auto"/>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第五章 评标方法及评标标准</w:t>
      </w:r>
      <w:bookmarkEnd w:id="149"/>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w:t>
      </w:r>
      <w:r/>
    </w:p>
    <w:p>
      <w:pPr>
        <w:pStyle w:val="868"/>
        <w:ind w:firstLine="105"/>
        <w:rPr>
          <w:rFonts w:hint="eastAsia" w:ascii="宋体" w:hAnsi="宋体" w:eastAsia="宋体" w:cs="宋体"/>
          <w:b/>
          <w:bCs/>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1"/>
          <w:szCs w:val="21"/>
          <w:highlight w:val="none"/>
          <w:u w:val="none"/>
          <w14:textFill>
            <w14:solidFill>
              <w14:schemeClr w14:val="tx1"/>
            </w14:solidFill>
          </w14:textFill>
        </w:rPr>
        <w:t xml:space="preserve">政府采购政策功能落实</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1、小微型企业价格扣除</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（1）本项目对小型和微型企业产品给予20%的扣除价格，用扣除后的价格参与评审。</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（2）投标人需按照采购文件的要求提供相应的《</w:t>
      </w:r>
      <w:r>
        <w:rPr>
          <w:rFonts w:hint="eastAsia" w:ascii="宋体" w:hAnsi="宋体" w:eastAsia="宋体" w:cs="宋体"/>
          <w:i w:val="0"/>
          <w:iCs w:val="0"/>
          <w:color w:val="000000" w:themeColor="text1"/>
          <w:sz w:val="21"/>
          <w:szCs w:val="21"/>
          <w:highlight w:val="none"/>
          <w:u w:val="none"/>
          <w:lang w:val="en-US" w:eastAsia="zh-CN"/>
          <w14:textFill>
            <w14:solidFill>
              <w14:schemeClr w14:val="tx1"/>
            </w14:solidFill>
          </w14:textFill>
        </w:rPr>
        <w:t xml:space="preserve">中小</w:t>
      </w: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企业声明函》。</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2、残疾人福利单位价格扣除</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（1）本项目对残疾人福利性单位视同小型、微型企业，给予20%的价格扣除，用扣除</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后的价格参与评审。</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（2）残疾人福利单位需按照采购文件的要求提供《残疾人福利性单位声明函》。</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（3）残疾人福利单位标准请参照《关于促进残疾人就业政府采购政策的通知》（财库</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〔2017〕141号）。</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3、监狱和戒毒企业价格扣除</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（1）本项目对监狱和戒毒企业（简称监狱企业）视同小型、微型企业，给予20%的价</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格扣除，用扣除后的价格参与评审。</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jc w:val="left"/>
        <w:keepLines w:val="0"/>
        <w:keepNext w:val="0"/>
        <w:pageBreakBefore w:val="0"/>
        <w:spacing w:line="360" w:lineRule="auto"/>
        <w:widowControl w:val="off"/>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（3）监狱企业标准请参照《关于政府采购支持监狱企业发展有关问题的通知》（财库[2014]68号）。</w:t>
      </w:r>
      <w:r/>
    </w:p>
    <w:p>
      <w:pPr>
        <w:ind w:firstLine="420"/>
        <w:jc w:val="left"/>
        <w:keepLines w:val="0"/>
        <w:keepNext w:val="0"/>
        <w:pageBreakBefore w:val="0"/>
        <w:spacing w:line="360" w:lineRule="auto"/>
        <w:widowControl w:val="off"/>
        <w:rPr>
          <w:rFonts w:ascii="宋体" w:hAnsi="宋体"/>
          <w:color w:val="000000" w:themeColor="text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14:textFill>
            <w14:solidFill>
              <w14:schemeClr w14:val="tx1"/>
            </w14:solidFill>
          </w14:textFill>
        </w:rPr>
        <w:t xml:space="preserve">4、残疾人福利单位、监狱企业属于小型、微型企业的，不重复享受政策。</w:t>
      </w:r>
      <w:r/>
    </w:p>
    <w:p>
      <w:pPr>
        <w:pStyle w:val="868"/>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br w:type="page" w:clear="all"/>
      </w:r>
      <w:r/>
    </w:p>
    <w:p>
      <w:pPr>
        <w:pStyle w:val="868"/>
        <w:ind w:firstLine="479"/>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三、评标标准</w:t>
      </w:r>
      <w:r/>
    </w:p>
    <w:tbl>
      <w:tblPr>
        <w:tblStyle w:val="661"/>
        <w:tblW w:w="9219"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341"/>
        <w:gridCol w:w="887"/>
        <w:gridCol w:w="6991"/>
      </w:tblGrid>
      <w:tr>
        <w:trPr>
          <w:jc w:val="center"/>
          <w:trHeight w:val="431"/>
        </w:trPr>
        <w:tc>
          <w:tcPr>
            <w:tcW w:w="1341" w:type="dxa"/>
            <w:vAlign w:val="center"/>
            <w:textDirection w:val="lrTb"/>
            <w:noWrap w:val="false"/>
          </w:tcPr>
          <w:p>
            <w:pPr>
              <w:jc w:val="center"/>
              <w:spacing w:line="48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评审项目</w:t>
            </w:r>
            <w:r/>
          </w:p>
        </w:tc>
        <w:tc>
          <w:tcPr>
            <w:tcW w:w="887" w:type="dxa"/>
            <w:vAlign w:val="center"/>
            <w:textDirection w:val="lrTb"/>
            <w:noWrap w:val="false"/>
          </w:tcPr>
          <w:p>
            <w:pPr>
              <w:jc w:val="center"/>
              <w:spacing w:line="48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标准分</w:t>
            </w:r>
            <w:r/>
          </w:p>
        </w:tc>
        <w:tc>
          <w:tcPr>
            <w:tcW w:w="6991" w:type="dxa"/>
            <w:vAlign w:val="center"/>
            <w:textDirection w:val="lrTb"/>
            <w:noWrap w:val="false"/>
          </w:tcPr>
          <w:p>
            <w:pPr>
              <w:ind w:firstLine="420"/>
              <w:jc w:val="center"/>
              <w:spacing w:line="48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  分  标  准</w:t>
            </w:r>
            <w:r/>
          </w:p>
        </w:tc>
      </w:tr>
      <w:tr>
        <w:trPr>
          <w:jc w:val="center"/>
          <w:trHeight w:val="849"/>
        </w:trPr>
        <w:tc>
          <w:tcPr>
            <w:tcW w:w="1341" w:type="dxa"/>
            <w:vAlign w:val="center"/>
            <w:textDirection w:val="lrTb"/>
            <w:noWrap w:val="false"/>
          </w:tcPr>
          <w:p>
            <w:pPr>
              <w:jc w:val="center"/>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投标报价</w:t>
            </w:r>
            <w:r/>
          </w:p>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887" w:type="dxa"/>
            <w:vAlign w:val="center"/>
            <w:textDirection w:val="lrTb"/>
            <w:noWrap w:val="false"/>
          </w:tcPr>
          <w:p>
            <w:pPr>
              <w:jc w:val="center"/>
              <w:spacing w:line="48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30分</w:t>
            </w:r>
            <w:r/>
          </w:p>
        </w:tc>
        <w:tc>
          <w:tcPr>
            <w:tcW w:w="6991" w:type="dxa"/>
            <w:vAlign w:val="center"/>
            <w:textDirection w:val="lrTb"/>
            <w:noWrap w:val="false"/>
          </w:tcPr>
          <w:p>
            <w:pPr>
              <w:ind w:firstLine="420"/>
              <w:rPr>
                <w:rFonts w:ascii="宋体" w:hAnsi="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以满足招标文件要求的最低报价为基准价，得3</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分，其他报价=（基准价/其他投标报价）×30×100%，超过</w:t>
            </w:r>
            <w:r>
              <w:rPr>
                <w:rFonts w:hint="eastAsia"/>
                <w:color w:val="000000" w:themeColor="text1"/>
                <w:highlight w:val="none"/>
                <w:lang w:eastAsia="zh-CN"/>
                <w14:textFill>
                  <w14:solidFill>
                    <w14:schemeClr w14:val="tx1"/>
                  </w14:solidFill>
                </w14:textFill>
              </w:rPr>
              <w:t xml:space="preserve">最高限价</w:t>
            </w:r>
            <w:r>
              <w:rPr>
                <w:rFonts w:hint="eastAsia"/>
                <w:color w:val="000000" w:themeColor="text1"/>
                <w:highlight w:val="none"/>
                <w14:textFill>
                  <w14:solidFill>
                    <w14:schemeClr w14:val="tx1"/>
                  </w14:solidFill>
                </w14:textFill>
              </w:rPr>
              <w:t xml:space="preserve">的为无效投标。</w:t>
            </w:r>
            <w:r/>
          </w:p>
        </w:tc>
      </w:tr>
      <w:tr>
        <w:trPr>
          <w:jc w:val="center"/>
          <w:trHeight w:val="1035"/>
        </w:trPr>
        <w:tc>
          <w:tcPr>
            <w:tcW w:w="1341" w:type="dxa"/>
            <w:vAlign w:val="center"/>
            <w:textDirection w:val="lrTb"/>
            <w:noWrap w:val="false"/>
          </w:tcPr>
          <w:p>
            <w:pPr>
              <w:jc w:val="center"/>
              <w:widowControl/>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技术参数</w:t>
            </w:r>
            <w:r/>
          </w:p>
          <w:p>
            <w:pPr>
              <w:jc w:val="center"/>
              <w:widowControl/>
              <w:rPr>
                <w:rFonts w:hint="eastAsia" w:ascii="宋体" w:hAnsi="宋体"/>
                <w:color w:val="000000" w:themeColor="text1"/>
                <w:szCs w:val="2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响应</w:t>
            </w:r>
            <w:r/>
          </w:p>
        </w:tc>
        <w:tc>
          <w:tcPr>
            <w:tcW w:w="887" w:type="dxa"/>
            <w:vAlign w:val="center"/>
            <w:textDirection w:val="lrTb"/>
            <w:noWrap w:val="false"/>
          </w:tcPr>
          <w:p>
            <w:pPr>
              <w:jc w:val="center"/>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30分</w:t>
            </w:r>
            <w:r/>
          </w:p>
        </w:tc>
        <w:tc>
          <w:tcPr>
            <w:tcW w:w="6991" w:type="dxa"/>
            <w:vAlign w:val="center"/>
            <w:textDirection w:val="lrTb"/>
            <w:noWrap w:val="false"/>
          </w:tcPr>
          <w:p>
            <w:pPr>
              <w:ind w:firstLine="420"/>
              <w:widowControl/>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招标文件中标注“▲”的内容为重要参数，对这些重要参数的负偏离，以及不能按</w:t>
            </w:r>
            <w:r>
              <w:rPr>
                <w:rFonts w:hint="eastAsia" w:ascii="宋体" w:hAnsi="宋体"/>
                <w:color w:val="000000" w:themeColor="text1"/>
                <w:sz w:val="21"/>
                <w:szCs w:val="21"/>
                <w:highlight w:val="none"/>
                <w:lang w:val="en-US" w:eastAsia="zh-CN"/>
                <w14:textFill>
                  <w14:solidFill>
                    <w14:schemeClr w14:val="tx1"/>
                  </w14:solidFill>
                </w14:textFill>
              </w:rPr>
              <w:t xml:space="preserve">招标文件</w:t>
            </w:r>
            <w:r>
              <w:rPr>
                <w:rFonts w:hint="eastAsia" w:ascii="宋体" w:hAnsi="宋体"/>
                <w:color w:val="000000" w:themeColor="text1"/>
                <w:sz w:val="21"/>
                <w:szCs w:val="21"/>
                <w:highlight w:val="none"/>
                <w14:textFill>
                  <w14:solidFill>
                    <w14:schemeClr w14:val="tx1"/>
                  </w14:solidFill>
                </w14:textFill>
              </w:rPr>
              <w:t xml:space="preserve">要求提供相关证明文件的视为未响应，则每项扣</w:t>
            </w: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color w:val="000000" w:themeColor="text1"/>
                <w:sz w:val="21"/>
                <w:szCs w:val="21"/>
                <w:highlight w:val="none"/>
                <w14:textFill>
                  <w14:solidFill>
                    <w14:schemeClr w14:val="tx1"/>
                  </w14:solidFill>
                </w14:textFill>
              </w:rPr>
              <w:t xml:space="preserve">分，扣完为止。本项</w:t>
            </w:r>
            <w:r>
              <w:rPr>
                <w:rFonts w:hint="eastAsia" w:ascii="宋体" w:hAnsi="宋体"/>
                <w:color w:val="000000" w:themeColor="text1"/>
                <w:sz w:val="21"/>
                <w:szCs w:val="21"/>
                <w:highlight w:val="none"/>
                <w:lang w:val="en-US" w:eastAsia="zh-CN"/>
                <w14:textFill>
                  <w14:solidFill>
                    <w14:schemeClr w14:val="tx1"/>
                  </w14:solidFill>
                </w14:textFill>
              </w:rPr>
              <w:t xml:space="preserve">满分30</w:t>
            </w:r>
            <w:r>
              <w:rPr>
                <w:rFonts w:hint="eastAsia" w:ascii="宋体" w:hAnsi="宋体"/>
                <w:color w:val="000000" w:themeColor="text1"/>
                <w:sz w:val="21"/>
                <w:szCs w:val="21"/>
                <w:highlight w:val="none"/>
                <w14:textFill>
                  <w14:solidFill>
                    <w14:schemeClr w14:val="tx1"/>
                  </w14:solidFill>
                </w14:textFill>
              </w:rPr>
              <w:t xml:space="preserve">分。</w:t>
            </w:r>
            <w:r>
              <w:rPr>
                <w:rFonts w:hint="eastAsia" w:ascii="宋体" w:hAnsi="宋体"/>
                <w:color w:val="000000" w:themeColor="text1"/>
                <w:sz w:val="21"/>
                <w:szCs w:val="21"/>
                <w:highlight w:val="none"/>
                <w:lang w:val="zh-CN" w:eastAsia="zh-CN"/>
                <w14:textFill>
                  <w14:solidFill>
                    <w14:schemeClr w14:val="tx1"/>
                  </w14:solidFill>
                </w14:textFill>
              </w:rPr>
              <w:t xml:space="preserve"> </w:t>
            </w:r>
            <w:r/>
          </w:p>
        </w:tc>
      </w:tr>
      <w:tr>
        <w:trPr>
          <w:jc w:val="center"/>
          <w:trHeight w:val="340"/>
        </w:trPr>
        <w:tc>
          <w:tcPr>
            <w:tcW w:w="1341" w:type="dxa"/>
            <w:vAlign w:val="center"/>
            <w:vMerge w:val="restart"/>
            <w:textDirection w:val="lrTb"/>
            <w:noWrap w:val="false"/>
          </w:tcPr>
          <w:p>
            <w:pPr>
              <w:jc w:val="center"/>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技术方案</w:t>
            </w:r>
            <w:r/>
          </w:p>
        </w:tc>
        <w:tc>
          <w:tcPr>
            <w:tcW w:w="887" w:type="dxa"/>
            <w:vAlign w:val="center"/>
            <w:vMerge w:val="restart"/>
            <w:textDirection w:val="lrTb"/>
            <w:noWrap w:val="false"/>
          </w:tcPr>
          <w:p>
            <w:pPr>
              <w:jc w:val="center"/>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30</w:t>
            </w:r>
            <w:r>
              <w:rPr>
                <w:rFonts w:hint="eastAsia" w:ascii="宋体" w:hAnsi="宋体"/>
                <w:color w:val="000000" w:themeColor="text1"/>
                <w:szCs w:val="21"/>
                <w:highlight w:val="none"/>
                <w14:textFill>
                  <w14:solidFill>
                    <w14:schemeClr w14:val="tx1"/>
                  </w14:solidFill>
                </w14:textFill>
              </w:rPr>
              <w:t xml:space="preserve">分</w:t>
            </w:r>
            <w:r/>
          </w:p>
        </w:tc>
        <w:tc>
          <w:tcPr>
            <w:tcW w:w="6991" w:type="dxa"/>
            <w:vAlign w:val="center"/>
            <w:textDirection w:val="lrTb"/>
            <w:noWrap w:val="false"/>
          </w:tcPr>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对项目总体设想、组织形式、各项管理目标、控制措施、施工的协调措施等内容进行评审。满分</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10</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方案完整详尽、具有一定的专业性及可行性，</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投标人</w:t>
            </w:r>
            <w:r>
              <w:rPr>
                <w:rFonts w:hint="eastAsia" w:ascii="Times New Roman" w:hAnsi="Times New Roman" w:eastAsia="宋体" w:cs="Times New Roman"/>
                <w:color w:val="000000" w:themeColor="text1"/>
                <w:highlight w:val="none"/>
                <w14:textFill>
                  <w14:solidFill>
                    <w14:schemeClr w14:val="tx1"/>
                  </w14:solidFill>
                </w14:textFill>
              </w:rPr>
              <w:t xml:space="preserve">提供的方案能全面响应</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项目需求</w:t>
            </w:r>
            <w:r>
              <w:rPr>
                <w:rFonts w:hint="eastAsia" w:ascii="Times New Roman" w:hAnsi="Times New Roman" w:eastAsia="宋体" w:cs="Times New Roman"/>
                <w:color w:val="000000" w:themeColor="text1"/>
                <w:highlight w:val="none"/>
                <w14:textFill>
                  <w14:solidFill>
                    <w14:schemeClr w14:val="tx1"/>
                  </w14:solidFill>
                </w14:textFill>
              </w:rPr>
              <w:t xml:space="preserve">并提供更为针对性、可行性、细致性与本项目相关内容的方案，能完全符合或优于项目需求的，得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10</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方案完整、可行、思路清晰，能符合项目需求的，得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方案较为完整、可行、思路较清晰，能基本符合项目需求的，得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方案</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一般</w:t>
            </w:r>
            <w:r>
              <w:rPr>
                <w:rFonts w:hint="eastAsia" w:ascii="Times New Roman" w:hAnsi="Times New Roman" w:eastAsia="宋体" w:cs="Times New Roman"/>
                <w:color w:val="000000" w:themeColor="text1"/>
                <w:highlight w:val="none"/>
                <w14:textFill>
                  <w14:solidFill>
                    <w14:schemeClr w14:val="tx1"/>
                  </w14:solidFill>
                </w14:textFill>
              </w:rPr>
              <w:t xml:space="preserve">、可行性</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略</w:t>
            </w:r>
            <w:r>
              <w:rPr>
                <w:rFonts w:hint="eastAsia" w:ascii="Times New Roman" w:hAnsi="Times New Roman" w:eastAsia="宋体" w:cs="Times New Roman"/>
                <w:color w:val="000000" w:themeColor="text1"/>
                <w:highlight w:val="none"/>
                <w14:textFill>
                  <w14:solidFill>
                    <w14:schemeClr w14:val="tx1"/>
                  </w14:solidFill>
                </w14:textFill>
              </w:rPr>
              <w:t xml:space="preserve">差、项目需求响应</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一般</w:t>
            </w:r>
            <w:r>
              <w:rPr>
                <w:rFonts w:hint="eastAsia" w:ascii="Times New Roman" w:hAnsi="Times New Roman" w:eastAsia="宋体" w:cs="Times New Roman"/>
                <w:color w:val="000000" w:themeColor="text1"/>
                <w:highlight w:val="none"/>
                <w14:textFill>
                  <w14:solidFill>
                    <w14:schemeClr w14:val="tx1"/>
                  </w14:solidFill>
                </w14:textFill>
              </w:rPr>
              <w:t xml:space="preserve">，内容简单，该项得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方案不细致、可行性差、项目需求响应度低，内容简单，该项得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未提供的不得分。</w:t>
            </w:r>
            <w:r/>
          </w:p>
        </w:tc>
      </w:tr>
      <w:tr>
        <w:trPr>
          <w:jc w:val="center"/>
          <w:trHeight w:val="340"/>
        </w:trPr>
        <w:tc>
          <w:tcPr>
            <w:tcW w:w="1341" w:type="dxa"/>
            <w:vAlign w:val="center"/>
            <w:vMerge w:val="continue"/>
            <w:textDirection w:val="lrTb"/>
            <w:noWrap w:val="false"/>
          </w:tcPr>
          <w:p>
            <w:pPr>
              <w:pStyle w:val="868"/>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87" w:type="dxa"/>
            <w:vAlign w:val="center"/>
            <w:vMerge w:val="continue"/>
            <w:textDirection w:val="lrTb"/>
            <w:noWrap w:val="false"/>
          </w:tcPr>
          <w:p>
            <w:pPr>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r>
            <w:r/>
          </w:p>
        </w:tc>
        <w:tc>
          <w:tcPr>
            <w:tcW w:w="6991" w:type="dxa"/>
            <w:vAlign w:val="center"/>
            <w:textDirection w:val="lrTb"/>
            <w:noWrap w:val="false"/>
          </w:tcPr>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针对施工工艺、施工方法、检验方案、测量方案、验收质量规范</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等</w:t>
            </w:r>
            <w:r>
              <w:rPr>
                <w:rFonts w:hint="eastAsia" w:ascii="Times New Roman" w:hAnsi="Times New Roman" w:eastAsia="宋体" w:cs="Times New Roman"/>
                <w:color w:val="000000" w:themeColor="text1"/>
                <w:highlight w:val="none"/>
                <w14:textFill>
                  <w14:solidFill>
                    <w14:schemeClr w14:val="tx1"/>
                  </w14:solidFill>
                </w14:textFill>
              </w:rPr>
              <w:t xml:space="preserve">方面进行评审。满分</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10</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施工</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工艺</w:t>
            </w:r>
            <w:r>
              <w:rPr>
                <w:rFonts w:hint="eastAsia" w:ascii="Times New Roman" w:hAnsi="Times New Roman" w:eastAsia="宋体" w:cs="Times New Roman"/>
                <w:color w:val="000000" w:themeColor="text1"/>
                <w:highlight w:val="none"/>
                <w14:textFill>
                  <w14:solidFill>
                    <w14:schemeClr w14:val="tx1"/>
                  </w14:solidFill>
                </w14:textFill>
              </w:rPr>
              <w:t xml:space="preserve">、</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检测方案等</w:t>
            </w:r>
            <w:r>
              <w:rPr>
                <w:rFonts w:hint="eastAsia" w:ascii="Times New Roman" w:hAnsi="Times New Roman" w:eastAsia="宋体" w:cs="Times New Roman"/>
                <w:color w:val="000000" w:themeColor="text1"/>
                <w:highlight w:val="none"/>
                <w14:textFill>
                  <w14:solidFill>
                    <w14:schemeClr w14:val="tx1"/>
                  </w14:solidFill>
                </w14:textFill>
              </w:rPr>
              <w:t xml:space="preserve">方案完整详尽、具有一定的专业性及可行性，</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投标人</w:t>
            </w:r>
            <w:r>
              <w:rPr>
                <w:rFonts w:hint="eastAsia" w:ascii="Times New Roman" w:hAnsi="Times New Roman" w:eastAsia="宋体" w:cs="Times New Roman"/>
                <w:color w:val="000000" w:themeColor="text1"/>
                <w:highlight w:val="none"/>
                <w14:textFill>
                  <w14:solidFill>
                    <w14:schemeClr w14:val="tx1"/>
                  </w14:solidFill>
                </w14:textFill>
              </w:rPr>
              <w:t xml:space="preserve">提供的方案能全面响应要求并提供更为针对性、可行性、细致性与本项目相关内容的方案，能完全符合或优于项目需求的，得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10</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施工</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工艺</w:t>
            </w:r>
            <w:r>
              <w:rPr>
                <w:rFonts w:hint="eastAsia" w:ascii="Times New Roman" w:hAnsi="Times New Roman" w:eastAsia="宋体" w:cs="Times New Roman"/>
                <w:color w:val="000000" w:themeColor="text1"/>
                <w:highlight w:val="none"/>
                <w14:textFill>
                  <w14:solidFill>
                    <w14:schemeClr w14:val="tx1"/>
                  </w14:solidFill>
                </w14:textFill>
              </w:rPr>
              <w:t xml:space="preserve">、</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检测方案等</w:t>
            </w:r>
            <w:r>
              <w:rPr>
                <w:rFonts w:hint="eastAsia" w:ascii="Times New Roman" w:hAnsi="Times New Roman" w:eastAsia="宋体" w:cs="Times New Roman"/>
                <w:color w:val="000000" w:themeColor="text1"/>
                <w:highlight w:val="none"/>
                <w14:textFill>
                  <w14:solidFill>
                    <w14:schemeClr w14:val="tx1"/>
                  </w14:solidFill>
                </w14:textFill>
              </w:rPr>
              <w:t xml:space="preserve">方案完整、可行、思路较清晰，能符合项目需求的，得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施工</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工艺</w:t>
            </w:r>
            <w:r>
              <w:rPr>
                <w:rFonts w:hint="eastAsia" w:ascii="Times New Roman" w:hAnsi="Times New Roman" w:eastAsia="宋体" w:cs="Times New Roman"/>
                <w:color w:val="000000" w:themeColor="text1"/>
                <w:highlight w:val="none"/>
                <w14:textFill>
                  <w14:solidFill>
                    <w14:schemeClr w14:val="tx1"/>
                  </w14:solidFill>
                </w14:textFill>
              </w:rPr>
              <w:t xml:space="preserve">、</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检测方案等</w:t>
            </w:r>
            <w:r>
              <w:rPr>
                <w:rFonts w:hint="eastAsia" w:ascii="Times New Roman" w:hAnsi="Times New Roman" w:eastAsia="宋体" w:cs="Times New Roman"/>
                <w:color w:val="000000" w:themeColor="text1"/>
                <w:highlight w:val="none"/>
                <w14:textFill>
                  <w14:solidFill>
                    <w14:schemeClr w14:val="tx1"/>
                  </w14:solidFill>
                </w14:textFill>
              </w:rPr>
              <w:t xml:space="preserve">方案较为完整、可行、思路较清晰，能基本符合项目需求的，得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施工</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工艺</w:t>
            </w:r>
            <w:r>
              <w:rPr>
                <w:rFonts w:hint="eastAsia" w:ascii="Times New Roman" w:hAnsi="Times New Roman" w:eastAsia="宋体" w:cs="Times New Roman"/>
                <w:color w:val="000000" w:themeColor="text1"/>
                <w:highlight w:val="none"/>
                <w14:textFill>
                  <w14:solidFill>
                    <w14:schemeClr w14:val="tx1"/>
                  </w14:solidFill>
                </w14:textFill>
              </w:rPr>
              <w:t xml:space="preserve">、</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检测方案等</w:t>
            </w:r>
            <w:r>
              <w:rPr>
                <w:rFonts w:hint="eastAsia" w:ascii="Times New Roman" w:hAnsi="Times New Roman" w:eastAsia="宋体" w:cs="Times New Roman"/>
                <w:color w:val="000000" w:themeColor="text1"/>
                <w:highlight w:val="none"/>
                <w14:textFill>
                  <w14:solidFill>
                    <w14:schemeClr w14:val="tx1"/>
                  </w14:solidFill>
                </w14:textFill>
              </w:rPr>
              <w:t xml:space="preserve">方案不细致、可行性</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一般</w:t>
            </w:r>
            <w:r>
              <w:rPr>
                <w:rFonts w:hint="eastAsia" w:ascii="Times New Roman" w:hAnsi="Times New Roman" w:eastAsia="宋体" w:cs="Times New Roman"/>
                <w:color w:val="000000" w:themeColor="text1"/>
                <w:highlight w:val="none"/>
                <w14:textFill>
                  <w14:solidFill>
                    <w14:schemeClr w14:val="tx1"/>
                  </w14:solidFill>
                </w14:textFill>
              </w:rPr>
              <w:t xml:space="preserve">、项目需求响应度</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较</w:t>
            </w:r>
            <w:r>
              <w:rPr>
                <w:rFonts w:hint="eastAsia" w:ascii="Times New Roman" w:hAnsi="Times New Roman" w:eastAsia="宋体" w:cs="Times New Roman"/>
                <w:color w:val="000000" w:themeColor="text1"/>
                <w:highlight w:val="none"/>
                <w14:textFill>
                  <w14:solidFill>
                    <w14:schemeClr w14:val="tx1"/>
                  </w14:solidFill>
                </w14:textFill>
              </w:rPr>
              <w:t xml:space="preserve">低，内容</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较</w:t>
            </w:r>
            <w:r>
              <w:rPr>
                <w:rFonts w:hint="eastAsia" w:ascii="Times New Roman" w:hAnsi="Times New Roman" w:eastAsia="宋体" w:cs="Times New Roman"/>
                <w:color w:val="000000" w:themeColor="text1"/>
                <w:highlight w:val="none"/>
                <w14:textFill>
                  <w14:solidFill>
                    <w14:schemeClr w14:val="tx1"/>
                  </w14:solidFill>
                </w14:textFill>
              </w:rPr>
              <w:t xml:space="preserve">简单，该项得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4</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分项施工</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工艺</w:t>
            </w:r>
            <w:r>
              <w:rPr>
                <w:rFonts w:hint="eastAsia" w:ascii="Times New Roman" w:hAnsi="Times New Roman" w:eastAsia="宋体" w:cs="Times New Roman"/>
                <w:color w:val="000000" w:themeColor="text1"/>
                <w:highlight w:val="none"/>
                <w14:textFill>
                  <w14:solidFill>
                    <w14:schemeClr w14:val="tx1"/>
                  </w14:solidFill>
                </w14:textFill>
              </w:rPr>
              <w:t xml:space="preserve">、</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检测方案等</w:t>
            </w:r>
            <w:r>
              <w:rPr>
                <w:rFonts w:hint="eastAsia" w:ascii="Times New Roman" w:hAnsi="Times New Roman" w:eastAsia="宋体" w:cs="Times New Roman"/>
                <w:color w:val="000000" w:themeColor="text1"/>
                <w:highlight w:val="none"/>
                <w14:textFill>
                  <w14:solidFill>
                    <w14:schemeClr w14:val="tx1"/>
                  </w14:solidFill>
                </w14:textFill>
              </w:rPr>
              <w:t xml:space="preserve">解决方案不细致、可行性差、项目需求响应度低，内容简单，该项得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2</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未提供的不得分。</w:t>
            </w:r>
            <w:r/>
          </w:p>
        </w:tc>
      </w:tr>
      <w:tr>
        <w:trPr>
          <w:jc w:val="center"/>
          <w:trHeight w:val="340"/>
        </w:trPr>
        <w:tc>
          <w:tcPr>
            <w:tcW w:w="1341" w:type="dxa"/>
            <w:vAlign w:val="center"/>
            <w:vMerge w:val="continue"/>
            <w:textDirection w:val="lrTb"/>
            <w:noWrap w:val="false"/>
          </w:tcPr>
          <w:p>
            <w:pPr>
              <w:pStyle w:val="868"/>
              <w:ind w:firstLine="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tc>
        <w:tc>
          <w:tcPr>
            <w:tcW w:w="887" w:type="dxa"/>
            <w:vAlign w:val="center"/>
            <w:vMerge w:val="continue"/>
            <w:textDirection w:val="lrTb"/>
            <w:noWrap w:val="false"/>
          </w:tcPr>
          <w:p>
            <w:pPr>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r>
            <w:r/>
          </w:p>
        </w:tc>
        <w:tc>
          <w:tcPr>
            <w:tcW w:w="6991" w:type="dxa"/>
            <w:vAlign w:val="center"/>
            <w:textDirection w:val="lrTb"/>
            <w:noWrap w:val="false"/>
          </w:tcPr>
          <w:p>
            <w:pPr>
              <w:ind w:firstLine="420"/>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 xml:space="preserve">针对本项目质量保障措施、响应时间、售后人员配置、应急方案、备品备件等内容进行评分，满分10分。</w:t>
            </w:r>
            <w:r/>
          </w:p>
          <w:p>
            <w:pPr>
              <w:ind w:firstLine="420"/>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方案及各项措施</w:t>
            </w:r>
            <w:r>
              <w:rPr>
                <w:rFonts w:hint="eastAsia" w:ascii="Times New Roman" w:hAnsi="Times New Roman" w:eastAsia="宋体" w:cs="Times New Roman"/>
                <w:color w:val="000000" w:themeColor="text1"/>
                <w:highlight w:val="none"/>
                <w14:textFill>
                  <w14:solidFill>
                    <w14:schemeClr w14:val="tx1"/>
                  </w14:solidFill>
                </w14:textFill>
              </w:rPr>
              <w:t xml:space="preserve">完整详细，条理清晰</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人员配置合理且可行性高，</w:t>
            </w:r>
            <w:r>
              <w:rPr>
                <w:rFonts w:hint="eastAsia" w:ascii="Times New Roman" w:hAnsi="Times New Roman" w:eastAsia="宋体" w:cs="Times New Roman"/>
                <w:color w:val="000000" w:themeColor="text1"/>
                <w:highlight w:val="none"/>
                <w14:textFill>
                  <w14:solidFill>
                    <w14:schemeClr w14:val="tx1"/>
                  </w14:solidFill>
                </w14:textFill>
              </w:rPr>
              <w:t xml:space="preserve">能完全符合或优于项目需求的，得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10</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w:t>
            </w:r>
            <w:r/>
          </w:p>
          <w:p>
            <w:pPr>
              <w:ind w:firstLine="420"/>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方案及各项措施</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完整</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有条理</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人员配置合理有可行性，</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符合项目需求的，得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8</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分；</w:t>
            </w:r>
            <w:r/>
          </w:p>
          <w:p>
            <w:pPr>
              <w:ind w:firstLine="420"/>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方案及各项措施</w:t>
            </w:r>
            <w:r>
              <w:rPr>
                <w:rFonts w:hint="eastAsia" w:ascii="Times New Roman" w:hAnsi="Times New Roman" w:eastAsia="宋体" w:cs="Times New Roman"/>
                <w:color w:val="000000" w:themeColor="text1"/>
                <w:highlight w:val="none"/>
                <w14:textFill>
                  <w14:solidFill>
                    <w14:schemeClr w14:val="tx1"/>
                  </w14:solidFill>
                </w14:textFill>
              </w:rPr>
              <w:t xml:space="preserve">较为完整、思路较清晰，</w:t>
            </w:r>
            <w:r>
              <w:rPr>
                <w:rFonts w:hint="eastAsia" w:cs="Times New Roman"/>
                <w:color w:val="000000" w:themeColor="text1"/>
                <w:highlight w:val="none"/>
                <w:lang w:val="en-US" w:eastAsia="zh-CN"/>
                <w14:textFill>
                  <w14:solidFill>
                    <w14:schemeClr w14:val="tx1"/>
                  </w14:solidFill>
                </w14:textFill>
              </w:rPr>
              <w:t xml:space="preserve">有</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人员配置</w:t>
            </w:r>
            <w:r>
              <w:rPr>
                <w:rFonts w:hint="eastAsia" w:cs="Times New Roman"/>
                <w:color w:val="000000" w:themeColor="text1"/>
                <w:highlight w:val="none"/>
                <w:lang w:val="en-US" w:eastAsia="zh-CN"/>
                <w14:textFill>
                  <w14:solidFill>
                    <w14:schemeClr w14:val="tx1"/>
                  </w14:solidFill>
                </w14:textFill>
              </w:rPr>
              <w:t xml:space="preserve">且</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可行</w:t>
            </w:r>
            <w:r>
              <w:rPr>
                <w:rFonts w:hint="eastAsia" w:cs="Times New Roman"/>
                <w:color w:val="000000" w:themeColor="text1"/>
                <w:highlight w:val="none"/>
                <w:lang w:val="en-US" w:eastAsia="zh-CN"/>
                <w14:textFill>
                  <w14:solidFill>
                    <w14:schemeClr w14:val="tx1"/>
                  </w14:solidFill>
                </w14:textFill>
              </w:rPr>
              <w:t xml:space="preserve">的，</w:t>
            </w:r>
            <w:r>
              <w:rPr>
                <w:rFonts w:hint="eastAsia" w:ascii="Times New Roman" w:hAnsi="Times New Roman" w:eastAsia="宋体" w:cs="Times New Roman"/>
                <w:color w:val="000000" w:themeColor="text1"/>
                <w:highlight w:val="none"/>
                <w14:textFill>
                  <w14:solidFill>
                    <w14:schemeClr w14:val="tx1"/>
                  </w14:solidFill>
                </w14:textFill>
              </w:rPr>
              <w:t xml:space="preserve">能基本符合项目需求的，得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6</w:t>
            </w:r>
            <w:r>
              <w:rPr>
                <w:rFonts w:hint="eastAsia" w:ascii="Times New Roman" w:hAnsi="Times New Roman" w:eastAsia="宋体" w:cs="Times New Roman"/>
                <w:color w:val="000000" w:themeColor="text1"/>
                <w:highlight w:val="none"/>
                <w14:textFill>
                  <w14:solidFill>
                    <w14:schemeClr w14:val="tx1"/>
                  </w14:solidFill>
                </w14:textFill>
              </w:rPr>
              <w:t xml:space="preserve">分</w:t>
            </w:r>
            <w:r>
              <w:rPr>
                <w:rFonts w:hint="eastAsia" w:ascii="Times New Roman" w:hAnsi="Times New Roman" w:eastAsia="宋体" w:cs="Times New Roman"/>
                <w:color w:val="000000" w:themeColor="text1"/>
                <w:highlight w:val="none"/>
                <w:lang w:eastAsia="zh-CN"/>
                <w14:textFill>
                  <w14:solidFill>
                    <w14:schemeClr w14:val="tx1"/>
                  </w14:solidFill>
                </w14:textFill>
              </w:rPr>
              <w:t xml:space="preserve">；</w:t>
            </w:r>
            <w:r/>
          </w:p>
          <w:p>
            <w:pPr>
              <w:ind w:firstLine="420"/>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方案及各项措施不细致、人员配置</w:t>
            </w:r>
            <w:r>
              <w:rPr>
                <w:rFonts w:hint="eastAsia" w:cs="Times New Roman"/>
                <w:color w:val="000000" w:themeColor="text1"/>
                <w:highlight w:val="none"/>
                <w:lang w:val="en-US" w:eastAsia="zh-CN"/>
                <w14:textFill>
                  <w14:solidFill>
                    <w14:schemeClr w14:val="tx1"/>
                  </w14:solidFill>
                </w14:textFill>
              </w:rPr>
              <w:t xml:space="preserve">不</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合理</w:t>
            </w:r>
            <w:r>
              <w:rPr>
                <w:rFonts w:hint="eastAsia" w:cs="Times New Roman"/>
                <w:color w:val="000000" w:themeColor="text1"/>
                <w:highlight w:val="none"/>
                <w:lang w:val="en-US" w:eastAsia="zh-CN"/>
                <w14:textFill>
                  <w14:solidFill>
                    <w14:schemeClr w14:val="tx1"/>
                  </w14:solidFill>
                </w14:textFill>
              </w:rPr>
              <w:t xml:space="preserve">可行性一般</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、项目需求响应度较低，内容较简单，该项得4分；</w:t>
            </w:r>
            <w:r/>
          </w:p>
          <w:p>
            <w:pPr>
              <w:ind w:firstLine="420"/>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方案及各项措施不细致、可行性差、项目需求响应度低，内容简单，该项得2分；</w:t>
            </w:r>
            <w:r/>
          </w:p>
          <w:p>
            <w:pPr>
              <w:ind w:firstLine="420"/>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未提供的不得分。</w:t>
            </w:r>
            <w:r/>
          </w:p>
        </w:tc>
      </w:tr>
      <w:tr>
        <w:trPr>
          <w:jc w:val="center"/>
          <w:trHeight w:val="1046"/>
        </w:trPr>
        <w:tc>
          <w:tcPr>
            <w:tcW w:w="1341" w:type="dxa"/>
            <w:vAlign w:val="center"/>
            <w:vMerge w:val="restart"/>
            <w:textDirection w:val="lrTb"/>
            <w:noWrap w:val="false"/>
          </w:tcPr>
          <w:p>
            <w:pPr>
              <w:jc w:val="center"/>
              <w:spacing w:line="480" w:lineRule="exact"/>
              <w:rPr>
                <w:rFonts w:ascii="宋体" w:hAnsi="宋体"/>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项目组成员</w:t>
            </w:r>
            <w:r/>
          </w:p>
        </w:tc>
        <w:tc>
          <w:tcPr>
            <w:tcW w:w="887" w:type="dxa"/>
            <w:vAlign w:val="center"/>
            <w:vMerge w:val="restart"/>
            <w:textDirection w:val="lrTb"/>
            <w:noWrap w:val="false"/>
          </w:tcPr>
          <w:p>
            <w:pPr>
              <w:jc w:val="center"/>
              <w:spacing w:line="480" w:lineRule="exact"/>
              <w:rPr>
                <w:rFonts w:ascii="宋体" w:hAnsi="宋体"/>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lang w:val="en-US" w:eastAsia="zh-CN"/>
                <w14:textFill>
                  <w14:solidFill>
                    <w14:schemeClr w14:val="tx1"/>
                  </w14:solidFill>
                </w14:textFill>
              </w:rPr>
              <w:t xml:space="preserve">5</w:t>
            </w:r>
            <w:r>
              <w:rPr>
                <w:rFonts w:hint="eastAsia" w:ascii="宋体" w:hAnsi="宋体"/>
                <w:strike w:val="0"/>
                <w:color w:val="000000" w:themeColor="text1"/>
                <w:szCs w:val="21"/>
                <w:highlight w:val="none"/>
                <w14:textFill>
                  <w14:solidFill>
                    <w14:schemeClr w14:val="tx1"/>
                  </w14:solidFill>
                </w14:textFill>
              </w:rPr>
              <w:t xml:space="preserve">分</w:t>
            </w:r>
            <w:r/>
          </w:p>
        </w:tc>
        <w:tc>
          <w:tcPr>
            <w:tcW w:w="6991" w:type="dxa"/>
            <w:vAlign w:val="center"/>
            <w:textDirection w:val="lrTb"/>
            <w:noWrap w:val="false"/>
          </w:tcPr>
          <w:p>
            <w:pPr>
              <w:ind w:firstLine="420"/>
              <w:rPr>
                <w:rFonts w:ascii="宋体" w:hAnsi="宋体"/>
                <w:strike w:val="0"/>
                <w:color w:val="000000" w:themeColor="text1"/>
                <w:szCs w:val="21"/>
                <w:highlight w:val="none"/>
                <w14:textFill>
                  <w14:solidFill>
                    <w14:schemeClr w14:val="tx1"/>
                  </w14:solidFill>
                </w14:textFill>
              </w:rPr>
            </w:pPr>
            <w:r>
              <w:rPr>
                <w:rFonts w:hint="eastAsia" w:ascii="Times New Roman" w:hAnsi="Times New Roman" w:eastAsia="宋体" w:cs="Times New Roman"/>
                <w:strike w:val="0"/>
                <w:color w:val="000000" w:themeColor="text1"/>
                <w:highlight w:val="none"/>
                <w:lang w:val="en-US" w:eastAsia="zh-CN"/>
                <w14:textFill>
                  <w14:solidFill>
                    <w14:schemeClr w14:val="tx1"/>
                  </w14:solidFill>
                </w14:textFill>
              </w:rPr>
              <w:t xml:space="preserve">所有项目组成员中具备有效期内的</w:t>
            </w:r>
            <w:r>
              <w:rPr>
                <w:rFonts w:hint="eastAsia" w:ascii="Times New Roman" w:hAnsi="Times New Roman" w:eastAsia="宋体" w:cs="Times New Roman"/>
                <w:strike w:val="0"/>
                <w:color w:val="000000" w:themeColor="text1"/>
                <w:highlight w:val="none"/>
                <w14:textFill>
                  <w14:solidFill>
                    <w14:schemeClr w14:val="tx1"/>
                  </w14:solidFill>
                </w14:textFill>
              </w:rPr>
              <w:t xml:space="preserve">IT服务工程师（ITSS）</w:t>
            </w:r>
            <w:r>
              <w:rPr>
                <w:rFonts w:hint="eastAsia" w:ascii="Times New Roman" w:hAnsi="Times New Roman" w:eastAsia="宋体" w:cs="Times New Roman"/>
                <w:strike w:val="0"/>
                <w:color w:val="000000" w:themeColor="text1"/>
                <w:highlight w:val="none"/>
                <w:lang w:val="en-US" w:eastAsia="zh-CN"/>
                <w14:textFill>
                  <w14:solidFill>
                    <w14:schemeClr w14:val="tx1"/>
                  </w14:solidFill>
                </w14:textFill>
              </w:rPr>
              <w:t xml:space="preserve">的每有1人得1分</w:t>
            </w:r>
            <w:r>
              <w:rPr>
                <w:rFonts w:hint="eastAsia" w:ascii="Times New Roman" w:hAnsi="Times New Roman" w:eastAsia="宋体" w:cs="Times New Roman"/>
                <w:strike w:val="0"/>
                <w:color w:val="000000" w:themeColor="text1"/>
                <w:highlight w:val="none"/>
                <w14:textFill>
                  <w14:solidFill>
                    <w14:schemeClr w14:val="tx1"/>
                  </w14:solidFill>
                </w14:textFill>
              </w:rPr>
              <w:t xml:space="preserve">，最高得2分</w:t>
            </w:r>
            <w:r>
              <w:rPr>
                <w:rFonts w:hint="eastAsia" w:cs="Times New Roman"/>
                <w:strike w:val="0"/>
                <w:color w:val="000000" w:themeColor="text1"/>
                <w:highlight w:val="none"/>
                <w:lang w:eastAsia="zh-CN"/>
                <w14:textFill>
                  <w14:solidFill>
                    <w14:schemeClr w14:val="tx1"/>
                  </w14:solidFill>
                </w14:textFill>
              </w:rPr>
              <w:t xml:space="preserve">。</w:t>
            </w:r>
            <w:r>
              <w:rPr>
                <w:rFonts w:hint="eastAsia" w:ascii="Times New Roman" w:hAnsi="Times New Roman" w:eastAsia="宋体" w:cs="Times New Roman"/>
                <w:strike w:val="0"/>
                <w:color w:val="000000" w:themeColor="text1"/>
                <w:highlight w:val="none"/>
                <w14:textFill>
                  <w14:solidFill>
                    <w14:schemeClr w14:val="tx1"/>
                  </w14:solidFill>
                </w14:textFill>
              </w:rPr>
              <w:t xml:space="preserve">（</w:t>
            </w:r>
            <w:r>
              <w:rPr>
                <w:rFonts w:hint="eastAsia" w:ascii="Times New Roman" w:hAnsi="Times New Roman" w:eastAsia="宋体" w:cs="Times New Roman"/>
                <w:b/>
                <w:bCs/>
                <w:strike w:val="0"/>
                <w:color w:val="000000" w:themeColor="text1"/>
                <w:highlight w:val="none"/>
                <w14:textFill>
                  <w14:solidFill>
                    <w14:schemeClr w14:val="tx1"/>
                  </w14:solidFill>
                </w14:textFill>
              </w:rPr>
              <w:t xml:space="preserve">提供人员证书及</w:t>
            </w:r>
            <w:r>
              <w:rPr>
                <w:rFonts w:hint="eastAsia" w:ascii="Times New Roman" w:hAnsi="Times New Roman" w:eastAsia="宋体" w:cs="Times New Roman"/>
                <w:b/>
                <w:bCs/>
                <w:strike w:val="0"/>
                <w:color w:val="000000" w:themeColor="text1"/>
                <w:highlight w:val="none"/>
                <w:lang w:val="en-US" w:eastAsia="zh-CN"/>
                <w14:textFill>
                  <w14:solidFill>
                    <w14:schemeClr w14:val="tx1"/>
                  </w14:solidFill>
                </w14:textFill>
              </w:rPr>
              <w:t xml:space="preserve">投标人</w:t>
            </w:r>
            <w:r>
              <w:rPr>
                <w:rFonts w:hint="eastAsia" w:ascii="Times New Roman" w:hAnsi="Times New Roman" w:eastAsia="宋体" w:cs="Times New Roman"/>
                <w:b/>
                <w:bCs/>
                <w:strike w:val="0"/>
                <w:color w:val="000000" w:themeColor="text1"/>
                <w:highlight w:val="none"/>
                <w14:textFill>
                  <w14:solidFill>
                    <w14:schemeClr w14:val="tx1"/>
                  </w14:solidFill>
                </w14:textFill>
              </w:rPr>
              <w:t xml:space="preserve">为其缴纳的近三个月任意一个月的社保证明材料原件扫描上传</w:t>
            </w:r>
            <w:r>
              <w:rPr>
                <w:rFonts w:hint="eastAsia" w:ascii="Times New Roman" w:hAnsi="Times New Roman" w:eastAsia="宋体" w:cs="Times New Roman"/>
                <w:strike w:val="0"/>
                <w:color w:val="000000" w:themeColor="text1"/>
                <w:highlight w:val="none"/>
                <w14:textFill>
                  <w14:solidFill>
                    <w14:schemeClr w14:val="tx1"/>
                  </w14:solidFill>
                </w14:textFill>
              </w:rPr>
              <w:t xml:space="preserve">）</w:t>
            </w:r>
            <w:r/>
          </w:p>
        </w:tc>
      </w:tr>
      <w:tr>
        <w:trPr>
          <w:jc w:val="center"/>
          <w:trHeight w:val="692"/>
        </w:trPr>
        <w:tc>
          <w:tcPr>
            <w:tcW w:w="1341" w:type="dxa"/>
            <w:vAlign w:val="center"/>
            <w:vMerge w:val="continue"/>
            <w:textDirection w:val="lrTb"/>
            <w:noWrap w:val="false"/>
          </w:tcPr>
          <w:p>
            <w:pPr>
              <w:ind w:firstLine="420"/>
              <w:jc w:val="left"/>
              <w:spacing w:line="480" w:lineRule="exact"/>
              <w:rPr>
                <w:rFonts w:hint="default" w:eastAsia="宋体"/>
                <w:color w:val="000000" w:themeColor="text1"/>
                <w:highlight w:val="none"/>
                <w:lang w:val="en-US" w:eastAsia="zh-CN"/>
                <w14:textFill>
                  <w14:solidFill>
                    <w14:schemeClr w14:val="tx1"/>
                  </w14:solidFill>
                </w14:textFill>
              </w:rPr>
            </w:pPr>
            <w:r>
              <w:rPr>
                <w:rFonts w:hint="default" w:eastAsia="宋体"/>
                <w:color w:val="000000" w:themeColor="text1"/>
                <w:highlight w:val="none"/>
                <w:lang w:val="en-US" w:eastAsia="zh-CN"/>
                <w14:textFill>
                  <w14:solidFill>
                    <w14:schemeClr w14:val="tx1"/>
                  </w14:solidFill>
                </w14:textFill>
              </w:rPr>
            </w:r>
            <w:r/>
          </w:p>
        </w:tc>
        <w:tc>
          <w:tcPr>
            <w:tcW w:w="887" w:type="dxa"/>
            <w:vAlign w:val="center"/>
            <w:vMerge w:val="continue"/>
            <w:textDirection w:val="lrTb"/>
            <w:noWrap w:val="false"/>
          </w:tcPr>
          <w:p>
            <w:pPr>
              <w:ind w:firstLine="210"/>
              <w:jc w:val="left"/>
              <w:spacing w:line="480" w:lineRule="exact"/>
              <w:rPr>
                <w:rFonts w:hint="default" w:eastAsia="宋体"/>
                <w:strike w:val="0"/>
                <w:color w:val="000000" w:themeColor="text1"/>
                <w:highlight w:val="none"/>
                <w:lang w:val="en-US" w:eastAsia="zh-CN"/>
                <w14:textFill>
                  <w14:solidFill>
                    <w14:schemeClr w14:val="tx1"/>
                  </w14:solidFill>
                </w14:textFill>
              </w:rPr>
            </w:pPr>
            <w:r>
              <w:rPr>
                <w:rFonts w:hint="default" w:eastAsia="宋体"/>
                <w:strike w:val="0"/>
                <w:color w:val="000000" w:themeColor="text1"/>
                <w:highlight w:val="none"/>
                <w:lang w:val="en-US" w:eastAsia="zh-CN"/>
                <w14:textFill>
                  <w14:solidFill>
                    <w14:schemeClr w14:val="tx1"/>
                  </w14:solidFill>
                </w14:textFill>
              </w:rPr>
            </w:r>
            <w:r/>
          </w:p>
        </w:tc>
        <w:tc>
          <w:tcPr>
            <w:tcW w:w="6991" w:type="dxa"/>
            <w:vAlign w:val="center"/>
            <w:textDirection w:val="lrTb"/>
            <w:noWrap w:val="false"/>
          </w:tcPr>
          <w:p>
            <w:pPr>
              <w:ind w:firstLine="420"/>
              <w:rPr>
                <w:rFonts w:ascii="宋体" w:hAnsi="宋体"/>
                <w:strike w:val="0"/>
                <w:color w:val="000000" w:themeColor="text1"/>
                <w:szCs w:val="21"/>
                <w:highlight w:val="none"/>
                <w14:textFill>
                  <w14:solidFill>
                    <w14:schemeClr w14:val="tx1"/>
                  </w14:solidFill>
                </w14:textFill>
              </w:rPr>
            </w:pPr>
            <w:r>
              <w:rPr>
                <w:rFonts w:hint="eastAsia" w:ascii="Times New Roman" w:hAnsi="Times New Roman" w:eastAsia="宋体" w:cs="Times New Roman"/>
                <w:strike w:val="0"/>
                <w:color w:val="000000" w:themeColor="text1"/>
                <w:highlight w:val="none"/>
                <w:lang w:val="en-US" w:eastAsia="zh-CN"/>
                <w14:textFill>
                  <w14:solidFill>
                    <w14:schemeClr w14:val="tx1"/>
                  </w14:solidFill>
                </w14:textFill>
              </w:rPr>
              <w:t xml:space="preserve">所有项目组成员中具有</w:t>
            </w:r>
            <w:r>
              <w:rPr>
                <w:rFonts w:hint="eastAsia" w:cs="Times New Roman"/>
                <w:strike w:val="0"/>
                <w:color w:val="000000" w:themeColor="text1"/>
                <w:highlight w:val="none"/>
                <w:lang w:val="en-US" w:eastAsia="zh-CN"/>
                <w14:textFill>
                  <w14:solidFill>
                    <w14:schemeClr w14:val="tx1"/>
                  </w14:solidFill>
                </w14:textFill>
              </w:rPr>
              <w:t xml:space="preserve">行政</w:t>
            </w:r>
            <w:r>
              <w:rPr>
                <w:rFonts w:hint="eastAsia" w:ascii="Times New Roman" w:hAnsi="Times New Roman" w:eastAsia="宋体" w:cs="Times New Roman"/>
                <w:strike w:val="0"/>
                <w:color w:val="000000" w:themeColor="text1"/>
                <w:highlight w:val="none"/>
                <w:lang w:val="en-US" w:eastAsia="zh-CN"/>
                <w14:textFill>
                  <w14:solidFill>
                    <w14:schemeClr w14:val="tx1"/>
                  </w14:solidFill>
                </w14:textFill>
              </w:rPr>
              <w:t xml:space="preserve">主管部门颁发的计算机、网络、通信、电子、信息、电工等相关证书每有1名得1分，最高得3分</w:t>
            </w:r>
            <w:r>
              <w:rPr>
                <w:rFonts w:hint="eastAsia" w:cs="Times New Roman"/>
                <w:strike w:val="0"/>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s="Times New Roman"/>
                <w:strike w:val="0"/>
                <w:color w:val="000000" w:themeColor="text1"/>
                <w:highlight w:val="none"/>
                <w14:textFill>
                  <w14:solidFill>
                    <w14:schemeClr w14:val="tx1"/>
                  </w14:solidFill>
                </w14:textFill>
              </w:rPr>
              <w:t xml:space="preserve">（</w:t>
            </w:r>
            <w:r>
              <w:rPr>
                <w:rFonts w:hint="eastAsia" w:ascii="Times New Roman" w:hAnsi="Times New Roman" w:eastAsia="宋体" w:cs="Times New Roman"/>
                <w:b/>
                <w:bCs/>
                <w:strike w:val="0"/>
                <w:color w:val="000000" w:themeColor="text1"/>
                <w:highlight w:val="none"/>
                <w14:textFill>
                  <w14:solidFill>
                    <w14:schemeClr w14:val="tx1"/>
                  </w14:solidFill>
                </w14:textFill>
              </w:rPr>
              <w:t xml:space="preserve">提供人员证书及</w:t>
            </w:r>
            <w:r>
              <w:rPr>
                <w:rFonts w:hint="eastAsia" w:ascii="Times New Roman" w:hAnsi="Times New Roman" w:eastAsia="宋体" w:cs="Times New Roman"/>
                <w:b/>
                <w:bCs/>
                <w:strike w:val="0"/>
                <w:color w:val="000000" w:themeColor="text1"/>
                <w:highlight w:val="none"/>
                <w:lang w:val="en-US" w:eastAsia="zh-CN"/>
                <w14:textFill>
                  <w14:solidFill>
                    <w14:schemeClr w14:val="tx1"/>
                  </w14:solidFill>
                </w14:textFill>
              </w:rPr>
              <w:t xml:space="preserve">投标人</w:t>
            </w:r>
            <w:r>
              <w:rPr>
                <w:rFonts w:hint="eastAsia" w:ascii="Times New Roman" w:hAnsi="Times New Roman" w:eastAsia="宋体" w:cs="Times New Roman"/>
                <w:b/>
                <w:bCs/>
                <w:strike w:val="0"/>
                <w:color w:val="000000" w:themeColor="text1"/>
                <w:highlight w:val="none"/>
                <w14:textFill>
                  <w14:solidFill>
                    <w14:schemeClr w14:val="tx1"/>
                  </w14:solidFill>
                </w14:textFill>
              </w:rPr>
              <w:t xml:space="preserve">为其缴纳的近三个月任意一个月的社保证明材料原件扫描上传</w:t>
            </w:r>
            <w:r>
              <w:rPr>
                <w:rFonts w:hint="eastAsia" w:ascii="Times New Roman" w:hAnsi="Times New Roman" w:eastAsia="宋体" w:cs="Times New Roman"/>
                <w:strike w:val="0"/>
                <w:color w:val="000000" w:themeColor="text1"/>
                <w:highlight w:val="none"/>
                <w14:textFill>
                  <w14:solidFill>
                    <w14:schemeClr w14:val="tx1"/>
                  </w14:solidFill>
                </w14:textFill>
              </w:rPr>
              <w:t xml:space="preserve">）</w:t>
            </w:r>
            <w:r/>
          </w:p>
        </w:tc>
      </w:tr>
      <w:tr>
        <w:trPr>
          <w:jc w:val="center"/>
          <w:trHeight w:val="1035"/>
        </w:trPr>
        <w:tc>
          <w:tcPr>
            <w:tcW w:w="1341" w:type="dxa"/>
            <w:vAlign w:val="center"/>
            <w:textDirection w:val="lrTb"/>
            <w:noWrap w:val="false"/>
          </w:tcPr>
          <w:p>
            <w:pPr>
              <w:jc w:val="center"/>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类似业绩</w:t>
            </w:r>
            <w:r/>
          </w:p>
        </w:tc>
        <w:tc>
          <w:tcPr>
            <w:tcW w:w="887" w:type="dxa"/>
            <w:vAlign w:val="center"/>
            <w:textDirection w:val="lrTb"/>
            <w:noWrap w:val="false"/>
          </w:tcPr>
          <w:p>
            <w:pPr>
              <w:jc w:val="center"/>
              <w:spacing w:line="480" w:lineRule="exact"/>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lang w:val="en-US" w:eastAsia="zh-CN"/>
                <w14:textFill>
                  <w14:solidFill>
                    <w14:schemeClr w14:val="tx1"/>
                  </w14:solidFill>
                </w14:textFill>
              </w:rPr>
              <w:t xml:space="preserve">分</w:t>
            </w:r>
            <w:r/>
          </w:p>
        </w:tc>
        <w:tc>
          <w:tcPr>
            <w:tcW w:w="6991" w:type="dxa"/>
            <w:vAlign w:val="center"/>
            <w:textDirection w:val="lrTb"/>
            <w:noWrap w:val="false"/>
          </w:tcPr>
          <w:p>
            <w:pPr>
              <w:ind w:firstLine="420"/>
              <w:rPr>
                <w:rFonts w:hint="eastAsia" w:ascii="宋体" w:hAnsi="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投标人提供2023年1月1日以来（以合同签订时间为准）承担过类似项目业绩,每个得1分，本项最高5分。（</w:t>
            </w: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 xml:space="preserve">提供类似项目业绩合同原件扫描件上传</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w:t>
            </w:r>
            <w:r/>
          </w:p>
        </w:tc>
      </w:tr>
    </w:tbl>
    <w:p>
      <w:pPr>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rPr>
          <w:rFonts w:hint="eastAsia"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br w:type="page" w:clear="all"/>
      </w:r>
      <w:r/>
    </w:p>
    <w:p>
      <w:pPr>
        <w:pStyle w:val="651"/>
        <w:jc w:val="center"/>
        <w:rPr>
          <w:rFonts w:ascii="宋体" w:hAnsi="宋体"/>
          <w:color w:val="000000" w:themeColor="text1"/>
          <w:sz w:val="36"/>
          <w:highlight w:val="none"/>
          <w14:textFill>
            <w14:solidFill>
              <w14:schemeClr w14:val="tx1"/>
            </w14:solidFill>
          </w14:textFill>
        </w:rPr>
      </w:pPr>
      <w:r>
        <w:rPr>
          <w:rFonts w:hint="eastAsia" w:ascii="宋体" w:hAnsi="宋体"/>
          <w:color w:val="000000" w:themeColor="text1"/>
          <w:sz w:val="36"/>
          <w:highlight w:val="none"/>
          <w14:textFill>
            <w14:solidFill>
              <w14:schemeClr w14:val="tx1"/>
            </w14:solidFill>
          </w14:textFill>
        </w:rPr>
        <w:t xml:space="preserve">第六章 投标文件格式</w:t>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rPr>
          <w:rFonts w:ascii="宋体" w:hAnsi="宋体"/>
          <w:b/>
          <w:color w:val="000000" w:themeColor="text1"/>
          <w:sz w:val="22"/>
          <w:szCs w:val="21"/>
          <w:highlight w:val="none"/>
          <w14:textFill>
            <w14:solidFill>
              <w14:schemeClr w14:val="tx1"/>
            </w14:solidFill>
          </w14:textFill>
        </w:rPr>
      </w:pPr>
      <w:r>
        <w:rPr>
          <w:rFonts w:ascii="宋体" w:hAnsi="宋体"/>
          <w:b/>
          <w:color w:val="000000" w:themeColor="text1"/>
          <w:sz w:val="22"/>
          <w:szCs w:val="21"/>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265"/>
        <w:rPr>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名 称：</w:t>
      </w:r>
      <w:r>
        <w:rPr>
          <w:rFonts w:hint="eastAsia"/>
          <w:b/>
          <w:color w:val="000000" w:themeColor="text1"/>
          <w:sz w:val="36"/>
          <w:highlight w:val="none"/>
          <w:u w:val="single"/>
          <w14:textFill>
            <w14:solidFill>
              <w14:schemeClr w14:val="tx1"/>
            </w14:solidFill>
          </w14:textFill>
        </w:rPr>
        <w:t xml:space="preserve">               </w:t>
      </w:r>
      <w:r/>
    </w:p>
    <w:p>
      <w:pPr>
        <w:ind w:firstLine="1265"/>
        <w:rPr>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编 号：</w:t>
      </w:r>
      <w:r>
        <w:rPr>
          <w:rFonts w:hint="eastAsia"/>
          <w:b/>
          <w:color w:val="000000" w:themeColor="text1"/>
          <w:sz w:val="36"/>
          <w:highlight w:val="none"/>
          <w:u w:val="single"/>
          <w14:textFill>
            <w14:solidFill>
              <w14:schemeClr w14:val="tx1"/>
            </w14:solidFill>
          </w14:textFill>
        </w:rPr>
        <w:t xml:space="preserve">               </w:t>
      </w:r>
      <w:r/>
    </w:p>
    <w:p>
      <w:pPr>
        <w:ind w:firstLine="181"/>
        <w:rPr>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投标人名称 ：</w:t>
      </w:r>
      <w:r>
        <w:rPr>
          <w:rFonts w:hint="eastAsia"/>
          <w:b/>
          <w:color w:val="000000" w:themeColor="text1"/>
          <w:sz w:val="36"/>
          <w:highlight w:val="none"/>
          <w:u w:val="single"/>
          <w14:textFill>
            <w14:solidFill>
              <w14:schemeClr w14:val="tx1"/>
            </w14:solidFill>
          </w14:textFill>
        </w:rPr>
        <w:t xml:space="preserve">（加盖CA电子公章）</w:t>
      </w:r>
      <w:r/>
    </w:p>
    <w:p>
      <w:pPr>
        <w:rPr>
          <w:rFonts w:ascii="宋体" w:hAnsi="宋体"/>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w:t>
      </w:r>
      <w:r>
        <w:rPr>
          <w:rFonts w:hint="eastAsia"/>
          <w:b/>
          <w:color w:val="000000" w:themeColor="text1"/>
          <w:sz w:val="36"/>
          <w:highlight w:val="none"/>
          <w:lang w:val="en-US" w:eastAsia="zh-CN"/>
          <w14:textFill>
            <w14:solidFill>
              <w14:schemeClr w14:val="tx1"/>
            </w14:solidFill>
          </w14:textFill>
        </w:rPr>
        <w:t xml:space="preserve"> </w:t>
      </w:r>
      <w:r>
        <w:rPr>
          <w:rFonts w:hint="eastAsia"/>
          <w:b/>
          <w:color w:val="000000" w:themeColor="text1"/>
          <w:sz w:val="36"/>
          <w:highlight w:val="none"/>
          <w14:textFill>
            <w14:solidFill>
              <w14:schemeClr w14:val="tx1"/>
            </w14:solidFill>
          </w14:textFill>
        </w:rPr>
        <w:t xml:space="preserve">日      期 ：</w:t>
      </w:r>
      <w:r>
        <w:rPr>
          <w:rFonts w:hint="eastAsia"/>
          <w:b/>
          <w:color w:val="000000" w:themeColor="text1"/>
          <w:sz w:val="36"/>
          <w:highlight w:val="none"/>
          <w:u w:val="single"/>
          <w14:textFill>
            <w14:solidFill>
              <w14:schemeClr w14:val="tx1"/>
            </w14:solidFill>
          </w14:textFill>
        </w:rPr>
        <w:t xml:space="preserve">               </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rPr>
          <w:b/>
          <w:bCs/>
          <w:color w:val="000000" w:themeColor="text1"/>
          <w:sz w:val="32"/>
          <w:szCs w:val="32"/>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jc w:val="center"/>
        <w:rPr>
          <w:rFonts w:ascii="宋体" w:hAnsi="宋体"/>
          <w:b/>
          <w:color w:val="000000" w:themeColor="text1"/>
          <w:szCs w:val="21"/>
          <w:highlight w:val="none"/>
          <w14:textFill>
            <w14:solidFill>
              <w14:schemeClr w14:val="tx1"/>
            </w14:solidFill>
          </w14:textFill>
        </w:rPr>
      </w:pPr>
      <w:r>
        <w:rPr>
          <w:rFonts w:hint="eastAsia"/>
          <w:b/>
          <w:bCs/>
          <w:color w:val="000000" w:themeColor="text1"/>
          <w:sz w:val="32"/>
          <w:szCs w:val="32"/>
          <w:highlight w:val="none"/>
          <w:shd w:val="clear" w:color="auto" w:fill="ffffff"/>
          <w14:textFill>
            <w14:solidFill>
              <w14:schemeClr w14:val="tx1"/>
            </w14:solidFill>
          </w14:textFill>
        </w:rPr>
        <w:t xml:space="preserve">投标文件目录</w:t>
      </w:r>
      <w:r/>
    </w:p>
    <w:p>
      <w:pPr>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 xml:space="preserve">一、法人或者其他组织的营业执照等证明文件，自然人的身份证明</w:t>
      </w:r>
      <w:r/>
    </w:p>
    <w:p>
      <w:pPr>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 xml:space="preserve">二、上一年度财务状况报告（投标人成立不满一年无需提供）</w:t>
      </w:r>
      <w:r/>
    </w:p>
    <w:p>
      <w:pPr>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 xml:space="preserve">四、具备履行合同所必需的设备和专业技术能力的书面声明</w:t>
      </w:r>
      <w:r/>
    </w:p>
    <w:p>
      <w:pPr>
        <w:ind w:firstLine="480"/>
        <w:spacing w:line="440" w:lineRule="exact"/>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 xml:space="preserve">五、参加政府采购活动前 3 年内在经营活动中没有重大违法记录的书面声明</w:t>
      </w:r>
      <w:r/>
    </w:p>
    <w:p>
      <w:pPr>
        <w:ind w:firstLine="480"/>
        <w:spacing w:line="440" w:lineRule="exact"/>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 xml:space="preserve">六、供应商信用承诺函</w:t>
      </w:r>
      <w:r/>
    </w:p>
    <w:p>
      <w:pPr>
        <w:ind w:firstLine="480"/>
        <w:spacing w:line="440" w:lineRule="exact"/>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 xml:space="preserve">七、特定资格要求的证明文件</w:t>
      </w:r>
      <w:r>
        <w:rPr>
          <w:rFonts w:hint="eastAsia"/>
          <w:i w:val="0"/>
          <w:iCs/>
          <w:color w:val="000000" w:themeColor="text1"/>
          <w:sz w:val="24"/>
          <w:highlight w:val="none"/>
          <w:u w:val="none"/>
          <w:lang w:eastAsia="zh-CN"/>
          <w14:textFill>
            <w14:solidFill>
              <w14:schemeClr w14:val="tx1"/>
            </w14:solidFill>
          </w14:textFill>
        </w:rPr>
        <w:t xml:space="preserve">（</w:t>
      </w:r>
      <w:r>
        <w:rPr>
          <w:rFonts w:hint="eastAsia"/>
          <w:i w:val="0"/>
          <w:iCs/>
          <w:color w:val="000000" w:themeColor="text1"/>
          <w:sz w:val="24"/>
          <w:highlight w:val="none"/>
          <w:u w:val="none"/>
          <w14:textFill>
            <w14:solidFill>
              <w14:schemeClr w14:val="tx1"/>
            </w14:solidFill>
          </w14:textFill>
        </w:rPr>
        <w:t xml:space="preserve">如果本项目申请人的特定资格要求中要求提供的，必须提供</w:t>
      </w:r>
      <w:r>
        <w:rPr>
          <w:rFonts w:hint="eastAsia"/>
          <w:i w:val="0"/>
          <w:iCs/>
          <w:color w:val="000000" w:themeColor="text1"/>
          <w:sz w:val="24"/>
          <w:highlight w:val="none"/>
          <w:u w:val="none"/>
          <w:lang w:eastAsia="zh-CN"/>
          <w14:textFill>
            <w14:solidFill>
              <w14:schemeClr w14:val="tx1"/>
            </w14:solidFill>
          </w14:textFill>
        </w:rPr>
        <w:t xml:space="preserve">）</w:t>
      </w:r>
      <w:r/>
    </w:p>
    <w:p>
      <w:pPr>
        <w:ind w:firstLine="480"/>
        <w:spacing w:line="440" w:lineRule="exact"/>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 xml:space="preserve">八、法人授权书</w:t>
      </w:r>
      <w:r/>
    </w:p>
    <w:p>
      <w:pPr>
        <w:ind w:firstLine="480"/>
        <w:spacing w:line="440" w:lineRule="exact"/>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 xml:space="preserve">九、投标函</w:t>
      </w:r>
      <w:r/>
    </w:p>
    <w:p>
      <w:pPr>
        <w:ind w:firstLine="48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十、企业报价折扣证明（中小企业声明函、残疾人福利性单位声明函）</w:t>
      </w:r>
      <w:r/>
    </w:p>
    <w:p>
      <w:pPr>
        <w:ind w:firstLine="48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十一、联合体协议</w:t>
      </w:r>
      <w:r/>
    </w:p>
    <w:p>
      <w:pPr>
        <w:ind w:firstLine="480"/>
        <w:spacing w:line="440" w:lineRule="exact"/>
        <w:rPr>
          <w:iCs/>
          <w:color w:val="000000" w:themeColor="text1"/>
          <w:sz w:val="24"/>
          <w:highlight w:val="none"/>
          <w14:textFill>
            <w14:solidFill>
              <w14:schemeClr w14:val="tx1"/>
            </w14:solidFill>
          </w14:textFill>
        </w:rPr>
      </w:pPr>
      <w:r>
        <w:rPr>
          <w:rFonts w:hint="eastAsia"/>
          <w:iCs/>
          <w:color w:val="000000" w:themeColor="text1"/>
          <w:sz w:val="24"/>
          <w:highlight w:val="none"/>
          <w14:textFill>
            <w14:solidFill>
              <w14:schemeClr w14:val="tx1"/>
            </w14:solidFill>
          </w14:textFill>
        </w:rPr>
        <w:t xml:space="preserve">十二、投标分项报价表</w:t>
      </w:r>
      <w:r/>
    </w:p>
    <w:p>
      <w:pPr>
        <w:ind w:firstLine="48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十三、技术要求响应及偏离表</w:t>
      </w:r>
      <w:r/>
    </w:p>
    <w:p>
      <w:pPr>
        <w:ind w:firstLine="480"/>
        <w:spacing w:line="44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十四、商务要求响应及偏离表</w:t>
      </w:r>
      <w:r/>
    </w:p>
    <w:p>
      <w:pPr>
        <w:ind w:firstLine="480"/>
        <w:spacing w:line="440" w:lineRule="exact"/>
        <w:rPr>
          <w:i/>
          <w:color w:val="000000" w:themeColor="text1"/>
          <w:sz w:val="24"/>
          <w:highlight w:val="none"/>
          <w:u w:val="single"/>
          <w14:textFill>
            <w14:solidFill>
              <w14:schemeClr w14:val="tx1"/>
            </w14:solidFill>
          </w14:textFill>
        </w:rPr>
      </w:pPr>
      <w:r>
        <w:rPr>
          <w:rFonts w:hint="eastAsia"/>
          <w:i/>
          <w:color w:val="000000" w:themeColor="text1"/>
          <w:sz w:val="24"/>
          <w:highlight w:val="none"/>
          <w:u w:val="single"/>
          <w14:textFill>
            <w14:solidFill>
              <w14:schemeClr w14:val="tx1"/>
            </w14:solidFill>
          </w14:textFill>
        </w:rPr>
        <w:t xml:space="preserve">十五、开标一览表</w:t>
      </w:r>
      <w:r/>
    </w:p>
    <w:p>
      <w:pPr>
        <w:pStyle w:val="873"/>
        <w:ind w:firstLine="480"/>
        <w:jc w:val="both"/>
        <w:spacing w:before="0" w:beforeAutospacing="0" w:after="0" w:afterAutospacing="0" w:line="360" w:lineRule="auto"/>
        <w:shd w:val="clear" w:color="auto"/>
        <w:rPr>
          <w:rFonts w:ascii="Calibri" w:hAnsi="Calibri"/>
          <w:color w:val="000000" w:themeColor="text1"/>
          <w:sz w:val="21"/>
          <w:szCs w:val="21"/>
          <w:highlight w:val="none"/>
          <w14:textFill>
            <w14:solidFill>
              <w14:schemeClr w14:val="tx1"/>
            </w14:solidFill>
          </w14:textFill>
        </w:rPr>
      </w:pPr>
      <w:r>
        <w:rPr>
          <w:rFonts w:hint="eastAsia"/>
          <w:iCs/>
          <w:color w:val="000000" w:themeColor="text1"/>
          <w:sz w:val="24"/>
          <w:highlight w:val="none"/>
          <w14:textFill>
            <w14:solidFill>
              <w14:schemeClr w14:val="tx1"/>
            </w14:solidFill>
          </w14:textFill>
        </w:rPr>
        <w:t xml:space="preserve">十六、主要标的信息</w:t>
      </w:r>
      <w:r>
        <w:rPr>
          <w:rStyle w:val="872"/>
          <w:rFonts w:ascii="Calibri" w:hAnsi="Calibri"/>
          <w:color w:val="000000" w:themeColor="text1"/>
          <w:highlight w:val="none"/>
          <w14:textFill>
            <w14:solidFill>
              <w14:schemeClr w14:val="tx1"/>
            </w14:solidFill>
          </w14:textFill>
        </w:rPr>
        <w:t xml:space="preserve">）</w:t>
      </w:r>
      <w:r/>
    </w:p>
    <w:p>
      <w:pPr>
        <w:pStyle w:val="873"/>
        <w:ind w:firstLine="480"/>
        <w:jc w:val="both"/>
        <w:spacing w:before="0" w:beforeAutospacing="0" w:after="0" w:afterAutospacing="0"/>
        <w:shd w:val="clear" w:color="auto"/>
        <w:rPr>
          <w:rFonts w:ascii="Calibri" w:hAnsi="Calibri"/>
          <w:color w:val="000000" w:themeColor="text1"/>
          <w:sz w:val="21"/>
          <w:szCs w:val="21"/>
          <w:highlight w:val="none"/>
          <w14:textFill>
            <w14:solidFill>
              <w14:schemeClr w14:val="tx1"/>
            </w14:solidFill>
          </w14:textFill>
        </w:rPr>
      </w:pPr>
      <w:r>
        <w:rPr>
          <w:rFonts w:ascii="Calibri" w:hAnsi="Calibri"/>
          <w:color w:val="000000" w:themeColor="text1"/>
          <w:sz w:val="21"/>
          <w:szCs w:val="21"/>
          <w:highlight w:val="none"/>
          <w14:textFill>
            <w14:solidFill>
              <w14:schemeClr w14:val="tx1"/>
            </w14:solidFill>
          </w14:textFill>
        </w:rPr>
      </w:r>
      <w:r/>
    </w:p>
    <w:p>
      <w:pPr>
        <w:rPr>
          <w:rFonts w:ascii="宋体" w:hAnsi="宋体" w:eastAsia="微软雅黑"/>
          <w:color w:val="000000" w:themeColor="text1"/>
          <w:szCs w:val="21"/>
          <w:highlight w:val="none"/>
          <w14:textFill>
            <w14:solidFill>
              <w14:schemeClr w14:val="tx1"/>
            </w14:solidFill>
          </w14:textFill>
        </w:rPr>
      </w:pPr>
      <w:r>
        <w:rPr>
          <w:rFonts w:ascii="宋体" w:hAnsi="宋体" w:eastAsia="微软雅黑"/>
          <w:color w:val="000000" w:themeColor="text1"/>
          <w:szCs w:val="21"/>
          <w:highlight w:val="none"/>
          <w14:textFill>
            <w14:solidFill>
              <w14:schemeClr w14:val="tx1"/>
            </w14:solidFill>
          </w14:textFill>
        </w:rPr>
      </w:r>
      <w:r/>
    </w:p>
    <w:p>
      <w:pPr>
        <w:jc w:val="center"/>
        <w:spacing w:line="360" w:lineRule="auto"/>
        <w:rPr>
          <w:b/>
          <w:bCs/>
          <w:color w:val="000000" w:themeColor="text1"/>
          <w:sz w:val="32"/>
          <w:szCs w:val="32"/>
          <w:highlight w:val="none"/>
          <w:shd w:val="clear" w:color="auto" w:fill="ffffff"/>
          <w14:textFill>
            <w14:solidFill>
              <w14:schemeClr w14:val="tx1"/>
            </w14:solidFill>
          </w14:textFill>
        </w:rPr>
      </w:pPr>
      <w:r>
        <w:rPr>
          <w:b/>
          <w:bCs/>
          <w:color w:val="000000" w:themeColor="text1"/>
          <w:sz w:val="32"/>
          <w:szCs w:val="32"/>
          <w:highlight w:val="none"/>
          <w:shd w:val="clear" w:color="auto" w:fill="ffffff"/>
          <w14:textFill>
            <w14:solidFill>
              <w14:schemeClr w14:val="tx1"/>
            </w14:solidFill>
          </w14:textFill>
        </w:rPr>
      </w:r>
      <w:r/>
    </w:p>
    <w:p>
      <w:pPr>
        <w:jc w:val="center"/>
        <w:spacing w:line="360" w:lineRule="auto"/>
        <w:rPr>
          <w:b/>
          <w:bCs/>
          <w:color w:val="000000" w:themeColor="text1"/>
          <w:sz w:val="32"/>
          <w:szCs w:val="32"/>
          <w:highlight w:val="none"/>
          <w:shd w:val="clear" w:color="auto" w:fill="ffffff"/>
          <w14:textFill>
            <w14:solidFill>
              <w14:schemeClr w14:val="tx1"/>
            </w14:solidFill>
          </w14:textFill>
        </w:rPr>
      </w:pPr>
      <w:r>
        <w:rPr>
          <w:b/>
          <w:bCs/>
          <w:color w:val="000000" w:themeColor="text1"/>
          <w:sz w:val="32"/>
          <w:szCs w:val="32"/>
          <w:highlight w:val="none"/>
          <w:shd w:val="clear" w:color="auto" w:fill="ffffff"/>
          <w14:textFill>
            <w14:solidFill>
              <w14:schemeClr w14:val="tx1"/>
            </w14:solidFill>
          </w14:textFill>
        </w:rPr>
      </w:r>
      <w:r/>
    </w:p>
    <w:p>
      <w:pPr>
        <w:jc w:val="center"/>
        <w:spacing w:line="360" w:lineRule="auto"/>
        <w:rPr>
          <w:b/>
          <w:bCs/>
          <w:color w:val="000000" w:themeColor="text1"/>
          <w:sz w:val="32"/>
          <w:szCs w:val="32"/>
          <w:highlight w:val="none"/>
          <w:shd w:val="clear" w:color="auto" w:fill="ffffff"/>
          <w14:textFill>
            <w14:solidFill>
              <w14:schemeClr w14:val="tx1"/>
            </w14:solidFill>
          </w14:textFill>
        </w:rPr>
      </w:pPr>
      <w:r>
        <w:rPr>
          <w:b/>
          <w:bCs/>
          <w:color w:val="000000" w:themeColor="text1"/>
          <w:sz w:val="32"/>
          <w:szCs w:val="32"/>
          <w:highlight w:val="none"/>
          <w:shd w:val="clear" w:color="auto" w:fill="ffffff"/>
          <w14:textFill>
            <w14:solidFill>
              <w14:schemeClr w14:val="tx1"/>
            </w14:solidFill>
          </w14:textFill>
        </w:rPr>
      </w:r>
      <w:r/>
    </w:p>
    <w:p>
      <w:pPr>
        <w:jc w:val="center"/>
        <w:spacing w:line="360" w:lineRule="auto"/>
        <w:rPr>
          <w:b/>
          <w:bCs/>
          <w:color w:val="000000" w:themeColor="text1"/>
          <w:sz w:val="32"/>
          <w:szCs w:val="32"/>
          <w:highlight w:val="none"/>
          <w:shd w:val="clear" w:color="auto" w:fill="ffffff"/>
          <w14:textFill>
            <w14:solidFill>
              <w14:schemeClr w14:val="tx1"/>
            </w14:solidFill>
          </w14:textFill>
        </w:rPr>
      </w:pPr>
      <w:r>
        <w:rPr>
          <w:b/>
          <w:bCs/>
          <w:color w:val="000000" w:themeColor="text1"/>
          <w:sz w:val="32"/>
          <w:szCs w:val="32"/>
          <w:highlight w:val="none"/>
          <w:shd w:val="clear" w:color="auto" w:fill="ffffff"/>
          <w14:textFill>
            <w14:solidFill>
              <w14:schemeClr w14:val="tx1"/>
            </w14:solidFill>
          </w14:textFill>
        </w:rPr>
      </w:r>
      <w:r/>
    </w:p>
    <w:p>
      <w:pPr>
        <w:jc w:val="center"/>
        <w:spacing w:line="360" w:lineRule="auto"/>
        <w:rPr>
          <w:b/>
          <w:bCs/>
          <w:color w:val="000000" w:themeColor="text1"/>
          <w:sz w:val="32"/>
          <w:szCs w:val="32"/>
          <w:highlight w:val="none"/>
          <w:shd w:val="clear" w:color="auto" w:fill="ffffff"/>
          <w14:textFill>
            <w14:solidFill>
              <w14:schemeClr w14:val="tx1"/>
            </w14:solidFill>
          </w14:textFill>
        </w:rPr>
      </w:pPr>
      <w:r>
        <w:rPr>
          <w:b/>
          <w:bCs/>
          <w:color w:val="000000" w:themeColor="text1"/>
          <w:sz w:val="32"/>
          <w:szCs w:val="32"/>
          <w:highlight w:val="none"/>
          <w:shd w:val="clear" w:color="auto" w:fill="ffffff"/>
          <w14:textFill>
            <w14:solidFill>
              <w14:schemeClr w14:val="tx1"/>
            </w14:solidFill>
          </w14:textFill>
        </w:rPr>
      </w:r>
      <w:r/>
    </w:p>
    <w:p>
      <w:pPr>
        <w:jc w:val="center"/>
        <w:spacing w:line="360" w:lineRule="auto"/>
        <w:rPr>
          <w:b/>
          <w:bCs/>
          <w:color w:val="000000" w:themeColor="text1"/>
          <w:sz w:val="32"/>
          <w:szCs w:val="32"/>
          <w:highlight w:val="none"/>
          <w:shd w:val="clear" w:color="auto" w:fill="ffffff"/>
          <w14:textFill>
            <w14:solidFill>
              <w14:schemeClr w14:val="tx1"/>
            </w14:solidFill>
          </w14:textFill>
        </w:rPr>
      </w:pPr>
      <w:r>
        <w:rPr>
          <w:b/>
          <w:bCs/>
          <w:color w:val="000000" w:themeColor="text1"/>
          <w:sz w:val="32"/>
          <w:szCs w:val="32"/>
          <w:highlight w:val="none"/>
          <w:shd w:val="clear" w:color="auto" w:fill="ffffff"/>
          <w14:textFill>
            <w14:solidFill>
              <w14:schemeClr w14:val="tx1"/>
            </w14:solidFill>
          </w14:textFill>
        </w:rPr>
      </w:r>
      <w:r/>
    </w:p>
    <w:p>
      <w:pPr>
        <w:jc w:val="center"/>
        <w:spacing w:line="360" w:lineRule="auto"/>
        <w:rPr>
          <w:b/>
          <w:bCs/>
          <w:color w:val="000000" w:themeColor="text1"/>
          <w:sz w:val="32"/>
          <w:szCs w:val="32"/>
          <w:highlight w:val="none"/>
          <w:shd w:val="clear" w:color="auto" w:fill="ffffff"/>
          <w14:textFill>
            <w14:solidFill>
              <w14:schemeClr w14:val="tx1"/>
            </w14:solidFill>
          </w14:textFill>
        </w:rPr>
      </w:pPr>
      <w:r>
        <w:rPr>
          <w:b/>
          <w:bCs/>
          <w:color w:val="000000" w:themeColor="text1"/>
          <w:sz w:val="32"/>
          <w:szCs w:val="32"/>
          <w:highlight w:val="none"/>
          <w:shd w:val="clear" w:color="auto" w:fill="ffffff"/>
          <w14:textFill>
            <w14:solidFill>
              <w14:schemeClr w14:val="tx1"/>
            </w14:solidFill>
          </w14:textFill>
        </w:rPr>
      </w:r>
      <w:r/>
    </w:p>
    <w:p>
      <w:pPr>
        <w:jc w:val="center"/>
        <w:spacing w:line="360" w:lineRule="auto"/>
        <w:rPr>
          <w:b/>
          <w:bCs/>
          <w:color w:val="000000" w:themeColor="text1"/>
          <w:sz w:val="32"/>
          <w:szCs w:val="32"/>
          <w:highlight w:val="none"/>
          <w:shd w:val="clear" w:color="auto" w:fill="ffffff"/>
          <w14:textFill>
            <w14:solidFill>
              <w14:schemeClr w14:val="tx1"/>
            </w14:solidFill>
          </w14:textFill>
        </w:rPr>
      </w:pPr>
      <w:r>
        <w:rPr>
          <w:b/>
          <w:bCs/>
          <w:color w:val="000000" w:themeColor="text1"/>
          <w:sz w:val="32"/>
          <w:szCs w:val="32"/>
          <w:highlight w:val="none"/>
          <w:shd w:val="clear" w:color="auto" w:fill="ffffff"/>
          <w14:textFill>
            <w14:solidFill>
              <w14:schemeClr w14:val="tx1"/>
            </w14:solidFill>
          </w14:textFill>
        </w:rPr>
      </w:r>
      <w:r/>
    </w:p>
    <w:p>
      <w:pPr>
        <w:jc w:val="center"/>
        <w:spacing w:line="360" w:lineRule="auto"/>
        <w:rPr>
          <w:b/>
          <w:bCs/>
          <w:color w:val="000000" w:themeColor="text1"/>
          <w:sz w:val="32"/>
          <w:szCs w:val="32"/>
          <w:highlight w:val="none"/>
          <w:shd w:val="clear" w:color="auto" w:fill="ffffff"/>
          <w14:textFill>
            <w14:solidFill>
              <w14:schemeClr w14:val="tx1"/>
            </w14:solidFill>
          </w14:textFill>
        </w:rPr>
      </w:pPr>
      <w:r>
        <w:rPr>
          <w:b/>
          <w:bCs/>
          <w:color w:val="000000" w:themeColor="text1"/>
          <w:sz w:val="32"/>
          <w:szCs w:val="32"/>
          <w:highlight w:val="none"/>
          <w:shd w:val="clear" w:color="auto" w:fill="ffffff"/>
          <w14:textFill>
            <w14:solidFill>
              <w14:schemeClr w14:val="tx1"/>
            </w14:solidFill>
          </w14:textFill>
        </w:rPr>
      </w:r>
      <w:r/>
    </w:p>
    <w:p>
      <w:pPr>
        <w:jc w:val="center"/>
        <w:spacing w:line="360" w:lineRule="auto"/>
        <w:rPr>
          <w:b/>
          <w:bCs/>
          <w:color w:val="000000" w:themeColor="text1"/>
          <w:sz w:val="32"/>
          <w:szCs w:val="32"/>
          <w:highlight w:val="none"/>
          <w:shd w:val="clear" w:color="auto" w:fill="ffffff"/>
          <w14:textFill>
            <w14:solidFill>
              <w14:schemeClr w14:val="tx1"/>
            </w14:solidFill>
          </w14:textFill>
        </w:rPr>
      </w:pPr>
      <w:r>
        <w:rPr>
          <w:b/>
          <w:bCs/>
          <w:color w:val="000000" w:themeColor="text1"/>
          <w:sz w:val="32"/>
          <w:szCs w:val="32"/>
          <w:highlight w:val="none"/>
          <w:shd w:val="clear" w:color="auto" w:fill="ffffff"/>
          <w14:textFill>
            <w14:solidFill>
              <w14:schemeClr w14:val="tx1"/>
            </w14:solidFill>
          </w14:textFill>
        </w:rPr>
      </w:r>
      <w:r/>
    </w:p>
    <w:p>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ind w:firstLine="12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二、上一年度财务状况报告</w:t>
      </w:r>
      <w:r/>
    </w:p>
    <w:p>
      <w:pPr>
        <w:ind w:firstLine="120"/>
        <w:spacing w:line="44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投标人成立不满一年不需提供</w:t>
      </w:r>
      <w:r/>
    </w:p>
    <w:p>
      <w:pPr>
        <w:ind w:firstLine="160"/>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三、依法缴纳税收和社会保障资金的相关材料</w:t>
      </w:r>
      <w:r/>
    </w:p>
    <w:p>
      <w:pPr>
        <w:ind w:firstLine="120"/>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ind w:firstLine="160"/>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四、具备履行合同所必需的设备和专业技术能力的书面声明</w:t>
      </w:r>
      <w:r/>
    </w:p>
    <w:p>
      <w:pPr>
        <w:ind w:firstLine="120"/>
        <w:spacing w:line="4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120"/>
        <w:spacing w:line="4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主要设备有：</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w:t>
      </w:r>
      <w:r/>
    </w:p>
    <w:p>
      <w:pPr>
        <w:ind w:firstLine="120"/>
        <w:spacing w:line="4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主要专业技术能力有：</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w:t>
      </w:r>
      <w:r/>
    </w:p>
    <w:p>
      <w:pPr>
        <w:ind w:firstLine="120"/>
        <w:spacing w:line="4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r/>
    </w:p>
    <w:p>
      <w:pPr>
        <w:pStyle w:val="891"/>
        <w:ind w:firstLine="1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ind w:firstLine="221"/>
        <w:spacing w:line="460" w:lineRule="exact"/>
        <w:rPr>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                 声  明</w:t>
      </w:r>
      <w:r/>
    </w:p>
    <w:p>
      <w:pPr>
        <w:ind w:firstLine="120"/>
        <w:spacing w:line="460" w:lineRule="exact"/>
        <w:rPr>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160"/>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ind w:firstLine="160"/>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ind w:firstLine="160"/>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ind w:firstLine="160"/>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ind w:firstLine="160"/>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ind w:firstLine="160"/>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ind w:firstLine="160"/>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ind w:firstLine="160"/>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ind w:firstLine="160"/>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br w:type="page" w:clear="all"/>
      </w:r>
      <w:r/>
    </w:p>
    <w:p>
      <w:pPr>
        <w:ind w:firstLine="160"/>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六、供应商信用承诺函</w:t>
      </w:r>
      <w:r/>
    </w:p>
    <w:p>
      <w:pPr>
        <w:ind w:firstLine="120"/>
        <w:jc w:val="center"/>
        <w:spacing w:line="500" w:lineRule="exact"/>
        <w:rPr>
          <w:rFonts w:eastAsia="等线"/>
          <w:b/>
          <w:color w:val="000000" w:themeColor="text1"/>
          <w:sz w:val="24"/>
          <w:szCs w:val="24"/>
          <w:highlight w:val="none"/>
          <w14:textFill>
            <w14:solidFill>
              <w14:schemeClr w14:val="tx1"/>
            </w14:solidFill>
          </w14:textFill>
        </w:rPr>
      </w:pPr>
      <w:r>
        <w:rPr>
          <w:rFonts w:hint="eastAsia" w:eastAsia="等线"/>
          <w:b/>
          <w:color w:val="000000" w:themeColor="text1"/>
          <w:sz w:val="24"/>
          <w:szCs w:val="24"/>
          <w:highlight w:val="none"/>
          <w14:textFill>
            <w14:solidFill>
              <w14:schemeClr w14:val="tx1"/>
            </w14:solidFill>
          </w14:textFill>
        </w:rPr>
        <w:t xml:space="preserve">供应商信用承诺函</w:t>
      </w:r>
      <w:r/>
    </w:p>
    <w:p>
      <w:pPr>
        <w:ind w:firstLine="120"/>
        <w:spacing w:line="500" w:lineRule="exact"/>
        <w:rPr>
          <w:rFonts w:ascii="方正仿宋_GBK" w:hAnsi="等线" w:eastAsia="等线"/>
          <w:color w:val="000000" w:themeColor="text1"/>
          <w:sz w:val="24"/>
          <w:szCs w:val="24"/>
          <w:highlight w:val="none"/>
          <w14:textFill>
            <w14:solidFill>
              <w14:schemeClr w14:val="tx1"/>
            </w14:solidFill>
          </w14:textFill>
        </w:rPr>
      </w:pPr>
      <w:r>
        <w:rPr>
          <w:rFonts w:ascii="方正仿宋_GBK" w:hAnsi="等线" w:eastAsia="等线"/>
          <w:color w:val="000000" w:themeColor="text1"/>
          <w:sz w:val="24"/>
          <w:szCs w:val="24"/>
          <w:highlight w:val="none"/>
          <w14:textFill>
            <w14:solidFill>
              <w14:schemeClr w14:val="tx1"/>
            </w14:solidFill>
          </w14:textFill>
        </w:rPr>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承诺主体名称：</w:t>
      </w:r>
      <w:r/>
    </w:p>
    <w:p>
      <w:pPr>
        <w:ind w:firstLine="119"/>
        <w:keepLines w:val="0"/>
        <w:keepNext w:val="0"/>
        <w:pageBreakBefore w:val="0"/>
        <w:spacing w:line="312" w:lineRule="auto"/>
        <w:widowControl w:val="off"/>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统一社会信用代码</w:t>
      </w:r>
      <w:r>
        <w:rPr>
          <w:rFonts w:hint="eastAsia"/>
          <w:color w:val="000000" w:themeColor="text1"/>
          <w:sz w:val="24"/>
          <w:szCs w:val="24"/>
          <w:highlight w:val="none"/>
          <w:lang w:eastAsia="zh-CN"/>
          <w14:textFill>
            <w14:solidFill>
              <w14:schemeClr w14:val="tx1"/>
            </w14:solidFill>
          </w14:textFill>
        </w:rPr>
        <w:t xml:space="preserve">：</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四、自觉接受行政管理部门、行业组织、社会公众、新闻舆论的监督；</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七、严格遵守信用信息公示相关规定，向社会公示信用信息；</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八、在“信用中国”和“中国政府采购网”网站中无违法违规、较重或严重失信记录；</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十、本承诺书自签订之日起生效。</w:t>
      </w:r>
      <w:r/>
    </w:p>
    <w:p>
      <w:pPr>
        <w:ind w:firstLine="119"/>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（注：法定代表人或负责人、主体名称发生变更的应当重新做出承诺。）</w:t>
      </w:r>
      <w:r/>
    </w:p>
    <w:p>
      <w:pPr>
        <w:ind w:firstLine="119"/>
        <w:jc w:val="center"/>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承诺单位（加盖CA电子公章）：           </w:t>
      </w:r>
      <w:r/>
    </w:p>
    <w:p>
      <w:pPr>
        <w:ind w:firstLine="119"/>
        <w:jc w:val="center"/>
        <w:keepLines w:val="0"/>
        <w:keepNext w:val="0"/>
        <w:pageBreakBefore w:val="0"/>
        <w:spacing w:line="312"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年    月    日</w:t>
      </w:r>
      <w:r/>
    </w:p>
    <w:p>
      <w:pPr>
        <w:ind w:firstLine="320"/>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r>
      <w:r/>
    </w:p>
    <w:p>
      <w:pPr>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br w:type="page" w:clear="all"/>
      </w:r>
      <w:r/>
    </w:p>
    <w:p>
      <w:pPr>
        <w:ind w:firstLine="320"/>
        <w:jc w:val="left"/>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七、特定资格要求的证明文件</w:t>
      </w:r>
      <w:r/>
    </w:p>
    <w:p>
      <w:pPr>
        <w:ind w:firstLine="120"/>
        <w:spacing w:line="4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如果本项目申请人的特定资格要求中要求提供的，必须提供。  </w:t>
      </w:r>
      <w:r/>
    </w:p>
    <w:p>
      <w:pPr>
        <w:ind w:firstLine="120"/>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ind w:firstLine="160"/>
        <w:jc w:val="left"/>
        <w:rPr>
          <w:rFonts w:ascii="黑体" w:hAnsi="黑体" w:eastAsia="黑体"/>
          <w:i/>
          <w:color w:val="000000" w:themeColor="text1"/>
          <w:sz w:val="32"/>
          <w:szCs w:val="32"/>
          <w:highlight w:val="none"/>
          <w:u w:val="single"/>
          <w14:textFill>
            <w14:solidFill>
              <w14:schemeClr w14:val="tx1"/>
            </w14:solidFill>
          </w14:textFill>
        </w:rPr>
      </w:pPr>
      <w:r>
        <w:rPr>
          <w:rFonts w:hint="eastAsia" w:ascii="黑体" w:hAnsi="黑体" w:eastAsia="黑体"/>
          <w:i/>
          <w:color w:val="000000" w:themeColor="text1"/>
          <w:sz w:val="32"/>
          <w:szCs w:val="32"/>
          <w:highlight w:val="none"/>
          <w:u w:val="single"/>
          <w14:textFill>
            <w14:solidFill>
              <w14:schemeClr w14:val="tx1"/>
            </w14:solidFill>
          </w14:textFill>
        </w:rPr>
        <w:t xml:space="preserve">八、法人授权书</w:t>
      </w:r>
      <w:r/>
    </w:p>
    <w:p>
      <w:pPr>
        <w:pStyle w:val="931"/>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本授权书声明：____________（投标人名称）授权________________（被授权人的姓名）为我方就</w:t>
      </w:r>
      <w:r>
        <w:rPr>
          <w:rFonts w:hint="eastAsia" w:ascii="经典仿宋简" w:hAnsi="经典仿宋简" w:eastAsia="经典仿宋简" w:cs="经典仿宋简"/>
          <w:color w:val="000000" w:themeColor="text1"/>
          <w:sz w:val="22"/>
          <w:szCs w:val="22"/>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pStyle w:val="931"/>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本授权书于______年____月____日起生效，特此声明。</w:t>
      </w:r>
      <w:r/>
    </w:p>
    <w:p>
      <w:pPr>
        <w:pStyle w:val="931"/>
        <w:ind w:firstLine="12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被授权人身份证号码：</w:t>
      </w:r>
      <w:r>
        <w:rPr>
          <w:rFonts w:hint="eastAsia"/>
          <w:color w:val="000000" w:themeColor="text1"/>
          <w:sz w:val="24"/>
          <w:szCs w:val="24"/>
          <w:highlight w:val="none"/>
          <w:u w:val="single"/>
          <w14:textFill>
            <w14:solidFill>
              <w14:schemeClr w14:val="tx1"/>
            </w14:solidFill>
          </w14:textFill>
        </w:rPr>
        <w:t xml:space="preserve">                              </w:t>
      </w:r>
      <w:r/>
    </w:p>
    <w:p>
      <w:pPr>
        <w:pStyle w:val="931"/>
        <w:ind w:firstLine="12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被授权人联系电话：（手机）</w:t>
      </w:r>
      <w:r>
        <w:rPr>
          <w:rFonts w:hint="eastAsia"/>
          <w:color w:val="000000" w:themeColor="text1"/>
          <w:sz w:val="24"/>
          <w:szCs w:val="24"/>
          <w:highlight w:val="none"/>
          <w:u w:val="single"/>
          <w14:textFill>
            <w14:solidFill>
              <w14:schemeClr w14:val="tx1"/>
            </w14:solidFill>
          </w14:textFill>
        </w:rPr>
        <w:t xml:space="preserve">                          </w:t>
      </w:r>
      <w:r/>
    </w:p>
    <w:p>
      <w:pPr>
        <w:pStyle w:val="931"/>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授权单位名称：</w:t>
      </w:r>
      <w:r>
        <w:rPr>
          <w:rFonts w:hint="eastAsia"/>
          <w:color w:val="000000" w:themeColor="text1"/>
          <w:sz w:val="24"/>
          <w:szCs w:val="24"/>
          <w:highlight w:val="none"/>
          <w:u w:val="single"/>
          <w14:textFill>
            <w14:solidFill>
              <w14:schemeClr w14:val="tx1"/>
            </w14:solidFill>
          </w14:textFill>
        </w:rPr>
        <w:t xml:space="preserve">（加盖CA电子公章）</w:t>
      </w:r>
      <w:r/>
    </w:p>
    <w:p>
      <w:pPr>
        <w:pStyle w:val="931"/>
        <w:ind w:firstLine="12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单位地址：</w:t>
      </w:r>
      <w:r>
        <w:rPr>
          <w:rFonts w:hint="eastAsia"/>
          <w:color w:val="000000" w:themeColor="text1"/>
          <w:sz w:val="24"/>
          <w:szCs w:val="24"/>
          <w:highlight w:val="none"/>
          <w:u w:val="single"/>
          <w14:textFill>
            <w14:solidFill>
              <w14:schemeClr w14:val="tx1"/>
            </w14:solidFill>
          </w14:textFill>
        </w:rPr>
        <w:t xml:space="preserve">                                         </w:t>
      </w:r>
      <w:r/>
    </w:p>
    <w:p>
      <w:pPr>
        <w:pStyle w:val="931"/>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w:t>
      </w:r>
      <w:bookmarkStart w:id="150" w:name="_格式3__银行出具的资信证明"/>
      <w:r/>
      <w:bookmarkEnd w:id="150"/>
      <w:r/>
      <w:bookmarkStart w:id="151" w:name="_Hlt26671380"/>
      <w:r/>
      <w:bookmarkEnd w:id="151"/>
      <w:r/>
      <w:bookmarkStart w:id="152" w:name="_Hlt26955070"/>
      <w:r/>
      <w:bookmarkEnd w:id="152"/>
      <w:r>
        <w:rPr>
          <w:rFonts w:hint="eastAsia"/>
          <w:color w:val="000000" w:themeColor="text1"/>
          <w:sz w:val="24"/>
          <w:szCs w:val="24"/>
          <w:highlight w:val="none"/>
          <w:u w:val="single"/>
          <w14:textFill>
            <w14:solidFill>
              <w14:schemeClr w14:val="tx1"/>
            </w14:solidFill>
          </w14:textFill>
        </w:rPr>
        <w:t xml:space="preserve">                                         </w:t>
      </w:r>
      <w:r/>
    </w:p>
    <w:p>
      <w:pPr>
        <w:pStyle w:val="891"/>
        <w:ind w:firstLine="120"/>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891"/>
        <w:ind w:firstLine="1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20"/>
        <w:spacing w:line="460" w:lineRule="exact"/>
        <w:rPr>
          <w:rFonts w:ascii="楷体" w:hAnsi="楷体" w:eastAsia="楷体"/>
          <w:bCs/>
          <w:color w:val="000000" w:themeColor="text1"/>
          <w:sz w:val="24"/>
          <w:szCs w:val="24"/>
          <w:highlight w:val="none"/>
          <w14:textFill>
            <w14:solidFill>
              <w14:schemeClr w14:val="tx1"/>
            </w14:solidFill>
          </w14:textFill>
        </w:rPr>
      </w:pPr>
      <w:r>
        <w:rPr>
          <w:rFonts w:ascii="楷体" w:hAnsi="楷体" w:eastAsia="楷体"/>
          <w:bCs/>
          <w:color w:val="000000" w:themeColor="text1"/>
          <w:sz w:val="24"/>
          <w:szCs w:val="24"/>
          <w:highlight w:val="none"/>
          <w14:textFill>
            <w14:solidFill>
              <w14:schemeClr w14:val="tx1"/>
            </w14:solidFill>
          </w14:textFill>
        </w:rPr>
      </w:r>
      <w:r/>
    </w:p>
    <w:p>
      <w:pPr>
        <w:ind w:firstLine="120"/>
        <w:spacing w:line="4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pStyle w:val="932"/>
        <w:ind w:firstLine="120"/>
        <w:jc w:val="center"/>
        <w:rPr>
          <w:rFonts w:ascii="黑体" w:hAnsi="黑体" w:eastAsia="黑体"/>
          <w:bCs w:val="0"/>
          <w:i/>
          <w:color w:val="000000" w:themeColor="text1"/>
          <w:sz w:val="32"/>
          <w:szCs w:val="32"/>
          <w:highlight w:val="none"/>
          <w:u w:val="single"/>
          <w14:textFill>
            <w14:solidFill>
              <w14:schemeClr w14:val="tx1"/>
            </w14:solidFill>
          </w14:textFill>
        </w:rPr>
      </w:pPr>
      <w:r>
        <w:rPr>
          <w:rFonts w:ascii="宋体" w:hAnsi="宋体"/>
          <w:bCs w:val="0"/>
          <w:color w:val="000000" w:themeColor="text1"/>
          <w:sz w:val="24"/>
          <w:highlight w:val="none"/>
          <w14:textFill>
            <w14:solidFill>
              <w14:schemeClr w14:val="tx1"/>
            </w14:solidFill>
          </w14:textFill>
        </w:rPr>
        <w:br w:type="page" w:clear="all"/>
      </w:r>
      <w:r>
        <w:rPr>
          <w:rFonts w:hint="eastAsia" w:ascii="黑体" w:hAnsi="黑体" w:eastAsia="黑体"/>
          <w:bCs w:val="0"/>
          <w:i/>
          <w:color w:val="000000" w:themeColor="text1"/>
          <w:sz w:val="32"/>
          <w:szCs w:val="32"/>
          <w:highlight w:val="none"/>
          <w:u w:val="single"/>
          <w14:textFill>
            <w14:solidFill>
              <w14:schemeClr w14:val="tx1"/>
            </w14:solidFill>
          </w14:textFill>
        </w:rPr>
        <w:t xml:space="preserve">九、投标函</w:t>
      </w:r>
      <w:r/>
    </w:p>
    <w:p>
      <w:pPr>
        <w:pStyle w:val="868"/>
        <w:ind w:firstLine="120"/>
        <w:spacing w:before="0" w:after="0" w:line="42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lang w:eastAsia="zh-CN"/>
          <w14:textFill>
            <w14:solidFill>
              <w14:schemeClr w14:val="tx1"/>
            </w14:solidFill>
          </w14:textFill>
        </w:rPr>
        <w:t xml:space="preserve">江苏江南工程管理咨询有限公司</w:t>
      </w:r>
      <w:r/>
    </w:p>
    <w:p>
      <w:pPr>
        <w:pStyle w:val="868"/>
        <w:ind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号招标文件，正式授权下述签字人______(姓名)代表我方______________（投标人的名称），全权处理本次项目投标的有关事宜。</w:t>
      </w:r>
      <w:r/>
    </w:p>
    <w:p>
      <w:pPr>
        <w:pStyle w:val="868"/>
        <w:ind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868"/>
        <w:ind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1.按招标文件规定的各项要求，向买方提供所需服务（包含与服务相关的货物）。</w:t>
      </w:r>
      <w:r/>
    </w:p>
    <w:p>
      <w:pPr>
        <w:pStyle w:val="868"/>
        <w:ind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2.我们完全理解贵方不一定将合同授予最低报价的投标人。</w:t>
      </w:r>
      <w:r/>
    </w:p>
    <w:p>
      <w:pPr>
        <w:pStyle w:val="868"/>
        <w:ind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868"/>
        <w:ind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868"/>
        <w:ind w:firstLine="12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868"/>
        <w:ind w:firstLine="12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868"/>
        <w:ind w:firstLine="12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.与本投标有关的正式通讯地址为：</w:t>
      </w:r>
      <w:r/>
    </w:p>
    <w:p>
      <w:pPr>
        <w:pStyle w:val="868"/>
        <w:ind w:left="420"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868"/>
        <w:ind w:left="420"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868"/>
        <w:ind w:left="420"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868"/>
        <w:ind w:left="420"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868"/>
        <w:ind w:left="420"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投标人开户行：</w:t>
      </w:r>
      <w:r/>
    </w:p>
    <w:p>
      <w:pPr>
        <w:pStyle w:val="868"/>
        <w:ind w:left="420"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 </w:t>
      </w:r>
      <w:r/>
    </w:p>
    <w:p>
      <w:pPr>
        <w:pStyle w:val="868"/>
        <w:ind w:left="420" w:firstLine="12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ind w:firstLine="120"/>
        <w:jc w:val="center"/>
        <w:spacing w:line="5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ind w:firstLine="120"/>
        <w:jc w:val="center"/>
        <w:spacing w:line="5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ind w:firstLine="120"/>
        <w:jc w:val="center"/>
        <w:spacing w:line="5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ind w:firstLine="120"/>
        <w:spacing w:line="56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pStyle w:val="924"/>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1"/>
        <w:jc w:val="center"/>
        <w:spacing w:line="4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both"/>
        <w:spacing w:line="360" w:lineRule="auto"/>
        <w:rPr>
          <w:rFonts w:hint="eastAsia" w:ascii="黑体" w:hAnsi="黑体" w:eastAsia="黑体" w:cs="宋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十、</w:t>
      </w:r>
      <w:r>
        <w:rPr>
          <w:rFonts w:hint="eastAsia" w:ascii="黑体" w:hAnsi="黑体" w:eastAsia="黑体" w:cs="宋体"/>
          <w:b/>
          <w:color w:val="000000" w:themeColor="text1"/>
          <w:sz w:val="32"/>
          <w:szCs w:val="32"/>
          <w:highlight w:val="none"/>
          <w14:textFill>
            <w14:solidFill>
              <w14:schemeClr w14:val="tx1"/>
            </w14:solidFill>
          </w14:textFill>
        </w:rPr>
        <w:t xml:space="preserve">中小企业声明函（</w:t>
      </w:r>
      <w:r>
        <w:rPr>
          <w:rFonts w:hint="eastAsia" w:ascii="黑体" w:hAnsi="黑体" w:eastAsia="黑体" w:cs="宋体"/>
          <w:b/>
          <w:color w:val="000000" w:themeColor="text1"/>
          <w:sz w:val="32"/>
          <w:szCs w:val="32"/>
          <w:highlight w:val="none"/>
          <w:lang w:val="en-US" w:eastAsia="zh-CN"/>
          <w14:textFill>
            <w14:solidFill>
              <w14:schemeClr w14:val="tx1"/>
            </w14:solidFill>
          </w14:textFill>
        </w:rPr>
        <w:t xml:space="preserve">服务</w:t>
      </w:r>
      <w:r>
        <w:rPr>
          <w:rFonts w:hint="eastAsia" w:ascii="黑体" w:hAnsi="黑体" w:eastAsia="黑体" w:cs="宋体"/>
          <w:b/>
          <w:color w:val="000000" w:themeColor="text1"/>
          <w:sz w:val="32"/>
          <w:szCs w:val="32"/>
          <w:highlight w:val="none"/>
          <w14:textFill>
            <w14:solidFill>
              <w14:schemeClr w14:val="tx1"/>
            </w14:solidFill>
          </w14:textFill>
        </w:rPr>
        <w:t xml:space="preserve">）</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 </w:t>
      </w:r>
      <w:r>
        <w:rPr>
          <w:rFonts w:hint="eastAsia"/>
          <w:color w:val="000000" w:themeColor="text1"/>
          <w:highlight w:val="none"/>
          <w:u w:val="single"/>
          <w14:textFill>
            <w14:solidFill>
              <w14:schemeClr w14:val="tx1"/>
            </w14:solidFill>
          </w14:textFill>
        </w:rPr>
        <w:t xml:space="preserve">（标的名称）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 （</w:t>
      </w:r>
      <w:r>
        <w:rPr>
          <w:rFonts w:hint="eastAsia"/>
          <w:b/>
          <w:bCs/>
          <w:color w:val="000000" w:themeColor="text1"/>
          <w:highlight w:val="none"/>
          <w:u w:val="single"/>
          <w:lang w:val="en-US" w:eastAsia="zh-CN"/>
          <w14:textFill>
            <w14:solidFill>
              <w14:schemeClr w14:val="tx1"/>
            </w14:solidFill>
          </w14:textFill>
        </w:rPr>
        <w:t xml:space="preserve">工业</w:t>
      </w:r>
      <w:r>
        <w:rPr>
          <w:rFonts w:hint="eastAsia"/>
          <w:color w:val="000000" w:themeColor="text1"/>
          <w:highlight w:val="none"/>
          <w:u w:val="single"/>
          <w14:textFill>
            <w14:solidFill>
              <w14:schemeClr w14:val="tx1"/>
            </w14:solidFill>
          </w14:textFill>
        </w:rPr>
        <w:t xml:space="preserve">）（该行业类别不可修改） </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2. </w:t>
      </w:r>
      <w:r>
        <w:rPr>
          <w:rFonts w:hint="eastAsia"/>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 ，属于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20"/>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6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ind w:firstLine="46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8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80" w:lineRule="exact"/>
        <w:rPr>
          <w:rFonts w:hint="eastAsia" w:ascii="宋体" w:hAnsi="宋体" w:eastAsia="宋体" w:cs="宋体"/>
          <w:color w:val="000000" w:themeColor="text1"/>
          <w:highlight w:val="none"/>
          <w14:textFill>
            <w14:solidFill>
              <w14:schemeClr w14:val="tx1"/>
            </w14:solidFill>
          </w14:textFill>
        </w:rPr>
      </w:pPr>
      <w:r/>
      <w:bookmarkStart w:id="153" w:name="_Hlk116216083"/>
      <w:r>
        <w:rPr>
          <w:rFonts w:hint="eastAsia" w:ascii="宋体" w:hAnsi="宋体" w:eastAsia="宋体" w:cs="宋体"/>
          <w:color w:val="000000" w:themeColor="text1"/>
          <w:highlight w:val="none"/>
          <w14:textFill>
            <w14:solidFill>
              <w14:schemeClr w14:val="tx1"/>
            </w14:solidFill>
          </w14:textFill>
        </w:rPr>
        <w:t xml:space="preserve">注： 1、从业人员（不仅指在职职工）、营业收入、资产总额填报上一年度数据，无上一年度数据的新成立企业可不填报。</w:t>
      </w:r>
      <w:bookmarkEnd w:id="153"/>
      <w:r/>
      <w:r/>
    </w:p>
    <w:p>
      <w:pPr>
        <w:ind w:firstLine="420"/>
        <w:jc w:val="left"/>
        <w:spacing w:line="3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2、供应商如不提供此声明函，价格将不做相应扣除。</w:t>
      </w:r>
      <w:r/>
    </w:p>
    <w:p>
      <w:pPr>
        <w:ind w:firstLine="420"/>
        <w:jc w:val="left"/>
        <w:spacing w:line="3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3、企业声明函请完整填写，中标后将公示。</w:t>
      </w:r>
      <w:r/>
    </w:p>
    <w:p>
      <w:pPr>
        <w:ind w:firstLine="420"/>
        <w:jc w:val="left"/>
        <w:spacing w:line="3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38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right="720" w:firstLine="12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           </w:t>
      </w:r>
      <w:r/>
    </w:p>
    <w:p>
      <w:pPr>
        <w:ind w:firstLine="12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924"/>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keepNext/>
        <w:spacing w:before="300" w:after="300" w:line="360" w:lineRule="auto"/>
        <w:rPr>
          <w:rFonts w:ascii="Arial" w:hAnsi="Arial" w:eastAsia="幼圆" w:cs="Arial"/>
          <w:b/>
          <w:bCs/>
          <w:color w:val="000000" w:themeColor="text1"/>
          <w:highlight w:val="none"/>
          <w14:textFill>
            <w14:solidFill>
              <w14:schemeClr w14:val="tx1"/>
            </w14:solidFill>
          </w14:textFill>
        </w:rPr>
        <w:outlineLvl w:val="1"/>
      </w:pPr>
      <w:r/>
      <w:bookmarkStart w:id="154" w:name="_Toc150519795"/>
      <w:r>
        <w:rPr>
          <w:rFonts w:hint="eastAsia" w:ascii="Arial" w:hAnsi="Arial" w:eastAsia="幼圆" w:cs="微软雅黑"/>
          <w:b/>
          <w:bCs/>
          <w:color w:val="000000" w:themeColor="text1"/>
          <w:highlight w:val="none"/>
          <w14:textFill>
            <w14:solidFill>
              <w14:schemeClr w14:val="tx1"/>
            </w14:solidFill>
          </w14:textFill>
        </w:rPr>
        <w:t xml:space="preserve">中小微企业划型标准</w:t>
      </w:r>
      <w:bookmarkEnd w:id="154"/>
      <w:r>
        <w:rPr>
          <w:rFonts w:hint="eastAsia" w:ascii="Arial" w:hAnsi="Arial" w:eastAsia="幼圆" w:cs="微软雅黑"/>
          <w:b/>
          <w:bCs/>
          <w:color w:val="000000" w:themeColor="text1"/>
          <w:highlight w:val="none"/>
          <w14:textFill>
            <w14:solidFill>
              <w14:schemeClr w14:val="tx1"/>
            </w14:solidFill>
          </w14:textFill>
        </w:rPr>
        <w:t xml:space="preserve"> </w:t>
      </w:r>
      <w:r/>
    </w:p>
    <w:p>
      <w:pPr>
        <w:spacing w:before="300" w:after="452"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中小微企业划型标准如下：</w:t>
      </w:r>
      <w:r/>
    </w:p>
    <w:tbl>
      <w:tblPr>
        <w:tblStyle w:val="661"/>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91"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指标名称</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小型</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农、林、牧、渔</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50≤Y＜500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Y＜50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工业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300≤Y＜2000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Y＜300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建筑业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300≤Y＜6000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Y＜300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资产总额（Z）</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300≤Z＜5000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Z＜300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批发业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5≤X＜20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X＜5</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1000≤Y＜5000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Y＜1000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零售业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10≤X＜50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100≤Y＜500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交通运输业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200≤Y＜3000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Y＜200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仓储业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邮政业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X＜20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住宿业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餐饮业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100≤Y＜2000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信息传输业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Y＜100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100"/>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软件和信息技术服务业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50≤Y＜1000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Y＜50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房地产开发经营</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100≤X＜1000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X＜100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资产总额（Z）</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2000≤Y＜5000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Y＜2000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物业管理</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X＜100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营业收入（Y）</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500≤Y＜1000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Y＜500</w:t>
            </w:r>
            <w:r/>
          </w:p>
        </w:tc>
      </w:tr>
      <w:tr>
        <w:trPr>
          <w:cantSplit/>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租赁和商务服务业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X＜10</w:t>
            </w:r>
            <w:r/>
          </w:p>
        </w:tc>
      </w:tr>
      <w:tr>
        <w:trPr>
          <w:cantSplit/>
          <w:tblCellSpacing w:w="15" w:type="dxa"/>
          <w:trHeight w:val="225"/>
        </w:trPr>
        <w:tc>
          <w:tcPr>
            <w:tcW w:w="1491" w:type="dxa"/>
            <w:vAlign w:val="center"/>
            <w:vMerge w:val="continue"/>
            <w:textDirection w:val="lrTb"/>
            <w:noWrap w:val="false"/>
          </w:tcPr>
          <w:p>
            <w:pPr>
              <w:jc w:val="center"/>
              <w:rPr>
                <w:rFonts w:eastAsia="等线"/>
                <w:color w:val="000000" w:themeColor="text1"/>
                <w:highlight w:val="none"/>
                <w14:textFill>
                  <w14:solidFill>
                    <w14:schemeClr w14:val="tx1"/>
                  </w14:solidFill>
                </w14:textFill>
              </w:rPr>
            </w:pPr>
            <w:r>
              <w:rPr>
                <w:rFonts w:eastAsia="等线"/>
                <w:color w:val="000000" w:themeColor="text1"/>
                <w:highlight w:val="none"/>
                <w14:textFill>
                  <w14:solidFill>
                    <w14:schemeClr w14:val="tx1"/>
                  </w14:solidFill>
                </w14:textFill>
              </w:rPr>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资产总额（Z）</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万元</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100≤Z＜8000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其他未列明行业</w:t>
            </w:r>
            <w:r/>
          </w:p>
        </w:tc>
        <w:tc>
          <w:tcPr>
            <w:tcMar>
              <w:left w:w="105" w:type="dxa"/>
              <w:top w:w="0" w:type="dxa"/>
              <w:right w:w="105" w:type="dxa"/>
              <w:bottom w:w="0" w:type="dxa"/>
            </w:tcMar>
            <w:tcW w:w="1748"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从业人员（X）</w:t>
            </w:r>
            <w:r/>
          </w:p>
        </w:tc>
        <w:tc>
          <w:tcPr>
            <w:tcMar>
              <w:left w:w="105" w:type="dxa"/>
              <w:top w:w="0" w:type="dxa"/>
              <w:right w:w="105" w:type="dxa"/>
              <w:bottom w:w="0" w:type="dxa"/>
            </w:tcMar>
            <w:tcW w:w="73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人</w:t>
            </w:r>
            <w:r/>
          </w:p>
        </w:tc>
        <w:tc>
          <w:tcPr>
            <w:tcMar>
              <w:left w:w="105" w:type="dxa"/>
              <w:top w:w="0" w:type="dxa"/>
              <w:right w:w="105" w:type="dxa"/>
              <w:bottom w:w="0" w:type="dxa"/>
            </w:tcMar>
            <w:tcW w:w="1922" w:type="dxa"/>
            <w:vAlign w:val="center"/>
            <w:textDirection w:val="lrTb"/>
            <w:noWrap w:val="false"/>
          </w:tcPr>
          <w:p>
            <w:pP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10≤X＜100</w:t>
            </w:r>
            <w:r/>
          </w:p>
        </w:tc>
        <w:tc>
          <w:tcPr>
            <w:tcMar>
              <w:left w:w="105" w:type="dxa"/>
              <w:top w:w="0" w:type="dxa"/>
              <w:right w:w="105" w:type="dxa"/>
              <w:bottom w:w="0" w:type="dxa"/>
            </w:tcMar>
            <w:tcW w:w="1545" w:type="dxa"/>
            <w:vAlign w:val="center"/>
            <w:textDirection w:val="lrTb"/>
            <w:noWrap w:val="false"/>
          </w:tcPr>
          <w:p>
            <w:pPr>
              <w:ind w:firstLine="100"/>
              <w:spacing w:after="150"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X＜10</w:t>
            </w:r>
            <w:r/>
          </w:p>
        </w:tc>
      </w:tr>
    </w:tbl>
    <w:p>
      <w:pPr>
        <w:ind w:firstLine="100"/>
        <w:spacing w:before="300" w:after="452" w:line="360" w:lineRule="auto"/>
        <w:rPr>
          <w:color w:val="000000" w:themeColor="text1"/>
          <w:highlight w:val="none"/>
          <w14:textFill>
            <w14:solidFill>
              <w14:schemeClr w14:val="tx1"/>
            </w14:solidFill>
          </w14:textFill>
        </w:rPr>
      </w:pPr>
      <w:r>
        <w:rPr>
          <w:rFonts w:hint="eastAsia" w:eastAsia="等线" w:cs="仿宋"/>
          <w:b/>
          <w:color w:val="000000" w:themeColor="text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12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both"/>
        <w:spacing w:line="460" w:lineRule="exact"/>
        <w:rPr>
          <w:rFonts w:hint="eastAsia" w:ascii="黑体" w:hAnsi="黑体" w:eastAsia="黑体"/>
          <w:b/>
          <w:color w:val="000000" w:themeColor="text1"/>
          <w:sz w:val="32"/>
          <w:szCs w:val="32"/>
          <w:highlight w:val="none"/>
          <w14:textFill>
            <w14:solidFill>
              <w14:schemeClr w14:val="tx1"/>
            </w14:solidFill>
          </w14:textFill>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themeColor="text1"/>
          <w:sz w:val="32"/>
          <w:szCs w:val="32"/>
          <w:highlight w:val="none"/>
          <w14:textFill>
            <w14:solidFill>
              <w14:schemeClr w14:val="tx1"/>
            </w14:solidFill>
          </w14:textFill>
        </w:rPr>
      </w:r>
      <w:r/>
    </w:p>
    <w:p>
      <w:pPr>
        <w:jc w:val="both"/>
        <w:spacing w:line="460" w:lineRule="exact"/>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十、残疾人福利性单位声明函</w:t>
      </w:r>
      <w:r/>
    </w:p>
    <w:p>
      <w:pPr>
        <w:ind w:firstLine="120"/>
        <w:spacing w:line="588"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项目（分包号：**）采购活动由本单位提供服务。</w:t>
      </w:r>
      <w:r/>
    </w:p>
    <w:p>
      <w:pPr>
        <w:ind w:firstLine="120"/>
        <w:spacing w:line="588"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120"/>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120"/>
        <w:spacing w:line="588"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（备注：中标人为残疾人福利单位的，此声明函将随中标结果同时公告，接受社会监督）</w:t>
      </w:r>
      <w:r/>
    </w:p>
    <w:p>
      <w:pPr>
        <w:ind w:firstLine="156"/>
        <w:spacing w:line="588"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ind w:right="1560" w:firstLine="156"/>
        <w:jc w:val="center"/>
        <w:spacing w:line="588" w:lineRule="exact"/>
        <w:tabs>
          <w:tab w:val="left" w:pos="4860" w:leader="none"/>
        </w:tabs>
        <w:rPr>
          <w:color w:val="000000" w:themeColor="text1"/>
          <w:sz w:val="24"/>
          <w:highlight w:val="none"/>
          <w14:textFill>
            <w14:solidFill>
              <w14:schemeClr w14:val="tx1"/>
            </w14:solidFill>
          </w14:textFill>
        </w:rPr>
      </w:pPr>
      <w:r>
        <w:rPr>
          <w:rFonts w:hint="eastAsia" w:ascii="仿宋_GB2312" w:eastAsia="仿宋_GB2312"/>
          <w:color w:val="000000" w:themeColor="text1"/>
          <w:spacing w:val="6"/>
          <w:sz w:val="30"/>
          <w:szCs w:val="30"/>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供应商全称（加盖CA电子公章）：</w:t>
      </w:r>
      <w:r/>
    </w:p>
    <w:p>
      <w:pPr>
        <w:ind w:right="1560" w:firstLine="3012"/>
        <w:jc w:val="both"/>
        <w:spacing w:line="588" w:lineRule="exact"/>
        <w:tabs>
          <w:tab w:val="left" w:pos="486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  期：</w:t>
      </w:r>
      <w:r/>
    </w:p>
    <w:p>
      <w:pPr>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br w:type="page" w:clear="all"/>
      </w:r>
      <w:r/>
    </w:p>
    <w:p>
      <w:pPr>
        <w:ind w:firstLine="161"/>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十一、联合体协议（参考格式）</w:t>
      </w:r>
      <w:r/>
    </w:p>
    <w:p>
      <w:pPr>
        <w:ind w:firstLine="12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（联合体中各供应商全称）在此达成以下协议：</w:t>
      </w:r>
      <w:r/>
    </w:p>
    <w:p>
      <w:pPr>
        <w:ind w:firstLine="120"/>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、我们</w:t>
      </w:r>
      <w:r>
        <w:rPr>
          <w:rFonts w:hint="eastAsia"/>
          <w:color w:val="000000" w:themeColor="text1"/>
          <w:sz w:val="24"/>
          <w:highlight w:val="none"/>
          <w:u w:val="single"/>
          <w14:textFill>
            <w14:solidFill>
              <w14:schemeClr w14:val="tx1"/>
            </w14:solidFill>
          </w14:textFill>
        </w:rPr>
        <w:t xml:space="preserve"> （供应商1），（供应商2） ，</w:t>
      </w:r>
      <w:r>
        <w:rPr>
          <w:color w:val="000000" w:themeColor="text1"/>
          <w:sz w:val="24"/>
          <w:highlight w:val="none"/>
          <w:u w:val="singl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自愿组成联合体，参加</w:t>
      </w:r>
      <w:r>
        <w:rPr>
          <w:rFonts w:hint="eastAsia"/>
          <w:color w:val="000000" w:themeColor="text1"/>
          <w:sz w:val="24"/>
          <w:highlight w:val="none"/>
          <w:lang w:eastAsia="zh-CN"/>
          <w14:textFill>
            <w14:solidFill>
              <w14:schemeClr w14:val="tx1"/>
            </w14:solidFill>
          </w14:textFill>
        </w:rPr>
        <w:t xml:space="preserve">江苏江南工程管理咨询有限公司</w:t>
      </w:r>
      <w:r>
        <w:rPr>
          <w:rFonts w:hint="eastAsia"/>
          <w:color w:val="000000" w:themeColor="text1"/>
          <w:sz w:val="24"/>
          <w:highlight w:val="none"/>
          <w14:textFill>
            <w14:solidFill>
              <w14:schemeClr w14:val="tx1"/>
            </w14:solidFill>
          </w14:textFill>
        </w:rPr>
        <w:t xml:space="preserve">代理机构组织的采购编号为</w:t>
      </w:r>
      <w:r>
        <w:rPr>
          <w:rFonts w:hint="eastAsia"/>
          <w:color w:val="000000" w:themeColor="text1"/>
          <w:sz w:val="24"/>
          <w:highlight w:val="none"/>
          <w:u w:val="single"/>
          <w14:textFill>
            <w14:solidFill>
              <w14:schemeClr w14:val="tx1"/>
            </w14:solidFill>
          </w14:textFill>
        </w:rPr>
        <w:t xml:space="preserve">（编号全称），（项目全称）</w:t>
      </w:r>
      <w:r>
        <w:rPr>
          <w:rFonts w:hint="eastAsia"/>
          <w:color w:val="000000" w:themeColor="text1"/>
          <w:sz w:val="24"/>
          <w:highlight w:val="none"/>
          <w14:textFill>
            <w14:solidFill>
              <w14:schemeClr w14:val="tx1"/>
            </w14:solidFill>
          </w14:textFill>
        </w:rPr>
        <w:t xml:space="preserve">项目（分包号：**）的政府采购活动，我联合体指定</w:t>
      </w:r>
      <w:r>
        <w:rPr>
          <w:rFonts w:hint="eastAsia"/>
          <w:color w:val="000000" w:themeColor="text1"/>
          <w:sz w:val="24"/>
          <w:highlight w:val="none"/>
          <w:u w:val="single"/>
          <w14:textFill>
            <w14:solidFill>
              <w14:schemeClr w14:val="tx1"/>
            </w14:solidFill>
          </w14:textFill>
        </w:rPr>
        <w:t xml:space="preserve">（供应商*）</w:t>
      </w:r>
      <w:r>
        <w:rPr>
          <w:rFonts w:hint="eastAsia"/>
          <w:color w:val="000000" w:themeColor="text1"/>
          <w:sz w:val="24"/>
          <w:highlight w:val="none"/>
          <w14:textFill>
            <w14:solidFill>
              <w14:schemeClr w14:val="tx1"/>
            </w14:solidFill>
          </w14:textFill>
        </w:rPr>
        <w:t xml:space="preserve">为牵头单位（牵头单位必须为联合体成员）。</w:t>
      </w:r>
      <w:r/>
    </w:p>
    <w:p>
      <w:pPr>
        <w:ind w:firstLine="120"/>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、若我们联合中标、成交，（供应商单位</w:t>
      </w: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全称）实施项目中（工作内容）部分工作，并承担相应的责任。（供应商单位</w:t>
      </w: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全称）实施项目中（工作内容）部分工作，并承担相应的责任……。（注：联合体中各供应商都应明示所承担的工作和相应的责任）。</w:t>
      </w:r>
      <w:r/>
    </w:p>
    <w:p>
      <w:pPr>
        <w:ind w:firstLine="120"/>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、其中</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（小型、微型企业/残疾人福利性单位/监狱企业全称）为</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120"/>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12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备注：本招标文件中要求加盖CA电子签章的地方，仅需加盖牵头单位的CA电子签章。</w:t>
      </w:r>
      <w:r/>
    </w:p>
    <w:p>
      <w:pPr>
        <w:ind w:firstLine="120"/>
        <w:spacing w:line="56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ind w:firstLine="120"/>
        <w:jc w:val="right"/>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联合体中各供应商全称（公章）：</w:t>
      </w:r>
      <w:r>
        <w:rPr>
          <w:color w:val="000000" w:themeColor="text1"/>
          <w:sz w:val="24"/>
          <w:highlight w:val="none"/>
          <w14:textFill>
            <w14:solidFill>
              <w14:schemeClr w14:val="tx1"/>
            </w14:solidFill>
          </w14:textFill>
        </w:rPr>
        <w:t xml:space="preserve">     </w:t>
      </w:r>
      <w:r/>
    </w:p>
    <w:p>
      <w:pPr>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rPr>
          <w:rFonts w:hint="eastAsia"/>
          <w:color w:val="000000" w:themeColor="text1"/>
          <w:sz w:val="24"/>
          <w:highlight w:val="none"/>
          <w:lang w:val="en-US" w:eastAsia="zh-CN"/>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日期：</w:t>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br w:type="page" w:clear="all"/>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十二、投标分项报价表（）</w:t>
      </w:r>
      <w:r/>
    </w:p>
    <w:tbl>
      <w:tblPr>
        <w:tblStyle w:val="661"/>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both"/>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7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7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93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98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106"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1385"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924"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100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c>
          <w:tcPr>
            <w:tcW w:w="966"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p>
        </w:tc>
      </w:tr>
      <w:tr>
        <w:trPr>
          <w:cantSplit/>
          <w:trHeight w:val="294"/>
        </w:trPr>
        <w:tc>
          <w:tcPr>
            <w:tcW w:w="50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728" w:type="dxa"/>
            <w:vAlign w:val="center"/>
            <w:textDirection w:val="lrTb"/>
            <w:noWrap w:val="false"/>
          </w:tcPr>
          <w:p>
            <w:pPr>
              <w:jc w:val="both"/>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jc w:val="both"/>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728" w:type="dxa"/>
            <w:vAlign w:val="center"/>
            <w:textDirection w:val="lrTb"/>
            <w:noWrap w:val="false"/>
          </w:tcPr>
          <w:p>
            <w:pPr>
              <w:jc w:val="both"/>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938" w:type="dxa"/>
            <w:vAlign w:val="center"/>
            <w:textDirection w:val="lrTb"/>
            <w:noWrap w:val="false"/>
          </w:tcPr>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98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1106"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1385"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924"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00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966"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50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7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3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06" w:type="dxa"/>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vAlign w:val="center"/>
            <w:textDirection w:val="lrTb"/>
            <w:noWrap w:val="false"/>
          </w:tcPr>
          <w:p>
            <w:pPr>
              <w:ind w:firstLine="120"/>
              <w:jc w:val="center"/>
              <w:spacing w:line="0" w:lineRule="atLeas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合同签订后日</w:t>
            </w:r>
            <w:r/>
          </w:p>
        </w:tc>
        <w:tc>
          <w:tcPr>
            <w:tcW w:w="924"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0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6"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724"/>
        </w:trPr>
        <w:tc>
          <w:tcPr>
            <w:tcW w:w="50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7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3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06" w:type="dxa"/>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0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6"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0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7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3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06" w:type="dxa"/>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0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6"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580"/>
        </w:trPr>
        <w:tc>
          <w:tcPr>
            <w:tcW w:w="50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7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72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3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06" w:type="dxa"/>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08"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966"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249"/>
        </w:trPr>
        <w:tc>
          <w:tcPr>
            <w:tcW w:w="500"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8"/>
            <w:tcW w:w="7797" w:type="dxa"/>
            <w:vAlign w:val="center"/>
            <w:textDirection w:val="lrTb"/>
            <w:noWrap w:val="false"/>
          </w:tcPr>
          <w:p>
            <w:pPr>
              <w:ind w:firstLine="120"/>
              <w:jc w:val="center"/>
              <w:spacing w:line="0" w:lineRule="atLeas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966" w:type="dxa"/>
            <w:textDirection w:val="lrTb"/>
            <w:noWrap w:val="false"/>
          </w:tcPr>
          <w:p>
            <w:pPr>
              <w:ind w:firstLine="12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ind w:firstLine="120"/>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p>
      <w:pPr>
        <w:ind w:firstLine="120"/>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p>
    <w:p>
      <w:pPr>
        <w:ind w:firstLine="1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1.投标报价</w:t>
      </w:r>
      <w:r>
        <w:rPr>
          <w:rFonts w:hint="eastAsia" w:ascii="宋体" w:hAnsi="宋体"/>
          <w:color w:val="000000" w:themeColor="text1"/>
          <w:sz w:val="24"/>
          <w:highlight w:val="none"/>
          <w14:textFill>
            <w14:solidFill>
              <w14:schemeClr w14:val="tx1"/>
            </w14:solidFill>
          </w14:textFill>
        </w:rPr>
        <w:t xml:space="preserve">采用总承包方式，“投标总报价”应包括所投货物（包含与货物相关的服务）费用、安装调试费、测试验收费、培训费、运行维护费用、税金、国际（如果</w:t>
      </w:r>
      <w:r>
        <w:rPr>
          <w:rFonts w:ascii="宋体" w:hAnsi="宋体"/>
          <w:color w:val="000000" w:themeColor="text1"/>
          <w:sz w:val="24"/>
          <w:highlight w:val="none"/>
          <w14:textFill>
            <w14:solidFill>
              <w14:schemeClr w14:val="tx1"/>
            </w14:solidFill>
          </w14:textFill>
        </w:rPr>
        <w:t xml:space="preserve">有</w:t>
      </w:r>
      <w:r>
        <w:rPr>
          <w:rFonts w:hint="eastAsia" w:ascii="宋体" w:hAnsi="宋体"/>
          <w:color w:val="000000" w:themeColor="text1"/>
          <w:sz w:val="24"/>
          <w:highlight w:val="none"/>
          <w14:textFill>
            <w14:solidFill>
              <w14:schemeClr w14:val="tx1"/>
            </w14:solidFill>
          </w14:textFill>
        </w:rPr>
        <w:t xml:space="preserve">）国内运输保险、报关清关（如果</w:t>
      </w:r>
      <w:r>
        <w:rPr>
          <w:rFonts w:ascii="宋体" w:hAnsi="宋体"/>
          <w:color w:val="000000" w:themeColor="text1"/>
          <w:sz w:val="24"/>
          <w:highlight w:val="none"/>
          <w14:textFill>
            <w14:solidFill>
              <w14:schemeClr w14:val="tx1"/>
            </w14:solidFill>
          </w14:textFill>
        </w:rPr>
        <w:t xml:space="preserve">有</w:t>
      </w:r>
      <w:r>
        <w:rPr>
          <w:rFonts w:hint="eastAsia" w:ascii="宋体" w:hAnsi="宋体"/>
          <w:color w:val="000000" w:themeColor="text1"/>
          <w:sz w:val="24"/>
          <w:highlight w:val="none"/>
          <w14:textFill>
            <w14:solidFill>
              <w14:schemeClr w14:val="tx1"/>
            </w14:solidFill>
          </w14:textFill>
        </w:rPr>
        <w:t xml:space="preserve">）、开证（如果</w:t>
      </w:r>
      <w:r>
        <w:rPr>
          <w:rFonts w:ascii="宋体" w:hAnsi="宋体"/>
          <w:color w:val="000000" w:themeColor="text1"/>
          <w:sz w:val="24"/>
          <w:highlight w:val="none"/>
          <w14:textFill>
            <w14:solidFill>
              <w14:schemeClr w14:val="tx1"/>
            </w14:solidFill>
          </w14:textFill>
        </w:rPr>
        <w:t xml:space="preserve">有</w:t>
      </w:r>
      <w:r>
        <w:rPr>
          <w:rFonts w:hint="eastAsia" w:ascii="宋体" w:hAnsi="宋体"/>
          <w:color w:val="000000" w:themeColor="text1"/>
          <w:sz w:val="24"/>
          <w:highlight w:val="none"/>
          <w14:textFill>
            <w14:solidFill>
              <w14:schemeClr w14:val="tx1"/>
            </w14:solidFill>
          </w14:textFill>
        </w:rPr>
        <w:t xml:space="preserve">）、办理全套免税手续费用（如果</w:t>
      </w:r>
      <w:r>
        <w:rPr>
          <w:rFonts w:ascii="宋体" w:hAnsi="宋体"/>
          <w:color w:val="000000" w:themeColor="text1"/>
          <w:sz w:val="24"/>
          <w:highlight w:val="none"/>
          <w14:textFill>
            <w14:solidFill>
              <w14:schemeClr w14:val="tx1"/>
            </w14:solidFill>
          </w14:textFill>
        </w:rPr>
        <w:t xml:space="preserve">有</w:t>
      </w:r>
      <w:r>
        <w:rPr>
          <w:rFonts w:hint="eastAsia" w:ascii="宋体" w:hAnsi="宋体"/>
          <w:color w:val="000000" w:themeColor="text1"/>
          <w:sz w:val="24"/>
          <w:highlight w:val="none"/>
          <w14:textFill>
            <w14:solidFill>
              <w14:schemeClr w14:val="tx1"/>
            </w14:solidFill>
          </w14:textFill>
        </w:rPr>
        <w:t xml:space="preserve">）及其他有关的为完成本项目发生的所有费用，招标文件中另有规定的除外。</w:t>
      </w:r>
      <w:r/>
    </w:p>
    <w:p>
      <w:pPr>
        <w:ind w:firstLine="12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投标分项报价表</w:t>
      </w:r>
      <w:r>
        <w:rPr>
          <w:rFonts w:hint="eastAsia"/>
          <w:color w:val="000000" w:themeColor="text1"/>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中“投标总报价”数额应当与“开标一览表”中“投标总报价”数额一致。</w:t>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pStyle w:val="9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 xml:space="preserve">十三、技术要求响应及偏离表</w:t>
      </w:r>
      <w:r/>
    </w:p>
    <w:tbl>
      <w:tblPr>
        <w:tblStyle w:val="66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both"/>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291" w:type="dxa"/>
            <w:vAlign w:val="center"/>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52" w:type="dxa"/>
            <w:vAlign w:val="center"/>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308" w:type="dxa"/>
            <w:vAlign w:val="center"/>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173" w:type="dxa"/>
            <w:vAlign w:val="center"/>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证明</w:t>
            </w:r>
            <w:r/>
          </w:p>
          <w:p>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材料</w:t>
            </w:r>
            <w:r/>
          </w:p>
        </w:tc>
      </w:tr>
      <w:tr>
        <w:trPr>
          <w:cantSplit/>
          <w:trHeight w:val="640"/>
        </w:trPr>
        <w:tc>
          <w:tcPr>
            <w:tcW w:w="545"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5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291"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285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7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 行数不够，可自行添加。</w:t>
      </w:r>
      <w:r/>
    </w:p>
    <w:p>
      <w:pPr>
        <w:ind w:firstLine="181"/>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ind w:firstLine="181"/>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ind w:firstLine="181"/>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ind w:firstLine="181"/>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0"/>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ind w:firstLine="161"/>
        <w:jc w:val="center"/>
        <w:rPr>
          <w:rFonts w:ascii="黑体" w:hAnsi="黑体" w:eastAsia="黑体"/>
          <w:b/>
          <w:color w:val="000000" w:themeColor="text1"/>
          <w:sz w:val="32"/>
          <w:szCs w:val="32"/>
          <w:highlight w:val="none"/>
          <w14:textFill>
            <w14:solidFill>
              <w14:schemeClr w14:val="tx1"/>
            </w14:solidFill>
          </w14:textFill>
        </w:rPr>
      </w:pPr>
      <w:r/>
      <w:bookmarkStart w:id="155" w:name="_Hlt26955054"/>
      <w:r/>
      <w:bookmarkEnd w:id="155"/>
      <w:r>
        <w:rPr>
          <w:rFonts w:hint="eastAsia" w:ascii="黑体" w:hAnsi="黑体" w:eastAsia="黑体"/>
          <w:b/>
          <w:color w:val="000000" w:themeColor="text1"/>
          <w:sz w:val="32"/>
          <w:szCs w:val="32"/>
          <w:highlight w:val="none"/>
          <w14:textFill>
            <w14:solidFill>
              <w14:schemeClr w14:val="tx1"/>
            </w14:solidFill>
          </w14:textFill>
        </w:rPr>
        <w:t xml:space="preserve">十四、商务要求响应及偏离表（分包号：**）</w:t>
      </w:r>
      <w:r/>
    </w:p>
    <w:tbl>
      <w:tblPr>
        <w:tblStyle w:val="66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bookmarkStart w:id="156" w:name="_Hlt26782999"/>
            <w:r/>
            <w:bookmarkEnd w:id="156"/>
            <w:r/>
            <w:bookmarkStart w:id="157" w:name="_Hlt24879081"/>
            <w:r/>
            <w:bookmarkEnd w:id="157"/>
            <w:r/>
            <w:bookmarkStart w:id="158" w:name="_Hlt26671343"/>
            <w:r/>
            <w:bookmarkEnd w:id="158"/>
            <w:r/>
            <w:bookmarkStart w:id="159" w:name="_Hlt26671372"/>
            <w:r/>
            <w:bookmarkEnd w:id="159"/>
            <w:r/>
            <w:bookmarkStart w:id="160" w:name="_Hlt26955064"/>
            <w:r/>
            <w:bookmarkEnd w:id="160"/>
            <w:r/>
            <w:bookmarkStart w:id="161" w:name="_Hlt26609391"/>
            <w:r/>
            <w:bookmarkEnd w:id="161"/>
            <w:r/>
            <w:bookmarkStart w:id="162" w:name="_Hlt26955056"/>
            <w:r/>
            <w:bookmarkEnd w:id="162"/>
            <w:r/>
            <w:bookmarkStart w:id="163" w:name="_Hlt26580838"/>
            <w:r/>
            <w:bookmarkEnd w:id="163"/>
            <w:r>
              <w:rPr>
                <w:rFonts w:hint="eastAsia" w:ascii="宋体" w:hAnsi="宋体"/>
                <w:color w:val="000000" w:themeColor="text1"/>
                <w:sz w:val="24"/>
                <w:szCs w:val="24"/>
                <w:highlight w:val="none"/>
                <w14:textFill>
                  <w14:solidFill>
                    <w14:schemeClr w14:val="tx1"/>
                  </w14:solidFill>
                </w14:textFill>
              </w:rPr>
              <w:t xml:space="preserve">序号</w:t>
            </w:r>
            <w:r/>
          </w:p>
        </w:tc>
        <w:tc>
          <w:tcPr>
            <w:tcW w:w="2688" w:type="dxa"/>
            <w:vAlign w:val="center"/>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83" w:type="dxa"/>
            <w:vAlign w:val="center"/>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302" w:type="dxa"/>
            <w:vAlign w:val="center"/>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1614" w:type="dxa"/>
            <w:vAlign w:val="center"/>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证明</w:t>
            </w:r>
            <w:r/>
          </w:p>
          <w:p>
            <w:pPr>
              <w:ind w:firstLine="120"/>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材料</w:t>
            </w:r>
            <w:r/>
          </w:p>
        </w:tc>
      </w:tr>
      <w:tr>
        <w:trPr>
          <w:cantSplit/>
          <w:trHeight w:val="640"/>
        </w:trPr>
        <w:tc>
          <w:tcPr>
            <w:tcW w:w="68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68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68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68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68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68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68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68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68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68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68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68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68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68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68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688"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83"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2"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14" w:type="dxa"/>
            <w:textDirection w:val="lrTb"/>
            <w:noWrap w:val="false"/>
          </w:tcPr>
          <w:p>
            <w:pPr>
              <w:ind w:firstLine="120"/>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 行数不够，可自行添加。</w:t>
      </w:r>
      <w:r/>
    </w:p>
    <w:p>
      <w:pPr>
        <w:ind w:firstLine="12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150"/>
        <w:spacing w:line="480" w:lineRule="auto"/>
        <w:rPr>
          <w:rFonts w:ascii="仿宋_GB2312" w:hAnsi="Arial"/>
          <w:color w:val="000000" w:themeColor="text1"/>
          <w:sz w:val="30"/>
          <w:highlight w:val="none"/>
          <w14:textFill>
            <w14:solidFill>
              <w14:schemeClr w14:val="tx1"/>
            </w14:solidFill>
          </w14:textFill>
        </w:rPr>
      </w:pPr>
      <w:r>
        <w:rPr>
          <w:rFonts w:ascii="仿宋_GB2312" w:hAnsi="Arial"/>
          <w:color w:val="000000" w:themeColor="text1"/>
          <w:sz w:val="30"/>
          <w:highlight w:val="none"/>
          <w14:textFill>
            <w14:solidFill>
              <w14:schemeClr w14:val="tx1"/>
            </w14:solidFill>
          </w14:textFill>
        </w:rPr>
      </w:r>
      <w:r/>
    </w:p>
    <w:p>
      <w:pPr>
        <w:pStyle w:val="891"/>
        <w:ind w:firstLine="120"/>
        <w:rPr>
          <w:rFonts w:ascii="宋体" w:hAnsi="宋体"/>
          <w:color w:val="000000" w:themeColor="text1"/>
          <w:sz w:val="24"/>
          <w:highlight w:val="none"/>
          <w14:textFill>
            <w14:solidFill>
              <w14:schemeClr w14:val="tx1"/>
            </w14:solidFill>
          </w14:textFill>
        </w:rPr>
      </w:pPr>
      <w:r/>
      <w:bookmarkStart w:id="164" w:name="_Toc462564146"/>
      <w:r/>
      <w:bookmarkEnd w:id="164"/>
      <w:r/>
      <w:bookmarkStart w:id="165" w:name="_Hlt26609389"/>
      <w:r/>
      <w:bookmarkEnd w:id="165"/>
      <w:r/>
      <w:bookmarkStart w:id="166" w:name="_Hlt26955066"/>
      <w:r/>
      <w:bookmarkEnd w:id="166"/>
      <w:r/>
      <w:bookmarkStart w:id="167" w:name="_Hlt26671374"/>
      <w:r/>
      <w:bookmarkEnd w:id="167"/>
      <w:r/>
      <w:r/>
    </w:p>
    <w:p>
      <w:pPr>
        <w:ind w:firstLine="161"/>
        <w:jc w:val="center"/>
        <w:rPr>
          <w:rFonts w:ascii="黑体" w:hAnsi="黑体" w:eastAsia="黑体"/>
          <w:b/>
          <w:color w:val="000000" w:themeColor="text1"/>
          <w:sz w:val="32"/>
          <w:szCs w:val="32"/>
          <w:highlight w:val="none"/>
          <w14:textFill>
            <w14:solidFill>
              <w14:schemeClr w14:val="tx1"/>
            </w14:solidFill>
          </w14:textFill>
        </w:rPr>
      </w:pPr>
      <w:r/>
      <w:bookmarkStart w:id="168" w:name="_格式2__法定代表人授权书"/>
      <w:r/>
      <w:bookmarkEnd w:id="168"/>
      <w:r/>
      <w:r/>
    </w:p>
    <w:p>
      <w:pPr>
        <w:ind w:firstLine="161"/>
        <w:jc w:val="center"/>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161"/>
        <w:jc w:val="center"/>
        <w:rPr>
          <w:rFonts w:ascii="黑体" w:hAnsi="黑体" w:eastAsia="黑体"/>
          <w:b/>
          <w:i/>
          <w:color w:val="000000" w:themeColor="text1"/>
          <w:sz w:val="32"/>
          <w:szCs w:val="32"/>
          <w:highlight w:val="none"/>
          <w:u w:val="single"/>
          <w14:textFill>
            <w14:solidFill>
              <w14:schemeClr w14:val="tx1"/>
            </w14:solidFill>
          </w14:textFill>
        </w:rPr>
      </w:pPr>
      <w:r>
        <w:rPr>
          <w:rFonts w:hint="eastAsia" w:ascii="黑体" w:hAnsi="黑体" w:eastAsia="黑体"/>
          <w:b/>
          <w:i/>
          <w:color w:val="000000" w:themeColor="text1"/>
          <w:sz w:val="32"/>
          <w:szCs w:val="32"/>
          <w:highlight w:val="none"/>
          <w:u w:val="single"/>
          <w14:textFill>
            <w14:solidFill>
              <w14:schemeClr w14:val="tx1"/>
            </w14:solidFill>
          </w14:textFill>
        </w:rPr>
        <w:t xml:space="preserve">十五、开标一览表</w:t>
      </w:r>
      <w:r/>
    </w:p>
    <w:p>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投标人全称（加盖CA电子签章）：</w:t>
      </w:r>
      <w:r/>
    </w:p>
    <w:p>
      <w:pPr>
        <w:ind w:firstLine="120"/>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分包号：</w:t>
      </w:r>
      <w:r/>
    </w:p>
    <w:tbl>
      <w:tblPr>
        <w:tblStyle w:val="661"/>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trHeight w:val="612"/>
        </w:trPr>
        <w:tc>
          <w:tcPr>
            <w:tcW w:w="8206" w:type="dxa"/>
            <w:vAlign w:val="center"/>
            <w:vMerge w:val="restart"/>
            <w:textDirection w:val="lrTb"/>
            <w:noWrap w:val="false"/>
          </w:tcPr>
          <w:p>
            <w:pPr>
              <w:pStyle w:val="868"/>
              <w:ind w:firstLine="120"/>
              <w:spacing w:before="0" w:after="0" w:line="50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大写：                              （人民币：元）</w:t>
            </w:r>
            <w:r/>
          </w:p>
        </w:tc>
      </w:tr>
      <w:tr>
        <w:trPr>
          <w:cantSplit/>
          <w:trHeight w:val="612"/>
        </w:trPr>
        <w:tc>
          <w:tcPr>
            <w:tcW w:w="8206" w:type="dxa"/>
            <w:vAlign w:val="center"/>
            <w:textDirection w:val="lrTb"/>
            <w:noWrap w:val="false"/>
          </w:tcPr>
          <w:p>
            <w:pPr>
              <w:pStyle w:val="868"/>
              <w:ind w:firstLine="120"/>
              <w:spacing w:before="0" w:after="0" w:line="500" w:lineRule="exac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                             （人民币：元）</w:t>
            </w:r>
            <w:r/>
          </w:p>
        </w:tc>
      </w:tr>
    </w:tbl>
    <w:p>
      <w:pPr>
        <w:ind w:firstLine="12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1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日期：  年月日</w:t>
      </w:r>
      <w:r/>
    </w:p>
    <w:p>
      <w:pPr>
        <w:ind w:firstLine="12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12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12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924"/>
        <w:rPr>
          <w:rFonts w:hAnsi="宋体" w:cs="仿宋"/>
          <w:b/>
          <w:bCs/>
          <w:color w:val="000000" w:themeColor="text1"/>
          <w:sz w:val="32"/>
          <w:szCs w:val="32"/>
          <w:highlight w:val="none"/>
          <w14:textFill>
            <w14:solidFill>
              <w14:schemeClr w14:val="tx1"/>
            </w14:solidFill>
          </w14:textFill>
        </w:rPr>
      </w:pPr>
      <w:r>
        <w:rPr>
          <w:rFonts w:hAnsi="宋体" w:cs="仿宋"/>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rPr>
          <w:rFonts w:ascii="黑体" w:hAnsi="黑体" w:eastAsia="黑体"/>
          <w:b/>
          <w:iCs/>
          <w:color w:val="000000" w:themeColor="text1"/>
          <w:sz w:val="32"/>
          <w:szCs w:val="32"/>
          <w:highlight w:val="none"/>
          <w14:textFill>
            <w14:solidFill>
              <w14:schemeClr w14:val="tx1"/>
            </w14:solidFill>
          </w14:textFill>
        </w:rPr>
      </w:pPr>
      <w:r>
        <w:rPr>
          <w:rFonts w:hint="eastAsia" w:ascii="黑体" w:hAnsi="黑体" w:eastAsia="黑体"/>
          <w:b/>
          <w:iCs/>
          <w:color w:val="000000" w:themeColor="text1"/>
          <w:sz w:val="32"/>
          <w:szCs w:val="32"/>
          <w:highlight w:val="none"/>
          <w14:textFill>
            <w14:solidFill>
              <w14:schemeClr w14:val="tx1"/>
            </w14:solidFill>
          </w14:textFill>
        </w:rPr>
        <w:t xml:space="preserve">十六、主要标的信息</w:t>
      </w:r>
      <w:r/>
    </w:p>
    <w:p>
      <w:pPr>
        <w:jc w:val="center"/>
        <w:spacing w:before="312"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主要标的信息（中标后将公示）</w:t>
      </w:r>
      <w:r/>
    </w:p>
    <w:p>
      <w:pPr>
        <w:spacing w:after="312" w:line="360" w:lineRule="auto"/>
        <w:rPr>
          <w:rFonts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投标人全称：</w:t>
      </w:r>
      <w:r/>
    </w:p>
    <w:tbl>
      <w:tblPr>
        <w:tblStyle w:val="661"/>
        <w:tblW w:w="71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3"/>
      </w:tblGrid>
      <w:tr>
        <w:trPr/>
        <w:tc>
          <w:tcPr>
            <w:tcW w:w="7133" w:type="dxa"/>
            <w:textDirection w:val="lrTb"/>
            <w:noWrap w:val="false"/>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货物类</w:t>
            </w:r>
            <w:r/>
          </w:p>
        </w:tc>
      </w:tr>
      <w:tr>
        <w:trPr>
          <w:trHeight w:val="3810"/>
        </w:trPr>
        <w:tc>
          <w:tcPr>
            <w:tcW w:w="7133" w:type="dxa"/>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品牌（如有）：</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规格型号：</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数量：</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单价：</w:t>
            </w:r>
            <w:r/>
          </w:p>
        </w:tc>
      </w:tr>
    </w:tbl>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9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ind w:firstLine="161"/>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ind w:firstLine="120"/>
        <w:spacing w:before="290"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一、质疑供应商基本信息</w:t>
      </w:r>
      <w:r/>
    </w:p>
    <w:p>
      <w:pPr>
        <w:ind w:firstLine="120"/>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质疑供应商：</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联系人：</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授权代表：</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cs="仿宋"/>
          <w:color w:val="000000" w:themeColor="text1"/>
          <w:sz w:val="24"/>
          <w:szCs w:val="24"/>
          <w:highlight w:val="none"/>
          <w14:textFill>
            <w14:solidFill>
              <w14:schemeClr w14:val="tx1"/>
            </w14:solidFill>
          </w14:textFill>
        </w:rPr>
        <w:t xml:space="preserve"> </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二、质疑项目基本情况</w:t>
      </w:r>
      <w:r/>
    </w:p>
    <w:p>
      <w:pPr>
        <w:ind w:firstLine="120"/>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质疑项目的名称：</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质疑项目的编号：</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包号：</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采购人名称：</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采购文件获取日期：</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三、质疑事项具体内容</w:t>
      </w:r>
      <w:r/>
    </w:p>
    <w:p>
      <w:pPr>
        <w:ind w:firstLine="120"/>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质疑事项1：</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事实依据：</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法律依据：</w:t>
      </w: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ind w:firstLine="120"/>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质疑事项2</w:t>
      </w:r>
      <w:r/>
    </w:p>
    <w:p>
      <w:pPr>
        <w:ind w:firstLine="120"/>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w:t>
      </w:r>
      <w:r/>
    </w:p>
    <w:p>
      <w:pPr>
        <w:ind w:firstLine="120"/>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四、与质疑事项相关的质疑请求</w:t>
      </w:r>
      <w:r/>
    </w:p>
    <w:p>
      <w:pPr>
        <w:ind w:firstLine="120"/>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请求：</w:t>
      </w:r>
      <w:r>
        <w:rPr>
          <w:rFonts w:hint="eastAsia" w:cs="仿宋"/>
          <w:color w:val="000000" w:themeColor="text1"/>
          <w:sz w:val="24"/>
          <w:szCs w:val="24"/>
          <w:highlight w:val="none"/>
          <w:u w:val="single"/>
          <w14:textFill>
            <w14:solidFill>
              <w14:schemeClr w14:val="tx1"/>
            </w14:solidFill>
          </w14:textFill>
        </w:rPr>
        <w:t xml:space="preserve">                                                                     </w:t>
      </w:r>
      <w:r/>
    </w:p>
    <w:p>
      <w:pPr>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签字(签章)：                   公章：                      </w:t>
      </w:r>
      <w:r/>
    </w:p>
    <w:p>
      <w:pPr>
        <w:ind w:firstLine="12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w:t>
      </w:r>
      <w:r/>
    </w:p>
    <w:p>
      <w:pPr>
        <w:ind w:firstLine="120"/>
        <w:spacing w:line="400" w:lineRule="exact"/>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质疑函制作说明：</w:t>
      </w:r>
      <w:r/>
    </w:p>
    <w:p>
      <w:pPr>
        <w:ind w:firstLine="12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1.供应商提出质疑时，应提交质疑函和必要的证明材料。</w:t>
      </w:r>
      <w:r/>
    </w:p>
    <w:p>
      <w:pPr>
        <w:ind w:firstLine="12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12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12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12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5.质疑函的质疑请求应与质疑事项相关。</w:t>
      </w:r>
      <w:r/>
    </w:p>
    <w:p>
      <w:pPr>
        <w:ind w:firstLine="12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12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891"/>
        <w:ind w:firstLine="1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91"/>
        <w:ind w:firstLine="1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sectPr>
      <w:headerReference w:type="default" r:id="rId10"/>
      <w:footerReference w:type="default"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FZHTK--GBK1-0">
    <w:panose1 w:val="020B0503020202020204"/>
  </w:font>
  <w:font w:name="经典仿宋简">
    <w:panose1 w:val="020B0503020202020204"/>
  </w:font>
  <w:font w:name="Wingdings">
    <w:panose1 w:val="05000000000000000000"/>
  </w:font>
  <w:font w:name="....">
    <w:panose1 w:val="020B0503020202020204"/>
  </w:font>
  <w:font w:name="MS Mincho">
    <w:panose1 w:val="02020603050405090304"/>
  </w:font>
  <w:font w:name="仿宋">
    <w:panose1 w:val="02010609060101010101"/>
  </w:font>
  <w:font w:name="等线">
    <w:panose1 w:val="02010600030101010101"/>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宋体_GB2312">
    <w:panose1 w:val="0201060003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1</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67</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both"/>
      <w:rPr>
        <w:color w:val="ff0000"/>
      </w:rPr>
    </w:pPr>
    <w:r>
      <w:rPr>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2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
    <w:multiLevelType w:val="hybridMultilevel"/>
    <w:lvl w:ilvl="0">
      <w:start w:val="1"/>
      <w:numFmt w:val="japaneseCounting"/>
      <w:pStyle w:val="670"/>
      <w:isLgl w:val="false"/>
      <w:suff w:val="tab"/>
      <w:lvlText w:val="第%1章"/>
      <w:lvlJc w:val="left"/>
      <w:pPr>
        <w:ind w:left="1800" w:hanging="1260"/>
      </w:pPr>
      <w:rPr>
        <w:rFonts w:hint="default"/>
      </w:rPr>
    </w:lvl>
    <w:lvl w:ilvl="1">
      <w:start w:val="1"/>
      <w:numFmt w:val="lowerLetter"/>
      <w:isLgl w:val="false"/>
      <w:suff w:val="tab"/>
      <w:lvlText w:val="%2)"/>
      <w:lvlJc w:val="left"/>
      <w:pPr>
        <w:ind w:left="1380" w:hanging="420"/>
      </w:pPr>
    </w:lvl>
    <w:lvl w:ilvl="2">
      <w:start w:val="1"/>
      <w:numFmt w:val="lowerRoman"/>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lowerRoman"/>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lowerRoman"/>
      <w:isLgl w:val="false"/>
      <w:suff w:val="tab"/>
      <w:lvlText w:val="%9."/>
      <w:lvlJc w:val="right"/>
      <w:pPr>
        <w:ind w:left="43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next w:val="662"/>
    <w:uiPriority w:val="0"/>
    <w:qFormat/>
    <w:pPr>
      <w:jc w:val="both"/>
      <w:widowControl w:val="off"/>
    </w:pPr>
    <w:rPr>
      <w:rFonts w:hint="default" w:ascii="Times New Roman" w:hAnsi="Times New Roman" w:eastAsia="宋体" w:cs="Times New Roman"/>
      <w:sz w:val="21"/>
      <w:szCs w:val="22"/>
    </w:rPr>
  </w:style>
  <w:style w:type="paragraph" w:styleId="651">
    <w:name w:val="Heading 1"/>
    <w:basedOn w:val="650"/>
    <w:next w:val="650"/>
    <w:link w:val="857"/>
    <w:uiPriority w:val="0"/>
    <w:qFormat/>
    <w:pPr>
      <w:keepLines/>
      <w:keepNext/>
      <w:spacing w:before="340" w:after="330" w:line="578" w:lineRule="auto"/>
      <w:outlineLvl w:val="0"/>
    </w:pPr>
    <w:rPr>
      <w:b/>
      <w:bCs/>
      <w:sz w:val="44"/>
      <w:szCs w:val="44"/>
    </w:rPr>
  </w:style>
  <w:style w:type="paragraph" w:styleId="652">
    <w:name w:val="Heading 2"/>
    <w:basedOn w:val="650"/>
    <w:next w:val="663"/>
    <w:link w:val="87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3">
    <w:name w:val="Heading 3"/>
    <w:basedOn w:val="650"/>
    <w:next w:val="650"/>
    <w:link w:val="879"/>
    <w:uiPriority w:val="9"/>
    <w:qFormat/>
    <w:pPr>
      <w:keepLines/>
      <w:keepNext/>
      <w:spacing w:before="260" w:after="260" w:line="416" w:lineRule="auto"/>
      <w:outlineLvl w:val="2"/>
    </w:pPr>
    <w:rPr>
      <w:b/>
      <w:bCs/>
      <w:sz w:val="32"/>
      <w:szCs w:val="32"/>
    </w:rPr>
  </w:style>
  <w:style w:type="paragraph" w:styleId="654">
    <w:name w:val="Heading 4"/>
    <w:basedOn w:val="650"/>
    <w:next w:val="650"/>
    <w:link w:val="862"/>
    <w:uiPriority w:val="0"/>
    <w:qFormat/>
    <w:pPr>
      <w:spacing w:before="280" w:after="290" w:line="377" w:lineRule="auto"/>
      <w:outlineLvl w:val="3"/>
    </w:pPr>
    <w:rPr>
      <w:rFonts w:ascii="Arial" w:hAnsi="Arial" w:eastAsia="黑体"/>
      <w:b/>
      <w:bCs/>
      <w:sz w:val="28"/>
      <w:szCs w:val="28"/>
    </w:rPr>
  </w:style>
  <w:style w:type="paragraph" w:styleId="655">
    <w:name w:val="Heading 5"/>
    <w:basedOn w:val="650"/>
    <w:next w:val="650"/>
    <w:link w:val="880"/>
    <w:uiPriority w:val="9"/>
    <w:qFormat/>
    <w:pPr>
      <w:keepLines/>
      <w:keepNext/>
      <w:spacing w:before="280" w:after="290" w:line="376" w:lineRule="auto"/>
      <w:outlineLvl w:val="4"/>
    </w:pPr>
    <w:rPr>
      <w:b/>
      <w:bCs/>
      <w:sz w:val="28"/>
      <w:szCs w:val="28"/>
    </w:rPr>
  </w:style>
  <w:style w:type="paragraph" w:styleId="656">
    <w:name w:val="Heading 6"/>
    <w:basedOn w:val="650"/>
    <w:next w:val="650"/>
    <w:link w:val="709"/>
    <w:uiPriority w:val="9"/>
    <w:unhideWhenUsed/>
    <w:qFormat/>
    <w:pPr>
      <w:keepLines/>
      <w:keepNext/>
      <w:spacing w:before="320" w:after="200"/>
      <w:outlineLvl w:val="5"/>
    </w:pPr>
    <w:rPr>
      <w:rFonts w:ascii="Arial" w:hAnsi="Arial" w:eastAsia="Arial" w:cs="Arial"/>
      <w:b/>
      <w:bCs/>
      <w:sz w:val="22"/>
      <w:szCs w:val="22"/>
    </w:rPr>
  </w:style>
  <w:style w:type="paragraph" w:styleId="657">
    <w:name w:val="Heading 7"/>
    <w:basedOn w:val="650"/>
    <w:next w:val="650"/>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58">
    <w:name w:val="Heading 8"/>
    <w:basedOn w:val="650"/>
    <w:next w:val="650"/>
    <w:link w:val="711"/>
    <w:uiPriority w:val="9"/>
    <w:unhideWhenUsed/>
    <w:qFormat/>
    <w:pPr>
      <w:keepLines/>
      <w:keepNext/>
      <w:spacing w:before="320" w:after="200"/>
      <w:outlineLvl w:val="7"/>
    </w:pPr>
    <w:rPr>
      <w:rFonts w:ascii="Arial" w:hAnsi="Arial" w:eastAsia="Arial" w:cs="Arial"/>
      <w:i/>
      <w:iCs/>
      <w:sz w:val="22"/>
      <w:szCs w:val="22"/>
    </w:rPr>
  </w:style>
  <w:style w:type="paragraph" w:styleId="659">
    <w:name w:val="Heading 9"/>
    <w:basedOn w:val="650"/>
    <w:next w:val="650"/>
    <w:link w:val="712"/>
    <w:uiPriority w:val="9"/>
    <w:unhideWhenUsed/>
    <w:qFormat/>
    <w:pPr>
      <w:keepLines/>
      <w:keepNext/>
      <w:spacing w:before="320" w:after="200"/>
      <w:outlineLvl w:val="8"/>
    </w:pPr>
    <w:rPr>
      <w:rFonts w:ascii="Arial" w:hAnsi="Arial" w:eastAsia="Arial" w:cs="Arial"/>
      <w:i/>
      <w:iCs/>
      <w:sz w:val="21"/>
      <w:szCs w:val="21"/>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Block Text"/>
    <w:basedOn w:val="650"/>
    <w:uiPriority w:val="99"/>
    <w:unhideWhenUsed/>
    <w:qFormat/>
    <w:pPr>
      <w:ind w:left="1440" w:right="1440"/>
      <w:spacing w:after="120"/>
    </w:pPr>
  </w:style>
  <w:style w:type="paragraph" w:styleId="663">
    <w:name w:val="Normal Indent"/>
    <w:basedOn w:val="650"/>
    <w:link w:val="858"/>
    <w:uiPriority w:val="0"/>
    <w:unhideWhenUsed/>
    <w:qFormat/>
    <w:pPr>
      <w:ind w:firstLine="420"/>
    </w:pPr>
  </w:style>
  <w:style w:type="paragraph" w:styleId="664">
    <w:name w:val="toc 7"/>
    <w:basedOn w:val="650"/>
    <w:next w:val="650"/>
    <w:uiPriority w:val="39"/>
    <w:unhideWhenUsed/>
    <w:qFormat/>
    <w:pPr>
      <w:ind w:left="1701" w:right="0" w:firstLine="0"/>
      <w:spacing w:after="57"/>
    </w:pPr>
  </w:style>
  <w:style w:type="paragraph" w:styleId="665">
    <w:name w:val="Caption"/>
    <w:basedOn w:val="650"/>
    <w:next w:val="650"/>
    <w:uiPriority w:val="35"/>
    <w:qFormat/>
    <w:pPr>
      <w:jc w:val="center"/>
      <w:spacing w:after="109"/>
    </w:pPr>
    <w:rPr>
      <w:rFonts w:ascii="宋体" w:hAnsi="宋体"/>
      <w:b/>
      <w:sz w:val="24"/>
      <w:szCs w:val="28"/>
    </w:rPr>
  </w:style>
  <w:style w:type="paragraph" w:styleId="666">
    <w:name w:val="Document Map"/>
    <w:basedOn w:val="650"/>
    <w:link w:val="850"/>
    <w:uiPriority w:val="0"/>
    <w:qFormat/>
    <w:rPr>
      <w:rFonts w:ascii="宋体"/>
      <w:sz w:val="18"/>
      <w:szCs w:val="18"/>
    </w:rPr>
  </w:style>
  <w:style w:type="paragraph" w:styleId="667">
    <w:name w:val="annotation text"/>
    <w:basedOn w:val="650"/>
    <w:link w:val="852"/>
    <w:uiPriority w:val="0"/>
    <w:qFormat/>
    <w:pPr>
      <w:jc w:val="left"/>
    </w:pPr>
  </w:style>
  <w:style w:type="paragraph" w:styleId="668">
    <w:name w:val="Body Text"/>
    <w:basedOn w:val="650"/>
    <w:link w:val="859"/>
    <w:uiPriority w:val="0"/>
    <w:qFormat/>
    <w:rPr>
      <w:rFonts w:ascii="楷体_GB2312" w:hAnsi="Arial" w:eastAsia="楷体_GB2312"/>
      <w:sz w:val="28"/>
      <w:szCs w:val="28"/>
    </w:rPr>
  </w:style>
  <w:style w:type="paragraph" w:styleId="669">
    <w:name w:val="Body Text Indent"/>
    <w:basedOn w:val="650"/>
    <w:link w:val="851"/>
    <w:uiPriority w:val="99"/>
    <w:qFormat/>
    <w:pPr>
      <w:ind w:left="420"/>
      <w:spacing w:after="120"/>
    </w:pPr>
  </w:style>
  <w:style w:type="paragraph" w:styleId="670">
    <w:name w:val="List Bullet 2"/>
    <w:basedOn w:val="650"/>
    <w:uiPriority w:val="0"/>
    <w:qFormat/>
    <w:pPr>
      <w:numPr>
        <w:ilvl w:val="0"/>
        <w:numId w:val="1"/>
      </w:numPr>
      <w:tabs>
        <w:tab w:val="left" w:pos="780" w:leader="none"/>
      </w:tabs>
    </w:pPr>
    <w:rPr>
      <w:szCs w:val="24"/>
    </w:rPr>
  </w:style>
  <w:style w:type="paragraph" w:styleId="671">
    <w:name w:val="index 4"/>
    <w:basedOn w:val="650"/>
    <w:next w:val="650"/>
    <w:uiPriority w:val="0"/>
    <w:unhideWhenUsed/>
    <w:qFormat/>
    <w:pPr>
      <w:ind w:left="600"/>
    </w:pPr>
    <w:rPr>
      <w:rFonts w:ascii="Calibri" w:hAnsi="Calibri" w:eastAsia="Calibri" w:cs="宋体"/>
      <w:sz w:val="20"/>
      <w:szCs w:val="20"/>
      <w:lang w:val="zh-CN"/>
    </w:rPr>
  </w:style>
  <w:style w:type="paragraph" w:styleId="672">
    <w:name w:val="toc 5"/>
    <w:basedOn w:val="650"/>
    <w:next w:val="650"/>
    <w:uiPriority w:val="39"/>
    <w:unhideWhenUsed/>
    <w:qFormat/>
    <w:pPr>
      <w:ind w:left="1134" w:right="0" w:firstLine="0"/>
      <w:spacing w:after="57"/>
    </w:pPr>
  </w:style>
  <w:style w:type="paragraph" w:styleId="673">
    <w:name w:val="toc 3"/>
    <w:basedOn w:val="650"/>
    <w:next w:val="650"/>
    <w:uiPriority w:val="39"/>
    <w:unhideWhenUsed/>
    <w:qFormat/>
    <w:pPr>
      <w:ind w:left="567" w:right="0" w:firstLine="0"/>
      <w:spacing w:after="57"/>
    </w:pPr>
  </w:style>
  <w:style w:type="paragraph" w:styleId="674">
    <w:name w:val="Plain Text"/>
    <w:basedOn w:val="650"/>
    <w:link w:val="856"/>
    <w:uiPriority w:val="0"/>
    <w:qFormat/>
    <w:rPr>
      <w:rFonts w:ascii="宋体" w:hAnsi="Courier New"/>
      <w:sz w:val="20"/>
      <w:szCs w:val="21"/>
    </w:rPr>
  </w:style>
  <w:style w:type="paragraph" w:styleId="675">
    <w:name w:val="toc 8"/>
    <w:basedOn w:val="650"/>
    <w:next w:val="650"/>
    <w:uiPriority w:val="39"/>
    <w:unhideWhenUsed/>
    <w:qFormat/>
    <w:pPr>
      <w:ind w:left="1984" w:right="0" w:firstLine="0"/>
      <w:spacing w:after="57"/>
    </w:pPr>
  </w:style>
  <w:style w:type="paragraph" w:styleId="676">
    <w:name w:val="Date"/>
    <w:basedOn w:val="650"/>
    <w:next w:val="650"/>
    <w:link w:val="875"/>
    <w:uiPriority w:val="0"/>
    <w:qFormat/>
    <w:pPr>
      <w:ind w:left="100"/>
    </w:pPr>
  </w:style>
  <w:style w:type="paragraph" w:styleId="677">
    <w:name w:val="endnote text"/>
    <w:basedOn w:val="650"/>
    <w:link w:val="848"/>
    <w:uiPriority w:val="99"/>
    <w:semiHidden/>
    <w:unhideWhenUsed/>
    <w:qFormat/>
    <w:pPr>
      <w:spacing w:after="0" w:line="240" w:lineRule="auto"/>
    </w:pPr>
    <w:rPr>
      <w:sz w:val="20"/>
    </w:rPr>
  </w:style>
  <w:style w:type="paragraph" w:styleId="678">
    <w:name w:val="Balloon Text"/>
    <w:basedOn w:val="650"/>
    <w:link w:val="855"/>
    <w:uiPriority w:val="0"/>
    <w:unhideWhenUsed/>
    <w:qFormat/>
    <w:rPr>
      <w:sz w:val="18"/>
      <w:szCs w:val="18"/>
    </w:rPr>
  </w:style>
  <w:style w:type="paragraph" w:styleId="679">
    <w:name w:val="Footer"/>
    <w:basedOn w:val="650"/>
    <w:link w:val="854"/>
    <w:uiPriority w:val="0"/>
    <w:unhideWhenUsed/>
    <w:qFormat/>
    <w:pPr>
      <w:jc w:val="left"/>
      <w:tabs>
        <w:tab w:val="center" w:pos="4153" w:leader="none"/>
        <w:tab w:val="right" w:pos="8306" w:leader="none"/>
      </w:tabs>
    </w:pPr>
    <w:rPr>
      <w:sz w:val="18"/>
      <w:szCs w:val="18"/>
    </w:rPr>
  </w:style>
  <w:style w:type="paragraph" w:styleId="680">
    <w:name w:val="envelope return"/>
    <w:basedOn w:val="650"/>
    <w:uiPriority w:val="0"/>
    <w:qFormat/>
    <w:rPr>
      <w:rFonts w:ascii="Arial" w:hAnsi="Arial"/>
    </w:rPr>
  </w:style>
  <w:style w:type="paragraph" w:styleId="681">
    <w:name w:val="Header"/>
    <w:basedOn w:val="650"/>
    <w:link w:val="85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82">
    <w:name w:val="toc 1"/>
    <w:basedOn w:val="650"/>
    <w:next w:val="650"/>
    <w:uiPriority w:val="39"/>
    <w:unhideWhenUsed/>
    <w:qFormat/>
  </w:style>
  <w:style w:type="paragraph" w:styleId="683">
    <w:name w:val="toc 4"/>
    <w:basedOn w:val="650"/>
    <w:next w:val="650"/>
    <w:uiPriority w:val="39"/>
    <w:unhideWhenUsed/>
    <w:qFormat/>
    <w:pPr>
      <w:ind w:left="850" w:right="0" w:firstLine="0"/>
      <w:spacing w:after="57"/>
    </w:pPr>
  </w:style>
  <w:style w:type="paragraph" w:styleId="684">
    <w:name w:val="Subtitle"/>
    <w:basedOn w:val="650"/>
    <w:next w:val="650"/>
    <w:link w:val="714"/>
    <w:uiPriority w:val="11"/>
    <w:qFormat/>
    <w:pPr>
      <w:spacing w:before="200" w:after="200"/>
    </w:pPr>
    <w:rPr>
      <w:sz w:val="24"/>
      <w:szCs w:val="24"/>
    </w:rPr>
  </w:style>
  <w:style w:type="paragraph" w:styleId="685">
    <w:name w:val="List"/>
    <w:basedOn w:val="650"/>
    <w:uiPriority w:val="0"/>
    <w:unhideWhenUsed/>
    <w:qFormat/>
    <w:pPr>
      <w:ind w:left="200" w:hanging="200"/>
    </w:pPr>
    <w:rPr>
      <w:rFonts w:asciiTheme="minorHAnsi" w:hAnsiTheme="minorHAnsi" w:eastAsiaTheme="minorEastAsia" w:cstheme="minorBidi"/>
    </w:rPr>
  </w:style>
  <w:style w:type="paragraph" w:styleId="686">
    <w:name w:val="footnote text"/>
    <w:basedOn w:val="650"/>
    <w:link w:val="847"/>
    <w:uiPriority w:val="99"/>
    <w:semiHidden/>
    <w:unhideWhenUsed/>
    <w:qFormat/>
    <w:pPr>
      <w:spacing w:after="40" w:line="240" w:lineRule="auto"/>
    </w:pPr>
    <w:rPr>
      <w:sz w:val="18"/>
    </w:rPr>
  </w:style>
  <w:style w:type="paragraph" w:styleId="687">
    <w:name w:val="toc 6"/>
    <w:basedOn w:val="650"/>
    <w:next w:val="650"/>
    <w:uiPriority w:val="39"/>
    <w:unhideWhenUsed/>
    <w:qFormat/>
    <w:pPr>
      <w:ind w:left="1417" w:right="0" w:firstLine="0"/>
      <w:spacing w:after="57"/>
    </w:pPr>
  </w:style>
  <w:style w:type="paragraph" w:styleId="688">
    <w:name w:val="table of figures"/>
    <w:basedOn w:val="650"/>
    <w:next w:val="650"/>
    <w:uiPriority w:val="99"/>
    <w:unhideWhenUsed/>
    <w:qFormat/>
    <w:pPr>
      <w:spacing w:after="0" w:afterAutospacing="0"/>
    </w:pPr>
  </w:style>
  <w:style w:type="paragraph" w:styleId="689">
    <w:name w:val="toc 2"/>
    <w:basedOn w:val="650"/>
    <w:next w:val="650"/>
    <w:uiPriority w:val="39"/>
    <w:unhideWhenUsed/>
    <w:qFormat/>
    <w:pPr>
      <w:ind w:left="420"/>
    </w:pPr>
  </w:style>
  <w:style w:type="paragraph" w:styleId="690">
    <w:name w:val="toc 9"/>
    <w:basedOn w:val="650"/>
    <w:next w:val="650"/>
    <w:uiPriority w:val="39"/>
    <w:unhideWhenUsed/>
    <w:qFormat/>
    <w:pPr>
      <w:ind w:left="2268" w:right="0" w:firstLine="0"/>
      <w:spacing w:after="57"/>
    </w:pPr>
  </w:style>
  <w:style w:type="paragraph" w:styleId="691">
    <w:name w:val="Normal (Web)"/>
    <w:basedOn w:val="650"/>
    <w:uiPriority w:val="99"/>
    <w:unhideWhenUsed/>
    <w:qFormat/>
    <w:pPr>
      <w:jc w:val="left"/>
      <w:spacing w:before="100" w:beforeAutospacing="1" w:after="100" w:afterAutospacing="1"/>
      <w:widowControl/>
    </w:pPr>
    <w:rPr>
      <w:rFonts w:ascii="宋体" w:hAnsi="宋体" w:cs="宋体"/>
      <w:sz w:val="24"/>
      <w:szCs w:val="24"/>
    </w:rPr>
  </w:style>
  <w:style w:type="paragraph" w:styleId="692">
    <w:name w:val="Title"/>
    <w:basedOn w:val="650"/>
    <w:next w:val="650"/>
    <w:link w:val="713"/>
    <w:uiPriority w:val="10"/>
    <w:qFormat/>
    <w:pPr>
      <w:contextualSpacing/>
      <w:spacing w:before="300" w:after="200"/>
    </w:pPr>
    <w:rPr>
      <w:sz w:val="48"/>
      <w:szCs w:val="48"/>
    </w:rPr>
  </w:style>
  <w:style w:type="paragraph" w:styleId="693">
    <w:name w:val="annotation subject"/>
    <w:basedOn w:val="667"/>
    <w:next w:val="667"/>
    <w:link w:val="860"/>
    <w:uiPriority w:val="0"/>
    <w:qFormat/>
    <w:rPr>
      <w:b/>
      <w:bCs/>
    </w:rPr>
  </w:style>
  <w:style w:type="paragraph" w:styleId="694">
    <w:name w:val="Body Text First Indent"/>
    <w:basedOn w:val="668"/>
    <w:link w:val="894"/>
    <w:uiPriority w:val="0"/>
    <w:qFormat/>
    <w:pPr>
      <w:ind w:firstLine="420"/>
      <w:spacing w:after="120"/>
    </w:pPr>
    <w:rPr>
      <w:rFonts w:ascii="Times New Roman" w:hAnsi="Times New Roman" w:eastAsia="宋体"/>
      <w:sz w:val="21"/>
      <w:szCs w:val="22"/>
    </w:rPr>
  </w:style>
  <w:style w:type="paragraph" w:styleId="695">
    <w:name w:val="Body Text First Indent 2"/>
    <w:basedOn w:val="669"/>
    <w:link w:val="877"/>
    <w:uiPriority w:val="99"/>
    <w:semiHidden/>
    <w:unhideWhenUsed/>
    <w:qFormat/>
    <w:pPr>
      <w:ind w:firstLine="420"/>
    </w:pPr>
    <w:rPr>
      <w:rFonts w:asciiTheme="minorHAnsi" w:hAnsiTheme="minorHAnsi" w:eastAsiaTheme="minorEastAsia" w:cstheme="minorBidi"/>
    </w:rPr>
  </w:style>
  <w:style w:type="table" w:styleId="696">
    <w:name w:val="Table Grid"/>
    <w:basedOn w:val="66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Strong"/>
    <w:uiPriority w:val="0"/>
    <w:qFormat/>
    <w:rPr>
      <w:b/>
      <w:bCs/>
    </w:rPr>
  </w:style>
  <w:style w:type="character" w:styleId="698">
    <w:name w:val="endnote reference"/>
    <w:basedOn w:val="660"/>
    <w:uiPriority w:val="99"/>
    <w:semiHidden/>
    <w:unhideWhenUsed/>
    <w:qFormat/>
    <w:rPr>
      <w:vertAlign w:val="superscript"/>
    </w:rPr>
  </w:style>
  <w:style w:type="character" w:styleId="699">
    <w:name w:val="FollowedHyperlink"/>
    <w:basedOn w:val="660"/>
    <w:uiPriority w:val="99"/>
    <w:semiHidden/>
    <w:unhideWhenUsed/>
    <w:qFormat/>
    <w:rPr>
      <w:color w:val="800080"/>
      <w:u w:val="single"/>
    </w:rPr>
  </w:style>
  <w:style w:type="character" w:styleId="700">
    <w:name w:val="Emphasis"/>
    <w:uiPriority w:val="0"/>
    <w:qFormat/>
    <w:rPr>
      <w:i/>
    </w:rPr>
  </w:style>
  <w:style w:type="character" w:styleId="701">
    <w:name w:val="Hyperlink"/>
    <w:uiPriority w:val="99"/>
    <w:unhideWhenUsed/>
    <w:qFormat/>
    <w:rPr>
      <w:color w:val="0000ff"/>
      <w:u w:val="single"/>
    </w:rPr>
  </w:style>
  <w:style w:type="character" w:styleId="702">
    <w:name w:val="annotation reference"/>
    <w:uiPriority w:val="0"/>
    <w:qFormat/>
    <w:rPr>
      <w:sz w:val="21"/>
      <w:szCs w:val="21"/>
    </w:rPr>
  </w:style>
  <w:style w:type="character" w:styleId="703">
    <w:name w:val="footnote reference"/>
    <w:basedOn w:val="660"/>
    <w:uiPriority w:val="99"/>
    <w:unhideWhenUsed/>
    <w:qFormat/>
    <w:rPr>
      <w:vertAlign w:val="superscript"/>
    </w:rPr>
  </w:style>
  <w:style w:type="character" w:styleId="704" w:customStyle="1">
    <w:name w:val="Heading 1 Char"/>
    <w:basedOn w:val="660"/>
    <w:uiPriority w:val="9"/>
    <w:qFormat/>
    <w:rPr>
      <w:rFonts w:ascii="Arial" w:hAnsi="Arial" w:eastAsia="Arial" w:cs="Arial"/>
      <w:sz w:val="40"/>
      <w:szCs w:val="40"/>
    </w:rPr>
  </w:style>
  <w:style w:type="character" w:styleId="705" w:customStyle="1">
    <w:name w:val="Heading 2 Char"/>
    <w:basedOn w:val="660"/>
    <w:uiPriority w:val="9"/>
    <w:qFormat/>
    <w:rPr>
      <w:rFonts w:ascii="Arial" w:hAnsi="Arial" w:eastAsia="Arial" w:cs="Arial"/>
      <w:sz w:val="34"/>
    </w:rPr>
  </w:style>
  <w:style w:type="character" w:styleId="706" w:customStyle="1">
    <w:name w:val="Heading 3 Char"/>
    <w:basedOn w:val="660"/>
    <w:uiPriority w:val="9"/>
    <w:qFormat/>
    <w:rPr>
      <w:rFonts w:ascii="Arial" w:hAnsi="Arial" w:eastAsia="Arial" w:cs="Arial"/>
      <w:sz w:val="30"/>
      <w:szCs w:val="30"/>
    </w:rPr>
  </w:style>
  <w:style w:type="character" w:styleId="707" w:customStyle="1">
    <w:name w:val="Heading 4 Char"/>
    <w:basedOn w:val="660"/>
    <w:uiPriority w:val="9"/>
    <w:qFormat/>
    <w:rPr>
      <w:rFonts w:ascii="Arial" w:hAnsi="Arial" w:eastAsia="Arial" w:cs="Arial"/>
      <w:b/>
      <w:bCs/>
      <w:sz w:val="26"/>
      <w:szCs w:val="26"/>
    </w:rPr>
  </w:style>
  <w:style w:type="character" w:styleId="708" w:customStyle="1">
    <w:name w:val="Heading 5 Char"/>
    <w:basedOn w:val="660"/>
    <w:uiPriority w:val="9"/>
    <w:qFormat/>
    <w:rPr>
      <w:rFonts w:ascii="Arial" w:hAnsi="Arial" w:eastAsia="Arial" w:cs="Arial"/>
      <w:b/>
      <w:bCs/>
      <w:sz w:val="24"/>
      <w:szCs w:val="24"/>
    </w:rPr>
  </w:style>
  <w:style w:type="character" w:styleId="709" w:customStyle="1">
    <w:name w:val="Heading 6 Char"/>
    <w:basedOn w:val="660"/>
    <w:link w:val="656"/>
    <w:uiPriority w:val="9"/>
    <w:qFormat/>
    <w:rPr>
      <w:rFonts w:ascii="Arial" w:hAnsi="Arial" w:eastAsia="Arial" w:cs="Arial"/>
      <w:b/>
      <w:bCs/>
      <w:sz w:val="22"/>
      <w:szCs w:val="22"/>
    </w:rPr>
  </w:style>
  <w:style w:type="character" w:styleId="710" w:customStyle="1">
    <w:name w:val="Heading 7 Char"/>
    <w:basedOn w:val="660"/>
    <w:link w:val="657"/>
    <w:uiPriority w:val="9"/>
    <w:qFormat/>
    <w:rPr>
      <w:rFonts w:ascii="Arial" w:hAnsi="Arial" w:eastAsia="Arial" w:cs="Arial"/>
      <w:b/>
      <w:bCs/>
      <w:i/>
      <w:iCs/>
      <w:sz w:val="22"/>
      <w:szCs w:val="22"/>
    </w:rPr>
  </w:style>
  <w:style w:type="character" w:styleId="711" w:customStyle="1">
    <w:name w:val="Heading 8 Char"/>
    <w:basedOn w:val="660"/>
    <w:link w:val="658"/>
    <w:uiPriority w:val="9"/>
    <w:qFormat/>
    <w:rPr>
      <w:rFonts w:ascii="Arial" w:hAnsi="Arial" w:eastAsia="Arial" w:cs="Arial"/>
      <w:i/>
      <w:iCs/>
      <w:sz w:val="22"/>
      <w:szCs w:val="22"/>
    </w:rPr>
  </w:style>
  <w:style w:type="character" w:styleId="712" w:customStyle="1">
    <w:name w:val="Heading 9 Char"/>
    <w:basedOn w:val="660"/>
    <w:link w:val="659"/>
    <w:uiPriority w:val="9"/>
    <w:qFormat/>
    <w:rPr>
      <w:rFonts w:ascii="Arial" w:hAnsi="Arial" w:eastAsia="Arial" w:cs="Arial"/>
      <w:i/>
      <w:iCs/>
      <w:sz w:val="21"/>
      <w:szCs w:val="21"/>
    </w:rPr>
  </w:style>
  <w:style w:type="character" w:styleId="713" w:customStyle="1">
    <w:name w:val="Title Char"/>
    <w:basedOn w:val="660"/>
    <w:link w:val="692"/>
    <w:uiPriority w:val="10"/>
    <w:qFormat/>
    <w:rPr>
      <w:sz w:val="48"/>
      <w:szCs w:val="48"/>
    </w:rPr>
  </w:style>
  <w:style w:type="character" w:styleId="714" w:customStyle="1">
    <w:name w:val="Subtitle Char"/>
    <w:basedOn w:val="660"/>
    <w:link w:val="684"/>
    <w:uiPriority w:val="11"/>
    <w:qFormat/>
    <w:rPr>
      <w:sz w:val="24"/>
      <w:szCs w:val="24"/>
    </w:rPr>
  </w:style>
  <w:style w:type="paragraph" w:styleId="715">
    <w:name w:val="Quote"/>
    <w:basedOn w:val="650"/>
    <w:next w:val="650"/>
    <w:link w:val="716"/>
    <w:uiPriority w:val="29"/>
    <w:qFormat/>
    <w:pPr>
      <w:ind w:left="720" w:right="720"/>
    </w:pPr>
    <w:rPr>
      <w:i/>
    </w:rPr>
  </w:style>
  <w:style w:type="character" w:styleId="716" w:customStyle="1">
    <w:name w:val="Quote Char"/>
    <w:link w:val="715"/>
    <w:uiPriority w:val="29"/>
    <w:qFormat/>
    <w:rPr>
      <w:i/>
    </w:rPr>
  </w:style>
  <w:style w:type="paragraph" w:styleId="717">
    <w:name w:val="Intense Quote"/>
    <w:basedOn w:val="650"/>
    <w:next w:val="65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Header Char"/>
    <w:basedOn w:val="660"/>
    <w:uiPriority w:val="99"/>
    <w:qFormat/>
  </w:style>
  <w:style w:type="character" w:styleId="720" w:customStyle="1">
    <w:name w:val="Footer Char"/>
    <w:basedOn w:val="660"/>
    <w:uiPriority w:val="99"/>
    <w:qFormat/>
  </w:style>
  <w:style w:type="character" w:styleId="721" w:customStyle="1">
    <w:name w:val="Caption Char"/>
    <w:uiPriority w:val="99"/>
    <w:qFormat/>
  </w:style>
  <w:style w:type="table" w:styleId="722" w:customStyle="1">
    <w:name w:val="Table Grid Light"/>
    <w:basedOn w:val="6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basedOn w:val="6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Grid Table 3"/>
    <w:basedOn w:val="6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6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basedOn w:val="66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basedOn w:val="66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basedOn w:val="66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basedOn w:val="66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basedOn w:val="66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Grid Table 5 Dark"/>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Grid Table 6 Colorful"/>
    <w:basedOn w:val="6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basedOn w:val="66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5" w:customStyle="1">
    <w:name w:val="Grid Table 6 Colorful - Accent 2"/>
    <w:basedOn w:val="6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6" w:customStyle="1">
    <w:name w:val="Grid Table 6 Colorful - Accent 3"/>
    <w:basedOn w:val="66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7" w:customStyle="1">
    <w:name w:val="Grid Table 6 Colorful - Accent 4"/>
    <w:basedOn w:val="6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8" w:customStyle="1">
    <w:name w:val="Grid Table 6 Colorful - Accent 5"/>
    <w:basedOn w:val="66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6 Colorful - Accent 6"/>
    <w:basedOn w:val="66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7 Colorful"/>
    <w:basedOn w:val="6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6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6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6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6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6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6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basedOn w:val="6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6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6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6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6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6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6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List Table 2"/>
    <w:basedOn w:val="6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6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basedOn w:val="66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basedOn w:val="66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basedOn w:val="66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basedOn w:val="66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basedOn w:val="66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List Table 3"/>
    <w:basedOn w:val="6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6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basedOn w:val="6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6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6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6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List Table 4"/>
    <w:basedOn w:val="6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6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basedOn w:val="66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basedOn w:val="66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basedOn w:val="66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basedOn w:val="66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basedOn w:val="66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List Table 5 Dark"/>
    <w:basedOn w:val="6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basedOn w:val="66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basedOn w:val="66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basedOn w:val="66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basedOn w:val="66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basedOn w:val="66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basedOn w:val="66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6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basedOn w:val="66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basedOn w:val="66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basedOn w:val="66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basedOn w:val="66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basedOn w:val="66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basedOn w:val="66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List Table 7 Colorful"/>
    <w:basedOn w:val="6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6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6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6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6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6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6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basedOn w:val="6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6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basedOn w:val="66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basedOn w:val="66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basedOn w:val="66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basedOn w:val="66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basedOn w:val="66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basedOn w:val="6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basedOn w:val="6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basedOn w:val="6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basedOn w:val="6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basedOn w:val="6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basedOn w:val="6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Footnote Text Char"/>
    <w:link w:val="686"/>
    <w:uiPriority w:val="99"/>
    <w:qFormat/>
    <w:rPr>
      <w:sz w:val="18"/>
    </w:rPr>
  </w:style>
  <w:style w:type="character" w:styleId="848" w:customStyle="1">
    <w:name w:val="Endnote Text Char"/>
    <w:link w:val="677"/>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character" w:styleId="850" w:customStyle="1">
    <w:name w:val="文档结构图 Char"/>
    <w:link w:val="666"/>
    <w:uiPriority w:val="0"/>
    <w:qFormat/>
    <w:rPr>
      <w:rFonts w:ascii="宋体"/>
      <w:sz w:val="18"/>
      <w:szCs w:val="18"/>
    </w:rPr>
  </w:style>
  <w:style w:type="character" w:styleId="851" w:customStyle="1">
    <w:name w:val="正文文本缩进 Char"/>
    <w:link w:val="669"/>
    <w:uiPriority w:val="99"/>
    <w:qFormat/>
    <w:rPr>
      <w:sz w:val="21"/>
      <w:szCs w:val="22"/>
      <w:lang w:bidi="ar-SA"/>
    </w:rPr>
  </w:style>
  <w:style w:type="character" w:styleId="852" w:customStyle="1">
    <w:name w:val="批注文字 Char"/>
    <w:link w:val="667"/>
    <w:uiPriority w:val="0"/>
    <w:qFormat/>
    <w:rPr>
      <w:sz w:val="21"/>
      <w:szCs w:val="22"/>
    </w:rPr>
  </w:style>
  <w:style w:type="character" w:styleId="853" w:customStyle="1">
    <w:name w:val="页眉 Char"/>
    <w:link w:val="681"/>
    <w:uiPriority w:val="0"/>
    <w:qFormat/>
    <w:rPr>
      <w:sz w:val="18"/>
      <w:szCs w:val="18"/>
      <w:lang w:bidi="ar-SA"/>
    </w:rPr>
  </w:style>
  <w:style w:type="character" w:styleId="854" w:customStyle="1">
    <w:name w:val="页脚 Char"/>
    <w:link w:val="679"/>
    <w:uiPriority w:val="0"/>
    <w:qFormat/>
    <w:rPr>
      <w:sz w:val="18"/>
      <w:szCs w:val="18"/>
      <w:lang w:bidi="ar-SA"/>
    </w:rPr>
  </w:style>
  <w:style w:type="character" w:styleId="855" w:customStyle="1">
    <w:name w:val="批注框文本 Char"/>
    <w:link w:val="678"/>
    <w:uiPriority w:val="0"/>
    <w:semiHidden/>
    <w:qFormat/>
    <w:rPr>
      <w:sz w:val="18"/>
      <w:szCs w:val="18"/>
      <w:lang w:bidi="ar-SA"/>
    </w:rPr>
  </w:style>
  <w:style w:type="character" w:styleId="856" w:customStyle="1">
    <w:name w:val="纯文本 Char"/>
    <w:link w:val="674"/>
    <w:uiPriority w:val="99"/>
    <w:qFormat/>
    <w:rPr>
      <w:rFonts w:ascii="宋体" w:hAnsi="Courier New" w:eastAsia="宋体"/>
      <w:szCs w:val="21"/>
      <w:lang w:bidi="ar-SA"/>
    </w:rPr>
  </w:style>
  <w:style w:type="character" w:styleId="857" w:customStyle="1">
    <w:name w:val="标题 1 Char"/>
    <w:link w:val="651"/>
    <w:uiPriority w:val="0"/>
    <w:qFormat/>
    <w:rPr>
      <w:rFonts w:eastAsia="宋体"/>
      <w:b/>
      <w:bCs/>
      <w:sz w:val="44"/>
      <w:szCs w:val="44"/>
      <w:lang w:bidi="ar-SA"/>
    </w:rPr>
  </w:style>
  <w:style w:type="character" w:styleId="858" w:customStyle="1">
    <w:name w:val="正文缩进 Char"/>
    <w:link w:val="663"/>
    <w:uiPriority w:val="0"/>
    <w:qFormat/>
    <w:rPr>
      <w:rFonts w:eastAsia="宋体"/>
      <w:sz w:val="21"/>
      <w:szCs w:val="22"/>
      <w:lang w:val="en-US" w:eastAsia="zh-CN" w:bidi="ar-SA"/>
    </w:rPr>
  </w:style>
  <w:style w:type="character" w:styleId="859" w:customStyle="1">
    <w:name w:val="正文文本 Char"/>
    <w:link w:val="668"/>
    <w:uiPriority w:val="0"/>
    <w:qFormat/>
    <w:rPr>
      <w:rFonts w:ascii="楷体_GB2312" w:hAnsi="Arial" w:eastAsia="楷体_GB2312"/>
      <w:sz w:val="28"/>
      <w:szCs w:val="28"/>
      <w:lang w:bidi="ar-SA"/>
    </w:rPr>
  </w:style>
  <w:style w:type="character" w:styleId="860" w:customStyle="1">
    <w:name w:val="批注主题 Char"/>
    <w:link w:val="693"/>
    <w:uiPriority w:val="0"/>
    <w:qFormat/>
    <w:rPr>
      <w:b/>
      <w:bCs/>
      <w:sz w:val="21"/>
      <w:szCs w:val="22"/>
    </w:rPr>
  </w:style>
  <w:style w:type="character" w:styleId="861" w:customStyle="1">
    <w:name w:val="style41"/>
    <w:uiPriority w:val="0"/>
    <w:qFormat/>
    <w:rPr>
      <w:color w:val="0b50a4"/>
    </w:rPr>
  </w:style>
  <w:style w:type="character" w:styleId="862" w:customStyle="1">
    <w:name w:val="标题 4 Char"/>
    <w:link w:val="654"/>
    <w:uiPriority w:val="0"/>
    <w:qFormat/>
    <w:rPr>
      <w:rFonts w:ascii="Arial" w:hAnsi="Arial" w:eastAsia="黑体"/>
      <w:b/>
      <w:bCs/>
      <w:sz w:val="28"/>
      <w:szCs w:val="28"/>
      <w:lang w:bidi="ar-SA"/>
    </w:rPr>
  </w:style>
  <w:style w:type="character" w:styleId="863" w:customStyle="1">
    <w:name w:val="列出段落 Char"/>
    <w:link w:val="864"/>
    <w:uiPriority w:val="34"/>
    <w:qFormat/>
    <w:rPr>
      <w:sz w:val="24"/>
      <w:szCs w:val="24"/>
      <w:lang w:eastAsia="en-US" w:bidi="en-US"/>
    </w:rPr>
  </w:style>
  <w:style w:type="paragraph" w:styleId="864" w:customStyle="1">
    <w:name w:val="列出段落1"/>
    <w:basedOn w:val="650"/>
    <w:link w:val="863"/>
    <w:uiPriority w:val="0"/>
    <w:qFormat/>
    <w:pPr>
      <w:contextualSpacing/>
      <w:ind w:left="720"/>
      <w:jc w:val="left"/>
      <w:widowControl/>
    </w:pPr>
    <w:rPr>
      <w:sz w:val="24"/>
      <w:szCs w:val="24"/>
      <w:lang w:eastAsia="en-US" w:bidi="en-US"/>
    </w:rPr>
  </w:style>
  <w:style w:type="paragraph" w:styleId="865" w:customStyle="1">
    <w:name w:val="p0"/>
    <w:basedOn w:val="650"/>
    <w:uiPriority w:val="0"/>
    <w:qFormat/>
    <w:pPr>
      <w:widowControl/>
    </w:pPr>
    <w:rPr>
      <w:szCs w:val="21"/>
    </w:rPr>
  </w:style>
  <w:style w:type="paragraph" w:styleId="866" w:customStyle="1">
    <w:name w:val="正文空2格  1."/>
    <w:basedOn w:val="650"/>
    <w:uiPriority w:val="0"/>
    <w:qFormat/>
    <w:pPr>
      <w:ind w:firstLine="480"/>
    </w:pPr>
    <w:rPr>
      <w:rFonts w:cs="宋体"/>
      <w:sz w:val="28"/>
      <w:szCs w:val="20"/>
    </w:rPr>
  </w:style>
  <w:style w:type="paragraph" w:styleId="867" w:customStyle="1">
    <w:name w:val="段"/>
    <w:uiPriority w:val="0"/>
    <w:qFormat/>
    <w:pPr>
      <w:ind w:firstLine="200"/>
      <w:jc w:val="both"/>
    </w:pPr>
    <w:rPr>
      <w:rFonts w:hint="default" w:ascii="宋体" w:hAnsi="Times New Roman" w:eastAsia="宋体" w:cs="Times New Roman"/>
      <w:sz w:val="21"/>
    </w:rPr>
  </w:style>
  <w:style w:type="paragraph" w:styleId="868" w:customStyle="1">
    <w:name w:val="普通正文"/>
    <w:basedOn w:val="650"/>
    <w:uiPriority w:val="0"/>
    <w:qFormat/>
    <w:pPr>
      <w:ind w:firstLine="480"/>
      <w:jc w:val="left"/>
      <w:spacing w:before="120" w:after="120" w:line="360" w:lineRule="auto"/>
    </w:pPr>
    <w:rPr>
      <w:rFonts w:ascii="Arial" w:hAnsi="Arial"/>
      <w:sz w:val="24"/>
      <w:szCs w:val="24"/>
    </w:rPr>
  </w:style>
  <w:style w:type="paragraph" w:styleId="869" w:customStyle="1">
    <w:name w:val="Char"/>
    <w:basedOn w:val="650"/>
    <w:uiPriority w:val="0"/>
    <w:qFormat/>
    <w:pPr>
      <w:ind w:firstLine="200"/>
      <w:tabs>
        <w:tab w:val="left" w:pos="360" w:leader="none"/>
      </w:tabs>
    </w:pPr>
    <w:rPr>
      <w:sz w:val="28"/>
      <w:szCs w:val="30"/>
    </w:rPr>
  </w:style>
  <w:style w:type="paragraph" w:styleId="870">
    <w:name w:val="List Paragraph"/>
    <w:basedOn w:val="650"/>
    <w:uiPriority w:val="34"/>
    <w:qFormat/>
    <w:pPr>
      <w:ind w:firstLine="420"/>
    </w:pPr>
    <w:rPr>
      <w:szCs w:val="21"/>
    </w:rPr>
  </w:style>
  <w:style w:type="character" w:styleId="871" w:customStyle="1">
    <w:name w:val="标题 2 Char"/>
    <w:basedOn w:val="660"/>
    <w:link w:val="652"/>
    <w:uiPriority w:val="0"/>
    <w:qFormat/>
    <w:rPr>
      <w:rFonts w:asciiTheme="majorHAnsi" w:hAnsiTheme="majorHAnsi" w:eastAsiaTheme="majorEastAsia" w:cstheme="majorBidi"/>
      <w:b/>
      <w:bCs/>
      <w:sz w:val="32"/>
      <w:szCs w:val="32"/>
    </w:rPr>
  </w:style>
  <w:style w:type="character" w:styleId="872" w:customStyle="1">
    <w:name w:val="qowt-font2"/>
    <w:basedOn w:val="660"/>
    <w:uiPriority w:val="0"/>
    <w:qFormat/>
  </w:style>
  <w:style w:type="paragraph" w:styleId="873" w:customStyle="1">
    <w:name w:val="qowt-stl-正文"/>
    <w:basedOn w:val="650"/>
    <w:uiPriority w:val="0"/>
    <w:qFormat/>
    <w:pPr>
      <w:jc w:val="left"/>
      <w:spacing w:before="100" w:beforeAutospacing="1" w:after="100" w:afterAutospacing="1"/>
      <w:widowControl/>
    </w:pPr>
    <w:rPr>
      <w:rFonts w:ascii="宋体" w:hAnsi="宋体" w:cs="宋体"/>
      <w:sz w:val="24"/>
      <w:szCs w:val="24"/>
    </w:rPr>
  </w:style>
  <w:style w:type="character" w:styleId="874" w:customStyle="1">
    <w:name w:val="纯文本 Char1"/>
    <w:uiPriority w:val="99"/>
    <w:qFormat/>
    <w:rPr>
      <w:rFonts w:ascii="宋体" w:hAnsi="Courier New"/>
    </w:rPr>
  </w:style>
  <w:style w:type="character" w:styleId="875" w:customStyle="1">
    <w:name w:val="日期 Char"/>
    <w:basedOn w:val="660"/>
    <w:link w:val="676"/>
    <w:uiPriority w:val="0"/>
    <w:qFormat/>
    <w:rPr>
      <w:sz w:val="21"/>
      <w:szCs w:val="22"/>
    </w:rPr>
  </w:style>
  <w:style w:type="character" w:styleId="876" w:customStyle="1">
    <w:name w:val="NormalCharacter"/>
    <w:uiPriority w:val="0"/>
    <w:semiHidden/>
    <w:qFormat/>
    <w:rPr>
      <w:rFonts w:ascii="Calibri" w:hAnsi="Calibri" w:eastAsia="宋体" w:cs="Times New Roman"/>
      <w:sz w:val="21"/>
      <w:szCs w:val="22"/>
      <w:lang w:val="en-US" w:eastAsia="zh-CN" w:bidi="ar-SA"/>
    </w:rPr>
  </w:style>
  <w:style w:type="character" w:styleId="877" w:customStyle="1">
    <w:name w:val="正文首行缩进 2 Char"/>
    <w:basedOn w:val="851"/>
    <w:link w:val="695"/>
    <w:uiPriority w:val="99"/>
    <w:semiHidden/>
    <w:qFormat/>
    <w:rPr>
      <w:rFonts w:asciiTheme="minorHAnsi" w:hAnsiTheme="minorHAnsi" w:eastAsiaTheme="minorEastAsia" w:cstheme="minorBidi"/>
      <w:sz w:val="21"/>
      <w:szCs w:val="22"/>
      <w:lang w:bidi="ar-SA"/>
    </w:rPr>
  </w:style>
  <w:style w:type="paragraph" w:styleId="878">
    <w:name w:val="No Spacing"/>
    <w:uiPriority w:val="1"/>
    <w:qFormat/>
    <w:pPr>
      <w:jc w:val="both"/>
      <w:widowControl w:val="off"/>
    </w:pPr>
    <w:rPr>
      <w:rFonts w:hint="default" w:asciiTheme="minorHAnsi" w:hAnsiTheme="minorHAnsi" w:eastAsiaTheme="minorEastAsia" w:cstheme="minorBidi"/>
      <w:sz w:val="21"/>
      <w:szCs w:val="22"/>
    </w:rPr>
  </w:style>
  <w:style w:type="character" w:styleId="879" w:customStyle="1">
    <w:name w:val="标题 3 Char"/>
    <w:basedOn w:val="660"/>
    <w:link w:val="653"/>
    <w:uiPriority w:val="9"/>
    <w:qFormat/>
    <w:rPr>
      <w:b/>
      <w:bCs/>
      <w:sz w:val="32"/>
      <w:szCs w:val="32"/>
    </w:rPr>
  </w:style>
  <w:style w:type="character" w:styleId="880" w:customStyle="1">
    <w:name w:val="标题 5 Char"/>
    <w:basedOn w:val="660"/>
    <w:link w:val="655"/>
    <w:uiPriority w:val="9"/>
    <w:qFormat/>
    <w:rPr>
      <w:b/>
      <w:bCs/>
      <w:sz w:val="28"/>
      <w:szCs w:val="28"/>
    </w:rPr>
  </w:style>
  <w:style w:type="paragraph" w:styleId="881" w:customStyle="1">
    <w:name w:val="表格文字"/>
    <w:basedOn w:val="650"/>
    <w:uiPriority w:val="0"/>
    <w:qFormat/>
    <w:pPr>
      <w:jc w:val="left"/>
    </w:pPr>
    <w:rPr>
      <w:bCs/>
      <w:spacing w:val="10"/>
      <w:szCs w:val="20"/>
    </w:rPr>
  </w:style>
  <w:style w:type="paragraph" w:styleId="882" w:customStyle="1">
    <w:name w:val="正文111"/>
    <w:uiPriority w:val="0"/>
    <w:qFormat/>
    <w:pPr>
      <w:jc w:val="both"/>
      <w:widowControl w:val="off"/>
    </w:pPr>
    <w:rPr>
      <w:rFonts w:hint="default" w:ascii="Times New Roman" w:hAnsi="Times New Roman" w:eastAsia="宋体" w:cs="Times New Roman"/>
      <w:sz w:val="21"/>
      <w:szCs w:val="24"/>
    </w:rPr>
  </w:style>
  <w:style w:type="paragraph" w:styleId="883" w:customStyle="1">
    <w:name w:val="投标文件正文"/>
    <w:basedOn w:val="650"/>
    <w:uiPriority w:val="0"/>
    <w:qFormat/>
    <w:pPr>
      <w:ind w:firstLine="560"/>
      <w:spacing w:line="440" w:lineRule="exact"/>
    </w:pPr>
    <w:rPr>
      <w:rFonts w:ascii="仿宋_GB2312" w:hAnsi="Calibri" w:eastAsia="仿宋_GB2312"/>
      <w:bCs/>
      <w:sz w:val="28"/>
      <w:szCs w:val="28"/>
    </w:rPr>
  </w:style>
  <w:style w:type="paragraph" w:styleId="884" w:customStyle="1">
    <w:name w:val="Body text|1"/>
    <w:basedOn w:val="650"/>
    <w:uiPriority w:val="0"/>
    <w:qFormat/>
    <w:pPr>
      <w:spacing w:line="331" w:lineRule="auto"/>
    </w:pPr>
    <w:rPr>
      <w:rFonts w:ascii="宋体" w:hAnsi="宋体" w:cs="宋体"/>
      <w:sz w:val="20"/>
      <w:szCs w:val="20"/>
      <w:lang w:val="zh-TW" w:eastAsia="zh-TW" w:bidi="zh-TW"/>
    </w:rPr>
  </w:style>
  <w:style w:type="table" w:styleId="885" w:customStyle="1">
    <w:name w:val="Table Normal"/>
    <w:uiPriority w:val="0"/>
    <w:semiHidden/>
    <w:qFormat/>
    <w:rPr>
      <w:rFonts w:asciiTheme="minorHAnsi" w:hAnsiTheme="minorHAnsi" w:eastAsiaTheme="minorEastAsia" w:cstheme="minorBidi"/>
      <w:sz w:val="21"/>
      <w:szCs w:val="22"/>
    </w:rPr>
    <w:tblPr>
      <w:tblCellMar>
        <w:left w:w="108" w:type="dxa"/>
        <w:top w:w="0" w:type="dxa"/>
        <w:right w:w="0" w:type="dxa"/>
        <w:bottom w:w="0" w:type="dxa"/>
      </w:tblCellMar>
    </w:tblPr>
  </w:style>
  <w:style w:type="paragraph" w:styleId="886" w:customStyle="1">
    <w:name w:val="无列表1"/>
    <w:uiPriority w:val="0"/>
    <w:semiHidden/>
    <w:qFormat/>
    <w:rPr>
      <w:rFonts w:hint="default" w:asciiTheme="minorHAnsi" w:hAnsiTheme="minorHAnsi" w:eastAsiaTheme="minorEastAsia" w:cstheme="minorBidi"/>
      <w:sz w:val="21"/>
      <w:szCs w:val="22"/>
    </w:rPr>
  </w:style>
  <w:style w:type="paragraph" w:styleId="887" w:customStyle="1">
    <w:name w:val="正文1"/>
    <w:basedOn w:val="888"/>
    <w:link w:val="892"/>
    <w:uiPriority w:val="0"/>
    <w:qFormat/>
    <w:pPr>
      <w:ind w:firstLine="480"/>
      <w:spacing w:line="360" w:lineRule="auto"/>
    </w:pPr>
    <w:rPr>
      <w:rFonts w:hint="default" w:ascii="宋体" w:hAnsi="宋体" w:eastAsia="宋体" w:cs="Times New Roman"/>
      <w:sz w:val="24"/>
    </w:rPr>
  </w:style>
  <w:style w:type="paragraph" w:styleId="888" w:customStyle="1">
    <w:name w:val="正文11"/>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customStyle="1">
    <w:name w:val="正文首行缩进 21"/>
    <w:basedOn w:val="890"/>
    <w:next w:val="891"/>
    <w:uiPriority w:val="0"/>
    <w:qFormat/>
    <w:pPr>
      <w:ind w:left="0" w:firstLine="420"/>
      <w:spacing w:after="0" w:line="360" w:lineRule="auto"/>
    </w:pPr>
    <w:rPr>
      <w:rFonts w:ascii="宋体" w:hAnsi="宋体" w:eastAsia="宋体"/>
      <w:sz w:val="20"/>
      <w:szCs w:val="20"/>
    </w:rPr>
  </w:style>
  <w:style w:type="paragraph" w:styleId="890" w:customStyle="1">
    <w:name w:val="正文文本缩进1"/>
    <w:basedOn w:val="888"/>
    <w:next w:val="650"/>
    <w:uiPriority w:val="0"/>
    <w:qFormat/>
    <w:pPr>
      <w:ind w:left="420"/>
      <w:spacing w:after="120"/>
    </w:pPr>
    <w:rPr>
      <w:rFonts w:ascii="Times New Roman" w:hAnsi="Times New Roman" w:eastAsia="宋体"/>
    </w:rPr>
  </w:style>
  <w:style w:type="paragraph" w:styleId="891" w:customStyle="1">
    <w:name w:val="正文缩进1"/>
    <w:basedOn w:val="650"/>
    <w:uiPriority w:val="0"/>
    <w:qFormat/>
    <w:pPr>
      <w:ind w:firstLine="420"/>
    </w:pPr>
  </w:style>
  <w:style w:type="character" w:styleId="892" w:customStyle="1">
    <w:name w:val="正文 Char"/>
    <w:link w:val="887"/>
    <w:uiPriority w:val="0"/>
    <w:qFormat/>
    <w:rPr>
      <w:rFonts w:ascii="宋体" w:hAnsi="宋体"/>
      <w:sz w:val="24"/>
    </w:rPr>
  </w:style>
  <w:style w:type="paragraph" w:styleId="893" w:customStyle="1">
    <w:name w:val="样式 首行缩进:  0 字符"/>
    <w:basedOn w:val="650"/>
    <w:uiPriority w:val="0"/>
    <w:qFormat/>
    <w:pPr>
      <w:ind w:firstLine="200"/>
      <w:spacing w:line="360" w:lineRule="auto"/>
    </w:pPr>
    <w:rPr>
      <w:rFonts w:ascii="Arial" w:hAnsi="Arial" w:cs="宋体"/>
      <w:sz w:val="24"/>
      <w:szCs w:val="20"/>
    </w:rPr>
  </w:style>
  <w:style w:type="character" w:styleId="894" w:customStyle="1">
    <w:name w:val="正文首行缩进 Char"/>
    <w:basedOn w:val="859"/>
    <w:link w:val="694"/>
    <w:uiPriority w:val="0"/>
    <w:qFormat/>
    <w:rPr>
      <w:rFonts w:ascii="楷体_GB2312" w:hAnsi="Arial" w:eastAsia="楷体_GB2312"/>
      <w:sz w:val="21"/>
      <w:szCs w:val="22"/>
      <w:lang w:bidi="ar-SA"/>
    </w:rPr>
  </w:style>
  <w:style w:type="paragraph" w:styleId="895" w:customStyle="1">
    <w:name w:val="font5"/>
    <w:basedOn w:val="650"/>
    <w:uiPriority w:val="0"/>
    <w:qFormat/>
    <w:pPr>
      <w:jc w:val="left"/>
      <w:spacing w:before="100" w:beforeAutospacing="1" w:after="100" w:afterAutospacing="1"/>
      <w:widowControl/>
    </w:pPr>
    <w:rPr>
      <w:rFonts w:ascii="宋体" w:hAnsi="宋体" w:cs="宋体"/>
      <w:sz w:val="20"/>
      <w:szCs w:val="20"/>
    </w:rPr>
  </w:style>
  <w:style w:type="paragraph" w:styleId="896" w:customStyle="1">
    <w:name w:val="font6"/>
    <w:basedOn w:val="650"/>
    <w:uiPriority w:val="0"/>
    <w:qFormat/>
    <w:pPr>
      <w:jc w:val="left"/>
      <w:spacing w:before="100" w:beforeAutospacing="1" w:after="100" w:afterAutospacing="1"/>
      <w:widowControl/>
    </w:pPr>
    <w:rPr>
      <w:rFonts w:ascii="宋体" w:hAnsi="宋体" w:cs="宋体"/>
      <w:sz w:val="20"/>
      <w:szCs w:val="20"/>
    </w:rPr>
  </w:style>
  <w:style w:type="paragraph" w:styleId="897" w:customStyle="1">
    <w:name w:val="xl116"/>
    <w:basedOn w:val="650"/>
    <w:uiPriority w:val="0"/>
    <w:qFormat/>
    <w:pPr>
      <w:jc w:val="center"/>
      <w:spacing w:before="100" w:beforeAutospacing="1" w:after="100" w:afterAutospacing="1"/>
      <w:widowControl/>
    </w:pPr>
    <w:rPr>
      <w:rFonts w:ascii="等线" w:hAnsi="等线" w:eastAsia="等线" w:cs="宋体"/>
      <w:color w:val="000000"/>
      <w:sz w:val="24"/>
      <w:szCs w:val="24"/>
    </w:rPr>
  </w:style>
  <w:style w:type="paragraph" w:styleId="898" w:customStyle="1">
    <w:name w:val="xl117"/>
    <w:basedOn w:val="650"/>
    <w:uiPriority w:val="0"/>
    <w:qFormat/>
    <w:pPr>
      <w:jc w:val="left"/>
      <w:spacing w:before="100" w:beforeAutospacing="1" w:after="100" w:afterAutospacing="1"/>
      <w:widowControl/>
    </w:pPr>
    <w:rPr>
      <w:rFonts w:ascii="等线" w:hAnsi="等线" w:eastAsia="等线" w:cs="宋体"/>
      <w:color w:val="000000"/>
      <w:sz w:val="24"/>
      <w:szCs w:val="24"/>
    </w:rPr>
  </w:style>
  <w:style w:type="paragraph" w:styleId="899" w:customStyle="1">
    <w:name w:val="xl118"/>
    <w:basedOn w:val="650"/>
    <w:uiPriority w:val="0"/>
    <w:qFormat/>
    <w:pPr>
      <w:jc w:val="center"/>
      <w:spacing w:before="100" w:beforeAutospacing="1" w:after="100" w:afterAutospacing="1"/>
      <w:widowControl/>
    </w:pPr>
    <w:rPr>
      <w:rFonts w:ascii="等线" w:hAnsi="等线" w:eastAsia="等线" w:cs="宋体"/>
      <w:color w:val="000000"/>
      <w:sz w:val="24"/>
      <w:szCs w:val="24"/>
    </w:rPr>
  </w:style>
  <w:style w:type="paragraph" w:styleId="900" w:customStyle="1">
    <w:name w:val="xl119"/>
    <w:basedOn w:val="650"/>
    <w:uiPriority w:val="0"/>
    <w:qFormat/>
    <w:pPr>
      <w:jc w:val="center"/>
      <w:spacing w:before="100" w:beforeAutospacing="1" w:after="100" w:afterAutospacing="1"/>
      <w:widowControl/>
    </w:pPr>
    <w:rPr>
      <w:rFonts w:ascii="等线" w:hAnsi="等线" w:eastAsia="等线" w:cs="宋体"/>
      <w:color w:val="000000"/>
      <w:sz w:val="24"/>
      <w:szCs w:val="24"/>
    </w:rPr>
  </w:style>
  <w:style w:type="paragraph" w:styleId="901" w:customStyle="1">
    <w:name w:val="xl120"/>
    <w:basedOn w:val="650"/>
    <w:uiPriority w:val="0"/>
    <w:qFormat/>
    <w:pPr>
      <w:jc w:val="left"/>
      <w:spacing w:before="100" w:beforeAutospacing="1" w:after="100" w:afterAutospacing="1"/>
      <w:widowControl/>
    </w:pPr>
    <w:rPr>
      <w:rFonts w:ascii="等线" w:hAnsi="等线" w:eastAsia="等线" w:cs="宋体"/>
      <w:color w:val="000000"/>
      <w:sz w:val="20"/>
      <w:szCs w:val="20"/>
    </w:rPr>
  </w:style>
  <w:style w:type="paragraph" w:styleId="902" w:customStyle="1">
    <w:name w:val="xl121"/>
    <w:basedOn w:val="650"/>
    <w:uiPriority w:val="0"/>
    <w:qFormat/>
    <w:pPr>
      <w:jc w:val="left"/>
      <w:spacing w:before="100" w:beforeAutospacing="1" w:after="100" w:afterAutospacing="1"/>
      <w:widowControl/>
    </w:pPr>
    <w:rPr>
      <w:rFonts w:ascii="等线" w:hAnsi="等线" w:eastAsia="等线" w:cs="宋体"/>
      <w:color w:val="000000"/>
      <w:sz w:val="24"/>
      <w:szCs w:val="24"/>
    </w:rPr>
  </w:style>
  <w:style w:type="paragraph" w:styleId="903" w:customStyle="1">
    <w:name w:val="xl122"/>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04" w:customStyle="1">
    <w:name w:val="xl123"/>
    <w:basedOn w:val="65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b/>
      <w:bCs/>
      <w:sz w:val="20"/>
      <w:szCs w:val="20"/>
    </w:rPr>
  </w:style>
  <w:style w:type="paragraph" w:styleId="905" w:customStyle="1">
    <w:name w:val="xl124"/>
    <w:basedOn w:val="65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906" w:customStyle="1">
    <w:name w:val="xl125"/>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07" w:customStyle="1">
    <w:name w:val="xl126"/>
    <w:basedOn w:val="650"/>
    <w:uiPriority w:val="0"/>
    <w:qFormat/>
    <w:pPr>
      <w:jc w:val="left"/>
      <w:spacing w:before="100" w:beforeAutospacing="1" w:after="100" w:afterAutospacing="1"/>
      <w:widowControl/>
    </w:pPr>
    <w:rPr>
      <w:rFonts w:ascii="等线" w:hAnsi="等线" w:eastAsia="等线" w:cs="宋体"/>
      <w:b/>
      <w:bCs/>
      <w:color w:val="000000"/>
      <w:sz w:val="24"/>
      <w:szCs w:val="24"/>
    </w:rPr>
  </w:style>
  <w:style w:type="paragraph" w:styleId="908" w:customStyle="1">
    <w:name w:val="xl127"/>
    <w:basedOn w:val="65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b/>
      <w:bCs/>
      <w:sz w:val="20"/>
      <w:szCs w:val="20"/>
    </w:rPr>
  </w:style>
  <w:style w:type="paragraph" w:styleId="909" w:customStyle="1">
    <w:name w:val="xl128"/>
    <w:basedOn w:val="65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color w:val="000000"/>
      <w:sz w:val="20"/>
      <w:szCs w:val="20"/>
    </w:rPr>
  </w:style>
  <w:style w:type="paragraph" w:styleId="910" w:customStyle="1">
    <w:name w:val="xl129"/>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11" w:customStyle="1">
    <w:name w:val="xl130"/>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2" w:customStyle="1">
    <w:name w:val="xl131"/>
    <w:basedOn w:val="65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0"/>
      <w:szCs w:val="20"/>
    </w:rPr>
  </w:style>
  <w:style w:type="paragraph" w:styleId="913" w:customStyle="1">
    <w:name w:val="xl132"/>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14" w:customStyle="1">
    <w:name w:val="xl133"/>
    <w:basedOn w:val="650"/>
    <w:uiPriority w:val="0"/>
    <w:qFormat/>
    <w:pPr>
      <w:jc w:val="center"/>
      <w:spacing w:before="100" w:beforeAutospacing="1" w:after="100" w:afterAutospacing="1"/>
      <w:widowControl/>
      <w:pBdr>
        <w:top w:val="single" w:color="auto" w:sz="4" w:space="0"/>
        <w:left w:val="single" w:color="auto" w:sz="8" w:space="0"/>
        <w:right w:val="single" w:color="auto" w:sz="4" w:space="0"/>
      </w:pBdr>
    </w:pPr>
    <w:rPr>
      <w:rFonts w:ascii="宋体" w:hAnsi="宋体" w:cs="宋体"/>
      <w:sz w:val="20"/>
      <w:szCs w:val="20"/>
    </w:rPr>
  </w:style>
  <w:style w:type="paragraph" w:styleId="915" w:customStyle="1">
    <w:name w:val="xl134"/>
    <w:basedOn w:val="650"/>
    <w:uiPriority w:val="0"/>
    <w:qFormat/>
    <w:pPr>
      <w:jc w:val="center"/>
      <w:spacing w:before="100" w:beforeAutospacing="1" w:after="100" w:afterAutospacing="1"/>
      <w:widowControl/>
      <w:pBdr>
        <w:left w:val="single" w:color="auto" w:sz="8" w:space="0"/>
        <w:right w:val="single" w:color="auto" w:sz="4" w:space="0"/>
      </w:pBdr>
    </w:pPr>
    <w:rPr>
      <w:rFonts w:ascii="宋体" w:hAnsi="宋体" w:cs="宋体"/>
      <w:sz w:val="20"/>
      <w:szCs w:val="20"/>
    </w:rPr>
  </w:style>
  <w:style w:type="paragraph" w:styleId="916" w:customStyle="1">
    <w:name w:val="xl135"/>
    <w:basedOn w:val="650"/>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cs="宋体"/>
      <w:sz w:val="20"/>
      <w:szCs w:val="20"/>
    </w:rPr>
  </w:style>
  <w:style w:type="paragraph" w:styleId="917" w:customStyle="1">
    <w:name w:val="xl136"/>
    <w:basedOn w:val="65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0"/>
      <w:szCs w:val="20"/>
    </w:rPr>
  </w:style>
  <w:style w:type="paragraph" w:styleId="918" w:customStyle="1">
    <w:name w:val="xl137"/>
    <w:basedOn w:val="65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szCs w:val="20"/>
    </w:rPr>
  </w:style>
  <w:style w:type="paragraph" w:styleId="919" w:customStyle="1">
    <w:name w:val="xl138"/>
    <w:basedOn w:val="6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920" w:customStyle="1">
    <w:name w:val="方案正文"/>
    <w:basedOn w:val="663"/>
    <w:uiPriority w:val="0"/>
    <w:qFormat/>
    <w:pPr>
      <w:ind w:firstLine="200"/>
      <w:spacing w:line="360" w:lineRule="auto"/>
    </w:pPr>
    <w:rPr>
      <w:rFonts w:ascii="宋体" w:hAnsi="宋体" w:cs="宋体"/>
      <w:sz w:val="24"/>
      <w:szCs w:val="24"/>
    </w:rPr>
  </w:style>
  <w:style w:type="paragraph" w:styleId="921" w:customStyle="1">
    <w:name w:val="文本块1"/>
    <w:basedOn w:val="650"/>
    <w:next w:val="650"/>
    <w:uiPriority w:val="0"/>
    <w:qFormat/>
    <w:pPr>
      <w:ind w:left="420" w:right="33" w:firstLine="420"/>
      <w:jc w:val="left"/>
      <w:spacing w:line="360" w:lineRule="auto"/>
    </w:pPr>
    <w:rPr>
      <w:rFonts w:ascii="宋体" w:hAnsi="宋体" w:cs="宋体"/>
      <w:szCs w:val="20"/>
    </w:rPr>
  </w:style>
  <w:style w:type="paragraph" w:styleId="922" w:customStyle="1">
    <w:name w:val="标题 31"/>
    <w:basedOn w:val="650"/>
    <w:next w:val="650"/>
    <w:uiPriority w:val="0"/>
    <w:qFormat/>
    <w:pPr>
      <w:keepLines/>
      <w:keepNext/>
      <w:spacing w:before="260" w:after="260" w:line="416" w:lineRule="auto"/>
      <w:outlineLvl w:val="2"/>
    </w:pPr>
    <w:rPr>
      <w:b/>
      <w:bCs/>
      <w:sz w:val="32"/>
      <w:szCs w:val="32"/>
    </w:rPr>
  </w:style>
  <w:style w:type="paragraph" w:styleId="923" w:customStyle="1">
    <w:name w:val="table_1stline"/>
    <w:basedOn w:val="650"/>
    <w:uiPriority w:val="0"/>
    <w:qFormat/>
    <w:pPr>
      <w:jc w:val="left"/>
      <w:spacing w:before="120" w:line="360" w:lineRule="auto"/>
      <w:widowControl/>
    </w:pPr>
    <w:rPr>
      <w:rFonts w:eastAsia="MS Mincho" w:asciiTheme="minorHAnsi" w:hAnsiTheme="minorHAnsi" w:cstheme="minorBidi"/>
      <w:bCs/>
      <w:sz w:val="20"/>
      <w:szCs w:val="20"/>
      <w:lang w:val="de-DE" w:eastAsia="de-DE"/>
    </w:rPr>
  </w:style>
  <w:style w:type="paragraph" w:styleId="924" w:customStyle="1">
    <w:name w:val="Default"/>
    <w:next w:val="650"/>
    <w:uiPriority w:val="0"/>
    <w:qFormat/>
    <w:pPr>
      <w:jc w:val="center"/>
      <w:spacing w:line="360" w:lineRule="auto"/>
      <w:widowControl w:val="off"/>
    </w:pPr>
    <w:rPr>
      <w:rFonts w:hint="default" w:ascii="...." w:hAnsi="Times New Roman" w:eastAsia="...." w:cs="...."/>
      <w:color w:val="000000"/>
      <w:sz w:val="24"/>
      <w:szCs w:val="24"/>
    </w:rPr>
  </w:style>
  <w:style w:type="paragraph" w:styleId="925" w:customStyle="1">
    <w:name w:val="列表段落1"/>
    <w:basedOn w:val="650"/>
    <w:uiPriority w:val="34"/>
    <w:qFormat/>
    <w:pPr>
      <w:ind w:firstLine="420"/>
      <w:jc w:val="center"/>
      <w:spacing w:line="360" w:lineRule="auto"/>
    </w:pPr>
    <w:rPr>
      <w:rFonts w:eastAsiaTheme="minorEastAsia" w:cstheme="minorBidi"/>
      <w:szCs w:val="24"/>
    </w:rPr>
  </w:style>
  <w:style w:type="paragraph" w:styleId="926" w:customStyle="1">
    <w:name w:val="LC主要特点"/>
    <w:basedOn w:val="650"/>
    <w:uiPriority w:val="0"/>
    <w:qFormat/>
    <w:pPr>
      <w:jc w:val="center"/>
      <w:spacing w:line="360" w:lineRule="auto"/>
    </w:pPr>
    <w:rPr>
      <w:rFonts w:ascii="Arial Unicode MS" w:hAnsi="Arial Unicode MS" w:eastAsia="Arial Unicode MS" w:cstheme="minorBidi"/>
      <w:b/>
      <w:szCs w:val="24"/>
    </w:rPr>
  </w:style>
  <w:style w:type="paragraph" w:styleId="927" w:customStyle="1">
    <w:name w:val="LC 文字内容 带符号编码"/>
    <w:next w:val="650"/>
    <w:uiPriority w:val="0"/>
    <w:qFormat/>
    <w:pPr>
      <w:numPr>
        <w:ilvl w:val="0"/>
        <w:numId w:val="2"/>
      </w:numPr>
      <w:ind w:left="840"/>
      <w:jc w:val="both"/>
    </w:pPr>
    <w:rPr>
      <w:rFonts w:hint="default" w:ascii="Arial Unicode MS" w:hAnsi="Arial Unicode MS" w:eastAsia="Arial Unicode MS" w:cs="Times New Roman"/>
      <w:sz w:val="21"/>
    </w:rPr>
  </w:style>
  <w:style w:type="paragraph" w:styleId="928" w:customStyle="1">
    <w:name w:val="LC表"/>
    <w:uiPriority w:val="0"/>
    <w:qFormat/>
    <w:pPr>
      <w:jc w:val="center"/>
    </w:pPr>
    <w:rPr>
      <w:rFonts w:hint="default" w:ascii="Arial Unicode MS" w:hAnsi="Arial Unicode MS" w:eastAsia="Arial Unicode MS" w:cstheme="minorBidi"/>
      <w:sz w:val="18"/>
      <w:szCs w:val="22"/>
    </w:rPr>
  </w:style>
  <w:style w:type="paragraph" w:styleId="929" w:customStyle="1">
    <w:name w:val="标题 41"/>
    <w:basedOn w:val="650"/>
    <w:next w:val="891"/>
    <w:uiPriority w:val="0"/>
    <w:qFormat/>
    <w:pPr>
      <w:keepLines/>
      <w:keepNext/>
      <w:spacing w:before="280" w:after="290" w:line="376" w:lineRule="auto"/>
      <w:outlineLvl w:val="3"/>
    </w:pPr>
    <w:rPr>
      <w:rFonts w:ascii="Arial" w:hAnsi="Arial" w:eastAsia="黑体" w:cs="Arial"/>
      <w:b/>
      <w:bCs/>
      <w:sz w:val="28"/>
      <w:szCs w:val="28"/>
    </w:rPr>
  </w:style>
  <w:style w:type="paragraph" w:styleId="930"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31" w:customStyle="1">
    <w:name w:val="Char1"/>
    <w:basedOn w:val="650"/>
    <w:uiPriority w:val="0"/>
    <w:qFormat/>
    <w:pPr>
      <w:ind w:firstLine="200"/>
      <w:tabs>
        <w:tab w:val="left" w:pos="360" w:leader="none"/>
      </w:tabs>
    </w:pPr>
    <w:rPr>
      <w:sz w:val="28"/>
      <w:szCs w:val="30"/>
    </w:rPr>
  </w:style>
  <w:style w:type="paragraph" w:styleId="932" w:customStyle="1">
    <w:name w:val="标题 21"/>
    <w:basedOn w:val="650"/>
    <w:next w:val="650"/>
    <w:uiPriority w:val="0"/>
    <w:qFormat/>
    <w:pPr>
      <w:jc w:val="center"/>
      <w:keepLines/>
      <w:keepNext/>
      <w:spacing w:before="260" w:after="260" w:line="416" w:lineRule="auto"/>
      <w:outlineLvl w:val="1"/>
    </w:pPr>
    <w:rPr>
      <w:rFonts w:ascii="Arial" w:hAnsi="Arial" w:eastAsia="幼圆" w:cs="Times New Roman"/>
      <w:b/>
      <w:bCs/>
      <w:sz w:val="44"/>
      <w:szCs w:val="44"/>
      <w:lang w:val="en-US" w:eastAsia="en-US"/>
    </w:rPr>
  </w:style>
  <w:style w:type="numbering" w:styleId="415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戚巧红</cp:lastModifiedBy>
  <cp:revision>726</cp:revision>
  <dcterms:created xsi:type="dcterms:W3CDTF">2024-11-18T05:56:00Z</dcterms:created>
  <dcterms:modified xsi:type="dcterms:W3CDTF">2026-09-29T01:08:36Z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F14CF7143B3448E2B2A071A6D6418EBE_13</vt:lpwstr>
  </property>
  <property fmtid="{D5CDD505-2E9C-101B-9397-08002B2CF9AE}" pid="4" name="KSOTemplateDocerSaveRecord">
    <vt:lpwstr>eyJoZGlkIjoiNTE2MGRlY2VjOTdhNzQxNmJiY2EwMWRmNWVmMWFlZTIiLCJ1c2VySWQiOiI5MTExMDY4MzEifQ==</vt:lpwstr>
  </property>
</Properties>
</file>