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line="360" w:lineRule="auto"/>
        <w:rPr>
          <w:rFonts w:ascii="宋体" w:hAnsi="宋体" w:eastAsia="宋体"/>
        </w:rPr>
      </w:pPr>
      <w:r>
        <w:rPr>
          <w:rFonts w:ascii="宋体" w:hAnsi="宋体" w:eastAsia="宋体"/>
        </w:rPr>
      </w:r>
      <w:r/>
    </w:p>
    <w:p>
      <w:pPr>
        <w:pStyle w:val="649"/>
        <w:jc w:val="center"/>
        <w:spacing w:line="360" w:lineRule="auto"/>
        <w:rPr>
          <w:rFonts w:ascii="宋体" w:hAnsi="宋体" w:eastAsia="宋体"/>
        </w:rPr>
      </w:pPr>
      <w:r>
        <w:rPr>
          <w:rFonts w:ascii="宋体" w:hAnsi="宋体" w:eastAsia="宋体"/>
        </w:rPr>
      </w:r>
      <w:r/>
    </w:p>
    <w:p>
      <w:pPr>
        <w:pStyle w:val="690"/>
        <w:rPr>
          <w:rFonts w:hint="eastAsia"/>
        </w:rPr>
      </w:pPr>
      <w:r>
        <w:rPr>
          <w:rFonts w:hint="eastAsia"/>
        </w:rPr>
      </w:r>
      <w:r/>
    </w:p>
    <w:p>
      <w:pPr>
        <w:pStyle w:val="649"/>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9"/>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9"/>
        <w:jc w:val="center"/>
        <w:spacing w:line="360" w:lineRule="auto"/>
        <w:rPr>
          <w:rFonts w:ascii="宋体" w:hAnsi="宋体" w:eastAsia="宋体"/>
        </w:rPr>
      </w:pPr>
      <w:r>
        <w:rPr>
          <w:rFonts w:ascii="宋体" w:hAnsi="宋体" w:eastAsia="宋体"/>
        </w:rPr>
      </w:r>
      <w:r/>
    </w:p>
    <w:p>
      <w:pPr>
        <w:pStyle w:val="649"/>
        <w:jc w:val="center"/>
        <w:spacing w:line="360" w:lineRule="auto"/>
        <w:rPr>
          <w:rFonts w:ascii="宋体" w:hAnsi="宋体" w:eastAsia="宋体"/>
        </w:rPr>
      </w:pPr>
      <w:r>
        <w:rPr>
          <w:rFonts w:ascii="宋体" w:hAnsi="宋体" w:eastAsia="宋体"/>
        </w:rPr>
      </w:r>
      <w:r/>
    </w:p>
    <w:p>
      <w:pPr>
        <w:pStyle w:val="649"/>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JSZC-320500-SZHX-C2026-0039</w:t>
      </w:r>
      <w:r>
        <w:rPr>
          <w:rFonts w:hint="eastAsia" w:ascii="宋体" w:hAnsi="宋体" w:eastAsia="宋体"/>
          <w:b/>
          <w:spacing w:val="-6"/>
          <w:sz w:val="32"/>
        </w:rPr>
      </w:r>
      <w:r/>
    </w:p>
    <w:p>
      <w:pPr>
        <w:pStyle w:val="649"/>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采购单位：苏州市公安局</w:t>
      </w:r>
      <w:r/>
    </w:p>
    <w:p>
      <w:pPr>
        <w:pStyle w:val="649"/>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采购内容：苏州市公安局监管中心弱电系统维保</w:t>
      </w:r>
      <w:r>
        <w:rPr>
          <w:rFonts w:ascii="宋体" w:hAnsi="宋体" w:eastAsia="宋体"/>
          <w:b/>
          <w:spacing w:val="-6"/>
          <w:sz w:val="32"/>
        </w:rPr>
      </w:r>
      <w:r/>
    </w:p>
    <w:p>
      <w:pPr>
        <w:pStyle w:val="649"/>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716"/>
        <w:jc w:val="center"/>
        <w:spacing w:line="360" w:lineRule="auto"/>
        <w:rPr>
          <w:rFonts w:ascii="宋体" w:hAnsi="宋体" w:eastAsia="宋体"/>
        </w:rPr>
      </w:pPr>
      <w:r>
        <w:rPr>
          <w:rFonts w:ascii="宋体" w:hAnsi="宋体" w:eastAsia="宋体"/>
        </w:rPr>
      </w:r>
      <w:r/>
    </w:p>
    <w:p>
      <w:pPr>
        <w:pStyle w:val="649"/>
        <w:jc w:val="center"/>
        <w:spacing w:line="360" w:lineRule="auto"/>
        <w:rPr>
          <w:rFonts w:ascii="宋体" w:hAnsi="宋体" w:eastAsia="宋体"/>
          <w:b/>
        </w:rPr>
      </w:pPr>
      <w:r>
        <w:rPr>
          <w:rFonts w:ascii="宋体" w:hAnsi="宋体" w:eastAsia="宋体"/>
          <w:b/>
        </w:rPr>
      </w:r>
      <w:r/>
    </w:p>
    <w:p>
      <w:pPr>
        <w:pStyle w:val="649"/>
        <w:jc w:val="center"/>
        <w:spacing w:line="360" w:lineRule="auto"/>
        <w:rPr>
          <w:rFonts w:ascii="宋体" w:hAnsi="宋体" w:eastAsia="宋体"/>
        </w:rPr>
      </w:pPr>
      <w:r>
        <w:rPr>
          <w:rFonts w:ascii="宋体" w:hAnsi="宋体" w:eastAsia="宋体"/>
        </w:rPr>
      </w:r>
      <w:r/>
    </w:p>
    <w:p>
      <w:pPr>
        <w:pStyle w:val="690"/>
      </w:pPr>
      <w:r/>
      <w:r/>
    </w:p>
    <w:p>
      <w:pPr>
        <w:pStyle w:val="690"/>
      </w:pPr>
      <w:r/>
      <w:r/>
    </w:p>
    <w:p>
      <w:pPr>
        <w:pStyle w:val="690"/>
      </w:pPr>
      <w:r/>
      <w:r/>
    </w:p>
    <w:p>
      <w:pPr>
        <w:pStyle w:val="649"/>
        <w:jc w:val="center"/>
        <w:spacing w:line="360" w:lineRule="auto"/>
        <w:rPr>
          <w:rFonts w:ascii="宋体" w:hAnsi="宋体" w:eastAsia="宋体"/>
          <w:b/>
        </w:rPr>
      </w:pPr>
      <w:r>
        <w:rPr>
          <w:rFonts w:ascii="宋体" w:hAnsi="宋体" w:eastAsia="宋体"/>
          <w:b/>
        </w:rPr>
      </w:r>
      <w:r/>
    </w:p>
    <w:p>
      <w:pPr>
        <w:pStyle w:val="649"/>
        <w:jc w:val="center"/>
        <w:spacing w:line="360" w:lineRule="auto"/>
        <w:rPr>
          <w:rFonts w:ascii="宋体" w:hAnsi="宋体" w:eastAsia="宋体"/>
          <w:b/>
          <w:sz w:val="32"/>
        </w:rPr>
      </w:pPr>
      <w:r>
        <w:rPr>
          <w:rFonts w:ascii="宋体" w:hAnsi="宋体" w:eastAsia="宋体"/>
          <w:b/>
          <w:sz w:val="32"/>
        </w:rPr>
      </w:r>
      <w:r/>
    </w:p>
    <w:p>
      <w:pPr>
        <w:pStyle w:val="649"/>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9"/>
        <w:jc w:val="center"/>
        <w:spacing w:line="360" w:lineRule="auto"/>
        <w:rPr>
          <w:rFonts w:ascii="宋体" w:hAnsi="宋体" w:eastAsia="宋体"/>
          <w:b/>
          <w:sz w:val="32"/>
        </w:rPr>
      </w:pPr>
      <w:r>
        <w:rPr>
          <w:rFonts w:hint="eastAsia" w:ascii="宋体" w:hAnsi="宋体" w:eastAsia="宋体"/>
          <w:b/>
          <w:sz w:val="32"/>
        </w:rPr>
        <w:t xml:space="preserve">二○二六年十一月</w:t>
      </w:r>
      <w:r>
        <w:rPr>
          <w:rFonts w:ascii="宋体" w:hAnsi="宋体" w:eastAsia="宋体"/>
          <w:b/>
          <w:sz w:val="32"/>
        </w:rPr>
      </w:r>
      <w:r/>
    </w:p>
    <w:p>
      <w:pPr>
        <w:pStyle w:val="649"/>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9"/>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9"/>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9"/>
              <w:jc w:val="left"/>
              <w:tabs>
                <w:tab w:val="left" w:pos="988" w:leader="none"/>
              </w:tabs>
              <w:rPr>
                <w:rFonts w:hint="eastAsia"/>
                <w:sz w:val="24"/>
                <w:szCs w:val="24"/>
              </w:rPr>
            </w:pPr>
            <w:r>
              <w:rPr>
                <w:rFonts w:hint="eastAsia" w:ascii="宋体" w:hAnsi="宋体" w:eastAsia="宋体"/>
                <w:sz w:val="21"/>
                <w:szCs w:val="21"/>
              </w:rPr>
              <w:t xml:space="preserve">采购内容：苏州市公安局监管中心弱电系统维保</w:t>
            </w:r>
            <w:r>
              <w:rPr>
                <w:rFonts w:hint="eastAsia"/>
                <w:sz w:val="24"/>
                <w:szCs w:val="24"/>
              </w:rPr>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9"/>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9"/>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9"/>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w:t>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9"/>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11</w:t>
            </w:r>
            <w:r>
              <w:rPr>
                <w:rFonts w:hint="eastAsia" w:ascii="宋体" w:hAnsi="宋体" w:eastAsia="宋体"/>
                <w:sz w:val="21"/>
                <w:szCs w:val="21"/>
              </w:rPr>
              <w:t xml:space="preserve">月</w:t>
            </w:r>
            <w:r>
              <w:rPr>
                <w:rFonts w:hint="eastAsia" w:ascii="宋体" w:hAnsi="宋体" w:eastAsia="宋体"/>
                <w:sz w:val="21"/>
                <w:szCs w:val="21"/>
              </w:rPr>
              <w:t xml:space="preserve">27</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9"/>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11</w:t>
            </w:r>
            <w:r>
              <w:rPr>
                <w:rFonts w:hint="eastAsia" w:ascii="宋体" w:hAnsi="宋体" w:eastAsia="宋体"/>
                <w:sz w:val="21"/>
                <w:szCs w:val="21"/>
              </w:rPr>
              <w:t xml:space="preserve">月</w:t>
            </w:r>
            <w:r>
              <w:rPr>
                <w:rFonts w:hint="eastAsia" w:ascii="宋体" w:hAnsi="宋体" w:eastAsia="宋体"/>
                <w:sz w:val="21"/>
                <w:szCs w:val="21"/>
              </w:rPr>
              <w:t xml:space="preserve">27</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9"/>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11</w:t>
            </w:r>
            <w:r>
              <w:rPr>
                <w:rFonts w:hint="eastAsia" w:ascii="宋体" w:hAnsi="宋体" w:eastAsia="宋体"/>
                <w:sz w:val="21"/>
                <w:szCs w:val="21"/>
              </w:rPr>
              <w:t xml:space="preserve">月</w:t>
            </w:r>
            <w:r>
              <w:rPr>
                <w:rFonts w:hint="eastAsia" w:ascii="宋体" w:hAnsi="宋体" w:eastAsia="宋体"/>
                <w:sz w:val="21"/>
                <w:szCs w:val="21"/>
              </w:rPr>
              <w:t xml:space="preserve">27</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9"/>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依据《关于进一步规范政府采购活动相关费用管理的通知》（苏财规〔</w:t>
            </w:r>
            <w:r>
              <w:rPr>
                <w:rFonts w:ascii="宋体" w:hAnsi="宋体" w:eastAsia="宋体"/>
                <w:sz w:val="21"/>
                <w:szCs w:val="21"/>
              </w:rPr>
              <w:t xml:space="preserve">2026</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号）相关规定，本项目收取招标代理服务费的要求如下：</w:t>
            </w:r>
            <w:r>
              <w:rPr>
                <w:rFonts w:ascii="宋体" w:hAnsi="宋体" w:eastAsia="宋体"/>
                <w:sz w:val="21"/>
                <w:szCs w:val="21"/>
              </w:rPr>
            </w:r>
            <w:r/>
          </w:p>
          <w:p>
            <w:pPr>
              <w:pStyle w:val="649"/>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支付主体：本项目招标代理服务费由成交供应商支付。</w:t>
            </w:r>
            <w:r>
              <w:rPr>
                <w:rFonts w:ascii="宋体" w:hAnsi="宋体" w:eastAsia="宋体"/>
                <w:sz w:val="21"/>
                <w:szCs w:val="21"/>
              </w:rPr>
            </w:r>
            <w:r/>
          </w:p>
          <w:p>
            <w:pPr>
              <w:pStyle w:val="649"/>
              <w:tabs>
                <w:tab w:val="left" w:pos="360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支付原因：结合本项目实际情况，采购预算中已包含该项代理服务费，供应商报价应当包含代理服务费，但无需单独列明。</w:t>
            </w:r>
            <w:r>
              <w:rPr>
                <w:rFonts w:ascii="宋体" w:hAnsi="宋体" w:eastAsia="宋体"/>
                <w:sz w:val="21"/>
                <w:szCs w:val="21"/>
              </w:rPr>
            </w:r>
            <w:r/>
          </w:p>
          <w:p>
            <w:pPr>
              <w:pStyle w:val="649"/>
              <w:tabs>
                <w:tab w:val="left" w:pos="3600"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收取方式：成交供应商在领取成交通知书前，须向采购代理机构一次性付清招标代理服务费。</w:t>
            </w:r>
            <w:r>
              <w:rPr>
                <w:rFonts w:ascii="宋体" w:hAnsi="宋体" w:eastAsia="宋体"/>
                <w:sz w:val="21"/>
                <w:szCs w:val="21"/>
              </w:rPr>
            </w:r>
            <w:r/>
          </w:p>
          <w:p>
            <w:pPr>
              <w:pStyle w:val="649"/>
              <w:tabs>
                <w:tab w:val="left" w:pos="3600"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收费标准：本项目招标代理服务费参照</w:t>
            </w:r>
            <w:r>
              <w:rPr>
                <w:rFonts w:hint="cs" w:ascii="宋体" w:hAnsi="宋体" w:eastAsia="宋体"/>
                <w:sz w:val="21"/>
                <w:szCs w:val="21"/>
                <w:cs/>
              </w:rPr>
              <w:t xml:space="preserve">“</w:t>
            </w:r>
            <w:r>
              <w:rPr>
                <w:rFonts w:hint="eastAsia" w:ascii="宋体" w:hAnsi="宋体" w:eastAsia="宋体"/>
                <w:sz w:val="21"/>
                <w:szCs w:val="21"/>
              </w:rPr>
              <w:t xml:space="preserve">苏州市级政府采购代理服务收费公告信息变更表第五批（苏财购告【</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26</w:t>
            </w:r>
            <w:r>
              <w:rPr>
                <w:rFonts w:hint="eastAsia" w:ascii="宋体" w:hAnsi="宋体" w:eastAsia="宋体"/>
                <w:sz w:val="21"/>
                <w:szCs w:val="21"/>
              </w:rPr>
              <w:t xml:space="preserve">号）</w:t>
            </w:r>
            <w:r>
              <w:rPr>
                <w:rFonts w:hint="cs" w:ascii="宋体" w:hAnsi="宋体" w:eastAsia="宋体"/>
                <w:sz w:val="21"/>
                <w:szCs w:val="21"/>
                <w:cs/>
              </w:rPr>
              <w:t xml:space="preserve">”</w:t>
            </w:r>
            <w:r>
              <w:rPr>
                <w:rFonts w:ascii="宋体" w:hAnsi="宋体" w:eastAsia="宋体"/>
                <w:sz w:val="21"/>
                <w:szCs w:val="21"/>
              </w:rPr>
              <w:t xml:space="preserve"> </w:t>
            </w:r>
            <w:r>
              <w:rPr>
                <w:rFonts w:hint="eastAsia" w:ascii="宋体" w:hAnsi="宋体" w:eastAsia="宋体"/>
                <w:sz w:val="21"/>
                <w:szCs w:val="21"/>
              </w:rPr>
              <w:t xml:space="preserve">规定的收费标准，以项目预算为基数，采用</w:t>
            </w:r>
            <w:r>
              <w:rPr>
                <w:rFonts w:hint="cs" w:ascii="宋体" w:hAnsi="宋体" w:eastAsia="宋体"/>
                <w:sz w:val="21"/>
                <w:szCs w:val="21"/>
                <w:cs/>
              </w:rPr>
              <w:t xml:space="preserve">“</w:t>
            </w:r>
            <w:r>
              <w:rPr>
                <w:rFonts w:hint="eastAsia" w:ascii="宋体" w:hAnsi="宋体" w:eastAsia="宋体"/>
                <w:sz w:val="21"/>
                <w:szCs w:val="21"/>
              </w:rPr>
              <w:t xml:space="preserve">比例差额定率累进法计算</w:t>
            </w:r>
            <w:r>
              <w:rPr>
                <w:rFonts w:hint="cs" w:ascii="宋体" w:hAnsi="宋体" w:eastAsia="宋体"/>
                <w:sz w:val="21"/>
                <w:szCs w:val="21"/>
                <w:cs/>
              </w:rPr>
              <w:t xml:space="preserve">”</w:t>
            </w:r>
            <w:r>
              <w:rPr>
                <w:rFonts w:hint="eastAsia" w:ascii="宋体" w:hAnsi="宋体" w:eastAsia="宋体"/>
                <w:sz w:val="21"/>
                <w:szCs w:val="21"/>
              </w:rPr>
              <w:t xml:space="preserve">，具体如下：</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万元以下部分，费率为该部分预算金额的</w:t>
            </w:r>
            <w:r>
              <w:rPr>
                <w:rFonts w:ascii="宋体" w:hAnsi="宋体" w:eastAsia="宋体"/>
                <w:sz w:val="21"/>
                <w:szCs w:val="21"/>
              </w:rPr>
              <w:t xml:space="preserve">1.5%</w:t>
            </w:r>
            <w:r>
              <w:rPr>
                <w:rFonts w:hint="eastAsia" w:ascii="宋体" w:hAnsi="宋体" w:eastAsia="宋体"/>
                <w:sz w:val="21"/>
                <w:szCs w:val="21"/>
              </w:rPr>
              <w:t xml:space="preserve">；</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万元（含）－</w:t>
            </w:r>
            <w:r>
              <w:rPr>
                <w:rFonts w:ascii="宋体" w:hAnsi="宋体" w:eastAsia="宋体"/>
                <w:sz w:val="21"/>
                <w:szCs w:val="21"/>
              </w:rPr>
              <w:t xml:space="preserve">500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1.1%</w:t>
            </w:r>
            <w:r>
              <w:rPr>
                <w:rFonts w:hint="eastAsia" w:ascii="宋体" w:hAnsi="宋体" w:eastAsia="宋体"/>
                <w:sz w:val="21"/>
                <w:szCs w:val="21"/>
              </w:rPr>
              <w:t xml:space="preserve">；</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）预算金额</w:t>
            </w:r>
            <w:r>
              <w:rPr>
                <w:rFonts w:ascii="宋体" w:hAnsi="宋体" w:eastAsia="宋体"/>
                <w:sz w:val="21"/>
                <w:szCs w:val="21"/>
              </w:rPr>
              <w:t xml:space="preserve">500</w:t>
            </w:r>
            <w:r>
              <w:rPr>
                <w:rFonts w:hint="eastAsia" w:ascii="宋体" w:hAnsi="宋体" w:eastAsia="宋体"/>
                <w:sz w:val="21"/>
                <w:szCs w:val="21"/>
              </w:rPr>
              <w:t xml:space="preserve">万元（含）－</w:t>
            </w:r>
            <w:r>
              <w:rPr>
                <w:rFonts w:ascii="宋体" w:hAnsi="宋体" w:eastAsia="宋体"/>
                <w:sz w:val="21"/>
                <w:szCs w:val="21"/>
              </w:rPr>
              <w:t xml:space="preserve">1000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0.8%</w:t>
            </w:r>
            <w:r>
              <w:rPr>
                <w:rFonts w:hint="eastAsia" w:ascii="宋体" w:hAnsi="宋体" w:eastAsia="宋体"/>
                <w:sz w:val="21"/>
                <w:szCs w:val="21"/>
              </w:rPr>
              <w:t xml:space="preserve">；</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）预算金额</w:t>
            </w:r>
            <w:r>
              <w:rPr>
                <w:rFonts w:ascii="宋体" w:hAnsi="宋体" w:eastAsia="宋体"/>
                <w:sz w:val="21"/>
                <w:szCs w:val="21"/>
              </w:rPr>
              <w:t xml:space="preserve">1000</w:t>
            </w:r>
            <w:r>
              <w:rPr>
                <w:rFonts w:hint="eastAsia" w:ascii="宋体" w:hAnsi="宋体" w:eastAsia="宋体"/>
                <w:sz w:val="21"/>
                <w:szCs w:val="21"/>
              </w:rPr>
              <w:t xml:space="preserve">万元（含）－</w:t>
            </w:r>
            <w:r>
              <w:rPr>
                <w:rFonts w:ascii="宋体" w:hAnsi="宋体" w:eastAsia="宋体"/>
                <w:sz w:val="21"/>
                <w:szCs w:val="21"/>
              </w:rPr>
              <w:t xml:space="preserve">5000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0</w:t>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r>
            <w:r/>
          </w:p>
          <w:p>
            <w:pPr>
              <w:pStyle w:val="649"/>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）预算金额</w:t>
            </w:r>
            <w:r>
              <w:rPr>
                <w:rFonts w:ascii="宋体" w:hAnsi="宋体" w:eastAsia="宋体"/>
                <w:sz w:val="21"/>
                <w:szCs w:val="21"/>
              </w:rPr>
              <w:t xml:space="preserve">5000</w:t>
            </w:r>
            <w:r>
              <w:rPr>
                <w:rFonts w:hint="eastAsia" w:ascii="宋体" w:hAnsi="宋体" w:eastAsia="宋体"/>
                <w:sz w:val="21"/>
                <w:szCs w:val="21"/>
              </w:rPr>
              <w:t xml:space="preserve">万元（含）以上部分，费率为该部分预算金额的</w:t>
            </w:r>
            <w:r>
              <w:rPr>
                <w:rFonts w:ascii="宋体" w:hAnsi="宋体" w:eastAsia="宋体"/>
                <w:sz w:val="21"/>
                <w:szCs w:val="21"/>
              </w:rPr>
              <w:t xml:space="preserve">0.25%</w:t>
            </w:r>
            <w:r>
              <w:rPr>
                <w:rFonts w:hint="eastAsia" w:ascii="宋体" w:hAnsi="宋体" w:eastAsia="宋体"/>
                <w:sz w:val="21"/>
                <w:szCs w:val="21"/>
              </w:rPr>
              <w:t xml:space="preserve">。</w:t>
            </w:r>
            <w:r>
              <w:rPr>
                <w:rFonts w:ascii="宋体" w:hAnsi="宋体" w:eastAsia="宋体"/>
                <w:sz w:val="21"/>
                <w:szCs w:val="21"/>
              </w:rPr>
            </w:r>
            <w:r/>
          </w:p>
          <w:p>
            <w:pPr>
              <w:pStyle w:val="649"/>
              <w:rPr>
                <w:rFonts w:ascii="宋体" w:hAnsi="宋体" w:eastAsia="宋体"/>
                <w:sz w:val="21"/>
                <w:szCs w:val="21"/>
              </w:rPr>
            </w:pPr>
            <w:r>
              <w:rPr>
                <w:rFonts w:hint="eastAsia" w:ascii="宋体" w:hAnsi="宋体" w:eastAsia="宋体"/>
                <w:sz w:val="21"/>
                <w:szCs w:val="21"/>
              </w:rPr>
              <w:t xml:space="preserve">本项目代理服务费按人民币17168元计收，代理费应包含在投标报价中。</w:t>
            </w:r>
            <w:r>
              <w:rPr>
                <w:rFonts w:ascii="宋体" w:hAnsi="宋体" w:eastAsia="宋体"/>
                <w:sz w:val="21"/>
                <w:szCs w:val="21"/>
              </w:rPr>
            </w:r>
            <w:r/>
          </w:p>
          <w:p>
            <w:pPr>
              <w:pStyle w:val="649"/>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9"/>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9"/>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tc>
      </w:tr>
      <w:tr>
        <w:trPr/>
        <w:tc>
          <w:tcPr>
            <w:tcW w:w="85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9"/>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9"/>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78"/>
        <w:ind w:firstLine="0"/>
        <w:jc w:val="center"/>
        <w:spacing w:line="360" w:lineRule="auto"/>
        <w:rPr>
          <w:rFonts w:ascii="宋体" w:hAnsi="宋体" w:eastAsia="宋体"/>
          <w:sz w:val="44"/>
          <w:szCs w:val="44"/>
        </w:rPr>
      </w:pPr>
      <w:r>
        <w:rPr>
          <w:rFonts w:ascii="宋体" w:hAnsi="宋体" w:eastAsia="宋体"/>
          <w:sz w:val="44"/>
          <w:szCs w:val="44"/>
        </w:rPr>
      </w:r>
      <w:r/>
    </w:p>
    <w:p>
      <w:pPr>
        <w:pStyle w:val="716"/>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716"/>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w:instrText>
      </w:r>
      <w:r>
        <w:instrText xml:space="preserve">33 </w:instrText>
      </w:r>
      <w:r>
        <w:fldChar w:fldCharType="separate"/>
      </w:r>
      <w:r>
        <w:t xml:space="preserve">7</w:t>
      </w:r>
      <w:r>
        <w:fldChar w:fldCharType="end"/>
      </w:r>
      <w:r/>
      <w:r/>
    </w:p>
    <w:p>
      <w:pPr>
        <w:pStyle w:val="716"/>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24</w:t>
      </w:r>
      <w:r>
        <w:fldChar w:fldCharType="end"/>
      </w:r>
      <w:r/>
      <w:r/>
    </w:p>
    <w:p>
      <w:pPr>
        <w:pStyle w:val="716"/>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66</w:t>
      </w:r>
      <w:r>
        <w:fldChar w:fldCharType="end"/>
      </w:r>
      <w:r/>
      <w:r/>
    </w:p>
    <w:p>
      <w:pPr>
        <w:pStyle w:val="716"/>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74</w:t>
      </w:r>
      <w:r>
        <w:fldChar w:fldCharType="end"/>
      </w:r>
      <w:r/>
      <w:r/>
    </w:p>
    <w:p>
      <w:pPr>
        <w:pStyle w:val="678"/>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9"/>
        <w:jc w:val="left"/>
        <w:spacing w:line="360" w:lineRule="auto"/>
        <w:widowControl/>
        <w:rPr>
          <w:rFonts w:ascii="宋体" w:hAnsi="宋体" w:eastAsia="宋体"/>
        </w:rPr>
      </w:pPr>
      <w:r>
        <w:rPr>
          <w:rFonts w:ascii="宋体" w:hAnsi="宋体" w:eastAsia="宋体"/>
        </w:rPr>
        <w:br w:type="page" w:clear="all"/>
      </w:r>
      <w:r/>
    </w:p>
    <w:p>
      <w:pPr>
        <w:pStyle w:val="649"/>
        <w:jc w:val="left"/>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50"/>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9"/>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9"/>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89"/>
      <w:r/>
      <w:bookmarkStart w:id="2" w:name="_Toc35393629"/>
      <w:r/>
      <w:bookmarkStart w:id="3" w:name="_Toc35393798"/>
      <w:r/>
      <w:bookmarkStart w:id="4" w:name="_Toc28359012"/>
      <w:r>
        <w:rPr>
          <w:rFonts w:hint="eastAsia" w:ascii="宋体" w:hAnsi="宋体" w:eastAsia="宋体"/>
          <w:sz w:val="21"/>
          <w:szCs w:val="21"/>
        </w:rPr>
        <w:t xml:space="preserve">项目概况</w:t>
      </w:r>
      <w:r>
        <w:rPr>
          <w:rFonts w:ascii="宋体" w:hAnsi="宋体" w:eastAsia="宋体"/>
          <w:sz w:val="21"/>
          <w:szCs w:val="21"/>
        </w:rPr>
      </w:r>
      <w:r/>
    </w:p>
    <w:p>
      <w:pPr>
        <w:pStyle w:val="649"/>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苏州市公安局监管中心弱电系统维保</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ascii="宋体" w:hAnsi="宋体" w:eastAsia="宋体"/>
          <w:bCs/>
          <w:sz w:val="21"/>
          <w:szCs w:val="21"/>
          <w:u w:val="single"/>
        </w:rPr>
        <w:t xml:space="preserve">2026</w:t>
      </w:r>
      <w:r>
        <w:rPr>
          <w:rFonts w:hint="eastAsia" w:ascii="宋体" w:hAnsi="宋体" w:eastAsia="宋体"/>
          <w:bCs/>
          <w:sz w:val="21"/>
          <w:szCs w:val="21"/>
          <w:u w:val="single"/>
        </w:rPr>
        <w:t xml:space="preserve">年</w:t>
      </w:r>
      <w:r>
        <w:rPr>
          <w:rFonts w:ascii="宋体" w:hAnsi="宋体" w:eastAsia="宋体"/>
          <w:bCs/>
          <w:sz w:val="21"/>
          <w:szCs w:val="21"/>
          <w:u w:val="single"/>
        </w:rPr>
        <w:t xml:space="preserve">11</w:t>
      </w:r>
      <w:r>
        <w:rPr>
          <w:rFonts w:hint="eastAsia" w:ascii="宋体" w:hAnsi="宋体" w:eastAsia="宋体"/>
          <w:bCs/>
          <w:sz w:val="21"/>
          <w:szCs w:val="21"/>
          <w:u w:val="single"/>
        </w:rPr>
        <w:t xml:space="preserve">月</w:t>
      </w:r>
      <w:r>
        <w:rPr>
          <w:rFonts w:ascii="宋体" w:hAnsi="宋体" w:eastAsia="宋体"/>
          <w:bCs/>
          <w:sz w:val="21"/>
          <w:szCs w:val="21"/>
          <w:u w:val="single"/>
        </w:rPr>
        <w:t xml:space="preserve">27</w:t>
      </w:r>
      <w:r>
        <w:rPr>
          <w:rFonts w:hint="eastAsia" w:ascii="宋体" w:hAnsi="宋体" w:eastAsia="宋体"/>
          <w:bCs/>
          <w:sz w:val="21"/>
          <w:szCs w:val="21"/>
          <w:u w:val="single"/>
        </w:rPr>
        <w:t xml:space="preserve">日</w:t>
      </w:r>
      <w:r>
        <w:rPr>
          <w:rFonts w:ascii="宋体" w:hAnsi="宋体" w:eastAsia="宋体"/>
          <w:bCs/>
          <w:sz w:val="21"/>
          <w:szCs w:val="21"/>
          <w:u w:val="single"/>
        </w:rPr>
        <w:t xml:space="preserve">09</w:t>
      </w:r>
      <w:r>
        <w:rPr>
          <w:rFonts w:hint="eastAsia" w:ascii="宋体" w:hAnsi="宋体" w:eastAsia="宋体"/>
          <w:bCs/>
          <w:sz w:val="21"/>
          <w:szCs w:val="21"/>
          <w:u w:val="single"/>
        </w:rPr>
        <w:t xml:space="preserve">点</w:t>
      </w:r>
      <w:r>
        <w:rPr>
          <w:rFonts w:ascii="宋体" w:hAnsi="宋体" w:eastAsia="宋体"/>
          <w:bCs/>
          <w:sz w:val="21"/>
          <w:szCs w:val="21"/>
          <w:u w:val="single"/>
        </w:rPr>
        <w:t xml:space="preserve">30</w:t>
      </w:r>
      <w:r>
        <w:rPr>
          <w:rFonts w:hint="eastAsia" w:ascii="宋体" w:hAnsi="宋体" w:eastAsia="宋体"/>
          <w:bCs/>
          <w:sz w:val="21"/>
          <w:szCs w:val="21"/>
          <w:u w:val="single"/>
        </w:rPr>
        <w:t xml:space="preserve">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JSZC-320500-SZHX-C2026-0039</w:t>
      </w:r>
      <w:r>
        <w:rPr>
          <w:rFonts w:ascii="宋体" w:hAnsi="宋体" w:eastAsia="宋体"/>
          <w:sz w:val="21"/>
          <w:szCs w:val="21"/>
        </w:rPr>
      </w:r>
      <w:r/>
    </w:p>
    <w:p>
      <w:pPr>
        <w:pStyle w:val="649"/>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2.项目名称：苏州市公安局监管中心弱电系统维保</w:t>
      </w:r>
      <w:r>
        <w:rPr>
          <w:rFonts w:ascii="宋体" w:hAnsi="宋体" w:eastAsia="宋体"/>
          <w:sz w:val="21"/>
          <w:szCs w:val="21"/>
          <w:u w:val="single"/>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bookmarkStart w:id="5" w:name="_Toc35393799"/>
      <w:r/>
      <w:bookmarkStart w:id="6" w:name="_Toc28359013"/>
      <w:r/>
      <w:bookmarkStart w:id="7" w:name="_Toc28359090"/>
      <w:r/>
      <w:bookmarkStart w:id="8" w:name="_Toc35393630"/>
      <w:r>
        <w:rPr>
          <w:rFonts w:hint="eastAsia" w:ascii="宋体" w:hAnsi="宋体" w:eastAsia="宋体"/>
          <w:sz w:val="21"/>
          <w:szCs w:val="21"/>
        </w:rPr>
        <w:t xml:space="preserve">人民币壹佰壹拾玖万柒仟壹佰贰拾贰元壹角壹分（￥：</w:t>
      </w:r>
      <w:r>
        <w:rPr>
          <w:rFonts w:ascii="宋体" w:hAnsi="宋体" w:eastAsia="宋体"/>
          <w:sz w:val="21"/>
          <w:szCs w:val="21"/>
        </w:rPr>
        <w:t xml:space="preserve">1197122</w:t>
      </w:r>
      <w:r>
        <w:rPr>
          <w:rFonts w:hint="eastAsia" w:ascii="宋体" w:hAnsi="宋体" w:eastAsia="宋体"/>
          <w:sz w:val="21"/>
          <w:szCs w:val="21"/>
        </w:rPr>
        <w:t xml:space="preserve">.</w:t>
      </w:r>
      <w:r>
        <w:rPr>
          <w:rFonts w:ascii="宋体" w:hAnsi="宋体" w:eastAsia="宋体"/>
          <w:sz w:val="21"/>
          <w:szCs w:val="21"/>
        </w:rPr>
        <w:t xml:space="preserve">11</w:t>
      </w:r>
      <w:r>
        <w:rPr>
          <w:rFonts w:hint="eastAsia" w:ascii="宋体" w:hAnsi="宋体" w:eastAsia="宋体"/>
          <w:sz w:val="21"/>
          <w:szCs w:val="21"/>
        </w:rPr>
        <w:t xml:space="preserve">）</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5.最高限价：人民币壹佰壹拾玖万柒仟壹佰贰拾贰元壹角壹分（￥：</w:t>
      </w:r>
      <w:r>
        <w:rPr>
          <w:rFonts w:ascii="宋体" w:hAnsi="宋体" w:eastAsia="宋体"/>
          <w:sz w:val="21"/>
          <w:szCs w:val="21"/>
        </w:rPr>
        <w:t xml:space="preserve">1197122</w:t>
      </w:r>
      <w:r>
        <w:rPr>
          <w:rFonts w:hint="eastAsia" w:ascii="宋体" w:hAnsi="宋体" w:eastAsia="宋体"/>
          <w:sz w:val="21"/>
          <w:szCs w:val="21"/>
        </w:rPr>
        <w:t xml:space="preserve">.</w:t>
      </w:r>
      <w:r>
        <w:rPr>
          <w:rFonts w:ascii="宋体" w:hAnsi="宋体" w:eastAsia="宋体"/>
          <w:sz w:val="21"/>
          <w:szCs w:val="21"/>
        </w:rPr>
        <w:t xml:space="preserve">11</w:t>
      </w:r>
      <w:r>
        <w:rPr>
          <w:rFonts w:hint="eastAsia" w:ascii="宋体" w:hAnsi="宋体" w:eastAsia="宋体"/>
          <w:sz w:val="21"/>
          <w:szCs w:val="21"/>
        </w:rPr>
        <w:t xml:space="preserve">）</w:t>
      </w:r>
      <w:r>
        <w:rPr>
          <w:rFonts w:ascii="宋体" w:hAnsi="宋体" w:eastAsia="宋体"/>
          <w:sz w:val="21"/>
          <w:szCs w:val="21"/>
        </w:rPr>
      </w:r>
      <w:r/>
    </w:p>
    <w:p>
      <w:pPr>
        <w:pStyle w:val="649"/>
        <w:ind w:firstLine="424"/>
        <w:spacing w:line="360" w:lineRule="auto"/>
        <w:rPr>
          <w:rFonts w:ascii="宋体" w:hAnsi="宋体" w:eastAsia="宋体"/>
          <w:sz w:val="21"/>
          <w:szCs w:val="21"/>
        </w:rPr>
      </w:pPr>
      <w:r>
        <w:rPr>
          <w:rFonts w:hint="eastAsia" w:ascii="宋体" w:hAnsi="宋体" w:eastAsia="宋体"/>
          <w:sz w:val="21"/>
          <w:szCs w:val="21"/>
        </w:rPr>
        <w:t xml:space="preserve">6.采购需求：详见采购文件第三章。</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对监管场所弱电设备做好维保服务，确保设备、系统的良好运行。日常要对设备进行定期的预防性维护，做好系统运行的维护工作，及时发现设备存在的潜在隐患并及时处理；当设备发生故障时，维护单位能够及时响应，确保系统设备设施的良好运行。</w:t>
      </w:r>
      <w:r>
        <w:rPr>
          <w:rFonts w:ascii="宋体" w:hAnsi="宋体" w:eastAsia="宋体"/>
          <w:sz w:val="21"/>
          <w:szCs w:val="21"/>
        </w:rPr>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ascii="宋体" w:hAnsi="宋体" w:eastAsia="宋体"/>
          <w:sz w:val="21"/>
          <w:szCs w:val="21"/>
        </w:rPr>
        <w:t xml:space="preserve">1</w:t>
      </w:r>
      <w:r>
        <w:rPr>
          <w:rFonts w:hint="eastAsia" w:ascii="宋体" w:hAnsi="宋体" w:eastAsia="宋体"/>
          <w:sz w:val="21"/>
          <w:szCs w:val="21"/>
        </w:rPr>
        <w:t xml:space="preserve">年，具体起止以采购方通知为准。</w:t>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9"/>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w:t>
      </w:r>
      <w:r>
        <w:rPr>
          <w:rFonts w:hint="eastAsia" w:ascii="宋体" w:hAnsi="宋体" w:eastAsia="宋体"/>
          <w:sz w:val="21"/>
          <w:szCs w:val="21"/>
        </w:rPr>
        <w:t xml:space="preserve">足的资格要求：本项目专门面向中小企业采购，所属行业为软件和信息技术服务业，供应商必须提供《中小企业声明函》或《残疾人福利性单位声明函》或由省级以上监狱管理局、戒毒管理局（含新疆生产建设兵团）出具的属于监狱企业的证明文件。</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9"/>
        <w:spacing w:line="360" w:lineRule="auto"/>
        <w:rPr>
          <w:rFonts w:ascii="宋体" w:hAnsi="宋体" w:eastAsia="宋体" w:cs="宋体"/>
          <w:b/>
          <w:bCs/>
          <w:sz w:val="21"/>
          <w:szCs w:val="21"/>
        </w:rPr>
      </w:pPr>
      <w:r/>
      <w:bookmarkEnd w:id="9"/>
      <w:r/>
      <w:bookmarkEnd w:id="10"/>
      <w:r/>
      <w:bookmarkStart w:id="11" w:name="_Toc28359001"/>
      <w:r/>
      <w:bookmarkStart w:id="12" w:name="_Toc35393789"/>
      <w:r/>
      <w:bookmarkStart w:id="13" w:name="_Toc28359015"/>
      <w:r/>
      <w:bookmarkStart w:id="14" w:name="_Toc35393801"/>
      <w:r/>
      <w:bookmarkStart w:id="15" w:name="_Toc28359092"/>
      <w:r/>
      <w:bookmarkStart w:id="16" w:name="_Toc35393632"/>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78"/>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w:t>
      </w:r>
      <w:r>
        <w:rPr>
          <w:rFonts w:hint="eastAsia" w:ascii="宋体" w:hAnsi="宋体" w:eastAsia="宋体" w:cs="宋体"/>
          <w:b/>
          <w:bCs/>
          <w:sz w:val="21"/>
          <w:szCs w:val="21"/>
        </w:rPr>
        <w:t xml:space="preserve">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78"/>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78"/>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78"/>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w:t>
      </w:r>
      <w:r/>
    </w:p>
    <w:p>
      <w:pPr>
        <w:pStyle w:val="678"/>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78"/>
        <w:spacing w:line="360" w:lineRule="auto"/>
        <w:rPr>
          <w:rFonts w:ascii="宋体" w:hAnsi="宋体" w:eastAsia="宋体" w:cs="宋体"/>
          <w:bCs/>
          <w:sz w:val="21"/>
          <w:szCs w:val="21"/>
        </w:rPr>
      </w:pPr>
      <w:r/>
      <w:bookmarkStart w:id="17" w:name="_Toc28359093"/>
      <w:r/>
      <w:bookmarkStart w:id="18" w:name="_Toc35393633"/>
      <w:r/>
      <w:bookmarkStart w:id="19" w:name="_Toc28359016"/>
      <w:r/>
      <w:bookmarkStart w:id="20" w:name="_Toc35393802"/>
      <w:r>
        <w:rPr>
          <w:rFonts w:hint="eastAsia" w:ascii="宋体" w:hAnsi="宋体" w:eastAsia="宋体" w:cs="宋体"/>
          <w:bCs/>
          <w:sz w:val="21"/>
          <w:szCs w:val="21"/>
        </w:rPr>
        <w:t xml:space="preserve">1、递交响应文件截止时间：</w:t>
      </w:r>
      <w:r>
        <w:rPr>
          <w:rFonts w:ascii="宋体" w:hAnsi="宋体" w:eastAsia="宋体" w:cs="宋体"/>
          <w:bCs/>
          <w:sz w:val="21"/>
          <w:szCs w:val="21"/>
          <w:u w:val="single"/>
        </w:rPr>
        <w:t xml:space="preserve">2026</w:t>
      </w:r>
      <w:r>
        <w:rPr>
          <w:rFonts w:hint="eastAsia" w:ascii="宋体" w:hAnsi="宋体" w:eastAsia="宋体" w:cs="宋体"/>
          <w:bCs/>
          <w:sz w:val="21"/>
          <w:szCs w:val="21"/>
          <w:u w:val="single"/>
        </w:rPr>
        <w:t xml:space="preserve">年</w:t>
      </w:r>
      <w:r>
        <w:rPr>
          <w:rFonts w:ascii="宋体" w:hAnsi="宋体" w:eastAsia="宋体" w:cs="宋体"/>
          <w:bCs/>
          <w:sz w:val="21"/>
          <w:szCs w:val="21"/>
          <w:u w:val="single"/>
        </w:rPr>
        <w:t xml:space="preserve">11</w:t>
      </w:r>
      <w:r>
        <w:rPr>
          <w:rFonts w:hint="eastAsia" w:ascii="宋体" w:hAnsi="宋体" w:eastAsia="宋体" w:cs="宋体"/>
          <w:bCs/>
          <w:sz w:val="21"/>
          <w:szCs w:val="21"/>
          <w:u w:val="single"/>
        </w:rPr>
        <w:t xml:space="preserve">月</w:t>
      </w:r>
      <w:r>
        <w:rPr>
          <w:rFonts w:ascii="宋体" w:hAnsi="宋体" w:eastAsia="宋体" w:cs="宋体"/>
          <w:bCs/>
          <w:sz w:val="21"/>
          <w:szCs w:val="21"/>
          <w:u w:val="single"/>
        </w:rPr>
        <w:t xml:space="preserve">27</w:t>
      </w:r>
      <w:r>
        <w:rPr>
          <w:rFonts w:hint="eastAsia" w:ascii="宋体" w:hAnsi="宋体" w:eastAsia="宋体" w:cs="宋体"/>
          <w:bCs/>
          <w:sz w:val="21"/>
          <w:szCs w:val="21"/>
          <w:u w:val="single"/>
        </w:rPr>
        <w:t xml:space="preserve">日</w:t>
      </w:r>
      <w:r>
        <w:rPr>
          <w:rFonts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w:t>
      </w:r>
      <w:r>
        <w:rPr>
          <w:rFonts w:ascii="宋体" w:hAnsi="宋体" w:eastAsia="宋体" w:cs="宋体"/>
          <w:bCs/>
          <w:sz w:val="21"/>
          <w:szCs w:val="21"/>
          <w:u w:val="single"/>
        </w:rPr>
        <w:t xml:space="preserve">30</w:t>
      </w:r>
      <w:r>
        <w:rPr>
          <w:rFonts w:hint="eastAsia" w:ascii="宋体" w:hAnsi="宋体" w:eastAsia="宋体" w:cs="宋体"/>
          <w:bCs/>
          <w:sz w:val="21"/>
          <w:szCs w:val="21"/>
          <w:u w:val="single"/>
        </w:rPr>
        <w:t xml:space="preserve">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78"/>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78"/>
        <w:spacing w:line="360" w:lineRule="auto"/>
        <w:rPr>
          <w:rFonts w:ascii="宋体" w:hAnsi="宋体" w:eastAsia="宋体" w:cs="宋体"/>
          <w:bCs/>
          <w:sz w:val="21"/>
          <w:szCs w:val="21"/>
        </w:rPr>
      </w:pPr>
      <w:r/>
      <w:bookmarkStart w:id="21" w:name="_Toc35393634"/>
      <w:r/>
      <w:bookmarkStart w:id="22" w:name="_Toc28359017"/>
      <w:r/>
      <w:bookmarkStart w:id="23" w:name="_Toc28359094"/>
      <w:r/>
      <w:bookmarkStart w:id="24" w:name="_Toc35393803"/>
      <w:r>
        <w:rPr>
          <w:rFonts w:hint="eastAsia" w:ascii="宋体" w:hAnsi="宋体" w:eastAsia="宋体" w:cs="宋体"/>
          <w:bCs/>
          <w:sz w:val="21"/>
          <w:szCs w:val="21"/>
        </w:rPr>
        <w:t xml:space="preserve">1、时间：</w:t>
      </w:r>
      <w:r>
        <w:rPr>
          <w:rFonts w:ascii="宋体" w:hAnsi="宋体" w:eastAsia="宋体" w:cs="宋体"/>
          <w:bCs/>
          <w:sz w:val="21"/>
          <w:szCs w:val="21"/>
          <w:u w:val="single"/>
        </w:rPr>
        <w:t xml:space="preserve">2026</w:t>
      </w:r>
      <w:r>
        <w:rPr>
          <w:rFonts w:hint="eastAsia" w:ascii="宋体" w:hAnsi="宋体" w:eastAsia="宋体" w:cs="宋体"/>
          <w:bCs/>
          <w:sz w:val="21"/>
          <w:szCs w:val="21"/>
          <w:u w:val="single"/>
        </w:rPr>
        <w:t xml:space="preserve">年</w:t>
      </w:r>
      <w:r>
        <w:rPr>
          <w:rFonts w:ascii="宋体" w:hAnsi="宋体" w:eastAsia="宋体" w:cs="宋体"/>
          <w:bCs/>
          <w:sz w:val="21"/>
          <w:szCs w:val="21"/>
          <w:u w:val="single"/>
        </w:rPr>
        <w:t xml:space="preserve">11</w:t>
      </w:r>
      <w:r>
        <w:rPr>
          <w:rFonts w:hint="eastAsia" w:ascii="宋体" w:hAnsi="宋体" w:eastAsia="宋体" w:cs="宋体"/>
          <w:bCs/>
          <w:sz w:val="21"/>
          <w:szCs w:val="21"/>
          <w:u w:val="single"/>
        </w:rPr>
        <w:t xml:space="preserve">月</w:t>
      </w:r>
      <w:r>
        <w:rPr>
          <w:rFonts w:ascii="宋体" w:hAnsi="宋体" w:eastAsia="宋体" w:cs="宋体"/>
          <w:bCs/>
          <w:sz w:val="21"/>
          <w:szCs w:val="21"/>
          <w:u w:val="single"/>
        </w:rPr>
        <w:t xml:space="preserve">27</w:t>
      </w:r>
      <w:r>
        <w:rPr>
          <w:rFonts w:hint="eastAsia" w:ascii="宋体" w:hAnsi="宋体" w:eastAsia="宋体" w:cs="宋体"/>
          <w:bCs/>
          <w:sz w:val="21"/>
          <w:szCs w:val="21"/>
          <w:u w:val="single"/>
        </w:rPr>
        <w:t xml:space="preserve">日</w:t>
      </w:r>
      <w:r>
        <w:rPr>
          <w:rFonts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w:t>
      </w:r>
      <w:r>
        <w:rPr>
          <w:rFonts w:ascii="宋体" w:hAnsi="宋体" w:eastAsia="宋体" w:cs="宋体"/>
          <w:bCs/>
          <w:sz w:val="21"/>
          <w:szCs w:val="21"/>
          <w:u w:val="single"/>
        </w:rPr>
        <w:t xml:space="preserve">30</w:t>
      </w:r>
      <w:r>
        <w:rPr>
          <w:rFonts w:hint="eastAsia" w:ascii="宋体" w:hAnsi="宋体" w:eastAsia="宋体" w:cs="宋体"/>
          <w:bCs/>
          <w:sz w:val="21"/>
          <w:szCs w:val="21"/>
          <w:u w:val="single"/>
        </w:rPr>
        <w:t xml:space="preserve">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78"/>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w:t>
      </w:r>
      <w:r>
        <w:rPr>
          <w:rFonts w:hint="eastAsia" w:ascii="宋体" w:hAnsi="宋体" w:eastAsia="宋体" w:cs="宋体"/>
          <w:bCs/>
          <w:sz w:val="21"/>
          <w:szCs w:val="21"/>
        </w:rPr>
        <w:t xml:space="preserve">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7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9"/>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9"/>
        <w:spacing w:line="360" w:lineRule="auto"/>
        <w:rPr>
          <w:rFonts w:ascii="宋体" w:hAnsi="宋体" w:eastAsia="宋体" w:cs="宋体"/>
          <w:b/>
          <w:sz w:val="21"/>
          <w:szCs w:val="21"/>
        </w:rPr>
      </w:pPr>
      <w:r/>
      <w:bookmarkStart w:id="25" w:name="_Toc35393804"/>
      <w:r/>
      <w:bookmarkStart w:id="26" w:name="_Toc35393635"/>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9"/>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1.本项目获取采购文件截止日期之后仍</w:t>
      </w:r>
      <w:r>
        <w:rPr>
          <w:rFonts w:hint="eastAsia" w:ascii="宋体" w:hAnsi="宋体" w:eastAsia="宋体" w:cs="宋体"/>
          <w:sz w:val="21"/>
          <w:szCs w:val="21"/>
        </w:rPr>
        <w:t xml:space="preserve">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9"/>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9"/>
        <w:ind w:firstLine="420"/>
        <w:jc w:val="left"/>
        <w:spacing w:line="360" w:lineRule="auto"/>
        <w:widowControl/>
        <w:rPr>
          <w:rFonts w:ascii="宋体" w:hAnsi="宋体" w:eastAsia="宋体" w:cs="宋体"/>
          <w:sz w:val="21"/>
          <w:szCs w:val="21"/>
        </w:rPr>
      </w:pPr>
      <w:r/>
      <w:bookmarkStart w:id="31" w:name="_Toc35393786"/>
      <w:r/>
      <w:bookmarkStart w:id="32" w:name="_Toc28358998"/>
      <w:r/>
      <w:bookmarkStart w:id="33" w:name="_Toc28359075"/>
      <w:r/>
      <w:bookmarkStart w:id="34" w:name="_Toc35393617"/>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称：苏州市公安局</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苏州市相城区人民路</w:t>
      </w:r>
      <w:r>
        <w:rPr>
          <w:rFonts w:ascii="宋体" w:hAnsi="宋体" w:eastAsia="宋体"/>
          <w:sz w:val="21"/>
          <w:szCs w:val="21"/>
        </w:rPr>
        <w:t xml:space="preserve">3998</w:t>
      </w:r>
      <w:r>
        <w:rPr>
          <w:rFonts w:hint="eastAsia" w:ascii="宋体" w:hAnsi="宋体" w:eastAsia="宋体"/>
          <w:sz w:val="21"/>
          <w:szCs w:val="21"/>
        </w:rPr>
        <w:t xml:space="preserve">号</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吴杰</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00"/>
      <w:r/>
      <w:bookmarkStart w:id="37" w:name="_Toc28359077"/>
      <w:r/>
      <w:bookmarkStart w:id="38" w:name="_Toc35393788"/>
      <w:r>
        <w:rPr>
          <w:rFonts w:ascii="宋体" w:hAnsi="宋体" w:eastAsia="宋体"/>
          <w:sz w:val="21"/>
          <w:szCs w:val="21"/>
        </w:rPr>
        <w:t xml:space="preserve">0512-65111701</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9"/>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9"/>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张尧、赵雷、于民峰、黄建伟</w:t>
      </w:r>
      <w:r>
        <w:rPr>
          <w:rFonts w:ascii="宋体" w:hAnsi="宋体" w:eastAsia="宋体"/>
          <w:sz w:val="21"/>
          <w:szCs w:val="21"/>
          <w:u w:val="single"/>
        </w:rPr>
      </w:r>
      <w:r/>
    </w:p>
    <w:p>
      <w:pPr>
        <w:pStyle w:val="649"/>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50"/>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78"/>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78"/>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78"/>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u w:val="single"/>
        </w:rPr>
        <w:t xml:space="preserve">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9"/>
        <w:ind w:firstLine="480"/>
        <w:spacing w:line="360" w:lineRule="auto"/>
        <w:rPr>
          <w:rFonts w:ascii="宋体" w:hAnsi="宋体" w:eastAsia="宋体"/>
          <w:sz w:val="24"/>
          <w:szCs w:val="24"/>
        </w:rPr>
      </w:pPr>
      <w:r>
        <w:rPr>
          <w:rFonts w:ascii="宋体" w:hAnsi="宋体" w:eastAsia="宋体"/>
          <w:sz w:val="24"/>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9"/>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9"/>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78"/>
        <w:ind w:firstLine="0"/>
        <w:spacing w:line="360" w:lineRule="auto"/>
        <w:rPr>
          <w:rFonts w:ascii="宋体" w:hAnsi="宋体" w:eastAsia="宋体"/>
          <w:szCs w:val="24"/>
        </w:rPr>
      </w:pPr>
      <w:r>
        <w:rPr>
          <w:rFonts w:ascii="宋体" w:hAnsi="宋体" w:eastAsia="宋体"/>
          <w:szCs w:val="24"/>
        </w:rPr>
      </w:r>
      <w:r/>
    </w:p>
    <w:p>
      <w:pPr>
        <w:pStyle w:val="678"/>
        <w:ind w:firstLine="0"/>
        <w:spacing w:line="360" w:lineRule="auto"/>
        <w:rPr>
          <w:rFonts w:ascii="宋体" w:hAnsi="宋体" w:eastAsia="宋体"/>
          <w:szCs w:val="24"/>
        </w:rPr>
      </w:pPr>
      <w:r>
        <w:rPr>
          <w:rFonts w:ascii="宋体" w:hAnsi="宋体" w:eastAsia="宋体"/>
          <w:szCs w:val="24"/>
        </w:rPr>
      </w:r>
      <w:r/>
    </w:p>
    <w:p>
      <w:pPr>
        <w:pStyle w:val="678"/>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70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70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940"/>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磋商文件中确定的工作以内及以外的全部服务内容及服务要求，以及相关维护、人工、培训、保险、利润、税金、交通、食宿、加班、服务所需设备及材料（除采购方配备的外）、管理、代理服务费等完成本合同工作所发生的全部费用和政策性文件规定及合同包含的所有风险、责任等各项应有费用。</w:t>
      </w:r>
      <w:r>
        <w:rPr>
          <w:rFonts w:hAnsi="宋体" w:eastAsia="宋体"/>
          <w:sz w:val="24"/>
          <w:szCs w:val="24"/>
        </w:rPr>
      </w:r>
      <w:r/>
    </w:p>
    <w:p>
      <w:pPr>
        <w:pStyle w:val="940"/>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940"/>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40"/>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w:t>
      </w:r>
      <w:r>
        <w:rPr>
          <w:rFonts w:hint="eastAsia" w:hAnsi="宋体" w:eastAsia="宋体"/>
          <w:sz w:val="24"/>
          <w:szCs w:val="24"/>
        </w:rPr>
        <w:t xml:space="preserve">费标准。</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940"/>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940"/>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940"/>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940"/>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940"/>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940"/>
        <w:ind w:firstLine="480"/>
        <w:spacing w:line="276" w:lineRule="auto"/>
        <w:rPr>
          <w:rFonts w:hAnsi="宋体" w:eastAsia="宋体"/>
          <w:sz w:val="24"/>
          <w:szCs w:val="24"/>
        </w:rPr>
      </w:pPr>
      <w:r>
        <w:rPr>
          <w:rFonts w:hAnsi="宋体" w:eastAsia="宋体"/>
          <w:sz w:val="24"/>
          <w:szCs w:val="24"/>
        </w:rPr>
      </w:r>
      <w:r/>
    </w:p>
    <w:p>
      <w:pPr>
        <w:pStyle w:val="940"/>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40"/>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78"/>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702"/>
        <w:jc w:val="center"/>
        <w:spacing w:line="360" w:lineRule="auto"/>
        <w:rPr>
          <w:rFonts w:hAnsi="宋体" w:eastAsia="宋体"/>
          <w:b/>
          <w:sz w:val="24"/>
          <w:szCs w:val="24"/>
        </w:rPr>
      </w:pPr>
      <w:r>
        <w:rPr>
          <w:rFonts w:hAnsi="宋体" w:eastAsia="宋体"/>
          <w:b/>
          <w:sz w:val="24"/>
          <w:szCs w:val="24"/>
        </w:rPr>
      </w:r>
      <w:r/>
    </w:p>
    <w:p>
      <w:pPr>
        <w:pStyle w:val="649"/>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sz w:val="24"/>
          <w:szCs w:val="24"/>
        </w:rPr>
        <w:t xml:space="preserve">全称（加盖公章）：</w:t>
      </w:r>
      <w:r>
        <w:rPr>
          <w:rFonts w:ascii="宋体" w:hAnsi="宋体" w:eastAsia="宋体"/>
          <w:sz w:val="24"/>
          <w:szCs w:val="24"/>
        </w:rPr>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32"/>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9"/>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9"/>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9"/>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9"/>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9"/>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9"/>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9"/>
        <w:jc w:val="center"/>
        <w:spacing w:line="360" w:lineRule="auto"/>
        <w:rPr>
          <w:rFonts w:ascii="宋体" w:hAnsi="宋体" w:eastAsia="宋体"/>
          <w:b/>
          <w:sz w:val="24"/>
          <w:szCs w:val="24"/>
        </w:rPr>
      </w:pPr>
      <w:r>
        <w:rPr>
          <w:rFonts w:ascii="宋体" w:hAnsi="宋体" w:eastAsia="宋体"/>
          <w:b/>
          <w:sz w:val="24"/>
          <w:szCs w:val="24"/>
        </w:rPr>
      </w:r>
      <w:r/>
    </w:p>
    <w:p>
      <w:pPr>
        <w:pStyle w:val="649"/>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9"/>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9"/>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9"/>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90"/>
        <w:rPr>
          <w:rFonts w:hint="eastAsia"/>
        </w:rPr>
      </w:pPr>
      <w:r>
        <w:rPr>
          <w:rFonts w:hint="eastAsia"/>
        </w:rPr>
      </w:r>
      <w:r/>
    </w:p>
    <w:p>
      <w:pPr>
        <w:pStyle w:val="678"/>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875"/>
        <w:ind w:firstLine="0"/>
        <w:jc w:val="center"/>
        <w:rPr>
          <w:b/>
          <w:lang w:val="zh-CN"/>
        </w:rPr>
      </w:pPr>
      <w:r>
        <w:rPr>
          <w:rFonts w:hint="eastAsia"/>
          <w:b/>
        </w:rPr>
        <w:t xml:space="preserve">磋商报价分析表</w:t>
      </w:r>
      <w:r>
        <w:rPr>
          <w:b/>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序号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w:t>
            </w:r>
            <w:r>
              <w:rPr>
                <w:rFonts w:hint="eastAsia" w:ascii="宋体" w:hAnsi="宋体" w:eastAsia="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单价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9"/>
              <w:jc w:val="center"/>
              <w:spacing w:line="400" w:lineRule="exact"/>
              <w:rPr>
                <w:rFonts w:hint="eastAsia" w:ascii="宋体" w:hAnsi="宋体" w:eastAsia="宋体"/>
                <w:sz w:val="21"/>
                <w:szCs w:val="21"/>
              </w:rPr>
            </w:pPr>
            <w:r>
              <w:rPr>
                <w:rFonts w:hint="eastAsia" w:ascii="宋体" w:hAnsi="宋体" w:eastAsia="宋体"/>
                <w:sz w:val="21"/>
                <w:szCs w:val="21"/>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9"/>
              <w:spacing w:line="400" w:lineRule="exact"/>
              <w:rPr>
                <w:rFonts w:hint="eastAsia" w:ascii="宋体" w:hAnsi="宋体" w:eastAsia="宋体"/>
                <w:sz w:val="21"/>
                <w:szCs w:val="21"/>
              </w:rPr>
            </w:pPr>
            <w:r>
              <w:rPr>
                <w:rFonts w:hint="eastAsia" w:ascii="宋体" w:hAnsi="宋体" w:eastAsia="宋体"/>
                <w:sz w:val="21"/>
                <w:szCs w:val="21"/>
              </w:rPr>
              <w:t xml:space="preserve">人民币（小写） </w:t>
            </w:r>
            <w:r>
              <w:rPr>
                <w:rFonts w:ascii="宋体" w:hAnsi="宋体" w:eastAsia="宋体"/>
                <w:sz w:val="21"/>
                <w:szCs w:val="21"/>
              </w:rPr>
              <w:t xml:space="preserve">      </w:t>
            </w:r>
            <w:r>
              <w:rPr>
                <w:rFonts w:hint="eastAsia" w:ascii="宋体" w:hAnsi="宋体" w:eastAsia="宋体"/>
                <w:sz w:val="21"/>
                <w:szCs w:val="21"/>
              </w:rPr>
              <w:t xml:space="preserve">元</w:t>
            </w:r>
            <w:r/>
          </w:p>
        </w:tc>
      </w:tr>
    </w:tbl>
    <w:p>
      <w:pPr>
        <w:pStyle w:val="887"/>
        <w:rPr>
          <w:rFonts w:ascii="宋体" w:hAnsi="宋体"/>
        </w:rPr>
      </w:pPr>
      <w:r>
        <w:rPr>
          <w:rFonts w:ascii="宋体" w:hAnsi="宋体"/>
        </w:rPr>
      </w:r>
      <w:r/>
    </w:p>
    <w:p>
      <w:pPr>
        <w:pStyle w:val="887"/>
        <w:rPr>
          <w:rFonts w:ascii="宋体" w:hAnsi="宋体"/>
        </w:rPr>
      </w:pPr>
      <w:r>
        <w:rPr>
          <w:rFonts w:hint="eastAsia" w:ascii="宋体" w:hAnsi="宋体"/>
        </w:rPr>
        <w:t xml:space="preserve">注：磋商报价分析表包含响应单位各项成本核算和投入的成本明细，合计金额应与开标一览表金额一致；否则，以开标一览表为准。</w:t>
      </w:r>
      <w:r>
        <w:rPr>
          <w:rFonts w:ascii="宋体" w:hAnsi="宋体"/>
        </w:rPr>
      </w:r>
      <w:r/>
    </w:p>
    <w:p>
      <w:pPr>
        <w:pStyle w:val="887"/>
        <w:rPr>
          <w:rFonts w:ascii="宋体" w:hAnsi="宋体"/>
        </w:rPr>
      </w:pPr>
      <w:r>
        <w:rPr>
          <w:rFonts w:ascii="宋体" w:hAnsi="宋体"/>
        </w:rPr>
      </w:r>
      <w:r/>
    </w:p>
    <w:p>
      <w:pPr>
        <w:pStyle w:val="940"/>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40"/>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43"/>
        <w:ind w:left="0" w:firstLine="482"/>
        <w:spacing w:line="240" w:lineRule="auto"/>
        <w:rPr>
          <w:rFonts w:ascii="宋体" w:hAnsi="宋体" w:eastAsia="宋体" w:cs="宋体"/>
          <w:b/>
          <w:bCs/>
        </w:rPr>
      </w:pPr>
      <w:r>
        <w:rPr>
          <w:rFonts w:ascii="宋体" w:hAnsi="宋体" w:eastAsia="宋体" w:cs="宋体"/>
          <w:b/>
          <w:bCs/>
        </w:rPr>
      </w:r>
      <w:r/>
    </w:p>
    <w:p>
      <w:pPr>
        <w:pStyle w:val="649"/>
        <w:spacing w:line="360" w:lineRule="auto"/>
        <w:rPr>
          <w:rFonts w:ascii="宋体" w:hAnsi="宋体" w:eastAsia="宋体"/>
          <w:sz w:val="24"/>
          <w:szCs w:val="24"/>
        </w:rPr>
      </w:pPr>
      <w:r>
        <w:rPr>
          <w:rFonts w:ascii="宋体" w:hAnsi="宋体" w:eastAsia="宋体"/>
          <w:sz w:val="24"/>
          <w:szCs w:val="24"/>
        </w:rPr>
      </w:r>
      <w:r/>
    </w:p>
    <w:p>
      <w:pPr>
        <w:pStyle w:val="678"/>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78"/>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9"/>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r>
    </w:tbl>
    <w:p>
      <w:pPr>
        <w:pStyle w:val="649"/>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w:t>
      </w:r>
      <w:r>
        <w:rPr>
          <w:rFonts w:hint="eastAsia" w:ascii="宋体" w:hAnsi="宋体" w:eastAsia="宋体"/>
          <w:bCs/>
          <w:sz w:val="24"/>
          <w:szCs w:val="24"/>
        </w:rPr>
        <w:t xml:space="preserve">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9"/>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78"/>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78"/>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9"/>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9"/>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9"/>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9"/>
              <w:spacing w:line="360" w:lineRule="auto"/>
              <w:rPr>
                <w:rFonts w:ascii="宋体" w:hAnsi="宋体" w:eastAsia="宋体"/>
                <w:sz w:val="24"/>
                <w:szCs w:val="24"/>
              </w:rPr>
            </w:pPr>
            <w:r>
              <w:rPr>
                <w:rFonts w:ascii="宋体" w:hAnsi="宋体" w:eastAsia="宋体"/>
                <w:sz w:val="24"/>
                <w:szCs w:val="24"/>
              </w:rPr>
            </w:r>
            <w:r/>
          </w:p>
        </w:tc>
      </w:tr>
    </w:tbl>
    <w:p>
      <w:pPr>
        <w:pStyle w:val="887"/>
        <w:rPr>
          <w:rFonts w:ascii="宋体" w:hAnsi="宋体"/>
        </w:rPr>
      </w:pPr>
      <w:r>
        <w:rPr>
          <w:rFonts w:hint="eastAsia" w:ascii="宋体" w:hAnsi="宋体"/>
        </w:rPr>
        <w:t xml:space="preserve">注：1、响应人应对照采购文件服务要求等要求，</w:t>
      </w:r>
      <w:r>
        <w:rPr>
          <w:rFonts w:hint="eastAsia" w:ascii="宋体" w:hAnsi="宋体"/>
        </w:rPr>
        <w:t xml:space="preserve">所投标的物与采购文件的规定有偏离的，应在此表中申明与设计要求条文的偏差和例外。</w:t>
      </w:r>
      <w:r>
        <w:rPr>
          <w:rFonts w:ascii="宋体" w:hAnsi="宋体"/>
        </w:rPr>
      </w:r>
      <w:r/>
    </w:p>
    <w:p>
      <w:pPr>
        <w:pStyle w:val="887"/>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9"/>
        <w:spacing w:line="360" w:lineRule="auto"/>
        <w:rPr>
          <w:rFonts w:ascii="宋体" w:hAnsi="宋体" w:eastAsia="宋体"/>
          <w:sz w:val="24"/>
          <w:szCs w:val="24"/>
        </w:rPr>
      </w:pPr>
      <w:r>
        <w:rPr>
          <w:rFonts w:ascii="宋体" w:hAnsi="宋体" w:eastAsia="宋体"/>
          <w:sz w:val="24"/>
          <w:szCs w:val="24"/>
        </w:rPr>
      </w:r>
      <w:r/>
    </w:p>
    <w:p>
      <w:pPr>
        <w:pStyle w:val="940"/>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40"/>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78"/>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702"/>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985"/>
        <w:gridCol w:w="1249"/>
        <w:gridCol w:w="1019"/>
        <w:gridCol w:w="992"/>
        <w:gridCol w:w="992"/>
        <w:gridCol w:w="993"/>
        <w:gridCol w:w="992"/>
      </w:tblGrid>
      <w:tr>
        <w:trPr>
          <w:trHeight w:val="760"/>
        </w:trPr>
        <w:tc>
          <w:tcPr>
            <w:tcW w:w="855"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85"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249"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019"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992"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992"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3"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198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55"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985" w:type="dxa"/>
            <w:vAlign w:val="center"/>
            <w:textDirection w:val="lrTb"/>
            <w:noWrap w:val="false"/>
          </w:tcPr>
          <w:p>
            <w:pPr>
              <w:pStyle w:val="64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9"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9"/>
        <w:spacing w:line="560" w:lineRule="exact"/>
        <w:shd w:val="clear" w:color="auto" w:fill="ffffff"/>
        <w:widowControl/>
        <w:tabs>
          <w:tab w:val="left" w:pos="315" w:leader="none"/>
          <w:tab w:val="center" w:pos="4153" w:leader="none"/>
        </w:tabs>
        <w:rPr>
          <w:rFonts w:hint="eastAsia" w:ascii="宋体" w:hAnsi="宋体" w:eastAsia="宋体"/>
          <w:bCs/>
          <w:sz w:val="24"/>
          <w:szCs w:val="24"/>
        </w:rPr>
      </w:pPr>
      <w:r>
        <w:rPr>
          <w:rFonts w:hint="eastAsia" w:ascii="宋体" w:hAnsi="宋体" w:eastAsia="宋体"/>
          <w:bCs/>
          <w:sz w:val="24"/>
          <w:szCs w:val="24"/>
        </w:rPr>
      </w:r>
      <w:r/>
    </w:p>
    <w:p>
      <w:pPr>
        <w:pStyle w:val="649"/>
        <w:ind w:firstLine="480"/>
        <w:spacing w:line="360" w:lineRule="auto"/>
        <w:rPr>
          <w:rFonts w:ascii="宋体" w:hAnsi="宋体" w:eastAsia="宋体"/>
          <w:sz w:val="24"/>
          <w:szCs w:val="24"/>
        </w:rPr>
      </w:pPr>
      <w:r>
        <w:rPr>
          <w:rFonts w:ascii="宋体" w:hAnsi="宋体" w:eastAsia="宋体"/>
          <w:sz w:val="24"/>
          <w:szCs w:val="24"/>
        </w:rPr>
      </w:r>
      <w:r/>
    </w:p>
    <w:p>
      <w:pPr>
        <w:pStyle w:val="940"/>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40"/>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90"/>
        <w:rPr>
          <w:rFonts w:hint="eastAsia"/>
        </w:rPr>
      </w:pPr>
      <w:r>
        <w:rPr>
          <w:rFonts w:hint="eastAsia"/>
        </w:rPr>
      </w:r>
      <w:r/>
    </w:p>
    <w:p>
      <w:pPr>
        <w:pStyle w:val="651"/>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9"/>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9"/>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9"/>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9"/>
        <w:ind w:firstLine="240"/>
        <w:spacing w:before="120" w:line="360" w:lineRule="auto"/>
        <w:rPr>
          <w:rFonts w:ascii="宋体" w:hAnsi="宋体" w:eastAsia="宋体"/>
          <w:bCs/>
          <w:sz w:val="24"/>
          <w:szCs w:val="24"/>
        </w:rPr>
      </w:pPr>
      <w:r>
        <w:rPr>
          <w:rFonts w:hint="eastAsia" w:ascii="宋体" w:hAnsi="宋体" w:eastAsia="宋体"/>
          <w:bCs/>
          <w:sz w:val="24"/>
          <w:szCs w:val="24"/>
        </w:rPr>
        <w:t xml:space="preserve">附：按采购要求提供相关材料。</w:t>
      </w:r>
      <w:r>
        <w:rPr>
          <w:rFonts w:ascii="宋体" w:hAnsi="宋体" w:eastAsia="宋体"/>
          <w:bCs/>
          <w:sz w:val="24"/>
          <w:szCs w:val="24"/>
        </w:rPr>
      </w:r>
      <w:r/>
    </w:p>
    <w:p>
      <w:pPr>
        <w:pStyle w:val="649"/>
        <w:spacing w:before="120" w:line="360" w:lineRule="auto"/>
        <w:rPr>
          <w:rFonts w:ascii="宋体" w:hAnsi="宋体" w:eastAsia="宋体"/>
          <w:sz w:val="24"/>
          <w:szCs w:val="24"/>
        </w:rPr>
      </w:pPr>
      <w:r>
        <w:rPr>
          <w:rFonts w:ascii="宋体" w:hAnsi="宋体" w:eastAsia="宋体"/>
          <w:sz w:val="24"/>
          <w:szCs w:val="24"/>
        </w:rPr>
      </w:r>
      <w:r/>
    </w:p>
    <w:p>
      <w:pPr>
        <w:pStyle w:val="940"/>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40"/>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51"/>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78"/>
        <w:ind w:firstLine="0"/>
        <w:jc w:val="both"/>
        <w:spacing w:line="360" w:lineRule="auto"/>
        <w:rPr>
          <w:rFonts w:ascii="宋体" w:hAnsi="宋体" w:eastAsia="宋体"/>
          <w:b/>
          <w:szCs w:val="24"/>
        </w:rPr>
      </w:pPr>
      <w:r>
        <w:rPr>
          <w:rFonts w:ascii="宋体" w:hAnsi="宋体" w:eastAsia="宋体"/>
          <w:b/>
          <w:szCs w:val="24"/>
        </w:rPr>
      </w:r>
      <w:r/>
    </w:p>
    <w:p>
      <w:pPr>
        <w:pStyle w:val="678"/>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78"/>
        <w:ind w:firstLine="0"/>
        <w:jc w:val="center"/>
        <w:spacing w:line="360" w:lineRule="auto"/>
        <w:rPr>
          <w:rFonts w:ascii="宋体" w:hAnsi="宋体" w:eastAsia="宋体"/>
          <w:szCs w:val="24"/>
        </w:rPr>
      </w:pPr>
      <w:r>
        <w:rPr>
          <w:rFonts w:ascii="宋体" w:hAnsi="宋体" w:eastAsia="宋体"/>
          <w:szCs w:val="24"/>
        </w:rPr>
      </w:r>
      <w:r/>
    </w:p>
    <w:p>
      <w:pPr>
        <w:pStyle w:val="678"/>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78"/>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78"/>
        <w:spacing w:line="360" w:lineRule="auto"/>
        <w:rPr>
          <w:rFonts w:ascii="宋体" w:hAnsi="宋体" w:eastAsia="宋体"/>
          <w:szCs w:val="24"/>
        </w:rPr>
      </w:pPr>
      <w:r>
        <w:rPr>
          <w:rFonts w:ascii="宋体" w:hAnsi="宋体" w:eastAsia="宋体"/>
          <w:szCs w:val="24"/>
        </w:rPr>
      </w:r>
      <w:r/>
    </w:p>
    <w:p>
      <w:pPr>
        <w:pStyle w:val="678"/>
        <w:spacing w:line="360" w:lineRule="auto"/>
        <w:rPr>
          <w:rFonts w:ascii="宋体" w:hAnsi="宋体" w:eastAsia="宋体"/>
          <w:szCs w:val="24"/>
        </w:rPr>
      </w:pPr>
      <w:r>
        <w:rPr>
          <w:rFonts w:ascii="宋体" w:hAnsi="宋体" w:eastAsia="宋体"/>
          <w:szCs w:val="24"/>
        </w:rPr>
      </w:r>
      <w:r/>
    </w:p>
    <w:p>
      <w:pPr>
        <w:pStyle w:val="94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4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4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78"/>
        <w:ind w:left="3507" w:firstLine="1145"/>
        <w:spacing w:line="360" w:lineRule="auto"/>
        <w:rPr>
          <w:rFonts w:ascii="宋体" w:hAnsi="宋体" w:eastAsia="宋体"/>
          <w:szCs w:val="24"/>
        </w:rPr>
      </w:pPr>
      <w:r>
        <w:rPr>
          <w:rFonts w:ascii="宋体" w:hAnsi="宋体" w:eastAsia="宋体"/>
          <w:szCs w:val="24"/>
        </w:rPr>
      </w:r>
      <w:r/>
    </w:p>
    <w:p>
      <w:pPr>
        <w:pStyle w:val="678"/>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78"/>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78"/>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78"/>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78"/>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7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78"/>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7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78"/>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7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78"/>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78"/>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营业面积（含厂房面积</w:t>
            </w:r>
            <w:r>
              <w:rPr>
                <w:rFonts w:hint="eastAsia" w:ascii="宋体" w:hAnsi="宋体" w:eastAsia="宋体"/>
                <w:szCs w:val="24"/>
              </w:rPr>
              <w:t xml:space="preserve">）</w:t>
            </w:r>
            <w:r>
              <w:rPr>
                <w:rFonts w:ascii="宋体" w:hAnsi="宋体" w:eastAsia="宋体"/>
                <w:szCs w:val="24"/>
              </w:rPr>
            </w:r>
            <w:r/>
          </w:p>
        </w:tc>
        <w:tc>
          <w:tcPr>
            <w:tcW w:w="2005" w:type="dxa"/>
            <w:vAlign w:val="center"/>
            <w:textDirection w:val="lrTb"/>
            <w:noWrap w:val="false"/>
          </w:tcPr>
          <w:p>
            <w:pPr>
              <w:pStyle w:val="678"/>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78"/>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ascii="宋体" w:hAnsi="宋体" w:eastAsia="宋体"/>
                <w:szCs w:val="24"/>
              </w:rPr>
            </w:r>
            <w:r/>
          </w:p>
          <w:p>
            <w:pPr>
              <w:pStyle w:val="678"/>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7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ascii="宋体" w:hAnsi="宋体" w:eastAsia="宋体"/>
                <w:szCs w:val="24"/>
              </w:rPr>
            </w:r>
            <w:r/>
          </w:p>
          <w:p>
            <w:pPr>
              <w:pStyle w:val="678"/>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7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78"/>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78"/>
              <w:ind w:firstLine="0"/>
              <w:rPr>
                <w:rFonts w:ascii="宋体" w:hAnsi="宋体" w:eastAsia="宋体"/>
                <w:szCs w:val="24"/>
              </w:rPr>
            </w:pPr>
            <w:r>
              <w:rPr>
                <w:rFonts w:ascii="宋体" w:hAnsi="宋体" w:eastAsia="宋体"/>
                <w:szCs w:val="24"/>
              </w:rPr>
            </w:r>
            <w:r/>
          </w:p>
        </w:tc>
      </w:tr>
    </w:tbl>
    <w:p>
      <w:pPr>
        <w:pStyle w:val="678"/>
        <w:ind w:firstLine="0"/>
        <w:spacing w:line="360" w:lineRule="auto"/>
        <w:rPr>
          <w:rFonts w:ascii="宋体" w:hAnsi="宋体" w:eastAsia="宋体"/>
          <w:szCs w:val="24"/>
        </w:rPr>
      </w:pPr>
      <w:r>
        <w:rPr>
          <w:rFonts w:ascii="宋体" w:hAnsi="宋体" w:eastAsia="宋体"/>
          <w:szCs w:val="24"/>
        </w:rPr>
      </w:r>
      <w:r/>
    </w:p>
    <w:p>
      <w:pPr>
        <w:pStyle w:val="678"/>
        <w:ind w:firstLine="0"/>
        <w:spacing w:line="360" w:lineRule="auto"/>
        <w:rPr>
          <w:rFonts w:ascii="宋体" w:hAnsi="宋体" w:eastAsia="宋体"/>
          <w:szCs w:val="24"/>
        </w:rPr>
      </w:pPr>
      <w:r>
        <w:rPr>
          <w:rFonts w:ascii="宋体" w:hAnsi="宋体" w:eastAsia="宋体"/>
          <w:szCs w:val="24"/>
        </w:rPr>
      </w:r>
      <w:r/>
    </w:p>
    <w:p>
      <w:pPr>
        <w:pStyle w:val="678"/>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9"/>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9"/>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31"/>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931"/>
        <w:spacing w:line="360" w:lineRule="auto"/>
        <w:rPr>
          <w:rFonts w:hAnsi="宋体" w:eastAsia="宋体" w:cs="宋体"/>
          <w:sz w:val="24"/>
          <w:szCs w:val="24"/>
          <w:lang w:val="zh-CN"/>
        </w:rPr>
      </w:pP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软件和信息技术服务业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w:t>
      </w:r>
      <w:r>
        <w:rPr>
          <w:rFonts w:hint="eastAsia" w:hAnsi="宋体" w:eastAsia="宋体" w:cs="宋体"/>
          <w:sz w:val="24"/>
          <w:szCs w:val="24"/>
          <w:u w:val="single"/>
          <w:lang w:val="zh-CN"/>
        </w:rPr>
        <w:t xml:space="preserve">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软件和信息技术服务业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93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31"/>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31"/>
        <w:spacing w:line="360" w:lineRule="auto"/>
        <w:rPr>
          <w:rFonts w:hAnsi="宋体" w:eastAsia="宋体"/>
          <w:sz w:val="24"/>
          <w:szCs w:val="24"/>
        </w:rPr>
      </w:pPr>
      <w:r>
        <w:rPr>
          <w:rFonts w:hAnsi="宋体" w:eastAsia="宋体"/>
          <w:sz w:val="24"/>
          <w:szCs w:val="24"/>
        </w:rPr>
        <w:t xml:space="preserve">法定代表人或代理人：（签字或盖章）</w:t>
      </w:r>
      <w:r/>
    </w:p>
    <w:p>
      <w:pPr>
        <w:pStyle w:val="649"/>
        <w:spacing w:line="360" w:lineRule="auto"/>
        <w:rPr>
          <w:rFonts w:ascii="宋体" w:hAnsi="宋体" w:eastAsia="宋体"/>
          <w:sz w:val="24"/>
          <w:szCs w:val="24"/>
        </w:rPr>
      </w:pPr>
      <w:r>
        <w:rPr>
          <w:rFonts w:ascii="宋体" w:hAnsi="宋体" w:eastAsia="宋体"/>
          <w:sz w:val="24"/>
          <w:szCs w:val="24"/>
        </w:rPr>
        <w:t xml:space="preserve">日期：      年    月    日</w:t>
      </w:r>
      <w:r/>
    </w:p>
    <w:p>
      <w:pPr>
        <w:pStyle w:val="690"/>
      </w:pPr>
      <w:r/>
      <w:r/>
    </w:p>
    <w:p>
      <w:pPr>
        <w:pStyle w:val="649"/>
        <w:jc w:val="left"/>
        <w:rPr>
          <w:rFonts w:hint="eastAsia" w:ascii="宋体" w:hAnsi="宋体" w:eastAsia="宋体"/>
          <w:bCs/>
          <w:sz w:val="21"/>
          <w:szCs w:val="21"/>
        </w:rPr>
      </w:pPr>
      <w:r>
        <w:rPr>
          <w:rFonts w:hint="eastAsia" w:ascii="宋体" w:hAnsi="宋体" w:eastAsia="宋体"/>
          <w:bCs/>
          <w:sz w:val="21"/>
          <w:szCs w:val="21"/>
        </w:rPr>
        <w:t xml:space="preserve">备注：1</w:t>
      </w:r>
      <w:r>
        <w:rPr>
          <w:rFonts w:ascii="宋体" w:hAnsi="宋体" w:eastAsia="宋体"/>
          <w:bCs/>
          <w:sz w:val="21"/>
          <w:szCs w:val="21"/>
        </w:rPr>
        <w:t xml:space="preserve">.</w:t>
      </w:r>
      <w:r>
        <w:rPr>
          <w:rFonts w:hint="eastAsia" w:ascii="宋体" w:hAnsi="宋体" w:eastAsia="宋体"/>
          <w:bCs/>
          <w:sz w:val="21"/>
          <w:szCs w:val="21"/>
        </w:rPr>
        <w:t xml:space="preserve">从业人员、营</w:t>
      </w:r>
      <w:r>
        <w:rPr>
          <w:rFonts w:hint="eastAsia" w:ascii="宋体" w:hAnsi="宋体" w:eastAsia="宋体"/>
          <w:bCs/>
          <w:sz w:val="21"/>
          <w:szCs w:val="21"/>
        </w:rPr>
        <w:t xml:space="preserve">业收入、资产总额填报上一年度数据，无上一年度数据的新成立企业可不填报。</w:t>
      </w:r>
      <w:r/>
    </w:p>
    <w:p>
      <w:pPr>
        <w:pStyle w:val="649"/>
        <w:ind w:firstLine="630"/>
        <w:jc w:val="left"/>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23"/>
        <w:ind w:firstLine="422"/>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w:t>
      </w:r>
      <w:r>
        <w:rPr>
          <w:rFonts w:hint="eastAsia" w:ascii="宋体" w:hAnsi="宋体" w:eastAsia="宋体"/>
          <w:b/>
          <w:bCs/>
          <w:sz w:val="21"/>
          <w:szCs w:val="21"/>
        </w:rPr>
        <w:t xml:space="preserve">《中小企业声明函》中所填的行业应与本采购标的对应的中小企业划分标准所属行业一致，不一致的不可享受相应政策优惠。本采购标的对应的中小企业划分标准所属行业，以采购文件第三章《采购内容》规定为准。</w:t>
      </w:r>
      <w:r/>
    </w:p>
    <w:p>
      <w:pPr>
        <w:pStyle w:val="723"/>
        <w:ind w:firstLine="422"/>
        <w:rPr>
          <w:rFonts w:hint="eastAsia" w:ascii="宋体" w:hAnsi="宋体" w:eastAsia="宋体"/>
          <w:b/>
          <w:bCs/>
          <w:sz w:val="21"/>
          <w:szCs w:val="21"/>
        </w:rPr>
      </w:pPr>
      <w:r>
        <w:rPr>
          <w:rFonts w:ascii="宋体" w:hAnsi="宋体" w:eastAsia="宋体"/>
          <w:b/>
          <w:bCs/>
          <w:sz w:val="21"/>
          <w:szCs w:val="21"/>
        </w:rPr>
        <w:t xml:space="preserve">4.</w:t>
      </w:r>
      <w:r>
        <w:rPr>
          <w:rFonts w:hint="eastAsia" w:ascii="宋体" w:hAnsi="宋体" w:eastAsia="宋体"/>
          <w:b/>
          <w:bCs/>
          <w:sz w:val="21"/>
          <w:szCs w:val="21"/>
        </w:rPr>
        <w:t xml:space="preserve">如未对（中型企业、小型企业、微型企业）进行勾选，视同</w:t>
      </w:r>
      <w:r>
        <w:rPr>
          <w:rFonts w:hint="eastAsia" w:ascii="宋体" w:hAnsi="宋体" w:eastAsia="宋体"/>
          <w:b/>
          <w:bCs/>
          <w:sz w:val="21"/>
          <w:szCs w:val="21"/>
        </w:rPr>
        <w:t xml:space="preserve">非中小微企业，不可享受相应扶持政策。</w:t>
      </w:r>
      <w:r/>
    </w:p>
    <w:p>
      <w:pPr>
        <w:pStyle w:val="723"/>
        <w:ind w:firstLine="422"/>
        <w:rPr>
          <w:rFonts w:hint="eastAsia" w:ascii="宋体" w:hAnsi="宋体" w:eastAsia="宋体"/>
          <w:b/>
          <w:bCs/>
          <w:sz w:val="21"/>
          <w:szCs w:val="21"/>
        </w:rPr>
      </w:pPr>
      <w:r>
        <w:rPr>
          <w:rFonts w:hint="eastAsia" w:ascii="宋体" w:hAnsi="宋体" w:eastAsia="宋体"/>
          <w:b/>
          <w:bCs/>
          <w:sz w:val="21"/>
          <w:szCs w:val="21"/>
        </w:rPr>
        <w:t xml:space="preserve">5</w:t>
      </w:r>
      <w:r>
        <w:rPr>
          <w:rFonts w:ascii="宋体" w:hAnsi="宋体" w:eastAsia="宋体"/>
          <w:b/>
          <w:bCs/>
          <w:sz w:val="21"/>
          <w:szCs w:val="21"/>
        </w:rPr>
        <w:t xml:space="preserve">.</w:t>
      </w:r>
      <w:r>
        <w:rPr>
          <w:rFonts w:hint="eastAsia" w:ascii="宋体" w:hAnsi="宋体" w:eastAsia="宋体"/>
          <w:b/>
          <w:bCs/>
          <w:sz w:val="21"/>
          <w:szCs w:val="21"/>
        </w:rPr>
        <w:t xml:space="preserve">成交单位为中小企业的，《中小企业声明函》将随成交结果同时公告。</w:t>
      </w:r>
      <w:r/>
    </w:p>
    <w:p>
      <w:pPr>
        <w:pStyle w:val="649"/>
        <w:spacing w:line="360" w:lineRule="auto"/>
        <w:rPr>
          <w:rFonts w:hint="eastAsia" w:ascii="宋体" w:hAnsi="宋体" w:eastAsia="宋体"/>
          <w:b/>
          <w:sz w:val="21"/>
          <w:szCs w:val="21"/>
        </w:rPr>
      </w:pPr>
      <w:r>
        <w:rPr>
          <w:rFonts w:hint="eastAsia" w:ascii="宋体" w:hAnsi="宋体" w:eastAsia="宋体"/>
          <w:b/>
          <w:sz w:val="21"/>
          <w:szCs w:val="21"/>
        </w:rPr>
      </w:r>
      <w:r/>
    </w:p>
    <w:p>
      <w:pPr>
        <w:pStyle w:val="649"/>
        <w:spacing w:line="280" w:lineRule="exact"/>
        <w:rPr>
          <w:rFonts w:hint="eastAsia" w:ascii="宋体" w:hAnsi="宋体" w:eastAsia="宋体"/>
          <w:b/>
          <w:sz w:val="21"/>
          <w:szCs w:val="21"/>
        </w:rPr>
      </w:pPr>
      <w:r>
        <w:rPr>
          <w:rFonts w:hint="eastAsia" w:ascii="宋体" w:hAnsi="宋体" w:eastAsia="宋体"/>
          <w:b/>
          <w:sz w:val="21"/>
          <w:szCs w:val="21"/>
        </w:rPr>
        <w:t xml:space="preserve">附：中小企业划型标准规定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（一）农、林、牧、渔业。</w:t>
      </w:r>
      <w:r>
        <w:rPr>
          <w:rFonts w:hint="eastAsia" w:ascii="宋体" w:hAnsi="宋体" w:eastAsia="宋体"/>
          <w:sz w:val="21"/>
          <w:szCs w:val="21"/>
        </w:rPr>
        <w:t xml:space="preserve">营业收入20000万元以下的为中小微型企业。其中，营业收入500万元及以上的为中型企业，营业收入50万元及以上的为小型企业，营业收入50万元以下的为微型企业。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（二）工业。</w:t>
      </w:r>
      <w:r>
        <w:rPr>
          <w:rFonts w:hint="eastAsia" w:ascii="宋体" w:hAnsi="宋体" w:eastAsia="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（三）建筑业。</w:t>
      </w:r>
      <w:r>
        <w:rPr>
          <w:rFonts w:hint="eastAsia" w:ascii="宋体" w:hAnsi="宋体" w:eastAsia="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（四）批发业。</w:t>
      </w:r>
      <w:r>
        <w:rPr>
          <w:rFonts w:hint="eastAsia" w:ascii="宋体" w:hAnsi="宋体" w:eastAsia="宋体"/>
          <w:sz w:val="21"/>
          <w:szCs w:val="21"/>
        </w:rPr>
        <w:t xml:space="preserve">从业人员200人以下或营业收入40000万元以下的为中小微型企业。其中，从业人员20人及以上，且营业收入5000万元及以上的为中型</w:t>
      </w:r>
      <w:r>
        <w:rPr>
          <w:rFonts w:hint="eastAsia" w:ascii="宋体" w:hAnsi="宋体" w:eastAsia="宋体"/>
          <w:sz w:val="21"/>
          <w:szCs w:val="21"/>
        </w:rPr>
        <w:t xml:space="preserve">企业；从业人员5人及以上，且营业收入1000万元及以上的为小型企业；从业人员5人以下或营业收入1000万元以下的为微型企业。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（五）零售业。</w:t>
      </w:r>
      <w:r>
        <w:rPr>
          <w:rFonts w:hint="eastAsia" w:ascii="宋体" w:hAnsi="宋体" w:eastAsia="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（六）交通运输业。</w:t>
      </w:r>
      <w:r>
        <w:rPr>
          <w:rFonts w:hint="eastAsia" w:ascii="宋体" w:hAnsi="宋体" w:eastAsia="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w:t>
      </w:r>
      <w:r>
        <w:rPr>
          <w:rFonts w:hint="eastAsia" w:ascii="宋体" w:hAnsi="宋体" w:eastAsia="宋体"/>
          <w:sz w:val="21"/>
          <w:szCs w:val="21"/>
        </w:rPr>
        <w:t xml:space="preserve">；从业人员20人以下或营业收入200万元以下的为微型企业。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（七）仓储业。</w:t>
      </w:r>
      <w:r>
        <w:rPr>
          <w:rFonts w:hint="eastAsia" w:ascii="宋体" w:hAnsi="宋体" w:eastAsia="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（八）邮政业。</w:t>
      </w:r>
      <w:r>
        <w:rPr>
          <w:rFonts w:hint="eastAsia" w:ascii="宋体" w:hAnsi="宋体" w:eastAsia="宋体"/>
          <w:sz w:val="21"/>
          <w:szCs w:val="21"/>
        </w:rPr>
        <w:t xml:space="preserve">从业人员1000人以下或营业收入30000万元以下的为中小微型企业</w:t>
      </w:r>
      <w:r>
        <w:rPr>
          <w:rFonts w:hint="eastAsia" w:ascii="宋体" w:hAnsi="宋体" w:eastAsia="宋体"/>
          <w:sz w:val="21"/>
          <w:szCs w:val="21"/>
        </w:rPr>
        <w:t xml:space="preserve">。其中，从业人员300人及以上，且营业收入2000万元及以上的为中型企业；从业人员20人及以上，且营业收入100万元及以上的为小型企业；从业人员20人以下或营业收入100万元以下的为微型企业。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（九）住宿业。</w:t>
      </w:r>
      <w:r>
        <w:rPr>
          <w:rFonts w:hint="eastAsia" w:ascii="宋体" w:hAnsi="宋体" w:eastAsia="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（十）餐饮业。</w:t>
      </w:r>
      <w:r>
        <w:rPr>
          <w:rFonts w:hint="eastAsia" w:ascii="宋体" w:hAnsi="宋体" w:eastAsia="宋体"/>
          <w:sz w:val="21"/>
          <w:szCs w:val="21"/>
        </w:rPr>
        <w:t xml:space="preserve">从业人员300人以下或营业收入10000万元以下的为中小微型企业</w:t>
      </w:r>
      <w:r>
        <w:rPr>
          <w:rFonts w:hint="eastAsia" w:ascii="宋体" w:hAnsi="宋体" w:eastAsia="宋体"/>
          <w:sz w:val="21"/>
          <w:szCs w:val="21"/>
        </w:rPr>
        <w:t xml:space="preserve">。其中，从业人员100人及以上，且营业收入2000万元及以上的为中型企业；从业人员10人及以上，且营业收入100万元及以上的为小型企业；从业人员10人以下或营业收入100万元以下的为微型企业。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（十一）信息传输业。</w:t>
      </w:r>
      <w:r>
        <w:rPr>
          <w:rFonts w:hint="eastAsia" w:ascii="宋体" w:hAnsi="宋体" w:eastAsia="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二）软件和信息技术服务业。</w:t>
      </w:r>
      <w:r>
        <w:rPr>
          <w:rFonts w:hint="eastAsia" w:ascii="宋体" w:hAnsi="宋体" w:eastAsia="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（十三）房地产开发经营。</w:t>
      </w:r>
      <w:r>
        <w:rPr>
          <w:rFonts w:hint="eastAsia" w:ascii="宋体" w:hAnsi="宋体" w:eastAsia="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（十四）物业管理。</w:t>
      </w:r>
      <w:r>
        <w:rPr>
          <w:rFonts w:hint="eastAsia" w:ascii="宋体" w:hAnsi="宋体" w:eastAsia="宋体"/>
          <w:sz w:val="21"/>
          <w:szCs w:val="21"/>
        </w:rPr>
        <w:t xml:space="preserve">从业人员1000人以下或营业收入5000万元以下的为中小微型企业。其中，从业人员</w:t>
      </w:r>
      <w:r/>
    </w:p>
    <w:p>
      <w:pPr>
        <w:pStyle w:val="649"/>
        <w:spacing w:line="280" w:lineRule="exact"/>
        <w:rPr>
          <w:rFonts w:hint="eastAsia" w:ascii="宋体" w:hAnsi="宋体" w:eastAsia="宋体"/>
          <w:sz w:val="21"/>
          <w:szCs w:val="21"/>
        </w:rPr>
      </w:pPr>
      <w:r>
        <w:rPr>
          <w:rFonts w:hint="eastAsia" w:ascii="宋体" w:hAnsi="宋体" w:eastAsia="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pStyle w:val="649"/>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（十五）租赁和商务服务业。</w:t>
      </w:r>
      <w:r>
        <w:rPr>
          <w:rFonts w:hint="eastAsia" w:ascii="宋体" w:hAnsi="宋体" w:eastAsia="宋体"/>
          <w:sz w:val="21"/>
          <w:szCs w:val="21"/>
        </w:rPr>
        <w:t xml:space="preserve">从业人员300人以下或资产总额120000万元以下的为中小微型企业。其中，从业人员100人及以上，且资产总额8000万元及以上的为</w:t>
      </w:r>
      <w:r>
        <w:rPr>
          <w:rFonts w:hint="eastAsia" w:ascii="宋体" w:hAnsi="宋体" w:eastAsia="宋体"/>
          <w:sz w:val="21"/>
          <w:szCs w:val="21"/>
        </w:rPr>
        <w:t xml:space="preserve">中型企业；从业人员10人及以上，且资产总额100万元及以上的为小型企业；从业人员10人以下或资产总额100万元以下的为微型企业。</w:t>
      </w:r>
      <w:r/>
    </w:p>
    <w:p>
      <w:pPr>
        <w:pStyle w:val="649"/>
        <w:ind w:firstLine="402"/>
        <w:spacing w:line="280" w:lineRule="exact"/>
        <w:rPr>
          <w:rFonts w:ascii="宋体" w:hAnsi="宋体"/>
        </w:rPr>
      </w:pPr>
      <w:r>
        <w:rPr>
          <w:rFonts w:hint="eastAsia" w:ascii="宋体" w:hAnsi="宋体" w:eastAsia="宋体"/>
          <w:b/>
          <w:sz w:val="21"/>
          <w:szCs w:val="21"/>
        </w:rPr>
        <w:t xml:space="preserve">（十六）其他未列明行业。</w:t>
      </w:r>
      <w:r>
        <w:rPr>
          <w:rFonts w:hint="eastAsia" w:ascii="宋体" w:hAnsi="宋体" w:eastAsia="宋体"/>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690"/>
        <w:rPr>
          <w:rFonts w:hint="eastAsia"/>
        </w:rPr>
      </w:pPr>
      <w:r>
        <w:rPr>
          <w:rFonts w:hint="eastAsia"/>
        </w:rPr>
      </w:r>
      <w:r/>
    </w:p>
    <w:p>
      <w:pPr>
        <w:pStyle w:val="652"/>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9"/>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9"/>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36"/>
        <w:ind w:firstLine="480"/>
        <w:spacing w:before="0" w:beforeAutospacing="0" w:after="0" w:afterAutospacing="0" w:line="360" w:lineRule="auto"/>
        <w:rPr>
          <w:rFonts w:hint="eastAsia"/>
        </w:rPr>
      </w:pPr>
      <w:r>
        <w:rPr>
          <w:rFonts w:hint="eastAsia"/>
        </w:rPr>
      </w:r>
      <w:r/>
    </w:p>
    <w:p>
      <w:pPr>
        <w:pStyle w:val="736"/>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w:t>
      </w:r>
      <w:r>
        <w:rPr>
          <w:rFonts w:hint="eastAsia"/>
        </w:rPr>
        <w:t xml:space="preserve">位制造的货物（不包括使用非残疾人福利性单位注册商标的货物）。</w:t>
      </w:r>
      <w:r/>
    </w:p>
    <w:p>
      <w:pPr>
        <w:pStyle w:val="736"/>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36"/>
        <w:ind w:firstLine="480"/>
        <w:spacing w:before="0" w:beforeAutospacing="0" w:after="0" w:afterAutospacing="0" w:line="360" w:lineRule="auto"/>
        <w:rPr>
          <w:rFonts w:hint="eastAsia"/>
        </w:rPr>
      </w:pPr>
      <w:r>
        <w:rPr>
          <w:rFonts w:hint="eastAsia"/>
        </w:rPr>
      </w:r>
      <w:r/>
    </w:p>
    <w:p>
      <w:pPr>
        <w:pStyle w:val="736"/>
        <w:ind w:firstLine="480"/>
        <w:spacing w:before="0" w:beforeAutospacing="0" w:after="0" w:afterAutospacing="0" w:line="360" w:lineRule="auto"/>
        <w:rPr>
          <w:rFonts w:hint="eastAsia"/>
        </w:rPr>
      </w:pPr>
      <w:r>
        <w:rPr>
          <w:rFonts w:hint="eastAsia"/>
        </w:rPr>
      </w:r>
      <w:r/>
    </w:p>
    <w:p>
      <w:pPr>
        <w:pStyle w:val="736"/>
        <w:ind w:firstLine="480"/>
        <w:spacing w:before="0" w:beforeAutospacing="0" w:after="0" w:afterAutospacing="0" w:line="360" w:lineRule="auto"/>
        <w:rPr>
          <w:rFonts w:hint="eastAsia"/>
        </w:rPr>
      </w:pPr>
      <w:r>
        <w:rPr>
          <w:rFonts w:hint="eastAsia"/>
        </w:rPr>
        <w:t xml:space="preserve">单位名称（盖章）：</w:t>
      </w:r>
      <w:r/>
    </w:p>
    <w:p>
      <w:pPr>
        <w:pStyle w:val="736"/>
        <w:ind w:firstLine="480"/>
        <w:spacing w:before="0" w:beforeAutospacing="0" w:after="0" w:afterAutospacing="0" w:line="360" w:lineRule="auto"/>
        <w:rPr>
          <w:rFonts w:hint="eastAsia"/>
        </w:rPr>
      </w:pPr>
      <w:r>
        <w:rPr>
          <w:rFonts w:hint="eastAsia"/>
        </w:rPr>
        <w:t xml:space="preserve">日期：</w:t>
      </w:r>
      <w:r/>
    </w:p>
    <w:p>
      <w:pPr>
        <w:pStyle w:val="736"/>
        <w:ind w:firstLine="480"/>
        <w:spacing w:before="0" w:beforeAutospacing="0" w:after="0" w:afterAutospacing="0" w:line="360" w:lineRule="auto"/>
        <w:rPr>
          <w:rFonts w:hint="eastAsia"/>
        </w:rPr>
      </w:pPr>
      <w:r>
        <w:rPr>
          <w:rFonts w:hint="eastAsia"/>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51"/>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9"/>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9"/>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9"/>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9"/>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w:t>
      </w:r>
      <w:r>
        <w:rPr>
          <w:rFonts w:ascii="宋体" w:hAnsi="宋体" w:eastAsia="宋体"/>
          <w:color w:val="000000"/>
          <w:sz w:val="24"/>
          <w:szCs w:val="24"/>
        </w:rPr>
        <w:t xml:space="preserve">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9"/>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9"/>
        <w:ind w:firstLine="422"/>
        <w:spacing w:line="360" w:lineRule="auto"/>
        <w:rPr>
          <w:rFonts w:hint="eastAsia" w:ascii="宋体" w:hAnsi="宋体" w:eastAsia="宋体"/>
          <w:b/>
          <w:color w:val="000000"/>
          <w:sz w:val="24"/>
          <w:szCs w:val="24"/>
        </w:rPr>
      </w:pPr>
      <w:r/>
      <w:bookmarkStart w:id="44" w:name="OLE_LINK29"/>
      <w:r/>
      <w:bookmarkStart w:id="45" w:name="OLE_LINK26"/>
      <w:r/>
      <w:bookmarkStart w:id="46" w:name="OLE_LINK30"/>
      <w:r/>
      <w:bookmarkStart w:id="47" w:name="OLE_LINK23"/>
      <w:r/>
      <w:bookmarkStart w:id="48" w:name="OLE_LINK21"/>
      <w:r/>
      <w:bookmarkStart w:id="49" w:name="OLE_LINK24"/>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w:t>
      </w:r>
      <w:r>
        <w:rPr>
          <w:rFonts w:hint="eastAsia" w:ascii="宋体" w:hAnsi="宋体" w:eastAsia="宋体"/>
          <w:b/>
          <w:color w:val="000000"/>
          <w:sz w:val="24"/>
          <w:szCs w:val="24"/>
          <w:lang w:val="zh-CN"/>
        </w:rPr>
        <w:t xml:space="preserve">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9"/>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9"/>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31"/>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31"/>
        <w:spacing w:line="360" w:lineRule="auto"/>
        <w:rPr>
          <w:rFonts w:hAnsi="宋体" w:eastAsia="宋体"/>
          <w:sz w:val="24"/>
          <w:szCs w:val="24"/>
        </w:rPr>
      </w:pPr>
      <w:r>
        <w:rPr>
          <w:rFonts w:hAnsi="宋体" w:eastAsia="宋体"/>
          <w:sz w:val="24"/>
          <w:szCs w:val="24"/>
        </w:rPr>
        <w:t xml:space="preserve">法定代表人或代理人：（签字或盖章）</w:t>
      </w:r>
      <w:r/>
    </w:p>
    <w:p>
      <w:pPr>
        <w:pStyle w:val="649"/>
        <w:spacing w:line="360" w:lineRule="auto"/>
        <w:rPr>
          <w:rFonts w:ascii="宋体" w:hAnsi="宋体" w:eastAsia="宋体"/>
          <w:sz w:val="24"/>
          <w:szCs w:val="24"/>
        </w:rPr>
      </w:pPr>
      <w:r>
        <w:rPr>
          <w:rFonts w:ascii="宋体" w:hAnsi="宋体" w:eastAsia="宋体"/>
          <w:sz w:val="24"/>
          <w:szCs w:val="24"/>
        </w:rPr>
        <w:t xml:space="preserve">日期：      年    月    日</w:t>
      </w:r>
      <w:r/>
    </w:p>
    <w:p>
      <w:pPr>
        <w:pStyle w:val="651"/>
        <w:rPr>
          <w:rFonts w:hint="eastAsia" w:eastAsia="宋体" w:cs="宋体"/>
          <w:sz w:val="24"/>
          <w:shd w:val="clear" w:color="auto" w:fill="ffffff"/>
        </w:rPr>
      </w:pPr>
      <w:r>
        <w:rPr>
          <w:rFonts w:hint="eastAsia" w:eastAsia="宋体" w:cs="宋体"/>
          <w:b w:val="0"/>
          <w:sz w:val="24"/>
          <w:shd w:val="clear" w:color="auto" w:fill="ffffff"/>
        </w:rPr>
        <w:br w:type="page" w:clear="all"/>
        <w:t xml:space="preserve">11、</w:t>
      </w:r>
      <w:r>
        <w:rPr>
          <w:rFonts w:hint="eastAsia" w:eastAsia="宋体" w:cs="宋体"/>
          <w:sz w:val="24"/>
          <w:shd w:val="clear" w:color="auto" w:fill="ffffff"/>
        </w:rPr>
        <w:t xml:space="preserve">关于符合本国产品标准的声明函</w:t>
      </w:r>
      <w:r/>
    </w:p>
    <w:p>
      <w:pPr>
        <w:pStyle w:val="649"/>
        <w:ind w:firstLine="200"/>
        <w:spacing w:line="360" w:lineRule="auto"/>
        <w:rPr>
          <w:rFonts w:hint="eastAsia" w:ascii="宋体" w:hAnsi="宋体" w:eastAsia="宋体" w:cs="宋体"/>
          <w:sz w:val="24"/>
          <w:szCs w:val="24"/>
        </w:rPr>
      </w:pPr>
      <w:r/>
      <w:bookmarkStart w:id="50" w:name="OLE_LINK6"/>
      <w:r/>
      <w:bookmarkStart w:id="51" w:name="OLE_LINK5"/>
      <w:r>
        <w:rPr>
          <w:rFonts w:hint="eastAsia" w:ascii="宋体" w:hAnsi="宋体" w:eastAsia="宋体" w:cs="宋体"/>
          <w:sz w:val="24"/>
          <w:szCs w:val="24"/>
        </w:rPr>
      </w:r>
      <w:r/>
    </w:p>
    <w:p>
      <w:pPr>
        <w:pStyle w:val="649"/>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50"/>
      <w:r/>
      <w:bookmarkEnd w:id="51"/>
      <w:r>
        <w:rPr>
          <w:rFonts w:hint="eastAsia" w:ascii="宋体" w:hAnsi="宋体" w:eastAsia="宋体" w:cs="宋体"/>
          <w:sz w:val="24"/>
          <w:szCs w:val="24"/>
        </w:rPr>
      </w:r>
      <w:r/>
    </w:p>
    <w:p>
      <w:pPr>
        <w:pStyle w:val="649"/>
        <w:rPr>
          <w:rFonts w:hint="eastAsia" w:ascii="宋体" w:hAnsi="宋体" w:eastAsia="宋体" w:cs="宋体"/>
          <w:sz w:val="24"/>
          <w:szCs w:val="24"/>
        </w:rPr>
      </w:pPr>
      <w:r>
        <w:rPr>
          <w:rFonts w:hint="eastAsia" w:ascii="宋体" w:hAnsi="宋体" w:eastAsia="宋体" w:cs="宋体"/>
          <w:sz w:val="24"/>
          <w:szCs w:val="24"/>
        </w:rPr>
      </w:r>
      <w:r/>
    </w:p>
    <w:p>
      <w:pPr>
        <w:pStyle w:val="736"/>
        <w:ind w:firstLine="480"/>
        <w:jc w:val="both"/>
        <w:spacing w:beforeAutospacing="0" w:afterAutospacing="0" w:line="360" w:lineRule="auto"/>
        <w:rPr>
          <w:rFonts w:hint="eastAsia"/>
          <w:color w:val="000000"/>
        </w:rPr>
      </w:pPr>
      <w:r/>
      <w:bookmarkStart w:id="52" w:name="OLE_LINK12"/>
      <w:r>
        <w:rPr>
          <w:rFonts w:hint="eastAsia"/>
          <w:color w:val="000000"/>
        </w:rPr>
        <w:t xml:space="preserve">本公司（单位）郑重声明，根据《国务院办公厅关于在政府采购中实施本国产品标准及相关</w:t>
      </w:r>
      <w:r>
        <w:rPr>
          <w:rFonts w:hint="eastAsia"/>
          <w:color w:val="000000"/>
        </w:rPr>
        <w:t xml:space="preserve">政策的通知》（国办发〔2025〕34号）的规定，本公司（单位）提供的以下产品属于本国产品。具体情况如下：</w:t>
      </w:r>
      <w:r/>
    </w:p>
    <w:p>
      <w:pPr>
        <w:pStyle w:val="736"/>
        <w:ind w:firstLine="480"/>
        <w:jc w:val="both"/>
        <w:spacing w:beforeAutospacing="0" w:afterAutospacing="0" w:line="360" w:lineRule="auto"/>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846"/>
          <w:rFonts w:hint="eastAsia"/>
          <w:color w:val="000000"/>
          <w:u w:val="single"/>
          <w:shd w:val="clear" w:color="auto" w:fill="ffffff"/>
        </w:rPr>
        <w:t xml:space="preserve">（产品名称1）</w:t>
      </w:r>
      <w:r>
        <w:rPr>
          <w:rStyle w:val="846"/>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46"/>
          <w:rFonts w:hint="eastAsia"/>
          <w:color w:val="000000"/>
          <w:u w:val="single"/>
          <w:shd w:val="clear" w:color="auto" w:fill="ffffff"/>
        </w:rPr>
        <w:t xml:space="preserve">（厂名）</w:t>
      </w:r>
      <w:r>
        <w:rPr>
          <w:rStyle w:val="846"/>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46"/>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46"/>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46"/>
          <w:rFonts w:hint="eastAsia"/>
          <w:color w:val="000000"/>
          <w:u w:val="single"/>
          <w:shd w:val="clear" w:color="auto" w:fill="ffffff"/>
        </w:rPr>
        <w:t xml:space="preserve">（规定比例）</w:t>
      </w:r>
      <w:r>
        <w:rPr>
          <w:rStyle w:val="846"/>
          <w:rFonts w:hint="eastAsia"/>
          <w:color w:val="000000"/>
          <w:shd w:val="clear" w:color="auto" w:fill="ffffff"/>
          <w:vertAlign w:val="superscript"/>
        </w:rPr>
        <w:t xml:space="preserve">3</w:t>
      </w:r>
      <w:r>
        <w:rPr>
          <w:rFonts w:hint="eastAsia"/>
          <w:color w:val="000000"/>
          <w:shd w:val="clear" w:color="auto" w:fill="ffffff"/>
        </w:rPr>
        <w:t xml:space="preserve">。</w:t>
      </w:r>
      <w:r>
        <w:rPr>
          <w:rStyle w:val="846"/>
          <w:rFonts w:hint="eastAsia"/>
          <w:color w:val="000000"/>
          <w:u w:val="single"/>
          <w:shd w:val="clear" w:color="auto" w:fill="ffffff"/>
        </w:rPr>
        <w:t xml:space="preserve">（产品名称1）</w:t>
      </w:r>
      <w:r>
        <w:rPr>
          <w:rFonts w:hint="eastAsia"/>
          <w:color w:val="000000"/>
          <w:shd w:val="clear" w:color="auto" w:fill="ffffff"/>
        </w:rPr>
        <w:t xml:space="preserve">的</w:t>
      </w:r>
      <w:r>
        <w:rPr>
          <w:rStyle w:val="846"/>
          <w:rFonts w:hint="eastAsia"/>
          <w:color w:val="000000"/>
          <w:u w:val="single"/>
          <w:shd w:val="clear" w:color="auto" w:fill="ffffff"/>
        </w:rPr>
        <w:t xml:space="preserve">（关键组件）</w:t>
      </w:r>
      <w:r>
        <w:rPr>
          <w:rStyle w:val="846"/>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46"/>
          <w:rFonts w:hint="eastAsia"/>
          <w:color w:val="000000"/>
          <w:u w:val="single"/>
          <w:shd w:val="clear" w:color="auto" w:fill="ffffff"/>
        </w:rPr>
        <w:t xml:space="preserve">（产品名称1）</w:t>
      </w:r>
      <w:r>
        <w:rPr>
          <w:rFonts w:hint="eastAsia"/>
          <w:color w:val="000000"/>
          <w:shd w:val="clear" w:color="auto" w:fill="ffffff"/>
        </w:rPr>
        <w:t xml:space="preserve">的</w:t>
      </w:r>
      <w:r>
        <w:rPr>
          <w:rStyle w:val="846"/>
          <w:rFonts w:hint="eastAsia"/>
          <w:color w:val="000000"/>
          <w:u w:val="single"/>
          <w:shd w:val="clear" w:color="auto" w:fill="ffffff"/>
        </w:rPr>
        <w:t xml:space="preserve">（关键工序）</w:t>
      </w:r>
      <w:r>
        <w:rPr>
          <w:rStyle w:val="846"/>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36"/>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w:t>
      </w:r>
      <w:r>
        <w:rPr>
          <w:rFonts w:hint="eastAsia"/>
          <w:color w:val="000000"/>
          <w:u w:val="single"/>
          <w:shd w:val="clear" w:color="auto" w:fill="ffffff"/>
        </w:rPr>
        <w:t xml:space="preserve">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3" w:name="OLE_LINK11"/>
      <w:r>
        <w:rPr>
          <w:rFonts w:hint="eastAsia" w:ascii="宋体" w:hAnsi="宋体" w:eastAsia="宋体" w:cs="宋体"/>
          <w:sz w:val="24"/>
          <w:szCs w:val="24"/>
          <w:lang w:val="zh-CN"/>
        </w:rPr>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3"/>
      <w:r>
        <w:rPr>
          <w:rFonts w:hint="eastAsia" w:ascii="宋体" w:hAnsi="宋体" w:eastAsia="宋体" w:cs="宋体"/>
          <w:sz w:val="24"/>
          <w:szCs w:val="24"/>
          <w:lang w:val="zh-CN"/>
        </w:rPr>
        <w:t xml:space="preserve">。</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36"/>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9"/>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w:t>
      </w:r>
      <w:r>
        <w:rPr>
          <w:rFonts w:hint="eastAsia" w:ascii="宋体" w:hAnsi="宋体" w:eastAsia="宋体" w:cs="宋体"/>
          <w:sz w:val="24"/>
          <w:szCs w:val="24"/>
          <w:lang w:val="zh-CN"/>
        </w:rPr>
        <w:t xml:space="preserve">（单位）名称（盖章）：</w:t>
      </w:r>
      <w:r/>
    </w:p>
    <w:p>
      <w:pPr>
        <w:pStyle w:val="649"/>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2"/>
      <w:r>
        <w:rPr>
          <w:rFonts w:hint="eastAsia" w:ascii="宋体" w:hAnsi="宋体" w:eastAsia="宋体" w:cs="宋体"/>
          <w:sz w:val="24"/>
          <w:szCs w:val="24"/>
          <w:lang w:val="zh-CN"/>
        </w:rPr>
      </w:r>
      <w:r/>
    </w:p>
    <w:p>
      <w:pPr>
        <w:pStyle w:val="690"/>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649"/>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9"/>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9"/>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9"/>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9"/>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w:t>
      </w:r>
      <w:r>
        <w:rPr>
          <w:rFonts w:hint="eastAsia" w:ascii="宋体" w:hAnsi="宋体" w:eastAsia="宋体" w:cs="宋体"/>
          <w:sz w:val="24"/>
          <w:szCs w:val="24"/>
        </w:rPr>
        <w:t xml:space="preserve">实性负责。如有虚假，愿承担相应法律责任。</w:t>
      </w:r>
      <w:r/>
    </w:p>
    <w:p>
      <w:pPr>
        <w:pStyle w:val="649"/>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9"/>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9"/>
        <w:rPr>
          <w:rFonts w:hint="eastAsia" w:ascii="宋体" w:hAnsi="宋体" w:eastAsia="宋体" w:cs="宋体"/>
          <w:sz w:val="24"/>
        </w:rPr>
      </w:pPr>
      <w:r>
        <w:rPr>
          <w:rFonts w:hint="eastAsia" w:ascii="宋体" w:hAnsi="宋体" w:eastAsia="宋体" w:cs="宋体"/>
          <w:sz w:val="24"/>
        </w:rPr>
        <w:t xml:space="preserve">日 期：       年     月     日</w:t>
      </w:r>
      <w:r/>
    </w:p>
    <w:p>
      <w:pPr>
        <w:pStyle w:val="649"/>
        <w:ind w:right="-200"/>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ascii="宋体" w:hAnsi="宋体" w:eastAsia="宋体"/>
          <w:sz w:val="24"/>
          <w:szCs w:val="24"/>
        </w:rPr>
      </w:pPr>
      <w:r>
        <w:rPr>
          <w:rFonts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49"/>
        <w:spacing w:line="360" w:lineRule="auto"/>
        <w:rPr>
          <w:rFonts w:hint="eastAsia" w:ascii="宋体" w:hAnsi="宋体" w:eastAsia="宋体"/>
          <w:sz w:val="24"/>
          <w:szCs w:val="24"/>
        </w:rPr>
      </w:pPr>
      <w:r>
        <w:rPr>
          <w:rFonts w:hint="eastAsia" w:ascii="宋体" w:hAnsi="宋体" w:eastAsia="宋体"/>
          <w:sz w:val="24"/>
          <w:szCs w:val="24"/>
        </w:rPr>
      </w:r>
      <w:r/>
    </w:p>
    <w:p>
      <w:pPr>
        <w:pStyle w:val="650"/>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649"/>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9"/>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苏州鸿鑫工程咨询有限公司受苏州市公安局的委托，就其所需的苏州市公安局监管中心弱电系统维保采用竞争性磋商方式进行采购，欢迎有资格的供应商前来参加本次磋商采购活动。</w:t>
      </w:r>
      <w:r>
        <w:rPr>
          <w:rFonts w:ascii="宋体" w:hAnsi="宋体" w:eastAsia="宋体" w:cs="宋体"/>
          <w:sz w:val="21"/>
          <w:szCs w:val="21"/>
        </w:rPr>
      </w:r>
      <w:r/>
    </w:p>
    <w:p>
      <w:pPr>
        <w:pStyle w:val="649"/>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一、采购编号：JSZC-320500-SZHX-C2026-0039</w:t>
      </w:r>
      <w:r/>
    </w:p>
    <w:p>
      <w:pPr>
        <w:pStyle w:val="649"/>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二、项目名称：苏州市公安局监管中心弱电系统维保</w:t>
      </w:r>
      <w:r>
        <w:rPr>
          <w:rFonts w:ascii="宋体" w:hAnsi="宋体" w:eastAsia="宋体"/>
          <w:b/>
          <w:sz w:val="21"/>
          <w:szCs w:val="21"/>
        </w:rPr>
      </w:r>
      <w:r/>
    </w:p>
    <w:p>
      <w:pPr>
        <w:pStyle w:val="649"/>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三、预算金额：人民币壹佰壹拾玖万柒仟壹佰贰</w:t>
      </w:r>
      <w:r>
        <w:rPr>
          <w:rFonts w:hint="eastAsia" w:ascii="宋体" w:hAnsi="宋体" w:eastAsia="宋体"/>
          <w:b/>
          <w:sz w:val="21"/>
          <w:szCs w:val="21"/>
        </w:rPr>
        <w:t xml:space="preserve">拾贰元壹角壹分（￥：</w:t>
      </w:r>
      <w:r>
        <w:rPr>
          <w:rFonts w:ascii="宋体" w:hAnsi="宋体" w:eastAsia="宋体"/>
          <w:b/>
          <w:sz w:val="21"/>
          <w:szCs w:val="21"/>
        </w:rPr>
        <w:t xml:space="preserve">1197122.11</w:t>
      </w:r>
      <w:r>
        <w:rPr>
          <w:rFonts w:hint="eastAsia" w:ascii="宋体" w:hAnsi="宋体" w:eastAsia="宋体"/>
          <w:b/>
          <w:sz w:val="21"/>
          <w:szCs w:val="21"/>
        </w:rPr>
        <w:t xml:space="preserve">）</w:t>
      </w:r>
      <w:r>
        <w:rPr>
          <w:rFonts w:ascii="宋体" w:hAnsi="宋体" w:eastAsia="宋体"/>
          <w:b/>
          <w:sz w:val="21"/>
          <w:szCs w:val="21"/>
        </w:rPr>
      </w:r>
      <w:r/>
    </w:p>
    <w:p>
      <w:pPr>
        <w:pStyle w:val="649"/>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四、最高限价：人民币壹佰壹拾玖万柒仟壹佰贰拾贰元壹角壹分（￥：</w:t>
      </w:r>
      <w:r>
        <w:rPr>
          <w:rFonts w:ascii="宋体" w:hAnsi="宋体" w:eastAsia="宋体"/>
          <w:b/>
          <w:sz w:val="21"/>
          <w:szCs w:val="21"/>
        </w:rPr>
        <w:t xml:space="preserve">1197122.11</w:t>
      </w:r>
      <w:r>
        <w:rPr>
          <w:rFonts w:hint="eastAsia" w:ascii="宋体" w:hAnsi="宋体" w:eastAsia="宋体"/>
          <w:b/>
          <w:sz w:val="21"/>
          <w:szCs w:val="21"/>
        </w:rPr>
        <w:t xml:space="preserve">）</w:t>
      </w:r>
      <w:r>
        <w:rPr>
          <w:rFonts w:ascii="宋体" w:hAnsi="宋体" w:eastAsia="宋体"/>
          <w:b/>
          <w:sz w:val="21"/>
          <w:szCs w:val="21"/>
        </w:rPr>
      </w:r>
      <w:r/>
    </w:p>
    <w:p>
      <w:pPr>
        <w:pStyle w:val="649"/>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五、采购需求：</w:t>
      </w:r>
      <w:r>
        <w:rPr>
          <w:rFonts w:ascii="宋体" w:hAnsi="宋体" w:eastAsia="宋体"/>
          <w:b/>
          <w:sz w:val="21"/>
          <w:szCs w:val="21"/>
        </w:rPr>
      </w:r>
      <w:r/>
    </w:p>
    <w:p>
      <w:pPr>
        <w:pStyle w:val="649"/>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（一）服务内额概况</w:t>
      </w:r>
      <w:r>
        <w:rPr>
          <w:rFonts w:ascii="宋体" w:hAnsi="宋体" w:eastAsia="宋体" w:cs="宋体"/>
          <w:b/>
          <w:bCs/>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对监管场所弱电设备做好维保服务，确保设备、系统的良好运行。日常要对设备进行定期的预防性维护，做好系统运行的维护工作，及时发现设备存在的潜在隐患并及时处理；当设备发生故障时，维护单位能够及时响应，确保系统设备设施的良好运行。</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如实施过程中存在设备报废等情况，需根据国有资产相关处置流程进行规范处置。</w:t>
      </w:r>
      <w:r>
        <w:rPr>
          <w:rFonts w:ascii="宋体" w:hAnsi="宋体" w:eastAsia="宋体" w:cs="宋体"/>
          <w:color w:val="000000"/>
          <w:sz w:val="21"/>
          <w:szCs w:val="21"/>
        </w:rPr>
      </w:r>
      <w:r/>
    </w:p>
    <w:p>
      <w:pPr>
        <w:pStyle w:val="649"/>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（二）维保范围</w:t>
      </w:r>
      <w:r>
        <w:rPr>
          <w:rFonts w:ascii="宋体" w:hAnsi="宋体" w:eastAsia="宋体" w:cs="宋体"/>
          <w:b/>
          <w:bCs/>
          <w:color w:val="000000"/>
          <w:sz w:val="21"/>
          <w:szCs w:val="21"/>
        </w:rPr>
      </w:r>
      <w:r/>
    </w:p>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1.监管医院监管信息化系统项目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w:t>
            </w:r>
            <w:r>
              <w:rPr>
                <w:rFonts w:ascii="宋体" w:hAnsi="宋体" w:eastAsia="宋体"/>
                <w:sz w:val="21"/>
                <w:szCs w:val="21"/>
              </w:rPr>
              <w:t xml:space="preserve">汇聚交换机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LS-5560X-30C-EI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摄像头</w:t>
            </w:r>
            <w:r>
              <w:rPr>
                <w:rFonts w:ascii="宋体" w:hAnsi="宋体" w:eastAsia="宋体"/>
                <w:sz w:val="21"/>
                <w:szCs w:val="21"/>
              </w:rPr>
              <w:t xml:space="preserve">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DH-IPC-HFW5233M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摄像头</w:t>
            </w:r>
            <w:r>
              <w:rPr>
                <w:rFonts w:ascii="宋体" w:hAnsi="宋体" w:eastAsia="宋体"/>
                <w:sz w:val="21"/>
                <w:szCs w:val="21"/>
              </w:rPr>
              <w:t xml:space="preserve">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DH-SD-49D412U-HN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摄像头</w:t>
            </w:r>
            <w:r>
              <w:rPr>
                <w:rFonts w:ascii="宋体" w:hAnsi="宋体" w:eastAsia="宋体"/>
                <w:sz w:val="21"/>
                <w:szCs w:val="21"/>
              </w:rPr>
              <w:t xml:space="preserve">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DH-IPC-HFW5233M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半球</w:t>
            </w:r>
            <w:r>
              <w:rPr>
                <w:rFonts w:hint="eastAsia" w:ascii="宋体" w:hAnsi="宋体" w:eastAsia="宋体"/>
                <w:sz w:val="21"/>
                <w:szCs w:val="21"/>
              </w:rPr>
              <w:t xml:space="preserve">摄像机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DH-IPC-HDBW5233R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半球</w:t>
            </w:r>
            <w:r>
              <w:rPr>
                <w:rFonts w:hint="eastAsia" w:ascii="宋体" w:hAnsi="宋体" w:eastAsia="宋体"/>
                <w:sz w:val="21"/>
                <w:szCs w:val="21"/>
              </w:rPr>
              <w:t xml:space="preserve">摄像机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DH-IPC-HDBW5233R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半球</w:t>
            </w:r>
            <w:r>
              <w:rPr>
                <w:rFonts w:hint="eastAsia" w:ascii="宋体" w:hAnsi="宋体" w:eastAsia="宋体"/>
                <w:sz w:val="21"/>
                <w:szCs w:val="21"/>
              </w:rPr>
              <w:t xml:space="preserve">摄像机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DH-IPC-HDBW5233R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DH-IPC-HFW5443DM-AS-I1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特写摄像机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DH-IPC-HDBW5233R</w:t>
            </w:r>
            <w:r>
              <w:rPr>
                <w:rFonts w:ascii="宋体" w:hAnsi="宋体" w:eastAsia="宋体"/>
                <w:sz w:val="21"/>
                <w:szCs w:val="21"/>
              </w:rPr>
              <w:t xml:space="preserve">-ZAS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管理调度平台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V1.0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高清NVR</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DH-NVR608-32-4KS2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流媒体服务器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DH-DSS-P8500S3A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DH-DC-IHB645(S)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快鱼</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WAY450HD2X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w:t>
            </w:r>
            <w:r>
              <w:rPr>
                <w:rFonts w:ascii="宋体" w:hAnsi="宋体" w:eastAsia="宋体"/>
                <w:color w:val="000000"/>
                <w:sz w:val="21"/>
                <w:szCs w:val="21"/>
              </w:rPr>
              <w:t xml:space="preserve">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DH-HVR0404FE-S-H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希捷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ST4000VM000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防爆对讲分机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ZY-M7101K3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防爆对讲主机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ZY-S3200DJ-KS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ZY-S3316BJ-N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ZY-S4316H</w:t>
            </w:r>
            <w:r>
              <w:rPr>
                <w:rFonts w:ascii="宋体" w:hAnsi="宋体" w:eastAsia="宋体"/>
                <w:sz w:val="21"/>
                <w:szCs w:val="21"/>
              </w:rPr>
              <w:t xml:space="preserve">J-G</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双门控制器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DS-K2602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磁力锁</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id发卡器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DS-K1F100-D8E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集供电源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明缔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12V10A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DH-NVD1805DH-4I-4K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w:t>
            </w:r>
            <w:r>
              <w:rPr>
                <w:rFonts w:ascii="宋体" w:hAnsi="宋体" w:eastAsia="宋体"/>
                <w:sz w:val="21"/>
                <w:szCs w:val="21"/>
              </w:rPr>
              <w:t xml:space="preserve">-5130S-52P-EI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2.苏州市看守所安防系统数字化升级改造</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LS-S5110-10P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可视对讲分机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ZYDJ-01A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ZYDJ-01B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触摸屏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双门控制器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ZYMJK-02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ZYMJS-01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门禁密码读卡器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ZYMJD-M01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开门按钮</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86型</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标配</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ID卡发卡器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MSMJSF</w:t>
            </w:r>
            <w:r>
              <w:rPr>
                <w:rFonts w:ascii="宋体" w:hAnsi="宋体" w:eastAsia="宋体"/>
                <w:sz w:val="21"/>
                <w:szCs w:val="21"/>
              </w:rPr>
              <w:t xml:space="preserve">-01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电源及箱体</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智能交互终端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ZYJH-01A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触摸一体机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ZYXS-19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ZYDY-02B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人脸识别模块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ZYMK-RL01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ZYBJ-ZJ16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w:t>
            </w:r>
            <w:r>
              <w:rPr>
                <w:rFonts w:ascii="宋体" w:hAnsi="宋体" w:eastAsia="宋体"/>
                <w:sz w:val="21"/>
                <w:szCs w:val="21"/>
              </w:rPr>
              <w:t xml:space="preserve">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报警通讯转换器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ZYBJ-ZH24V</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ZYBJ-32-WIN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外接音箱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ZYKS23B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声光报警器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ZYBJ-HJ24V</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报警联动平台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语音总控平台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EA-5600R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语音分控平台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EA-5600T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六路调音台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ES-6P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IP网络音频采集终端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寻呼话筒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CL-215A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7寸触摸屏桌面式对讲呼叫话筒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有源音箱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EA-5607</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十六路电源控制器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EA-2163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7寸触摸屏桌面式对讲呼叫话筒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壁挂式有源音箱(带100V定压备份功能)</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声浪</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EA-5607NB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工业连接器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220V/32A-3P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光口模块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SFP-GE-LX-SM1310-D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w:t>
            </w:r>
            <w:r>
              <w:rPr>
                <w:rFonts w:ascii="宋体" w:hAnsi="宋体" w:eastAsia="宋体"/>
                <w:sz w:val="21"/>
                <w:szCs w:val="21"/>
              </w:rPr>
              <w:t xml:space="preserve">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3.第四看守所</w:t>
      </w:r>
      <w:r>
        <w:rPr>
          <w:rFonts w:hint="eastAsia" w:ascii="宋体" w:hAnsi="宋体" w:eastAsia="宋体"/>
          <w:color w:val="000000"/>
          <w:sz w:val="21"/>
          <w:szCs w:val="21"/>
        </w:rPr>
        <w:t xml:space="preserve">视频管理</w:t>
      </w:r>
      <w:r>
        <w:rPr>
          <w:rFonts w:ascii="宋体" w:hAnsi="宋体" w:eastAsia="宋体"/>
          <w:color w:val="000000"/>
          <w:sz w:val="21"/>
          <w:szCs w:val="21"/>
        </w:rPr>
        <w:t xml:space="preserve">室搬迁建设</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12路调音台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TS-14PFX-4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S5120V2-28P-LI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GrandEL30K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UPS电池组</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12V120AH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w:t>
            </w:r>
            <w:r>
              <w:rPr>
                <w:rFonts w:ascii="宋体" w:hAnsi="宋体" w:eastAsia="宋体"/>
                <w:sz w:val="21"/>
                <w:szCs w:val="21"/>
              </w:rPr>
              <w:t xml:space="preserve">L460UCM-EF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LED屏幕</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天合光电</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P3.75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TS-338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矩阵输入板（扩容）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DH-VEC0404HH-M70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矩阵输出板（扩容）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DH-VDC0405H-M70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异步网口控制卡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ZH-BM-01-AC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w:t>
            </w:r>
            <w:r>
              <w:rPr>
                <w:rFonts w:ascii="宋体" w:hAnsi="宋体" w:eastAsia="宋体"/>
                <w:color w:val="000000"/>
                <w:sz w:val="21"/>
                <w:szCs w:val="21"/>
              </w:rPr>
              <w:t xml:space="preserve">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ZH-AP-01-MD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SFP-GE-LX-SM1310-D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信息显示终端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海信</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65WR30A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地图显示终端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海信</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65WR30A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4.苏州市第二看守所监区扩建项目智能化</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ascii="宋体" w:hAnsi="宋体" w:eastAsia="宋体"/>
                <w:sz w:val="21"/>
                <w:szCs w:val="21"/>
              </w:rPr>
              <w:t xml:space="preserve">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MS4300V2-28P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DS-GJZ23D-IS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DS-2CD2525ZF-IS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w:t>
            </w:r>
            <w:r>
              <w:rPr>
                <w:rFonts w:ascii="宋体" w:hAnsi="宋体" w:eastAsia="宋体"/>
                <w:color w:val="000000"/>
                <w:sz w:val="21"/>
                <w:szCs w:val="21"/>
              </w:rPr>
              <w:t xml:space="preserve">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DS-2DE7330IW-A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DS-2CD5A26FWD-IZS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DS-2DE7330IW-A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DS-2CD5A26FWD-IZS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DS-2CD5A26FWD-IZ</w:t>
            </w:r>
            <w:r>
              <w:rPr>
                <w:rFonts w:ascii="宋体" w:hAnsi="宋体" w:eastAsia="宋体"/>
                <w:sz w:val="21"/>
                <w:szCs w:val="21"/>
              </w:rPr>
              <w:t xml:space="preserve">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DS-2CD5A26FWD-IZS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DS-GJZ23D-IS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蓄电池</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台达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24V100AH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w:t>
            </w:r>
            <w:r>
              <w:rPr>
                <w:rFonts w:ascii="宋体" w:hAnsi="宋体" w:eastAsia="宋体"/>
                <w:sz w:val="21"/>
                <w:szCs w:val="21"/>
              </w:rPr>
              <w:t xml:space="preserve">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蓄电池屏（柜）</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台达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录音电话</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国威</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WS848-K418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视频系统设备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IDS-8632NX-I8/S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DS-2604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DS-K1T606MF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w:t>
            </w:r>
            <w:r>
              <w:rPr>
                <w:rFonts w:ascii="宋体" w:hAnsi="宋体" w:eastAsia="宋体"/>
                <w:sz w:val="21"/>
                <w:szCs w:val="21"/>
              </w:rPr>
              <w:t xml:space="preserve">4000VX000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DS-GNF9HS04L-H4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视频传输设备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DS-6904UD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DS-2CS54DOB-S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DS-2CD5126EFWD-IZ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输出设备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创维</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H46PJFS-HB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ascii="宋体" w:hAnsi="宋体" w:eastAsia="宋体"/>
                <w:sz w:val="21"/>
                <w:szCs w:val="21"/>
              </w:rPr>
              <w:t xml:space="preserve">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美一</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TBV-ZT8110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美一</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TBV-8T8201A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DS-K1T30OMF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2018.11.18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5.监管医院医疗信息化系统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虚拟化服务器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R540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w:t>
            </w:r>
            <w:r>
              <w:rPr>
                <w:rFonts w:ascii="宋体" w:hAnsi="宋体" w:eastAsia="宋体"/>
                <w:sz w:val="21"/>
                <w:szCs w:val="21"/>
              </w:rPr>
              <w:t xml:space="preserve">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前置机服务器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R540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数据备份一体设备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鼎甲</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DK2110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数据中心存储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SC3020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数据库审计系统</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天融信</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TA-12414-DB-SC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网闸</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启明星辰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GAP-6000-5610BD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核心交换机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w:t>
            </w:r>
            <w:r>
              <w:rPr>
                <w:rFonts w:ascii="宋体" w:hAnsi="宋体" w:eastAsia="宋体"/>
                <w:sz w:val="21"/>
                <w:szCs w:val="21"/>
              </w:rPr>
              <w:t xml:space="preserve">7506E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2019.12.21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6.监管智能化项目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DS-2FP2020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307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鹅颈电容麦克风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ES-338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时序电源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ES-PAD9275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调音</w:t>
            </w:r>
            <w:r>
              <w:rPr>
                <w:rFonts w:ascii="宋体" w:hAnsi="宋体" w:eastAsia="宋体"/>
                <w:sz w:val="21"/>
                <w:szCs w:val="21"/>
              </w:rPr>
              <w:t xml:space="preserve">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YAMAHA</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MG16XU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音频处理器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ES-P880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功放</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ES-350PI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南京恒彩</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P4.75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触摸屏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ZYCM55A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ZYDJ-01B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w:t>
            </w:r>
            <w:r>
              <w:rPr>
                <w:rFonts w:ascii="宋体" w:hAnsi="宋体" w:eastAsia="宋体"/>
                <w:sz w:val="21"/>
                <w:szCs w:val="21"/>
              </w:rPr>
              <w:t xml:space="preserve">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ZYDJ-01A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智能交互终端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ZYJH-01A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触摸一体机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ZYXS-19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触摸一体机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ZYXS-19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车底探测</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MV-PD030001-01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AB门控制器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ZYMJK-02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DS-GNF9HS04-H4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S5720-12TP-LI-AC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台达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HPH120K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大屏拼接单元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DS-D2046NL-WF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IS-TH100-A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IS-TH100-A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视频综合矩阵平台1</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DS-B20-9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视频综合矩阵平台2</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DS-B20-27</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磁盘存储阵列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DS-A71036R/RQ</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云存储管理服务器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DS-A5120RL-CVMN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8口接入交换机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S5720-12TP-LI-AC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w:t>
            </w:r>
            <w:r>
              <w:rPr>
                <w:rFonts w:ascii="宋体" w:hAnsi="宋体" w:eastAsia="宋体"/>
                <w:color w:val="000000"/>
                <w:sz w:val="21"/>
                <w:szCs w:val="21"/>
              </w:rPr>
              <w:t xml:space="preserve">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S5720-28P-LI-AC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S5720-52P-LI-AC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核心交换机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S7706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防火墙</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USG6550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数据管理服务器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PN-SK5607B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吸顶音箱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CA-610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室外音箱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EA-5682A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YAMAHA</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MG16XU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访客管理主机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ZYFKS3007</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指纹柜</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ZYG36C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创维</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M49LA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w:t>
            </w:r>
            <w:r>
              <w:rPr>
                <w:rFonts w:ascii="宋体" w:hAnsi="宋体" w:eastAsia="宋体"/>
                <w:color w:val="000000"/>
                <w:sz w:val="21"/>
                <w:szCs w:val="21"/>
              </w:rPr>
              <w:t xml:space="preserve">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上海广拓</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A7-256Bi-C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ZY-S3316BJ-N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DS-6904UD-T/C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电插锁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DS-K4H250DC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154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配套</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网络核心设备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S7706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w:t>
            </w:r>
            <w:r>
              <w:rPr>
                <w:rFonts w:ascii="宋体" w:hAnsi="宋体" w:eastAsia="宋体"/>
                <w:color w:val="000000"/>
                <w:sz w:val="21"/>
                <w:szCs w:val="21"/>
              </w:rPr>
              <w:t xml:space="preserve">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人脸比对服务器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ZY-RLS400D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报警采集箱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ZYBJ-ZJ16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报警采集箱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ZYBJ-ZJ16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高清单目全景网络摄像机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DS-2CD6735HWD-IZF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174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高清防暴半球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DS-2CD2125HK-GA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333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DS-2CD2T26CA-GA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DS-2CD2T4XYZUV-ABCDEF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星光级高空球机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DS-2DF8226I-WX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高清防暴全景半球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DS-2CD6735HWD-IZF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特写摄像机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DS-2CD5124HWD-IZF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会见摄像头</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DS-2CS54D0B-S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鹅颈电容麦克风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ES-338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R430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报警管理服务器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R430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门禁服务专用服务器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R430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R430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2018.11.9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7.监管智能化项目新增设备采购</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语音程控交换机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思孚（SOPHO）</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iP6000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信息发布屏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ZYAFPT03-X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S5720-12TP-LI-AC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S5720-12TP-LI-AC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DS-2CD2525FST-</w:t>
            </w:r>
            <w:r>
              <w:rPr>
                <w:rFonts w:ascii="宋体" w:hAnsi="宋体" w:eastAsia="宋体"/>
                <w:sz w:val="21"/>
                <w:szCs w:val="21"/>
              </w:rPr>
              <w:t xml:space="preserve">IS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背景音乐系统设备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SENLANG</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EA-5600R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开关电源设备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上海广拓</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DC12V1A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梯控主机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ZYMJK-04-Y</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模块（模块箱）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Coreya-OTE-1712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2020.2.26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8.苏州市“智慧磐石”项目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智能预警跟踪</w:t>
            </w:r>
            <w:r>
              <w:rPr>
                <w:rFonts w:ascii="宋体" w:hAnsi="宋体" w:eastAsia="宋体"/>
                <w:sz w:val="21"/>
                <w:szCs w:val="21"/>
              </w:rPr>
              <w:t xml:space="preserve">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CY-JK0192-XB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多镜头全景拼接摄像机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CY-JK0114-ZD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360°鹰眼摄像机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iDSDP1636ZIX-D/237(5mm)(B)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高清网络球型摄像机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DSDF8237IW-D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视频摄像设备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24V5A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相控阵警戒雷达</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CY-JK072-HH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雷达报警服务器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P410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24口光电交换机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车底安全检查扫描系统</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MV-PD030001-01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延伸拓展型智能集成箱-双屏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CY-SW00508TP19D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延伸拓展型智能集成箱-单屏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CY-SW00508TP19D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广播号角-30W定阻-8欧姆</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TAR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16口千兆电口交换机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SFP-GE-SX-MM850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w:t>
            </w:r>
            <w:r>
              <w:rPr>
                <w:rFonts w:ascii="宋体" w:hAnsi="宋体" w:eastAsia="宋体"/>
                <w:sz w:val="21"/>
                <w:szCs w:val="21"/>
              </w:rPr>
              <w:t xml:space="preserve">S电源-600W-1500WH</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科士达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YDC9101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多业务光端机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CY-GV4D1B1K8/8T2EK4-SCCU2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探照灯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XH-SW091E15T-GX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无线报警接收主机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CY-SW0334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无线报警手持终端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CY-SW0324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单路门禁控制器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CY-MJ021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CY-MJ011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智能型电机锁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DJ02ST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自动闭门器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HT7003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网络版拓展型五色报警系统</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CY-Z3204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语音对讲分机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CY-S1601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应急报警控制终端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w:t>
            </w:r>
            <w:r>
              <w:rPr>
                <w:rFonts w:ascii="宋体" w:hAnsi="宋体" w:eastAsia="宋体"/>
                <w:sz w:val="21"/>
                <w:szCs w:val="21"/>
              </w:rPr>
              <w:t xml:space="preserve">-Z3016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46英寸高清液晶显示器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创维</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M46LED-YC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单路高清视频解码器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VD1004Q</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视频综合平台（全高清编码云节点5套、KVM功能节点1台）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 套</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TENDZONEMCU；TENDZONEMCNE；TENDZONEMCND；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触屏控制键盘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46"LCD大屏拼接单元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DS-D2046NL-C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国标</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LED显示屏控制平台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网络半球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DSCD5126FWD-IZ(2.8mm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IS-SYQ100-A/K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硬盘录像机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DSN-I16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w:t>
            </w:r>
            <w:r>
              <w:rPr>
                <w:rFonts w:ascii="宋体" w:hAnsi="宋体" w:eastAsia="宋体"/>
                <w:sz w:val="21"/>
                <w:szCs w:val="21"/>
              </w:rPr>
              <w:t xml:space="preserve">.23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汇聚交换机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ST4000VX000,4T,5900RPM,3.5",SATA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控制主机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CY-JX071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应急报警控制终端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CY-Z3016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CY-MJ071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值班室电</w:t>
            </w:r>
            <w:r>
              <w:rPr>
                <w:rFonts w:ascii="宋体" w:hAnsi="宋体" w:eastAsia="宋体"/>
                <w:sz w:val="21"/>
                <w:szCs w:val="21"/>
              </w:rPr>
              <w:t xml:space="preserve">容式指纹采集仪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CY-Z6101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联动终端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CY-SW008F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联动服务器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CY-B1501B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网络版拓展型五色报警系统</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CY-Z3204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执勤管控服务器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CY-SW083MB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执勤管控调度台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CY-SW082M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w:t>
            </w:r>
            <w:r>
              <w:rPr>
                <w:rFonts w:ascii="宋体" w:hAnsi="宋体" w:eastAsia="宋体"/>
                <w:color w:val="000000"/>
                <w:sz w:val="21"/>
                <w:szCs w:val="21"/>
              </w:rPr>
              <w:t xml:space="preserve">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反无人机干扰器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UAV-D04JA（V1.1）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六轴无人机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UAV-MX6100A套装F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综合勤务管控系统服务器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CY-iPS100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三维地图服务器及软件模块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CY-iPS100SD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接入网关</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XH-UC081MP-ZX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模拟电话</w:t>
            </w:r>
            <w:r>
              <w:rPr>
                <w:rFonts w:ascii="宋体" w:hAnsi="宋体" w:eastAsia="宋体"/>
                <w:sz w:val="21"/>
                <w:szCs w:val="21"/>
              </w:rPr>
              <w:t xml:space="preserve">接入板卡-8路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XH-UC081LT8-ZX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无线集群接入板卡-2路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XH-UC081WT2-ZX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广播业务接入板卡-2路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XH-UC081BC2-ZX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桌面指挥终端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XH-UC021DT-ZX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移动管控服务器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CY-SW084LS15B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指挥中心</w:t>
            </w:r>
            <w:r>
              <w:rPr>
                <w:rFonts w:ascii="宋体" w:hAnsi="宋体" w:eastAsia="宋体"/>
                <w:sz w:val="21"/>
                <w:szCs w:val="21"/>
              </w:rPr>
              <w:t xml:space="preserve">台式麦克风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QYNS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移动手持终端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CY-SW0091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拓展型智能防暴枪柜</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CY-JX011T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阀控卷绕铅酸电池</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6-SPB-25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通用全钢密码保险箱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CY-JX091GS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离位报警系统定位阅读主机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CY-QZ9001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智能在岗状态监测服务器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CY-AI018LS8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智能语音报警识别终端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CY-AI038LS8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勤务数据采集服务器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CY-Z5230B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勤务数据分析系统服务器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晨鹰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CY-Z5220B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信息引接网闸</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TENDZONE</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MCU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引接地方单位信息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TENDZONE</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MCND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引接目标单位信息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TENDZONE / 惠普</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MCN-100D；HP 27-r174cn；H3C LS-5500V2-30F-EI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2019.3.23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9.视频会议系统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设备名称</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品牌</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型号</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采购时间</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数量</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往期运维结束时间</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高清摄像机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科达</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KEDA MOON50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高清视频会议终端</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科达</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KEDA H800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高清视频会议</w:t>
            </w:r>
            <w:r>
              <w:rPr>
                <w:rFonts w:ascii="宋体" w:hAnsi="宋体" w:eastAsia="宋体"/>
                <w:sz w:val="21"/>
                <w:szCs w:val="21"/>
              </w:rPr>
              <w:t xml:space="preserve">终端</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科达</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KEDA H800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高清视频会议终端</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科达</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KEDA H800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高清摄像机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科达</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KEDA MOON50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鹅颈话筒</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佰特</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BD-8070</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2020.2.27</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10.新建隔离点-远程提讯</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TP-LINK</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TL-SG2008D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w:t>
            </w:r>
            <w:r>
              <w:rPr>
                <w:rFonts w:ascii="宋体" w:hAnsi="宋体" w:eastAsia="宋体"/>
                <w:color w:val="000000"/>
                <w:sz w:val="21"/>
                <w:szCs w:val="21"/>
              </w:rPr>
              <w:t xml:space="preserve">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提审摄像机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DS-65VC0301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IPC2233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特写摄像机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IPC2233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远程</w:t>
            </w:r>
            <w:r>
              <w:rPr>
                <w:rFonts w:hint="eastAsia" w:ascii="宋体" w:hAnsi="宋体" w:eastAsia="宋体"/>
                <w:sz w:val="21"/>
                <w:szCs w:val="21"/>
              </w:rPr>
              <w:t xml:space="preserve">视频</w:t>
            </w:r>
            <w:r>
              <w:rPr>
                <w:rFonts w:ascii="宋体" w:hAnsi="宋体" w:eastAsia="宋体"/>
                <w:sz w:val="21"/>
                <w:szCs w:val="21"/>
              </w:rPr>
              <w:t xml:space="preserve">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DS-65VT0050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远程</w:t>
            </w: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SVR2931-TX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全向麦克风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海天</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HT809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有源音箱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乐好</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207</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国产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配套</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电子笔录</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禾嘉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S3000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2022.7.1</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11.旧有弱电系统改造</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S5120V2-28P-LI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8口接入交换机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S5008PV2-EI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S504</w:t>
            </w:r>
            <w:r>
              <w:rPr>
                <w:rFonts w:ascii="宋体" w:hAnsi="宋体" w:eastAsia="宋体"/>
                <w:sz w:val="21"/>
                <w:szCs w:val="21"/>
              </w:rPr>
              <w:t xml:space="preserve">8PV3-EI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ups蓄电池1</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伯施泰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12V120AH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DH-LM49-S200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台达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HPH120K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拼接单元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DHL460</w:t>
            </w:r>
            <w:r>
              <w:rPr>
                <w:rFonts w:ascii="宋体" w:hAnsi="宋体" w:eastAsia="宋体"/>
                <w:sz w:val="21"/>
                <w:szCs w:val="21"/>
              </w:rPr>
              <w:t xml:space="preserve">UCH-ES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硬盘录像机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DS-7708N-I4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UPS蓄电池2</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伯施泰</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12V100AH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台达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HPH120K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DH-LM49-S200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DH-LM49-S200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海信</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LED65W20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AB门禁控制器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DS-K260XYZ-ABC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拼接屏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DHL460UCH-ES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双门控制器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DS-K260XYZ-ABC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DS-K4H250ESC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门禁密码读卡器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DS-K1107</w:t>
            </w:r>
            <w:r>
              <w:rPr>
                <w:rFonts w:ascii="宋体" w:hAnsi="宋体" w:eastAsia="宋体"/>
                <w:sz w:val="21"/>
                <w:szCs w:val="21"/>
              </w:rPr>
              <w:t xml:space="preserve">MK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电源及箱体</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固尚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GSON-A5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AB门专业电插锁</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云企商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UQS200M4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2020.12.14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12.监所远程提讯指挥系统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S5700-28TP-LI-AC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中小容量视频业务平台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KDM2801A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集中</w:t>
            </w:r>
            <w:r>
              <w:rPr>
                <w:rFonts w:ascii="宋体" w:hAnsi="宋体" w:eastAsia="宋体"/>
                <w:sz w:val="21"/>
                <w:szCs w:val="21"/>
              </w:rPr>
              <w:t xml:space="preserve">存储磁阵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VS200G-32T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数字音频主机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ATBOX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对话管理</w:t>
            </w:r>
            <w:r>
              <w:rPr>
                <w:rFonts w:ascii="宋体" w:hAnsi="宋体" w:eastAsia="宋体"/>
                <w:sz w:val="21"/>
                <w:szCs w:val="21"/>
              </w:rPr>
              <w:t xml:space="preserve">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漫步者</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R1000TC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4路高清视频解码器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KDM2510-D04F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单模模块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光模块-eSFP-GE-单模模块(1310nm10kmLC)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管理计算机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联想</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ThinkCentre M6500t-D303 i5-4590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单路高清视频解码器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科达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KDM2510-D01F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2016.7.12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13.苏州市公安局智慧监管</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Ls-S5110-10P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汇聚交换机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LS-7506E-NonPoE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LS-5130S-52P-EI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可视对讲模块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ZY-D257-KS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ZY-S3200DJ-KS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w:t>
            </w:r>
            <w:r>
              <w:rPr>
                <w:rFonts w:hint="eastAsia" w:ascii="宋体" w:hAnsi="宋体" w:eastAsia="宋体"/>
                <w:sz w:val="21"/>
                <w:szCs w:val="21"/>
              </w:rPr>
              <w:t xml:space="preserve">分机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ZY-M7101KS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229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红外高清防暴半球摄像机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DH-IPC-HDBW5293R-F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防油污摄像机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DH-IPC-HFW7293M-AF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红外高清人脸比对枪机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DH-IPC-HFW8499K-ZF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高清球型摄像机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DH-SD-6C3230UE-HN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摄像头</w:t>
            </w:r>
            <w:r>
              <w:rPr>
                <w:rFonts w:ascii="宋体" w:hAnsi="宋体" w:eastAsia="宋体"/>
                <w:sz w:val="21"/>
                <w:szCs w:val="21"/>
              </w:rPr>
              <w:t xml:space="preserve">球机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DH-SD-6A9230UA-HNI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w:t>
            </w:r>
            <w:r>
              <w:rPr>
                <w:rFonts w:ascii="宋体" w:hAnsi="宋体" w:eastAsia="宋体"/>
                <w:sz w:val="21"/>
                <w:szCs w:val="21"/>
              </w:rPr>
              <w:t xml:space="preserve">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会议主机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DH-VCS-MCU9530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DH-VCS-RRS9016-V2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视频会议主机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DH-VCS-CMS1000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视频会议主机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DH-VCS-TS4000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云存储数据存储节点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DH-CSS7136S-ERD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ST4000NM0025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智能交互终端（人脸识别接口）</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MQ-M7200ZD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固定式巡视触摸屏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ZYXS-19</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电源管理模块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ZY-G4164-DY</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ZY-S3200DJ-KS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一体化终端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飞显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FX-LHD5500G</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呼叫器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飞显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FX204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会议终端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DH-VCS-TS4000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DH-VCS-DD-30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视频会议MCU</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DH-VCS-MCU9530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录播服务器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DH-VCS-RRS9016-V2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w:t>
            </w:r>
            <w:r>
              <w:rPr>
                <w:rFonts w:ascii="宋体" w:hAnsi="宋体" w:eastAsia="宋体"/>
                <w:sz w:val="21"/>
                <w:szCs w:val="21"/>
              </w:rPr>
              <w:t xml:space="preserve">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视频会议管理平台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DH-VCS-CMS1000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FIDEL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F-03-32P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开关电源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ZY-G4164-DY</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风机盘管温控器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FIDEL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FDLTC-04D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118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智能一体化供电模块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Coreya-OTE-1712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w:t>
            </w:r>
            <w:r>
              <w:rPr>
                <w:rFonts w:ascii="宋体" w:hAnsi="宋体" w:eastAsia="宋体"/>
                <w:color w:val="000000"/>
                <w:sz w:val="21"/>
                <w:szCs w:val="21"/>
              </w:rPr>
              <w:t xml:space="preserve">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ZYDY-02A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FIDEL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F/Smooth_1000_RT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交换路由引擎模块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LSQM3MPUB0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交流电源模块,1400W</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LSQM1AC1400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端口板卡1</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HLSQM2GP44TSSC0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端口板卡2</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LSQM2GT48SC0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端口板卡3</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LSQM2GT24PTSSC0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万兆光模块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SFP-XG-SX-MM850-D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SFP-GE-LX-SM1310-A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切换器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山泽</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HV-604W</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2019.11.20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14.看守所电教系统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S5016P-LI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电教服务器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百特</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M-2550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视频编码器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清鹤</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ECD-HD108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电教服务器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百特</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M-2550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w:t>
            </w:r>
            <w:r>
              <w:rPr>
                <w:rFonts w:ascii="宋体" w:hAnsi="宋体" w:eastAsia="宋体"/>
                <w:sz w:val="21"/>
                <w:szCs w:val="21"/>
              </w:rPr>
              <w:t xml:space="preserve">.9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电视广播/点播模块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清鹤</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Clear-A3000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236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15.看守所高清</w:t>
      </w:r>
      <w:r>
        <w:rPr>
          <w:rFonts w:hint="eastAsia" w:ascii="宋体" w:hAnsi="宋体" w:eastAsia="宋体"/>
          <w:color w:val="000000"/>
          <w:sz w:val="21"/>
          <w:szCs w:val="21"/>
        </w:rPr>
        <w:t xml:space="preserve">视频</w:t>
      </w:r>
      <w:r>
        <w:rPr>
          <w:rFonts w:ascii="宋体" w:hAnsi="宋体" w:eastAsia="宋体"/>
          <w:color w:val="000000"/>
          <w:sz w:val="21"/>
          <w:szCs w:val="21"/>
        </w:rPr>
        <w:t xml:space="preserve">系统改造</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LS-S5110-10P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LS-S5110-10P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红外高清防爆半球摄像机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DH-IPC-HDBW5221R-AS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465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w:t>
            </w:r>
            <w:r>
              <w:rPr>
                <w:rFonts w:ascii="宋体" w:hAnsi="宋体" w:eastAsia="宋体"/>
                <w:color w:val="000000"/>
                <w:sz w:val="21"/>
                <w:szCs w:val="21"/>
              </w:rPr>
              <w:t xml:space="preserve">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红外高清防暴一体式枪机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DH-IPC-HFW5221B-AS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单</w:t>
            </w:r>
            <w:r>
              <w:rPr>
                <w:rFonts w:ascii="宋体" w:hAnsi="宋体" w:eastAsia="宋体"/>
                <w:sz w:val="21"/>
                <w:szCs w:val="21"/>
              </w:rPr>
              <w:t xml:space="preserve">目全景摄像机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DH-IPC-HDB8331E-0185B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231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单目全景摄像机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DH-IPC-HDB8331E-0185B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231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枪球联动球</w:t>
            </w:r>
            <w:r>
              <w:rPr>
                <w:rFonts w:hint="eastAsia" w:ascii="宋体" w:hAnsi="宋体" w:eastAsia="宋体"/>
                <w:sz w:val="21"/>
                <w:szCs w:val="21"/>
              </w:rPr>
              <w:t xml:space="preserve">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DH-IPC-HFW7221E-Z-IRA-T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枪球联动球</w:t>
            </w:r>
            <w:r>
              <w:rPr>
                <w:rFonts w:hint="eastAsia" w:ascii="宋体" w:hAnsi="宋体" w:eastAsia="宋体"/>
                <w:sz w:val="21"/>
                <w:szCs w:val="21"/>
              </w:rPr>
              <w:t xml:space="preserve">机</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DH-SD-6A923</w:t>
            </w:r>
            <w:r>
              <w:rPr>
                <w:rFonts w:ascii="宋体" w:hAnsi="宋体" w:eastAsia="宋体"/>
                <w:sz w:val="21"/>
                <w:szCs w:val="21"/>
              </w:rPr>
              <w:t xml:space="preserve">0DF-HNS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DH-IPC-HDBW5221E-Z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特写摄像机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DH-IPC-HFW5221E-Z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高清网络摄像球机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DH-SD-6A9226F-HNI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立式触摸屏指挥控制调度主机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DH-LCS-S100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机柜式调音台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YAMAHA</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MG10XU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高清数字矩阵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DH-M60-7U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网关</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DH-AGS8100-LX-W</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视频管理平台</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DH-DSS-P750-16-D(R)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云存储数据存储节点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DH-CSS7136S-ER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视频矩阵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DH-M60-7U</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后级功放</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TS-350PI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后级功放</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TS-200PI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快鱼</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KYID30NX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快鱼</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KYID30NX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硬盘录像机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DH-NVR5864-4K-YC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网关</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DH-AGS8101-LX-W</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视频管理平台</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DH-DSS-P750-16-D(R)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有线麦克风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TS-338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管理客户端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R730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w:t>
            </w:r>
            <w:r>
              <w:rPr>
                <w:rFonts w:ascii="宋体" w:hAnsi="宋体" w:eastAsia="宋体"/>
                <w:color w:val="000000"/>
                <w:sz w:val="21"/>
                <w:szCs w:val="21"/>
              </w:rPr>
              <w:t xml:space="preserve">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视频管理平台</w:t>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DH-DSS-P750-16-D(R)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高清数字矩阵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DH-M70-4U-E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硬盘录像机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DH-NVR5864-4K-YC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专用</w:t>
            </w:r>
            <w:r>
              <w:rPr>
                <w:rFonts w:hint="eastAsia" w:ascii="宋体" w:hAnsi="宋体" w:eastAsia="宋体"/>
                <w:sz w:val="21"/>
                <w:szCs w:val="21"/>
              </w:rPr>
              <w:t xml:space="preserve">视</w:t>
            </w:r>
            <w:r>
              <w:rPr>
                <w:rFonts w:ascii="宋体" w:hAnsi="宋体" w:eastAsia="宋体"/>
                <w:sz w:val="21"/>
                <w:szCs w:val="21"/>
              </w:rPr>
              <w:t xml:space="preserve">管理平台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DH-DSS-P750-16-D(R)</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网络键盘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DH-NKB3000T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立式触摸屏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w:t>
            </w:r>
            <w:r>
              <w:rPr>
                <w:rFonts w:ascii="宋体" w:hAnsi="宋体" w:eastAsia="宋体"/>
                <w:sz w:val="21"/>
                <w:szCs w:val="21"/>
              </w:rPr>
              <w:t xml:space="preserve">-LCS-S100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4路嵌入式高清解码器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DH-NVD0405DH-4K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DH-NVD0405DH-4K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视频数据</w:t>
            </w: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希捷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2TB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高保真拾音器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快鱼</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KYID30NX</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852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SD存储卡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金士顿</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32GB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万兆光模块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w:t>
            </w:r>
            <w:r>
              <w:rPr>
                <w:rFonts w:ascii="宋体" w:hAnsi="宋体" w:eastAsia="宋体"/>
                <w:sz w:val="21"/>
                <w:szCs w:val="21"/>
              </w:rPr>
              <w:t xml:space="preserve">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SFP-XG-SX-MM850-D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千兆光模块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SFP-GE-LX-SM1310-D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304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4T硬盘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希捷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4TB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621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8路解码板</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DH-VDC0804H-M60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4路编码卡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DH-VEC0404HH-M70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4路解码卡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DH-VDC0404H-M70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w:t>
            </w:r>
            <w:r>
              <w:rPr>
                <w:rFonts w:ascii="宋体" w:hAnsi="宋体" w:eastAsia="宋体"/>
                <w:sz w:val="21"/>
                <w:szCs w:val="21"/>
              </w:rPr>
              <w:t xml:space="preserve">.9.4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8路编码卡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DH-VEC0804HD-M60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8路解码卡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DH-VDC0804H-M60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核心交换机（万兆）</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LS-7506E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汇聚交换机（万兆）</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LS-7506E-NonPoE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云存储元数据服务器(含云存储管理软件软件)</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DH-CSS9064X-800S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2017</w:t>
            </w:r>
            <w:r>
              <w:rPr>
                <w:rFonts w:ascii="宋体" w:hAnsi="宋体" w:eastAsia="宋体"/>
                <w:sz w:val="21"/>
                <w:szCs w:val="21"/>
              </w:rPr>
              <w:t xml:space="preserve">.9.4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16.监管支队指挥中心改造</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S5120V2-28P-LI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无线话筒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T-521UH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无线话筒接收器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T-522S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DH-NVD0905DH-4K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宣讲终端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ZH-ET-01-</w:t>
            </w:r>
            <w:r>
              <w:rPr>
                <w:rFonts w:ascii="宋体" w:hAnsi="宋体" w:eastAsia="宋体"/>
                <w:sz w:val="21"/>
                <w:szCs w:val="21"/>
              </w:rPr>
              <w:t xml:space="preserve">XE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有线话筒</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TS-354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室内小间距LED显示屏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DH-PHSIA1.2-GH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14.58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液晶拼接单元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DHL460UCM-EF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反馈抑制器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TS-224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时序电源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TS-820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音频处理器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ITC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TS-P440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投影仪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夏普</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XG-D5680XA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业务卡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ZH-BM-01-AC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输入板</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DH-VEC0404HH-M70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输出板</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DH-VDC0605H-M70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LED显示屏独立主控</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DH-LCS-S100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w:t>
            </w:r>
            <w:r>
              <w:rPr>
                <w:rFonts w:ascii="宋体" w:hAnsi="宋体" w:eastAsia="宋体"/>
                <w:color w:val="000000"/>
                <w:sz w:val="21"/>
                <w:szCs w:val="21"/>
              </w:rPr>
              <w:t xml:space="preserve">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LED大屏控制器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DH-M70-E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移动客户端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戴尔</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Latitude 3400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调度终端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ZH-CT-65-DD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2021.8.23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17.监管视频智能分析系统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智能视频分析仪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EV8000-CS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R420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w:t>
            </w:r>
            <w:r>
              <w:rPr>
                <w:rFonts w:ascii="宋体" w:hAnsi="宋体" w:eastAsia="宋体"/>
                <w:sz w:val="21"/>
                <w:szCs w:val="21"/>
              </w:rPr>
              <w:t xml:space="preserve">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智能视频分析仪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EV8000-CS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DELL</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PowerEdge R420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智能视频分析仪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EV8000-CS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智能视频分析仪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EV8000-CS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智能视频分析仪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EV8000-CS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2015.10.9</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w:t>
            </w:r>
            <w:r>
              <w:rPr>
                <w:rFonts w:ascii="宋体" w:hAnsi="宋体" w:eastAsia="宋体"/>
                <w:color w:val="000000"/>
                <w:sz w:val="21"/>
                <w:szCs w:val="21"/>
              </w:rPr>
              <w:t xml:space="preserve">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18.苏州市第四看守所监区改造项目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DS-2CD2T26DWD-13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DS-2CD2126FDWDV2-IS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高清单目全景网络摄像机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DS-2CD2726FDWDA2-IZS(2.7-12mm)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全向拾咅器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DS-2FP4021-MD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w:t>
            </w:r>
            <w:r>
              <w:rPr>
                <w:rFonts w:ascii="宋体" w:hAnsi="宋体" w:eastAsia="宋体"/>
                <w:sz w:val="21"/>
                <w:szCs w:val="21"/>
              </w:rPr>
              <w:t xml:space="preserve">.20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大屏拼接单元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DS-VW46/L35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4路解码器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DS-6904UD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前段视频</w:t>
            </w:r>
            <w:r>
              <w:rPr>
                <w:rFonts w:ascii="宋体" w:hAnsi="宋体" w:eastAsia="宋体"/>
                <w:sz w:val="21"/>
                <w:szCs w:val="21"/>
              </w:rPr>
              <w:t xml:space="preserve">管理平台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DS-VM21S-B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硬盘录像机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DS-8632N-I16</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视频数据</w:t>
            </w: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希捷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ST4000NM0035 4T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双门控制器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DS-K2602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门禁密码读卡器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DS-K1104MK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IC卡发卡器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DS-K1F100-D8E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DS-PEAP-CV1</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DS-PEA4H-10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DS-19A08-01BN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报警通讯转换器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DS-19M08-ZS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声光报警器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HC-103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DS-PK-LRT(433MHz)</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英威腾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6KVA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ups蓄电池</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FSP</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100AH</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高清全景半球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DS-2CD2726FDWDA2-IZS(2.7-12mm)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特写摄像机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DS-2CD2726FDWDA2-IZS(2.7-12mm)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12V 2A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全向拾咅器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DS-2FP4021-MD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DS-TH200-A/KB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审讯主</w:t>
            </w:r>
            <w:r>
              <w:rPr>
                <w:rFonts w:ascii="宋体" w:hAnsi="宋体" w:eastAsia="宋体"/>
                <w:sz w:val="21"/>
                <w:szCs w:val="21"/>
              </w:rPr>
              <w:t xml:space="preserve">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DS-GNF9HS04-H4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显示器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AOV</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21.5英寸</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窗口对讲</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德顺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一拖二 10W</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海康威视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3.5英寸4T 7200 128M SATA3</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LS5120V2-28P-LI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汇聚核心交换机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LS-5048PV5-EI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电话机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得力</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录音电话机</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普通话机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得力</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普通话机</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2021.3.20</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19.相城区黄埭综合楼智能化</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S5720S-52P-LI-AC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48口千兆交换机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LS-5130-52S-SI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防暴语音对讲分机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冠霆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GT-DJ10</w:t>
            </w:r>
            <w:r>
              <w:rPr>
                <w:rFonts w:ascii="宋体" w:hAnsi="宋体" w:eastAsia="宋体"/>
                <w:sz w:val="21"/>
                <w:szCs w:val="21"/>
              </w:rPr>
              <w:t xml:space="preserve">0-2-F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语音对讲主机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冠霆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GT-DJ100-2-M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冠霆</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GT-DJ100-2-M</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DH-IPC-HDBW52432R-AS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DH-IPC-HDBW2433DR-AS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DH-IPC-HDBW2433R-AS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高清全景半球网络摄像机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DH-IPC-HDBW8331E</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高清一体枪式网络摄像机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DH-IPC-HFW8499K-ZF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高清半球网络摄像机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DH-IPC-HDBW5243R-AS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17</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高清一体枪式网络摄像机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DH-IPC-HFW8499K-ZF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云存储元数据服务器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DH-CSS9064X-S2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云存储数据存储节点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DH-CSS7336S-ERD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SAS硬盘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希捷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ST4000NM0025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70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视频终端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DH-VCS-TS4000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纯后级功放</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欧比克</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01AVKPA5002(650W)</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DS-6904UD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UPS主机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Proline-31020L</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蓄电池</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山特</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C12-65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高清解码器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DH-NVD0405DH-2I-4K</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前置放大器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欧比克</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01ABKPA2181P</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十路分区器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欧比克</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01ABKPA2184B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汇聚交换机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华为</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S5720S-52P-LI-AC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2020.5.28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20.监所指纹管控系统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指纹识别仪</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鸿达</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2016.7.27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21.监管综合管理平台</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通话分机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ZYD-02C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人像识别摄像机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ZYRL-01Y</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访客管理主机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访客管理主机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二代身份证读卡器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神思</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SS628</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十六路录音</w:t>
            </w:r>
            <w:r>
              <w:rPr>
                <w:rFonts w:hint="eastAsia" w:ascii="宋体" w:hAnsi="宋体" w:eastAsia="宋体"/>
                <w:sz w:val="21"/>
                <w:szCs w:val="21"/>
              </w:rPr>
              <w:t xml:space="preserve">管理</w:t>
            </w:r>
            <w:r>
              <w:rPr>
                <w:rFonts w:ascii="宋体" w:hAnsi="宋体" w:eastAsia="宋体"/>
                <w:sz w:val="21"/>
                <w:szCs w:val="21"/>
              </w:rPr>
              <w:t xml:space="preserve">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2018.8.8</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22.看守所定位管控系统项目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设备名称</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品牌</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型号</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采购时间</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数量</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往期运维结束时间</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48口POE接入交换机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华三</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LS-5130S-52C-PWR-HI</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2020.12.18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26</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w:t>
            </w:r>
            <w:r>
              <w:rPr>
                <w:rFonts w:ascii="宋体" w:hAnsi="宋体" w:eastAsia="宋体"/>
                <w:color w:val="000000"/>
                <w:sz w:val="21"/>
                <w:szCs w:val="21"/>
              </w:rPr>
              <w:t xml:space="preserve">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24口汇聚交换机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华三</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LS-5130S-52C-PWR-HI</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2020.12.18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3</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23.家属远程亲情会见</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ZH-6102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ZH-8110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远程</w:t>
            </w: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ZH-6102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音视频终端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ZH-8110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ZH-6102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音视频终端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ZH-8110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远程视频</w:t>
            </w:r>
            <w:r>
              <w:rPr>
                <w:rFonts w:ascii="宋体" w:hAnsi="宋体" w:eastAsia="宋体"/>
                <w:sz w:val="21"/>
                <w:szCs w:val="21"/>
              </w:rPr>
              <w:t xml:space="preserve">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中慧天迈</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ZH-6102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2021.9.4</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24.武警门禁对讲改造项目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设备名称</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品牌</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型号</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采购时间</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数量</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b/>
                <w:sz w:val="21"/>
                <w:szCs w:val="21"/>
              </w:rPr>
              <w:t xml:space="preserve">往期运维结束时间</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门禁终端</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晨鹰</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CY-MJ012E</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14</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单路门禁控制器</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晨鹰</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CY-MJ021</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7</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智能可视对讲主机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晨鹰</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CY-SW0211</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智能可视对讲分机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晨鹰</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CY-SW0212</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接入交换机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H3C</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S5068PV2</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7</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r>
        <w:trPr>
          <w:cantSplit/>
          <w:trHeight w:val="500"/>
        </w:trPr>
        <w:tc>
          <w:tcPr>
            <w:tcW w:w="2041"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汇聚交换机</w:t>
            </w:r>
            <w:r>
              <w:rPr>
                <w:rFonts w:hint="eastAsia"/>
                <w:sz w:val="21"/>
                <w:szCs w:val="21"/>
              </w:rPr>
            </w:r>
            <w:r/>
          </w:p>
        </w:tc>
        <w:tc>
          <w:tcPr>
            <w:tcW w:w="113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H3C</w:t>
            </w:r>
            <w:r>
              <w:rPr>
                <w:rFonts w:hint="eastAsia"/>
                <w:sz w:val="21"/>
                <w:szCs w:val="21"/>
              </w:rPr>
            </w:r>
            <w:r/>
          </w:p>
        </w:tc>
        <w:tc>
          <w:tcPr>
            <w:tcW w:w="1928"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S5130S-28P-EI</w:t>
            </w:r>
            <w:r>
              <w:rPr>
                <w:rFonts w:hint="eastAsia"/>
                <w:sz w:val="21"/>
                <w:szCs w:val="21"/>
              </w:rPr>
            </w:r>
            <w:r/>
          </w:p>
        </w:tc>
        <w:tc>
          <w:tcPr>
            <w:tcW w:w="1644"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2021.9.8</w:t>
            </w:r>
            <w:r>
              <w:rPr>
                <w:rFonts w:hint="eastAsia"/>
                <w:sz w:val="21"/>
                <w:szCs w:val="21"/>
              </w:rPr>
            </w:r>
            <w:r/>
          </w:p>
        </w:tc>
        <w:tc>
          <w:tcPr>
            <w:tcW w:w="680" w:type="dxa"/>
            <w:vAlign w:val="center"/>
            <w:textDirection w:val="lrTb"/>
            <w:noWrap w:val="false"/>
          </w:tcPr>
          <w:p>
            <w:pPr>
              <w:pStyle w:val="649"/>
              <w:jc w:val="center"/>
              <w:rPr>
                <w:rFonts w:hint="eastAsia"/>
                <w:sz w:val="21"/>
                <w:szCs w:val="21"/>
              </w:rPr>
            </w:pPr>
            <w:r>
              <w:rPr>
                <w:rFonts w:ascii="宋体" w:hAnsi="宋体" w:eastAsia="宋体"/>
                <w:sz w:val="21"/>
                <w:szCs w:val="21"/>
              </w:rPr>
              <w:t xml:space="preserve">1</w:t>
            </w:r>
            <w:r>
              <w:rPr>
                <w:rFonts w:hint="eastAsia"/>
                <w:sz w:val="21"/>
                <w:szCs w:val="21"/>
              </w:rPr>
            </w:r>
            <w:r/>
          </w:p>
        </w:tc>
        <w:tc>
          <w:tcPr>
            <w:tcW w:w="2268" w:type="dxa"/>
            <w:vAlign w:val="center"/>
            <w:textDirection w:val="lrTb"/>
            <w:noWrap w:val="false"/>
          </w:tcPr>
          <w:p>
            <w:pPr>
              <w:pStyle w:val="649"/>
              <w:jc w:val="center"/>
              <w:rPr>
                <w:rFonts w:hint="eastAsia"/>
                <w:sz w:val="21"/>
                <w:szCs w:val="21"/>
              </w:rPr>
            </w:pPr>
            <w:r>
              <w:rPr>
                <w:rFonts w:ascii="宋体" w:hAnsi="宋体" w:eastAsia="宋体"/>
                <w:color w:val="000000"/>
                <w:sz w:val="21"/>
                <w:szCs w:val="21"/>
              </w:rPr>
              <w:t xml:space="preserve">2027.1.18</w:t>
            </w:r>
            <w:r>
              <w:rPr>
                <w:rFonts w:hint="eastAsia"/>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25.看守所监区智能化改造</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 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接入交换机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S5130S-52 P-EI</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防暴对讲分机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ZY-M7101KS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防暴高清半球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DH-IPC-HDBW5293R-HF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防暴高清枪机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DH-IPC-HFW5493K-HF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防暴高清半球</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DH-IPC-HDBW5293R-HF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DH-DC-HH645(S)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内存卡</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DH-PFM130-32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报警采集箱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ZY-S3316BJ-N</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报警通讯转换器</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配套</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SFP-GE-SX-MM850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存储节点</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DH-CSS7136S-ERD</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硬盘</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ST4000NM0025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64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插卡取电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威尔特</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定制</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光模块</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H3C</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SFP-GE-SX-MM850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桌面式防暴对讲主机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展亚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ZY-S3200DJ-KS</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集中电源</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威尔特</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24V10A</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2019.10.16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26.</w:t>
      </w:r>
      <w:r>
        <w:rPr>
          <w:rFonts w:ascii="宋体" w:hAnsi="宋体" w:eastAsia="宋体"/>
          <w:color w:val="000000"/>
          <w:sz w:val="21"/>
          <w:szCs w:val="21"/>
        </w:rPr>
        <w:t xml:space="preserve">审讯系统</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镭彩</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RC-HTT</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插卡取电</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方祥</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相关设备及安装</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2013</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27.老三所行政楼及监区增加设备</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签名捺印一体机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禾嘉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S3000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0</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启明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QMRHT64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签名捺印版</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禾嘉</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S3000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有源音箱</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麦博</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B70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全向麦克风</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得胜</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BM-630C</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远程终端</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DS-65VT205OR/SF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温湿度显示屏</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启明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QMRHT64</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55寸显示器（含安装移动支架）</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创维</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55B20</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DS-65VC0305/SF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w:t>
            </w:r>
            <w:r>
              <w:rPr>
                <w:rFonts w:ascii="宋体" w:hAnsi="宋体" w:eastAsia="宋体"/>
                <w:color w:val="000000"/>
                <w:sz w:val="21"/>
                <w:szCs w:val="21"/>
              </w:rPr>
              <w:t xml:space="preserve">18</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全景摄像机</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海康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DS-SCH5302OE-DS/B</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2020.6.7</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28.</w:t>
      </w:r>
      <w:r>
        <w:rPr>
          <w:rFonts w:hint="eastAsia" w:ascii="宋体" w:hAnsi="宋体" w:eastAsia="宋体"/>
          <w:color w:val="000000"/>
          <w:sz w:val="21"/>
          <w:szCs w:val="21"/>
        </w:rPr>
        <w:t xml:space="preserve">视频</w:t>
      </w:r>
      <w:r>
        <w:rPr>
          <w:rFonts w:ascii="宋体" w:hAnsi="宋体" w:eastAsia="宋体"/>
          <w:color w:val="000000"/>
          <w:sz w:val="21"/>
          <w:szCs w:val="21"/>
        </w:rPr>
        <w:t xml:space="preserve">综合管理平台购置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实战平台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大华</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DH-DSS-P8500S3F</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2022.11.6</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29.协助破案远程指挥设备项目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远程</w:t>
            </w:r>
            <w:r>
              <w:rPr>
                <w:rFonts w:hint="eastAsia" w:ascii="宋体" w:hAnsi="宋体" w:eastAsia="宋体"/>
                <w:sz w:val="21"/>
                <w:szCs w:val="21"/>
              </w:rPr>
              <w:t xml:space="preserve">管理</w:t>
            </w:r>
            <w:r>
              <w:rPr>
                <w:rFonts w:ascii="宋体" w:hAnsi="宋体" w:eastAsia="宋体"/>
                <w:sz w:val="21"/>
                <w:szCs w:val="21"/>
              </w:rPr>
              <w:t xml:space="preserve">设备</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中慧</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ZH-JT1022</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2022.3.22</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color w:val="000000"/>
                <w:sz w:val="21"/>
                <w:szCs w:val="21"/>
              </w:rPr>
              <w:t xml:space="preserve">2027.1.18</w:t>
            </w:r>
            <w:r>
              <w:rPr>
                <w:rFonts w:hint="eastAsia" w:ascii="宋体" w:hAnsi="宋体" w:eastAsia="宋体"/>
                <w:sz w:val="21"/>
                <w:szCs w:val="21"/>
              </w:rPr>
            </w:r>
            <w:r/>
          </w:p>
        </w:tc>
      </w:tr>
    </w:tbl>
    <w:p>
      <w:pPr>
        <w:pStyle w:val="649"/>
        <w:ind w:firstLine="420"/>
        <w:spacing w:line="360" w:lineRule="auto"/>
        <w:rPr>
          <w:rFonts w:hint="eastAsia" w:ascii="宋体" w:hAnsi="宋体" w:eastAsia="宋体"/>
          <w:sz w:val="21"/>
          <w:szCs w:val="21"/>
        </w:rPr>
      </w:pPr>
      <w:r>
        <w:rPr>
          <w:rFonts w:ascii="宋体" w:hAnsi="宋体" w:eastAsia="宋体"/>
          <w:color w:val="000000"/>
          <w:sz w:val="21"/>
          <w:szCs w:val="21"/>
        </w:rPr>
        <w:t xml:space="preserve">30.监管支队中心机房精密空调购置</w:t>
      </w:r>
      <w:r>
        <w:rPr>
          <w:rFonts w:hint="eastAsia" w:ascii="宋体" w:hAnsi="宋体" w:eastAsia="宋体"/>
          <w:sz w:val="21"/>
          <w:szCs w:val="21"/>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设备名称</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品牌</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型号</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采购时间</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数量</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ascii="宋体" w:hAnsi="宋体" w:eastAsia="宋体"/>
                <w:b/>
                <w:sz w:val="21"/>
                <w:szCs w:val="21"/>
              </w:rPr>
              <w:t xml:space="preserve">往期运维结束时间</w:t>
            </w:r>
            <w:r>
              <w:rPr>
                <w:rFonts w:hint="eastAsia"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风冷精密空调系统</w:t>
            </w:r>
            <w:r>
              <w:rPr>
                <w:rFonts w:hint="eastAsia" w:ascii="宋体" w:hAnsi="宋体" w:eastAsia="宋体"/>
                <w:sz w:val="21"/>
                <w:szCs w:val="21"/>
              </w:rPr>
            </w:r>
            <w:r/>
          </w:p>
        </w:tc>
        <w:tc>
          <w:tcPr>
            <w:tcW w:w="113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依米康</w:t>
            </w:r>
            <w:r>
              <w:rPr>
                <w:rFonts w:hint="eastAsia" w:ascii="宋体" w:hAnsi="宋体" w:eastAsia="宋体"/>
                <w:sz w:val="21"/>
                <w:szCs w:val="21"/>
              </w:rPr>
            </w:r>
            <w:r/>
          </w:p>
        </w:tc>
        <w:tc>
          <w:tcPr>
            <w:tcW w:w="1928"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SCA301DES/RCS45</w:t>
            </w:r>
            <w:r>
              <w:rPr>
                <w:rFonts w:hint="eastAsia" w:ascii="宋体" w:hAnsi="宋体" w:eastAsia="宋体"/>
                <w:sz w:val="21"/>
                <w:szCs w:val="21"/>
              </w:rPr>
            </w:r>
            <w:r/>
          </w:p>
        </w:tc>
        <w:tc>
          <w:tcPr>
            <w:tcW w:w="1644"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2023.5.15</w:t>
            </w:r>
            <w:r>
              <w:rPr>
                <w:rFonts w:hint="eastAsia" w:ascii="宋体" w:hAnsi="宋体" w:eastAsia="宋体"/>
                <w:sz w:val="21"/>
                <w:szCs w:val="21"/>
              </w:rPr>
            </w:r>
            <w:r/>
          </w:p>
        </w:tc>
        <w:tc>
          <w:tcPr>
            <w:tcW w:w="680" w:type="dxa"/>
            <w:vAlign w:val="center"/>
            <w:textDirection w:val="lrTb"/>
            <w:noWrap w:val="false"/>
          </w:tcPr>
          <w:p>
            <w:pPr>
              <w:pStyle w:val="649"/>
              <w:jc w:val="center"/>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2268"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color w:val="000000"/>
                <w:sz w:val="21"/>
                <w:szCs w:val="21"/>
              </w:rPr>
              <w:t xml:space="preserve">2026.5.15</w:t>
            </w:r>
            <w:r>
              <w:rPr>
                <w:rFonts w:hint="eastAsia" w:ascii="宋体" w:hAnsi="宋体" w:eastAsia="宋体"/>
                <w:sz w:val="21"/>
                <w:szCs w:val="21"/>
              </w:rPr>
            </w:r>
            <w:r/>
          </w:p>
        </w:tc>
      </w:tr>
    </w:tbl>
    <w:p>
      <w:pPr>
        <w:pStyle w:val="649"/>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31.2010年监管搬家项目</w:t>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134"/>
        <w:gridCol w:w="1928"/>
        <w:gridCol w:w="1644"/>
        <w:gridCol w:w="680"/>
        <w:gridCol w:w="2268"/>
      </w:tblGrid>
      <w:tr>
        <w:trPr>
          <w:cantSplit/>
          <w:trHeight w:val="108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设备名称</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品牌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型号</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采购时间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数量</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hint="eastAsia" w:ascii="宋体" w:hAnsi="宋体" w:eastAsia="宋体"/>
                <w:b/>
                <w:sz w:val="21"/>
                <w:szCs w:val="21"/>
              </w:rPr>
              <w:t xml:space="preserve">往期运维结束时间</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48口交换机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LS-5130S-52P-EI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24口交换机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S5120V2-28P-LI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防火墙</w:t>
            </w:r>
            <w:r>
              <w:rPr>
                <w:rFonts w:ascii="宋体" w:hAnsi="宋体" w:eastAsia="宋体"/>
                <w:sz w:val="21"/>
                <w:szCs w:val="21"/>
              </w:rPr>
            </w:r>
            <w:r/>
          </w:p>
        </w:tc>
        <w:tc>
          <w:tcPr>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华为</w:t>
            </w:r>
            <w:r>
              <w:rPr>
                <w:rFonts w:ascii="宋体" w:hAnsi="宋体" w:eastAsia="宋体"/>
                <w:sz w:val="21"/>
                <w:szCs w:val="21"/>
              </w:rPr>
            </w:r>
            <w:r/>
          </w:p>
        </w:tc>
        <w:tc>
          <w:tcPr>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USG6550</w:t>
            </w:r>
            <w:r/>
          </w:p>
        </w:tc>
        <w:tc>
          <w:tcPr>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8</w:t>
            </w:r>
            <w:r/>
          </w:p>
        </w:tc>
        <w:tc>
          <w:tcPr>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核心交换机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S750</w:t>
            </w:r>
            <w:r>
              <w:rPr>
                <w:rFonts w:ascii="宋体" w:hAnsi="宋体" w:eastAsia="宋体"/>
                <w:sz w:val="21"/>
                <w:szCs w:val="21"/>
              </w:rPr>
              <w:t xml:space="preserve">6E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语音网关</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大华</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DH-AGS8100-LX-W</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顺序电源启动器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ES-PAD9275</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8路嵌入式硬盘录像机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海康威视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DS-7708N-I4</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1T硬盘</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希捷</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1TB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光模块</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SFP-GE-SX-MM850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防火墙业务板模块</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华为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USG6550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网关</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大华</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DH-AGS8100-LX-W</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终端</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联想</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ThinkCentre M6500t-D303 i5-4590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台式网络键盘</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大华</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DH-NKB3000T</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吸顶辅助音箱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CA-610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吸顶主音箱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CA-610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四画面分割器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大华</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DH-VEC0404HH-M70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功放</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ES-350PI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会议话筒</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佰特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BD-8070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55寸液晶彩电</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创维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55B20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声光报警器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展亚</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ZYBJ-HJ24V</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电话报警主机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展亚</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ZY-S3316BJ-N</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声光报警主机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展亚</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ZY-S3316BJ-N</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4编组调音台</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YAMAHA</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MG16XU</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主音箱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PN-SK5607B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辅助音箱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PN-SK5607B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返听音箱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PN-SK5607B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超低音音箱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PN-SK5607B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主音箱功放</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ES-350PI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辅助音箱功放</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ES-350PI</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返听功放</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ES-350PI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超低音功放</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ES-350PI</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无线话筒</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ITC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T-521UH</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电源时序器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ES-PAD9275</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投影机</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夏普</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XG-D5680XA</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扩声音箱</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SENLANG</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PN-SK5607B</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双手持无线话筒</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ITC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T-521UH</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649"/>
              <w:jc w:val="center"/>
              <w:rPr>
                <w:rFonts w:ascii="宋体" w:hAnsi="宋体" w:eastAsia="宋体"/>
                <w:sz w:val="21"/>
                <w:szCs w:val="21"/>
              </w:rPr>
            </w:pPr>
            <w:r>
              <w:rPr>
                <w:rFonts w:hint="eastAsia" w:ascii="宋体" w:hAnsi="宋体" w:eastAsia="宋体"/>
                <w:sz w:val="21"/>
                <w:szCs w:val="21"/>
              </w:rPr>
              <w:t xml:space="preserve">反馈抑制器</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ITC</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TS-224</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2013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49"/>
              <w:jc w:val="center"/>
              <w:rPr>
                <w:rFonts w:ascii="宋体" w:hAnsi="宋体" w:eastAsia="宋体"/>
                <w:sz w:val="21"/>
                <w:szCs w:val="21"/>
              </w:rPr>
            </w:pPr>
            <w:r>
              <w:rPr>
                <w:rFonts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9"/>
              <w:jc w:val="center"/>
              <w:rPr>
                <w:rFonts w:ascii="宋体" w:hAnsi="宋体" w:eastAsia="宋体"/>
                <w:sz w:val="21"/>
                <w:szCs w:val="21"/>
              </w:rPr>
            </w:pPr>
            <w:r>
              <w:rPr>
                <w:rFonts w:ascii="宋体" w:hAnsi="宋体" w:eastAsia="宋体"/>
                <w:color w:val="000000"/>
                <w:sz w:val="21"/>
                <w:szCs w:val="21"/>
              </w:rPr>
              <w:t xml:space="preserve">2027.1.18</w:t>
            </w:r>
            <w:r>
              <w:rPr>
                <w:rFonts w:ascii="宋体" w:hAnsi="宋体" w:eastAsia="宋体"/>
                <w:sz w:val="21"/>
                <w:szCs w:val="21"/>
              </w:rPr>
            </w:r>
            <w:r/>
          </w:p>
        </w:tc>
      </w:tr>
    </w:tbl>
    <w:p>
      <w:pPr>
        <w:pStyle w:val="64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649"/>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（三）维保服务内容和要求</w:t>
      </w:r>
      <w:r>
        <w:rPr>
          <w:rFonts w:ascii="宋体" w:hAnsi="宋体" w:eastAsia="宋体" w:cs="宋体"/>
          <w:b/>
          <w:bCs/>
          <w:color w:val="000000"/>
          <w:sz w:val="21"/>
          <w:szCs w:val="21"/>
        </w:rPr>
      </w:r>
      <w:r/>
    </w:p>
    <w:p>
      <w:pPr>
        <w:pStyle w:val="649"/>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、本项目采取包工包料的大包干形式为采购人提供服务。即在维护期内包含系统维护所需的所有零配件更换、人工等一切费用。</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、响应单位应建立必须的备品备件库来保证维修的及时进行。若服务提供方在故障维修中用备品备件顶替原设备运行，则换下的故障设备应在最短时间内送修后作为备品备件，其中所发生的一切费用由维护方承担</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如无法修复，维护方应购置相同产品</w:t>
      </w:r>
      <w:r>
        <w:rPr>
          <w:rFonts w:hint="eastAsia" w:ascii="宋体" w:hAnsi="宋体" w:eastAsia="宋体" w:cs="宋体"/>
          <w:color w:val="000000"/>
          <w:sz w:val="21"/>
          <w:szCs w:val="21"/>
        </w:rPr>
        <w:t xml:space="preserve">，作为备品备件。</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响应单位应为本项目准备专用的仓库用于备品备件、仪器仪表的存放和管理，应自担风险和费用，负责维修备件和材料在运抵现场前的仓储和保管，除此之外应确保关键系统硬件设备的备品备件快速及时到位，提供现场支持服务，建立设备故障备品备件供应到现场的切实可行的方案，备品备件到采购方现场的最长时间不应超过</w:t>
      </w:r>
      <w:r>
        <w:rPr>
          <w:rFonts w:ascii="宋体" w:hAnsi="宋体" w:eastAsia="宋体" w:cs="宋体"/>
          <w:color w:val="000000"/>
          <w:sz w:val="21"/>
          <w:szCs w:val="21"/>
        </w:rPr>
        <w:t xml:space="preserve">48</w:t>
      </w:r>
      <w:r>
        <w:rPr>
          <w:rFonts w:hint="eastAsia" w:ascii="宋体" w:hAnsi="宋体" w:eastAsia="宋体" w:cs="宋体"/>
          <w:color w:val="000000"/>
          <w:sz w:val="21"/>
          <w:szCs w:val="21"/>
        </w:rPr>
        <w:t xml:space="preserve">小时；若响应单位解决不了问题，需请求第三方解决，产生的费用由响应单位承担。</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在现有设备范围内，响应单位应对采购方信息系统进行定期的维护管理和配置优化，确保采购方整个信息系统运转的高效、稳定和安全，减少和避免系统性能瓶颈，杜绝信息系统安全事故，并且能根据采购方需要，提供信息系统运行的合理化建议和方案。</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响应单位应定期检查采购方存储系统的运行状态，确保数据存储安全可靠，确保系统的可恢复性，及时根据采购方的数据存储量和数据安全要求问题，及时调整数据备份策略，保证备份存储介质的可用性和安全性，及时更换存在故障的存储备份设备。</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6、必须提供</w:t>
      </w:r>
      <w:r>
        <w:rPr>
          <w:rFonts w:ascii="宋体" w:hAnsi="宋体" w:eastAsia="宋体" w:cs="宋体"/>
          <w:color w:val="000000"/>
          <w:sz w:val="21"/>
          <w:szCs w:val="21"/>
        </w:rPr>
        <w:t xml:space="preserve">7*24</w:t>
      </w:r>
      <w:r>
        <w:rPr>
          <w:rFonts w:hint="eastAsia" w:ascii="宋体" w:hAnsi="宋体" w:eastAsia="宋体" w:cs="宋体"/>
          <w:color w:val="000000"/>
          <w:sz w:val="21"/>
          <w:szCs w:val="21"/>
        </w:rPr>
        <w:t xml:space="preserve">小时备件及现场支持服务。</w:t>
      </w:r>
      <w:r>
        <w:rPr>
          <w:rFonts w:ascii="宋体" w:hAnsi="宋体" w:eastAsia="宋体" w:cs="宋体"/>
          <w:color w:val="000000"/>
          <w:sz w:val="21"/>
          <w:szCs w:val="21"/>
        </w:rPr>
      </w:r>
      <w:r/>
    </w:p>
    <w:p>
      <w:pPr>
        <w:pStyle w:val="649"/>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7、维保设备清单中的不同设备构成了不同的系统，统称为智慧监管系统。包含前端数据存储系统、网络系统、智能交互系统等</w:t>
      </w: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个系统，响应单位</w:t>
      </w:r>
      <w:r>
        <w:rPr>
          <w:rFonts w:hint="eastAsia" w:ascii="宋体" w:hAnsi="宋体" w:eastAsia="宋体" w:cs="宋体"/>
          <w:color w:val="000000"/>
          <w:sz w:val="21"/>
          <w:szCs w:val="21"/>
        </w:rPr>
        <w:t xml:space="preserve">应在进行设备维保的同时，保证</w:t>
      </w: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个系统的正常稳定运行，具体标准如下：</w:t>
      </w:r>
      <w:r>
        <w:rPr>
          <w:rFonts w:ascii="宋体" w:hAnsi="宋体" w:eastAsia="宋体" w:cs="宋体"/>
          <w:color w:val="000000"/>
          <w:sz w:val="21"/>
          <w:szCs w:val="21"/>
        </w:rPr>
      </w:r>
      <w:r/>
    </w:p>
    <w:tbl>
      <w:tblPr>
        <w:tblW w:w="9639"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693"/>
        <w:gridCol w:w="6237"/>
      </w:tblGrid>
      <w:tr>
        <w:trPr>
          <w:trHeight w:val="42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rPr>
                <w:rFonts w:hint="eastAsia" w:ascii="宋体" w:hAnsi="宋体" w:eastAsia="宋体"/>
                <w:b/>
                <w:bCs/>
                <w:sz w:val="21"/>
                <w:szCs w:val="21"/>
              </w:rPr>
            </w:pPr>
            <w:r>
              <w:rPr>
                <w:rFonts w:hint="eastAsia" w:ascii="宋体" w:hAnsi="宋体" w:eastAsia="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b/>
                <w:bCs/>
                <w:sz w:val="21"/>
                <w:szCs w:val="21"/>
              </w:rPr>
            </w:pPr>
            <w:r>
              <w:rPr>
                <w:rFonts w:hint="eastAsia" w:ascii="宋体" w:hAnsi="宋体" w:eastAsia="宋体"/>
                <w:b/>
                <w:bCs/>
                <w:sz w:val="21"/>
                <w:szCs w:val="21"/>
              </w:rPr>
              <w:t xml:space="preserve">系统名称</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rPr>
                <w:rFonts w:hint="eastAsia" w:ascii="宋体" w:hAnsi="宋体" w:eastAsia="宋体"/>
                <w:b/>
                <w:bCs/>
                <w:sz w:val="21"/>
                <w:szCs w:val="21"/>
              </w:rPr>
            </w:pPr>
            <w:r>
              <w:rPr>
                <w:rFonts w:hint="eastAsia" w:ascii="宋体" w:hAnsi="宋体" w:eastAsia="宋体"/>
                <w:b/>
                <w:bCs/>
                <w:sz w:val="21"/>
                <w:szCs w:val="21"/>
              </w:rPr>
              <w:t xml:space="preserve">正常稳定运行标准</w:t>
            </w:r>
            <w:r/>
          </w:p>
        </w:tc>
      </w:tr>
      <w:tr>
        <w:trPr>
          <w:trHeight w:val="12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前端数据存储系统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spacing w:line="360" w:lineRule="auto"/>
              <w:rPr>
                <w:rFonts w:hint="eastAsia" w:ascii="宋体" w:hAnsi="宋体" w:eastAsia="宋体" w:cs="宋体"/>
                <w:sz w:val="21"/>
                <w:szCs w:val="21"/>
              </w:rPr>
            </w:pPr>
            <w:r>
              <w:rPr>
                <w:rFonts w:hint="eastAsia" w:ascii="宋体" w:hAnsi="宋体" w:eastAsia="宋体" w:cs="宋体"/>
                <w:sz w:val="21"/>
                <w:szCs w:val="21"/>
              </w:rPr>
              <w:t xml:space="preserve">前端摄像机7*24h无故障运行，</w:t>
            </w:r>
            <w:r>
              <w:rPr>
                <w:rFonts w:hint="eastAsia" w:ascii="宋体" w:hAnsi="宋体" w:eastAsia="宋体"/>
                <w:sz w:val="21"/>
                <w:szCs w:val="21"/>
              </w:rPr>
              <w:t xml:space="preserve">前端数据</w:t>
            </w:r>
            <w:r>
              <w:rPr>
                <w:rFonts w:hint="eastAsia" w:ascii="宋体" w:hAnsi="宋体" w:eastAsia="宋体" w:cs="宋体"/>
                <w:sz w:val="21"/>
                <w:szCs w:val="21"/>
              </w:rPr>
              <w:t xml:space="preserve">存储24小时连续录像，检查录像资料保存周期应不小于30天，安防管理设备正常运行，发生故障时，需恢复原系统，接入大数据平台并保障数据资源及时上传。</w:t>
            </w:r>
            <w:r/>
          </w:p>
        </w:tc>
      </w:tr>
      <w:tr>
        <w:trPr>
          <w:trHeight w:val="41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网络系统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公安网、局域网、互联网等网络系统7*24h正常稳定运行。局域网通过网络安全措施接入到公安网，实现民警对视音频信号的调取。</w:t>
            </w:r>
            <w:r/>
          </w:p>
        </w:tc>
      </w:tr>
      <w:tr>
        <w:trPr>
          <w:trHeight w:val="4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智能交互系统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室内智能交互终端正常运行，发生故障时，需恢复原系统，接入大数据平台并保障数据资源及时上传。</w:t>
            </w:r>
            <w:r/>
          </w:p>
        </w:tc>
      </w:tr>
      <w:tr>
        <w:trPr>
          <w:trHeight w:val="86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巡控管理系统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室内巡控管理通道触摸一体机正常运行，发生故障时，需恢复原系统，接入大数据平台并保障数据资源及时。</w:t>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人员报告系统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对讲设备正常运行，发生故障时，需恢复原系统，接入大数据平台并保障数据资源及时上传。</w:t>
            </w:r>
            <w:r/>
          </w:p>
        </w:tc>
      </w:tr>
      <w:tr>
        <w:trPr>
          <w:trHeight w:val="38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同步录音录像系统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安防管理设备正常运行。</w:t>
            </w:r>
            <w:r/>
          </w:p>
        </w:tc>
      </w:tr>
      <w:tr>
        <w:trPr>
          <w:trHeight w:val="7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前端数据指挥调度系统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前端指挥调度终端7*24h无故障运行，发生故障时，需恢复原系统，接入指挥调度平台并保障数据资源及时上传，实现上下级指挥调度。</w:t>
            </w:r>
            <w:r/>
          </w:p>
        </w:tc>
      </w:tr>
      <w:tr>
        <w:trPr>
          <w:trHeight w:val="78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应急报警系统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设备7*24h运</w:t>
            </w:r>
            <w:r>
              <w:rPr>
                <w:rFonts w:hint="eastAsia" w:ascii="宋体" w:hAnsi="宋体" w:eastAsia="宋体" w:cs="宋体"/>
                <w:sz w:val="21"/>
                <w:szCs w:val="21"/>
              </w:rPr>
              <w:t xml:space="preserve">行，发生紧急情况能正常使用。报警设备正常运行，发生故障时，需恢复原系统，接入大数据平台并保障数据资源及时上传。</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AB门门禁系统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设备7*24h运行，发生紧急情况能正常使用。</w:t>
            </w:r>
            <w:r/>
          </w:p>
        </w:tc>
      </w:tr>
      <w:tr>
        <w:trPr>
          <w:trHeight w:val="61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智能电教系统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运行正常，对所涉平台软件功能维护进行技术支持及原平台相关代码软件版本进行升级。</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机房系统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UPS主机7*24h，能给设备正常供电。机房系统7*24h正常稳定运行</w:t>
            </w:r>
            <w:r/>
          </w:p>
        </w:tc>
      </w:tr>
      <w:tr>
        <w:trPr>
          <w:trHeight w:val="33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违禁品检查系统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设备7*24h运行。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短信平台</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短信通道设备正常运行。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前端采集系统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前端采集摄像机正常运行。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警务公开系统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警务公开触摸屏正常运行，对所涉平台软件功能维护进行技术支持及原平台相关代码软件版本进行升级。</w:t>
            </w:r>
            <w:r/>
          </w:p>
        </w:tc>
      </w:tr>
      <w:tr>
        <w:trPr>
          <w:trHeight w:val="86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视频智能分析系统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视频图像能7*24h进行分析，保障对发生在监所内外、监舍内的各种异常行为的分级分类的预警分析和实时报警，对所涉平台软件功能维护进行技术支持及原平台相关代码软件版本进行升级。</w:t>
            </w:r>
            <w:r/>
          </w:p>
        </w:tc>
      </w:tr>
      <w:tr>
        <w:trPr>
          <w:trHeight w:val="34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远程单双向会见系统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远程视频会见系统设备运行正常。</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监所访客系统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访客管理主机正常运行，身份信息与市局进行对接。</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信息发布系统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设备7*24h运行。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多媒体系统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显示系</w:t>
            </w:r>
            <w:r>
              <w:rPr>
                <w:rFonts w:hint="eastAsia" w:ascii="宋体" w:hAnsi="宋体" w:eastAsia="宋体" w:cs="宋体"/>
                <w:sz w:val="21"/>
                <w:szCs w:val="21"/>
              </w:rPr>
              <w:t xml:space="preserve">统画面显示及保障扩声系统正常使用。</w:t>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智能前端子系统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前端摄像机7*24h无故障运行，前端数据存储24小时连续录像，检查录像资料保存周期应不小于30天，安防管理设备正常运行，发生故障时，需恢复原系统，接入平台并保障数据资源及时上传。</w:t>
            </w:r>
            <w:r/>
          </w:p>
        </w:tc>
      </w:tr>
      <w:tr>
        <w:trPr>
          <w:trHeight w:val="31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周界防控子系统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相控阵雷达设备运行正常。</w:t>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AB门车行通道管理子系统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AB门车行通道装置和车底高清扫描成像系统设备运行正常。</w:t>
            </w:r>
            <w:r/>
          </w:p>
        </w:tc>
      </w:tr>
      <w:tr>
        <w:trPr>
          <w:trHeight w:val="3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点位管理子系统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点位集成箱等各类执勤装备正常运行。</w:t>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联动报警子系统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报警设备正常运行，能7*24h实现与上级机关、目标单位、友邻中队一点触警、同步感知、多级响应，语音、视频、报警等，需要保障看守所报警信号与相关单位信号联动处置。</w:t>
            </w:r>
            <w:r/>
          </w:p>
        </w:tc>
      </w:tr>
      <w:tr>
        <w:trPr>
          <w:trHeight w:val="43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智能处置子系统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智能处置设备正常运行。</w:t>
            </w:r>
            <w:r/>
          </w:p>
        </w:tc>
      </w:tr>
      <w:tr>
        <w:trPr>
          <w:trHeight w:val="41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勤务管理子系统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系统功能运行正常。</w:t>
            </w:r>
            <w:r/>
          </w:p>
        </w:tc>
      </w:tr>
      <w:tr>
        <w:trPr>
          <w:trHeight w:val="57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三维实景子系统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三维地图正常运行，重点部位进行7*24h重点监测，保障全景画面显示。</w:t>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移动互联子系统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系统功能运行正常。</w:t>
            </w:r>
            <w:r/>
          </w:p>
        </w:tc>
      </w:tr>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安全管理子系统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点位执勤设备规范管理，确保管理系统正常运行。</w:t>
            </w:r>
            <w:r/>
          </w:p>
        </w:tc>
      </w:tr>
      <w:tr>
        <w:trPr>
          <w:trHeight w:val="33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行为感知子系统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行为感知系统7*24h正常运行。</w:t>
            </w:r>
            <w:r/>
          </w:p>
        </w:tc>
      </w:tr>
      <w:tr>
        <w:trPr>
          <w:trHeight w:val="26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语音识别子系统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智能语音识别报警</w:t>
            </w:r>
            <w:r>
              <w:rPr>
                <w:rFonts w:hint="eastAsia" w:ascii="宋体" w:hAnsi="宋体" w:eastAsia="宋体" w:cs="宋体"/>
                <w:sz w:val="21"/>
                <w:szCs w:val="21"/>
              </w:rPr>
              <w:t xml:space="preserve">系统7*24h正常运行。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门禁系统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确保相关设备提供7*24h人员认证与进出的正常运行。</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广播系统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广播设备运行正常。</w:t>
            </w:r>
            <w:r/>
          </w:p>
        </w:tc>
      </w:tr>
      <w:tr>
        <w:trP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49"/>
              <w:jc w:val="center"/>
              <w:rPr>
                <w:rFonts w:hint="eastAsia" w:ascii="宋体" w:hAnsi="宋体" w:eastAsia="宋体"/>
                <w:sz w:val="21"/>
                <w:szCs w:val="21"/>
              </w:rPr>
            </w:pPr>
            <w:r>
              <w:rPr>
                <w:rFonts w:hint="eastAsia" w:ascii="宋体" w:hAnsi="宋体" w:eastAsia="宋体"/>
                <w:sz w:val="21"/>
                <w:szCs w:val="21"/>
              </w:rPr>
              <w:t xml:space="preserve">监区对讲警情处置系统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4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平台 7×24 小时稳定运行，实现民警手动登记、终端智能报警双来源指令接入；支持指令下发、指派、流转全流程操作；自动关联前端回放，实现处警全程留痕；具备领导审批、历史追溯、数据统计分析功能；与现有对讲系统、前端系统、门禁系统实现无缝联动。</w:t>
            </w:r>
            <w:r/>
          </w:p>
        </w:tc>
      </w:tr>
    </w:tbl>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注明：除应保证以上设备和系统正常运行外，响应单位还应满足以下维保要求：</w:t>
      </w:r>
      <w:r>
        <w:rPr>
          <w:rFonts w:ascii="宋体" w:hAnsi="宋体" w:eastAsia="宋体"/>
          <w:b/>
          <w:bCs/>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①响应单位在服务期内应根据采购方需要，对维保设备清单中的设备上的软件提供免费的升级、优化、提升等服务，确保系统的稳定高效安全运行。</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②须采取相应措施，结合公安特定行业要求，针对核心业务数据库进行物理性及结构性优化，包括性能加速、磁盘卷分配、数据文件布局、升级等措施，提升核心业务数据库的可用性和数据安全。</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③定期检查维保设备上的在线备份系统运行的状态，根据采购方数据增长情况来及时调整数据备份策略，确保备份数据的可恢复性；定期对操作系统及数据库系统进行系统备份，并在需要时实施恢复操作。</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④须针对监区对讲警情处置系统建立常态化安全巡检机制，定期</w:t>
      </w:r>
      <w:r>
        <w:rPr>
          <w:rFonts w:hint="eastAsia" w:ascii="宋体" w:hAnsi="宋体" w:eastAsia="宋体"/>
          <w:sz w:val="21"/>
          <w:szCs w:val="21"/>
        </w:rPr>
        <w:t xml:space="preserve">开展系统信息安全巡检，覆盖平台应用、接口服务、数据库、对接链路、前端交互终端、对讲主机等软硬件。结合采购方监管业务需求变化，及时研判安全风险，动态调整、持续优化安全防护策略，优化访问权限控制、接口鉴权、操作审计、数据传输防护等配置，保障平台安全策略适配业务场景，确保监区对讲警情处置平台持续处于最佳安全防护状态，防范越权访问、违规调用、数据泄露等安全风险。</w:t>
      </w:r>
      <w:r>
        <w:rPr>
          <w:rFonts w:ascii="宋体" w:hAnsi="宋体" w:eastAsia="宋体"/>
          <w:sz w:val="21"/>
          <w:szCs w:val="21"/>
        </w:rPr>
      </w:r>
      <w:r/>
    </w:p>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（四）项目实施具体要求</w:t>
      </w:r>
      <w:r>
        <w:rPr>
          <w:rFonts w:ascii="宋体" w:hAnsi="宋体" w:eastAsia="宋体"/>
          <w:b/>
          <w:bCs/>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1.</w:t>
      </w:r>
      <w:r>
        <w:rPr>
          <w:rFonts w:hint="eastAsia" w:ascii="宋体" w:hAnsi="宋体" w:eastAsia="宋体"/>
          <w:b/>
          <w:bCs/>
          <w:sz w:val="21"/>
          <w:szCs w:val="21"/>
        </w:rPr>
        <w:t xml:space="preserve">方案要求：</w:t>
      </w:r>
      <w:r>
        <w:rPr>
          <w:rFonts w:hint="eastAsia" w:ascii="宋体" w:hAnsi="宋体" w:eastAsia="宋体"/>
          <w:sz w:val="21"/>
          <w:szCs w:val="21"/>
        </w:rPr>
        <w:t xml:space="preserve">响应单位须在响应文件中提供如下方案：根据智慧监管要求的建设系统提供项目整体维保技术方案；根据公安监管场所数据保密制度及设备维修数据安全系统还原提供数据安全保密方案；根据网络环境通道的服务能力保障提供数据通道服务方案；根据响应文件中采用科技信息化手段提供维保实施方案；根据人员配备及调用方案提供人员配备方案；根据维保项目特别常见的故障分析及处理方法提供重点难点分析方案；根据重大活动、重大节日等提供应急保护措施方案；根据前端、门禁、存储等系统提供对接升级方案。</w:t>
      </w:r>
      <w:r>
        <w:rPr>
          <w:rFonts w:ascii="宋体" w:hAnsi="宋体" w:eastAsia="宋体"/>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2.</w:t>
      </w:r>
      <w:r>
        <w:rPr>
          <w:rFonts w:hint="eastAsia" w:ascii="宋体" w:hAnsi="宋体" w:eastAsia="宋体"/>
          <w:b/>
          <w:bCs/>
          <w:sz w:val="21"/>
          <w:szCs w:val="21"/>
        </w:rPr>
        <w:t xml:space="preserve">服务时间及设备承诺要求：</w:t>
      </w:r>
      <w:r>
        <w:rPr>
          <w:rFonts w:hint="eastAsia" w:ascii="宋体" w:hAnsi="宋体" w:eastAsia="宋体"/>
          <w:sz w:val="21"/>
          <w:szCs w:val="21"/>
        </w:rPr>
        <w:t xml:space="preserve">响应单位须负责提供</w:t>
      </w:r>
      <w:r>
        <w:rPr>
          <w:rFonts w:ascii="宋体" w:hAnsi="宋体" w:eastAsia="宋体"/>
          <w:sz w:val="21"/>
          <w:szCs w:val="21"/>
        </w:rPr>
        <w:t xml:space="preserve">7*24</w:t>
      </w:r>
      <w:r>
        <w:rPr>
          <w:rFonts w:hint="eastAsia" w:ascii="宋体" w:hAnsi="宋体" w:eastAsia="宋体"/>
          <w:sz w:val="21"/>
          <w:szCs w:val="21"/>
        </w:rPr>
        <w:t xml:space="preserve">小时应急响应服务，包括应急维修服务、应急备机提供服务。全年不限次数提供应急响应服务，并及时赶到故障现场进行维护服务</w:t>
      </w:r>
      <w:r>
        <w:rPr>
          <w:rFonts w:hint="eastAsia" w:ascii="宋体" w:hAnsi="宋体" w:eastAsia="宋体"/>
          <w:sz w:val="21"/>
          <w:szCs w:val="21"/>
        </w:rPr>
        <w:t xml:space="preserve">，接到报修后必须在</w:t>
      </w:r>
      <w:r>
        <w:rPr>
          <w:rFonts w:ascii="宋体" w:hAnsi="宋体" w:eastAsia="宋体"/>
          <w:sz w:val="21"/>
          <w:szCs w:val="21"/>
        </w:rPr>
        <w:t xml:space="preserve">30</w:t>
      </w:r>
      <w:r>
        <w:rPr>
          <w:rFonts w:hint="eastAsia" w:ascii="宋体" w:hAnsi="宋体" w:eastAsia="宋体"/>
          <w:sz w:val="21"/>
          <w:szCs w:val="21"/>
        </w:rPr>
        <w:t xml:space="preserve">分钟内响应，</w:t>
      </w:r>
      <w:r>
        <w:rPr>
          <w:rFonts w:ascii="宋体" w:hAnsi="宋体" w:eastAsia="宋体"/>
          <w:sz w:val="21"/>
          <w:szCs w:val="21"/>
        </w:rPr>
        <w:t xml:space="preserve">4</w:t>
      </w:r>
      <w:r>
        <w:rPr>
          <w:rFonts w:hint="eastAsia" w:ascii="宋体" w:hAnsi="宋体" w:eastAsia="宋体"/>
          <w:sz w:val="21"/>
          <w:szCs w:val="21"/>
        </w:rPr>
        <w:t xml:space="preserve">小时到达进行抢修，系统故障</w:t>
      </w:r>
      <w:r>
        <w:rPr>
          <w:rFonts w:ascii="宋体" w:hAnsi="宋体" w:eastAsia="宋体"/>
          <w:sz w:val="21"/>
          <w:szCs w:val="21"/>
        </w:rPr>
        <w:t xml:space="preserve">12</w:t>
      </w:r>
      <w:r>
        <w:rPr>
          <w:rFonts w:hint="eastAsia" w:ascii="宋体" w:hAnsi="宋体" w:eastAsia="宋体"/>
          <w:sz w:val="21"/>
          <w:szCs w:val="21"/>
        </w:rPr>
        <w:t xml:space="preserve">小时内排除，一般单个设备故障</w:t>
      </w:r>
      <w:r>
        <w:rPr>
          <w:rFonts w:ascii="宋体" w:hAnsi="宋体" w:eastAsia="宋体"/>
          <w:sz w:val="21"/>
          <w:szCs w:val="21"/>
        </w:rPr>
        <w:t xml:space="preserve">24</w:t>
      </w:r>
      <w:r>
        <w:rPr>
          <w:rFonts w:hint="eastAsia" w:ascii="宋体" w:hAnsi="宋体" w:eastAsia="宋体"/>
          <w:sz w:val="21"/>
          <w:szCs w:val="21"/>
        </w:rPr>
        <w:t xml:space="preserve">小时内排除。因日常维护实际情况，响应单位需配置专门抢修车辆，至少</w:t>
      </w:r>
      <w:r>
        <w:rPr>
          <w:rFonts w:ascii="宋体" w:hAnsi="宋体" w:eastAsia="宋体"/>
          <w:sz w:val="21"/>
          <w:szCs w:val="21"/>
        </w:rPr>
        <w:t xml:space="preserve">1</w:t>
      </w:r>
      <w:r>
        <w:rPr>
          <w:rFonts w:hint="eastAsia" w:ascii="宋体" w:hAnsi="宋体" w:eastAsia="宋体"/>
          <w:sz w:val="21"/>
          <w:szCs w:val="21"/>
        </w:rPr>
        <w:t xml:space="preserve">辆车辆状况良好，满足市内通行要求；配置至少</w:t>
      </w:r>
      <w:r>
        <w:rPr>
          <w:rFonts w:ascii="宋体" w:hAnsi="宋体" w:eastAsia="宋体"/>
          <w:sz w:val="21"/>
          <w:szCs w:val="21"/>
        </w:rPr>
        <w:t xml:space="preserve">4</w:t>
      </w:r>
      <w:r>
        <w:rPr>
          <w:rFonts w:hint="eastAsia" w:ascii="宋体" w:hAnsi="宋体" w:eastAsia="宋体"/>
          <w:sz w:val="21"/>
          <w:szCs w:val="21"/>
        </w:rPr>
        <w:t xml:space="preserve">台手持无线对讲机。</w:t>
      </w:r>
      <w:r>
        <w:rPr>
          <w:rFonts w:hint="eastAsia" w:ascii="宋体" w:hAnsi="宋体" w:eastAsia="宋体"/>
          <w:b/>
          <w:bCs/>
          <w:sz w:val="21"/>
          <w:szCs w:val="21"/>
        </w:rPr>
        <w:t xml:space="preserve">（响应单位自有车辆或租赁车辆的，提供有效证明扫描件并加盖响应单位公章；承诺成交后具备自有车辆或租赁车辆的，提供有效承诺并加盖响应单位公章。未按要求提供的视为未实质性响应。）</w:t>
      </w:r>
      <w:r>
        <w:rPr>
          <w:rFonts w:ascii="宋体" w:hAnsi="宋体" w:eastAsia="宋体"/>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3.</w:t>
      </w:r>
      <w:r>
        <w:rPr>
          <w:rFonts w:hint="eastAsia" w:ascii="宋体" w:hAnsi="宋体" w:eastAsia="宋体"/>
          <w:b/>
          <w:bCs/>
          <w:sz w:val="21"/>
          <w:szCs w:val="21"/>
        </w:rPr>
        <w:t xml:space="preserve">巡检要求：</w:t>
      </w:r>
      <w:r>
        <w:rPr>
          <w:rFonts w:hint="eastAsia" w:ascii="宋体" w:hAnsi="宋体" w:eastAsia="宋体"/>
          <w:sz w:val="21"/>
          <w:szCs w:val="21"/>
        </w:rPr>
        <w:t xml:space="preserve">须提供不少于每周一次的现场系统巡检维护和每月一次的系统集成维护，及时发现设备系统隐患，做到防患于未然。现场巡检内容包括对各软硬件的运行状况检测，并在现场巡检结束后提交现场巡检报告。</w:t>
      </w:r>
      <w:r>
        <w:rPr>
          <w:rFonts w:ascii="宋体" w:hAnsi="宋体" w:eastAsia="宋体"/>
          <w:sz w:val="21"/>
          <w:szCs w:val="21"/>
        </w:rPr>
      </w:r>
      <w:r/>
    </w:p>
    <w:p>
      <w:pPr>
        <w:pStyle w:val="649"/>
        <w:ind w:firstLine="422"/>
        <w:spacing w:line="360" w:lineRule="auto"/>
        <w:rPr>
          <w:rFonts w:hint="eastAsia" w:ascii="宋体" w:hAnsi="宋体" w:eastAsia="宋体"/>
          <w:sz w:val="21"/>
          <w:szCs w:val="21"/>
        </w:rPr>
      </w:pPr>
      <w:r>
        <w:rPr>
          <w:rFonts w:ascii="宋体" w:hAnsi="宋体" w:eastAsia="宋体"/>
          <w:b/>
          <w:bCs/>
          <w:sz w:val="21"/>
          <w:szCs w:val="21"/>
        </w:rPr>
        <w:t xml:space="preserve">4.</w:t>
      </w:r>
      <w:r>
        <w:rPr>
          <w:rFonts w:hint="eastAsia" w:ascii="宋体" w:hAnsi="宋体" w:eastAsia="宋体"/>
          <w:b/>
          <w:bCs/>
          <w:sz w:val="21"/>
          <w:szCs w:val="21"/>
        </w:rPr>
        <w:t xml:space="preserve">维保项目组人员要求：</w:t>
      </w:r>
      <w:r>
        <w:rPr>
          <w:rFonts w:hint="eastAsia" w:ascii="宋体" w:hAnsi="宋体" w:eastAsia="宋体"/>
          <w:sz w:val="21"/>
          <w:szCs w:val="21"/>
        </w:rPr>
        <w:t xml:space="preserve">整个维保项目须指定专人或专门小组负责应对采购方的技术咨询和服务，实现</w:t>
      </w:r>
      <w:r>
        <w:rPr>
          <w:rFonts w:ascii="宋体" w:hAnsi="宋体" w:eastAsia="宋体"/>
          <w:sz w:val="21"/>
          <w:szCs w:val="21"/>
        </w:rPr>
        <w:t xml:space="preserve">7*24</w:t>
      </w:r>
      <w:r>
        <w:rPr>
          <w:rFonts w:hint="eastAsia" w:ascii="宋体" w:hAnsi="宋体" w:eastAsia="宋体"/>
          <w:sz w:val="21"/>
          <w:szCs w:val="21"/>
        </w:rPr>
        <w:t xml:space="preserve">小时电话技术支持咨询服务，确保随时响应。项目团队相对固定，至少包含</w:t>
      </w:r>
      <w:r>
        <w:rPr>
          <w:rFonts w:ascii="宋体" w:hAnsi="宋体" w:eastAsia="宋体"/>
          <w:sz w:val="21"/>
          <w:szCs w:val="21"/>
        </w:rPr>
        <w:t xml:space="preserve">1</w:t>
      </w:r>
      <w:r>
        <w:rPr>
          <w:rFonts w:hint="eastAsia" w:ascii="宋体" w:hAnsi="宋体" w:eastAsia="宋体"/>
          <w:sz w:val="21"/>
          <w:szCs w:val="21"/>
        </w:rPr>
        <w:t xml:space="preserve">名项目负责人，不少于</w:t>
      </w:r>
      <w:r>
        <w:rPr>
          <w:rFonts w:ascii="宋体" w:hAnsi="宋体" w:eastAsia="宋体"/>
          <w:sz w:val="21"/>
          <w:szCs w:val="21"/>
        </w:rPr>
        <w:t xml:space="preserve">7</w:t>
      </w:r>
      <w:r>
        <w:rPr>
          <w:rFonts w:hint="eastAsia" w:ascii="宋体" w:hAnsi="宋体" w:eastAsia="宋体"/>
          <w:sz w:val="21"/>
          <w:szCs w:val="21"/>
        </w:rPr>
        <w:t xml:space="preserve">名维保服务人员（不含项目负责人）。项目团队具备相关工作经验，具备现场快速排查抢修故障能力，劳动时间与采购单位工作时间同步</w:t>
      </w:r>
      <w:r>
        <w:rPr>
          <w:rFonts w:ascii="宋体" w:hAnsi="宋体" w:eastAsia="宋体"/>
          <w:sz w:val="21"/>
          <w:szCs w:val="21"/>
        </w:rPr>
        <w:t xml:space="preserve">,</w:t>
      </w:r>
      <w:r>
        <w:rPr>
          <w:rFonts w:hint="eastAsia" w:ascii="宋体" w:hAnsi="宋体" w:eastAsia="宋体"/>
          <w:sz w:val="21"/>
          <w:szCs w:val="21"/>
        </w:rPr>
        <w:t xml:space="preserve">每日需安排不少于</w:t>
      </w:r>
      <w:r>
        <w:rPr>
          <w:rFonts w:ascii="宋体" w:hAnsi="宋体" w:eastAsia="宋体"/>
          <w:sz w:val="21"/>
          <w:szCs w:val="21"/>
        </w:rPr>
        <w:t xml:space="preserve">6</w:t>
      </w:r>
      <w:r>
        <w:rPr>
          <w:rFonts w:hint="eastAsia" w:ascii="宋体" w:hAnsi="宋体" w:eastAsia="宋体"/>
          <w:sz w:val="21"/>
          <w:szCs w:val="21"/>
        </w:rPr>
        <w:t xml:space="preserve">名维保服务人员随时响应；法定节假日期间需安排不少于</w:t>
      </w:r>
      <w:r>
        <w:rPr>
          <w:rFonts w:ascii="宋体" w:hAnsi="宋体" w:eastAsia="宋体"/>
          <w:sz w:val="21"/>
          <w:szCs w:val="21"/>
        </w:rPr>
        <w:t xml:space="preserve">5</w:t>
      </w:r>
      <w:r>
        <w:rPr>
          <w:rFonts w:hint="eastAsia" w:ascii="宋体" w:hAnsi="宋体" w:eastAsia="宋体"/>
          <w:sz w:val="21"/>
          <w:szCs w:val="21"/>
        </w:rPr>
        <w:t xml:space="preserve">名维保服务人员进行随时响应，</w:t>
      </w:r>
      <w:r>
        <w:rPr>
          <w:rFonts w:hint="eastAsia" w:ascii="宋体" w:hAnsi="宋体" w:eastAsia="宋体"/>
          <w:sz w:val="21"/>
          <w:szCs w:val="21"/>
        </w:rPr>
        <w:t xml:space="preserve">以上均为驻场工作人</w:t>
      </w:r>
      <w:r>
        <w:rPr>
          <w:rFonts w:hint="eastAsia" w:ascii="宋体" w:hAnsi="宋体" w:eastAsia="宋体"/>
          <w:sz w:val="21"/>
          <w:szCs w:val="21"/>
        </w:rPr>
        <w:t xml:space="preserve">员。</w:t>
      </w:r>
      <w:r>
        <w:rPr>
          <w:rFonts w:hint="eastAsia" w:ascii="宋体" w:hAnsi="宋体" w:eastAsia="宋体"/>
          <w:b/>
          <w:bCs/>
          <w:sz w:val="21"/>
          <w:szCs w:val="21"/>
        </w:rPr>
        <w:t xml:space="preserve">（</w:t>
      </w:r>
      <w:r>
        <w:rPr>
          <w:rFonts w:hint="eastAsia" w:ascii="宋体" w:hAnsi="宋体" w:eastAsia="宋体"/>
          <w:b/>
          <w:bCs/>
          <w:sz w:val="21"/>
          <w:szCs w:val="21"/>
        </w:rPr>
        <w:t xml:space="preserve">响应单位需提供维保项目组人员均为驻场工作人员的承诺，并加盖响应单位公章，未提供的视为非实质性响应。</w:t>
      </w:r>
      <w:r>
        <w:rPr>
          <w:rFonts w:hint="eastAsia" w:ascii="宋体" w:hAnsi="宋体" w:eastAsia="宋体"/>
          <w:b/>
          <w:bCs/>
          <w:sz w:val="21"/>
          <w:szCs w:val="21"/>
        </w:rPr>
        <w:t xml:space="preserve">）</w:t>
      </w:r>
      <w:r>
        <w:rPr>
          <w:rFonts w:hint="eastAsia"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项目负责人应身体健康，遵纪守法，需具备类似的弱电智能化集成设备系统维护工作经验。负责沟通需求，跟踪推进项目工作及问题的协调落实；沟通及落实相关维保需求，具体职责包括：项目管理和整体项目评估；处理维保进度及协调维保中出现的问题；辅助项目的专业和有效的安全服务；负责项目团队日常管理；负责整个项目的维保服务，确保设备、系统的良好运行；日常要对设备进行定期的预防性维护，做好系统运行的维护工作，及时发现设备存在的潜在隐患并及时处理，能及时应对各种突发状况。</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项目组其他成员应具备</w:t>
      </w:r>
      <w:r>
        <w:rPr>
          <w:rFonts w:hint="eastAsia" w:ascii="宋体" w:hAnsi="宋体" w:eastAsia="宋体"/>
          <w:sz w:val="21"/>
          <w:szCs w:val="21"/>
        </w:rPr>
        <w:t xml:space="preserve">硬件设备、信息系统、机房运维、网络安全相应的技术能力。</w:t>
      </w:r>
      <w:r>
        <w:rPr>
          <w:rFonts w:hint="eastAsia" w:ascii="宋体" w:hAnsi="宋体" w:eastAsia="宋体"/>
          <w:sz w:val="21"/>
          <w:szCs w:val="21"/>
        </w:rPr>
        <w:t xml:space="preserve">具体职责包括：负责执行技术方案，完成项目各阶段的具体工作；日常要对设备进行定期的预防性维护，做好系统运行的维护工作，及时发现设备存在的潜在隐患并及时处理；服务管理，保障本次采购范围内各系统</w:t>
      </w:r>
      <w:r>
        <w:rPr>
          <w:rFonts w:ascii="宋体" w:hAnsi="宋体" w:eastAsia="宋体"/>
          <w:sz w:val="21"/>
          <w:szCs w:val="21"/>
        </w:rPr>
        <w:t xml:space="preserve">24</w:t>
      </w:r>
      <w:r>
        <w:rPr>
          <w:rFonts w:hint="eastAsia" w:ascii="宋体" w:hAnsi="宋体" w:eastAsia="宋体"/>
          <w:sz w:val="21"/>
          <w:szCs w:val="21"/>
        </w:rPr>
        <w:t xml:space="preserve">小时正常运转；</w:t>
      </w:r>
      <w:r>
        <w:rPr>
          <w:rFonts w:ascii="宋体" w:hAnsi="宋体" w:eastAsia="宋体"/>
          <w:sz w:val="21"/>
          <w:szCs w:val="21"/>
        </w:rPr>
        <w:t xml:space="preserve">24</w:t>
      </w:r>
      <w:r>
        <w:rPr>
          <w:rFonts w:hint="eastAsia" w:ascii="宋体" w:hAnsi="宋体" w:eastAsia="宋体"/>
          <w:sz w:val="21"/>
          <w:szCs w:val="21"/>
        </w:rPr>
        <w:t xml:space="preserve">小时内遇到报修问题需及时响应并及时至现场提供技术支撑；进行每月维保设备巡检、资产管理工作并留存台账；严格执行工作纪律，注意工作保密；快速响应，分析问题故障，提供解决方案；对需维修、</w:t>
      </w:r>
      <w:r>
        <w:rPr>
          <w:rFonts w:hint="eastAsia" w:ascii="宋体" w:hAnsi="宋体" w:eastAsia="宋体"/>
          <w:sz w:val="21"/>
          <w:szCs w:val="21"/>
        </w:rPr>
        <w:t xml:space="preserve">更换的设备进行统一扎口审核，确认材料后交由采购方审核；负责技术团队的运作及指定各阶段任务目标；负责信息安全管理；提供</w:t>
      </w:r>
      <w:r>
        <w:rPr>
          <w:rFonts w:ascii="宋体" w:hAnsi="宋体" w:eastAsia="宋体"/>
          <w:sz w:val="21"/>
          <w:szCs w:val="21"/>
        </w:rPr>
        <w:t xml:space="preserve">IT</w:t>
      </w:r>
      <w:r>
        <w:rPr>
          <w:rFonts w:hint="eastAsia" w:ascii="宋体" w:hAnsi="宋体" w:eastAsia="宋体"/>
          <w:sz w:val="21"/>
          <w:szCs w:val="21"/>
        </w:rPr>
        <w:t xml:space="preserve">服务实施规范。</w:t>
      </w:r>
      <w:r>
        <w:rPr>
          <w:rFonts w:ascii="宋体" w:hAnsi="宋体" w:eastAsia="宋体"/>
          <w:sz w:val="21"/>
          <w:szCs w:val="21"/>
        </w:rPr>
      </w:r>
      <w:r/>
    </w:p>
    <w:p>
      <w:pPr>
        <w:pStyle w:val="649"/>
        <w:ind w:firstLine="420"/>
        <w:spacing w:line="360" w:lineRule="auto"/>
        <w:rPr>
          <w:rFonts w:ascii="宋体" w:hAnsi="宋体" w:eastAsia="宋体"/>
          <w:b/>
          <w:bCs/>
          <w:sz w:val="21"/>
          <w:szCs w:val="21"/>
        </w:rPr>
      </w:pPr>
      <w:r>
        <w:rPr>
          <w:rFonts w:ascii="宋体" w:hAnsi="宋体" w:eastAsia="宋体"/>
          <w:sz w:val="21"/>
          <w:szCs w:val="21"/>
        </w:rPr>
        <w:t xml:space="preserve"> </w:t>
      </w:r>
      <w:r>
        <w:rPr>
          <w:rFonts w:hint="eastAsia" w:ascii="宋体" w:hAnsi="宋体" w:eastAsia="宋体"/>
          <w:b/>
          <w:bCs/>
          <w:sz w:val="21"/>
          <w:szCs w:val="21"/>
        </w:rPr>
        <w:t xml:space="preserve">（响应单位应提供所配备的人员为其缴纳的最近一期社保证明</w:t>
      </w:r>
      <w:r>
        <w:rPr>
          <w:rFonts w:ascii="宋体" w:hAnsi="宋体" w:eastAsia="宋体"/>
          <w:b/>
          <w:bCs/>
          <w:sz w:val="21"/>
          <w:szCs w:val="21"/>
        </w:rPr>
        <w:t xml:space="preserve">,</w:t>
      </w:r>
      <w:r>
        <w:rPr>
          <w:rFonts w:hint="eastAsia" w:ascii="宋体" w:hAnsi="宋体" w:eastAsia="宋体"/>
          <w:b/>
          <w:bCs/>
          <w:sz w:val="21"/>
          <w:szCs w:val="21"/>
        </w:rPr>
        <w:t xml:space="preserve">并加盖响应单位公章，未提供的视为非实质性响应。）</w:t>
      </w:r>
      <w:r>
        <w:rPr>
          <w:rFonts w:ascii="宋体" w:hAnsi="宋体" w:eastAsia="宋体"/>
          <w:b/>
          <w:bCs/>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5.</w:t>
      </w:r>
      <w:r>
        <w:rPr>
          <w:rFonts w:hint="eastAsia" w:ascii="宋体" w:hAnsi="宋体" w:eastAsia="宋体"/>
          <w:b/>
          <w:bCs/>
          <w:sz w:val="21"/>
          <w:szCs w:val="21"/>
        </w:rPr>
        <w:t xml:space="preserve">特殊时期保障服务要求：</w:t>
      </w:r>
      <w:r>
        <w:rPr>
          <w:rFonts w:hint="eastAsia" w:ascii="宋体" w:hAnsi="宋体" w:eastAsia="宋体"/>
          <w:sz w:val="21"/>
          <w:szCs w:val="21"/>
        </w:rPr>
        <w:t xml:space="preserve">维护项目组将在关键特殊时期提供设备维护保障服务，比如重大活动、重大节日、重大会议等要求的其他特殊保障时期。保障服务期间，响应单位将加大对项目组各方面的投入，并制定详细的保障方案，需每</w:t>
      </w:r>
      <w:r>
        <w:rPr>
          <w:rFonts w:ascii="宋体" w:hAnsi="宋体" w:eastAsia="宋体"/>
          <w:sz w:val="21"/>
          <w:szCs w:val="21"/>
        </w:rPr>
        <w:t xml:space="preserve">2</w:t>
      </w:r>
      <w:r>
        <w:rPr>
          <w:rFonts w:hint="eastAsia" w:ascii="宋体" w:hAnsi="宋体" w:eastAsia="宋体"/>
          <w:sz w:val="21"/>
          <w:szCs w:val="21"/>
        </w:rPr>
        <w:t xml:space="preserve">小时提交</w:t>
      </w:r>
      <w:r>
        <w:rPr>
          <w:rFonts w:ascii="宋体" w:hAnsi="宋体" w:eastAsia="宋体"/>
          <w:sz w:val="21"/>
          <w:szCs w:val="21"/>
        </w:rPr>
        <w:t xml:space="preserve">1</w:t>
      </w:r>
      <w:r>
        <w:rPr>
          <w:rFonts w:hint="eastAsia" w:ascii="宋体" w:hAnsi="宋体" w:eastAsia="宋体"/>
          <w:sz w:val="21"/>
          <w:szCs w:val="21"/>
        </w:rPr>
        <w:t xml:space="preserve">次设备运行报告，全力保障设备的正常、稳定运行。</w:t>
      </w:r>
      <w:r>
        <w:rPr>
          <w:rFonts w:ascii="宋体" w:hAnsi="宋体" w:eastAsia="宋体"/>
          <w:sz w:val="21"/>
          <w:szCs w:val="21"/>
        </w:rPr>
      </w:r>
      <w:r/>
    </w:p>
    <w:p>
      <w:pPr>
        <w:pStyle w:val="649"/>
        <w:ind w:firstLine="422"/>
        <w:spacing w:line="360" w:lineRule="auto"/>
        <w:rPr>
          <w:rFonts w:ascii="宋体" w:hAnsi="宋体" w:eastAsia="宋体"/>
          <w:b/>
          <w:bCs/>
          <w:sz w:val="21"/>
          <w:szCs w:val="21"/>
        </w:rPr>
      </w:pPr>
      <w:r>
        <w:rPr>
          <w:rFonts w:ascii="宋体" w:hAnsi="宋体" w:eastAsia="宋体"/>
          <w:b/>
          <w:bCs/>
          <w:sz w:val="21"/>
          <w:szCs w:val="21"/>
        </w:rPr>
        <w:t xml:space="preserve">6.</w:t>
      </w:r>
      <w:r>
        <w:rPr>
          <w:rFonts w:hint="eastAsia" w:ascii="宋体" w:hAnsi="宋体" w:eastAsia="宋体"/>
          <w:b/>
          <w:bCs/>
          <w:sz w:val="21"/>
          <w:szCs w:val="21"/>
        </w:rPr>
        <w:t xml:space="preserve">服务文档要求：</w:t>
      </w:r>
      <w:r>
        <w:rPr>
          <w:rFonts w:ascii="宋体" w:hAnsi="宋体" w:eastAsia="宋体"/>
          <w:b/>
          <w:bCs/>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）响应单位应保存好维保服务过程中各种记录和文档，根据采购方要求及时整理和提交。</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）响应单位应以季度和年为单位全面总结维保服务工作，向采购方提交维保服务季度总结和年度总结。</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）维保服务过程中的各种专项报告，如故障报告、改进建议等，响应单位应进行规范管理，与其他文档一起向采购方提交。</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）整理项目涉及设备信息，完成完整设备档案，包括参数、位置、配置、用途等信息。</w:t>
      </w:r>
      <w:r>
        <w:rPr>
          <w:rFonts w:ascii="宋体" w:hAnsi="宋体" w:eastAsia="宋体"/>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7.</w:t>
      </w:r>
      <w:r>
        <w:rPr>
          <w:rFonts w:hint="eastAsia" w:ascii="宋体" w:hAnsi="宋体" w:eastAsia="宋体"/>
          <w:b/>
          <w:bCs/>
          <w:sz w:val="21"/>
          <w:szCs w:val="21"/>
        </w:rPr>
        <w:t xml:space="preserve">信息安全与保密要求：</w:t>
      </w:r>
      <w:r>
        <w:rPr>
          <w:rFonts w:hint="eastAsia" w:ascii="宋体" w:hAnsi="宋体" w:eastAsia="宋体"/>
          <w:sz w:val="21"/>
          <w:szCs w:val="21"/>
        </w:rPr>
        <w:t xml:space="preserve">本次项目安全及保密要求较高。因此要求所有参与维保服务人员必须项目合作期内须按照《苏州市公安局</w:t>
      </w:r>
      <w:r>
        <w:rPr>
          <w:rFonts w:hint="eastAsia" w:ascii="宋体" w:hAnsi="宋体" w:eastAsia="宋体"/>
          <w:sz w:val="21"/>
          <w:szCs w:val="21"/>
        </w:rPr>
        <w:t xml:space="preserve">信息化合作企业安全管理规定》《公安监管场所安全防范与信息管理系统技术要求》《看守所建设标准》要求接受管理。与采购单位签署安全保密责任，必要时接受背景调查并提供详细的保密措施方案，以便采取切实可行的措施保障采购单位的网络与信息安全。并遵守如下要求：</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）响应单位参与建设及售后服务人员应保持相对稳定，如有人员变更，应及时通知采购单位。</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响应单位在进行系统维保活动时，在未经采购单位允许的情况下，需要保证采购单位核心网络不间断运行，不得影响采购单位相关人员业务系统的正常运行，遇到需要临时中断网络调测等情况，必须先征求采购单位批准。维护中未经授权批准导致的后果，由维保单位自行负责。</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响应响应单位在从事维护服务工作中应做到文明工作、安全生产，并采取必要的安全防范措施，本合同服务期内若发生安全事故的，响应单位应承担全部责任，与采购单位无关。响应单位应承担因操作失误而造成的故障扩大、数据损坏、误操作等的赔偿和安全责任。</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）响应单位在进行系统建设及维保活动时，未经授权不得</w:t>
      </w:r>
      <w:r>
        <w:rPr>
          <w:rFonts w:ascii="宋体" w:hAnsi="宋体" w:eastAsia="宋体"/>
          <w:sz w:val="21"/>
          <w:szCs w:val="21"/>
        </w:rPr>
        <w:t xml:space="preserve">U</w:t>
      </w:r>
      <w:r>
        <w:rPr>
          <w:rFonts w:hint="eastAsia" w:ascii="宋体" w:hAnsi="宋体" w:eastAsia="宋体"/>
          <w:sz w:val="21"/>
          <w:szCs w:val="21"/>
        </w:rPr>
        <w:t xml:space="preserve">盘、移动硬盘等移动存储介质，不得违反禁止</w:t>
      </w:r>
      <w:r>
        <w:rPr>
          <w:rFonts w:hint="cs" w:ascii="宋体" w:hAnsi="宋体" w:eastAsia="宋体"/>
          <w:sz w:val="21"/>
          <w:szCs w:val="21"/>
        </w:rPr>
        <w:t xml:space="preserve">“</w:t>
      </w:r>
      <w:r>
        <w:rPr>
          <w:rFonts w:hint="eastAsia" w:ascii="宋体" w:hAnsi="宋体" w:eastAsia="宋体"/>
          <w:sz w:val="21"/>
          <w:szCs w:val="21"/>
        </w:rPr>
        <w:t xml:space="preserve">一机两用</w:t>
      </w:r>
      <w:r>
        <w:rPr>
          <w:rFonts w:hint="cs" w:ascii="宋体" w:hAnsi="宋体" w:eastAsia="宋体"/>
          <w:sz w:val="21"/>
          <w:szCs w:val="21"/>
        </w:rPr>
        <w:t xml:space="preserve">”</w:t>
      </w:r>
      <w:r>
        <w:rPr>
          <w:rFonts w:hint="eastAsia" w:ascii="宋体" w:hAnsi="宋体" w:eastAsia="宋体"/>
          <w:sz w:val="21"/>
          <w:szCs w:val="21"/>
        </w:rPr>
        <w:t xml:space="preserve">管理规定，不得向任何第三方披露知悉的苏州市公安局的硬件设备的数据、配置等参数，因维护过</w:t>
      </w:r>
      <w:r>
        <w:rPr>
          <w:rFonts w:hint="eastAsia" w:ascii="宋体" w:hAnsi="宋体" w:eastAsia="宋体"/>
          <w:sz w:val="21"/>
          <w:szCs w:val="21"/>
        </w:rPr>
        <w:t xml:space="preserve">程中涉及设备上保存的数据信息，必须通过苏州市公安局认可或陪同下实施维护工作；用于维护操作的终端上留存的数据信息严禁带离苏州市公安局现场。否则，产生的严重后果，由响应单位自行负责。</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）响应单位应保证其服务人员具有履行本合同服务的相关资质，否则，响应单位应限期更换服务人员，若响应单位未及时更换的，采购单位有权要求响应单位支付</w:t>
      </w:r>
      <w:r>
        <w:rPr>
          <w:rFonts w:ascii="宋体" w:hAnsi="宋体" w:eastAsia="宋体"/>
          <w:sz w:val="21"/>
          <w:szCs w:val="21"/>
        </w:rPr>
        <w:t xml:space="preserve">2000</w:t>
      </w:r>
      <w:r>
        <w:rPr>
          <w:rFonts w:hint="eastAsia" w:ascii="宋体" w:hAnsi="宋体" w:eastAsia="宋体"/>
          <w:sz w:val="21"/>
          <w:szCs w:val="21"/>
        </w:rPr>
        <w:t xml:space="preserve">元</w:t>
      </w:r>
      <w:r>
        <w:rPr>
          <w:rFonts w:ascii="宋体" w:hAnsi="宋体" w:eastAsia="宋体"/>
          <w:sz w:val="21"/>
          <w:szCs w:val="21"/>
        </w:rPr>
        <w:t xml:space="preserve">/</w:t>
      </w:r>
      <w:r>
        <w:rPr>
          <w:rFonts w:hint="eastAsia" w:ascii="宋体" w:hAnsi="宋体" w:eastAsia="宋体"/>
          <w:sz w:val="21"/>
          <w:szCs w:val="21"/>
        </w:rPr>
        <w:t xml:space="preserve">次的违约金。</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）维保服务人员不得将通讯工具带入工作场地，且出入工作场地需在苏州市公安局的陪同下进行。若违反情况，采购单位有权要求响应单位支付</w:t>
      </w:r>
      <w:r>
        <w:rPr>
          <w:rFonts w:ascii="宋体" w:hAnsi="宋体" w:eastAsia="宋体"/>
          <w:sz w:val="21"/>
          <w:szCs w:val="21"/>
        </w:rPr>
        <w:t xml:space="preserve">2000</w:t>
      </w:r>
      <w:r>
        <w:rPr>
          <w:rFonts w:hint="eastAsia" w:ascii="宋体" w:hAnsi="宋体" w:eastAsia="宋体"/>
          <w:sz w:val="21"/>
          <w:szCs w:val="21"/>
        </w:rPr>
        <w:t xml:space="preserve">元</w:t>
      </w:r>
      <w:r>
        <w:rPr>
          <w:rFonts w:ascii="宋体" w:hAnsi="宋体" w:eastAsia="宋体"/>
          <w:sz w:val="21"/>
          <w:szCs w:val="21"/>
        </w:rPr>
        <w:t xml:space="preserve">/</w:t>
      </w:r>
      <w:r>
        <w:rPr>
          <w:rFonts w:hint="eastAsia" w:ascii="宋体" w:hAnsi="宋体" w:eastAsia="宋体"/>
          <w:sz w:val="21"/>
          <w:szCs w:val="21"/>
        </w:rPr>
        <w:t xml:space="preserve">次的违约金。</w:t>
      </w:r>
      <w:r>
        <w:rPr>
          <w:rFonts w:ascii="宋体" w:hAnsi="宋体" w:eastAsia="宋体"/>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8.</w:t>
      </w:r>
      <w:r>
        <w:rPr>
          <w:rFonts w:hint="eastAsia" w:ascii="宋体" w:hAnsi="宋体" w:eastAsia="宋体"/>
          <w:b/>
          <w:bCs/>
          <w:sz w:val="21"/>
          <w:szCs w:val="21"/>
        </w:rPr>
        <w:t xml:space="preserve">系统维护升级及对接要求：</w:t>
      </w:r>
      <w:r>
        <w:rPr>
          <w:rFonts w:hint="eastAsia" w:ascii="宋体" w:hAnsi="宋体" w:eastAsia="宋体"/>
          <w:sz w:val="21"/>
          <w:szCs w:val="21"/>
        </w:rPr>
        <w:t xml:space="preserve">为确保设备系统长效运行和满足新阶段实际使用要求，响应单位需根据采购单位要求进行版本更新升级，并需安排专业维护人员，定期主动监测数据和系统安全性，并主动进行必要的加固和升级处理。响应单位需针对上述所提到的前端数据采集系统、智能交互系统等</w:t>
      </w:r>
      <w:r>
        <w:rPr>
          <w:rFonts w:ascii="宋体" w:hAnsi="宋体" w:eastAsia="宋体"/>
          <w:sz w:val="21"/>
          <w:szCs w:val="21"/>
        </w:rPr>
        <w:t xml:space="preserve">35</w:t>
      </w:r>
      <w:r>
        <w:rPr>
          <w:rFonts w:hint="eastAsia" w:ascii="宋体" w:hAnsi="宋体" w:eastAsia="宋体"/>
          <w:sz w:val="21"/>
          <w:szCs w:val="21"/>
        </w:rPr>
        <w:t xml:space="preserve">个系统进行定期进行维护升级，更换配件或硬件升级必须与现有系统进行对接。</w:t>
      </w:r>
      <w:r>
        <w:rPr>
          <w:rFonts w:ascii="宋体" w:hAnsi="宋体" w:eastAsia="宋体"/>
          <w:sz w:val="21"/>
          <w:szCs w:val="21"/>
        </w:rPr>
      </w:r>
      <w:r/>
    </w:p>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响应单位需承诺上述设备和系统版本升级要求工作不收取额外费用，未提供视为非实质性响应。</w:t>
      </w:r>
      <w:r>
        <w:rPr>
          <w:rFonts w:ascii="宋体" w:hAnsi="宋体" w:eastAsia="宋体"/>
          <w:b/>
          <w:bCs/>
          <w:sz w:val="21"/>
          <w:szCs w:val="21"/>
        </w:rPr>
      </w:r>
      <w:r/>
    </w:p>
    <w:p>
      <w:pPr>
        <w:pStyle w:val="649"/>
        <w:ind w:firstLine="422"/>
        <w:spacing w:line="360" w:lineRule="auto"/>
        <w:rPr>
          <w:rFonts w:ascii="宋体" w:hAnsi="宋体" w:eastAsia="宋体"/>
          <w:sz w:val="21"/>
          <w:szCs w:val="21"/>
        </w:rPr>
      </w:pPr>
      <w:r>
        <w:rPr>
          <w:rFonts w:ascii="宋体" w:hAnsi="宋体" w:eastAsia="宋体"/>
          <w:b/>
          <w:bCs/>
          <w:sz w:val="21"/>
          <w:szCs w:val="21"/>
        </w:rPr>
        <w:t xml:space="preserve">9.</w:t>
      </w:r>
      <w:r>
        <w:rPr>
          <w:rFonts w:hint="eastAsia" w:ascii="宋体" w:hAnsi="宋体" w:eastAsia="宋体"/>
          <w:b/>
          <w:bCs/>
          <w:sz w:val="21"/>
          <w:szCs w:val="21"/>
        </w:rPr>
        <w:t xml:space="preserve">其他要求：</w:t>
      </w:r>
      <w:r>
        <w:rPr>
          <w:rFonts w:hint="eastAsia" w:ascii="宋体" w:hAnsi="宋体" w:eastAsia="宋体"/>
          <w:sz w:val="21"/>
          <w:szCs w:val="21"/>
        </w:rPr>
        <w:t xml:space="preserve">每次维护保养及故障修复后均须出具详细全面的相关书面文档，及时提供采购方有关系统</w:t>
      </w:r>
      <w:r>
        <w:rPr>
          <w:rFonts w:hint="eastAsia" w:ascii="宋体" w:hAnsi="宋体" w:eastAsia="宋体"/>
          <w:sz w:val="21"/>
          <w:szCs w:val="21"/>
        </w:rPr>
        <w:t xml:space="preserve">运行的状态报告和运行建议；并针对设备的隐患，准备备件，并立即进行更换；提供系统整合咨询服务，帮助采购方更好的维护现有的信息系统，提出优化方案，结合业务需求，消除可能存在的性能瓶颈，并对未来新的信息系统提供系统规划建议等；定期与采购方交流在系统使用、及系统维护方面的经验，帮助采购方正确使用和维护系统。</w:t>
      </w:r>
      <w:r>
        <w:rPr>
          <w:rFonts w:ascii="宋体" w:hAnsi="宋体" w:eastAsia="宋体"/>
          <w:sz w:val="21"/>
          <w:szCs w:val="21"/>
        </w:rPr>
      </w:r>
      <w:r/>
    </w:p>
    <w:p>
      <w:pPr>
        <w:pStyle w:val="649"/>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10.服务期限：</w:t>
      </w:r>
      <w:r>
        <w:rPr>
          <w:rFonts w:ascii="宋体" w:hAnsi="宋体" w:eastAsia="宋体"/>
          <w:sz w:val="21"/>
          <w:szCs w:val="21"/>
        </w:rPr>
        <w:t xml:space="preserve">1</w:t>
      </w:r>
      <w:r>
        <w:rPr>
          <w:rFonts w:hint="eastAsia" w:ascii="宋体" w:hAnsi="宋体" w:eastAsia="宋体"/>
          <w:sz w:val="21"/>
          <w:szCs w:val="21"/>
        </w:rPr>
        <w:t xml:space="preserve">年，具体起止以采购方通知为准。</w:t>
      </w:r>
      <w:r/>
    </w:p>
    <w:p>
      <w:pPr>
        <w:pStyle w:val="649"/>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   服务地点：</w:t>
      </w:r>
      <w:r>
        <w:rPr>
          <w:rFonts w:hint="eastAsia" w:ascii="宋体" w:hAnsi="宋体" w:eastAsia="宋体"/>
          <w:sz w:val="21"/>
          <w:szCs w:val="21"/>
        </w:rPr>
        <w:t xml:space="preserve">采购单位指定地点。</w:t>
      </w:r>
      <w:r/>
    </w:p>
    <w:p>
      <w:pPr>
        <w:pStyle w:val="649"/>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（五）验收标准</w:t>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按服务内容及服务标准的约定进行验收。</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验收时间：项目完成后</w:t>
      </w:r>
      <w:r>
        <w:rPr>
          <w:rFonts w:ascii="宋体" w:hAnsi="宋体" w:eastAsia="宋体"/>
          <w:sz w:val="21"/>
          <w:szCs w:val="21"/>
        </w:rPr>
        <w:t xml:space="preserve">20</w:t>
      </w:r>
      <w:r>
        <w:rPr>
          <w:rFonts w:hint="eastAsia" w:ascii="宋体" w:hAnsi="宋体" w:eastAsia="宋体"/>
          <w:sz w:val="21"/>
          <w:szCs w:val="21"/>
        </w:rPr>
        <w:t xml:space="preserve">个工作日内，按采购方组织、响应单位参与方式进行验收。</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验收范围包括但不限于：服务质量；技术资料；功能、服务标准等指标。</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验收合格的确认：经采购方确认通过验收，视为验收合格。</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考核办法见下文。</w:t>
      </w:r>
      <w:r>
        <w:rPr>
          <w:rFonts w:ascii="宋体" w:hAnsi="宋体" w:eastAsia="宋体"/>
          <w:sz w:val="21"/>
          <w:szCs w:val="21"/>
        </w:rPr>
      </w:r>
      <w:r/>
    </w:p>
    <w:p>
      <w:pPr>
        <w:pStyle w:val="649"/>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（六）</w:t>
      </w:r>
      <w:r>
        <w:rPr>
          <w:rFonts w:hint="eastAsia" w:ascii="宋体" w:hAnsi="宋体" w:eastAsia="宋体" w:cs="宋体"/>
          <w:b/>
          <w:sz w:val="21"/>
          <w:szCs w:val="21"/>
        </w:rPr>
        <w:t xml:space="preserve">考核标准</w:t>
      </w:r>
      <w:r>
        <w:rPr>
          <w:rFonts w:hint="eastAsia" w:ascii="宋体" w:hAnsi="宋体" w:eastAsia="宋体"/>
          <w:b/>
          <w:bCs/>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根据季度考评表，考核标准如下：</w:t>
      </w:r>
      <w:r>
        <w:rPr>
          <w:rFonts w:ascii="宋体" w:hAnsi="宋体" w:eastAsia="宋体" w:cs="宋体"/>
          <w:sz w:val="21"/>
          <w:szCs w:val="21"/>
        </w:rPr>
      </w:r>
      <w:r/>
    </w:p>
    <w:tbl>
      <w:tblPr>
        <w:tblW w:w="874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color="auto" w:fill="ffff00"/>
        <w:tblLayout w:type="fixed"/>
        <w:tblCellMar>
          <w:left w:w="108" w:type="dxa"/>
          <w:top w:w="0" w:type="dxa"/>
          <w:right w:w="108" w:type="dxa"/>
          <w:bottom w:w="0" w:type="dxa"/>
        </w:tblCellMar>
        <w:tblLook w:val="04A0" w:firstRow="1" w:lastRow="0" w:firstColumn="1" w:lastColumn="0" w:noHBand="0" w:noVBand="1"/>
      </w:tblPr>
      <w:tblGrid>
        <w:gridCol w:w="1223"/>
        <w:gridCol w:w="6461"/>
        <w:gridCol w:w="1062"/>
      </w:tblGrid>
      <w:tr>
        <w:trPr>
          <w:trHeight w:val="501"/>
        </w:trPr>
        <w:tc>
          <w:tcPr>
            <w:tcBorders>
              <w:top w:val="single" w:color="000000" w:sz="12" w:space="0"/>
              <w:left w:val="single" w:color="000000" w:sz="12" w:space="0"/>
              <w:bottom w:val="single" w:color="000000" w:sz="6" w:space="0"/>
              <w:right w:val="single" w:color="000000" w:sz="6" w:space="0"/>
            </w:tcBorders>
            <w:tcW w:w="1223"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项目</w:t>
            </w:r>
            <w:r/>
          </w:p>
        </w:tc>
        <w:tc>
          <w:tcPr>
            <w:tcBorders>
              <w:top w:val="single" w:color="000000" w:sz="12" w:space="0"/>
              <w:left w:val="single" w:color="000000" w:sz="6" w:space="0"/>
              <w:bottom w:val="single" w:color="000000" w:sz="6" w:space="0"/>
              <w:right w:val="single" w:color="000000" w:sz="6" w:space="0"/>
            </w:tcBorders>
            <w:tcW w:w="6461"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内容</w:t>
            </w:r>
            <w:r/>
          </w:p>
        </w:tc>
        <w:tc>
          <w:tcPr>
            <w:tcBorders>
              <w:top w:val="single" w:color="000000" w:sz="12"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考核分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223" w:type="dxa"/>
            <w:vAlign w:val="center"/>
            <w:vMerge w:val="restart"/>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基础管理</w:t>
            </w:r>
            <w:r/>
          </w:p>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（30分）</w:t>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sz w:val="21"/>
                <w:szCs w:val="21"/>
              </w:rPr>
              <w:t xml:space="preserve">提交故障保修、维护记录、巡检记录及原因说明，每缺少1次扣2分。</w:t>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223" w:type="dxa"/>
            <w:vAlign w:val="center"/>
            <w:vMerge w:val="continue"/>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sz w:val="21"/>
                <w:szCs w:val="21"/>
              </w:rPr>
              <w:t xml:space="preserve">护人员未按规定进行报备备案的，每发现一起扣5分。维护人员未经批准擅自更换的，每出现1次，扣5分。</w:t>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223" w:type="dxa"/>
            <w:vAlign w:val="center"/>
            <w:vMerge w:val="continue"/>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sz w:val="21"/>
                <w:szCs w:val="21"/>
              </w:rPr>
              <w:t xml:space="preserve">由采购方主管部门根据日常维护满意度给予科学评分。</w:t>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223" w:type="dxa"/>
            <w:vAlign w:val="center"/>
            <w:vMerge w:val="restart"/>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质量管理</w:t>
            </w:r>
            <w:r>
              <w:rPr>
                <w:rFonts w:hint="eastAsia" w:ascii="宋体" w:hAnsi="宋体" w:eastAsia="宋体"/>
                <w:bCs/>
                <w:sz w:val="21"/>
                <w:szCs w:val="21"/>
              </w:rPr>
            </w:r>
            <w:r/>
          </w:p>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（60分）</w:t>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cs="宋体"/>
                <w:bCs/>
                <w:sz w:val="21"/>
                <w:szCs w:val="21"/>
              </w:rPr>
              <w:t xml:space="preserve">未经批准中断设备及网络运行或私自断网断电，影响设备正常运行。或违反文件</w:t>
            </w:r>
            <w:r>
              <w:rPr>
                <w:rFonts w:hint="eastAsia" w:ascii="宋体" w:hAnsi="宋体" w:eastAsia="宋体" w:cs="宋体"/>
                <w:sz w:val="21"/>
                <w:szCs w:val="21"/>
              </w:rPr>
              <w:t xml:space="preserve">或者</w:t>
            </w:r>
            <w:r>
              <w:rPr>
                <w:rFonts w:hint="eastAsia" w:ascii="宋体" w:hAnsi="宋体" w:eastAsia="宋体" w:cs="宋体"/>
                <w:bCs/>
                <w:sz w:val="21"/>
                <w:szCs w:val="21"/>
              </w:rPr>
              <w:t xml:space="preserve">保密要求规定，违规使用维护工具。或</w:t>
            </w:r>
            <w:r>
              <w:rPr>
                <w:rFonts w:hint="eastAsia" w:ascii="宋体" w:hAnsi="宋体" w:eastAsia="宋体" w:cs="宋体"/>
                <w:sz w:val="21"/>
                <w:szCs w:val="21"/>
              </w:rPr>
              <w:t xml:space="preserve">未经批准擅自将设备恢复出厂或者取出维修的，每出现1次扣5分。</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cs="宋体"/>
                <w:sz w:val="21"/>
                <w:szCs w:val="21"/>
              </w:rPr>
              <w:t xml:space="preserve">10</w:t>
            </w:r>
            <w:r>
              <w:rPr>
                <w:rFonts w:hint="eastAsia" w:ascii="宋体" w:hAnsi="宋体" w:eastAsia="宋体"/>
                <w:bCs/>
                <w:sz w:val="21"/>
                <w:szCs w:val="21"/>
              </w:rPr>
              <w:t xml:space="preserve">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223" w:type="dxa"/>
            <w:vAlign w:val="center"/>
            <w:vMerge w:val="continue"/>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cs="宋体"/>
                <w:bCs/>
                <w:sz w:val="21"/>
                <w:szCs w:val="21"/>
              </w:rPr>
              <w:t xml:space="preserve">未能在约定的维护时间内修复故障、响应滞后、未按约定进行巡检、保养。每次扣2分。</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223" w:type="dxa"/>
            <w:vAlign w:val="center"/>
            <w:vMerge w:val="continue"/>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cs="宋体"/>
                <w:bCs/>
                <w:sz w:val="21"/>
                <w:szCs w:val="21"/>
              </w:rPr>
              <w:t xml:space="preserve">未能在约定的维护时间内修复故障、响应滞后（报修电话3次不接，或未按承诺时间响应）、未按约定进行巡检、保养。每次扣10分。</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20分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223" w:type="dxa"/>
            <w:vAlign w:val="center"/>
            <w:vMerge w:val="continue"/>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sz w:val="21"/>
                <w:szCs w:val="21"/>
              </w:rPr>
              <w:t xml:space="preserve">在维护过程中出现重大故障，导致采购方业务中断和数据丢失，每次扣10分。</w:t>
            </w:r>
            <w:r/>
          </w:p>
        </w:tc>
        <w:tc>
          <w:tcPr>
            <w:tcBorders>
              <w:top w:val="single" w:color="000000" w:sz="6" w:space="0"/>
              <w:left w:val="single" w:color="000000" w:sz="6" w:space="0"/>
              <w:bottom w:val="single" w:color="000000" w:sz="6"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20分</w:t>
            </w:r>
            <w:r/>
          </w:p>
        </w:tc>
      </w:tr>
      <w:tr>
        <w:trPr>
          <w:trHeight w:val="685"/>
        </w:trPr>
        <w:tc>
          <w:tcPr>
            <w:tcBorders>
              <w:top w:val="single" w:color="000000" w:sz="6" w:space="0"/>
              <w:left w:val="single" w:color="000000" w:sz="12" w:space="0"/>
              <w:bottom w:val="single" w:color="000000" w:sz="12" w:space="0"/>
              <w:right w:val="single" w:color="000000" w:sz="6" w:space="0"/>
            </w:tcBorders>
            <w:tcW w:w="1223"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安全保密</w:t>
            </w:r>
            <w:r/>
          </w:p>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c>
          <w:tcPr>
            <w:tcBorders>
              <w:top w:val="single" w:color="000000" w:sz="6" w:space="0"/>
              <w:left w:val="single" w:color="000000" w:sz="6" w:space="0"/>
              <w:bottom w:val="single" w:color="000000" w:sz="12" w:space="0"/>
              <w:right w:val="single" w:color="000000" w:sz="6" w:space="0"/>
            </w:tcBorders>
            <w:tcW w:w="6461" w:type="dxa"/>
            <w:vAlign w:val="center"/>
            <w:textDirection w:val="lrTb"/>
            <w:noWrap w:val="false"/>
          </w:tcPr>
          <w:p>
            <w:pPr>
              <w:pStyle w:val="649"/>
              <w:spacing w:line="560" w:lineRule="exact"/>
              <w:rPr>
                <w:rFonts w:hint="eastAsia" w:ascii="宋体" w:hAnsi="宋体" w:eastAsia="宋体"/>
                <w:sz w:val="21"/>
                <w:szCs w:val="21"/>
              </w:rPr>
            </w:pPr>
            <w:r>
              <w:rPr>
                <w:rFonts w:hint="eastAsia" w:ascii="宋体" w:hAnsi="宋体" w:eastAsia="宋体"/>
                <w:sz w:val="21"/>
                <w:szCs w:val="21"/>
              </w:rPr>
              <w:t xml:space="preserve">违反安全保密考核要求，未履行保密的责任和义务,出现1次扣5分，总分10分</w:t>
            </w:r>
            <w:r/>
          </w:p>
        </w:tc>
        <w:tc>
          <w:tcPr>
            <w:tcBorders>
              <w:top w:val="single" w:color="000000" w:sz="6" w:space="0"/>
              <w:left w:val="single" w:color="000000" w:sz="6" w:space="0"/>
              <w:bottom w:val="single" w:color="000000" w:sz="12" w:space="0"/>
              <w:right w:val="single" w:color="000000" w:sz="12" w:space="0"/>
            </w:tcBorders>
            <w:tcW w:w="1062" w:type="dxa"/>
            <w:vAlign w:val="center"/>
            <w:textDirection w:val="lrTb"/>
            <w:noWrap w:val="false"/>
          </w:tcPr>
          <w:p>
            <w:pPr>
              <w:pStyle w:val="649"/>
              <w:jc w:val="center"/>
              <w:spacing w:line="560" w:lineRule="exact"/>
              <w:rPr>
                <w:rFonts w:hint="eastAsia" w:ascii="宋体" w:hAnsi="宋体" w:eastAsia="宋体"/>
                <w:bCs/>
                <w:sz w:val="21"/>
                <w:szCs w:val="21"/>
              </w:rPr>
            </w:pPr>
            <w:r>
              <w:rPr>
                <w:rFonts w:hint="eastAsia" w:ascii="宋体" w:hAnsi="宋体" w:eastAsia="宋体"/>
                <w:bCs/>
                <w:sz w:val="21"/>
                <w:szCs w:val="21"/>
              </w:rPr>
              <w:t xml:space="preserve">10分</w:t>
            </w:r>
            <w:r/>
          </w:p>
        </w:tc>
      </w:tr>
    </w:tbl>
    <w:p>
      <w:pPr>
        <w:pStyle w:val="69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注：响应单位违反管理规定或保密要求进行违规操作造成恶劣影响的，除进行上述考核扣分外，必须赔偿苏州市公安局一切直接或间接损失。</w:t>
      </w:r>
      <w:r>
        <w:rPr>
          <w:rFonts w:ascii="宋体" w:hAnsi="宋体" w:eastAsia="宋体" w:cs="宋体"/>
          <w:b/>
          <w:bCs/>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）当考评结果≥</w:t>
      </w:r>
      <w:r>
        <w:rPr>
          <w:rFonts w:ascii="宋体" w:hAnsi="宋体" w:eastAsia="宋体" w:cs="宋体"/>
          <w:sz w:val="21"/>
          <w:szCs w:val="21"/>
        </w:rPr>
        <w:t xml:space="preserve">90</w:t>
      </w:r>
      <w:r>
        <w:rPr>
          <w:rFonts w:hint="eastAsia" w:ascii="宋体" w:hAnsi="宋体" w:eastAsia="宋体" w:cs="宋体"/>
          <w:sz w:val="21"/>
          <w:szCs w:val="21"/>
        </w:rPr>
        <w:t xml:space="preserve">分，实际付款金额</w:t>
      </w:r>
      <w:r>
        <w:rPr>
          <w:rFonts w:ascii="宋体" w:hAnsi="宋体" w:eastAsia="宋体" w:cs="宋体"/>
          <w:sz w:val="21"/>
          <w:szCs w:val="21"/>
        </w:rPr>
        <w:t xml:space="preserve">=</w:t>
      </w:r>
      <w:r>
        <w:rPr>
          <w:rFonts w:hint="eastAsia" w:ascii="宋体" w:hAnsi="宋体" w:eastAsia="宋体" w:cs="宋体"/>
          <w:sz w:val="21"/>
          <w:szCs w:val="21"/>
        </w:rPr>
        <w:t xml:space="preserve">应付金额</w:t>
      </w:r>
      <w:r>
        <w:rPr>
          <w:rFonts w:ascii="宋体" w:hAnsi="宋体" w:eastAsia="宋体" w:cs="宋体"/>
          <w:sz w:val="21"/>
          <w:szCs w:val="21"/>
        </w:rPr>
        <w:t xml:space="preserve">*100%</w:t>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）当</w:t>
      </w:r>
      <w:r>
        <w:rPr>
          <w:rFonts w:ascii="宋体" w:hAnsi="宋体" w:eastAsia="宋体" w:cs="宋体"/>
          <w:sz w:val="21"/>
          <w:szCs w:val="21"/>
        </w:rPr>
        <w:t xml:space="preserve">80</w:t>
      </w:r>
      <w:r>
        <w:rPr>
          <w:rFonts w:hint="eastAsia" w:ascii="宋体" w:hAnsi="宋体" w:eastAsia="宋体" w:cs="宋体"/>
          <w:sz w:val="21"/>
          <w:szCs w:val="21"/>
        </w:rPr>
        <w:t xml:space="preserve">分≤考评结果＜</w:t>
      </w:r>
      <w:r>
        <w:rPr>
          <w:rFonts w:ascii="宋体" w:hAnsi="宋体" w:eastAsia="宋体" w:cs="宋体"/>
          <w:sz w:val="21"/>
          <w:szCs w:val="21"/>
        </w:rPr>
        <w:t xml:space="preserve">90</w:t>
      </w:r>
      <w:r>
        <w:rPr>
          <w:rFonts w:hint="eastAsia" w:ascii="宋体" w:hAnsi="宋体" w:eastAsia="宋体" w:cs="宋体"/>
          <w:sz w:val="21"/>
          <w:szCs w:val="21"/>
        </w:rPr>
        <w:t xml:space="preserve">分，实际付款金额</w:t>
      </w:r>
      <w:r>
        <w:rPr>
          <w:rFonts w:ascii="宋体" w:hAnsi="宋体" w:eastAsia="宋体" w:cs="宋体"/>
          <w:sz w:val="21"/>
          <w:szCs w:val="21"/>
        </w:rPr>
        <w:t xml:space="preserve">=</w:t>
      </w:r>
      <w:r>
        <w:rPr>
          <w:rFonts w:hint="eastAsia" w:ascii="宋体" w:hAnsi="宋体" w:eastAsia="宋体" w:cs="宋体"/>
          <w:sz w:val="21"/>
          <w:szCs w:val="21"/>
        </w:rPr>
        <w:t xml:space="preserve">应付金额</w:t>
      </w:r>
      <w:r>
        <w:rPr>
          <w:rFonts w:ascii="宋体" w:hAnsi="宋体" w:eastAsia="宋体" w:cs="宋体"/>
          <w:sz w:val="21"/>
          <w:szCs w:val="21"/>
        </w:rPr>
        <w:t xml:space="preserve">*90%</w:t>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）当</w:t>
      </w:r>
      <w:r>
        <w:rPr>
          <w:rFonts w:ascii="宋体" w:hAnsi="宋体" w:eastAsia="宋体" w:cs="宋体"/>
          <w:sz w:val="21"/>
          <w:szCs w:val="21"/>
        </w:rPr>
        <w:t xml:space="preserve">70</w:t>
      </w:r>
      <w:r>
        <w:rPr>
          <w:rFonts w:hint="eastAsia" w:ascii="宋体" w:hAnsi="宋体" w:eastAsia="宋体" w:cs="宋体"/>
          <w:sz w:val="21"/>
          <w:szCs w:val="21"/>
        </w:rPr>
        <w:t xml:space="preserve">分≤考评结果＜</w:t>
      </w:r>
      <w:r>
        <w:rPr>
          <w:rFonts w:ascii="宋体" w:hAnsi="宋体" w:eastAsia="宋体" w:cs="宋体"/>
          <w:sz w:val="21"/>
          <w:szCs w:val="21"/>
        </w:rPr>
        <w:t xml:space="preserve">80</w:t>
      </w:r>
      <w:r>
        <w:rPr>
          <w:rFonts w:hint="eastAsia" w:ascii="宋体" w:hAnsi="宋体" w:eastAsia="宋体" w:cs="宋体"/>
          <w:sz w:val="21"/>
          <w:szCs w:val="21"/>
        </w:rPr>
        <w:t xml:space="preserve">分，实际付款金额</w:t>
      </w:r>
      <w:r>
        <w:rPr>
          <w:rFonts w:ascii="宋体" w:hAnsi="宋体" w:eastAsia="宋体" w:cs="宋体"/>
          <w:sz w:val="21"/>
          <w:szCs w:val="21"/>
        </w:rPr>
        <w:t xml:space="preserve">=</w:t>
      </w:r>
      <w:r>
        <w:rPr>
          <w:rFonts w:hint="eastAsia" w:ascii="宋体" w:hAnsi="宋体" w:eastAsia="宋体" w:cs="宋体"/>
          <w:sz w:val="21"/>
          <w:szCs w:val="21"/>
        </w:rPr>
        <w:t xml:space="preserve">应付金额</w:t>
      </w:r>
      <w:r>
        <w:rPr>
          <w:rFonts w:ascii="宋体" w:hAnsi="宋体" w:eastAsia="宋体" w:cs="宋体"/>
          <w:sz w:val="21"/>
          <w:szCs w:val="21"/>
        </w:rPr>
        <w:t xml:space="preserve">*80%</w:t>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4</w:t>
      </w:r>
      <w:r>
        <w:rPr>
          <w:rFonts w:hint="eastAsia" w:ascii="宋体" w:hAnsi="宋体" w:eastAsia="宋体" w:cs="宋体"/>
          <w:sz w:val="21"/>
          <w:szCs w:val="21"/>
        </w:rPr>
        <w:t xml:space="preserve">）当</w:t>
      </w:r>
      <w:r>
        <w:rPr>
          <w:rFonts w:ascii="宋体" w:hAnsi="宋体" w:eastAsia="宋体" w:cs="宋体"/>
          <w:sz w:val="21"/>
          <w:szCs w:val="21"/>
        </w:rPr>
        <w:t xml:space="preserve">60</w:t>
      </w:r>
      <w:r>
        <w:rPr>
          <w:rFonts w:hint="eastAsia" w:ascii="宋体" w:hAnsi="宋体" w:eastAsia="宋体" w:cs="宋体"/>
          <w:sz w:val="21"/>
          <w:szCs w:val="21"/>
        </w:rPr>
        <w:t xml:space="preserve">分≤考评结果＜</w:t>
      </w:r>
      <w:r>
        <w:rPr>
          <w:rFonts w:ascii="宋体" w:hAnsi="宋体" w:eastAsia="宋体" w:cs="宋体"/>
          <w:sz w:val="21"/>
          <w:szCs w:val="21"/>
        </w:rPr>
        <w:t xml:space="preserve">70</w:t>
      </w:r>
      <w:r>
        <w:rPr>
          <w:rFonts w:hint="eastAsia" w:ascii="宋体" w:hAnsi="宋体" w:eastAsia="宋体" w:cs="宋体"/>
          <w:sz w:val="21"/>
          <w:szCs w:val="21"/>
        </w:rPr>
        <w:t xml:space="preserve">分，实际付款金额</w:t>
      </w:r>
      <w:r>
        <w:rPr>
          <w:rFonts w:ascii="宋体" w:hAnsi="宋体" w:eastAsia="宋体" w:cs="宋体"/>
          <w:sz w:val="21"/>
          <w:szCs w:val="21"/>
        </w:rPr>
        <w:t xml:space="preserve">=</w:t>
      </w:r>
      <w:r>
        <w:rPr>
          <w:rFonts w:hint="eastAsia" w:ascii="宋体" w:hAnsi="宋体" w:eastAsia="宋体" w:cs="宋体"/>
          <w:sz w:val="21"/>
          <w:szCs w:val="21"/>
        </w:rPr>
        <w:t xml:space="preserve">应付金额</w:t>
      </w:r>
      <w:r>
        <w:rPr>
          <w:rFonts w:ascii="宋体" w:hAnsi="宋体" w:eastAsia="宋体" w:cs="宋体"/>
          <w:sz w:val="21"/>
          <w:szCs w:val="21"/>
        </w:rPr>
        <w:t xml:space="preserve">*60%</w:t>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5</w:t>
      </w:r>
      <w:r>
        <w:rPr>
          <w:rFonts w:hint="eastAsia" w:ascii="宋体" w:hAnsi="宋体" w:eastAsia="宋体" w:cs="宋体"/>
          <w:sz w:val="21"/>
          <w:szCs w:val="21"/>
        </w:rPr>
        <w:t xml:space="preserve">）当考评结果＜</w:t>
      </w:r>
      <w:r>
        <w:rPr>
          <w:rFonts w:ascii="宋体" w:hAnsi="宋体" w:eastAsia="宋体" w:cs="宋体"/>
          <w:sz w:val="21"/>
          <w:szCs w:val="21"/>
        </w:rPr>
        <w:t xml:space="preserve">60</w:t>
      </w:r>
      <w:r>
        <w:rPr>
          <w:rFonts w:hint="eastAsia" w:ascii="宋体" w:hAnsi="宋体" w:eastAsia="宋体" w:cs="宋体"/>
          <w:sz w:val="21"/>
          <w:szCs w:val="21"/>
        </w:rPr>
        <w:t xml:space="preserve">分，采购</w:t>
      </w:r>
      <w:r>
        <w:rPr>
          <w:rFonts w:hint="eastAsia" w:ascii="宋体" w:hAnsi="宋体" w:eastAsia="宋体" w:cs="宋体"/>
          <w:sz w:val="21"/>
          <w:szCs w:val="21"/>
        </w:rPr>
        <w:t xml:space="preserve">方有权拒绝付款。</w:t>
      </w:r>
      <w:r>
        <w:rPr>
          <w:rFonts w:ascii="宋体" w:hAnsi="宋体" w:eastAsia="宋体" w:cs="宋体"/>
          <w:sz w:val="21"/>
          <w:szCs w:val="21"/>
        </w:rPr>
      </w:r>
      <w:r/>
    </w:p>
    <w:p>
      <w:pPr>
        <w:pStyle w:val="69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（七）其他</w:t>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供应商需提供项目服务方案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项目整体维保技术方案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结合项目实际并围绕智慧监管要求，提供现有系统的维护保养方案。包括但不限于：项目整体系统架构的理解与分析、对应维保的系统及硬件的技术支撑等。</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）根据智慧监管系统的要求，提供项目整体系统架构的理解方案。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）针对服务要求中智慧监管系统，提供对应维保的技术方案。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）针对维保清单中所涉及的硬件内容，提供切实可行技术方案。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安全保密方案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提供公安监管场所数据保密管理及设备数据安全系统管理的保障方案。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）针对公安监管场所数据保密管理，提供对应方案。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）针对公安监管场所设备数据安全备份保障管理，提供对应方案。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数据通道服务方案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结合项目实际提供数据通道及网络环境通道的服务能力保障方案，包括但不限于：对网络环境通道的保障和优化等。</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）针对项目中公安监管场所网络环境通道的保障，提供对应方案。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）针对项目中公安监管场所网络环境通道的优化，提供对应方案。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维保实施方案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根据项目实际提供信息技术方案，包括但不限于：故障接报管理、人车系统调配保障管理、后台数据记录、统计分析研判保障管理等实施方案。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）提供此项目中</w:t>
      </w:r>
      <w:r>
        <w:rPr>
          <w:rFonts w:hint="eastAsia" w:ascii="宋体" w:hAnsi="宋体" w:eastAsia="宋体" w:cs="宋体"/>
          <w:sz w:val="21"/>
          <w:szCs w:val="21"/>
        </w:rPr>
        <w:t xml:space="preserve">故障接报管理实施的方案。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）提供此项目中人车系统调配保障管理实施的方案。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）提供此项目中后台数据记录、统计分析研判保障管理的方案。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人员配备方案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提供人员配备及调用方案，包含但不限于：管理人员配备方案、组织架构，各专业的配备方案的划分，岗位职责设置及岗位工作内容的划分，岗位安全责任的落实制度，人员调用制度及方案等。</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）提供此项目中管理人员配备、组织架构，各专业配备划分等方面的方案。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）提供此项目中岗位职责设置及岗位工作内容的划分，岗位安全责任的落实制度方面的方案。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）提供此项目中项目人员调用制度的方案。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重点难点分析</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提供本维保项目特别常见的故障分析及处理的方案，包括但不限于：安防系统、网络、机房、前端系统、采购时间超过</w:t>
      </w:r>
      <w:r>
        <w:rPr>
          <w:rFonts w:ascii="宋体" w:hAnsi="宋体" w:eastAsia="宋体" w:cs="宋体"/>
          <w:sz w:val="21"/>
          <w:szCs w:val="21"/>
        </w:rPr>
        <w:t xml:space="preserve">10</w:t>
      </w:r>
      <w:r>
        <w:rPr>
          <w:rFonts w:hint="eastAsia" w:ascii="宋体" w:hAnsi="宋体" w:eastAsia="宋体" w:cs="宋体"/>
          <w:sz w:val="21"/>
          <w:szCs w:val="21"/>
        </w:rPr>
        <w:t xml:space="preserve">年的现有设备等故障分析及处理的方案。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）提供安防系统故障实施分析及处理的方案。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）提供项目网络、机房系统实施分析及处理的方案。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）提供项目业务管理系统实施分析及处理的方案。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4</w:t>
      </w:r>
      <w:r>
        <w:rPr>
          <w:rFonts w:hint="eastAsia" w:ascii="宋体" w:hAnsi="宋体" w:eastAsia="宋体" w:cs="宋体"/>
          <w:sz w:val="21"/>
          <w:szCs w:val="21"/>
        </w:rPr>
        <w:t xml:space="preserve">）提供采购时间超过</w:t>
      </w:r>
      <w:r>
        <w:rPr>
          <w:rFonts w:ascii="宋体" w:hAnsi="宋体" w:eastAsia="宋体" w:cs="宋体"/>
          <w:sz w:val="21"/>
          <w:szCs w:val="21"/>
        </w:rPr>
        <w:t xml:space="preserve">10</w:t>
      </w:r>
      <w:r>
        <w:rPr>
          <w:rFonts w:hint="eastAsia" w:ascii="宋体" w:hAnsi="宋体" w:eastAsia="宋体" w:cs="宋体"/>
          <w:sz w:val="21"/>
          <w:szCs w:val="21"/>
        </w:rPr>
        <w:t xml:space="preserve">年的现有设备故障分析及处理的方案。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5</w:t>
      </w:r>
      <w:r>
        <w:rPr>
          <w:rFonts w:hint="eastAsia" w:ascii="宋体" w:hAnsi="宋体" w:eastAsia="宋体" w:cs="宋体"/>
          <w:sz w:val="21"/>
          <w:szCs w:val="21"/>
        </w:rPr>
        <w:t xml:space="preserve">）提供项目前端视频系统实施分析及处理的方案。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应急保障措施</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提供重大活动、重要节日等应急保护措施的方案，包括</w:t>
      </w:r>
      <w:r>
        <w:rPr>
          <w:rFonts w:hint="eastAsia" w:ascii="宋体" w:hAnsi="宋体" w:eastAsia="宋体" w:cs="宋体"/>
          <w:sz w:val="21"/>
          <w:szCs w:val="21"/>
        </w:rPr>
        <w:t xml:space="preserve">但不限于：重大活动、重要节日等期间的应急预案、工作措施、优化复盘方案。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系统对接方案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提供前端、门禁、存储等系统对接升级的方案，包括但不限于：前端、门禁、存储等系统的升级、优化和对接方案。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监区对讲警情处置模块保障方案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提供本维保项目监区对讲警情处置模块常见故障分析及处理方案，包括但不限于：监区对讲主机、分机和对接上级主管部门等故障分析及处理方案。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）提供监区对讲主机故障实施分析及处理的方案。</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）提供监区对讲分机故障实施分析及处理的方案。</w:t>
      </w:r>
      <w:r>
        <w:rPr>
          <w:rFonts w:ascii="宋体" w:hAnsi="宋体" w:eastAsia="宋体" w:cs="宋体"/>
          <w:sz w:val="21"/>
          <w:szCs w:val="21"/>
        </w:rPr>
      </w:r>
      <w:r/>
    </w:p>
    <w:p>
      <w:pPr>
        <w:pStyle w:val="6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）提供监区对讲呼叫报警功能对接上级主管部门故障分析的方案。</w:t>
      </w:r>
      <w:r/>
    </w:p>
    <w:p>
      <w:pPr>
        <w:pStyle w:val="69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（八）现场踏勘</w:t>
      </w:r>
      <w:r>
        <w:rPr>
          <w:rFonts w:ascii="宋体" w:hAnsi="宋体" w:eastAsia="宋体" w:cs="宋体"/>
          <w:b/>
          <w:bCs/>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踏勘时间：</w:t>
      </w:r>
      <w:r>
        <w:rPr>
          <w:rFonts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16</w:t>
      </w:r>
      <w:r>
        <w:rPr>
          <w:rFonts w:hint="eastAsia" w:ascii="宋体" w:hAnsi="宋体" w:eastAsia="宋体" w:cs="宋体"/>
          <w:sz w:val="21"/>
          <w:szCs w:val="21"/>
        </w:rPr>
        <w:t xml:space="preserve">日</w:t>
      </w:r>
      <w:r>
        <w:rPr>
          <w:rFonts w:ascii="宋体" w:hAnsi="宋体" w:eastAsia="宋体" w:cs="宋体"/>
          <w:sz w:val="21"/>
          <w:szCs w:val="21"/>
        </w:rPr>
        <w:t xml:space="preserve">9</w:t>
      </w:r>
      <w:r>
        <w:rPr>
          <w:rFonts w:hint="eastAsia" w:ascii="宋体" w:hAnsi="宋体" w:eastAsia="宋体" w:cs="宋体"/>
          <w:sz w:val="21"/>
          <w:szCs w:val="21"/>
        </w:rPr>
        <w:t xml:space="preserve">：</w:t>
      </w:r>
      <w:r>
        <w:rPr>
          <w:rFonts w:ascii="宋体" w:hAnsi="宋体" w:eastAsia="宋体" w:cs="宋体"/>
          <w:sz w:val="21"/>
          <w:szCs w:val="21"/>
        </w:rPr>
        <w:t xml:space="preserve">30—16</w:t>
      </w:r>
      <w:r>
        <w:rPr>
          <w:rFonts w:hint="eastAsia" w:ascii="宋体" w:hAnsi="宋体" w:eastAsia="宋体" w:cs="宋体"/>
          <w:sz w:val="21"/>
          <w:szCs w:val="21"/>
        </w:rPr>
        <w:t xml:space="preserve">：</w:t>
      </w:r>
      <w:r>
        <w:rPr>
          <w:rFonts w:ascii="宋体" w:hAnsi="宋体" w:eastAsia="宋体" w:cs="宋体"/>
          <w:sz w:val="21"/>
          <w:szCs w:val="21"/>
        </w:rPr>
        <w:t xml:space="preserve">00</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地点：苏州市相城区黄埭镇康阳路</w:t>
      </w:r>
      <w:r>
        <w:rPr>
          <w:rFonts w:ascii="宋体" w:hAnsi="宋体" w:eastAsia="宋体" w:cs="宋体"/>
          <w:sz w:val="21"/>
          <w:szCs w:val="21"/>
        </w:rPr>
        <w:t xml:space="preserve">390</w:t>
      </w:r>
      <w:r>
        <w:rPr>
          <w:rFonts w:hint="eastAsia" w:ascii="宋体" w:hAnsi="宋体" w:eastAsia="宋体" w:cs="宋体"/>
          <w:sz w:val="21"/>
          <w:szCs w:val="21"/>
        </w:rPr>
        <w:t xml:space="preserve">号和苏州市吴中区金丝港路</w:t>
      </w:r>
      <w:r>
        <w:rPr>
          <w:rFonts w:ascii="宋体" w:hAnsi="宋体" w:eastAsia="宋体" w:cs="宋体"/>
          <w:sz w:val="21"/>
          <w:szCs w:val="21"/>
        </w:rPr>
        <w:t xml:space="preserve">688</w:t>
      </w:r>
      <w:r>
        <w:rPr>
          <w:rFonts w:hint="eastAsia" w:ascii="宋体" w:hAnsi="宋体" w:eastAsia="宋体" w:cs="宋体"/>
          <w:sz w:val="21"/>
          <w:szCs w:val="21"/>
        </w:rPr>
        <w:t xml:space="preserve">号。</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联系人：李警官</w:t>
      </w:r>
      <w:r>
        <w:rPr>
          <w:rFonts w:ascii="宋体" w:hAnsi="宋体" w:eastAsia="宋体" w:cs="宋体"/>
          <w:sz w:val="21"/>
          <w:szCs w:val="21"/>
        </w:rPr>
      </w:r>
      <w:r/>
    </w:p>
    <w:p>
      <w:pPr>
        <w:pStyle w:val="69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s="宋体"/>
          <w:sz w:val="21"/>
          <w:szCs w:val="21"/>
        </w:rPr>
        <w:t xml:space="preserve">17279341664</w:t>
      </w:r>
      <w:r/>
    </w:p>
    <w:p>
      <w:pPr>
        <w:pStyle w:val="69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结合现场实际因素及本采购需求，自行考虑实施难度，并充分考虑其所存在的风险因素，成交后采购单位不因成交单位对现场环境不了解而造成损失承担责任。</w:t>
      </w:r>
      <w:r>
        <w:rPr>
          <w:rFonts w:ascii="宋体" w:hAnsi="宋体" w:eastAsia="宋体" w:cs="宋体"/>
          <w:b/>
          <w:bCs/>
          <w:sz w:val="21"/>
          <w:szCs w:val="21"/>
        </w:rPr>
      </w:r>
      <w:r/>
    </w:p>
    <w:p>
      <w:pPr>
        <w:pStyle w:val="649"/>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六、响应文件的组成及要求</w:t>
      </w:r>
      <w:r>
        <w:rPr>
          <w:rFonts w:ascii="宋体" w:hAnsi="宋体" w:eastAsia="宋体"/>
          <w:b/>
          <w:sz w:val="21"/>
          <w:szCs w:val="21"/>
        </w:rPr>
      </w:r>
      <w:r/>
    </w:p>
    <w:p>
      <w:pPr>
        <w:pStyle w:val="67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7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7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（包括但不限于最近一期经审计的财务报告，其他组织、自然人及成立未满一年的法人应提供银行出具的资信证明）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w:t>
      </w:r>
      <w:r>
        <w:rPr>
          <w:rFonts w:hint="eastAsia" w:ascii="宋体" w:hAnsi="宋体" w:eastAsia="宋体"/>
          <w:b/>
          <w:sz w:val="21"/>
          <w:szCs w:val="21"/>
        </w:rPr>
        <w:t xml:space="preserve">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78"/>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3.6.6</w:t>
      </w:r>
      <w:r>
        <w:rPr>
          <w:rFonts w:hint="eastAsia" w:ascii="宋体" w:hAnsi="宋体" w:eastAsia="宋体" w:cs="宋体"/>
          <w:b/>
          <w:sz w:val="21"/>
          <w:szCs w:val="21"/>
        </w:rPr>
        <w:t xml:space="preserve">《中小企业声明函》或《残疾人福利性单位声明函》或由省级以上监狱管理局、戒毒管理局（含新疆生产建设兵团）出具的属于监狱企业的证明文件；</w:t>
      </w:r>
      <w:r/>
    </w:p>
    <w:p>
      <w:pPr>
        <w:pStyle w:val="678"/>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7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78"/>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78"/>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4.5</w:t>
      </w:r>
      <w:r>
        <w:rPr>
          <w:rFonts w:hint="eastAsia" w:ascii="宋体" w:hAnsi="宋体" w:eastAsia="宋体" w:cs="宋体"/>
          <w:b/>
          <w:bCs/>
          <w:sz w:val="21"/>
          <w:szCs w:val="21"/>
        </w:rPr>
        <w:t xml:space="preserve">响应单位自有车辆或租赁车辆的证明材料或成交后提供的承诺，并加盖响应单位公章；</w:t>
      </w:r>
      <w:r/>
    </w:p>
    <w:p>
      <w:pPr>
        <w:pStyle w:val="678"/>
        <w:spacing w:line="360" w:lineRule="auto"/>
        <w:rPr>
          <w:rFonts w:hint="eastAsia" w:ascii="宋体" w:hAnsi="宋体" w:eastAsia="宋体" w:cs="宋体"/>
          <w:sz w:val="21"/>
          <w:szCs w:val="21"/>
        </w:rPr>
      </w:pPr>
      <w:r>
        <w:rPr>
          <w:rFonts w:hint="eastAsia" w:ascii="宋体" w:hAnsi="宋体" w:eastAsia="宋体" w:cs="宋体"/>
          <w:sz w:val="21"/>
          <w:szCs w:val="21"/>
        </w:rPr>
        <w:t xml:space="preserve">4.6</w:t>
      </w:r>
      <w:r>
        <w:rPr>
          <w:rFonts w:hint="eastAsia" w:ascii="宋体" w:hAnsi="宋体" w:eastAsia="宋体" w:cs="宋体"/>
          <w:b/>
          <w:bCs/>
          <w:sz w:val="21"/>
          <w:szCs w:val="21"/>
        </w:rPr>
        <w:t xml:space="preserve">配备人员一览表及响应单位为其所配备的人员缴纳的最近一期社保证明</w:t>
      </w:r>
      <w:r>
        <w:rPr>
          <w:rFonts w:ascii="宋体" w:hAnsi="宋体" w:eastAsia="宋体" w:cs="宋体"/>
          <w:b/>
          <w:bCs/>
          <w:sz w:val="21"/>
          <w:szCs w:val="21"/>
        </w:rPr>
        <w:t xml:space="preserve">,</w:t>
      </w:r>
      <w:r>
        <w:rPr>
          <w:rFonts w:hint="eastAsia" w:ascii="宋体" w:hAnsi="宋体" w:eastAsia="宋体" w:cs="宋体"/>
          <w:b/>
          <w:bCs/>
          <w:sz w:val="21"/>
          <w:szCs w:val="21"/>
        </w:rPr>
        <w:t xml:space="preserve">并加盖响应单位公章；</w:t>
      </w:r>
      <w:r>
        <w:rPr>
          <w:rFonts w:hint="eastAsia" w:ascii="宋体" w:hAnsi="宋体" w:eastAsia="宋体" w:cs="宋体"/>
          <w:sz w:val="21"/>
          <w:szCs w:val="21"/>
        </w:rPr>
      </w:r>
      <w:r/>
    </w:p>
    <w:p>
      <w:pPr>
        <w:pStyle w:val="678"/>
        <w:spacing w:line="360" w:lineRule="auto"/>
        <w:rPr>
          <w:rFonts w:hint="eastAsia" w:ascii="宋体" w:hAnsi="宋体" w:eastAsia="宋体" w:cs="宋体"/>
          <w:sz w:val="21"/>
          <w:szCs w:val="21"/>
        </w:rPr>
      </w:pPr>
      <w:r>
        <w:rPr>
          <w:rFonts w:hint="eastAsia" w:ascii="宋体" w:hAnsi="宋体" w:eastAsia="宋体" w:cs="宋体"/>
          <w:sz w:val="21"/>
          <w:szCs w:val="21"/>
        </w:rPr>
        <w:t xml:space="preserve">4.7</w:t>
      </w:r>
      <w:r>
        <w:rPr>
          <w:rFonts w:hint="eastAsia" w:ascii="宋体" w:hAnsi="宋体" w:eastAsia="宋体" w:cs="宋体"/>
          <w:b/>
          <w:bCs/>
          <w:sz w:val="21"/>
          <w:szCs w:val="21"/>
        </w:rPr>
        <w:t xml:space="preserve">响应单位的</w:t>
      </w:r>
      <w:r>
        <w:rPr>
          <w:rFonts w:hint="eastAsia" w:ascii="宋体" w:hAnsi="宋体" w:eastAsia="宋体"/>
          <w:b/>
          <w:bCs/>
          <w:sz w:val="21"/>
          <w:szCs w:val="21"/>
        </w:rPr>
        <w:t xml:space="preserve">维保项目组人员均为驻场工作人员的承诺，并加盖响应单位公章；</w:t>
      </w:r>
      <w:r>
        <w:rPr>
          <w:rFonts w:hint="eastAsia" w:ascii="宋体" w:hAnsi="宋体" w:eastAsia="宋体" w:cs="宋体"/>
          <w:sz w:val="21"/>
          <w:szCs w:val="21"/>
        </w:rPr>
      </w:r>
      <w:r/>
    </w:p>
    <w:p>
      <w:pPr>
        <w:pStyle w:val="678"/>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8</w:t>
      </w:r>
      <w:r>
        <w:rPr>
          <w:rFonts w:hint="eastAsia" w:ascii="宋体" w:hAnsi="宋体" w:eastAsia="宋体" w:cs="宋体"/>
          <w:b/>
          <w:bCs/>
          <w:sz w:val="21"/>
          <w:szCs w:val="21"/>
        </w:rPr>
        <w:t xml:space="preserve">响应单位对设备和系统版本升级要求工作不收取额外费用的承诺</w:t>
      </w:r>
      <w:r>
        <w:rPr>
          <w:rFonts w:ascii="宋体" w:hAnsi="宋体" w:eastAsia="宋体" w:cs="宋体"/>
          <w:b/>
          <w:bCs/>
          <w:sz w:val="21"/>
          <w:szCs w:val="21"/>
        </w:rPr>
        <w:t xml:space="preserve">,</w:t>
      </w:r>
      <w:r>
        <w:rPr>
          <w:rFonts w:hint="eastAsia" w:ascii="宋体" w:hAnsi="宋体" w:eastAsia="宋体" w:cs="宋体"/>
          <w:b/>
          <w:bCs/>
          <w:sz w:val="21"/>
          <w:szCs w:val="21"/>
        </w:rPr>
        <w:t xml:space="preserve">并加盖响应单位公章</w:t>
      </w:r>
      <w:r>
        <w:rPr>
          <w:rFonts w:hint="eastAsia" w:ascii="宋体" w:hAnsi="宋体" w:eastAsia="宋体" w:cs="宋体"/>
          <w:sz w:val="21"/>
          <w:szCs w:val="21"/>
        </w:rPr>
        <w:t xml:space="preserve">；</w:t>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9</w:t>
      </w:r>
      <w:r>
        <w:rPr>
          <w:rFonts w:hint="eastAsia" w:ascii="宋体" w:hAnsi="宋体" w:eastAsia="宋体" w:cs="宋体"/>
          <w:sz w:val="21"/>
          <w:szCs w:val="21"/>
        </w:rPr>
        <w:t xml:space="preserve">其他有关符合性证明的文件；</w:t>
      </w:r>
      <w:r>
        <w:rPr>
          <w:rFonts w:ascii="宋体" w:hAnsi="宋体" w:eastAsia="宋体" w:cs="宋体"/>
          <w:sz w:val="21"/>
          <w:szCs w:val="21"/>
        </w:rPr>
      </w:r>
      <w:r/>
    </w:p>
    <w:p>
      <w:pPr>
        <w:pStyle w:val="67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w:t>
      </w:r>
      <w:r>
        <w:rPr>
          <w:rFonts w:hint="eastAsia" w:ascii="宋体" w:hAnsi="宋体" w:eastAsia="宋体"/>
          <w:bCs/>
          <w:sz w:val="21"/>
          <w:szCs w:val="21"/>
        </w:rPr>
        <w:t xml:space="preserve">准制作）</w:t>
      </w:r>
      <w:r>
        <w:rPr>
          <w:rFonts w:ascii="宋体" w:hAnsi="宋体" w:eastAsia="宋体" w:cs="宋体"/>
          <w:sz w:val="21"/>
          <w:szCs w:val="21"/>
        </w:rPr>
      </w:r>
      <w:r/>
    </w:p>
    <w:p>
      <w:pPr>
        <w:pStyle w:val="67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6、其他可以证明投标人资质、服务质量的证书、文件等相关资料。</w:t>
      </w:r>
      <w:r>
        <w:rPr>
          <w:rFonts w:ascii="宋体" w:hAnsi="宋体" w:eastAsia="宋体" w:cs="宋体"/>
          <w:b/>
          <w:bCs/>
          <w:sz w:val="21"/>
          <w:szCs w:val="21"/>
        </w:rPr>
      </w:r>
      <w:r/>
    </w:p>
    <w:p>
      <w:pPr>
        <w:pStyle w:val="678"/>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78"/>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9</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678"/>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78"/>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78"/>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9"/>
        <w:ind w:firstLine="422"/>
        <w:spacing w:line="348" w:lineRule="auto"/>
        <w:rPr>
          <w:rFonts w:ascii="宋体" w:hAnsi="宋体" w:eastAsia="宋体"/>
          <w:b/>
          <w:bCs/>
          <w:sz w:val="21"/>
          <w:szCs w:val="21"/>
        </w:rPr>
      </w:pPr>
      <w:r>
        <w:rPr>
          <w:rFonts w:hint="eastAsia" w:ascii="宋体" w:hAnsi="宋体" w:eastAsia="宋体"/>
          <w:b/>
          <w:bCs/>
          <w:sz w:val="21"/>
          <w:szCs w:val="21"/>
        </w:rPr>
        <w:t xml:space="preserve">七、磋商程序</w:t>
      </w:r>
      <w:r>
        <w:rPr>
          <w:rFonts w:ascii="宋体" w:hAnsi="宋体" w:eastAsia="宋体"/>
          <w:b/>
          <w:bCs/>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1、采购代</w:t>
      </w:r>
      <w:r>
        <w:rPr>
          <w:rFonts w:hint="eastAsia" w:ascii="宋体" w:hAnsi="宋体" w:eastAsia="宋体" w:cs="宋体"/>
          <w:sz w:val="21"/>
          <w:szCs w:val="21"/>
        </w:rPr>
        <w:t xml:space="preserve">理机构按本须知规定的时间、地点主持磋商采购活动。</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93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w:t>
      </w:r>
      <w:r>
        <w:rPr>
          <w:rFonts w:hint="eastAsia" w:ascii="宋体" w:hAnsi="宋体" w:cs="宋体"/>
          <w:b/>
          <w:sz w:val="21"/>
          <w:szCs w:val="21"/>
        </w:rPr>
        <w:t xml:space="preserve">如因供应商自身原因未在规定时间内提交澄清确认资料的，导致的不利后果由供应商自行承担。</w:t>
      </w:r>
      <w:r>
        <w:rPr>
          <w:rFonts w:ascii="宋体" w:hAnsi="宋体" w:cs="宋体"/>
          <w:b/>
          <w:color w:val="ff0000"/>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78"/>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78"/>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w:t>
      </w:r>
      <w:r>
        <w:rPr>
          <w:rFonts w:hint="eastAsia" w:ascii="宋体" w:hAnsi="宋体" w:eastAsia="宋体" w:cs="宋体"/>
          <w:b/>
          <w:sz w:val="21"/>
          <w:szCs w:val="21"/>
        </w:rPr>
        <w:t xml:space="preserve">间为准，系统中的线上最后报价只有一次机会，提交后无法撤回，请供应商慎重提交）</w:t>
      </w:r>
      <w:r>
        <w:rPr>
          <w:rFonts w:ascii="宋体" w:hAnsi="宋体" w:eastAsia="宋体" w:cs="宋体"/>
          <w:b/>
          <w:sz w:val="21"/>
          <w:szCs w:val="21"/>
        </w:rPr>
      </w:r>
      <w:r/>
    </w:p>
    <w:p>
      <w:pPr>
        <w:pStyle w:val="67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7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938"/>
        <w:ind w:left="0" w:firstLine="422"/>
        <w:spacing w:line="360" w:lineRule="auto"/>
        <w:rPr>
          <w:rFonts w:hint="eastAsia" w:ascii="宋体" w:hAnsi="宋体" w:cs="宋体"/>
          <w:b/>
          <w:color w:val="000000"/>
          <w:sz w:val="21"/>
          <w:szCs w:val="21"/>
        </w:rPr>
      </w:pPr>
      <w:r/>
      <w:bookmarkStart w:id="57"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938"/>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938"/>
        <w:ind w:left="0" w:firstLine="422"/>
        <w:spacing w:line="360" w:lineRule="auto"/>
        <w:rPr>
          <w:rFonts w:hint="eastAsia" w:ascii="宋体" w:hAnsi="宋体" w:cs="宋体"/>
          <w:b/>
          <w:sz w:val="21"/>
          <w:szCs w:val="21"/>
          <w:lang w:val="en-US"/>
        </w:rPr>
      </w:pPr>
      <w:r/>
      <w:bookmarkEnd w:id="57"/>
      <w:r/>
      <w:bookmarkStart w:id="58" w:name="OLE_LINK4"/>
      <w:r/>
      <w:bookmarkStart w:id="59" w:name="OLE_LINK3"/>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938"/>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938"/>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0" w:name="OLE_LINK28"/>
      <w:r/>
      <w:bookmarkStart w:id="61" w:name="OLE_LINK27"/>
      <w:r>
        <w:rPr>
          <w:rFonts w:hint="eastAsia" w:ascii="宋体" w:hAnsi="宋体" w:cs="宋体"/>
          <w:b/>
          <w:sz w:val="21"/>
          <w:szCs w:val="21"/>
          <w:lang w:val="en-US"/>
        </w:rPr>
        <w:t xml:space="preserve">响应报价</w:t>
      </w:r>
      <w:bookmarkEnd w:id="60"/>
      <w:r/>
      <w:bookmarkEnd w:id="61"/>
      <w:r>
        <w:rPr>
          <w:rFonts w:hint="eastAsia" w:ascii="宋体" w:hAnsi="宋体" w:cs="宋体"/>
          <w:b/>
          <w:sz w:val="21"/>
          <w:szCs w:val="21"/>
          <w:lang w:val="en-US"/>
        </w:rPr>
        <w:t xml:space="preserve">低于采购项目最高限价45%的，即响应报价&lt;采购项目最高限价×45%；</w:t>
      </w:r>
      <w:r/>
    </w:p>
    <w:p>
      <w:pPr>
        <w:pStyle w:val="938"/>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78"/>
        <w:ind w:firstLine="422"/>
        <w:spacing w:line="360" w:lineRule="auto"/>
        <w:rPr>
          <w:rFonts w:ascii="宋体" w:hAnsi="宋体" w:eastAsia="宋体"/>
          <w:b/>
          <w:color w:val="000000"/>
          <w:sz w:val="21"/>
          <w:szCs w:val="21"/>
          <w:lang w:val="zh-CN"/>
        </w:rPr>
      </w:pPr>
      <w:r/>
      <w:bookmarkEnd w:id="58"/>
      <w:r/>
      <w:bookmarkEnd w:id="59"/>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w:t>
      </w:r>
      <w:r>
        <w:rPr>
          <w:rFonts w:hint="eastAsia" w:ascii="宋体" w:hAnsi="宋体" w:eastAsia="宋体"/>
          <w:b/>
          <w:color w:val="000000"/>
          <w:sz w:val="21"/>
          <w:szCs w:val="21"/>
          <w:lang w:val="zh-CN"/>
        </w:rPr>
        <w:t xml:space="preserve">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78"/>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78"/>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78"/>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w:t>
      </w:r>
      <w:r>
        <w:rPr>
          <w:rFonts w:hint="eastAsia" w:ascii="宋体" w:hAnsi="宋体" w:eastAsia="宋体" w:cs="宋体"/>
          <w:sz w:val="21"/>
          <w:szCs w:val="21"/>
        </w:rPr>
        <w:t xml:space="preserve">提交最后报价的供应商的响应文件和最后报价进行综合评分。</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八、质疑处理</w:t>
      </w:r>
      <w:r>
        <w:rPr>
          <w:rFonts w:ascii="宋体" w:hAnsi="宋体" w:eastAsia="宋体"/>
          <w:b/>
          <w:bCs/>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w:t>
      </w:r>
      <w:r>
        <w:rPr>
          <w:rFonts w:hint="eastAsia" w:ascii="宋体" w:hAnsi="宋体" w:eastAsia="宋体" w:cs="宋体"/>
          <w:b/>
          <w:sz w:val="21"/>
          <w:szCs w:val="21"/>
        </w:rPr>
        <w:t xml:space="preserve">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78"/>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78"/>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78"/>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78"/>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78"/>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九</w:t>
      </w:r>
      <w:r>
        <w:rPr>
          <w:rFonts w:ascii="宋体" w:hAnsi="宋体" w:eastAsia="宋体"/>
          <w:b/>
          <w:bCs/>
          <w:sz w:val="21"/>
          <w:szCs w:val="21"/>
        </w:rPr>
        <w:t xml:space="preserve">、项目的终止</w:t>
      </w:r>
      <w:r/>
    </w:p>
    <w:p>
      <w:pPr>
        <w:pStyle w:val="649"/>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9"/>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9"/>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9"/>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w:t>
      </w:r>
      <w:r>
        <w:rPr>
          <w:rFonts w:ascii="宋体" w:hAnsi="宋体" w:eastAsia="宋体"/>
          <w:bCs/>
          <w:sz w:val="21"/>
          <w:szCs w:val="21"/>
        </w:rPr>
        <w:t xml:space="preserve">求的供应商或者报价未超过采购预算的供应商不足3家的；</w:t>
      </w:r>
      <w:r/>
    </w:p>
    <w:p>
      <w:pPr>
        <w:pStyle w:val="649"/>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9"/>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9"/>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十、综合说明及其它要求：</w:t>
      </w:r>
      <w:r>
        <w:rPr>
          <w:rFonts w:ascii="宋体" w:hAnsi="宋体" w:eastAsia="宋体"/>
          <w:b/>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9"/>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5、凡涉及采购文件的补充说明和修改，均以苏州政府采购网最后发布的内容为准。</w:t>
      </w:r>
      <w:r/>
    </w:p>
    <w:p>
      <w:pPr>
        <w:pStyle w:val="649"/>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十一、</w:t>
      </w:r>
      <w:r>
        <w:rPr>
          <w:rFonts w:hint="eastAsia" w:ascii="宋体" w:hAnsi="宋体" w:eastAsia="宋体"/>
          <w:b/>
          <w:bCs/>
          <w:sz w:val="21"/>
          <w:szCs w:val="21"/>
        </w:rPr>
        <w:t xml:space="preserve">政府采购政策</w:t>
      </w:r>
      <w:r/>
    </w:p>
    <w:p>
      <w:pPr>
        <w:pStyle w:val="649"/>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w:t>
      </w:r>
      <w:r>
        <w:rPr>
          <w:rFonts w:hint="eastAsia" w:ascii="宋体" w:hAnsi="宋体" w:eastAsia="宋体"/>
          <w:sz w:val="21"/>
          <w:szCs w:val="21"/>
        </w:rPr>
        <w:t xml:space="preserve">《关于做好政府采购支持企业发展有关事项的通知》（苏财购〔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9"/>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号），本采购项目对应的中小企业划分标准所属行业为：软件和信息</w:t>
      </w:r>
      <w:r>
        <w:rPr>
          <w:rFonts w:hint="eastAsia" w:ascii="宋体" w:hAnsi="宋体" w:eastAsia="宋体"/>
          <w:b/>
          <w:bCs/>
          <w:sz w:val="21"/>
          <w:szCs w:val="21"/>
        </w:rPr>
        <w:t xml:space="preserve">技术服务业。</w:t>
      </w:r>
      <w:r>
        <w:rPr>
          <w:rFonts w:ascii="宋体" w:hAnsi="宋体" w:eastAsia="宋体"/>
          <w:b/>
          <w:bCs/>
          <w:sz w:val="21"/>
          <w:szCs w:val="21"/>
        </w:rPr>
      </w:r>
      <w:r/>
    </w:p>
    <w:p>
      <w:pPr>
        <w:pStyle w:val="649"/>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9"/>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4、针对中小型企业、残疾人福利企业和监狱企业的评审：</w:t>
      </w:r>
      <w:r>
        <w:rPr>
          <w:rFonts w:ascii="宋体" w:hAnsi="宋体" w:eastAsia="宋体" w:cs="宋体"/>
          <w:sz w:val="21"/>
          <w:szCs w:val="22"/>
        </w:rPr>
      </w:r>
      <w:r/>
    </w:p>
    <w:p>
      <w:pPr>
        <w:pStyle w:val="649"/>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w:t>
      </w:r>
      <w:r>
        <w:rPr>
          <w:rFonts w:hint="eastAsia" w:ascii="宋体" w:hAnsi="宋体" w:eastAsia="宋体"/>
          <w:bCs/>
          <w:sz w:val="21"/>
          <w:szCs w:val="21"/>
        </w:rPr>
        <w:t xml:space="preserve">属于监狱企业的证明文件。</w:t>
      </w:r>
      <w:r>
        <w:rPr>
          <w:rFonts w:ascii="宋体" w:hAnsi="宋体" w:eastAsia="宋体"/>
          <w:sz w:val="21"/>
        </w:rPr>
      </w:r>
      <w:r/>
    </w:p>
    <w:p>
      <w:pPr>
        <w:pStyle w:val="649"/>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9"/>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9"/>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5、绿色采购（本项目不涉及）</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9"/>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6、支持本国产品政策（本项目不涉及）</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cs/>
        </w:rPr>
        <w:t xml:space="preserve">“</w:t>
      </w:r>
      <w:r>
        <w:rPr>
          <w:rFonts w:hint="eastAsia" w:ascii="宋体" w:hAnsi="宋体" w:eastAsia="宋体"/>
          <w:sz w:val="21"/>
          <w:szCs w:val="21"/>
        </w:rPr>
        <w:t xml:space="preserve">本国产品扶持政策</w:t>
      </w:r>
      <w:r>
        <w:rPr>
          <w:rFonts w:hint="cs" w:ascii="宋体" w:hAnsi="宋体" w:eastAsia="宋体"/>
          <w:sz w:val="21"/>
          <w:szCs w:val="21"/>
          <w:cs/>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（3）本国产品标准的适用范围</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w:t>
      </w:r>
      <w:r>
        <w:rPr>
          <w:rFonts w:hint="eastAsia" w:ascii="宋体" w:hAnsi="宋体" w:eastAsia="宋体"/>
          <w:sz w:val="21"/>
          <w:szCs w:val="21"/>
        </w:rPr>
        <w:t xml:space="preserve">声明函》（格式见第二章）。</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649"/>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（7）供应商提供的《关于符合本国产品标准的声明函》，或财政部会同有关部门规定的有关证明文件将随中标（成交）结果同时公告。</w:t>
      </w:r>
      <w:r>
        <w:rPr>
          <w:rFonts w:ascii="宋体" w:hAnsi="宋体" w:eastAsia="宋体"/>
          <w:sz w:val="21"/>
          <w:szCs w:val="21"/>
        </w:rPr>
      </w:r>
      <w:r/>
    </w:p>
    <w:p>
      <w:pPr>
        <w:pStyle w:val="649"/>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十二、信用记录</w:t>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w:t>
      </w:r>
      <w:r>
        <w:rPr>
          <w:rFonts w:hint="eastAsia" w:ascii="宋体" w:hAnsi="宋体" w:eastAsia="宋体"/>
          <w:sz w:val="21"/>
          <w:szCs w:val="21"/>
        </w:rPr>
        <w:t xml:space="preserve">审小组。</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十三、成交通知书</w:t>
      </w:r>
      <w:r>
        <w:rPr>
          <w:rFonts w:ascii="宋体" w:hAnsi="宋体" w:eastAsia="宋体" w:cs="宋体"/>
          <w:b/>
          <w:bCs/>
          <w:sz w:val="21"/>
          <w:szCs w:val="21"/>
        </w:rPr>
      </w:r>
      <w:r/>
    </w:p>
    <w:p>
      <w:pPr>
        <w:pStyle w:val="64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9"/>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w:t>
      </w:r>
      <w:r>
        <w:rPr>
          <w:rFonts w:hint="eastAsia" w:ascii="宋体" w:hAnsi="宋体" w:eastAsia="宋体" w:cs="宋体"/>
          <w:sz w:val="21"/>
          <w:szCs w:val="21"/>
          <w:lang w:val="zh-CN"/>
        </w:rPr>
        <w:t xml:space="preserve">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9"/>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49"/>
        <w:rPr>
          <w:rFonts w:ascii="宋体" w:hAnsi="宋体" w:eastAsia="宋体"/>
        </w:rPr>
      </w:pPr>
      <w:r>
        <w:rPr>
          <w:rFonts w:ascii="宋体" w:hAnsi="宋体" w:eastAsia="宋体"/>
        </w:rPr>
      </w:r>
      <w:r/>
    </w:p>
    <w:p>
      <w:pPr>
        <w:pStyle w:val="650"/>
        <w:jc w:val="center"/>
        <w:spacing w:line="360" w:lineRule="auto"/>
        <w:rPr>
          <w:rFonts w:ascii="宋体" w:hAnsi="宋体" w:eastAsia="宋体"/>
          <w:sz w:val="52"/>
        </w:rPr>
      </w:pPr>
      <w:r/>
      <w:bookmarkStart w:id="62" w:name="_Toc1784"/>
      <w:r>
        <w:rPr>
          <w:rFonts w:hint="eastAsia" w:ascii="宋体" w:hAnsi="宋体" w:eastAsia="宋体"/>
          <w:sz w:val="52"/>
        </w:rPr>
        <w:t xml:space="preserve">第四章 合同主要条款</w:t>
      </w:r>
      <w:bookmarkEnd w:id="56"/>
      <w:r/>
      <w:bookmarkEnd w:id="62"/>
      <w:r>
        <w:rPr>
          <w:rFonts w:ascii="宋体" w:hAnsi="宋体" w:eastAsia="宋体"/>
          <w:sz w:val="52"/>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9"/>
        <w:jc w:val="left"/>
        <w:spacing w:line="360" w:lineRule="auto"/>
        <w:rPr>
          <w:rFonts w:hint="eastAsia" w:ascii="宋体" w:hAnsi="宋体" w:eastAsia="宋体"/>
          <w:b/>
          <w:sz w:val="21"/>
          <w:szCs w:val="21"/>
        </w:rPr>
      </w:pPr>
      <w:r>
        <w:rPr>
          <w:rFonts w:hint="eastAsia" w:ascii="宋体" w:hAnsi="宋体" w:eastAsia="宋体"/>
          <w:b/>
          <w:sz w:val="21"/>
          <w:szCs w:val="21"/>
        </w:rPr>
        <w:t xml:space="preserve">项目名称：苏州市公安局监管中心弱电系统维保</w:t>
      </w:r>
      <w:r/>
    </w:p>
    <w:p>
      <w:pPr>
        <w:pStyle w:val="649"/>
        <w:jc w:val="left"/>
        <w:spacing w:line="360" w:lineRule="auto"/>
        <w:rPr>
          <w:rFonts w:hint="eastAsia" w:ascii="宋体" w:hAnsi="宋体" w:eastAsia="宋体"/>
          <w:b/>
          <w:sz w:val="21"/>
          <w:szCs w:val="21"/>
        </w:rPr>
      </w:pPr>
      <w:r>
        <w:rPr>
          <w:rFonts w:hint="eastAsia" w:ascii="宋体" w:hAnsi="宋体" w:eastAsia="宋体"/>
          <w:b/>
          <w:sz w:val="21"/>
          <w:szCs w:val="21"/>
        </w:rPr>
        <w:t xml:space="preserve">项目编号：</w:t>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甲方：苏州市公安局</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地址：苏州市相城区人民路3998号</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联系人：</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p>
    <w:p>
      <w:pPr>
        <w:pStyle w:val="649"/>
        <w:ind w:firstLine="42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乙方：</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地址：</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联系人：</w:t>
      </w:r>
      <w:r/>
    </w:p>
    <w:p>
      <w:pPr>
        <w:pStyle w:val="649"/>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p>
    <w:p>
      <w:pPr>
        <w:pStyle w:val="649"/>
        <w:ind w:firstLine="42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中华人民共和国民法典》《中华人民共和国政府采购法》等相关法律法规的规定，甲乙双方就此次成交的【苏州市公安局监管中心弱电系统维保】（以下简称“本项目”）的购销事宜，协商一致，签订本合同书，以兹共同遵守。</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一、合同内容：</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1、合同范围：乙方应为甲方提供维保范围内的弱电终端设备维保服务。乙方在服务期限为甲方提供相应的维护服务。具体内容详见采购文件第三章 采购需求。</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2、服务期限：1年，即自【 】年【 】月【 】日至【 】年【 】月【 】日。</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3、服务地点：具体以甲方要求为准。</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二、下列文件为本合同不可分割部分：</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1、成交通知书；</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2、乙方投标（响应）文件；</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3、采购（响应）文件；</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4、乙方在开评标过程中所作的其它承诺</w:t>
      </w:r>
      <w:r>
        <w:rPr>
          <w:rFonts w:hint="eastAsia" w:ascii="宋体" w:hAnsi="宋体" w:eastAsia="宋体"/>
          <w:sz w:val="21"/>
          <w:szCs w:val="21"/>
        </w:rPr>
        <w:t xml:space="preserve">、声明、书面澄清等。</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三、合同价款及支付方式：</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1、本项目（</w:t>
      </w:r>
      <w:r>
        <w:rPr>
          <w:rFonts w:hint="eastAsia" w:ascii="宋体" w:hAnsi="宋体" w:eastAsia="宋体"/>
          <w:sz w:val="21"/>
          <w:szCs w:val="21"/>
        </w:rPr>
        <w:t xml:space="preserve">含税）总价为人民币：大写（        ），小写（        ），包括磋商文件中确定的工作以内及以外的全部服务内容及服务要求，以及相关维护、人工、培训、保险、利润、税金、交通、食宿、加班、服务所需设备及材料（除甲方配备的外）、管理、维护、代理服务费等完成本合同工作所发生的全部费用和政策性文件规定及合同包含的所有风险、责任等各项应有费用。上述金额为最终报价，除非因特殊原因并经甲乙双方协商同意，乙方不得再要求追加任何费用。同时，除非合同条款中另有规定，否则，本合同价格在合同实施期间不因市场变化因素而变动。</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付款方式：合同签订后30日内，甲方向乙方支付合同总价的【30】%作为预付款。剩余服务费用每三个月支付一次，每次支付的服务费用=［（合同总价-预付款）/【4】-本期考核应扣费用］，最后一笔服务费用待项目整体终验合格后支付。</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3、根据乙方每期考核结果确定该期所支付的款项，乙</w:t>
      </w:r>
      <w:r>
        <w:rPr>
          <w:rFonts w:hint="eastAsia" w:ascii="宋体" w:hAnsi="宋体" w:eastAsia="宋体"/>
          <w:sz w:val="21"/>
          <w:szCs w:val="21"/>
        </w:rPr>
        <w:t xml:space="preserve">方开具相应发票，甲方在收到乙方发票后【30】日内予以支付。如乙方未按约开具发票的，甲方有权拒绝付款。</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4、乙方应按本合同及采购文件中的具体要求为甲方提供服务，并定期接受甲方检查。</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5、乙方应在服务期满三个月后向甲方出具当季度正常设备维护、保养工作量清单及每月考核情况表，经甲方确认对照无误后，乙方提交书面付款申请，并提供符合甲方要求的等额发票，甲方在收到发票后30日内支付该季度维保服务费用。</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6、乙方提请甲方款项结算前，需提供以下材料，因乙方未按约定提供以下材料的，甲方有权迟延付款，且不承担迟延付款责任：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6.1合法有效且符合甲方要求的发票;</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6.2甲方盖章或签字的书面维护保养单;</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6.3 每季度维保总结或者维保台账；</w:t>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6.4 季度考核表。</w:t>
      </w:r>
      <w:r>
        <w:rPr>
          <w:rFonts w:ascii="宋体" w:hAnsi="宋体" w:eastAsia="宋体"/>
          <w:sz w:val="21"/>
          <w:szCs w:val="21"/>
        </w:rPr>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7、支付方式：银行转账或数字人民币支付。</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7.1乙方数字人民币信息：</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账户名：</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开户银行：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数字人民币账号（数币钱包ID）：</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7.2乙方银行账户信息：</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账户名：</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开户银行：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银行账号：</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8、未经双方书面协商一致，乙方不得擅自变更收款账户信息，也不得转让债权；未经甲方书面同意的债权转让对甲方不发生法律效力，甲方仍有权按照合同约定账户支付费用。若乙方将对甲方的债权擅自转让给第三</w:t>
      </w:r>
      <w:r>
        <w:rPr>
          <w:rFonts w:hint="eastAsia" w:ascii="宋体" w:hAnsi="宋体" w:eastAsia="宋体"/>
          <w:sz w:val="21"/>
          <w:szCs w:val="21"/>
        </w:rPr>
        <w:t xml:space="preserve">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四、甲方权利和义务：</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1、根据甲方采购要求及乙方响应文件中的承诺，对乙方提供的服务及履行本合同情况实行验收考核。</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2、甲方有权随时对乙方的系统维护服务情况进行监督并提出整改意见</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3、如乙方提供的服务人员不称职或不符合甲方要求的，甲方有权要求乙方限期更换。</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五、乙方权利和义务：</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（三）乙方应按照采购文件中的要求履行维保</w:t>
      </w:r>
      <w:r>
        <w:rPr>
          <w:rFonts w:hint="eastAsia" w:ascii="宋体" w:hAnsi="宋体" w:eastAsia="宋体"/>
          <w:sz w:val="21"/>
          <w:szCs w:val="21"/>
        </w:rPr>
        <w:t xml:space="preserve">服务，乙方未按约定履行维保服务的，甲方有权聘请第三方进行维修，由此产生的一切风险和费用由乙方承担，甲方有权自尚未支付的款项中予以扣除。</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四）乙方应根据甲方要求安排维护服务人员，乙方应当确保其安排的服务人员充足且拥有相关职业资质，并具有提供服务的必要经验。如甲方认为该员工不能胜任本职工作的，乙方应当在3日内更换，乙方逾期更换的或经两次更换后仍不能胜任工作的，乙方应当向甲方支付2000元/人/日的违约金，并继续更换直至人员够胜任工作。</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五）乙方服务人员应遵守甲方的工作规范和安全要求，乙方在从事维护服务工作中应做到文明工作、安全生产，并采取必要的安全防范措施，本合同服务期内若发生安全事故的，乙方应承担全部责任，与甲方无关。</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（六）乙方应经常对员工进行岗位职责和安全教育，加强岗位责任考核。因乙方管理不当、违规操作等发生安全事故的，乙方应承担全部责任，给甲方造成损失的，乙方应赔偿甲方一切直接、间接损失。</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（七）乙方应按甲方要求做好维保记录并提交甲方审核。</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（八）乙方不得以任何形式侵犯甲方的知识产权。乙方应保证所提供服务涉及到的知识产权是合法取得，并享有完整的知识产权，不会因为甲方的使用而被责令停止使用、追偿或要求赔</w:t>
      </w:r>
      <w:r>
        <w:rPr>
          <w:rFonts w:hint="eastAsia" w:ascii="宋体" w:hAnsi="宋体" w:eastAsia="宋体"/>
          <w:sz w:val="21"/>
          <w:szCs w:val="21"/>
        </w:rPr>
        <w:t xml:space="preserve">偿损失，如出现上述情况的，乙方应承担一切经济和法律责任。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（九）乙方必须满足本采购文件要求。</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六、响应时间要求：</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乙方须负责提供7*24小时应急响应服务，包括应急维修服务、应急备机提供服务。全年不限次数提供应急响应服务，并及时赶到故障现场进行维护服务，</w:t>
      </w:r>
      <w:r>
        <w:rPr>
          <w:rFonts w:hint="eastAsia" w:ascii="宋体" w:hAnsi="宋体" w:eastAsia="宋体" w:cs="宋体"/>
          <w:sz w:val="21"/>
          <w:szCs w:val="21"/>
        </w:rPr>
        <w:t xml:space="preserve">接到报修后必须在</w:t>
      </w:r>
      <w:r>
        <w:rPr>
          <w:rFonts w:hint="eastAsia" w:ascii="宋体" w:hAnsi="宋体" w:eastAsia="宋体" w:cs="宋体"/>
          <w:sz w:val="21"/>
          <w:szCs w:val="21"/>
        </w:rPr>
        <w:t xml:space="preserve">【 】</w:t>
      </w:r>
      <w:r>
        <w:rPr>
          <w:rFonts w:hint="eastAsia" w:ascii="宋体" w:hAnsi="宋体" w:eastAsia="宋体" w:cs="宋体"/>
          <w:sz w:val="21"/>
          <w:szCs w:val="21"/>
        </w:rPr>
        <w:t xml:space="preserve">分钟内响应，</w:t>
      </w:r>
      <w:r>
        <w:rPr>
          <w:rFonts w:hint="eastAsia" w:ascii="宋体" w:hAnsi="宋体" w:eastAsia="宋体" w:cs="宋体"/>
          <w:sz w:val="21"/>
          <w:szCs w:val="21"/>
        </w:rPr>
        <w:t xml:space="preserve">【 】</w:t>
      </w:r>
      <w:r>
        <w:rPr>
          <w:rFonts w:hint="eastAsia" w:ascii="宋体" w:hAnsi="宋体" w:eastAsia="宋体" w:cs="宋体"/>
          <w:sz w:val="21"/>
          <w:szCs w:val="21"/>
        </w:rPr>
        <w:t xml:space="preserve">小时到达进行抢修，系统故障12小时内排除，一般单个设备故障24小时内排除。</w:t>
      </w:r>
      <w:r>
        <w:rPr>
          <w:rFonts w:hint="eastAsia" w:ascii="宋体" w:hAnsi="宋体" w:eastAsia="宋体"/>
          <w:sz w:val="21"/>
          <w:szCs w:val="21"/>
        </w:rPr>
        <w:t xml:space="preserve">整个服务期内，因乙方无法在甲方要求时间内解决问题的，甲方有权立即终止服务合同，所产生的全部经济与法律损失由乙方承担。</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七、安全生产</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（二）所有作业人员均需按照国家法律法规之规定，取得对应上岗资格证书、作业许可证书、特种作业证书等相关资格证书，方可上岗作业。</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w:t>
      </w:r>
      <w:r>
        <w:rPr>
          <w:rFonts w:hint="eastAsia" w:ascii="宋体" w:hAnsi="宋体" w:eastAsia="宋体"/>
          <w:sz w:val="21"/>
          <w:szCs w:val="21"/>
        </w:rPr>
        <w:t xml:space="preserve">赔偿一切直接、间接损失。</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八、保密条款：</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w:t>
      </w:r>
      <w:r>
        <w:rPr>
          <w:rFonts w:hint="eastAsia" w:ascii="宋体" w:hAnsi="宋体" w:eastAsia="宋体"/>
          <w:sz w:val="21"/>
          <w:szCs w:val="21"/>
        </w:rPr>
        <w:t xml:space="preserve">止侵害的禁令或其他类似的法律救济。</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（五）无论本合同是否变更、解除或终止，合同的保密条款不受其限制而继续有效，乙方都应继续承担保密条款约定的保密义务。保密义务的期限为永久。</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九、服务工作管理、检查考核细则</w:t>
      </w:r>
      <w:r/>
    </w:p>
    <w:tbl>
      <w:tblPr>
        <w:tblW w:w="0"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color="auto" w:fill="ffff00"/>
        <w:tblLayout w:type="fixed"/>
        <w:tblCellMar>
          <w:left w:w="108" w:type="dxa"/>
          <w:top w:w="0" w:type="dxa"/>
          <w:right w:w="108" w:type="dxa"/>
          <w:bottom w:w="0" w:type="dxa"/>
        </w:tblCellMar>
        <w:tblLook w:val="04A0" w:firstRow="1" w:lastRow="0" w:firstColumn="1" w:lastColumn="0" w:noHBand="0" w:noVBand="1"/>
      </w:tblPr>
      <w:tblGrid>
        <w:gridCol w:w="1167"/>
        <w:gridCol w:w="6486"/>
        <w:gridCol w:w="879"/>
      </w:tblGrid>
      <w:tr>
        <w:trPr>
          <w:trHeight w:val="501"/>
        </w:trPr>
        <w:tc>
          <w:tcPr>
            <w:tcBorders>
              <w:top w:val="single" w:color="000000" w:sz="12" w:space="0"/>
              <w:left w:val="single" w:color="000000" w:sz="12" w:space="0"/>
              <w:bottom w:val="single" w:color="000000" w:sz="6" w:space="0"/>
              <w:right w:val="single" w:color="000000" w:sz="6" w:space="0"/>
            </w:tcBorders>
            <w:tcW w:w="1167"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项目</w:t>
            </w:r>
            <w:r/>
          </w:p>
        </w:tc>
        <w:tc>
          <w:tcPr>
            <w:tcBorders>
              <w:top w:val="single" w:color="000000" w:sz="12" w:space="0"/>
              <w:left w:val="single" w:color="000000" w:sz="6" w:space="0"/>
              <w:bottom w:val="single" w:color="000000" w:sz="6" w:space="0"/>
              <w:right w:val="single" w:color="000000" w:sz="6" w:space="0"/>
            </w:tcBorders>
            <w:tcW w:w="6486"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内容</w:t>
            </w:r>
            <w:r/>
          </w:p>
        </w:tc>
        <w:tc>
          <w:tcPr>
            <w:tcBorders>
              <w:top w:val="single" w:color="000000" w:sz="12"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考核分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167" w:type="dxa"/>
            <w:vAlign w:val="center"/>
            <w:vMerge w:val="restart"/>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基础管理</w:t>
            </w:r>
            <w:r/>
          </w:p>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（30分）</w:t>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提交故障保修、维护记录、巡检记录及原因说明，每缺少1次扣2分。</w:t>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167" w:type="dxa"/>
            <w:vAlign w:val="center"/>
            <w:vMerge w:val="continue"/>
            <w:textDirection w:val="lrTb"/>
            <w:noWrap w:val="false"/>
          </w:tcPr>
          <w:p>
            <w:pPr>
              <w:pStyle w:val="649"/>
              <w:jc w:val="left"/>
              <w:spacing w:line="360" w:lineRule="auto"/>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护人员未按规定进行报备备案的，每发现一起扣5分。维护人员未经批准擅自更换的，每出现1次，扣5分。</w:t>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167" w:type="dxa"/>
            <w:vAlign w:val="center"/>
            <w:vMerge w:val="continue"/>
            <w:textDirection w:val="lrTb"/>
            <w:noWrap w:val="false"/>
          </w:tcPr>
          <w:p>
            <w:pPr>
              <w:pStyle w:val="649"/>
              <w:jc w:val="left"/>
              <w:spacing w:line="360" w:lineRule="auto"/>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由采购方主管部门根据日常维护满意度给予科学评分。</w:t>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tcBorders>
              <w:top w:val="single" w:color="000000" w:sz="6" w:space="0"/>
              <w:left w:val="single" w:color="000000" w:sz="12" w:space="0"/>
              <w:bottom w:val="single" w:color="000000" w:sz="6" w:space="0"/>
              <w:right w:val="single" w:color="000000" w:sz="6" w:space="0"/>
            </w:tcBorders>
            <w:tcW w:w="1167" w:type="dxa"/>
            <w:vAlign w:val="center"/>
            <w:vMerge w:val="restart"/>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质量管理</w:t>
            </w:r>
            <w:r/>
          </w:p>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（60分）</w:t>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cs="宋体"/>
                <w:bCs/>
                <w:sz w:val="21"/>
                <w:szCs w:val="21"/>
              </w:rPr>
              <w:t xml:space="preserve">未经批准中断设备及网络运行或私自断网断电，影响设备正常运行。或违反文件</w:t>
            </w:r>
            <w:r>
              <w:rPr>
                <w:rFonts w:hint="eastAsia" w:ascii="宋体" w:hAnsi="宋体" w:eastAsia="宋体" w:cs="宋体"/>
                <w:sz w:val="21"/>
                <w:szCs w:val="21"/>
              </w:rPr>
              <w:t xml:space="preserve">或者</w:t>
            </w:r>
            <w:r>
              <w:rPr>
                <w:rFonts w:hint="eastAsia" w:ascii="宋体" w:hAnsi="宋体" w:eastAsia="宋体" w:cs="宋体"/>
                <w:bCs/>
                <w:sz w:val="21"/>
                <w:szCs w:val="21"/>
              </w:rPr>
              <w:t xml:space="preserve">保密要求规定，违规使用维护工具。或</w:t>
            </w:r>
            <w:r>
              <w:rPr>
                <w:rFonts w:hint="eastAsia" w:ascii="宋体" w:hAnsi="宋体" w:eastAsia="宋体" w:cs="宋体"/>
                <w:sz w:val="21"/>
                <w:szCs w:val="21"/>
              </w:rPr>
              <w:t xml:space="preserve">未经批准擅自将设备恢复出厂或者取出维修的，每出现1次扣5分。</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ascii="宋体" w:hAnsi="宋体" w:eastAsia="宋体" w:cs="宋体"/>
                <w:sz w:val="21"/>
                <w:szCs w:val="21"/>
              </w:rPr>
              <w:t xml:space="preserve">10</w:t>
            </w:r>
            <w:r>
              <w:rPr>
                <w:rFonts w:hint="eastAsia" w:ascii="宋体" w:hAnsi="宋体" w:eastAsia="宋体"/>
                <w:bCs/>
                <w:sz w:val="21"/>
                <w:szCs w:val="21"/>
              </w:rPr>
              <w:t xml:space="preserve">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167" w:type="dxa"/>
            <w:vAlign w:val="center"/>
            <w:vMerge w:val="continue"/>
            <w:textDirection w:val="lrTb"/>
            <w:noWrap w:val="false"/>
          </w:tcPr>
          <w:p>
            <w:pPr>
              <w:pStyle w:val="649"/>
              <w:jc w:val="left"/>
              <w:spacing w:line="360" w:lineRule="auto"/>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cs="宋体"/>
                <w:bCs/>
                <w:sz w:val="21"/>
                <w:szCs w:val="21"/>
              </w:rPr>
              <w:t xml:space="preserve">未能在约定的维护时间内修复故障、响应滞后、未按约定进行巡检、保养。每次扣2分</w:t>
            </w:r>
            <w:r>
              <w:rPr>
                <w:rFonts w:hint="eastAsia" w:ascii="宋体" w:hAnsi="宋体" w:eastAsia="宋体" w:cs="宋体"/>
                <w:bCs/>
                <w:sz w:val="21"/>
                <w:szCs w:val="21"/>
              </w:rPr>
              <w:t xml:space="preserve">。</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167" w:type="dxa"/>
            <w:vAlign w:val="center"/>
            <w:vMerge w:val="continue"/>
            <w:textDirection w:val="lrTb"/>
            <w:noWrap w:val="false"/>
          </w:tcPr>
          <w:p>
            <w:pPr>
              <w:pStyle w:val="649"/>
              <w:jc w:val="left"/>
              <w:spacing w:line="360" w:lineRule="auto"/>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cs="宋体"/>
                <w:bCs/>
                <w:sz w:val="21"/>
                <w:szCs w:val="21"/>
              </w:rPr>
              <w:t xml:space="preserve">未能在约定的维护时间内修复故障、响应滞后（报修电话3次不接，或未按承诺时间响应）、未按约定进行巡检、保养。每次扣10分。</w:t>
            </w:r>
            <w:r>
              <w:rPr>
                <w:rFonts w:hint="eastAsia" w:ascii="宋体" w:hAnsi="宋体" w:eastAsia="宋体"/>
                <w:sz w:val="21"/>
                <w:szCs w:val="21"/>
              </w:rPr>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20分</w:t>
            </w:r>
            <w:r/>
          </w:p>
        </w:tc>
      </w:tr>
      <w:tr>
        <w:trPr>
          <w:cantSplit/>
          <w:trHeight w:val="400"/>
        </w:trPr>
        <w:tc>
          <w:tcPr>
            <w:shd w:val="clear" w:color="auto" w:fill="ffff00"/>
            <w:tcBorders>
              <w:top w:val="single" w:color="000000" w:sz="6" w:space="0"/>
              <w:left w:val="single" w:color="000000" w:sz="12" w:space="0"/>
              <w:bottom w:val="single" w:color="000000" w:sz="6" w:space="0"/>
              <w:right w:val="single" w:color="000000" w:sz="6" w:space="0"/>
            </w:tcBorders>
            <w:tcW w:w="1167" w:type="dxa"/>
            <w:vAlign w:val="center"/>
            <w:vMerge w:val="continue"/>
            <w:textDirection w:val="lrTb"/>
            <w:noWrap w:val="false"/>
          </w:tcPr>
          <w:p>
            <w:pPr>
              <w:pStyle w:val="649"/>
              <w:jc w:val="left"/>
              <w:spacing w:line="360" w:lineRule="auto"/>
              <w:rPr>
                <w:rFonts w:hint="eastAsia" w:ascii="宋体" w:hAnsi="宋体" w:eastAsia="宋体"/>
                <w:bCs/>
                <w:sz w:val="21"/>
                <w:szCs w:val="21"/>
              </w:rPr>
            </w:pPr>
            <w:r>
              <w:rPr>
                <w:rFonts w:hint="eastAsia"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在维护过程中出现重大故障，导致采购方业务中断和数据丢失，每次扣10分。</w:t>
            </w:r>
            <w:r/>
          </w:p>
        </w:tc>
        <w:tc>
          <w:tcPr>
            <w:tcBorders>
              <w:top w:val="single" w:color="000000" w:sz="6" w:space="0"/>
              <w:left w:val="single" w:color="000000" w:sz="6" w:space="0"/>
              <w:bottom w:val="single" w:color="000000" w:sz="6"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20分</w:t>
            </w:r>
            <w:r/>
          </w:p>
        </w:tc>
      </w:tr>
      <w:tr>
        <w:trPr>
          <w:trHeight w:val="685"/>
        </w:trPr>
        <w:tc>
          <w:tcPr>
            <w:tcBorders>
              <w:top w:val="single" w:color="000000" w:sz="6" w:space="0"/>
              <w:left w:val="single" w:color="000000" w:sz="12" w:space="0"/>
              <w:bottom w:val="single" w:color="000000" w:sz="12" w:space="0"/>
              <w:right w:val="single" w:color="000000" w:sz="6" w:space="0"/>
            </w:tcBorders>
            <w:tcW w:w="1167"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安全保密</w:t>
            </w:r>
            <w:r/>
          </w:p>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c>
          <w:tcPr>
            <w:tcBorders>
              <w:top w:val="single" w:color="000000" w:sz="6" w:space="0"/>
              <w:left w:val="single" w:color="000000" w:sz="6" w:space="0"/>
              <w:bottom w:val="single" w:color="000000" w:sz="12" w:space="0"/>
              <w:right w:val="single" w:color="000000" w:sz="6" w:space="0"/>
            </w:tcBorders>
            <w:tcW w:w="6486" w:type="dxa"/>
            <w:vAlign w:val="center"/>
            <w:textDirection w:val="lrTb"/>
            <w:noWrap w:val="false"/>
          </w:tcPr>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违反安全保密考核要求，未履行保密的责任和义务,出现1次扣5分，总分10分</w:t>
            </w:r>
            <w:r/>
          </w:p>
        </w:tc>
        <w:tc>
          <w:tcPr>
            <w:tcBorders>
              <w:top w:val="single" w:color="000000" w:sz="6" w:space="0"/>
              <w:left w:val="single" w:color="000000" w:sz="6" w:space="0"/>
              <w:bottom w:val="single" w:color="000000" w:sz="12" w:space="0"/>
              <w:right w:val="single" w:color="000000" w:sz="12" w:space="0"/>
            </w:tcBorders>
            <w:tcW w:w="879" w:type="dxa"/>
            <w:vAlign w:val="center"/>
            <w:textDirection w:val="lrTb"/>
            <w:noWrap w:val="false"/>
          </w:tcPr>
          <w:p>
            <w:pPr>
              <w:pStyle w:val="649"/>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10分</w:t>
            </w:r>
            <w:r/>
          </w:p>
        </w:tc>
      </w:tr>
    </w:tbl>
    <w:p>
      <w:pPr>
        <w:pStyle w:val="649"/>
        <w:ind w:left="400"/>
        <w:spacing w:after="120" w:line="360" w:lineRule="auto"/>
        <w:rPr>
          <w:rFonts w:hint="eastAsia" w:ascii="宋体" w:hAnsi="宋体" w:eastAsia="宋体"/>
          <w:sz w:val="21"/>
          <w:szCs w:val="21"/>
        </w:rPr>
      </w:pPr>
      <w:r>
        <w:rPr>
          <w:rFonts w:hint="eastAsia" w:ascii="宋体" w:hAnsi="宋体" w:eastAsia="宋体"/>
          <w:sz w:val="21"/>
          <w:szCs w:val="21"/>
        </w:rPr>
        <w:t xml:space="preserve">（1）当考评结果≥90分，实际付款金额=应付金额*100%</w:t>
      </w:r>
      <w:r/>
    </w:p>
    <w:p>
      <w:pPr>
        <w:pStyle w:val="649"/>
        <w:ind w:left="400"/>
        <w:spacing w:after="120" w:line="360" w:lineRule="auto"/>
        <w:rPr>
          <w:rFonts w:hint="eastAsia" w:ascii="宋体" w:hAnsi="宋体" w:eastAsia="宋体"/>
          <w:sz w:val="21"/>
          <w:szCs w:val="21"/>
        </w:rPr>
      </w:pPr>
      <w:r>
        <w:rPr>
          <w:rFonts w:hint="eastAsia" w:ascii="宋体" w:hAnsi="宋体" w:eastAsia="宋体"/>
          <w:sz w:val="21"/>
          <w:szCs w:val="21"/>
        </w:rPr>
        <w:t xml:space="preserve">（2）当80分≤考评结果＜90分，实际付款金额=应付金额*90%</w:t>
      </w:r>
      <w:r/>
    </w:p>
    <w:p>
      <w:pPr>
        <w:pStyle w:val="649"/>
        <w:ind w:left="400"/>
        <w:spacing w:after="120" w:line="360" w:lineRule="auto"/>
        <w:rPr>
          <w:rFonts w:hint="eastAsia" w:ascii="宋体" w:hAnsi="宋体" w:eastAsia="宋体"/>
          <w:sz w:val="21"/>
          <w:szCs w:val="21"/>
        </w:rPr>
      </w:pPr>
      <w:r>
        <w:rPr>
          <w:rFonts w:hint="eastAsia" w:ascii="宋体" w:hAnsi="宋体" w:eastAsia="宋体"/>
          <w:sz w:val="21"/>
          <w:szCs w:val="21"/>
        </w:rPr>
        <w:t xml:space="preserve">（3）当70分≤考评结果＜80分，实际付款金额=应付金额*80%</w:t>
      </w:r>
      <w:r/>
    </w:p>
    <w:p>
      <w:pPr>
        <w:pStyle w:val="649"/>
        <w:ind w:left="400"/>
        <w:spacing w:after="120" w:line="360" w:lineRule="auto"/>
        <w:rPr>
          <w:rFonts w:hint="eastAsia" w:ascii="宋体" w:hAnsi="宋体" w:eastAsia="宋体"/>
          <w:sz w:val="21"/>
          <w:szCs w:val="21"/>
        </w:rPr>
      </w:pPr>
      <w:r>
        <w:rPr>
          <w:rFonts w:hint="eastAsia" w:ascii="宋体" w:hAnsi="宋体" w:eastAsia="宋体"/>
          <w:sz w:val="21"/>
          <w:szCs w:val="21"/>
        </w:rPr>
        <w:t xml:space="preserve">（4）当60分≤考评结果＜70分，实际付款金额=应付金额*60%</w:t>
      </w:r>
      <w:r/>
    </w:p>
    <w:p>
      <w:pPr>
        <w:pStyle w:val="649"/>
        <w:ind w:left="400"/>
        <w:spacing w:after="120" w:line="360" w:lineRule="auto"/>
        <w:rPr>
          <w:rFonts w:hint="eastAsia" w:ascii="宋体" w:hAnsi="宋体" w:eastAsia="宋体"/>
          <w:sz w:val="21"/>
          <w:szCs w:val="21"/>
        </w:rPr>
      </w:pPr>
      <w:r>
        <w:rPr>
          <w:rFonts w:hint="eastAsia" w:ascii="宋体" w:hAnsi="宋体" w:eastAsia="宋体"/>
          <w:sz w:val="21"/>
          <w:szCs w:val="21"/>
        </w:rPr>
        <w:t xml:space="preserve">（5）当考评结果＜60分，采购方有权拒绝付款。</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十、不可抗力：</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（一）因不可抗力（或甲、乙双方不能控制的原因）不能履行合同的，根据不可抗力的影响，部分或者全部免除责任。但合同一方迟延履行后发生不可抗力的，不能免除责任。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（三）不可抗力事由消除后，合同继续履行等事项</w:t>
      </w:r>
      <w:r>
        <w:rPr>
          <w:rFonts w:hint="eastAsia" w:ascii="宋体" w:hAnsi="宋体" w:eastAsia="宋体"/>
          <w:sz w:val="21"/>
          <w:szCs w:val="21"/>
        </w:rPr>
        <w:t xml:space="preserve">，由双方协商确认。</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十一、违约责任：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合同一方不履行合同义务或者履行合同义务不符合约定的，应当承担继续履行、采取补救措施或赔偿损失等违约责任。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（一）甲方违约责任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1、本合同生效后，甲方无正当理由要求终止服务的，应向乙方支付本合同总金额20%的违约金，违约金不足以弥补损失的，乙方有权要求甲方补足。</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2、甲方逾期支付合同价款的，每逾期1日，应向乙方支付逾期付款金额万分之四的违约金，但甲方支付的该项违约金总额以逾期付款金额的20%为限。</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（二）乙方违约责任</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2、因乙方违约导致甲方解除合同的，甲方有权另行采购本合同约定的服务，乙方应当支付甲方因此额外支付的费用和受到的损失。</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3、本项目禁止任何形式的转包与分包，如乙方出现违反上述约定的情况，甲方有权解除本合同，同时乙方应当立即退回已收取的全部款项并向甲</w:t>
      </w:r>
      <w:r>
        <w:rPr>
          <w:rFonts w:hint="eastAsia" w:ascii="宋体" w:hAnsi="宋体" w:eastAsia="宋体"/>
          <w:sz w:val="21"/>
          <w:szCs w:val="21"/>
        </w:rPr>
        <w:t xml:space="preserve">方支付本合同总金额【20】%的违约金。</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4、乙方因履行本合同而需向甲方支付款项的（包括但不限于违约赔偿、退款等），甲方有权直接自未付款项中予以抵扣，不足部分甲方有权要求乙方补足。</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5、乙方逾期支付本合同约定的任何款项（包括但不限于违约赔偿、退款等）的，每逾期一日，乙方应当甲方支付逾期金额万分之四的违约金。</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6、本合同约定的乙方应付违约金不足以弥补甲方一切直接或间接损失的，乙方应当足额赔偿。</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7、乙方对招投标文件中承诺函所承诺的内容未按约定提供，甲方有权终止合同，并支付本合同总金额【20】%的违约金。</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8、乙方在服务过程中向甲方提交虚假材料，不如实告知维护服务的具体情况，致使甲方产生损失的，甲方有权终止本合同，乙方应返还甲方已支付的服务费用并赔偿甲方一切直接、间接损失。</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9、乙方每半年考核分数低于【60】分的，甲方有权解除本合同，并要求乙方承担本合同价款总额【20】%的违约金，给甲方造成损失的，应赔偿甲方一切直接、间接损失。</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十二、合同生效及其它：</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（一）本合同经甲乙双方法定代表人或授权代表人签字并加盖公章后即生效，生效后须进行网上备案。</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十三、合同的解除和转让：</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（一）除《政府采购法》第49条、第50条规定的</w:t>
      </w:r>
      <w:r>
        <w:rPr>
          <w:rFonts w:hint="eastAsia" w:ascii="宋体" w:hAnsi="宋体" w:eastAsia="宋体"/>
          <w:sz w:val="21"/>
          <w:szCs w:val="21"/>
        </w:rPr>
        <w:t xml:space="preserve">情形及本合同约定的情形外，本合同签订后，甲乙双方不得擅自变更、中止或终止本合同。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（二）有下列情形之一，合同一方可以解除合同：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1、因不可抗力致使不能实现合同目的，未受不可抗力影响的一方有权解除合同；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2、因合同一方违约导致合同不能履行，另一方有权解除合同。</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（三）有权解除合同的一方，应当在违约事实或不可抗力发生之后三十天内书面通知对方提出解除合同，合同在书面通知到达对方时解除。</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（四）合同的部分和全部都不得转让。</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十四、其它：</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（一）乙方除应做好服务人员的安全教育外，还应为服务人员提供必要的劳动保护条件，一切安全责任事故均由乙方负责；</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pStyle w:val="649"/>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十五、附则：</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（一）合同份数：本合同一式【陆】份，甲方【叁】份，乙方【贰】份，采购代理机构【壹】份。各份均具有同等法律效力。</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（二）未尽事宜：本合同未尽事宜应按《中华人民共和国民法典》《中华人民共和国政府采购法》以及其他相关法律、法规之规</w:t>
      </w:r>
      <w:r>
        <w:rPr>
          <w:rFonts w:hint="eastAsia" w:ascii="宋体" w:hAnsi="宋体" w:eastAsia="宋体"/>
          <w:sz w:val="21"/>
          <w:szCs w:val="21"/>
        </w:rPr>
        <w:t xml:space="preserve">定解释。</w:t>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ascii="宋体" w:hAnsi="宋体" w:eastAsia="宋体"/>
          <w:sz w:val="21"/>
          <w:szCs w:val="21"/>
        </w:rPr>
      </w:r>
      <w:r/>
    </w:p>
    <w:p>
      <w:pPr>
        <w:pStyle w:val="649"/>
        <w:ind w:firstLine="420"/>
        <w:spacing w:line="360" w:lineRule="auto"/>
        <w:rPr>
          <w:rFonts w:hint="eastAsia" w:ascii="宋体" w:hAnsi="宋体" w:eastAsia="宋体"/>
          <w:sz w:val="21"/>
          <w:szCs w:val="21"/>
        </w:rPr>
      </w:pPr>
      <w:r>
        <w:rPr>
          <w:rFonts w:hint="eastAsia" w:ascii="宋体" w:hAnsi="宋体" w:eastAsia="宋体"/>
          <w:sz w:val="21"/>
          <w:szCs w:val="21"/>
        </w:rPr>
        <w:t xml:space="preserve">（以下无正文） </w:t>
      </w:r>
      <w:r/>
    </w:p>
    <w:p>
      <w:pPr>
        <w:pStyle w:val="649"/>
        <w:ind w:left="400" w:firstLine="420"/>
        <w:spacing w:after="120" w:line="360" w:lineRule="auto"/>
        <w:rPr>
          <w:rFonts w:hint="eastAsia" w:ascii="宋体" w:hAnsi="宋体" w:eastAsia="宋体"/>
          <w:sz w:val="21"/>
          <w:szCs w:val="21"/>
        </w:rPr>
      </w:pPr>
      <w:r>
        <w:rPr>
          <w:rFonts w:hint="eastAsia" w:ascii="宋体" w:hAnsi="宋体" w:eastAsia="宋体"/>
          <w:sz w:val="21"/>
          <w:szCs w:val="21"/>
        </w:rPr>
      </w:r>
      <w:r/>
    </w:p>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甲方（公章）：                                      乙方（公章）：</w:t>
      </w:r>
      <w:r/>
    </w:p>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法定代表人或授权代表（签字或盖章）：                法定代表人或授权代表（签字或盖章）： </w:t>
      </w:r>
      <w:r/>
    </w:p>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签约日期：                                          签约日期： </w:t>
      </w:r>
      <w:r/>
    </w:p>
    <w:p>
      <w:pPr>
        <w:pStyle w:val="649"/>
        <w:spacing w:line="360" w:lineRule="auto"/>
        <w:rPr>
          <w:rFonts w:hint="eastAsia" w:ascii="宋体" w:hAnsi="宋体" w:eastAsia="宋体"/>
          <w:sz w:val="21"/>
          <w:szCs w:val="21"/>
        </w:rPr>
      </w:pPr>
      <w:r>
        <w:rPr>
          <w:rFonts w:hint="eastAsia" w:ascii="宋体" w:hAnsi="宋体" w:eastAsia="宋体"/>
          <w:sz w:val="21"/>
          <w:szCs w:val="21"/>
        </w:rPr>
        <w:t xml:space="preserve">合同签订地：</w:t>
      </w:r>
      <w:r/>
    </w:p>
    <w:p>
      <w:pPr>
        <w:pStyle w:val="649"/>
        <w:spacing w:line="360" w:lineRule="auto"/>
        <w:rPr>
          <w:rFonts w:hint="eastAsia" w:ascii="宋体" w:hAnsi="宋体" w:eastAsia="宋体"/>
          <w:sz w:val="21"/>
          <w:szCs w:val="21"/>
        </w:rPr>
      </w:pPr>
      <w:r>
        <w:rPr>
          <w:rFonts w:hint="eastAsia" w:ascii="宋体" w:hAnsi="宋体" w:eastAsia="宋体"/>
          <w:sz w:val="21"/>
          <w:szCs w:val="21"/>
        </w:rPr>
      </w:r>
      <w:r/>
    </w:p>
    <w:p>
      <w:pPr>
        <w:pStyle w:val="649"/>
        <w:jc w:val="left"/>
        <w:spacing w:line="360" w:lineRule="auto"/>
      </w:pPr>
      <w:r>
        <w:rPr>
          <w:rFonts w:hint="eastAsia" w:ascii="宋体" w:hAnsi="宋体" w:eastAsia="宋体"/>
          <w:sz w:val="24"/>
          <w:szCs w:val="24"/>
        </w:rPr>
        <w:br w:type="page" w:clear="all"/>
      </w:r>
      <w:r/>
    </w:p>
    <w:p>
      <w:pPr>
        <w:pStyle w:val="649"/>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9"/>
        <w:spacing w:before="240" w:after="240"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50"/>
        <w:jc w:val="center"/>
        <w:spacing w:line="360" w:lineRule="auto"/>
        <w:rPr>
          <w:rFonts w:ascii="宋体" w:hAnsi="宋体" w:eastAsia="宋体"/>
          <w:sz w:val="52"/>
        </w:rPr>
      </w:pPr>
      <w:r/>
      <w:bookmarkStart w:id="63" w:name="_Toc7356"/>
      <w:r>
        <w:rPr>
          <w:rFonts w:hint="eastAsia" w:ascii="宋体" w:hAnsi="宋体" w:eastAsia="宋体"/>
          <w:sz w:val="52"/>
        </w:rPr>
        <w:t xml:space="preserve">第五章 评审办法</w:t>
      </w:r>
      <w:bookmarkEnd w:id="63"/>
      <w:r>
        <w:rPr>
          <w:rFonts w:ascii="宋体" w:hAnsi="宋体" w:eastAsia="宋体"/>
          <w:sz w:val="52"/>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rPr>
      </w:pPr>
      <w:r>
        <w:rPr>
          <w:rFonts w:ascii="宋体" w:hAnsi="宋体" w:eastAsia="宋体"/>
        </w:rPr>
      </w:r>
      <w:r/>
    </w:p>
    <w:p>
      <w:pPr>
        <w:pStyle w:val="649"/>
        <w:spacing w:line="360" w:lineRule="auto"/>
        <w:rPr>
          <w:rFonts w:ascii="宋体" w:hAnsi="宋体" w:eastAsia="宋体"/>
          <w:sz w:val="21"/>
          <w:szCs w:val="21"/>
        </w:rPr>
      </w:pPr>
      <w:r>
        <w:rPr>
          <w:rFonts w:ascii="宋体" w:hAnsi="宋体" w:eastAsia="宋体"/>
          <w:sz w:val="21"/>
          <w:szCs w:val="21"/>
        </w:rPr>
      </w:r>
      <w:r/>
    </w:p>
    <w:p>
      <w:pPr>
        <w:pStyle w:val="649"/>
        <w:spacing w:line="360" w:lineRule="auto"/>
        <w:rPr>
          <w:rFonts w:ascii="宋体" w:hAnsi="宋体" w:eastAsia="宋体"/>
          <w:sz w:val="21"/>
          <w:szCs w:val="21"/>
        </w:rPr>
      </w:pPr>
      <w:r>
        <w:rPr>
          <w:rFonts w:ascii="宋体" w:hAnsi="宋体" w:eastAsia="宋体"/>
          <w:sz w:val="21"/>
          <w:szCs w:val="21"/>
        </w:rPr>
      </w:r>
      <w:r/>
    </w:p>
    <w:p>
      <w:pPr>
        <w:pStyle w:val="649"/>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2、评审</w:t>
      </w:r>
      <w:r>
        <w:rPr>
          <w:rFonts w:hint="eastAsia" w:ascii="宋体" w:hAnsi="宋体" w:eastAsia="宋体"/>
          <w:sz w:val="21"/>
          <w:szCs w:val="21"/>
        </w:rPr>
        <w:t xml:space="preserve">小组各成员独立对每个进入打分程序的有效磋商供应商的响应文件技术和资质部分以打分的形式进行评审和评价。</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9"/>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9"/>
        <w:ind w:firstLine="422"/>
        <w:spacing w:line="360" w:lineRule="auto"/>
        <w:rPr>
          <w:rFonts w:ascii="宋体" w:hAnsi="宋体" w:eastAsia="宋体"/>
          <w:b/>
          <w:sz w:val="21"/>
          <w:szCs w:val="21"/>
        </w:rPr>
      </w:pPr>
      <w:r>
        <w:rPr>
          <w:rFonts w:hint="eastAsia" w:ascii="宋体" w:hAnsi="宋体" w:eastAsia="宋体"/>
          <w:b/>
          <w:bCs/>
          <w:sz w:val="21"/>
          <w:szCs w:val="21"/>
        </w:rPr>
        <w:t xml:space="preserve">（一）价格分（30分）</w:t>
      </w:r>
      <w:r>
        <w:rPr>
          <w:rFonts w:ascii="宋体" w:hAnsi="宋体" w:eastAsia="宋体"/>
          <w:b/>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第一步：响应报价低于或等于财政预算价格（或最高限价）的，为有效响应报价。超财政预算（或最高限价）的响应报价为无效响应报价。</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第二步：在所有有效响应报价中满足采购文件要求，且响应价格最低的响应报价为评标基准价，其他响应人的价格分按照下列公式计算（计算结果四舍五入保留两位小数）。</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响应报价得分＝（评标基准价</w:t>
      </w:r>
      <w:r>
        <w:rPr>
          <w:rFonts w:ascii="宋体" w:hAnsi="宋体" w:eastAsia="宋体"/>
          <w:sz w:val="21"/>
          <w:szCs w:val="21"/>
        </w:rPr>
        <w:t xml:space="preserve">/</w:t>
      </w:r>
      <w:r>
        <w:rPr>
          <w:rFonts w:hint="eastAsia" w:ascii="宋体" w:hAnsi="宋体" w:eastAsia="宋体"/>
          <w:sz w:val="21"/>
          <w:szCs w:val="21"/>
        </w:rPr>
        <w:t xml:space="preserve">响应报价）</w:t>
      </w:r>
      <w:r>
        <w:rPr>
          <w:rFonts w:hint="cs" w:ascii="宋体" w:hAnsi="宋体" w:eastAsia="宋体"/>
          <w:sz w:val="21"/>
          <w:szCs w:val="21"/>
        </w:rPr>
        <w:t xml:space="preserve">×</w:t>
      </w:r>
      <w:r>
        <w:rPr>
          <w:rFonts w:ascii="宋体" w:hAnsi="宋体" w:eastAsia="宋体"/>
          <w:sz w:val="21"/>
          <w:szCs w:val="21"/>
        </w:rPr>
        <w:t xml:space="preserve">30%×100。</w:t>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（二）项目服务方案（51分）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1.</w:t>
      </w:r>
      <w:r>
        <w:rPr>
          <w:rFonts w:hint="eastAsia" w:ascii="宋体" w:hAnsi="宋体" w:eastAsia="宋体" w:cs="宋体"/>
          <w:b/>
          <w:bCs/>
          <w:sz w:val="21"/>
          <w:szCs w:val="21"/>
        </w:rPr>
        <w:t xml:space="preserve">项目整体维保技术方案（9分）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结合项目实际并围绕智慧监管要求，提供现有系统的维护保养方案。</w:t>
      </w:r>
      <w:r>
        <w:rPr>
          <w:rFonts w:ascii="宋体" w:hAnsi="宋体" w:eastAsia="宋体" w:cs="宋体"/>
          <w:sz w:val="21"/>
          <w:szCs w:val="21"/>
        </w:rPr>
        <w:t xml:space="preserve">包括但不限于：</w:t>
      </w:r>
      <w:r>
        <w:rPr>
          <w:rFonts w:hint="eastAsia" w:ascii="宋体" w:hAnsi="宋体" w:eastAsia="宋体" w:cs="宋体"/>
          <w:sz w:val="21"/>
          <w:szCs w:val="21"/>
        </w:rPr>
        <w:t xml:space="preserve">项目整体系统架构的理解与分析、对应维保的系统及硬件的技术支撑等。</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（1）根据智慧监管系统的要求，提供</w:t>
      </w:r>
      <w:bookmarkStart w:id="64" w:name="_Hlk181888244"/>
      <w:r>
        <w:rPr>
          <w:rFonts w:hint="eastAsia" w:ascii="宋体" w:hAnsi="宋体" w:eastAsia="宋体" w:cs="宋体"/>
          <w:sz w:val="21"/>
          <w:szCs w:val="21"/>
        </w:rPr>
        <w:t xml:space="preserve">项目整体系</w:t>
      </w:r>
      <w:r>
        <w:rPr>
          <w:rFonts w:hint="eastAsia" w:ascii="宋体" w:hAnsi="宋体" w:eastAsia="宋体" w:cs="宋体"/>
          <w:sz w:val="21"/>
          <w:szCs w:val="21"/>
        </w:rPr>
        <w:t xml:space="preserve">统架构的理解方案</w:t>
      </w:r>
      <w:bookmarkEnd w:id="64"/>
      <w:r>
        <w:rPr>
          <w:rFonts w:hint="eastAsia" w:ascii="宋体" w:hAnsi="宋体" w:eastAsia="宋体" w:cs="宋体"/>
          <w:sz w:val="21"/>
          <w:szCs w:val="21"/>
        </w:rPr>
        <w:t xml:space="preserve">。</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bookmarkStart w:id="65" w:name="_Hlk181870901"/>
      <w:r>
        <w:rPr>
          <w:rFonts w:hint="eastAsia" w:ascii="宋体" w:hAnsi="宋体" w:eastAsia="宋体"/>
          <w:sz w:val="21"/>
          <w:szCs w:val="21"/>
        </w:rPr>
        <w:t xml:space="preserve">针对服务要求中智慧监管系统，提供对应维保的技术方案。</w:t>
      </w:r>
      <w:bookmarkEnd w:id="65"/>
      <w:r>
        <w:rPr>
          <w:rFonts w:hint="eastAsia" w:ascii="宋体" w:hAnsi="宋体" w:eastAsia="宋体" w:cs="宋体"/>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（3）针对维保清单中所涉及的硬件内容，提供切实可行技术方案。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上述每项应逐条叙述，内容完整，条理清晰的得3分；内容基本完整，条理较为清晰的得1.5分；每项叙述内容完全脱离采购需求或未作完整叙述的不得分。本项最高得</w:t>
      </w:r>
      <w:r>
        <w:rPr>
          <w:rFonts w:ascii="宋体" w:hAnsi="宋体" w:eastAsia="宋体" w:cs="宋体"/>
          <w:sz w:val="21"/>
          <w:szCs w:val="21"/>
        </w:rPr>
        <w:t xml:space="preserve">9</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2.</w:t>
      </w:r>
      <w:r>
        <w:rPr>
          <w:rFonts w:hint="eastAsia" w:ascii="宋体" w:hAnsi="宋体" w:eastAsia="宋体" w:cs="宋体"/>
          <w:b/>
          <w:bCs/>
          <w:sz w:val="21"/>
          <w:szCs w:val="21"/>
        </w:rPr>
        <w:t xml:space="preserve">安全保密方案（4分）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提供公安监管场所数据保密管理及设备数据安全系统管理的保障方案。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（1）针对公安监管场所数据保密管理，提供对应方案。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（2）针对公安监管场所设备数据安全备份保障管理，提供对应方案</w:t>
      </w:r>
      <w:bookmarkStart w:id="66" w:name="_Hlk181870965"/>
      <w:r>
        <w:rPr>
          <w:rFonts w:hint="eastAsia" w:ascii="宋体" w:hAnsi="宋体" w:eastAsia="宋体" w:cs="宋体"/>
          <w:sz w:val="21"/>
          <w:szCs w:val="21"/>
        </w:rPr>
        <w:t xml:space="preserve">。</w:t>
      </w:r>
      <w:bookmarkEnd w:id="66"/>
      <w:r>
        <w:rPr>
          <w:rFonts w:hint="eastAsia" w:ascii="宋体" w:hAnsi="宋体" w:eastAsia="宋体" w:cs="宋体"/>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w:t>
      </w:r>
      <w:r>
        <w:rPr>
          <w:rFonts w:ascii="宋体" w:hAnsi="宋体" w:eastAsia="宋体" w:cs="宋体"/>
          <w:sz w:val="21"/>
          <w:szCs w:val="21"/>
        </w:rPr>
        <w:t xml:space="preserve">2</w:t>
      </w:r>
      <w:r>
        <w:rPr>
          <w:rFonts w:hint="eastAsia" w:ascii="宋体" w:hAnsi="宋体" w:eastAsia="宋体" w:cs="宋体"/>
          <w:sz w:val="21"/>
          <w:szCs w:val="21"/>
        </w:rPr>
        <w:t xml:space="preserve">分；内容基本完整，条理较为清晰的得</w:t>
      </w:r>
      <w:r>
        <w:rPr>
          <w:rFonts w:ascii="宋体" w:hAnsi="宋体" w:eastAsia="宋体" w:cs="宋体"/>
          <w:sz w:val="21"/>
          <w:szCs w:val="21"/>
        </w:rPr>
        <w:t xml:space="preserve">1</w:t>
      </w:r>
      <w:r>
        <w:rPr>
          <w:rFonts w:hint="eastAsia" w:ascii="宋体" w:hAnsi="宋体" w:eastAsia="宋体" w:cs="宋体"/>
          <w:sz w:val="21"/>
          <w:szCs w:val="21"/>
        </w:rPr>
        <w:t xml:space="preserve">分；每项叙述内容完全脱离采购需求或未作完整叙述的不得分。本项最高得</w:t>
      </w:r>
      <w:r>
        <w:rPr>
          <w:rFonts w:ascii="宋体" w:hAnsi="宋体" w:eastAsia="宋体" w:cs="宋体"/>
          <w:sz w:val="21"/>
          <w:szCs w:val="21"/>
        </w:rPr>
        <w:t xml:space="preserve">4</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3.</w:t>
      </w:r>
      <w:r>
        <w:rPr>
          <w:rFonts w:hint="eastAsia" w:ascii="宋体" w:hAnsi="宋体" w:eastAsia="宋体" w:cs="宋体"/>
          <w:b/>
          <w:bCs/>
          <w:sz w:val="21"/>
          <w:szCs w:val="21"/>
        </w:rPr>
        <w:t xml:space="preserve">数据通道服务方案（4分）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结合项目实际提供数据通道及网络环境通道的服务能力保障方案，包括但不限于：对网络环境通道的保障和优化等。</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（1）针对项目中公安监管场所网络环境通道的保障，提供对应方案。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（2）针对项目中公安监管场所网络环境通道的优化，提供对应方案。</w:t>
      </w:r>
      <w:bookmarkStart w:id="67" w:name="_Hlk180581442"/>
      <w:r/>
      <w:bookmarkEnd w:id="67"/>
      <w:r>
        <w:rPr>
          <w:rFonts w:hint="eastAsia" w:ascii="宋体" w:hAnsi="宋体" w:eastAsia="宋体" w:cs="宋体"/>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w:t>
      </w:r>
      <w:r>
        <w:rPr>
          <w:rFonts w:ascii="宋体" w:hAnsi="宋体" w:eastAsia="宋体" w:cs="宋体"/>
          <w:sz w:val="21"/>
          <w:szCs w:val="21"/>
        </w:rPr>
        <w:t xml:space="preserve">2</w:t>
      </w:r>
      <w:r>
        <w:rPr>
          <w:rFonts w:hint="eastAsia" w:ascii="宋体" w:hAnsi="宋体" w:eastAsia="宋体" w:cs="宋体"/>
          <w:sz w:val="21"/>
          <w:szCs w:val="21"/>
        </w:rPr>
        <w:t xml:space="preserve">分；内容基本完整，条理较为清晰的得</w:t>
      </w:r>
      <w:r>
        <w:rPr>
          <w:rFonts w:ascii="宋体" w:hAnsi="宋体" w:eastAsia="宋体" w:cs="宋体"/>
          <w:sz w:val="21"/>
          <w:szCs w:val="21"/>
        </w:rPr>
        <w:t xml:space="preserve">1</w:t>
      </w:r>
      <w:r>
        <w:rPr>
          <w:rFonts w:hint="eastAsia" w:ascii="宋体" w:hAnsi="宋体" w:eastAsia="宋体" w:cs="宋体"/>
          <w:sz w:val="21"/>
          <w:szCs w:val="21"/>
        </w:rPr>
        <w:t xml:space="preserve">分；每项叙述内容完全脱</w:t>
      </w:r>
      <w:r>
        <w:rPr>
          <w:rFonts w:hint="eastAsia" w:ascii="宋体" w:hAnsi="宋体" w:eastAsia="宋体" w:cs="宋体"/>
          <w:sz w:val="21"/>
          <w:szCs w:val="21"/>
        </w:rPr>
        <w:t xml:space="preserve">离采购需求或未作完整叙述的不得分。本项最高得</w:t>
      </w:r>
      <w:r>
        <w:rPr>
          <w:rFonts w:ascii="宋体" w:hAnsi="宋体" w:eastAsia="宋体" w:cs="宋体"/>
          <w:sz w:val="21"/>
          <w:szCs w:val="21"/>
        </w:rPr>
        <w:t xml:space="preserve">4</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4.</w:t>
      </w:r>
      <w:r>
        <w:rPr>
          <w:rFonts w:hint="eastAsia" w:ascii="宋体" w:hAnsi="宋体" w:eastAsia="宋体" w:cs="宋体"/>
          <w:b/>
          <w:bCs/>
          <w:sz w:val="21"/>
          <w:szCs w:val="21"/>
        </w:rPr>
        <w:t xml:space="preserve">维保实施方案（6分）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根据项目实际提供信息技术方案，包括但不限于：故障接报管理、人车系统调配保障管理、后台数据记录、统计分析研判保障管理等实施方案。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（1）提供此项目中故障接报管理实施的方案。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（2）提供此项目中人车系统调配保障管理实施的方案</w:t>
      </w:r>
      <w:bookmarkStart w:id="68" w:name="_Hlk181871307"/>
      <w:r>
        <w:rPr>
          <w:rFonts w:hint="eastAsia" w:ascii="宋体" w:hAnsi="宋体" w:eastAsia="宋体" w:cs="宋体"/>
          <w:sz w:val="21"/>
          <w:szCs w:val="21"/>
        </w:rPr>
        <w:t xml:space="preserve">。</w:t>
      </w:r>
      <w:bookmarkEnd w:id="68"/>
      <w:r>
        <w:rPr>
          <w:rFonts w:hint="eastAsia" w:ascii="宋体" w:hAnsi="宋体" w:eastAsia="宋体" w:cs="宋体"/>
          <w:sz w:val="21"/>
          <w:szCs w:val="21"/>
        </w:rPr>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（3）提供此项目中后台数据记录、统计分析研判保障管理的方案。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w:t>
      </w:r>
      <w:r>
        <w:rPr>
          <w:rFonts w:ascii="宋体" w:hAnsi="宋体" w:eastAsia="宋体" w:cs="宋体"/>
          <w:sz w:val="21"/>
          <w:szCs w:val="21"/>
        </w:rPr>
        <w:t xml:space="preserve">2</w:t>
      </w:r>
      <w:r>
        <w:rPr>
          <w:rFonts w:hint="eastAsia" w:ascii="宋体" w:hAnsi="宋体" w:eastAsia="宋体" w:cs="宋体"/>
          <w:sz w:val="21"/>
          <w:szCs w:val="21"/>
        </w:rPr>
        <w:t xml:space="preserve">分；内容基本完整，条理较为清晰的得</w:t>
      </w:r>
      <w:r>
        <w:rPr>
          <w:rFonts w:ascii="宋体" w:hAnsi="宋体" w:eastAsia="宋体" w:cs="宋体"/>
          <w:sz w:val="21"/>
          <w:szCs w:val="21"/>
        </w:rPr>
        <w:t xml:space="preserve">1</w:t>
      </w:r>
      <w:r>
        <w:rPr>
          <w:rFonts w:hint="eastAsia" w:ascii="宋体" w:hAnsi="宋体" w:eastAsia="宋体" w:cs="宋体"/>
          <w:sz w:val="21"/>
          <w:szCs w:val="21"/>
        </w:rPr>
        <w:t xml:space="preserve">分；每项叙述内容完全脱离采购需求或未作完整叙述的不得分。本项最高得</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5.</w:t>
      </w:r>
      <w:r>
        <w:rPr>
          <w:rFonts w:hint="eastAsia" w:ascii="宋体" w:hAnsi="宋体" w:eastAsia="宋体" w:cs="宋体"/>
          <w:b/>
          <w:bCs/>
          <w:sz w:val="21"/>
          <w:szCs w:val="21"/>
        </w:rPr>
        <w:t xml:space="preserve">人员配备方案（6分）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提供人员配备及调用方案，包含但不限于：管理人员配备方案、组织架构，各专业的配备方案的划分，岗位职责设置及岗位工作内容的划分，岗位安全责任的落实制度，人员调用制度及方案等。</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（1）提供此项目中管理人员配备、组织架构，各专业配备划分等方面的方案。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（2）提供此项目中岗位职责设置及岗位工作内容的划分，岗位安全责任的落实制度方面的方案。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（3）提供此项目中项目人员调用制度的方案。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w:t>
      </w:r>
      <w:r>
        <w:rPr>
          <w:rFonts w:ascii="宋体" w:hAnsi="宋体" w:eastAsia="宋体" w:cs="宋体"/>
          <w:sz w:val="21"/>
          <w:szCs w:val="21"/>
        </w:rPr>
        <w:t xml:space="preserve">2</w:t>
      </w:r>
      <w:r>
        <w:rPr>
          <w:rFonts w:hint="eastAsia" w:ascii="宋体" w:hAnsi="宋体" w:eastAsia="宋体" w:cs="宋体"/>
          <w:sz w:val="21"/>
          <w:szCs w:val="21"/>
        </w:rPr>
        <w:t xml:space="preserve">分；内容基本完整，条理较为清晰的得</w:t>
      </w:r>
      <w:r>
        <w:rPr>
          <w:rFonts w:ascii="宋体" w:hAnsi="宋体" w:eastAsia="宋体" w:cs="宋体"/>
          <w:sz w:val="21"/>
          <w:szCs w:val="21"/>
        </w:rPr>
        <w:t xml:space="preserve">1</w:t>
      </w:r>
      <w:r>
        <w:rPr>
          <w:rFonts w:hint="eastAsia" w:ascii="宋体" w:hAnsi="宋体" w:eastAsia="宋体" w:cs="宋体"/>
          <w:sz w:val="21"/>
          <w:szCs w:val="21"/>
        </w:rPr>
        <w:t xml:space="preserve">分；每项叙述内容完全脱离</w:t>
      </w:r>
      <w:r>
        <w:rPr>
          <w:rFonts w:hint="eastAsia" w:ascii="宋体" w:hAnsi="宋体" w:eastAsia="宋体" w:cs="宋体"/>
          <w:sz w:val="21"/>
          <w:szCs w:val="21"/>
        </w:rPr>
        <w:t xml:space="preserve">采购需求或未作完整叙述的不得分。本项最高得</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6.</w:t>
      </w:r>
      <w:r>
        <w:rPr>
          <w:rFonts w:hint="eastAsia" w:ascii="宋体" w:hAnsi="宋体" w:eastAsia="宋体" w:cs="宋体"/>
          <w:b/>
          <w:bCs/>
          <w:sz w:val="21"/>
          <w:szCs w:val="21"/>
        </w:rPr>
        <w:t xml:space="preserve">重点难点分析（10分）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提供本维保项目特别常见的故障分析及处理的方案，包括但不限于：安防系统、网络、机房、视频管理系统、采购时间超过10年的现有设备等故障分析及处理的方案。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（1）提供安防系统故障实施分析及处理的方案。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（2）提供项目网络、机房系统实施分析及处理的方案。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（3）提供项目业务管理系统实施分析及处理的方案。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（4）提供采购时间超过10年的现有设备故障分析及处理的方案。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（5）提供项目前段视频系统实施分析及处理的方案。</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上述每项应逐条叙述，内容完整，条理清晰的得2分；内容基本完整，条理较为清晰的得1分；每项叙述内容完全脱离采购需求或未作完整叙述的不得分。本项最高得</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7.</w:t>
      </w:r>
      <w:r>
        <w:rPr>
          <w:rFonts w:hint="eastAsia" w:ascii="宋体" w:hAnsi="宋体" w:eastAsia="宋体" w:cs="宋体"/>
          <w:b/>
          <w:bCs/>
          <w:sz w:val="21"/>
          <w:szCs w:val="21"/>
        </w:rPr>
        <w:t xml:space="preserve">应急保障措施（</w:t>
      </w:r>
      <w:r>
        <w:rPr>
          <w:rFonts w:ascii="宋体" w:hAnsi="宋体" w:eastAsia="宋体" w:cs="宋体"/>
          <w:b/>
          <w:bCs/>
          <w:sz w:val="21"/>
          <w:szCs w:val="21"/>
        </w:rPr>
        <w:t xml:space="preserve">3</w:t>
      </w:r>
      <w:r>
        <w:rPr>
          <w:rFonts w:hint="eastAsia" w:ascii="宋体" w:hAnsi="宋体" w:eastAsia="宋体" w:cs="宋体"/>
          <w:b/>
          <w:bCs/>
          <w:sz w:val="21"/>
          <w:szCs w:val="21"/>
        </w:rPr>
        <w:t xml:space="preserve">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提供重大活动、重要节日等应急保护措施的方案，包括但不限于：重大活动、重要节日等期间的应急预案、工作措施、优化复盘方案。</w:t>
      </w:r>
      <w:bookmarkStart w:id="69" w:name="OLE_LINK34"/>
      <w:r/>
      <w:bookmarkStart w:id="70" w:name="OLE_LINK31"/>
      <w:r>
        <w:rPr>
          <w:rFonts w:hint="eastAsia" w:ascii="宋体" w:hAnsi="宋体" w:eastAsia="宋体" w:cs="宋体"/>
          <w:sz w:val="21"/>
          <w:szCs w:val="21"/>
        </w:rPr>
        <w:t xml:space="preserve">上述项应逐条叙述，内容完整，条理清晰的得</w:t>
      </w:r>
      <w:r>
        <w:rPr>
          <w:rFonts w:ascii="宋体" w:hAnsi="宋体" w:eastAsia="宋体" w:cs="宋体"/>
          <w:sz w:val="21"/>
          <w:szCs w:val="21"/>
        </w:rPr>
        <w:t xml:space="preserve">3</w:t>
      </w:r>
      <w:r>
        <w:rPr>
          <w:rFonts w:hint="eastAsia" w:ascii="宋体" w:hAnsi="宋体" w:eastAsia="宋体" w:cs="宋体"/>
          <w:sz w:val="21"/>
          <w:szCs w:val="21"/>
        </w:rPr>
        <w:t xml:space="preserve">分；内容基本完整，条理较为清晰的得1</w:t>
      </w:r>
      <w:r>
        <w:rPr>
          <w:rFonts w:ascii="宋体" w:hAnsi="宋体" w:eastAsia="宋体" w:cs="宋体"/>
          <w:sz w:val="21"/>
          <w:szCs w:val="21"/>
        </w:rPr>
        <w:t xml:space="preserve">.5</w:t>
      </w:r>
      <w:r>
        <w:rPr>
          <w:rFonts w:hint="eastAsia" w:ascii="宋体" w:hAnsi="宋体" w:eastAsia="宋体" w:cs="宋体"/>
          <w:sz w:val="21"/>
          <w:szCs w:val="21"/>
        </w:rPr>
        <w:t xml:space="preserve">分；每项叙述内容完全脱离采购需求或未作完整叙述的不得分。本项最高得</w:t>
      </w:r>
      <w:r>
        <w:rPr>
          <w:rFonts w:ascii="宋体" w:hAnsi="宋体" w:eastAsia="宋体" w:cs="宋体"/>
          <w:sz w:val="21"/>
          <w:szCs w:val="21"/>
        </w:rPr>
        <w:t xml:space="preserve">3</w:t>
      </w:r>
      <w:r>
        <w:rPr>
          <w:rFonts w:hint="eastAsia" w:ascii="宋体" w:hAnsi="宋体" w:eastAsia="宋体" w:cs="宋体"/>
          <w:sz w:val="21"/>
          <w:szCs w:val="21"/>
        </w:rPr>
        <w:t xml:space="preserve">分。</w:t>
      </w:r>
      <w:bookmarkEnd w:id="69"/>
      <w:r/>
      <w:bookmarkEnd w:id="70"/>
      <w:r>
        <w:rPr>
          <w:rFonts w:hint="eastAsia" w:ascii="宋体" w:hAnsi="宋体" w:eastAsia="宋体" w:cs="宋体"/>
          <w:sz w:val="21"/>
          <w:szCs w:val="21"/>
        </w:rPr>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8.系统对接方案（3分）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提供视频、门禁、存储等系统对接升级的方案，包括但不限于</w:t>
      </w:r>
      <w:r>
        <w:rPr>
          <w:rFonts w:hint="eastAsia" w:ascii="宋体" w:hAnsi="宋体" w:eastAsia="宋体" w:cs="宋体"/>
          <w:sz w:val="21"/>
          <w:szCs w:val="21"/>
        </w:rPr>
        <w:t xml:space="preserve">：、门禁、存储等系统的升级、优化和对接方案。上述项应逐条叙述，内容完整，条理清晰的得</w:t>
      </w:r>
      <w:r>
        <w:rPr>
          <w:rFonts w:ascii="宋体" w:hAnsi="宋体" w:eastAsia="宋体" w:cs="宋体"/>
          <w:sz w:val="21"/>
          <w:szCs w:val="21"/>
        </w:rPr>
        <w:t xml:space="preserve">3</w:t>
      </w:r>
      <w:r>
        <w:rPr>
          <w:rFonts w:hint="eastAsia" w:ascii="宋体" w:hAnsi="宋体" w:eastAsia="宋体" w:cs="宋体"/>
          <w:sz w:val="21"/>
          <w:szCs w:val="21"/>
        </w:rPr>
        <w:t xml:space="preserve">分；内容基本完整，条理较为清晰的得1</w:t>
      </w:r>
      <w:r>
        <w:rPr>
          <w:rFonts w:ascii="宋体" w:hAnsi="宋体" w:eastAsia="宋体" w:cs="宋体"/>
          <w:sz w:val="21"/>
          <w:szCs w:val="21"/>
        </w:rPr>
        <w:t xml:space="preserve">.5</w:t>
      </w:r>
      <w:r>
        <w:rPr>
          <w:rFonts w:hint="eastAsia" w:ascii="宋体" w:hAnsi="宋体" w:eastAsia="宋体" w:cs="宋体"/>
          <w:sz w:val="21"/>
          <w:szCs w:val="21"/>
        </w:rPr>
        <w:t xml:space="preserve">分；每项叙述内容完全脱离采购需求或未作完整叙述的不得分。本项最高得</w:t>
      </w:r>
      <w:r>
        <w:rPr>
          <w:rFonts w:ascii="宋体" w:hAnsi="宋体" w:eastAsia="宋体" w:cs="宋体"/>
          <w:sz w:val="21"/>
          <w:szCs w:val="21"/>
        </w:rPr>
        <w:t xml:space="preserve">3</w:t>
      </w:r>
      <w:r>
        <w:rPr>
          <w:rFonts w:hint="eastAsia" w:ascii="宋体" w:hAnsi="宋体" w:eastAsia="宋体" w:cs="宋体"/>
          <w:sz w:val="21"/>
          <w:szCs w:val="21"/>
        </w:rPr>
        <w:t xml:space="preserve">分。</w:t>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9.监区对讲警情处置模块保障方案（6分）</w:t>
      </w:r>
      <w:r/>
    </w:p>
    <w:p>
      <w:pPr>
        <w:pStyle w:val="69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提供本维保项目监区对讲警情处置模块常见故障分析及处理方案，包括但不限于：监区对讲主机、分机和对接上级主管部门等故障分析及处理方案。</w:t>
      </w:r>
      <w:r/>
    </w:p>
    <w:p>
      <w:pPr>
        <w:pStyle w:val="69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（1）提供监区对讲主机故障实施分析及处理的方案。</w:t>
      </w:r>
      <w:r/>
    </w:p>
    <w:p>
      <w:pPr>
        <w:pStyle w:val="69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（2）提供监区对讲分机故障实施分析及处理的方案。</w:t>
      </w:r>
      <w:r/>
    </w:p>
    <w:p>
      <w:pPr>
        <w:pStyle w:val="69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（3）提供监区对讲呼叫报警功能对接上级主管部门故障分析的方案。</w:t>
      </w:r>
      <w:r/>
    </w:p>
    <w:p>
      <w:pPr>
        <w:pStyle w:val="692"/>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（三）项目实施团队人员比较（6分）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w:t>
      </w:r>
      <w:r>
        <w:rPr>
          <w:rFonts w:hint="eastAsia" w:ascii="宋体" w:hAnsi="宋体" w:eastAsia="宋体" w:cs="宋体"/>
          <w:sz w:val="21"/>
          <w:szCs w:val="21"/>
        </w:rPr>
        <w:t xml:space="preserve">团队人员具备</w:t>
      </w:r>
      <w:r>
        <w:rPr>
          <w:rFonts w:hint="eastAsia" w:ascii="宋体" w:hAnsi="宋体" w:eastAsia="宋体" w:cs="宋体"/>
          <w:sz w:val="21"/>
          <w:szCs w:val="21"/>
        </w:rPr>
        <w:t xml:space="preserve">硬件技术维护工程师、信息系统运维管理工程师、数据中心（机房）运维管理工程师、网络信息安全工程师证书的</w:t>
      </w:r>
      <w:r>
        <w:rPr>
          <w:rFonts w:hint="eastAsia" w:ascii="宋体" w:hAnsi="宋体" w:eastAsia="宋体" w:cs="宋体"/>
          <w:sz w:val="21"/>
          <w:szCs w:val="21"/>
        </w:rPr>
        <w:t xml:space="preserve">，每提供一份得</w:t>
      </w:r>
      <w:r>
        <w:rPr>
          <w:rFonts w:hint="eastAsia" w:ascii="宋体" w:hAnsi="宋体" w:eastAsia="宋体" w:cs="宋体"/>
          <w:sz w:val="21"/>
          <w:szCs w:val="21"/>
        </w:rPr>
        <w:t xml:space="preserve">1</w:t>
      </w:r>
      <w:r>
        <w:rPr>
          <w:rFonts w:hint="eastAsia" w:ascii="宋体" w:hAnsi="宋体" w:eastAsia="宋体" w:cs="宋体"/>
          <w:sz w:val="21"/>
          <w:szCs w:val="21"/>
        </w:rPr>
        <w:t xml:space="preserve">分，最高得</w:t>
      </w:r>
      <w:r>
        <w:rPr>
          <w:rFonts w:ascii="宋体" w:hAnsi="宋体" w:eastAsia="宋体" w:cs="宋体"/>
          <w:sz w:val="21"/>
          <w:szCs w:val="21"/>
        </w:rPr>
        <w:t xml:space="preserve">4</w:t>
      </w:r>
      <w:r>
        <w:rPr>
          <w:rFonts w:hint="eastAsia" w:ascii="宋体" w:hAnsi="宋体" w:eastAsia="宋体" w:cs="宋体"/>
          <w:sz w:val="21"/>
          <w:szCs w:val="21"/>
        </w:rPr>
        <w:t xml:space="preserve">分。（一人多证不重复得分）</w:t>
      </w:r>
      <w:r/>
    </w:p>
    <w:p>
      <w:pPr>
        <w:pStyle w:val="64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（注：响应文件</w:t>
      </w:r>
      <w:r>
        <w:rPr>
          <w:rFonts w:ascii="宋体" w:hAnsi="宋体" w:eastAsia="宋体" w:cs="宋体"/>
          <w:b/>
          <w:sz w:val="21"/>
          <w:szCs w:val="21"/>
        </w:rPr>
        <w:t xml:space="preserve">中需提供</w:t>
      </w:r>
      <w:r>
        <w:rPr>
          <w:rFonts w:hint="eastAsia" w:ascii="宋体" w:hAnsi="宋体" w:eastAsia="宋体" w:cs="宋体"/>
          <w:b/>
          <w:sz w:val="21"/>
          <w:szCs w:val="21"/>
        </w:rPr>
        <w:t xml:space="preserve">人员</w:t>
      </w:r>
      <w:r>
        <w:rPr>
          <w:rFonts w:ascii="宋体" w:hAnsi="宋体" w:eastAsia="宋体" w:cs="宋体"/>
          <w:b/>
          <w:sz w:val="21"/>
          <w:szCs w:val="21"/>
        </w:rPr>
        <w:t xml:space="preserve">证书</w:t>
      </w:r>
      <w:r>
        <w:rPr>
          <w:rFonts w:hint="eastAsia" w:ascii="宋体" w:hAnsi="宋体" w:eastAsia="宋体" w:cs="宋体"/>
          <w:b/>
          <w:sz w:val="21"/>
          <w:szCs w:val="21"/>
        </w:rPr>
        <w:t xml:space="preserve">复印件</w:t>
      </w:r>
      <w:r>
        <w:rPr>
          <w:rFonts w:ascii="宋体" w:hAnsi="宋体" w:eastAsia="宋体" w:cs="宋体"/>
          <w:b/>
          <w:sz w:val="21"/>
          <w:szCs w:val="21"/>
        </w:rPr>
        <w:t xml:space="preserve">及本企业为该员工缴纳至少</w:t>
      </w:r>
      <w:r>
        <w:rPr>
          <w:rFonts w:hint="eastAsia" w:ascii="宋体" w:hAnsi="宋体" w:eastAsia="宋体" w:cs="宋体"/>
          <w:b/>
          <w:sz w:val="21"/>
          <w:szCs w:val="21"/>
        </w:rPr>
        <w:t xml:space="preserve">最近一期的社保</w:t>
      </w:r>
      <w:r>
        <w:rPr>
          <w:rFonts w:ascii="宋体" w:hAnsi="宋体" w:eastAsia="宋体" w:cs="宋体"/>
          <w:b/>
          <w:sz w:val="21"/>
          <w:szCs w:val="21"/>
        </w:rPr>
        <w:t xml:space="preserve">证明复印件</w:t>
      </w:r>
      <w:r>
        <w:rPr>
          <w:rFonts w:hint="eastAsia" w:ascii="宋体" w:hAnsi="宋体" w:eastAsia="宋体" w:cs="宋体"/>
          <w:b/>
          <w:sz w:val="21"/>
          <w:szCs w:val="21"/>
        </w:rPr>
        <w:t xml:space="preserve">，不提供相关证明不得分。</w:t>
      </w:r>
      <w:r>
        <w:rPr>
          <w:rFonts w:ascii="宋体" w:hAnsi="宋体" w:eastAsia="宋体" w:cs="宋体"/>
          <w:b/>
          <w:sz w:val="21"/>
          <w:szCs w:val="21"/>
        </w:rPr>
        <w:t xml:space="preserve">）</w:t>
      </w:r>
      <w:r>
        <w:rPr>
          <w:rFonts w:hint="eastAsia" w:ascii="宋体" w:hAnsi="宋体" w:eastAsia="宋体" w:cs="宋体"/>
          <w:sz w:val="21"/>
          <w:szCs w:val="21"/>
        </w:rPr>
      </w:r>
      <w:r/>
    </w:p>
    <w:p>
      <w:pPr>
        <w:pStyle w:val="649"/>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w:t>
      </w:r>
      <w:r>
        <w:rPr>
          <w:rFonts w:hint="eastAsia" w:ascii="宋体" w:hAnsi="宋体" w:eastAsia="宋体" w:cs="宋体"/>
          <w:sz w:val="21"/>
          <w:szCs w:val="21"/>
        </w:rPr>
        <w:t xml:space="preserve">具有相关</w:t>
      </w:r>
      <w:r>
        <w:rPr>
          <w:rFonts w:hint="eastAsia" w:ascii="宋体" w:hAnsi="宋体" w:eastAsia="宋体" w:cs="宋体"/>
          <w:sz w:val="21"/>
          <w:szCs w:val="21"/>
        </w:rPr>
        <w:t xml:space="preserve">工作岗位经验2年及以上的，每人得0.5分；3年及以上的，每人得1分；最高得2分。</w:t>
      </w:r>
      <w:r>
        <w:rPr>
          <w:rFonts w:ascii="宋体" w:hAnsi="宋体" w:eastAsia="宋体" w:cs="宋体"/>
          <w:sz w:val="21"/>
          <w:szCs w:val="21"/>
        </w:rPr>
      </w:r>
      <w:r/>
    </w:p>
    <w:p>
      <w:pPr>
        <w:pStyle w:val="649"/>
        <w:ind w:firstLine="422"/>
        <w:spacing w:line="360" w:lineRule="auto"/>
        <w:rPr>
          <w:rFonts w:hint="eastAsia" w:ascii="宋体" w:hAnsi="宋体" w:eastAsia="宋体" w:cs="宋体"/>
          <w:sz w:val="21"/>
          <w:szCs w:val="21"/>
        </w:rPr>
      </w:pPr>
      <w:r/>
      <w:bookmarkStart w:id="71" w:name="_Hlk180331209"/>
      <w:r>
        <w:rPr>
          <w:rFonts w:hint="eastAsia" w:ascii="宋体" w:hAnsi="宋体" w:eastAsia="宋体" w:cs="宋体"/>
          <w:b/>
          <w:sz w:val="21"/>
          <w:szCs w:val="21"/>
        </w:rPr>
        <w:t xml:space="preserve">（注：响应文件</w:t>
      </w:r>
      <w:r>
        <w:rPr>
          <w:rFonts w:ascii="宋体" w:hAnsi="宋体" w:eastAsia="宋体" w:cs="宋体"/>
          <w:b/>
          <w:sz w:val="21"/>
          <w:szCs w:val="21"/>
        </w:rPr>
        <w:t xml:space="preserve">中需提供</w:t>
      </w:r>
      <w:r>
        <w:rPr>
          <w:rFonts w:hint="eastAsia" w:ascii="宋体" w:hAnsi="宋体" w:eastAsia="宋体" w:cs="宋体"/>
          <w:b/>
          <w:sz w:val="21"/>
          <w:szCs w:val="21"/>
        </w:rPr>
        <w:t xml:space="preserve">工作经验证明</w:t>
      </w:r>
      <w:r>
        <w:rPr>
          <w:rFonts w:ascii="宋体" w:hAnsi="宋体" w:eastAsia="宋体" w:cs="宋体"/>
          <w:b/>
          <w:sz w:val="21"/>
          <w:szCs w:val="21"/>
        </w:rPr>
        <w:t xml:space="preserve">及本企业为该员工缴纳至少</w:t>
      </w:r>
      <w:r>
        <w:rPr>
          <w:rFonts w:hint="eastAsia" w:ascii="宋体" w:hAnsi="宋体" w:eastAsia="宋体" w:cs="宋体"/>
          <w:b/>
          <w:sz w:val="21"/>
          <w:szCs w:val="21"/>
        </w:rPr>
        <w:t xml:space="preserve">最近一期的社保</w:t>
      </w:r>
      <w:r>
        <w:rPr>
          <w:rFonts w:ascii="宋体" w:hAnsi="宋体" w:eastAsia="宋体" w:cs="宋体"/>
          <w:b/>
          <w:sz w:val="21"/>
          <w:szCs w:val="21"/>
        </w:rPr>
        <w:t xml:space="preserve">证明复印件</w:t>
      </w:r>
      <w:r>
        <w:rPr>
          <w:rFonts w:hint="eastAsia" w:ascii="宋体" w:hAnsi="宋体" w:eastAsia="宋体" w:cs="宋体"/>
          <w:b/>
          <w:sz w:val="21"/>
          <w:szCs w:val="21"/>
        </w:rPr>
        <w:t xml:space="preserve">，不提供相关证明不得分。</w:t>
      </w:r>
      <w:r>
        <w:rPr>
          <w:rFonts w:ascii="宋体" w:hAnsi="宋体" w:eastAsia="宋体" w:cs="宋体"/>
          <w:b/>
          <w:sz w:val="21"/>
          <w:szCs w:val="21"/>
        </w:rPr>
        <w:t xml:space="preserve">）</w:t>
      </w:r>
      <w:bookmarkEnd w:id="71"/>
      <w:r>
        <w:rPr>
          <w:rFonts w:hint="eastAsia" w:ascii="宋体" w:hAnsi="宋体" w:eastAsia="宋体" w:cs="宋体"/>
          <w:sz w:val="21"/>
          <w:szCs w:val="21"/>
        </w:rPr>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（四）响应单位综合实力比较（</w:t>
      </w:r>
      <w:r>
        <w:rPr>
          <w:rFonts w:ascii="宋体" w:hAnsi="宋体" w:eastAsia="宋体" w:cs="宋体"/>
          <w:b/>
          <w:bCs/>
          <w:sz w:val="21"/>
          <w:szCs w:val="21"/>
        </w:rPr>
        <w:t xml:space="preserve">7</w:t>
      </w:r>
      <w:r>
        <w:rPr>
          <w:rFonts w:hint="eastAsia" w:ascii="宋体" w:hAnsi="宋体" w:eastAsia="宋体" w:cs="宋体"/>
          <w:b/>
          <w:bCs/>
          <w:sz w:val="21"/>
          <w:szCs w:val="21"/>
        </w:rPr>
        <w:t xml:space="preserve">分）</w:t>
      </w:r>
      <w:r/>
    </w:p>
    <w:p>
      <w:pPr>
        <w:pStyle w:val="649"/>
        <w:ind w:firstLine="420"/>
        <w:spacing w:line="360" w:lineRule="auto"/>
        <w:rPr>
          <w:rFonts w:hint="eastAsia" w:ascii="宋体" w:hAnsi="宋体" w:eastAsia="宋体" w:cs="宋体"/>
          <w:b/>
          <w:sz w:val="21"/>
          <w:szCs w:val="21"/>
        </w:rPr>
      </w:pPr>
      <w:r>
        <w:rPr>
          <w:rFonts w:ascii="宋体" w:hAnsi="宋体" w:eastAsia="宋体" w:cs="Calibri"/>
          <w:bCs/>
          <w:sz w:val="21"/>
          <w:szCs w:val="21"/>
        </w:rPr>
        <w:t xml:space="preserve">1.</w:t>
      </w:r>
      <w:r>
        <w:rPr>
          <w:rFonts w:hint="eastAsia" w:ascii="宋体" w:hAnsi="宋体" w:eastAsia="宋体" w:cs="Calibri"/>
          <w:bCs/>
          <w:sz w:val="21"/>
          <w:szCs w:val="21"/>
        </w:rPr>
        <w:t xml:space="preserve">响应单位具有</w:t>
      </w:r>
      <w:r>
        <w:rPr>
          <w:rFonts w:hint="eastAsia" w:ascii="宋体" w:hAnsi="宋体" w:eastAsia="宋体" w:cs="宋体"/>
          <w:color w:val="000000"/>
          <w:sz w:val="21"/>
          <w:szCs w:val="21"/>
        </w:rPr>
        <w:t xml:space="preserve">有效期内的</w:t>
      </w:r>
      <w:r>
        <w:rPr>
          <w:rFonts w:hint="eastAsia" w:ascii="宋体" w:hAnsi="宋体" w:eastAsia="宋体" w:cs="Calibri"/>
          <w:sz w:val="21"/>
          <w:szCs w:val="21"/>
        </w:rPr>
        <w:t xml:space="preserve">质量管理体系认证证书、环境管理体系认证证书、职业健康安全体系认证证书的</w:t>
      </w:r>
      <w:r>
        <w:rPr>
          <w:rFonts w:hint="eastAsia" w:ascii="宋体" w:hAnsi="宋体" w:eastAsia="宋体" w:cs="Calibri"/>
          <w:bCs/>
          <w:sz w:val="21"/>
          <w:szCs w:val="21"/>
        </w:rPr>
        <w:t xml:space="preserve">有一项得1分，最多得</w:t>
      </w:r>
      <w:r>
        <w:rPr>
          <w:rFonts w:ascii="宋体" w:hAnsi="宋体" w:eastAsia="宋体" w:cs="Calibri"/>
          <w:bCs/>
          <w:sz w:val="21"/>
          <w:szCs w:val="21"/>
        </w:rPr>
        <w:t xml:space="preserve">3</w:t>
      </w:r>
      <w:r>
        <w:rPr>
          <w:rFonts w:hint="eastAsia" w:ascii="宋体" w:hAnsi="宋体" w:eastAsia="宋体" w:cs="Calibri"/>
          <w:bCs/>
          <w:sz w:val="21"/>
          <w:szCs w:val="21"/>
        </w:rPr>
        <w:t xml:space="preserve">分。</w:t>
      </w:r>
      <w:r>
        <w:rPr>
          <w:rFonts w:hint="eastAsia" w:ascii="宋体" w:hAnsi="宋体" w:eastAsia="宋体" w:cs="宋体"/>
          <w:b/>
          <w:sz w:val="21"/>
          <w:szCs w:val="21"/>
        </w:rPr>
        <w:t xml:space="preserve">（注：</w:t>
      </w:r>
      <w:r>
        <w:rPr>
          <w:rFonts w:hint="eastAsia" w:ascii="宋体" w:hAnsi="宋体" w:eastAsia="宋体"/>
          <w:b/>
          <w:sz w:val="21"/>
          <w:szCs w:val="21"/>
        </w:rPr>
        <w:t xml:space="preserve">响应文件内须提供有效证书扫描件及国家认证认可监督管理委员会官方网站上的查询截图</w:t>
      </w:r>
      <w:r>
        <w:rPr>
          <w:rFonts w:hint="eastAsia" w:ascii="宋体" w:hAnsi="宋体" w:eastAsia="宋体" w:cs="宋体"/>
          <w:b/>
          <w:sz w:val="21"/>
          <w:szCs w:val="21"/>
        </w:rPr>
        <w:t xml:space="preserve">并加盖响应人公章</w:t>
      </w:r>
      <w:r>
        <w:rPr>
          <w:rFonts w:hint="eastAsia" w:ascii="宋体" w:hAnsi="宋体" w:eastAsia="宋体"/>
          <w:b/>
          <w:sz w:val="21"/>
          <w:szCs w:val="21"/>
        </w:rPr>
        <w:t xml:space="preserve">，未提供不得分。</w:t>
      </w:r>
      <w:r>
        <w:rPr>
          <w:rFonts w:hint="eastAsia" w:ascii="宋体" w:hAnsi="宋体" w:eastAsia="宋体" w:cs="宋体"/>
          <w:b/>
          <w:sz w:val="21"/>
          <w:szCs w:val="21"/>
        </w:rPr>
        <w:t xml:space="preserve">）</w:t>
      </w:r>
      <w:r/>
    </w:p>
    <w:p>
      <w:pPr>
        <w:pStyle w:val="649"/>
        <w:ind w:firstLine="420"/>
        <w:spacing w:line="360" w:lineRule="auto"/>
        <w:rPr>
          <w:rFonts w:ascii="宋体" w:hAnsi="宋体" w:eastAsia="宋体"/>
          <w:sz w:val="21"/>
          <w:szCs w:val="21"/>
        </w:rPr>
      </w:pPr>
      <w:r>
        <w:rPr>
          <w:rFonts w:hint="eastAsia" w:ascii="宋体" w:hAnsi="宋体" w:eastAsia="宋体" w:cs="Calibri"/>
          <w:bCs/>
          <w:sz w:val="21"/>
          <w:szCs w:val="21"/>
        </w:rPr>
        <w:t xml:space="preserve">2</w:t>
      </w:r>
      <w:r>
        <w:rPr>
          <w:rFonts w:ascii="宋体" w:hAnsi="宋体" w:eastAsia="宋体" w:cs="Calibri"/>
          <w:bCs/>
          <w:sz w:val="21"/>
          <w:szCs w:val="21"/>
        </w:rPr>
        <w:t xml:space="preserve">.</w:t>
      </w:r>
      <w:r>
        <w:rPr>
          <w:rFonts w:hint="eastAsia" w:ascii="宋体" w:hAnsi="宋体" w:eastAsia="宋体" w:cs="Calibri"/>
          <w:bCs/>
          <w:sz w:val="21"/>
          <w:szCs w:val="21"/>
        </w:rPr>
        <w:t xml:space="preserve">响应单位具有</w:t>
      </w:r>
      <w:r>
        <w:rPr>
          <w:rFonts w:hint="eastAsia" w:ascii="宋体" w:hAnsi="宋体" w:eastAsia="宋体" w:cs="宋体"/>
          <w:color w:val="000000"/>
          <w:sz w:val="21"/>
          <w:szCs w:val="21"/>
        </w:rPr>
        <w:t xml:space="preserve">有效期内的</w:t>
      </w:r>
      <w:r>
        <w:rPr>
          <w:rFonts w:hint="eastAsia" w:ascii="宋体" w:hAnsi="宋体" w:eastAsia="宋体" w:cs="Calibri"/>
          <w:bCs/>
          <w:sz w:val="21"/>
          <w:szCs w:val="21"/>
        </w:rPr>
        <w:t xml:space="preserve">信息安全管理体系认证证书、信息技术服务管理体系认证证书的有一项得</w:t>
      </w:r>
      <w:r>
        <w:rPr>
          <w:rFonts w:ascii="宋体" w:hAnsi="宋体" w:eastAsia="宋体" w:cs="Calibri"/>
          <w:bCs/>
          <w:sz w:val="21"/>
          <w:szCs w:val="21"/>
        </w:rPr>
        <w:t xml:space="preserve">2</w:t>
      </w:r>
      <w:r>
        <w:rPr>
          <w:rFonts w:hint="eastAsia" w:ascii="宋体" w:hAnsi="宋体" w:eastAsia="宋体" w:cs="Calibri"/>
          <w:bCs/>
          <w:sz w:val="21"/>
          <w:szCs w:val="21"/>
        </w:rPr>
        <w:t xml:space="preserve">分，最多得</w:t>
      </w:r>
      <w:r>
        <w:rPr>
          <w:rFonts w:ascii="宋体" w:hAnsi="宋体" w:eastAsia="宋体" w:cs="Calibri"/>
          <w:bCs/>
          <w:sz w:val="21"/>
          <w:szCs w:val="21"/>
        </w:rPr>
        <w:t xml:space="preserve">4</w:t>
      </w:r>
      <w:r>
        <w:rPr>
          <w:rFonts w:hint="eastAsia" w:ascii="宋体" w:hAnsi="宋体" w:eastAsia="宋体" w:cs="Calibri"/>
          <w:bCs/>
          <w:sz w:val="21"/>
          <w:szCs w:val="21"/>
        </w:rPr>
        <w:t xml:space="preserve">分。</w:t>
      </w:r>
      <w:r>
        <w:rPr>
          <w:rFonts w:hint="eastAsia" w:ascii="宋体" w:hAnsi="宋体" w:eastAsia="宋体" w:cs="Calibri"/>
          <w:b/>
          <w:bCs/>
          <w:sz w:val="21"/>
          <w:szCs w:val="21"/>
        </w:rPr>
        <w:t xml:space="preserve">（注：响应文件内须提供有效证书扫描件及国家认证认可监督管理委员会官方网站上的查询截图并加盖响应人公章，未提供不得分。）</w:t>
      </w:r>
      <w:r>
        <w:rPr>
          <w:rFonts w:ascii="宋体" w:hAnsi="宋体" w:eastAsia="宋体"/>
          <w:sz w:val="21"/>
          <w:szCs w:val="21"/>
        </w:rPr>
      </w:r>
      <w:r/>
    </w:p>
    <w:p>
      <w:pPr>
        <w:pStyle w:val="64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（五）类似项目业绩（6分）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2023</w:t>
      </w:r>
      <w:r>
        <w:rPr>
          <w:rFonts w:hint="eastAsia" w:ascii="宋体" w:hAnsi="宋体" w:eastAsia="宋体" w:cs="宋体"/>
          <w:sz w:val="21"/>
          <w:szCs w:val="21"/>
        </w:rPr>
        <w:t xml:space="preserve">年1月1日起至今</w:t>
      </w:r>
      <w:r>
        <w:rPr>
          <w:rFonts w:ascii="宋体" w:hAnsi="宋体" w:eastAsia="宋体" w:cs="宋体"/>
          <w:sz w:val="21"/>
          <w:szCs w:val="21"/>
        </w:rPr>
        <w:t xml:space="preserve">（以合同签订之日起</w:t>
      </w:r>
      <w:r>
        <w:rPr>
          <w:rFonts w:hint="eastAsia" w:ascii="宋体" w:hAnsi="宋体" w:eastAsia="宋体" w:cs="宋体"/>
          <w:sz w:val="21"/>
          <w:szCs w:val="21"/>
        </w:rPr>
        <w:t xml:space="preserve">为准</w:t>
      </w:r>
      <w:r>
        <w:rPr>
          <w:rFonts w:ascii="宋体" w:hAnsi="宋体" w:eastAsia="宋体" w:cs="宋体"/>
          <w:sz w:val="21"/>
          <w:szCs w:val="21"/>
        </w:rPr>
        <w:t xml:space="preserve">）</w:t>
      </w:r>
      <w:r>
        <w:rPr>
          <w:rFonts w:hint="eastAsia" w:ascii="宋体" w:hAnsi="宋体" w:eastAsia="宋体" w:cs="宋体"/>
          <w:sz w:val="21"/>
          <w:szCs w:val="21"/>
        </w:rPr>
        <w:t xml:space="preserve">响应单位具有类似项目业绩的，每提供一个得2分，最高得6分。</w:t>
      </w:r>
      <w:r/>
    </w:p>
    <w:p>
      <w:pPr>
        <w:pStyle w:val="743"/>
        <w:ind w:left="0" w:firstLine="422"/>
        <w:spacing w:line="360" w:lineRule="auto"/>
        <w:rPr>
          <w:rFonts w:ascii="宋体" w:hAnsi="宋体" w:eastAsia="宋体"/>
          <w:sz w:val="21"/>
          <w:szCs w:val="21"/>
        </w:rPr>
      </w:pPr>
      <w:r>
        <w:rPr>
          <w:rFonts w:hint="eastAsia" w:ascii="宋体" w:hAnsi="宋体" w:eastAsia="宋体" w:cs="宋体"/>
          <w:b/>
          <w:sz w:val="21"/>
          <w:szCs w:val="21"/>
        </w:rPr>
        <w:t xml:space="preserve">（注：响应文件中需提供合同复印件并加盖单位公章，不提供相关证明不得分。）</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备注：</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1.针对评分标准中评分的每一条，</w:t>
      </w:r>
      <w:r>
        <w:rPr>
          <w:rFonts w:hint="eastAsia" w:ascii="宋体" w:hAnsi="宋体" w:eastAsia="宋体"/>
          <w:bCs/>
          <w:sz w:val="21"/>
          <w:szCs w:val="21"/>
        </w:rPr>
        <w:t xml:space="preserve">响应单位</w:t>
      </w:r>
      <w:r>
        <w:rPr>
          <w:rFonts w:hint="eastAsia" w:ascii="宋体" w:hAnsi="宋体" w:eastAsia="宋体"/>
          <w:sz w:val="21"/>
          <w:szCs w:val="21"/>
        </w:rPr>
        <w:t xml:space="preserve">均应提供相关资料并作出相应说明供评委评判，不提供相关资料的视为不具</w:t>
      </w:r>
      <w:r>
        <w:rPr>
          <w:rFonts w:hint="eastAsia" w:ascii="宋体" w:hAnsi="宋体" w:eastAsia="宋体"/>
          <w:sz w:val="21"/>
          <w:szCs w:val="21"/>
        </w:rPr>
        <w:t xml:space="preserve">备该项得分的条件。</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2.响应文件中如出现前后不一致时，评委有权请</w:t>
      </w:r>
      <w:r>
        <w:rPr>
          <w:rFonts w:hint="eastAsia" w:ascii="宋体" w:hAnsi="宋体" w:eastAsia="宋体"/>
          <w:bCs/>
          <w:sz w:val="21"/>
          <w:szCs w:val="21"/>
        </w:rPr>
        <w:t xml:space="preserve">响应单位</w:t>
      </w:r>
      <w:r>
        <w:rPr>
          <w:rFonts w:hint="eastAsia" w:ascii="宋体" w:hAnsi="宋体" w:eastAsia="宋体"/>
          <w:sz w:val="21"/>
          <w:szCs w:val="21"/>
        </w:rPr>
        <w:t xml:space="preserve">澄清说明，澄清说明事项涉及评分时，评委有权酌情扣分。</w:t>
      </w:r>
      <w:r>
        <w:rPr>
          <w:rFonts w:ascii="宋体" w:hAnsi="宋体" w:eastAsia="宋体"/>
          <w:sz w:val="21"/>
          <w:szCs w:val="21"/>
        </w:rPr>
      </w:r>
      <w:r/>
    </w:p>
    <w:p>
      <w:pPr>
        <w:pStyle w:val="649"/>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bCs/>
          <w:sz w:val="21"/>
          <w:szCs w:val="21"/>
        </w:rPr>
        <w:t xml:space="preserve">响应单位</w:t>
      </w:r>
      <w:r>
        <w:rPr>
          <w:rFonts w:hint="eastAsia" w:ascii="宋体" w:hAnsi="宋体" w:eastAsia="宋体"/>
          <w:sz w:val="21"/>
          <w:szCs w:val="21"/>
        </w:rPr>
        <w:t xml:space="preserve">必须保证全部投标资料的真实性，如有虚假或对采购文件所要求说明的情况故意隐瞒或虚报，视为不实质性</w:t>
      </w:r>
      <w:r>
        <w:rPr>
          <w:rFonts w:hint="eastAsia" w:ascii="宋体" w:hAnsi="宋体" w:eastAsia="宋体"/>
          <w:bCs/>
          <w:sz w:val="21"/>
          <w:szCs w:val="21"/>
        </w:rPr>
        <w:t xml:space="preserve">响应采购文件</w:t>
      </w:r>
      <w:r>
        <w:rPr>
          <w:rFonts w:hint="eastAsia" w:ascii="宋体" w:hAnsi="宋体" w:eastAsia="宋体"/>
          <w:sz w:val="21"/>
          <w:szCs w:val="21"/>
        </w:rPr>
        <w:t xml:space="preserve">，为无效投标，已成交的将取消成交资格，按“提供虚假材料谋取成交”相关处理办法处理。</w:t>
      </w:r>
      <w:r>
        <w:rPr>
          <w:rFonts w:ascii="宋体" w:hAnsi="宋体" w:eastAsia="宋体"/>
          <w:sz w:val="21"/>
          <w:szCs w:val="21"/>
        </w:rPr>
      </w:r>
      <w:r/>
    </w:p>
    <w:p>
      <w:pPr>
        <w:pStyle w:val="649"/>
        <w:spacing w:line="360" w:lineRule="auto"/>
        <w:rPr>
          <w:rFonts w:hint="eastAsia" w:ascii="宋体" w:hAnsi="宋体" w:eastAsia="宋体"/>
          <w:bCs/>
          <w:sz w:val="21"/>
          <w:szCs w:val="21"/>
        </w:rPr>
      </w:pPr>
      <w:r>
        <w:rPr>
          <w:rFonts w:hint="eastAsia" w:ascii="宋体" w:hAnsi="宋体" w:eastAsia="宋体"/>
          <w:bCs/>
          <w:sz w:val="21"/>
          <w:szCs w:val="21"/>
        </w:rPr>
      </w:r>
      <w:r/>
    </w:p>
    <w:p>
      <w:pPr>
        <w:pStyle w:val="649"/>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Times">
    <w:panose1 w:val="02020603050405020304"/>
  </w:font>
  <w:font w:name="等线 Light">
    <w:panose1 w:val="02010600030101010101"/>
  </w:font>
  <w:font w:name="仿宋">
    <w:panose1 w:val="02010609060101010101"/>
  </w:font>
  <w:font w:name="Cambria">
    <w:panose1 w:val="02040503050406030204"/>
  </w:font>
  <w:font w:name="MS Gothic">
    <w:panose1 w:val="020B0609070205080204"/>
  </w:font>
  <w:font w:name="Calibri Light">
    <w:panose1 w:val="020F0302020204030204"/>
  </w:font>
  <w:font w:name="Calibri">
    <w:panose1 w:val="020F0502020204030204"/>
  </w:font>
  <w:font w:name="Courier New">
    <w:panose1 w:val="02070309020205020404"/>
  </w:font>
  <w:font w:name="Tahoma">
    <w:panose1 w:val="020B0604030504040204"/>
  </w:font>
  <w:font w:name="MS Mincho">
    <w:panose1 w:val="02020603050405090304"/>
  </w:font>
  <w:font w:name="方正仿宋简体">
    <w:panose1 w:val="020B0503020202020204"/>
  </w:font>
  <w:font w:name="Courier">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w:t>
    </w:r>
    <w:r>
      <w:rPr>
        <w:rFonts w:hint="eastAsia" w:ascii="宋体" w:hAnsi="宋体" w:eastAsia="宋体"/>
      </w:rPr>
      <w:t xml:space="preserve">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4"/>
      <w:isLgl w:val="false"/>
      <w:suff w:val="tab"/>
      <w:lvlText w:val="%1."/>
      <w:lvlJc w:val="left"/>
      <w:pPr>
        <w:pStyle w:val="649"/>
        <w:ind w:left="1080" w:hanging="360"/>
        <w:tabs>
          <w:tab w:val="num"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75"/>
      <w:isLgl w:val="false"/>
      <w:suff w:val="tab"/>
      <w:lvlText w:val="%1."/>
      <w:lvlJc w:val="left"/>
      <w:pPr>
        <w:pStyle w:val="649"/>
        <w:ind w:left="720" w:hanging="360"/>
        <w:tabs>
          <w:tab w:val="num"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89"/>
      <w:isLgl w:val="false"/>
      <w:suff w:val="tab"/>
      <w:lvlText w:val=""/>
      <w:lvlJc w:val="left"/>
      <w:pPr>
        <w:pStyle w:val="649"/>
        <w:ind w:left="1080" w:hanging="360"/>
        <w:tabs>
          <w:tab w:val="num" w:pos="108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8"/>
      <w:isLgl w:val="false"/>
      <w:suff w:val="tab"/>
      <w:lvlText w:val=""/>
      <w:lvlJc w:val="left"/>
      <w:pPr>
        <w:pStyle w:val="649"/>
        <w:ind w:left="720" w:hanging="360"/>
        <w:tabs>
          <w:tab w:val="num" w:pos="72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82"/>
      <w:isLgl w:val="false"/>
      <w:suff w:val="tab"/>
      <w:lvlText w:val=""/>
      <w:lvlJc w:val="left"/>
      <w:pPr>
        <w:pStyle w:val="64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7"/>
      <w:isLgl w:val="false"/>
      <w:suff w:val="space"/>
      <w:lvlText w:val="%1"/>
      <w:lvlJc w:val="left"/>
      <w:pPr>
        <w:pStyle w:val="649"/>
        <w:ind w:left="0" w:firstLine="0"/>
      </w:pPr>
      <w:rPr>
        <w:rFonts w:hint="eastAsia" w:ascii="宋体" w:hAnsi="宋体" w:eastAsia="宋体"/>
        <w:b/>
      </w:rPr>
    </w:lvl>
    <w:lvl w:ilvl="1">
      <w:start w:val="1"/>
      <w:numFmt w:val="decimal"/>
      <w:pStyle w:val="919"/>
      <w:isLgl w:val="false"/>
      <w:suff w:val="space"/>
      <w:lvlText w:val="%1.%2"/>
      <w:lvlJc w:val="left"/>
      <w:pPr>
        <w:pStyle w:val="649"/>
        <w:ind w:left="0" w:firstLine="510"/>
      </w:pPr>
      <w:rPr>
        <w:rFonts w:hint="eastAsia" w:ascii="宋体" w:hAnsi="宋体" w:eastAsia="宋体"/>
      </w:rPr>
    </w:lvl>
    <w:lvl w:ilvl="2">
      <w:start w:val="1"/>
      <w:numFmt w:val="decimal"/>
      <w:pStyle w:val="856"/>
      <w:isLgl w:val="false"/>
      <w:suff w:val="tab"/>
      <w:lvlText w:val="%1.%2.%3"/>
      <w:lvlJc w:val="left"/>
      <w:pPr>
        <w:pStyle w:val="649"/>
        <w:ind w:left="0" w:firstLine="510"/>
      </w:pPr>
      <w:rPr>
        <w:rFonts w:hint="eastAsia"/>
      </w:rPr>
    </w:lvl>
    <w:lvl w:ilvl="3">
      <w:start w:val="1"/>
      <w:numFmt w:val="decimal"/>
      <w:pStyle w:val="915"/>
      <w:isLgl w:val="false"/>
      <w:suff w:val="tab"/>
      <w:lvlText w:val="%1.%2.%3.%4"/>
      <w:lvlJc w:val="left"/>
      <w:pPr>
        <w:pStyle w:val="649"/>
        <w:ind w:left="0" w:firstLine="425"/>
      </w:pPr>
      <w:rPr>
        <w:rFonts w:hint="eastAsia" w:ascii="宋体" w:hAnsi="宋体" w:eastAsia="宋体"/>
      </w:rPr>
    </w:lvl>
    <w:lvl w:ilvl="4">
      <w:start w:val="1"/>
      <w:numFmt w:val="decimal"/>
      <w:isLgl w:val="false"/>
      <w:suff w:val="tab"/>
      <w:lvlText w:val="%1.%2.%3.%4.%5"/>
      <w:lvlJc w:val="left"/>
      <w:pPr>
        <w:pStyle w:val="649"/>
        <w:ind w:left="2551" w:hanging="850"/>
      </w:pPr>
      <w:rPr>
        <w:rFonts w:hint="eastAsia"/>
      </w:rPr>
    </w:lvl>
    <w:lvl w:ilvl="5">
      <w:start w:val="1"/>
      <w:numFmt w:val="decimal"/>
      <w:isLgl w:val="false"/>
      <w:suff w:val="tab"/>
      <w:lvlText w:val="%1.%2.%3.%4.%5.%6"/>
      <w:lvlJc w:val="left"/>
      <w:pPr>
        <w:pStyle w:val="649"/>
        <w:ind w:left="3260" w:hanging="1134"/>
      </w:pPr>
      <w:rPr>
        <w:rFonts w:hint="eastAsia"/>
      </w:rPr>
    </w:lvl>
    <w:lvl w:ilvl="6">
      <w:start w:val="1"/>
      <w:numFmt w:val="decimal"/>
      <w:isLgl w:val="false"/>
      <w:suff w:val="tab"/>
      <w:lvlText w:val="%1.%2.%3.%4.%5.%6.%7"/>
      <w:lvlJc w:val="left"/>
      <w:pPr>
        <w:pStyle w:val="649"/>
        <w:ind w:left="3827" w:hanging="1276"/>
      </w:pPr>
      <w:rPr>
        <w:rFonts w:hint="eastAsia"/>
      </w:rPr>
    </w:lvl>
    <w:lvl w:ilvl="7">
      <w:start w:val="1"/>
      <w:numFmt w:val="decimal"/>
      <w:isLgl w:val="false"/>
      <w:suff w:val="tab"/>
      <w:lvlText w:val="%1.%2.%3.%4.%5.%6.%7.%8"/>
      <w:lvlJc w:val="left"/>
      <w:pPr>
        <w:pStyle w:val="649"/>
        <w:ind w:left="4394" w:hanging="1418"/>
      </w:pPr>
      <w:rPr>
        <w:rFonts w:hint="eastAsia"/>
      </w:rPr>
    </w:lvl>
    <w:lvl w:ilvl="8">
      <w:start w:val="1"/>
      <w:numFmt w:val="decimal"/>
      <w:isLgl w:val="false"/>
      <w:suff w:val="tab"/>
      <w:lvlText w:val="%1.%2.%3.%4.%5.%6.%7.%8.%9"/>
      <w:lvlJc w:val="left"/>
      <w:pPr>
        <w:pStyle w:val="649"/>
        <w:ind w:left="5102" w:hanging="1700"/>
      </w:pPr>
      <w:rPr>
        <w:rFonts w:hint="eastAsia"/>
      </w:rPr>
    </w:lvl>
  </w:abstractNum>
  <w:abstractNum w:abstractNumId="6">
    <w:multiLevelType w:val="hybridMultilevel"/>
    <w:lvl w:ilvl="0">
      <w:start w:val="1"/>
      <w:numFmt w:val="bullet"/>
      <w:pStyle w:val="904"/>
      <w:isLgl w:val="false"/>
      <w:suff w:val="tab"/>
      <w:lvlText w:val=""/>
      <w:lvlJc w:val="left"/>
      <w:pPr>
        <w:pStyle w:val="649"/>
        <w:ind w:left="840" w:hanging="420"/>
        <w:tabs>
          <w:tab w:val="num" w:pos="840" w:leader="none"/>
        </w:tabs>
      </w:pPr>
      <w:rPr>
        <w:rFonts w:ascii="Wingdings" w:hAnsi="Wingdings"/>
      </w:rPr>
    </w:lvl>
    <w:lvl w:ilvl="1">
      <w:start w:val="1"/>
      <w:numFmt w:val="decimal"/>
      <w:isLgl w:val="false"/>
      <w:suff w:val="tab"/>
      <w:lvlText w:val="%2."/>
      <w:lvlJc w:val="left"/>
      <w:pPr>
        <w:pStyle w:val="649"/>
        <w:ind w:left="1440" w:hanging="360"/>
        <w:tabs>
          <w:tab w:val="num" w:pos="1440" w:leader="none"/>
        </w:tabs>
      </w:pPr>
    </w:lvl>
    <w:lvl w:ilvl="2">
      <w:start w:val="1"/>
      <w:numFmt w:val="decimal"/>
      <w:isLgl w:val="false"/>
      <w:suff w:val="tab"/>
      <w:lvlText w:val="%3."/>
      <w:lvlJc w:val="left"/>
      <w:pPr>
        <w:pStyle w:val="649"/>
        <w:ind w:left="2160" w:hanging="360"/>
        <w:tabs>
          <w:tab w:val="num" w:pos="2160" w:leader="none"/>
        </w:tabs>
      </w:pPr>
    </w:lvl>
    <w:lvl w:ilvl="3">
      <w:start w:val="1"/>
      <w:numFmt w:val="decimal"/>
      <w:isLgl w:val="false"/>
      <w:suff w:val="tab"/>
      <w:lvlText w:val="%4."/>
      <w:lvlJc w:val="left"/>
      <w:pPr>
        <w:pStyle w:val="649"/>
        <w:ind w:left="2880" w:hanging="360"/>
        <w:tabs>
          <w:tab w:val="num" w:pos="2880" w:leader="none"/>
        </w:tabs>
      </w:pPr>
    </w:lvl>
    <w:lvl w:ilvl="4">
      <w:start w:val="1"/>
      <w:numFmt w:val="decimal"/>
      <w:isLgl w:val="false"/>
      <w:suff w:val="tab"/>
      <w:lvlText w:val="%5."/>
      <w:lvlJc w:val="left"/>
      <w:pPr>
        <w:pStyle w:val="649"/>
        <w:ind w:left="3600" w:hanging="360"/>
        <w:tabs>
          <w:tab w:val="num" w:pos="3600" w:leader="none"/>
        </w:tabs>
      </w:pPr>
    </w:lvl>
    <w:lvl w:ilvl="5">
      <w:start w:val="1"/>
      <w:numFmt w:val="decimal"/>
      <w:isLgl w:val="false"/>
      <w:suff w:val="tab"/>
      <w:lvlText w:val="%6."/>
      <w:lvlJc w:val="left"/>
      <w:pPr>
        <w:pStyle w:val="649"/>
        <w:ind w:left="4320" w:hanging="360"/>
        <w:tabs>
          <w:tab w:val="num" w:pos="4320" w:leader="none"/>
        </w:tabs>
      </w:pPr>
    </w:lvl>
    <w:lvl w:ilvl="6">
      <w:start w:val="1"/>
      <w:numFmt w:val="decimal"/>
      <w:isLgl w:val="false"/>
      <w:suff w:val="tab"/>
      <w:lvlText w:val="%7."/>
      <w:lvlJc w:val="left"/>
      <w:pPr>
        <w:pStyle w:val="649"/>
        <w:ind w:left="5040" w:hanging="360"/>
        <w:tabs>
          <w:tab w:val="num" w:pos="5040" w:leader="none"/>
        </w:tabs>
      </w:pPr>
    </w:lvl>
    <w:lvl w:ilvl="7">
      <w:start w:val="1"/>
      <w:numFmt w:val="decimal"/>
      <w:isLgl w:val="false"/>
      <w:suff w:val="tab"/>
      <w:lvlText w:val="%8."/>
      <w:lvlJc w:val="left"/>
      <w:pPr>
        <w:pStyle w:val="649"/>
        <w:ind w:left="5760" w:hanging="360"/>
        <w:tabs>
          <w:tab w:val="num" w:pos="5760" w:leader="none"/>
        </w:tabs>
      </w:pPr>
    </w:lvl>
    <w:lvl w:ilvl="8">
      <w:start w:val="1"/>
      <w:numFmt w:val="decimal"/>
      <w:isLgl w:val="false"/>
      <w:suff w:val="tab"/>
      <w:lvlText w:val="%9."/>
      <w:lvlJc w:val="left"/>
      <w:pPr>
        <w:pStyle w:val="649"/>
        <w:ind w:left="6480" w:hanging="360"/>
        <w:tabs>
          <w:tab w:val="num" w:pos="6480" w:leader="none"/>
        </w:tabs>
      </w:pPr>
    </w:lvl>
  </w:abstractNum>
  <w:num w:numId="1">
    <w:abstractNumId w:val="1"/>
  </w:num>
  <w:num w:numId="2">
    <w:abstractNumId w:val="4"/>
  </w:num>
  <w:num w:numId="3">
    <w:abstractNumId w:val="2"/>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885"/>
    <w:uiPriority w:val="9"/>
    <w:qFormat/>
    <w:pPr>
      <w:keepLines/>
      <w:keepNext/>
      <w:spacing w:before="480" w:after="200"/>
      <w:outlineLvl w:val="0"/>
    </w:pPr>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rFonts w:eastAsia="楷体_GB2312"/>
      <w:sz w:val="26"/>
      <w:lang w:val="en-US" w:eastAsia="zh-CN" w:bidi="ar-SA"/>
    </w:rPr>
  </w:style>
  <w:style w:type="paragraph" w:styleId="650">
    <w:name w:val="标题 1"/>
    <w:basedOn w:val="649"/>
    <w:next w:val="649"/>
    <w:link w:val="664"/>
    <w:uiPriority w:val="9"/>
    <w:qFormat/>
    <w:pPr>
      <w:keepLines/>
      <w:keepNext/>
      <w:spacing w:before="340" w:after="330" w:line="578" w:lineRule="auto"/>
      <w:outlineLvl w:val="0"/>
    </w:pPr>
    <w:rPr>
      <w:b/>
      <w:sz w:val="44"/>
    </w:rPr>
  </w:style>
  <w:style w:type="paragraph" w:styleId="651">
    <w:name w:val="标题 2"/>
    <w:basedOn w:val="649"/>
    <w:next w:val="649"/>
    <w:link w:val="665"/>
    <w:uiPriority w:val="9"/>
    <w:qFormat/>
    <w:pPr>
      <w:jc w:val="left"/>
      <w:keepLines/>
      <w:keepNext/>
      <w:outlineLvl w:val="1"/>
    </w:pPr>
    <w:rPr>
      <w:rFonts w:ascii="宋体" w:hAnsi="宋体"/>
      <w:b/>
    </w:rPr>
  </w:style>
  <w:style w:type="paragraph" w:styleId="652">
    <w:name w:val="标题 3"/>
    <w:basedOn w:val="649"/>
    <w:next w:val="649"/>
    <w:link w:val="666"/>
    <w:uiPriority w:val="9"/>
    <w:qFormat/>
    <w:pPr>
      <w:jc w:val="left"/>
      <w:keepLines/>
      <w:keepNext/>
      <w:outlineLvl w:val="2"/>
    </w:pPr>
    <w:rPr>
      <w:b/>
    </w:rPr>
  </w:style>
  <w:style w:type="paragraph" w:styleId="653">
    <w:name w:val="标题 4"/>
    <w:basedOn w:val="649"/>
    <w:next w:val="649"/>
    <w:link w:val="667"/>
    <w:uiPriority w:val="9"/>
    <w:qFormat/>
    <w:pPr>
      <w:keepLines/>
      <w:keepNext/>
      <w:spacing w:before="280" w:after="290" w:line="376" w:lineRule="auto"/>
      <w:outlineLvl w:val="3"/>
    </w:pPr>
    <w:rPr>
      <w:rFonts w:ascii="Arial" w:hAnsi="Arial" w:eastAsia="黑体"/>
      <w:b/>
      <w:bCs/>
      <w:sz w:val="28"/>
      <w:szCs w:val="28"/>
    </w:rPr>
  </w:style>
  <w:style w:type="paragraph" w:styleId="654">
    <w:name w:val="标题 5"/>
    <w:basedOn w:val="649"/>
    <w:next w:val="649"/>
    <w:link w:val="668"/>
    <w:uiPriority w:val="9"/>
    <w:qFormat/>
    <w:pPr>
      <w:jc w:val="left"/>
      <w:keepLines/>
      <w:keepNext/>
      <w:spacing w:before="280" w:after="290" w:line="376" w:lineRule="atLeast"/>
      <w:outlineLvl w:val="4"/>
    </w:pPr>
    <w:rPr>
      <w:rFonts w:ascii="宋体" w:hAnsi="Tms Rmn" w:eastAsia="宋体"/>
      <w:b/>
      <w:sz w:val="28"/>
    </w:rPr>
  </w:style>
  <w:style w:type="paragraph" w:styleId="655">
    <w:name w:val="标题 6"/>
    <w:basedOn w:val="649"/>
    <w:next w:val="649"/>
    <w:link w:val="669"/>
    <w:uiPriority w:val="9"/>
    <w:qFormat/>
    <w:pPr>
      <w:jc w:val="left"/>
      <w:keepLines/>
      <w:keepNext/>
      <w:spacing w:before="240" w:after="64" w:line="320" w:lineRule="atLeast"/>
      <w:outlineLvl w:val="5"/>
    </w:pPr>
    <w:rPr>
      <w:rFonts w:ascii="黑体" w:hAnsi="Tms Rmn" w:eastAsia="黑体"/>
      <w:b/>
      <w:sz w:val="24"/>
    </w:rPr>
  </w:style>
  <w:style w:type="paragraph" w:styleId="656">
    <w:name w:val="标题 7"/>
    <w:basedOn w:val="649"/>
    <w:next w:val="649"/>
    <w:link w:val="670"/>
    <w:uiPriority w:val="9"/>
    <w:qFormat/>
    <w:pPr>
      <w:jc w:val="left"/>
      <w:keepLines/>
      <w:keepNext/>
      <w:spacing w:before="240" w:after="64" w:line="320" w:lineRule="atLeast"/>
      <w:outlineLvl w:val="6"/>
    </w:pPr>
    <w:rPr>
      <w:rFonts w:ascii="宋体" w:hAnsi="Tms Rmn" w:eastAsia="宋体"/>
      <w:b/>
      <w:sz w:val="24"/>
    </w:rPr>
  </w:style>
  <w:style w:type="paragraph" w:styleId="657">
    <w:name w:val="标题 8"/>
    <w:basedOn w:val="649"/>
    <w:next w:val="649"/>
    <w:link w:val="671"/>
    <w:uiPriority w:val="9"/>
    <w:qFormat/>
    <w:pPr>
      <w:keepLines/>
      <w:keepNext/>
      <w:spacing w:before="240" w:after="64" w:line="320" w:lineRule="auto"/>
      <w:outlineLvl w:val="7"/>
    </w:pPr>
    <w:rPr>
      <w:rFonts w:ascii="Arial" w:hAnsi="Arial" w:eastAsia="黑体"/>
      <w:sz w:val="24"/>
      <w:szCs w:val="24"/>
    </w:rPr>
  </w:style>
  <w:style w:type="paragraph" w:styleId="658">
    <w:name w:val="标题 9"/>
    <w:basedOn w:val="649"/>
    <w:next w:val="649"/>
    <w:link w:val="672"/>
    <w:uiPriority w:val="9"/>
    <w:qFormat/>
    <w:pPr>
      <w:keepLines/>
      <w:keepNext/>
      <w:spacing w:before="240" w:after="64" w:line="320" w:lineRule="auto"/>
      <w:outlineLvl w:val="8"/>
    </w:pPr>
    <w:rPr>
      <w:rFonts w:ascii="Arial" w:hAnsi="Arial" w:eastAsia="黑体"/>
      <w:sz w:val="21"/>
      <w:szCs w:val="21"/>
    </w:rPr>
  </w:style>
  <w:style w:type="character" w:styleId="659">
    <w:name w:val="默认段落字体"/>
    <w:next w:val="659"/>
    <w:link w:val="649"/>
    <w:uiPriority w:val="1"/>
    <w:unhideWhenUsed/>
  </w:style>
  <w:style w:type="table" w:styleId="660">
    <w:name w:val="普通表格"/>
    <w:next w:val="660"/>
    <w:link w:val="649"/>
    <w:uiPriority w:val="99"/>
    <w:unhideWhenUsed/>
    <w:tblPr/>
  </w:style>
  <w:style w:type="numbering" w:styleId="661">
    <w:name w:val="无列表"/>
    <w:next w:val="661"/>
    <w:link w:val="649"/>
    <w:uiPriority w:val="99"/>
    <w:semiHidden/>
    <w:unhideWhenUsed/>
  </w:style>
  <w:style w:type="paragraph" w:styleId="662">
    <w:name w:val="宏文本"/>
    <w:next w:val="662"/>
    <w:link w:val="663"/>
    <w:uiPriority w:val="99"/>
    <w:unhideWhenUsed/>
    <w:pPr>
      <w:spacing w:after="200" w:line="276" w:lineRule="auto"/>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eastAsia="MS Mincho"/>
      <w:lang w:val="en-US" w:eastAsia="en-US" w:bidi="ar-SA"/>
    </w:rPr>
  </w:style>
  <w:style w:type="character" w:styleId="663">
    <w:name w:val="宏文本 字符"/>
    <w:next w:val="663"/>
    <w:link w:val="662"/>
    <w:uiPriority w:val="99"/>
    <w:rPr>
      <w:rFonts w:ascii="Courier" w:hAnsi="Courier" w:eastAsia="MS Mincho"/>
      <w:lang w:eastAsia="en-US"/>
    </w:rPr>
  </w:style>
  <w:style w:type="character" w:styleId="664">
    <w:name w:val="标题 1 字符"/>
    <w:next w:val="664"/>
    <w:link w:val="650"/>
    <w:uiPriority w:val="9"/>
    <w:rPr>
      <w:rFonts w:eastAsia="楷体_GB2312"/>
      <w:b/>
      <w:sz w:val="44"/>
    </w:rPr>
  </w:style>
  <w:style w:type="character" w:styleId="665">
    <w:name w:val="标题 2 字符"/>
    <w:next w:val="665"/>
    <w:link w:val="651"/>
    <w:uiPriority w:val="9"/>
    <w:rPr>
      <w:rFonts w:ascii="宋体" w:hAnsi="宋体" w:eastAsia="楷体_GB2312"/>
      <w:b/>
      <w:sz w:val="26"/>
    </w:rPr>
  </w:style>
  <w:style w:type="character" w:styleId="666">
    <w:name w:val="标题 3 字符"/>
    <w:next w:val="666"/>
    <w:link w:val="652"/>
    <w:uiPriority w:val="9"/>
    <w:rPr>
      <w:rFonts w:eastAsia="楷体_GB2312"/>
      <w:b/>
      <w:sz w:val="26"/>
    </w:rPr>
  </w:style>
  <w:style w:type="character" w:styleId="667">
    <w:name w:val="标题 4 字符"/>
    <w:next w:val="667"/>
    <w:link w:val="653"/>
    <w:uiPriority w:val="9"/>
    <w:rPr>
      <w:rFonts w:ascii="Arial" w:hAnsi="Arial" w:eastAsia="黑体"/>
      <w:b/>
      <w:bCs/>
      <w:sz w:val="28"/>
      <w:szCs w:val="28"/>
    </w:rPr>
  </w:style>
  <w:style w:type="character" w:styleId="668">
    <w:name w:val="标题 5 字符"/>
    <w:next w:val="668"/>
    <w:link w:val="654"/>
    <w:uiPriority w:val="9"/>
    <w:rPr>
      <w:rFonts w:ascii="宋体" w:hAnsi="Tms Rmn"/>
      <w:b/>
      <w:sz w:val="28"/>
    </w:rPr>
  </w:style>
  <w:style w:type="character" w:styleId="669">
    <w:name w:val="标题 6 字符"/>
    <w:next w:val="669"/>
    <w:link w:val="655"/>
    <w:uiPriority w:val="9"/>
    <w:rPr>
      <w:rFonts w:ascii="黑体" w:hAnsi="Tms Rmn" w:eastAsia="黑体"/>
      <w:b/>
      <w:sz w:val="24"/>
    </w:rPr>
  </w:style>
  <w:style w:type="character" w:styleId="670">
    <w:name w:val="标题 7 字符"/>
    <w:next w:val="670"/>
    <w:link w:val="656"/>
    <w:uiPriority w:val="9"/>
    <w:rPr>
      <w:rFonts w:ascii="宋体" w:hAnsi="Tms Rmn"/>
      <w:b/>
      <w:sz w:val="24"/>
    </w:rPr>
  </w:style>
  <w:style w:type="character" w:styleId="671">
    <w:name w:val="标题 8 字符"/>
    <w:next w:val="671"/>
    <w:link w:val="657"/>
    <w:uiPriority w:val="9"/>
    <w:rPr>
      <w:rFonts w:ascii="Arial" w:hAnsi="Arial" w:eastAsia="黑体"/>
      <w:sz w:val="24"/>
      <w:szCs w:val="24"/>
    </w:rPr>
  </w:style>
  <w:style w:type="character" w:styleId="672">
    <w:name w:val="标题 9 字符"/>
    <w:next w:val="672"/>
    <w:link w:val="658"/>
    <w:uiPriority w:val="9"/>
    <w:rPr>
      <w:rFonts w:ascii="Arial" w:hAnsi="Arial" w:eastAsia="黑体"/>
      <w:sz w:val="21"/>
      <w:szCs w:val="21"/>
    </w:rPr>
  </w:style>
  <w:style w:type="paragraph" w:styleId="673">
    <w:name w:val="列表 3"/>
    <w:basedOn w:val="649"/>
    <w:next w:val="673"/>
    <w:link w:val="649"/>
    <w:uiPriority w:val="99"/>
    <w:unhideWhenUsed/>
    <w:pPr>
      <w:contextualSpacing/>
      <w:ind w:left="1080" w:hanging="360"/>
      <w:jc w:val="left"/>
      <w:spacing w:after="200" w:line="276" w:lineRule="auto"/>
      <w:widowControl/>
    </w:pPr>
    <w:rPr>
      <w:rFonts w:ascii="宋体" w:hAnsi="宋体" w:eastAsia="宋体" w:cs="Times New Roman"/>
      <w:sz w:val="22"/>
      <w:szCs w:val="22"/>
      <w:lang w:eastAsia="en-US"/>
    </w:rPr>
  </w:style>
  <w:style w:type="paragraph" w:styleId="674">
    <w:name w:val="toc 7"/>
    <w:basedOn w:val="649"/>
    <w:next w:val="649"/>
    <w:link w:val="649"/>
    <w:semiHidden/>
    <w:qFormat/>
    <w:pPr>
      <w:ind w:left="2520"/>
    </w:pPr>
  </w:style>
  <w:style w:type="paragraph" w:styleId="675">
    <w:name w:val="列表编号 2"/>
    <w:basedOn w:val="649"/>
    <w:next w:val="675"/>
    <w:link w:val="649"/>
    <w:uiPriority w:val="99"/>
    <w:unhideWhenUsed/>
    <w:pPr>
      <w:numPr>
        <w:ilvl w:val="0"/>
        <w:numId w:val="1"/>
      </w:numPr>
      <w:contextualSpacing/>
      <w:ind w:left="0" w:firstLine="0"/>
      <w:jc w:val="left"/>
      <w:spacing w:after="200" w:line="276" w:lineRule="auto"/>
      <w:widowControl/>
      <w:tabs>
        <w:tab w:val="clear" w:pos="720" w:leader="none"/>
      </w:tabs>
    </w:pPr>
    <w:rPr>
      <w:rFonts w:ascii="宋体" w:hAnsi="宋体" w:eastAsia="宋体" w:cs="Times New Roman"/>
      <w:sz w:val="22"/>
      <w:szCs w:val="22"/>
      <w:lang w:eastAsia="en-US"/>
    </w:rPr>
  </w:style>
  <w:style w:type="paragraph" w:styleId="676">
    <w:name w:val="索引 8"/>
    <w:basedOn w:val="649"/>
    <w:next w:val="649"/>
    <w:link w:val="649"/>
    <w:semiHidden/>
    <w:qFormat/>
    <w:pPr>
      <w:ind w:left="2940"/>
    </w:pPr>
  </w:style>
  <w:style w:type="paragraph" w:styleId="677">
    <w:name w:val="列表编号"/>
    <w:basedOn w:val="649"/>
    <w:next w:val="677"/>
    <w:link w:val="649"/>
    <w:uiPriority w:val="99"/>
    <w:qFormat/>
    <w:pPr>
      <w:ind w:left="1125" w:hanging="555"/>
      <w:tabs>
        <w:tab w:val="left" w:pos="1125" w:leader="none"/>
      </w:tabs>
    </w:pPr>
    <w:rPr>
      <w:rFonts w:eastAsia="宋体"/>
      <w:sz w:val="21"/>
      <w:szCs w:val="24"/>
    </w:rPr>
  </w:style>
  <w:style w:type="paragraph" w:styleId="678">
    <w:name w:val="正文缩进"/>
    <w:basedOn w:val="649"/>
    <w:next w:val="678"/>
    <w:link w:val="679"/>
    <w:qFormat/>
    <w:pPr>
      <w:ind w:firstLine="420"/>
      <w:jc w:val="left"/>
    </w:pPr>
    <w:rPr>
      <w:sz w:val="24"/>
    </w:rPr>
  </w:style>
  <w:style w:type="character" w:styleId="679">
    <w:name w:val="正文缩进 字符"/>
    <w:next w:val="679"/>
    <w:link w:val="678"/>
    <w:qFormat/>
    <w:rPr>
      <w:rFonts w:eastAsia="楷体_GB2312"/>
      <w:sz w:val="24"/>
      <w:lang w:val="en-US" w:eastAsia="zh-CN" w:bidi="ar-SA"/>
    </w:rPr>
  </w:style>
  <w:style w:type="paragraph" w:styleId="680">
    <w:name w:val="题注"/>
    <w:basedOn w:val="649"/>
    <w:next w:val="649"/>
    <w:link w:val="649"/>
    <w:uiPriority w:val="35"/>
    <w:qFormat/>
    <w:pPr>
      <w:jc w:val="left"/>
      <w:spacing w:after="200"/>
      <w:widowControl/>
    </w:pPr>
    <w:rPr>
      <w:rFonts w:ascii="宋体" w:hAnsi="宋体" w:eastAsia="宋体" w:cs="Times New Roman"/>
      <w:b/>
      <w:bCs/>
      <w:color w:val="4f81bd"/>
      <w:sz w:val="18"/>
      <w:szCs w:val="18"/>
      <w:lang w:eastAsia="en-US"/>
    </w:rPr>
  </w:style>
  <w:style w:type="paragraph" w:styleId="681">
    <w:name w:val="索引 5"/>
    <w:basedOn w:val="649"/>
    <w:next w:val="649"/>
    <w:link w:val="649"/>
    <w:semiHidden/>
    <w:qFormat/>
    <w:pPr>
      <w:ind w:left="1680"/>
    </w:pPr>
  </w:style>
  <w:style w:type="paragraph" w:styleId="682">
    <w:name w:val="列表项目符号"/>
    <w:basedOn w:val="649"/>
    <w:next w:val="682"/>
    <w:link w:val="649"/>
    <w:uiPriority w:val="99"/>
    <w:unhideWhenUsed/>
    <w:pPr>
      <w:numPr>
        <w:ilvl w:val="0"/>
        <w:numId w:val="2"/>
      </w:numPr>
      <w:contextualSpacing/>
      <w:ind w:left="720"/>
      <w:jc w:val="left"/>
      <w:spacing w:after="200" w:line="276" w:lineRule="auto"/>
      <w:widowControl/>
      <w:tabs>
        <w:tab w:val="left" w:pos="720" w:leader="none"/>
      </w:tabs>
    </w:pPr>
    <w:rPr>
      <w:rFonts w:ascii="宋体" w:hAnsi="宋体" w:eastAsia="宋体" w:cs="Times New Roman"/>
      <w:sz w:val="22"/>
      <w:szCs w:val="22"/>
      <w:lang w:eastAsia="en-US"/>
    </w:rPr>
  </w:style>
  <w:style w:type="paragraph" w:styleId="683">
    <w:name w:val="文档结构图"/>
    <w:basedOn w:val="649"/>
    <w:next w:val="683"/>
    <w:link w:val="649"/>
    <w:semiHidden/>
    <w:qFormat/>
    <w:pPr>
      <w:shd w:val="clear" w:color="auto" w:fill="000080"/>
    </w:pPr>
    <w:rPr>
      <w:rFonts w:eastAsia="宋体"/>
      <w:sz w:val="21"/>
    </w:rPr>
  </w:style>
  <w:style w:type="paragraph" w:styleId="684">
    <w:name w:val="批注文字"/>
    <w:basedOn w:val="649"/>
    <w:next w:val="684"/>
    <w:link w:val="685"/>
    <w:uiPriority w:val="99"/>
    <w:qFormat/>
    <w:pPr>
      <w:jc w:val="left"/>
    </w:pPr>
  </w:style>
  <w:style w:type="character" w:styleId="685">
    <w:name w:val="批注文字 字符"/>
    <w:next w:val="685"/>
    <w:link w:val="684"/>
    <w:uiPriority w:val="99"/>
    <w:semiHidden/>
    <w:qFormat/>
    <w:rPr>
      <w:rFonts w:eastAsia="楷体_GB2312"/>
      <w:sz w:val="26"/>
    </w:rPr>
  </w:style>
  <w:style w:type="paragraph" w:styleId="686">
    <w:name w:val="索引 6"/>
    <w:basedOn w:val="649"/>
    <w:next w:val="649"/>
    <w:link w:val="649"/>
    <w:semiHidden/>
    <w:qFormat/>
    <w:pPr>
      <w:ind w:left="2100"/>
    </w:pPr>
  </w:style>
  <w:style w:type="paragraph" w:styleId="687">
    <w:name w:val="正文文本 3"/>
    <w:basedOn w:val="649"/>
    <w:next w:val="687"/>
    <w:link w:val="688"/>
    <w:uiPriority w:val="99"/>
    <w:unhideWhenUsed/>
    <w:pPr>
      <w:jc w:val="left"/>
      <w:spacing w:after="120" w:line="276" w:lineRule="auto"/>
      <w:widowControl/>
    </w:pPr>
    <w:rPr>
      <w:rFonts w:ascii="宋体" w:hAnsi="宋体" w:eastAsia="宋体" w:cs="Times New Roman"/>
      <w:sz w:val="16"/>
      <w:szCs w:val="16"/>
      <w:lang w:eastAsia="en-US"/>
    </w:rPr>
  </w:style>
  <w:style w:type="character" w:styleId="688">
    <w:name w:val="正文文本 3 字符"/>
    <w:next w:val="688"/>
    <w:link w:val="687"/>
    <w:uiPriority w:val="99"/>
    <w:rPr>
      <w:rFonts w:ascii="宋体" w:hAnsi="宋体"/>
      <w:sz w:val="16"/>
      <w:szCs w:val="16"/>
      <w:lang w:eastAsia="en-US"/>
    </w:rPr>
  </w:style>
  <w:style w:type="paragraph" w:styleId="689">
    <w:name w:val="列表项目符号 3"/>
    <w:basedOn w:val="649"/>
    <w:next w:val="689"/>
    <w:link w:val="649"/>
    <w:uiPriority w:val="99"/>
    <w:unhideWhenUsed/>
    <w:qFormat/>
    <w:pPr>
      <w:numPr>
        <w:ilvl w:val="0"/>
        <w:numId w:val="3"/>
      </w:numPr>
      <w:contextualSpacing/>
      <w:ind w:left="360"/>
      <w:jc w:val="left"/>
      <w:spacing w:after="200" w:line="276" w:lineRule="auto"/>
      <w:widowControl/>
      <w:tabs>
        <w:tab w:val="left" w:pos="360" w:leader="none"/>
      </w:tabs>
    </w:pPr>
    <w:rPr>
      <w:rFonts w:ascii="宋体" w:hAnsi="宋体" w:eastAsia="宋体" w:cs="Times New Roman"/>
      <w:sz w:val="22"/>
      <w:szCs w:val="22"/>
      <w:lang w:eastAsia="en-US"/>
    </w:rPr>
  </w:style>
  <w:style w:type="paragraph" w:styleId="690">
    <w:name w:val="正文文本"/>
    <w:basedOn w:val="649"/>
    <w:next w:val="690"/>
    <w:link w:val="691"/>
    <w:uiPriority w:val="99"/>
    <w:qFormat/>
    <w:pPr>
      <w:spacing w:line="400" w:lineRule="exact"/>
    </w:pPr>
    <w:rPr>
      <w:rFonts w:ascii="楷体_GB2312"/>
      <w:sz w:val="28"/>
    </w:rPr>
  </w:style>
  <w:style w:type="character" w:styleId="691">
    <w:name w:val="正文文本 字符"/>
    <w:next w:val="691"/>
    <w:link w:val="690"/>
    <w:uiPriority w:val="99"/>
    <w:qFormat/>
    <w:rPr>
      <w:rFonts w:ascii="楷体_GB2312" w:eastAsia="楷体_GB2312"/>
      <w:sz w:val="28"/>
      <w:lang w:val="en-US" w:eastAsia="zh-CN" w:bidi="ar-SA"/>
    </w:rPr>
  </w:style>
  <w:style w:type="paragraph" w:styleId="692">
    <w:name w:val="正文文本缩进"/>
    <w:basedOn w:val="649"/>
    <w:next w:val="692"/>
    <w:link w:val="693"/>
    <w:qFormat/>
    <w:pPr>
      <w:ind w:left="570"/>
      <w:spacing w:line="520" w:lineRule="exact"/>
    </w:pPr>
    <w:rPr>
      <w:rFonts w:ascii="方正仿宋简体" w:hAnsi="创艺简仿宋" w:eastAsia="方正仿宋简体"/>
      <w:sz w:val="24"/>
    </w:rPr>
  </w:style>
  <w:style w:type="character" w:styleId="693">
    <w:name w:val="正文文本缩进 字符"/>
    <w:next w:val="693"/>
    <w:link w:val="692"/>
    <w:rPr>
      <w:rFonts w:ascii="方正仿宋简体" w:hAnsi="创艺简仿宋" w:eastAsia="方正仿宋简体"/>
      <w:sz w:val="24"/>
    </w:rPr>
  </w:style>
  <w:style w:type="paragraph" w:styleId="694">
    <w:name w:val="列表编号 3"/>
    <w:basedOn w:val="649"/>
    <w:next w:val="694"/>
    <w:link w:val="649"/>
    <w:uiPriority w:val="99"/>
    <w:unhideWhenUsed/>
    <w:pPr>
      <w:numPr>
        <w:ilvl w:val="0"/>
        <w:numId w:val="4"/>
      </w:numPr>
      <w:contextualSpacing/>
      <w:ind w:left="0" w:firstLine="0"/>
      <w:jc w:val="left"/>
      <w:spacing w:after="200" w:line="276" w:lineRule="auto"/>
      <w:widowControl/>
      <w:tabs>
        <w:tab w:val="left" w:pos="360" w:leader="none"/>
      </w:tabs>
    </w:pPr>
    <w:rPr>
      <w:rFonts w:ascii="宋体" w:hAnsi="宋体" w:eastAsia="宋体" w:cs="Times New Roman"/>
      <w:sz w:val="22"/>
      <w:szCs w:val="22"/>
      <w:lang w:eastAsia="en-US"/>
    </w:rPr>
  </w:style>
  <w:style w:type="paragraph" w:styleId="695">
    <w:name w:val="列表 2"/>
    <w:basedOn w:val="649"/>
    <w:next w:val="695"/>
    <w:link w:val="649"/>
    <w:uiPriority w:val="99"/>
    <w:qFormat/>
    <w:pPr>
      <w:ind w:left="840" w:hanging="420"/>
    </w:pPr>
    <w:rPr>
      <w:rFonts w:eastAsia="宋体"/>
      <w:sz w:val="21"/>
      <w:szCs w:val="24"/>
    </w:rPr>
  </w:style>
  <w:style w:type="paragraph" w:styleId="696">
    <w:name w:val="列表接续"/>
    <w:basedOn w:val="649"/>
    <w:next w:val="696"/>
    <w:link w:val="649"/>
    <w:uiPriority w:val="99"/>
    <w:unhideWhenUsed/>
    <w:pPr>
      <w:contextualSpacing/>
      <w:ind w:left="360"/>
      <w:jc w:val="left"/>
      <w:spacing w:after="120" w:line="276" w:lineRule="auto"/>
      <w:widowControl/>
    </w:pPr>
    <w:rPr>
      <w:rFonts w:ascii="宋体" w:hAnsi="宋体" w:eastAsia="宋体" w:cs="Times New Roman"/>
      <w:sz w:val="22"/>
      <w:szCs w:val="22"/>
      <w:lang w:eastAsia="en-US"/>
    </w:rPr>
  </w:style>
  <w:style w:type="paragraph" w:styleId="697">
    <w:name w:val="文本块"/>
    <w:basedOn w:val="649"/>
    <w:next w:val="697"/>
    <w:link w:val="649"/>
    <w:qFormat/>
    <w:pPr>
      <w:ind w:left="630" w:right="-609" w:firstLine="420"/>
      <w:spacing w:line="360" w:lineRule="auto"/>
    </w:pPr>
    <w:rPr>
      <w:rFonts w:hint="eastAsia" w:ascii="仿宋_GB2312" w:eastAsia="仿宋_GB2312"/>
      <w:sz w:val="21"/>
    </w:rPr>
  </w:style>
  <w:style w:type="paragraph" w:styleId="698">
    <w:name w:val="列表项目符号 2"/>
    <w:basedOn w:val="649"/>
    <w:next w:val="698"/>
    <w:link w:val="649"/>
    <w:uiPriority w:val="99"/>
    <w:unhideWhenUsed/>
    <w:pPr>
      <w:numPr>
        <w:ilvl w:val="0"/>
        <w:numId w:val="5"/>
      </w:numPr>
      <w:contextualSpacing/>
      <w:ind w:left="0" w:firstLine="0"/>
      <w:jc w:val="left"/>
      <w:spacing w:after="200" w:line="276" w:lineRule="auto"/>
      <w:widowControl/>
      <w:tabs>
        <w:tab w:val="left" w:pos="360" w:leader="none"/>
      </w:tabs>
    </w:pPr>
    <w:rPr>
      <w:rFonts w:ascii="宋体" w:hAnsi="宋体" w:eastAsia="宋体" w:cs="Times New Roman"/>
      <w:sz w:val="22"/>
      <w:szCs w:val="22"/>
      <w:lang w:eastAsia="en-US"/>
    </w:rPr>
  </w:style>
  <w:style w:type="paragraph" w:styleId="699">
    <w:name w:val="索引 4"/>
    <w:basedOn w:val="649"/>
    <w:next w:val="649"/>
    <w:link w:val="649"/>
    <w:semiHidden/>
    <w:qFormat/>
    <w:pPr>
      <w:ind w:left="1260"/>
    </w:pPr>
  </w:style>
  <w:style w:type="paragraph" w:styleId="700">
    <w:name w:val="toc 5"/>
    <w:basedOn w:val="649"/>
    <w:next w:val="649"/>
    <w:link w:val="649"/>
    <w:semiHidden/>
    <w:qFormat/>
    <w:pPr>
      <w:ind w:left="1680"/>
    </w:pPr>
  </w:style>
  <w:style w:type="paragraph" w:styleId="701">
    <w:name w:val="toc 3"/>
    <w:basedOn w:val="649"/>
    <w:next w:val="649"/>
    <w:link w:val="649"/>
    <w:uiPriority w:val="1"/>
    <w:qFormat/>
    <w:pPr>
      <w:ind w:left="840"/>
    </w:pPr>
  </w:style>
  <w:style w:type="paragraph" w:styleId="702">
    <w:name w:val="纯文本"/>
    <w:basedOn w:val="649"/>
    <w:next w:val="702"/>
    <w:link w:val="703"/>
    <w:qFormat/>
    <w:rPr>
      <w:rFonts w:ascii="宋体" w:hAnsi="Courier New"/>
    </w:rPr>
  </w:style>
  <w:style w:type="character" w:styleId="703">
    <w:name w:val="纯文本 字符"/>
    <w:next w:val="703"/>
    <w:link w:val="702"/>
    <w:qFormat/>
    <w:rPr>
      <w:rFonts w:ascii="宋体" w:hAnsi="Courier New" w:eastAsia="楷体_GB2312"/>
      <w:sz w:val="26"/>
      <w:lang w:val="en-US" w:eastAsia="zh-CN" w:bidi="ar-SA"/>
    </w:rPr>
  </w:style>
  <w:style w:type="paragraph" w:styleId="704">
    <w:name w:val="toc 8"/>
    <w:basedOn w:val="649"/>
    <w:next w:val="649"/>
    <w:link w:val="649"/>
    <w:semiHidden/>
    <w:qFormat/>
    <w:pPr>
      <w:ind w:left="2940"/>
    </w:pPr>
  </w:style>
  <w:style w:type="paragraph" w:styleId="705">
    <w:name w:val="索引 3"/>
    <w:basedOn w:val="649"/>
    <w:next w:val="649"/>
    <w:link w:val="649"/>
    <w:semiHidden/>
    <w:qFormat/>
    <w:pPr>
      <w:ind w:left="840"/>
    </w:pPr>
  </w:style>
  <w:style w:type="paragraph" w:styleId="706">
    <w:name w:val="日期"/>
    <w:basedOn w:val="649"/>
    <w:next w:val="649"/>
    <w:link w:val="707"/>
    <w:qFormat/>
    <w:rPr>
      <w:rFonts w:ascii="宋体" w:hAnsi="宋体"/>
      <w:sz w:val="24"/>
    </w:rPr>
  </w:style>
  <w:style w:type="character" w:styleId="707">
    <w:name w:val="日期 字符"/>
    <w:next w:val="707"/>
    <w:link w:val="706"/>
    <w:qFormat/>
    <w:rPr>
      <w:rFonts w:ascii="宋体" w:hAnsi="宋体" w:eastAsia="楷体_GB2312"/>
      <w:sz w:val="24"/>
    </w:rPr>
  </w:style>
  <w:style w:type="paragraph" w:styleId="708">
    <w:name w:val="正文文本缩进 2"/>
    <w:basedOn w:val="649"/>
    <w:next w:val="708"/>
    <w:link w:val="709"/>
    <w:qFormat/>
    <w:pPr>
      <w:ind w:firstLine="502"/>
      <w:spacing w:line="360" w:lineRule="auto"/>
      <w:tabs>
        <w:tab w:val="left" w:pos="0" w:leader="none"/>
      </w:tabs>
    </w:pPr>
    <w:rPr>
      <w:rFonts w:ascii="宋体" w:eastAsia="宋体"/>
      <w:b/>
      <w:bCs/>
      <w:sz w:val="24"/>
    </w:rPr>
  </w:style>
  <w:style w:type="character" w:styleId="709">
    <w:name w:val="正文文本缩进 2 字符"/>
    <w:next w:val="709"/>
    <w:link w:val="708"/>
    <w:qFormat/>
    <w:rPr>
      <w:rFonts w:ascii="宋体"/>
      <w:b/>
      <w:bCs/>
      <w:sz w:val="24"/>
    </w:rPr>
  </w:style>
  <w:style w:type="paragraph" w:styleId="710">
    <w:name w:val="批注框文本"/>
    <w:basedOn w:val="649"/>
    <w:next w:val="710"/>
    <w:link w:val="711"/>
    <w:uiPriority w:val="99"/>
    <w:semiHidden/>
    <w:qFormat/>
    <w:rPr>
      <w:sz w:val="18"/>
      <w:szCs w:val="18"/>
    </w:rPr>
  </w:style>
  <w:style w:type="character" w:styleId="711">
    <w:name w:val="批注框文本 字符"/>
    <w:next w:val="711"/>
    <w:link w:val="710"/>
    <w:uiPriority w:val="99"/>
    <w:semiHidden/>
    <w:qFormat/>
    <w:rPr>
      <w:rFonts w:eastAsia="楷体_GB2312"/>
      <w:sz w:val="18"/>
      <w:szCs w:val="18"/>
    </w:rPr>
  </w:style>
  <w:style w:type="paragraph" w:styleId="712">
    <w:name w:val="页脚"/>
    <w:basedOn w:val="649"/>
    <w:next w:val="712"/>
    <w:link w:val="713"/>
    <w:uiPriority w:val="99"/>
    <w:qFormat/>
    <w:pPr>
      <w:jc w:val="left"/>
      <w:tabs>
        <w:tab w:val="center" w:pos="4153" w:leader="none"/>
        <w:tab w:val="right" w:pos="8306" w:leader="none"/>
      </w:tabs>
    </w:pPr>
    <w:rPr>
      <w:sz w:val="18"/>
    </w:rPr>
  </w:style>
  <w:style w:type="character" w:styleId="713">
    <w:name w:val="页脚 字符"/>
    <w:next w:val="713"/>
    <w:link w:val="712"/>
    <w:uiPriority w:val="99"/>
    <w:qFormat/>
    <w:rPr>
      <w:rFonts w:eastAsia="楷体_GB2312"/>
      <w:sz w:val="18"/>
    </w:rPr>
  </w:style>
  <w:style w:type="paragraph" w:styleId="714">
    <w:name w:val="页眉"/>
    <w:basedOn w:val="649"/>
    <w:next w:val="714"/>
    <w:link w:val="715"/>
    <w:uiPriority w:val="99"/>
    <w:qFormat/>
    <w:pPr>
      <w:jc w:val="center"/>
      <w:tabs>
        <w:tab w:val="center" w:pos="4153" w:leader="none"/>
        <w:tab w:val="right" w:pos="8306" w:leader="none"/>
      </w:tabs>
      <w:pBdr>
        <w:bottom w:val="single" w:color="000000" w:sz="6" w:space="1"/>
      </w:pBdr>
    </w:pPr>
    <w:rPr>
      <w:sz w:val="18"/>
    </w:rPr>
  </w:style>
  <w:style w:type="character" w:styleId="715">
    <w:name w:val="页眉 字符"/>
    <w:next w:val="715"/>
    <w:link w:val="714"/>
    <w:uiPriority w:val="99"/>
    <w:qFormat/>
    <w:rPr>
      <w:rFonts w:eastAsia="楷体_GB2312"/>
      <w:sz w:val="18"/>
    </w:rPr>
  </w:style>
  <w:style w:type="paragraph" w:styleId="716">
    <w:name w:val="toc 1"/>
    <w:basedOn w:val="649"/>
    <w:next w:val="649"/>
    <w:link w:val="649"/>
    <w:uiPriority w:val="39"/>
    <w:qFormat/>
    <w:pPr>
      <w:jc w:val="left"/>
    </w:pPr>
    <w:rPr>
      <w:sz w:val="24"/>
    </w:rPr>
  </w:style>
  <w:style w:type="paragraph" w:styleId="717">
    <w:name w:val="toc 4"/>
    <w:basedOn w:val="649"/>
    <w:next w:val="649"/>
    <w:link w:val="649"/>
    <w:semiHidden/>
    <w:qFormat/>
    <w:pPr>
      <w:ind w:left="1260"/>
    </w:pPr>
  </w:style>
  <w:style w:type="paragraph" w:styleId="718">
    <w:name w:val="索引标题"/>
    <w:basedOn w:val="649"/>
    <w:next w:val="719"/>
    <w:link w:val="649"/>
    <w:semiHidden/>
    <w:qFormat/>
  </w:style>
  <w:style w:type="paragraph" w:styleId="719">
    <w:name w:val="索引 1"/>
    <w:basedOn w:val="649"/>
    <w:next w:val="649"/>
    <w:link w:val="649"/>
    <w:semiHidden/>
    <w:qFormat/>
  </w:style>
  <w:style w:type="paragraph" w:styleId="720">
    <w:name w:val="副标题"/>
    <w:basedOn w:val="649"/>
    <w:next w:val="649"/>
    <w:link w:val="721"/>
    <w:uiPriority w:val="11"/>
    <w:qFormat/>
    <w:pPr>
      <w:jc w:val="left"/>
      <w:spacing w:after="200" w:line="276" w:lineRule="auto"/>
      <w:widowControl/>
    </w:pPr>
    <w:rPr>
      <w:rFonts w:ascii="Calibri" w:hAnsi="Calibri" w:eastAsia="MS Gothic" w:cs="Times New Roman"/>
      <w:i/>
      <w:iCs/>
      <w:color w:val="4f81bd"/>
      <w:spacing w:val="15"/>
      <w:sz w:val="24"/>
      <w:szCs w:val="24"/>
      <w:lang w:eastAsia="en-US"/>
    </w:rPr>
  </w:style>
  <w:style w:type="character" w:styleId="721">
    <w:name w:val="副标题 字符"/>
    <w:next w:val="721"/>
    <w:link w:val="720"/>
    <w:uiPriority w:val="11"/>
    <w:rPr>
      <w:rFonts w:ascii="Calibri" w:hAnsi="Calibri" w:eastAsia="MS Gothic"/>
      <w:i/>
      <w:iCs/>
      <w:color w:val="4f81bd"/>
      <w:spacing w:val="15"/>
      <w:sz w:val="24"/>
      <w:szCs w:val="24"/>
      <w:lang w:eastAsia="en-US"/>
    </w:rPr>
  </w:style>
  <w:style w:type="paragraph" w:styleId="722">
    <w:name w:val="列表"/>
    <w:basedOn w:val="649"/>
    <w:next w:val="722"/>
    <w:link w:val="649"/>
    <w:uiPriority w:val="99"/>
    <w:qFormat/>
    <w:pPr>
      <w:ind w:left="420" w:hanging="420"/>
    </w:pPr>
    <w:rPr>
      <w:rFonts w:eastAsia="宋体"/>
      <w:sz w:val="21"/>
      <w:szCs w:val="24"/>
    </w:rPr>
  </w:style>
  <w:style w:type="paragraph" w:styleId="723">
    <w:name w:val="脚注文本"/>
    <w:basedOn w:val="649"/>
    <w:next w:val="723"/>
    <w:link w:val="724"/>
    <w:qFormat/>
    <w:pPr>
      <w:jc w:val="left"/>
    </w:pPr>
    <w:rPr>
      <w:sz w:val="18"/>
    </w:rPr>
  </w:style>
  <w:style w:type="character" w:styleId="724">
    <w:name w:val="脚注文本 字符"/>
    <w:next w:val="724"/>
    <w:link w:val="723"/>
    <w:qFormat/>
    <w:rPr>
      <w:rFonts w:eastAsia="楷体_GB2312"/>
      <w:sz w:val="18"/>
    </w:rPr>
  </w:style>
  <w:style w:type="paragraph" w:styleId="725">
    <w:name w:val="toc 6"/>
    <w:basedOn w:val="649"/>
    <w:next w:val="649"/>
    <w:link w:val="649"/>
    <w:semiHidden/>
    <w:qFormat/>
    <w:pPr>
      <w:ind w:left="2100"/>
    </w:pPr>
  </w:style>
  <w:style w:type="paragraph" w:styleId="726">
    <w:name w:val="正文文本缩进 3"/>
    <w:basedOn w:val="649"/>
    <w:next w:val="726"/>
    <w:link w:val="649"/>
    <w:qFormat/>
    <w:pPr>
      <w:ind w:firstLine="617"/>
      <w:spacing w:line="360" w:lineRule="auto"/>
    </w:pPr>
    <w:rPr>
      <w:rFonts w:eastAsia="宋体"/>
      <w:sz w:val="24"/>
      <w:szCs w:val="24"/>
    </w:rPr>
  </w:style>
  <w:style w:type="paragraph" w:styleId="727">
    <w:name w:val="索引 7"/>
    <w:basedOn w:val="649"/>
    <w:next w:val="649"/>
    <w:link w:val="649"/>
    <w:semiHidden/>
    <w:qFormat/>
    <w:pPr>
      <w:ind w:left="2520"/>
    </w:pPr>
  </w:style>
  <w:style w:type="paragraph" w:styleId="728">
    <w:name w:val="索引 9"/>
    <w:basedOn w:val="649"/>
    <w:next w:val="649"/>
    <w:link w:val="649"/>
    <w:semiHidden/>
    <w:qFormat/>
    <w:pPr>
      <w:ind w:left="3360"/>
    </w:pPr>
  </w:style>
  <w:style w:type="paragraph" w:styleId="729">
    <w:name w:val="图表目录"/>
    <w:basedOn w:val="649"/>
    <w:next w:val="649"/>
    <w:link w:val="649"/>
    <w:semiHidden/>
    <w:qFormat/>
    <w:pPr>
      <w:ind w:left="420" w:hanging="420"/>
      <w:jc w:val="left"/>
    </w:pPr>
    <w:rPr>
      <w:smallCaps/>
      <w:sz w:val="24"/>
    </w:rPr>
  </w:style>
  <w:style w:type="paragraph" w:styleId="730">
    <w:name w:val="toc 2"/>
    <w:basedOn w:val="649"/>
    <w:next w:val="649"/>
    <w:link w:val="649"/>
    <w:uiPriority w:val="1"/>
    <w:qFormat/>
    <w:pPr>
      <w:ind w:left="420"/>
    </w:pPr>
  </w:style>
  <w:style w:type="paragraph" w:styleId="731">
    <w:name w:val="toc 9"/>
    <w:basedOn w:val="649"/>
    <w:next w:val="649"/>
    <w:link w:val="649"/>
    <w:semiHidden/>
    <w:qFormat/>
    <w:pPr>
      <w:ind w:left="3360"/>
    </w:pPr>
  </w:style>
  <w:style w:type="paragraph" w:styleId="732">
    <w:name w:val="正文文本 2"/>
    <w:basedOn w:val="649"/>
    <w:next w:val="732"/>
    <w:link w:val="733"/>
    <w:uiPriority w:val="99"/>
    <w:qFormat/>
    <w:pPr>
      <w:spacing w:after="120" w:line="480" w:lineRule="auto"/>
    </w:pPr>
  </w:style>
  <w:style w:type="character" w:styleId="733">
    <w:name w:val="正文文本 2 字符"/>
    <w:next w:val="733"/>
    <w:link w:val="732"/>
    <w:uiPriority w:val="99"/>
    <w:rPr>
      <w:rFonts w:eastAsia="楷体_GB2312"/>
      <w:sz w:val="26"/>
    </w:rPr>
  </w:style>
  <w:style w:type="paragraph" w:styleId="734">
    <w:name w:val="列表接续 2"/>
    <w:basedOn w:val="649"/>
    <w:next w:val="734"/>
    <w:link w:val="649"/>
    <w:uiPriority w:val="99"/>
    <w:unhideWhenUsed/>
    <w:pPr>
      <w:contextualSpacing/>
      <w:ind w:left="720"/>
      <w:jc w:val="left"/>
      <w:spacing w:after="120" w:line="276" w:lineRule="auto"/>
      <w:widowControl/>
    </w:pPr>
    <w:rPr>
      <w:rFonts w:ascii="宋体" w:hAnsi="宋体" w:eastAsia="宋体" w:cs="Times New Roman"/>
      <w:sz w:val="22"/>
      <w:szCs w:val="22"/>
      <w:lang w:eastAsia="en-US"/>
    </w:rPr>
  </w:style>
  <w:style w:type="paragraph" w:styleId="735">
    <w:name w:val="HTML 预设格式"/>
    <w:basedOn w:val="649"/>
    <w:next w:val="735"/>
    <w:link w:val="6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36">
    <w:name w:val="普通(网站)"/>
    <w:basedOn w:val="649"/>
    <w:next w:val="736"/>
    <w:link w:val="649"/>
    <w:uiPriority w:val="99"/>
    <w:qFormat/>
    <w:pPr>
      <w:jc w:val="left"/>
      <w:spacing w:before="100" w:beforeAutospacing="1" w:after="100" w:afterAutospacing="1"/>
      <w:widowControl/>
    </w:pPr>
    <w:rPr>
      <w:rFonts w:ascii="宋体" w:hAnsi="宋体" w:eastAsia="宋体" w:cs="宋体"/>
      <w:sz w:val="24"/>
      <w:szCs w:val="24"/>
    </w:rPr>
  </w:style>
  <w:style w:type="paragraph" w:styleId="737">
    <w:name w:val="列表接续 3"/>
    <w:basedOn w:val="649"/>
    <w:next w:val="737"/>
    <w:link w:val="649"/>
    <w:uiPriority w:val="99"/>
    <w:unhideWhenUsed/>
    <w:pPr>
      <w:contextualSpacing/>
      <w:ind w:left="1080"/>
      <w:jc w:val="left"/>
      <w:spacing w:after="120" w:line="276" w:lineRule="auto"/>
      <w:widowControl/>
    </w:pPr>
    <w:rPr>
      <w:rFonts w:ascii="宋体" w:hAnsi="宋体" w:eastAsia="宋体" w:cs="Times New Roman"/>
      <w:sz w:val="22"/>
      <w:szCs w:val="22"/>
      <w:lang w:eastAsia="en-US"/>
    </w:rPr>
  </w:style>
  <w:style w:type="paragraph" w:styleId="738">
    <w:name w:val="索引 2"/>
    <w:basedOn w:val="649"/>
    <w:next w:val="649"/>
    <w:link w:val="649"/>
    <w:semiHidden/>
    <w:qFormat/>
    <w:pPr>
      <w:ind w:left="420"/>
    </w:pPr>
  </w:style>
  <w:style w:type="paragraph" w:styleId="739">
    <w:name w:val="标题"/>
    <w:basedOn w:val="649"/>
    <w:next w:val="649"/>
    <w:link w:val="740"/>
    <w:uiPriority w:val="10"/>
    <w:qFormat/>
    <w:pPr>
      <w:jc w:val="center"/>
      <w:spacing w:before="240" w:after="60"/>
      <w:widowControl/>
      <w:outlineLvl w:val="0"/>
    </w:pPr>
    <w:rPr>
      <w:rFonts w:ascii="Calibri Light" w:hAnsi="Calibri Light" w:eastAsia="宋体"/>
      <w:b/>
      <w:bCs/>
      <w:sz w:val="32"/>
      <w:szCs w:val="32"/>
    </w:rPr>
  </w:style>
  <w:style w:type="character" w:styleId="740">
    <w:name w:val="标题 字符"/>
    <w:next w:val="740"/>
    <w:link w:val="739"/>
    <w:uiPriority w:val="10"/>
    <w:qFormat/>
    <w:rPr>
      <w:rFonts w:ascii="Calibri Light" w:hAnsi="Calibri Light"/>
      <w:b/>
      <w:bCs/>
      <w:sz w:val="32"/>
      <w:szCs w:val="32"/>
    </w:rPr>
  </w:style>
  <w:style w:type="paragraph" w:styleId="741">
    <w:name w:val="批注主题"/>
    <w:basedOn w:val="684"/>
    <w:next w:val="684"/>
    <w:link w:val="649"/>
    <w:semiHidden/>
    <w:qFormat/>
    <w:rPr>
      <w:b/>
      <w:bCs/>
    </w:rPr>
  </w:style>
  <w:style w:type="paragraph" w:styleId="742">
    <w:name w:val="正文文本首行缩进"/>
    <w:basedOn w:val="690"/>
    <w:next w:val="742"/>
    <w:link w:val="649"/>
    <w:qFormat/>
    <w:pPr>
      <w:ind w:firstLine="420"/>
      <w:spacing w:after="120" w:line="240" w:lineRule="auto"/>
    </w:pPr>
    <w:rPr>
      <w:rFonts w:ascii="Times New Roman"/>
      <w:sz w:val="26"/>
    </w:rPr>
  </w:style>
  <w:style w:type="paragraph" w:styleId="743">
    <w:name w:val="正文文本首行缩进 2"/>
    <w:basedOn w:val="692"/>
    <w:next w:val="743"/>
    <w:link w:val="649"/>
    <w:uiPriority w:val="99"/>
    <w:unhideWhenUsed/>
    <w:qFormat/>
    <w:pPr>
      <w:ind w:firstLine="420"/>
    </w:pPr>
  </w:style>
  <w:style w:type="table" w:styleId="744">
    <w:name w:val="网格型"/>
    <w:basedOn w:val="660"/>
    <w:next w:val="744"/>
    <w:link w:val="649"/>
    <w:uiPriority w:val="59"/>
    <w:qFormat/>
    <w:rPr>
      <w:rFonts w:ascii="Calibri" w:hAnsi="Calibri"/>
      <w:sz w:val="22"/>
      <w:szCs w:val="22"/>
    </w:rPr>
    <w:tblPr/>
  </w:style>
  <w:style w:type="table" w:styleId="745">
    <w:name w:val="浅色底纹"/>
    <w:basedOn w:val="660"/>
    <w:next w:val="745"/>
    <w:link w:val="649"/>
    <w:uiPriority w:val="60"/>
    <w:qFormat/>
    <w:rPr>
      <w:rFonts w:ascii="Cambria" w:hAnsi="Cambria" w:eastAsia="MS Mincho" w:cs="Times New Roman"/>
      <w:color w:val="000000"/>
    </w:rPr>
    <w:tblPr/>
  </w:style>
  <w:style w:type="table" w:styleId="746">
    <w:name w:val="浅色底纹 - 着色 1"/>
    <w:basedOn w:val="660"/>
    <w:next w:val="746"/>
    <w:link w:val="649"/>
    <w:uiPriority w:val="60"/>
    <w:rPr>
      <w:rFonts w:ascii="Cambria" w:hAnsi="Cambria" w:eastAsia="MS Mincho" w:cs="Times New Roman"/>
      <w:color w:val="365f91"/>
    </w:rPr>
    <w:tblPr/>
  </w:style>
  <w:style w:type="table" w:styleId="747">
    <w:name w:val="浅色底纹 - 着色 2"/>
    <w:basedOn w:val="660"/>
    <w:next w:val="747"/>
    <w:link w:val="649"/>
    <w:uiPriority w:val="60"/>
    <w:rPr>
      <w:rFonts w:ascii="Cambria" w:hAnsi="Cambria" w:eastAsia="MS Mincho" w:cs="Times New Roman"/>
      <w:color w:val="943634"/>
    </w:rPr>
    <w:tblPr/>
  </w:style>
  <w:style w:type="table" w:styleId="748">
    <w:name w:val="浅色底纹 - 着色 3"/>
    <w:basedOn w:val="660"/>
    <w:next w:val="748"/>
    <w:link w:val="649"/>
    <w:uiPriority w:val="60"/>
    <w:rPr>
      <w:rFonts w:ascii="Cambria" w:hAnsi="Cambria" w:eastAsia="MS Mincho" w:cs="Times New Roman"/>
      <w:color w:val="76923c"/>
    </w:rPr>
    <w:tblPr/>
  </w:style>
  <w:style w:type="table" w:styleId="749">
    <w:name w:val="浅色底纹 - 着色 4"/>
    <w:basedOn w:val="660"/>
    <w:next w:val="749"/>
    <w:link w:val="649"/>
    <w:uiPriority w:val="60"/>
    <w:rPr>
      <w:rFonts w:ascii="Cambria" w:hAnsi="Cambria" w:eastAsia="MS Mincho" w:cs="Times New Roman"/>
      <w:color w:val="5f497a"/>
    </w:rPr>
    <w:tblPr/>
  </w:style>
  <w:style w:type="table" w:styleId="750">
    <w:name w:val="浅色底纹 - 着色 5"/>
    <w:basedOn w:val="660"/>
    <w:next w:val="750"/>
    <w:link w:val="649"/>
    <w:uiPriority w:val="60"/>
    <w:qFormat/>
    <w:rPr>
      <w:rFonts w:ascii="Cambria" w:hAnsi="Cambria" w:eastAsia="MS Mincho" w:cs="Times New Roman"/>
      <w:color w:val="31849b"/>
    </w:rPr>
    <w:tblPr/>
  </w:style>
  <w:style w:type="table" w:styleId="751">
    <w:name w:val="浅色底纹 - 着色 6"/>
    <w:basedOn w:val="660"/>
    <w:next w:val="751"/>
    <w:link w:val="649"/>
    <w:uiPriority w:val="60"/>
    <w:qFormat/>
    <w:rPr>
      <w:rFonts w:ascii="Cambria" w:hAnsi="Cambria" w:eastAsia="MS Mincho" w:cs="Times New Roman"/>
      <w:color w:val="e36c0a"/>
    </w:rPr>
    <w:tblPr/>
  </w:style>
  <w:style w:type="table" w:styleId="752">
    <w:name w:val="浅色列表"/>
    <w:basedOn w:val="660"/>
    <w:next w:val="752"/>
    <w:link w:val="649"/>
    <w:uiPriority w:val="61"/>
    <w:rPr>
      <w:rFonts w:ascii="Cambria" w:hAnsi="Cambria" w:eastAsia="MS Mincho" w:cs="Times New Roman"/>
    </w:rPr>
    <w:tblPr/>
  </w:style>
  <w:style w:type="table" w:styleId="753">
    <w:name w:val="浅色列表 - 着色 1"/>
    <w:basedOn w:val="660"/>
    <w:next w:val="753"/>
    <w:link w:val="649"/>
    <w:uiPriority w:val="61"/>
    <w:rPr>
      <w:rFonts w:ascii="Cambria" w:hAnsi="Cambria" w:eastAsia="MS Mincho" w:cs="Times New Roman"/>
    </w:rPr>
    <w:tblPr/>
  </w:style>
  <w:style w:type="table" w:styleId="754">
    <w:name w:val="浅色列表 - 着色 2"/>
    <w:basedOn w:val="660"/>
    <w:next w:val="754"/>
    <w:link w:val="649"/>
    <w:uiPriority w:val="61"/>
    <w:rPr>
      <w:rFonts w:ascii="Cambria" w:hAnsi="Cambria" w:eastAsia="MS Mincho" w:cs="Times New Roman"/>
    </w:rPr>
    <w:tblPr/>
  </w:style>
  <w:style w:type="table" w:styleId="755">
    <w:name w:val="浅色列表 - 着色 3"/>
    <w:basedOn w:val="660"/>
    <w:next w:val="755"/>
    <w:link w:val="649"/>
    <w:uiPriority w:val="61"/>
    <w:rPr>
      <w:rFonts w:ascii="Cambria" w:hAnsi="Cambria" w:eastAsia="MS Mincho" w:cs="Times New Roman"/>
    </w:rPr>
    <w:tblPr/>
  </w:style>
  <w:style w:type="table" w:styleId="756">
    <w:name w:val="浅色列表 - 着色 4"/>
    <w:basedOn w:val="660"/>
    <w:next w:val="756"/>
    <w:link w:val="649"/>
    <w:uiPriority w:val="61"/>
    <w:qFormat/>
    <w:rPr>
      <w:rFonts w:ascii="Cambria" w:hAnsi="Cambria" w:eastAsia="MS Mincho" w:cs="Times New Roman"/>
    </w:rPr>
    <w:tblPr/>
  </w:style>
  <w:style w:type="table" w:styleId="757">
    <w:name w:val="浅色列表 - 着色 5"/>
    <w:basedOn w:val="660"/>
    <w:next w:val="757"/>
    <w:link w:val="649"/>
    <w:uiPriority w:val="61"/>
    <w:qFormat/>
    <w:rPr>
      <w:rFonts w:ascii="Cambria" w:hAnsi="Cambria" w:eastAsia="MS Mincho" w:cs="Times New Roman"/>
    </w:rPr>
    <w:tblPr/>
  </w:style>
  <w:style w:type="table" w:styleId="758">
    <w:name w:val="浅色列表 - 着色 6"/>
    <w:basedOn w:val="660"/>
    <w:next w:val="758"/>
    <w:link w:val="649"/>
    <w:uiPriority w:val="61"/>
    <w:rPr>
      <w:rFonts w:ascii="Cambria" w:hAnsi="Cambria" w:eastAsia="MS Mincho" w:cs="Times New Roman"/>
    </w:rPr>
    <w:tblPr/>
  </w:style>
  <w:style w:type="table" w:styleId="759">
    <w:name w:val="浅色网格"/>
    <w:basedOn w:val="660"/>
    <w:next w:val="759"/>
    <w:link w:val="649"/>
    <w:uiPriority w:val="62"/>
    <w:rPr>
      <w:rFonts w:ascii="Cambria" w:hAnsi="Cambria" w:eastAsia="MS Mincho" w:cs="Times New Roman"/>
    </w:rPr>
    <w:tblPr/>
  </w:style>
  <w:style w:type="table" w:styleId="760">
    <w:name w:val="浅色网格 - 着色 1"/>
    <w:basedOn w:val="660"/>
    <w:next w:val="760"/>
    <w:link w:val="649"/>
    <w:uiPriority w:val="62"/>
    <w:qFormat/>
    <w:rPr>
      <w:rFonts w:ascii="Cambria" w:hAnsi="Cambria" w:eastAsia="MS Mincho" w:cs="Times New Roman"/>
    </w:rPr>
    <w:tblPr/>
  </w:style>
  <w:style w:type="table" w:styleId="761">
    <w:name w:val="浅色网格 - 着色 2"/>
    <w:basedOn w:val="660"/>
    <w:next w:val="761"/>
    <w:link w:val="649"/>
    <w:uiPriority w:val="62"/>
    <w:rPr>
      <w:rFonts w:ascii="Cambria" w:hAnsi="Cambria" w:eastAsia="MS Mincho" w:cs="Times New Roman"/>
    </w:rPr>
    <w:tblPr/>
  </w:style>
  <w:style w:type="table" w:styleId="762">
    <w:name w:val="浅色网格 - 着色 3"/>
    <w:basedOn w:val="660"/>
    <w:next w:val="762"/>
    <w:link w:val="649"/>
    <w:uiPriority w:val="62"/>
    <w:rPr>
      <w:rFonts w:ascii="Cambria" w:hAnsi="Cambria" w:eastAsia="MS Mincho" w:cs="Times New Roman"/>
    </w:rPr>
    <w:tblPr/>
  </w:style>
  <w:style w:type="table" w:styleId="763">
    <w:name w:val="浅色网格 - 着色 4"/>
    <w:basedOn w:val="660"/>
    <w:next w:val="763"/>
    <w:link w:val="649"/>
    <w:uiPriority w:val="62"/>
    <w:rPr>
      <w:rFonts w:ascii="Cambria" w:hAnsi="Cambria" w:eastAsia="MS Mincho" w:cs="Times New Roman"/>
    </w:rPr>
    <w:tblPr/>
  </w:style>
  <w:style w:type="table" w:styleId="764">
    <w:name w:val="浅色网格 - 着色 5"/>
    <w:basedOn w:val="660"/>
    <w:next w:val="764"/>
    <w:link w:val="649"/>
    <w:uiPriority w:val="62"/>
    <w:rPr>
      <w:rFonts w:ascii="Cambria" w:hAnsi="Cambria" w:eastAsia="MS Mincho" w:cs="Times New Roman"/>
    </w:rPr>
    <w:tblPr/>
  </w:style>
  <w:style w:type="table" w:styleId="765">
    <w:name w:val="浅色网格 - 着色 6"/>
    <w:basedOn w:val="660"/>
    <w:next w:val="765"/>
    <w:link w:val="649"/>
    <w:uiPriority w:val="62"/>
    <w:qFormat/>
    <w:rPr>
      <w:rFonts w:ascii="Cambria" w:hAnsi="Cambria" w:eastAsia="MS Mincho" w:cs="Times New Roman"/>
    </w:rPr>
    <w:tblPr/>
  </w:style>
  <w:style w:type="table" w:styleId="766">
    <w:name w:val="中等深浅底纹 1"/>
    <w:basedOn w:val="660"/>
    <w:next w:val="766"/>
    <w:link w:val="649"/>
    <w:uiPriority w:val="63"/>
    <w:rPr>
      <w:rFonts w:ascii="Cambria" w:hAnsi="Cambria" w:eastAsia="MS Mincho" w:cs="Times New Roman"/>
    </w:rPr>
    <w:tblPr/>
  </w:style>
  <w:style w:type="table" w:styleId="767">
    <w:name w:val="中等深浅底纹 1 - 着色 1"/>
    <w:basedOn w:val="660"/>
    <w:next w:val="767"/>
    <w:link w:val="649"/>
    <w:uiPriority w:val="63"/>
    <w:rPr>
      <w:rFonts w:ascii="Cambria" w:hAnsi="Cambria" w:eastAsia="MS Mincho" w:cs="Times New Roman"/>
    </w:rPr>
    <w:tblPr/>
  </w:style>
  <w:style w:type="table" w:styleId="768">
    <w:name w:val="中等深浅底纹 1 - 着色 2"/>
    <w:basedOn w:val="660"/>
    <w:next w:val="768"/>
    <w:link w:val="649"/>
    <w:uiPriority w:val="63"/>
    <w:rPr>
      <w:rFonts w:ascii="Cambria" w:hAnsi="Cambria" w:eastAsia="MS Mincho" w:cs="Times New Roman"/>
    </w:rPr>
    <w:tblPr/>
  </w:style>
  <w:style w:type="table" w:styleId="769">
    <w:name w:val="中等深浅底纹 1 - 着色 3"/>
    <w:basedOn w:val="660"/>
    <w:next w:val="769"/>
    <w:link w:val="649"/>
    <w:uiPriority w:val="63"/>
    <w:rPr>
      <w:rFonts w:ascii="Cambria" w:hAnsi="Cambria" w:eastAsia="MS Mincho" w:cs="Times New Roman"/>
    </w:rPr>
    <w:tblPr/>
  </w:style>
  <w:style w:type="table" w:styleId="770">
    <w:name w:val="中等深浅底纹 1 - 着色 4"/>
    <w:basedOn w:val="660"/>
    <w:next w:val="770"/>
    <w:link w:val="649"/>
    <w:uiPriority w:val="63"/>
    <w:rPr>
      <w:rFonts w:ascii="Cambria" w:hAnsi="Cambria" w:eastAsia="MS Mincho" w:cs="Times New Roman"/>
    </w:rPr>
    <w:tblPr/>
  </w:style>
  <w:style w:type="table" w:styleId="771">
    <w:name w:val="中等深浅底纹 1 - 着色 5"/>
    <w:basedOn w:val="660"/>
    <w:next w:val="771"/>
    <w:link w:val="649"/>
    <w:uiPriority w:val="63"/>
    <w:rPr>
      <w:rFonts w:ascii="Cambria" w:hAnsi="Cambria" w:eastAsia="MS Mincho" w:cs="Times New Roman"/>
    </w:rPr>
    <w:tblPr/>
  </w:style>
  <w:style w:type="table" w:styleId="772">
    <w:name w:val="中等深浅底纹 1 - 着色 6"/>
    <w:basedOn w:val="660"/>
    <w:next w:val="772"/>
    <w:link w:val="649"/>
    <w:uiPriority w:val="63"/>
    <w:qFormat/>
    <w:rPr>
      <w:rFonts w:ascii="Cambria" w:hAnsi="Cambria" w:eastAsia="MS Mincho" w:cs="Times New Roman"/>
    </w:rPr>
    <w:tblPr/>
  </w:style>
  <w:style w:type="table" w:styleId="773">
    <w:name w:val="中等深浅底纹 2"/>
    <w:basedOn w:val="660"/>
    <w:next w:val="773"/>
    <w:link w:val="649"/>
    <w:uiPriority w:val="64"/>
    <w:rPr>
      <w:rFonts w:ascii="Cambria" w:hAnsi="Cambria" w:eastAsia="MS Mincho" w:cs="Times New Roman"/>
    </w:rPr>
    <w:tblPr/>
  </w:style>
  <w:style w:type="table" w:styleId="774">
    <w:name w:val="中等深浅底纹 2 - 着色 1"/>
    <w:basedOn w:val="660"/>
    <w:next w:val="774"/>
    <w:link w:val="649"/>
    <w:uiPriority w:val="64"/>
    <w:rPr>
      <w:rFonts w:ascii="Cambria" w:hAnsi="Cambria" w:eastAsia="MS Mincho" w:cs="Times New Roman"/>
    </w:rPr>
    <w:tblPr/>
  </w:style>
  <w:style w:type="table" w:styleId="775">
    <w:name w:val="中等深浅底纹 2 - 着色 2"/>
    <w:basedOn w:val="660"/>
    <w:next w:val="775"/>
    <w:link w:val="649"/>
    <w:uiPriority w:val="64"/>
    <w:rPr>
      <w:rFonts w:ascii="Cambria" w:hAnsi="Cambria" w:eastAsia="MS Mincho" w:cs="Times New Roman"/>
    </w:rPr>
    <w:tblPr/>
  </w:style>
  <w:style w:type="table" w:styleId="776">
    <w:name w:val="中等深浅底纹 2 - 着色 3"/>
    <w:basedOn w:val="660"/>
    <w:next w:val="776"/>
    <w:link w:val="649"/>
    <w:uiPriority w:val="64"/>
    <w:qFormat/>
    <w:rPr>
      <w:rFonts w:ascii="Cambria" w:hAnsi="Cambria" w:eastAsia="MS Mincho" w:cs="Times New Roman"/>
    </w:rPr>
    <w:tblPr/>
  </w:style>
  <w:style w:type="table" w:styleId="777">
    <w:name w:val="中等深浅底纹 2 - 着色 4"/>
    <w:basedOn w:val="660"/>
    <w:next w:val="777"/>
    <w:link w:val="649"/>
    <w:uiPriority w:val="64"/>
    <w:qFormat/>
    <w:rPr>
      <w:rFonts w:ascii="Cambria" w:hAnsi="Cambria" w:eastAsia="MS Mincho" w:cs="Times New Roman"/>
    </w:rPr>
    <w:tblPr/>
  </w:style>
  <w:style w:type="table" w:styleId="778">
    <w:name w:val="中等深浅底纹 2 - 着色 5"/>
    <w:basedOn w:val="660"/>
    <w:next w:val="778"/>
    <w:link w:val="649"/>
    <w:uiPriority w:val="64"/>
    <w:rPr>
      <w:rFonts w:ascii="Cambria" w:hAnsi="Cambria" w:eastAsia="MS Mincho" w:cs="Times New Roman"/>
    </w:rPr>
    <w:tblPr/>
  </w:style>
  <w:style w:type="table" w:styleId="779">
    <w:name w:val="中等深浅底纹 2 - 着色 6"/>
    <w:basedOn w:val="660"/>
    <w:next w:val="779"/>
    <w:link w:val="649"/>
    <w:uiPriority w:val="64"/>
    <w:qFormat/>
    <w:rPr>
      <w:rFonts w:ascii="Cambria" w:hAnsi="Cambria" w:eastAsia="MS Mincho" w:cs="Times New Roman"/>
    </w:rPr>
    <w:tblPr/>
  </w:style>
  <w:style w:type="table" w:styleId="780">
    <w:name w:val="中等深浅列表 1"/>
    <w:basedOn w:val="660"/>
    <w:next w:val="780"/>
    <w:link w:val="649"/>
    <w:uiPriority w:val="65"/>
    <w:rPr>
      <w:rFonts w:ascii="Cambria" w:hAnsi="Cambria" w:eastAsia="MS Mincho" w:cs="Times New Roman"/>
      <w:color w:val="000000"/>
    </w:rPr>
    <w:tblPr/>
  </w:style>
  <w:style w:type="table" w:styleId="781">
    <w:name w:val="中等深浅列表 1 - 着色 1"/>
    <w:basedOn w:val="660"/>
    <w:next w:val="781"/>
    <w:link w:val="649"/>
    <w:uiPriority w:val="65"/>
    <w:qFormat/>
    <w:rPr>
      <w:rFonts w:ascii="Cambria" w:hAnsi="Cambria" w:eastAsia="MS Mincho" w:cs="Times New Roman"/>
      <w:color w:val="000000"/>
    </w:rPr>
    <w:tblPr/>
  </w:style>
  <w:style w:type="table" w:styleId="782">
    <w:name w:val="中等深浅列表 1 - 着色 2"/>
    <w:basedOn w:val="660"/>
    <w:next w:val="782"/>
    <w:link w:val="649"/>
    <w:uiPriority w:val="65"/>
    <w:qFormat/>
    <w:rPr>
      <w:rFonts w:ascii="Cambria" w:hAnsi="Cambria" w:eastAsia="MS Mincho" w:cs="Times New Roman"/>
      <w:color w:val="000000"/>
    </w:rPr>
    <w:tblPr/>
  </w:style>
  <w:style w:type="table" w:styleId="783">
    <w:name w:val="中等深浅列表 1 - 着色 3"/>
    <w:basedOn w:val="660"/>
    <w:next w:val="783"/>
    <w:link w:val="649"/>
    <w:uiPriority w:val="65"/>
    <w:rPr>
      <w:rFonts w:ascii="Cambria" w:hAnsi="Cambria" w:eastAsia="MS Mincho" w:cs="Times New Roman"/>
      <w:color w:val="000000"/>
    </w:rPr>
    <w:tblPr/>
  </w:style>
  <w:style w:type="table" w:styleId="784">
    <w:name w:val="中等深浅列表 1 - 着色 4"/>
    <w:basedOn w:val="660"/>
    <w:next w:val="784"/>
    <w:link w:val="649"/>
    <w:uiPriority w:val="65"/>
    <w:qFormat/>
    <w:rPr>
      <w:rFonts w:ascii="Cambria" w:hAnsi="Cambria" w:eastAsia="MS Mincho" w:cs="Times New Roman"/>
      <w:color w:val="000000"/>
    </w:rPr>
    <w:tblPr/>
  </w:style>
  <w:style w:type="table" w:styleId="785">
    <w:name w:val="中等深浅列表 1 - 着色 5"/>
    <w:basedOn w:val="660"/>
    <w:next w:val="785"/>
    <w:link w:val="649"/>
    <w:uiPriority w:val="65"/>
    <w:rPr>
      <w:rFonts w:ascii="Cambria" w:hAnsi="Cambria" w:eastAsia="MS Mincho" w:cs="Times New Roman"/>
      <w:color w:val="000000"/>
    </w:rPr>
    <w:tblPr/>
  </w:style>
  <w:style w:type="table" w:styleId="786">
    <w:name w:val="中等深浅列表 1 - 着色 6"/>
    <w:basedOn w:val="660"/>
    <w:next w:val="786"/>
    <w:link w:val="649"/>
    <w:uiPriority w:val="65"/>
    <w:qFormat/>
    <w:rPr>
      <w:rFonts w:ascii="Cambria" w:hAnsi="Cambria" w:eastAsia="MS Mincho" w:cs="Times New Roman"/>
      <w:color w:val="000000"/>
    </w:rPr>
    <w:tblPr/>
  </w:style>
  <w:style w:type="table" w:styleId="787">
    <w:name w:val="中等深浅列表 2"/>
    <w:basedOn w:val="660"/>
    <w:next w:val="787"/>
    <w:link w:val="649"/>
    <w:uiPriority w:val="66"/>
    <w:qFormat/>
    <w:rPr>
      <w:rFonts w:ascii="Calibri" w:hAnsi="Calibri" w:eastAsia="MS Gothic" w:cs="Times New Roman"/>
      <w:color w:val="000000"/>
    </w:rPr>
    <w:tblPr/>
  </w:style>
  <w:style w:type="table" w:styleId="788">
    <w:name w:val="中等深浅列表 2 - 着色 1"/>
    <w:basedOn w:val="660"/>
    <w:next w:val="788"/>
    <w:link w:val="649"/>
    <w:uiPriority w:val="66"/>
    <w:rPr>
      <w:rFonts w:ascii="Calibri" w:hAnsi="Calibri" w:eastAsia="MS Gothic" w:cs="Times New Roman"/>
      <w:color w:val="000000"/>
    </w:rPr>
    <w:tblPr/>
  </w:style>
  <w:style w:type="table" w:styleId="789">
    <w:name w:val="中等深浅列表 2 - 着色 2"/>
    <w:basedOn w:val="660"/>
    <w:next w:val="789"/>
    <w:link w:val="649"/>
    <w:uiPriority w:val="66"/>
    <w:qFormat/>
    <w:rPr>
      <w:rFonts w:ascii="Calibri" w:hAnsi="Calibri" w:eastAsia="MS Gothic" w:cs="Times New Roman"/>
      <w:color w:val="000000"/>
    </w:rPr>
    <w:tblPr/>
  </w:style>
  <w:style w:type="table" w:styleId="790">
    <w:name w:val="中等深浅列表 2 - 着色 3"/>
    <w:basedOn w:val="660"/>
    <w:next w:val="790"/>
    <w:link w:val="649"/>
    <w:uiPriority w:val="66"/>
    <w:qFormat/>
    <w:rPr>
      <w:rFonts w:ascii="Calibri" w:hAnsi="Calibri" w:eastAsia="MS Gothic" w:cs="Times New Roman"/>
      <w:color w:val="000000"/>
    </w:rPr>
    <w:tblPr/>
  </w:style>
  <w:style w:type="table" w:styleId="791">
    <w:name w:val="中等深浅列表 2 - 着色 4"/>
    <w:basedOn w:val="660"/>
    <w:next w:val="791"/>
    <w:link w:val="649"/>
    <w:uiPriority w:val="66"/>
    <w:qFormat/>
    <w:rPr>
      <w:rFonts w:ascii="Calibri" w:hAnsi="Calibri" w:eastAsia="MS Gothic" w:cs="Times New Roman"/>
      <w:color w:val="000000"/>
    </w:rPr>
    <w:tblPr/>
  </w:style>
  <w:style w:type="table" w:styleId="792">
    <w:name w:val="中等深浅列表 2 - 着色 5"/>
    <w:basedOn w:val="660"/>
    <w:next w:val="792"/>
    <w:link w:val="649"/>
    <w:uiPriority w:val="66"/>
    <w:rPr>
      <w:rFonts w:ascii="Calibri" w:hAnsi="Calibri" w:eastAsia="MS Gothic" w:cs="Times New Roman"/>
      <w:color w:val="000000"/>
    </w:rPr>
    <w:tblPr/>
  </w:style>
  <w:style w:type="table" w:styleId="793">
    <w:name w:val="中等深浅列表 2 - 着色 6"/>
    <w:basedOn w:val="660"/>
    <w:next w:val="793"/>
    <w:link w:val="649"/>
    <w:uiPriority w:val="66"/>
    <w:qFormat/>
    <w:rPr>
      <w:rFonts w:ascii="Calibri" w:hAnsi="Calibri" w:eastAsia="MS Gothic" w:cs="Times New Roman"/>
      <w:color w:val="000000"/>
    </w:rPr>
    <w:tblPr/>
  </w:style>
  <w:style w:type="table" w:styleId="794">
    <w:name w:val="中等深浅网格 1"/>
    <w:basedOn w:val="660"/>
    <w:next w:val="794"/>
    <w:link w:val="649"/>
    <w:uiPriority w:val="67"/>
    <w:qFormat/>
    <w:rPr>
      <w:rFonts w:ascii="Cambria" w:hAnsi="Cambria" w:eastAsia="MS Mincho" w:cs="Times New Roman"/>
    </w:rPr>
    <w:tblPr/>
  </w:style>
  <w:style w:type="table" w:styleId="795">
    <w:name w:val="中等深浅网格 1 - 着色 1"/>
    <w:basedOn w:val="660"/>
    <w:next w:val="795"/>
    <w:link w:val="649"/>
    <w:uiPriority w:val="67"/>
    <w:qFormat/>
    <w:rPr>
      <w:rFonts w:ascii="Cambria" w:hAnsi="Cambria" w:eastAsia="MS Mincho" w:cs="Times New Roman"/>
    </w:rPr>
    <w:tblPr/>
  </w:style>
  <w:style w:type="table" w:styleId="796">
    <w:name w:val="中等深浅网格 1 - 着色 2"/>
    <w:basedOn w:val="660"/>
    <w:next w:val="796"/>
    <w:link w:val="649"/>
    <w:uiPriority w:val="67"/>
    <w:rPr>
      <w:rFonts w:ascii="Cambria" w:hAnsi="Cambria" w:eastAsia="MS Mincho" w:cs="Times New Roman"/>
    </w:rPr>
    <w:tblPr/>
  </w:style>
  <w:style w:type="table" w:styleId="797">
    <w:name w:val="中等深浅网格 1 - 着色 3"/>
    <w:basedOn w:val="660"/>
    <w:next w:val="797"/>
    <w:link w:val="649"/>
    <w:uiPriority w:val="67"/>
    <w:qFormat/>
    <w:rPr>
      <w:rFonts w:ascii="Cambria" w:hAnsi="Cambria" w:eastAsia="MS Mincho" w:cs="Times New Roman"/>
    </w:rPr>
    <w:tblPr/>
  </w:style>
  <w:style w:type="table" w:styleId="798">
    <w:name w:val="中等深浅网格 1 - 着色 4"/>
    <w:basedOn w:val="660"/>
    <w:next w:val="798"/>
    <w:link w:val="649"/>
    <w:uiPriority w:val="67"/>
    <w:qFormat/>
    <w:rPr>
      <w:rFonts w:ascii="Cambria" w:hAnsi="Cambria" w:eastAsia="MS Mincho" w:cs="Times New Roman"/>
    </w:rPr>
    <w:tblPr/>
  </w:style>
  <w:style w:type="table" w:styleId="799">
    <w:name w:val="中等深浅网格 1 - 着色 5"/>
    <w:basedOn w:val="660"/>
    <w:next w:val="799"/>
    <w:link w:val="649"/>
    <w:uiPriority w:val="67"/>
    <w:qFormat/>
    <w:rPr>
      <w:rFonts w:ascii="Cambria" w:hAnsi="Cambria" w:eastAsia="MS Mincho" w:cs="Times New Roman"/>
    </w:rPr>
    <w:tblPr/>
  </w:style>
  <w:style w:type="table" w:styleId="800">
    <w:name w:val="中等深浅网格 1 - 着色 6"/>
    <w:basedOn w:val="660"/>
    <w:next w:val="800"/>
    <w:link w:val="649"/>
    <w:uiPriority w:val="67"/>
    <w:qFormat/>
    <w:rPr>
      <w:rFonts w:ascii="Cambria" w:hAnsi="Cambria" w:eastAsia="MS Mincho" w:cs="Times New Roman"/>
    </w:rPr>
    <w:tblPr/>
  </w:style>
  <w:style w:type="table" w:styleId="801">
    <w:name w:val="中等深浅网格 2"/>
    <w:basedOn w:val="660"/>
    <w:next w:val="801"/>
    <w:link w:val="649"/>
    <w:uiPriority w:val="68"/>
    <w:qFormat/>
    <w:rPr>
      <w:rFonts w:ascii="Calibri" w:hAnsi="Calibri" w:eastAsia="MS Gothic" w:cs="Times New Roman"/>
      <w:color w:val="000000"/>
    </w:rPr>
    <w:tblPr/>
  </w:style>
  <w:style w:type="table" w:styleId="802">
    <w:name w:val="中等深浅网格 2 - 着色 1"/>
    <w:basedOn w:val="660"/>
    <w:next w:val="802"/>
    <w:link w:val="649"/>
    <w:uiPriority w:val="68"/>
    <w:qFormat/>
    <w:rPr>
      <w:rFonts w:ascii="Calibri" w:hAnsi="Calibri" w:eastAsia="MS Gothic" w:cs="Times New Roman"/>
      <w:color w:val="000000"/>
    </w:rPr>
    <w:tblPr/>
  </w:style>
  <w:style w:type="table" w:styleId="803">
    <w:name w:val="中等深浅网格 2 - 着色 2"/>
    <w:basedOn w:val="660"/>
    <w:next w:val="803"/>
    <w:link w:val="649"/>
    <w:uiPriority w:val="68"/>
    <w:qFormat/>
    <w:rPr>
      <w:rFonts w:ascii="Calibri" w:hAnsi="Calibri" w:eastAsia="MS Gothic" w:cs="Times New Roman"/>
      <w:color w:val="000000"/>
    </w:rPr>
    <w:tblPr/>
  </w:style>
  <w:style w:type="table" w:styleId="804">
    <w:name w:val="中等深浅网格 2 - 着色 3"/>
    <w:basedOn w:val="660"/>
    <w:next w:val="804"/>
    <w:link w:val="649"/>
    <w:uiPriority w:val="68"/>
    <w:qFormat/>
    <w:rPr>
      <w:rFonts w:ascii="Calibri" w:hAnsi="Calibri" w:eastAsia="MS Gothic" w:cs="Times New Roman"/>
      <w:color w:val="000000"/>
    </w:rPr>
    <w:tblPr/>
  </w:style>
  <w:style w:type="table" w:styleId="805">
    <w:name w:val="中等深浅网格 2 - 着色 4"/>
    <w:basedOn w:val="660"/>
    <w:next w:val="805"/>
    <w:link w:val="649"/>
    <w:uiPriority w:val="68"/>
    <w:qFormat/>
    <w:rPr>
      <w:rFonts w:ascii="Calibri" w:hAnsi="Calibri" w:eastAsia="MS Gothic" w:cs="Times New Roman"/>
      <w:color w:val="000000"/>
    </w:rPr>
    <w:tblPr/>
  </w:style>
  <w:style w:type="table" w:styleId="806">
    <w:name w:val="中等深浅网格 2 - 着色 5"/>
    <w:basedOn w:val="660"/>
    <w:next w:val="806"/>
    <w:link w:val="649"/>
    <w:uiPriority w:val="68"/>
    <w:qFormat/>
    <w:rPr>
      <w:rFonts w:ascii="Calibri" w:hAnsi="Calibri" w:eastAsia="MS Gothic" w:cs="Times New Roman"/>
      <w:color w:val="000000"/>
    </w:rPr>
    <w:tblPr/>
  </w:style>
  <w:style w:type="table" w:styleId="807">
    <w:name w:val="中等深浅网格 2 - 着色 6"/>
    <w:basedOn w:val="660"/>
    <w:next w:val="807"/>
    <w:link w:val="649"/>
    <w:uiPriority w:val="68"/>
    <w:qFormat/>
    <w:rPr>
      <w:rFonts w:ascii="Calibri" w:hAnsi="Calibri" w:eastAsia="MS Gothic" w:cs="Times New Roman"/>
      <w:color w:val="000000"/>
    </w:rPr>
    <w:tblPr/>
  </w:style>
  <w:style w:type="table" w:styleId="808">
    <w:name w:val="中等深浅网格 3"/>
    <w:basedOn w:val="660"/>
    <w:next w:val="808"/>
    <w:link w:val="649"/>
    <w:uiPriority w:val="69"/>
    <w:qFormat/>
    <w:rPr>
      <w:rFonts w:ascii="Cambria" w:hAnsi="Cambria" w:eastAsia="MS Mincho" w:cs="Times New Roman"/>
    </w:rPr>
    <w:tblPr/>
  </w:style>
  <w:style w:type="table" w:styleId="809">
    <w:name w:val="中等深浅网格 3 - 着色 1"/>
    <w:basedOn w:val="660"/>
    <w:next w:val="809"/>
    <w:link w:val="649"/>
    <w:uiPriority w:val="69"/>
    <w:qFormat/>
    <w:rPr>
      <w:rFonts w:ascii="Cambria" w:hAnsi="Cambria" w:eastAsia="MS Mincho" w:cs="Times New Roman"/>
    </w:rPr>
    <w:tblPr/>
  </w:style>
  <w:style w:type="table" w:styleId="810">
    <w:name w:val="中等深浅网格 3 - 着色 2"/>
    <w:basedOn w:val="660"/>
    <w:next w:val="810"/>
    <w:link w:val="649"/>
    <w:uiPriority w:val="69"/>
    <w:qFormat/>
    <w:rPr>
      <w:rFonts w:ascii="Cambria" w:hAnsi="Cambria" w:eastAsia="MS Mincho" w:cs="Times New Roman"/>
    </w:rPr>
    <w:tblPr/>
  </w:style>
  <w:style w:type="table" w:styleId="811">
    <w:name w:val="中等深浅网格 3 - 着色 3"/>
    <w:basedOn w:val="660"/>
    <w:next w:val="811"/>
    <w:link w:val="649"/>
    <w:uiPriority w:val="69"/>
    <w:qFormat/>
    <w:rPr>
      <w:rFonts w:ascii="Cambria" w:hAnsi="Cambria" w:eastAsia="MS Mincho" w:cs="Times New Roman"/>
    </w:rPr>
    <w:tblPr/>
  </w:style>
  <w:style w:type="table" w:styleId="812">
    <w:name w:val="中等深浅网格 3 - 着色 4"/>
    <w:basedOn w:val="660"/>
    <w:next w:val="812"/>
    <w:link w:val="649"/>
    <w:uiPriority w:val="69"/>
    <w:qFormat/>
    <w:rPr>
      <w:rFonts w:ascii="Cambria" w:hAnsi="Cambria" w:eastAsia="MS Mincho" w:cs="Times New Roman"/>
    </w:rPr>
    <w:tblPr/>
  </w:style>
  <w:style w:type="table" w:styleId="813">
    <w:name w:val="中等深浅网格 3 - 着色 5"/>
    <w:basedOn w:val="660"/>
    <w:next w:val="813"/>
    <w:link w:val="649"/>
    <w:uiPriority w:val="69"/>
    <w:qFormat/>
    <w:rPr>
      <w:rFonts w:ascii="Cambria" w:hAnsi="Cambria" w:eastAsia="MS Mincho" w:cs="Times New Roman"/>
    </w:rPr>
    <w:tblPr/>
  </w:style>
  <w:style w:type="table" w:styleId="814">
    <w:name w:val="中等深浅网格 3 - 着色 6"/>
    <w:basedOn w:val="660"/>
    <w:next w:val="814"/>
    <w:link w:val="649"/>
    <w:uiPriority w:val="69"/>
    <w:qFormat/>
    <w:rPr>
      <w:rFonts w:ascii="Cambria" w:hAnsi="Cambria" w:eastAsia="MS Mincho" w:cs="Times New Roman"/>
    </w:rPr>
    <w:tblPr/>
  </w:style>
  <w:style w:type="table" w:styleId="815">
    <w:name w:val="深色列表"/>
    <w:basedOn w:val="660"/>
    <w:next w:val="815"/>
    <w:link w:val="649"/>
    <w:uiPriority w:val="70"/>
    <w:qFormat/>
    <w:rPr>
      <w:rFonts w:ascii="Cambria" w:hAnsi="Cambria" w:eastAsia="MS Mincho" w:cs="Times New Roman"/>
      <w:color w:val="ffffff"/>
    </w:rPr>
    <w:tblPr/>
  </w:style>
  <w:style w:type="table" w:styleId="816">
    <w:name w:val="深色列表 - 着色 1"/>
    <w:basedOn w:val="660"/>
    <w:next w:val="816"/>
    <w:link w:val="649"/>
    <w:uiPriority w:val="70"/>
    <w:qFormat/>
    <w:rPr>
      <w:rFonts w:ascii="Cambria" w:hAnsi="Cambria" w:eastAsia="MS Mincho" w:cs="Times New Roman"/>
      <w:color w:val="ffffff"/>
    </w:rPr>
    <w:tblPr/>
  </w:style>
  <w:style w:type="table" w:styleId="817">
    <w:name w:val="深色列表 - 着色 2"/>
    <w:basedOn w:val="660"/>
    <w:next w:val="817"/>
    <w:link w:val="649"/>
    <w:uiPriority w:val="70"/>
    <w:qFormat/>
    <w:rPr>
      <w:rFonts w:ascii="Cambria" w:hAnsi="Cambria" w:eastAsia="MS Mincho" w:cs="Times New Roman"/>
      <w:color w:val="ffffff"/>
    </w:rPr>
    <w:tblPr/>
  </w:style>
  <w:style w:type="table" w:styleId="818">
    <w:name w:val="深色列表 - 着色 3"/>
    <w:basedOn w:val="660"/>
    <w:next w:val="818"/>
    <w:link w:val="649"/>
    <w:uiPriority w:val="70"/>
    <w:qFormat/>
    <w:rPr>
      <w:rFonts w:ascii="Cambria" w:hAnsi="Cambria" w:eastAsia="MS Mincho" w:cs="Times New Roman"/>
      <w:color w:val="ffffff"/>
    </w:rPr>
    <w:tblPr/>
  </w:style>
  <w:style w:type="table" w:styleId="819">
    <w:name w:val="深色列表 - 着色 4"/>
    <w:basedOn w:val="660"/>
    <w:next w:val="819"/>
    <w:link w:val="649"/>
    <w:uiPriority w:val="70"/>
    <w:qFormat/>
    <w:rPr>
      <w:rFonts w:ascii="Cambria" w:hAnsi="Cambria" w:eastAsia="MS Mincho" w:cs="Times New Roman"/>
      <w:color w:val="ffffff"/>
    </w:rPr>
    <w:tblPr/>
  </w:style>
  <w:style w:type="table" w:styleId="820">
    <w:name w:val="深色列表 - 着色 5"/>
    <w:basedOn w:val="660"/>
    <w:next w:val="820"/>
    <w:link w:val="649"/>
    <w:uiPriority w:val="70"/>
    <w:qFormat/>
    <w:rPr>
      <w:rFonts w:ascii="Cambria" w:hAnsi="Cambria" w:eastAsia="MS Mincho" w:cs="Times New Roman"/>
      <w:color w:val="ffffff"/>
    </w:rPr>
    <w:tblPr/>
  </w:style>
  <w:style w:type="table" w:styleId="821">
    <w:name w:val="深色列表 - 着色 6"/>
    <w:basedOn w:val="660"/>
    <w:next w:val="821"/>
    <w:link w:val="649"/>
    <w:uiPriority w:val="70"/>
    <w:qFormat/>
    <w:rPr>
      <w:rFonts w:ascii="Cambria" w:hAnsi="Cambria" w:eastAsia="MS Mincho" w:cs="Times New Roman"/>
      <w:color w:val="ffffff"/>
    </w:rPr>
    <w:tblPr/>
  </w:style>
  <w:style w:type="table" w:styleId="822">
    <w:name w:val="彩色底纹"/>
    <w:basedOn w:val="660"/>
    <w:next w:val="822"/>
    <w:link w:val="649"/>
    <w:uiPriority w:val="71"/>
    <w:qFormat/>
    <w:rPr>
      <w:rFonts w:ascii="Cambria" w:hAnsi="Cambria" w:eastAsia="MS Mincho" w:cs="Times New Roman"/>
      <w:color w:val="000000"/>
    </w:rPr>
    <w:tblPr/>
  </w:style>
  <w:style w:type="table" w:styleId="823">
    <w:name w:val="彩色底纹 - 着色 1"/>
    <w:basedOn w:val="660"/>
    <w:next w:val="823"/>
    <w:link w:val="649"/>
    <w:uiPriority w:val="71"/>
    <w:qFormat/>
    <w:rPr>
      <w:rFonts w:ascii="Cambria" w:hAnsi="Cambria" w:eastAsia="MS Mincho" w:cs="Times New Roman"/>
      <w:color w:val="000000"/>
    </w:rPr>
    <w:tblPr/>
  </w:style>
  <w:style w:type="table" w:styleId="824">
    <w:name w:val="彩色底纹 - 着色 2"/>
    <w:basedOn w:val="660"/>
    <w:next w:val="824"/>
    <w:link w:val="649"/>
    <w:uiPriority w:val="71"/>
    <w:rPr>
      <w:rFonts w:ascii="Cambria" w:hAnsi="Cambria" w:eastAsia="MS Mincho" w:cs="Times New Roman"/>
      <w:color w:val="000000"/>
    </w:rPr>
    <w:tblPr/>
  </w:style>
  <w:style w:type="table" w:styleId="825">
    <w:name w:val="彩色底纹 - 着色 3"/>
    <w:basedOn w:val="660"/>
    <w:next w:val="825"/>
    <w:link w:val="649"/>
    <w:uiPriority w:val="71"/>
    <w:rPr>
      <w:rFonts w:ascii="Cambria" w:hAnsi="Cambria" w:eastAsia="MS Mincho" w:cs="Times New Roman"/>
      <w:color w:val="000000"/>
    </w:rPr>
    <w:tblPr/>
  </w:style>
  <w:style w:type="table" w:styleId="826">
    <w:name w:val="彩色底纹 - 着色 4"/>
    <w:basedOn w:val="660"/>
    <w:next w:val="826"/>
    <w:link w:val="649"/>
    <w:uiPriority w:val="71"/>
    <w:rPr>
      <w:rFonts w:ascii="Cambria" w:hAnsi="Cambria" w:eastAsia="MS Mincho" w:cs="Times New Roman"/>
      <w:color w:val="000000"/>
    </w:rPr>
    <w:tblPr/>
  </w:style>
  <w:style w:type="table" w:styleId="827">
    <w:name w:val="彩色底纹 - 着色 5"/>
    <w:basedOn w:val="660"/>
    <w:next w:val="827"/>
    <w:link w:val="649"/>
    <w:uiPriority w:val="71"/>
    <w:rPr>
      <w:rFonts w:ascii="Cambria" w:hAnsi="Cambria" w:eastAsia="MS Mincho" w:cs="Times New Roman"/>
      <w:color w:val="000000"/>
    </w:rPr>
    <w:tblPr/>
  </w:style>
  <w:style w:type="table" w:styleId="828">
    <w:name w:val="彩色底纹 - 着色 6"/>
    <w:basedOn w:val="660"/>
    <w:next w:val="828"/>
    <w:link w:val="649"/>
    <w:uiPriority w:val="71"/>
    <w:rPr>
      <w:rFonts w:ascii="Cambria" w:hAnsi="Cambria" w:eastAsia="MS Mincho" w:cs="Times New Roman"/>
      <w:color w:val="000000"/>
    </w:rPr>
    <w:tblPr/>
  </w:style>
  <w:style w:type="table" w:styleId="829">
    <w:name w:val="彩色列表"/>
    <w:basedOn w:val="660"/>
    <w:next w:val="829"/>
    <w:link w:val="649"/>
    <w:uiPriority w:val="72"/>
    <w:rPr>
      <w:rFonts w:ascii="Cambria" w:hAnsi="Cambria" w:eastAsia="MS Mincho" w:cs="Times New Roman"/>
      <w:color w:val="000000"/>
    </w:rPr>
    <w:tblPr/>
  </w:style>
  <w:style w:type="table" w:styleId="830">
    <w:name w:val="彩色列表 - 着色 1"/>
    <w:basedOn w:val="660"/>
    <w:next w:val="830"/>
    <w:link w:val="649"/>
    <w:uiPriority w:val="72"/>
    <w:rPr>
      <w:rFonts w:ascii="Cambria" w:hAnsi="Cambria" w:eastAsia="MS Mincho" w:cs="Times New Roman"/>
      <w:color w:val="000000"/>
    </w:rPr>
    <w:tblPr/>
  </w:style>
  <w:style w:type="table" w:styleId="831">
    <w:name w:val="彩色列表 - 着色 2"/>
    <w:basedOn w:val="660"/>
    <w:next w:val="831"/>
    <w:link w:val="649"/>
    <w:uiPriority w:val="72"/>
    <w:rPr>
      <w:rFonts w:ascii="Cambria" w:hAnsi="Cambria" w:eastAsia="MS Mincho" w:cs="Times New Roman"/>
      <w:color w:val="000000"/>
    </w:rPr>
    <w:tblPr/>
  </w:style>
  <w:style w:type="table" w:styleId="832">
    <w:name w:val="彩色列表 - 着色 3"/>
    <w:basedOn w:val="660"/>
    <w:next w:val="832"/>
    <w:link w:val="649"/>
    <w:uiPriority w:val="72"/>
    <w:rPr>
      <w:rFonts w:ascii="Cambria" w:hAnsi="Cambria" w:eastAsia="MS Mincho" w:cs="Times New Roman"/>
      <w:color w:val="000000"/>
    </w:rPr>
    <w:tblPr/>
  </w:style>
  <w:style w:type="table" w:styleId="833">
    <w:name w:val="彩色列表 - 着色 4"/>
    <w:basedOn w:val="660"/>
    <w:next w:val="833"/>
    <w:link w:val="649"/>
    <w:uiPriority w:val="72"/>
    <w:rPr>
      <w:rFonts w:ascii="Cambria" w:hAnsi="Cambria" w:eastAsia="MS Mincho" w:cs="Times New Roman"/>
      <w:color w:val="000000"/>
    </w:rPr>
    <w:tblPr/>
  </w:style>
  <w:style w:type="table" w:styleId="834">
    <w:name w:val="彩色列表 - 着色 5"/>
    <w:basedOn w:val="660"/>
    <w:next w:val="834"/>
    <w:link w:val="649"/>
    <w:uiPriority w:val="72"/>
    <w:rPr>
      <w:rFonts w:ascii="Cambria" w:hAnsi="Cambria" w:eastAsia="MS Mincho" w:cs="Times New Roman"/>
      <w:color w:val="000000"/>
    </w:rPr>
    <w:tblPr/>
  </w:style>
  <w:style w:type="table" w:styleId="835">
    <w:name w:val="彩色列表 - 着色 6"/>
    <w:basedOn w:val="660"/>
    <w:next w:val="835"/>
    <w:link w:val="649"/>
    <w:uiPriority w:val="72"/>
    <w:rPr>
      <w:rFonts w:ascii="Cambria" w:hAnsi="Cambria" w:eastAsia="MS Mincho" w:cs="Times New Roman"/>
      <w:color w:val="000000"/>
    </w:rPr>
    <w:tblPr/>
  </w:style>
  <w:style w:type="table" w:styleId="836">
    <w:name w:val="彩色网格"/>
    <w:basedOn w:val="660"/>
    <w:next w:val="836"/>
    <w:link w:val="649"/>
    <w:uiPriority w:val="73"/>
    <w:rPr>
      <w:rFonts w:ascii="Cambria" w:hAnsi="Cambria" w:eastAsia="MS Mincho" w:cs="Times New Roman"/>
      <w:color w:val="000000"/>
    </w:rPr>
    <w:tblPr/>
  </w:style>
  <w:style w:type="table" w:styleId="837">
    <w:name w:val="彩色网格 - 着色 1"/>
    <w:basedOn w:val="660"/>
    <w:next w:val="837"/>
    <w:link w:val="649"/>
    <w:uiPriority w:val="73"/>
    <w:rPr>
      <w:rFonts w:ascii="Cambria" w:hAnsi="Cambria" w:eastAsia="MS Mincho" w:cs="Times New Roman"/>
      <w:color w:val="000000"/>
    </w:rPr>
    <w:tblPr/>
  </w:style>
  <w:style w:type="table" w:styleId="838">
    <w:name w:val="彩色网格 - 着色 2"/>
    <w:basedOn w:val="660"/>
    <w:next w:val="838"/>
    <w:link w:val="649"/>
    <w:uiPriority w:val="73"/>
    <w:rPr>
      <w:rFonts w:ascii="Cambria" w:hAnsi="Cambria" w:eastAsia="MS Mincho" w:cs="Times New Roman"/>
      <w:color w:val="000000"/>
    </w:rPr>
    <w:tblPr/>
  </w:style>
  <w:style w:type="table" w:styleId="839">
    <w:name w:val="彩色网格 - 着色 3"/>
    <w:basedOn w:val="660"/>
    <w:next w:val="839"/>
    <w:link w:val="649"/>
    <w:uiPriority w:val="73"/>
    <w:rPr>
      <w:rFonts w:ascii="Cambria" w:hAnsi="Cambria" w:eastAsia="MS Mincho" w:cs="Times New Roman"/>
      <w:color w:val="000000"/>
    </w:rPr>
    <w:tblPr/>
  </w:style>
  <w:style w:type="table" w:styleId="840">
    <w:name w:val="彩色网格 - 着色 4"/>
    <w:basedOn w:val="660"/>
    <w:next w:val="840"/>
    <w:link w:val="649"/>
    <w:uiPriority w:val="73"/>
    <w:rPr>
      <w:rFonts w:ascii="Cambria" w:hAnsi="Cambria" w:eastAsia="MS Mincho" w:cs="Times New Roman"/>
      <w:color w:val="000000"/>
    </w:rPr>
    <w:tblPr/>
  </w:style>
  <w:style w:type="table" w:styleId="841">
    <w:name w:val="彩色网格 - 着色 5"/>
    <w:basedOn w:val="660"/>
    <w:next w:val="841"/>
    <w:link w:val="649"/>
    <w:uiPriority w:val="73"/>
    <w:rPr>
      <w:rFonts w:ascii="Cambria" w:hAnsi="Cambria" w:eastAsia="MS Mincho" w:cs="Times New Roman"/>
      <w:color w:val="000000"/>
    </w:rPr>
    <w:tblPr/>
  </w:style>
  <w:style w:type="table" w:styleId="842">
    <w:name w:val="彩色网格 - 着色 6"/>
    <w:basedOn w:val="660"/>
    <w:next w:val="842"/>
    <w:link w:val="649"/>
    <w:uiPriority w:val="73"/>
    <w:rPr>
      <w:rFonts w:ascii="Cambria" w:hAnsi="Cambria" w:eastAsia="MS Mincho" w:cs="Times New Roman"/>
      <w:color w:val="000000"/>
    </w:rPr>
    <w:tblPr/>
  </w:style>
  <w:style w:type="character" w:styleId="843">
    <w:name w:val="要点"/>
    <w:next w:val="843"/>
    <w:link w:val="649"/>
    <w:uiPriority w:val="22"/>
    <w:qFormat/>
    <w:rPr>
      <w:b/>
      <w:bCs/>
    </w:rPr>
  </w:style>
  <w:style w:type="character" w:styleId="844">
    <w:name w:val="页码"/>
    <w:next w:val="844"/>
    <w:link w:val="649"/>
    <w:qFormat/>
  </w:style>
  <w:style w:type="character" w:styleId="845">
    <w:name w:val="访问过的超链接"/>
    <w:next w:val="845"/>
    <w:link w:val="649"/>
    <w:qFormat/>
    <w:rPr>
      <w:color w:val="800080"/>
      <w:u w:val="single"/>
    </w:rPr>
  </w:style>
  <w:style w:type="character" w:styleId="846">
    <w:name w:val="强调"/>
    <w:next w:val="846"/>
    <w:link w:val="649"/>
    <w:uiPriority w:val="20"/>
    <w:qFormat/>
    <w:rPr>
      <w:color w:val="cc0000"/>
    </w:rPr>
  </w:style>
  <w:style w:type="character" w:styleId="847">
    <w:name w:val="超链接"/>
    <w:next w:val="847"/>
    <w:link w:val="649"/>
    <w:uiPriority w:val="99"/>
    <w:qFormat/>
    <w:rPr>
      <w:color w:val="0000ff"/>
      <w:u w:val="single"/>
    </w:rPr>
  </w:style>
  <w:style w:type="character" w:styleId="848">
    <w:name w:val="批注引用"/>
    <w:next w:val="848"/>
    <w:link w:val="649"/>
    <w:uiPriority w:val="99"/>
    <w:qFormat/>
    <w:rPr>
      <w:sz w:val="21"/>
      <w:szCs w:val="21"/>
    </w:rPr>
  </w:style>
  <w:style w:type="character" w:styleId="849">
    <w:name w:val="脚注引用"/>
    <w:next w:val="849"/>
    <w:link w:val="649"/>
    <w:semiHidden/>
    <w:qFormat/>
    <w:rPr>
      <w:vertAlign w:val="superscript"/>
    </w:rPr>
  </w:style>
  <w:style w:type="character" w:styleId="850">
    <w:name w:val="ca-221"/>
    <w:next w:val="850"/>
    <w:link w:val="649"/>
    <w:qFormat/>
    <w:rPr>
      <w:rFonts w:hint="eastAsia" w:ascii="宋体" w:hAnsi="宋体" w:eastAsia="宋体"/>
      <w:color w:val="ff0000"/>
      <w:sz w:val="24"/>
      <w:szCs w:val="24"/>
    </w:rPr>
  </w:style>
  <w:style w:type="character" w:styleId="851">
    <w:name w:val="功能标题 Char"/>
    <w:next w:val="851"/>
    <w:link w:val="852"/>
    <w:qFormat/>
    <w:rPr>
      <w:rFonts w:ascii="黑体" w:eastAsia="黑体"/>
      <w:sz w:val="24"/>
    </w:rPr>
  </w:style>
  <w:style w:type="paragraph" w:styleId="852">
    <w:name w:val="功能标题"/>
    <w:basedOn w:val="649"/>
    <w:next w:val="852"/>
    <w:link w:val="851"/>
    <w:qFormat/>
    <w:pPr>
      <w:jc w:val="left"/>
      <w:spacing w:before="200" w:after="60"/>
    </w:pPr>
    <w:rPr>
      <w:rFonts w:ascii="黑体" w:eastAsia="黑体"/>
      <w:sz w:val="24"/>
    </w:rPr>
  </w:style>
  <w:style w:type="character" w:styleId="853">
    <w:name w:val="CL 正文1.5 Char"/>
    <w:next w:val="853"/>
    <w:link w:val="854"/>
    <w:qFormat/>
    <w:rPr>
      <w:rFonts w:ascii="Cambria" w:hAnsi="Cambria"/>
      <w:spacing w:val="4"/>
      <w:sz w:val="24"/>
      <w:szCs w:val="21"/>
    </w:rPr>
  </w:style>
  <w:style w:type="paragraph" w:styleId="854">
    <w:name w:val="CL 正文1.5"/>
    <w:basedOn w:val="649"/>
    <w:next w:val="854"/>
    <w:link w:val="853"/>
    <w:qFormat/>
    <w:pPr>
      <w:ind w:firstLine="200"/>
      <w:spacing w:line="360" w:lineRule="auto"/>
    </w:pPr>
    <w:rPr>
      <w:rFonts w:ascii="Cambria" w:hAnsi="Cambria" w:eastAsia="宋体"/>
      <w:spacing w:val="4"/>
      <w:sz w:val="24"/>
      <w:szCs w:val="21"/>
    </w:rPr>
  </w:style>
  <w:style w:type="character" w:styleId="855">
    <w:name w:val="Andy_3级 Char"/>
    <w:next w:val="855"/>
    <w:link w:val="856"/>
    <w:qFormat/>
    <w:rPr>
      <w:rFonts w:ascii="Calibri" w:hAnsi="Calibri"/>
      <w:sz w:val="24"/>
    </w:rPr>
  </w:style>
  <w:style w:type="paragraph" w:styleId="856">
    <w:name w:val="Andy_3级"/>
    <w:basedOn w:val="649"/>
    <w:next w:val="856"/>
    <w:link w:val="855"/>
    <w:qFormat/>
    <w:pPr>
      <w:numPr>
        <w:ilvl w:val="2"/>
        <w:numId w:val="6"/>
      </w:numPr>
      <w:spacing w:line="360" w:lineRule="auto"/>
    </w:pPr>
    <w:rPr>
      <w:rFonts w:ascii="Calibri" w:hAnsi="Calibri" w:eastAsia="宋体"/>
      <w:sz w:val="24"/>
    </w:rPr>
  </w:style>
  <w:style w:type="character" w:styleId="857">
    <w:name w:val="A2 Char"/>
    <w:next w:val="857"/>
    <w:link w:val="858"/>
    <w:qFormat/>
    <w:rPr>
      <w:rFonts w:ascii="Cambria" w:hAnsi="Cambria"/>
      <w:b/>
      <w:bCs/>
      <w:sz w:val="32"/>
      <w:szCs w:val="32"/>
    </w:rPr>
  </w:style>
  <w:style w:type="paragraph" w:styleId="858">
    <w:name w:val="A2"/>
    <w:basedOn w:val="651"/>
    <w:next w:val="858"/>
    <w:link w:val="857"/>
    <w:qFormat/>
    <w:pPr>
      <w:ind w:left="576" w:hanging="576"/>
      <w:jc w:val="both"/>
      <w:spacing w:before="260" w:after="260" w:line="416" w:lineRule="auto"/>
    </w:pPr>
    <w:rPr>
      <w:rFonts w:ascii="Cambria" w:hAnsi="Cambria" w:eastAsia="宋体"/>
      <w:bCs/>
      <w:sz w:val="32"/>
      <w:szCs w:val="32"/>
    </w:rPr>
  </w:style>
  <w:style w:type="character" w:styleId="859">
    <w:name w:val="A4 Char"/>
    <w:next w:val="859"/>
    <w:link w:val="860"/>
    <w:qFormat/>
    <w:rPr>
      <w:rFonts w:ascii="Cambria" w:hAnsi="Cambria"/>
      <w:b/>
      <w:bCs/>
      <w:sz w:val="24"/>
      <w:szCs w:val="28"/>
    </w:rPr>
  </w:style>
  <w:style w:type="paragraph" w:styleId="860">
    <w:name w:val="A4"/>
    <w:basedOn w:val="653"/>
    <w:next w:val="860"/>
    <w:link w:val="859"/>
    <w:qFormat/>
    <w:pPr>
      <w:ind w:left="1148" w:hanging="864"/>
    </w:pPr>
    <w:rPr>
      <w:rFonts w:ascii="Cambria" w:hAnsi="Cambria" w:eastAsia="宋体"/>
      <w:sz w:val="24"/>
    </w:rPr>
  </w:style>
  <w:style w:type="character" w:styleId="861">
    <w:name w:val="A5 Char"/>
    <w:next w:val="861"/>
    <w:link w:val="862"/>
    <w:qFormat/>
    <w:rPr>
      <w:b/>
      <w:bCs/>
      <w:sz w:val="28"/>
      <w:szCs w:val="28"/>
    </w:rPr>
  </w:style>
  <w:style w:type="paragraph" w:styleId="862">
    <w:name w:val="A5"/>
    <w:basedOn w:val="654"/>
    <w:next w:val="862"/>
    <w:link w:val="861"/>
    <w:qFormat/>
    <w:pPr>
      <w:ind w:left="1008" w:hanging="1008"/>
      <w:jc w:val="both"/>
      <w:spacing w:line="376" w:lineRule="auto"/>
    </w:pPr>
    <w:rPr>
      <w:rFonts w:ascii="Times New Roman" w:hAnsi="Times New Roman"/>
      <w:bCs/>
      <w:szCs w:val="28"/>
    </w:rPr>
  </w:style>
  <w:style w:type="character" w:styleId="863">
    <w:name w:val="图例 Char"/>
    <w:next w:val="863"/>
    <w:link w:val="864"/>
    <w:qFormat/>
    <w:rPr>
      <w:rFonts w:ascii="仿宋" w:hAnsi="仿宋" w:eastAsia="仿宋"/>
      <w:b/>
    </w:rPr>
  </w:style>
  <w:style w:type="paragraph" w:styleId="864">
    <w:name w:val="图例"/>
    <w:basedOn w:val="649"/>
    <w:next w:val="864"/>
    <w:link w:val="863"/>
    <w:qFormat/>
    <w:pPr>
      <w:ind w:right="74"/>
      <w:jc w:val="center"/>
      <w:spacing w:before="150" w:after="150" w:line="360" w:lineRule="auto"/>
    </w:pPr>
    <w:rPr>
      <w:rFonts w:ascii="仿宋" w:hAnsi="仿宋" w:eastAsia="仿宋"/>
      <w:b/>
      <w:sz w:val="20"/>
    </w:rPr>
  </w:style>
  <w:style w:type="character" w:styleId="865">
    <w:name w:val="正文2 Char"/>
    <w:next w:val="865"/>
    <w:link w:val="866"/>
    <w:qFormat/>
    <w:rPr>
      <w:sz w:val="24"/>
      <w:szCs w:val="24"/>
    </w:rPr>
  </w:style>
  <w:style w:type="paragraph" w:styleId="866">
    <w:name w:val="正文2"/>
    <w:basedOn w:val="649"/>
    <w:next w:val="866"/>
    <w:link w:val="865"/>
    <w:qFormat/>
    <w:pPr>
      <w:ind w:firstLine="420"/>
      <w:spacing w:line="360" w:lineRule="auto"/>
    </w:pPr>
    <w:rPr>
      <w:rFonts w:eastAsia="宋体"/>
      <w:sz w:val="24"/>
      <w:szCs w:val="24"/>
    </w:rPr>
  </w:style>
  <w:style w:type="character" w:styleId="867">
    <w:name w:val="标准正文 Char"/>
    <w:next w:val="867"/>
    <w:link w:val="868"/>
    <w:qFormat/>
    <w:rPr>
      <w:rFonts w:cs="宋体"/>
      <w:sz w:val="24"/>
    </w:rPr>
  </w:style>
  <w:style w:type="paragraph" w:styleId="868">
    <w:name w:val="标准正文"/>
    <w:basedOn w:val="649"/>
    <w:next w:val="868"/>
    <w:link w:val="867"/>
    <w:qFormat/>
    <w:pPr>
      <w:ind w:left="840" w:firstLine="480"/>
      <w:spacing w:line="360" w:lineRule="auto"/>
    </w:pPr>
    <w:rPr>
      <w:rFonts w:eastAsia="宋体"/>
      <w:sz w:val="24"/>
    </w:rPr>
  </w:style>
  <w:style w:type="character" w:styleId="869">
    <w:name w:val="样式 首行缩进:  2 字符 Char"/>
    <w:next w:val="869"/>
    <w:link w:val="870"/>
    <w:qFormat/>
    <w:rPr>
      <w:rFonts w:eastAsia="仿宋_GB2312"/>
      <w:sz w:val="24"/>
      <w:lang w:bidi="ar-SA"/>
    </w:rPr>
  </w:style>
  <w:style w:type="paragraph" w:styleId="870">
    <w:name w:val="样式 首行缩进:  2 字符"/>
    <w:basedOn w:val="649"/>
    <w:next w:val="870"/>
    <w:link w:val="869"/>
    <w:qFormat/>
    <w:pPr>
      <w:ind w:firstLine="560"/>
      <w:spacing w:line="360" w:lineRule="auto"/>
    </w:pPr>
    <w:rPr>
      <w:rFonts w:eastAsia="仿宋_GB2312"/>
      <w:sz w:val="24"/>
    </w:rPr>
  </w:style>
  <w:style w:type="character" w:styleId="871">
    <w:name w:val="Plain Text Char"/>
    <w:next w:val="871"/>
    <w:link w:val="872"/>
    <w:qFormat/>
    <w:rPr>
      <w:rFonts w:ascii="宋体" w:hAnsi="Courier New" w:eastAsia="楷体_GB2312"/>
      <w:sz w:val="26"/>
    </w:rPr>
  </w:style>
  <w:style w:type="paragraph" w:styleId="872">
    <w:name w:val="纯文本1"/>
    <w:basedOn w:val="649"/>
    <w:next w:val="872"/>
    <w:link w:val="871"/>
    <w:qFormat/>
    <w:rPr>
      <w:rFonts w:ascii="宋体" w:hAnsi="Courier New"/>
    </w:rPr>
  </w:style>
  <w:style w:type="character" w:styleId="873">
    <w:name w:val="普通文字 Char Char"/>
    <w:next w:val="873"/>
    <w:link w:val="649"/>
    <w:qFormat/>
    <w:rPr>
      <w:rFonts w:ascii="宋体" w:hAnsi="Courier New" w:eastAsia="楷体_GB2312"/>
      <w:sz w:val="26"/>
      <w:lang w:val="en-US" w:eastAsia="zh-CN" w:bidi="ar-SA"/>
    </w:rPr>
  </w:style>
  <w:style w:type="character" w:styleId="874">
    <w:name w:val="_正文段落 Char"/>
    <w:next w:val="874"/>
    <w:link w:val="875"/>
    <w:qFormat/>
    <w:rPr>
      <w:rFonts w:ascii="宋体" w:hAnsi="宋体"/>
      <w:sz w:val="24"/>
      <w:szCs w:val="24"/>
    </w:rPr>
  </w:style>
  <w:style w:type="paragraph" w:styleId="875">
    <w:name w:val="_正文段落"/>
    <w:basedOn w:val="649"/>
    <w:next w:val="875"/>
    <w:link w:val="874"/>
    <w:qFormat/>
    <w:pPr>
      <w:ind w:firstLine="480"/>
      <w:spacing w:line="360" w:lineRule="auto"/>
    </w:pPr>
    <w:rPr>
      <w:rFonts w:ascii="宋体" w:hAnsi="宋体" w:eastAsia="宋体"/>
      <w:sz w:val="24"/>
      <w:szCs w:val="24"/>
    </w:rPr>
  </w:style>
  <w:style w:type="character" w:styleId="876">
    <w:name w:val="1招标书_正文 Char"/>
    <w:next w:val="876"/>
    <w:link w:val="877"/>
    <w:qFormat/>
    <w:rPr>
      <w:rFonts w:ascii="宋体" w:hAnsi="宋体" w:cs="宋体"/>
      <w:sz w:val="24"/>
    </w:rPr>
  </w:style>
  <w:style w:type="paragraph" w:styleId="877">
    <w:name w:val="1招标书_正文"/>
    <w:basedOn w:val="649"/>
    <w:next w:val="877"/>
    <w:link w:val="876"/>
    <w:qFormat/>
    <w:pPr>
      <w:ind w:firstLine="480"/>
      <w:jc w:val="left"/>
      <w:spacing w:line="360" w:lineRule="auto"/>
      <w:widowControl/>
    </w:pPr>
    <w:rPr>
      <w:rFonts w:ascii="宋体" w:hAnsi="宋体" w:eastAsia="宋体"/>
      <w:sz w:val="24"/>
    </w:rPr>
  </w:style>
  <w:style w:type="character" w:styleId="878">
    <w:name w:val="未处理的提及"/>
    <w:next w:val="878"/>
    <w:link w:val="649"/>
    <w:uiPriority w:val="99"/>
    <w:unhideWhenUsed/>
    <w:rPr>
      <w:color w:val="605e5c"/>
      <w:shd w:val="clear" w:color="auto" w:fill="e1dfdd"/>
    </w:rPr>
  </w:style>
  <w:style w:type="character" w:styleId="879">
    <w:name w:val="列出段落 Char"/>
    <w:next w:val="879"/>
    <w:link w:val="880"/>
    <w:rPr>
      <w:rFonts w:ascii="Times" w:hAnsi="Times"/>
      <w:sz w:val="24"/>
      <w:szCs w:val="24"/>
    </w:rPr>
  </w:style>
  <w:style w:type="paragraph" w:styleId="880">
    <w:name w:val="列出段落2"/>
    <w:basedOn w:val="649"/>
    <w:next w:val="880"/>
    <w:link w:val="879"/>
    <w:qFormat/>
    <w:pPr>
      <w:ind w:firstLine="420"/>
      <w:jc w:val="left"/>
      <w:spacing w:line="360" w:lineRule="auto"/>
      <w:widowControl/>
    </w:pPr>
    <w:rPr>
      <w:rFonts w:ascii="Times" w:hAnsi="Times" w:eastAsia="宋体"/>
      <w:sz w:val="24"/>
      <w:szCs w:val="24"/>
    </w:rPr>
  </w:style>
  <w:style w:type="character" w:styleId="881">
    <w:name w:val="A1 Char"/>
    <w:next w:val="881"/>
    <w:link w:val="882"/>
    <w:qFormat/>
    <w:rPr>
      <w:b/>
      <w:bCs/>
      <w:sz w:val="44"/>
      <w:szCs w:val="44"/>
    </w:rPr>
  </w:style>
  <w:style w:type="paragraph" w:styleId="882">
    <w:name w:val="A1"/>
    <w:basedOn w:val="650"/>
    <w:next w:val="882"/>
    <w:link w:val="881"/>
    <w:qFormat/>
    <w:pPr>
      <w:spacing w:line="360" w:lineRule="auto"/>
    </w:pPr>
    <w:rPr>
      <w:rFonts w:eastAsia="宋体"/>
      <w:bCs/>
      <w:szCs w:val="44"/>
    </w:rPr>
  </w:style>
  <w:style w:type="character" w:styleId="883">
    <w:name w:val="A3 Char"/>
    <w:next w:val="883"/>
    <w:link w:val="884"/>
    <w:qFormat/>
    <w:rPr>
      <w:b/>
      <w:bCs/>
      <w:sz w:val="24"/>
      <w:szCs w:val="32"/>
    </w:rPr>
  </w:style>
  <w:style w:type="paragraph" w:styleId="884">
    <w:name w:val="A3"/>
    <w:basedOn w:val="652"/>
    <w:next w:val="884"/>
    <w:link w:val="883"/>
    <w:qFormat/>
    <w:pPr>
      <w:ind w:left="720" w:hanging="720"/>
      <w:jc w:val="both"/>
      <w:spacing w:before="260" w:after="260" w:line="416" w:lineRule="auto"/>
    </w:pPr>
    <w:rPr>
      <w:rFonts w:eastAsia="宋体"/>
      <w:bCs/>
      <w:sz w:val="24"/>
      <w:szCs w:val="32"/>
    </w:rPr>
  </w:style>
  <w:style w:type="character" w:styleId="885">
    <w:name w:val="Heading 1 Char"/>
    <w:next w:val="885"/>
    <w:link w:val="649"/>
    <w:uiPriority w:val="9"/>
    <w:rPr>
      <w:rFonts w:ascii="Arial" w:hAnsi="Arial" w:eastAsia="Arial" w:cs="Arial"/>
      <w:sz w:val="40"/>
      <w:szCs w:val="40"/>
    </w:rPr>
  </w:style>
  <w:style w:type="character" w:styleId="886">
    <w:name w:val="Andy_正文 Char"/>
    <w:next w:val="886"/>
    <w:link w:val="887"/>
    <w:qFormat/>
    <w:rPr>
      <w:rFonts w:ascii="Calibri" w:hAnsi="Calibri" w:cs="Calibri"/>
      <w:sz w:val="24"/>
      <w:szCs w:val="24"/>
    </w:rPr>
  </w:style>
  <w:style w:type="paragraph" w:styleId="887">
    <w:name w:val="Andy_正文"/>
    <w:basedOn w:val="649"/>
    <w:next w:val="887"/>
    <w:link w:val="886"/>
    <w:qFormat/>
    <w:pPr>
      <w:ind w:firstLine="480"/>
      <w:spacing w:line="360" w:lineRule="auto"/>
    </w:pPr>
    <w:rPr>
      <w:rFonts w:ascii="Calibri" w:hAnsi="Calibri" w:eastAsia="宋体"/>
      <w:sz w:val="24"/>
      <w:szCs w:val="24"/>
    </w:rPr>
  </w:style>
  <w:style w:type="character" w:styleId="888">
    <w:name w:val="正文首行缩进 Char Char"/>
    <w:next w:val="888"/>
    <w:link w:val="889"/>
    <w:qFormat/>
    <w:rPr>
      <w:szCs w:val="24"/>
      <w:lang w:bidi="ar-SA"/>
    </w:rPr>
  </w:style>
  <w:style w:type="paragraph" w:styleId="889">
    <w:name w:val="正文首行缩进1"/>
    <w:basedOn w:val="690"/>
    <w:next w:val="889"/>
    <w:link w:val="888"/>
    <w:qFormat/>
    <w:pPr>
      <w:ind w:firstLine="420"/>
      <w:spacing w:after="120" w:line="240" w:lineRule="auto"/>
    </w:pPr>
    <w:rPr>
      <w:rFonts w:ascii="Times New Roman" w:eastAsia="宋体"/>
      <w:sz w:val="20"/>
      <w:szCs w:val="24"/>
    </w:rPr>
  </w:style>
  <w:style w:type="character" w:styleId="890">
    <w:name w:val="封面：幼圆"/>
    <w:next w:val="890"/>
    <w:link w:val="649"/>
    <w:qFormat/>
    <w:rPr>
      <w:rFonts w:ascii="幼圆" w:hAnsi="幼圆" w:eastAsia="幼圆"/>
    </w:rPr>
  </w:style>
  <w:style w:type="paragraph" w:styleId="891">
    <w:name w:val="p0"/>
    <w:basedOn w:val="649"/>
    <w:next w:val="891"/>
    <w:link w:val="649"/>
    <w:qFormat/>
    <w:pPr>
      <w:jc w:val="left"/>
      <w:spacing w:before="100" w:beforeAutospacing="1" w:after="100" w:afterAutospacing="1"/>
      <w:widowControl/>
    </w:pPr>
    <w:rPr>
      <w:rFonts w:ascii="宋体" w:hAnsi="宋体" w:eastAsia="宋体" w:cs="宋体"/>
      <w:sz w:val="24"/>
      <w:szCs w:val="24"/>
    </w:rPr>
  </w:style>
  <w:style w:type="paragraph" w:styleId="892">
    <w:name w:val="xl59"/>
    <w:basedOn w:val="649"/>
    <w:next w:val="892"/>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93">
    <w:name w:val="xl50"/>
    <w:basedOn w:val="649"/>
    <w:next w:val="893"/>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4">
    <w:name w:val="正文首行缩进2"/>
    <w:basedOn w:val="649"/>
    <w:next w:val="894"/>
    <w:link w:val="649"/>
    <w:qFormat/>
    <w:pPr>
      <w:ind w:firstLine="200"/>
      <w:spacing w:line="360" w:lineRule="auto"/>
    </w:pPr>
    <w:rPr>
      <w:rFonts w:ascii="Arial" w:hAnsi="Arial" w:eastAsia="宋体" w:cs="宋体"/>
      <w:sz w:val="24"/>
    </w:rPr>
  </w:style>
  <w:style w:type="paragraph" w:styleId="895">
    <w:name w:val="Char Char"/>
    <w:basedOn w:val="649"/>
    <w:next w:val="895"/>
    <w:link w:val="649"/>
    <w:qFormat/>
    <w:rPr>
      <w:rFonts w:eastAsia="宋体"/>
      <w:sz w:val="21"/>
      <w:szCs w:val="24"/>
    </w:rPr>
  </w:style>
  <w:style w:type="paragraph" w:styleId="896">
    <w:name w:val="tytytyty"/>
    <w:basedOn w:val="649"/>
    <w:next w:val="896"/>
    <w:link w:val="649"/>
    <w:pPr>
      <w:ind w:left="359" w:firstLine="480"/>
      <w:spacing w:line="360" w:lineRule="auto"/>
    </w:pPr>
    <w:rPr>
      <w:rFonts w:eastAsia="宋体"/>
      <w:sz w:val="24"/>
      <w:szCs w:val="24"/>
    </w:rPr>
  </w:style>
  <w:style w:type="paragraph" w:styleId="897">
    <w:name w:val="Andy_一级"/>
    <w:basedOn w:val="898"/>
    <w:next w:val="897"/>
    <w:link w:val="649"/>
    <w:qFormat/>
    <w:pPr>
      <w:numPr>
        <w:ilvl w:val="0"/>
        <w:numId w:val="6"/>
      </w:numPr>
      <w:ind w:firstLine="0"/>
      <w:keepNext/>
      <w:spacing w:line="360" w:lineRule="auto"/>
    </w:pPr>
    <w:rPr>
      <w:rFonts w:ascii="Calibri" w:hAnsi="Calibri" w:eastAsia="宋体"/>
      <w:b/>
      <w:sz w:val="24"/>
      <w:szCs w:val="22"/>
    </w:rPr>
  </w:style>
  <w:style w:type="paragraph" w:styleId="898">
    <w:name w:val="列出段落3"/>
    <w:basedOn w:val="649"/>
    <w:next w:val="898"/>
    <w:link w:val="649"/>
    <w:uiPriority w:val="99"/>
    <w:unhideWhenUsed/>
    <w:qFormat/>
    <w:pPr>
      <w:ind w:firstLine="420"/>
    </w:pPr>
  </w:style>
  <w:style w:type="paragraph" w:styleId="899">
    <w:name w:val="xl48"/>
    <w:basedOn w:val="649"/>
    <w:next w:val="899"/>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00">
    <w:name w:val="纯文本3"/>
    <w:basedOn w:val="649"/>
    <w:next w:val="900"/>
    <w:link w:val="649"/>
    <w:qFormat/>
    <w:pPr>
      <w:jc w:val="left"/>
      <w:widowControl/>
    </w:pPr>
    <w:rPr>
      <w:rFonts w:ascii="宋体" w:hAnsi="Courier New"/>
    </w:rPr>
  </w:style>
  <w:style w:type="paragraph" w:styleId="901">
    <w:name w:val="列出段落1"/>
    <w:basedOn w:val="649"/>
    <w:next w:val="901"/>
    <w:link w:val="649"/>
    <w:qFormat/>
    <w:pPr>
      <w:ind w:firstLine="420"/>
      <w:jc w:val="left"/>
      <w:spacing w:line="360" w:lineRule="auto"/>
    </w:pPr>
    <w:rPr>
      <w:rFonts w:eastAsia="宋体"/>
      <w:sz w:val="21"/>
      <w:szCs w:val="24"/>
    </w:rPr>
  </w:style>
  <w:style w:type="paragraph" w:styleId="902">
    <w:name w:val="xl64"/>
    <w:basedOn w:val="649"/>
    <w:next w:val="902"/>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03">
    <w:name w:val="xl47"/>
    <w:basedOn w:val="649"/>
    <w:next w:val="903"/>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04">
    <w:name w:val="列表内容"/>
    <w:basedOn w:val="649"/>
    <w:next w:val="649"/>
    <w:link w:val="649"/>
    <w:qFormat/>
    <w:pPr>
      <w:numPr>
        <w:ilvl w:val="0"/>
        <w:numId w:val="7"/>
      </w:numPr>
      <w:jc w:val="left"/>
      <w:widowControl/>
      <w:tabs>
        <w:tab w:val="left" w:pos="840" w:leader="none"/>
      </w:tabs>
    </w:pPr>
    <w:rPr>
      <w:rFonts w:eastAsia="宋体"/>
      <w:sz w:val="18"/>
      <w:szCs w:val="24"/>
    </w:rPr>
  </w:style>
  <w:style w:type="paragraph" w:styleId="905">
    <w:name w:val="xl53"/>
    <w:basedOn w:val="649"/>
    <w:next w:val="905"/>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6">
    <w:name w:val="xl56"/>
    <w:basedOn w:val="649"/>
    <w:next w:val="906"/>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7">
    <w:name w:val="列表段落11"/>
    <w:basedOn w:val="649"/>
    <w:next w:val="907"/>
    <w:link w:val="649"/>
    <w:pPr>
      <w:ind w:firstLine="420"/>
    </w:pPr>
    <w:rPr>
      <w:rFonts w:ascii="Calibri" w:hAnsi="Calibri" w:eastAsia="宋体"/>
      <w:sz w:val="21"/>
      <w:szCs w:val="22"/>
    </w:rPr>
  </w:style>
  <w:style w:type="paragraph" w:styleId="908">
    <w:name w:val="font6"/>
    <w:basedOn w:val="649"/>
    <w:next w:val="908"/>
    <w:link w:val="649"/>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09">
    <w:name w:val="xl63"/>
    <w:basedOn w:val="649"/>
    <w:next w:val="909"/>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10">
    <w:name w:val="Char Char Char1 Char Char Char Char"/>
    <w:basedOn w:val="649"/>
    <w:next w:val="910"/>
    <w:link w:val="649"/>
    <w:qFormat/>
    <w:pPr>
      <w:jc w:val="left"/>
      <w:spacing w:after="160" w:line="240" w:lineRule="exact"/>
      <w:widowControl/>
    </w:pPr>
    <w:rPr>
      <w:rFonts w:eastAsia="宋体"/>
      <w:sz w:val="24"/>
      <w:szCs w:val="24"/>
    </w:rPr>
  </w:style>
  <w:style w:type="paragraph" w:styleId="911">
    <w:name w:val="xl54"/>
    <w:basedOn w:val="649"/>
    <w:next w:val="911"/>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12">
    <w:name w:val="Char"/>
    <w:basedOn w:val="649"/>
    <w:next w:val="912"/>
    <w:link w:val="649"/>
    <w:qFormat/>
    <w:pPr>
      <w:jc w:val="left"/>
      <w:spacing w:after="160" w:line="240" w:lineRule="exact"/>
      <w:widowControl/>
    </w:pPr>
    <w:rPr>
      <w:rFonts w:ascii="Verdana" w:hAnsi="Verdana" w:eastAsia="仿宋_GB2312"/>
      <w:sz w:val="24"/>
      <w:lang w:eastAsia="en-US"/>
    </w:rPr>
  </w:style>
  <w:style w:type="paragraph" w:styleId="913">
    <w:name w:val="xl62"/>
    <w:basedOn w:val="649"/>
    <w:next w:val="913"/>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14">
    <w:name w:val="正文文本1"/>
    <w:basedOn w:val="649"/>
    <w:next w:val="914"/>
    <w:link w:val="649"/>
    <w:qFormat/>
    <w:pPr>
      <w:spacing w:line="400" w:lineRule="exact"/>
    </w:pPr>
    <w:rPr>
      <w:rFonts w:ascii="楷体_GB2312" w:hAnsi="Calibri"/>
      <w:sz w:val="28"/>
    </w:rPr>
  </w:style>
  <w:style w:type="paragraph" w:styleId="915">
    <w:name w:val="Andy_4级"/>
    <w:basedOn w:val="898"/>
    <w:next w:val="915"/>
    <w:link w:val="649"/>
    <w:qFormat/>
    <w:pPr>
      <w:numPr>
        <w:ilvl w:val="3"/>
        <w:numId w:val="6"/>
      </w:numPr>
      <w:ind w:firstLine="510"/>
      <w:spacing w:line="360" w:lineRule="auto"/>
    </w:pPr>
    <w:rPr>
      <w:rFonts w:ascii="Calibri" w:hAnsi="Calibri" w:eastAsia="宋体"/>
      <w:sz w:val="24"/>
    </w:rPr>
  </w:style>
  <w:style w:type="paragraph" w:styleId="916">
    <w:name w:val="xl65"/>
    <w:basedOn w:val="649"/>
    <w:next w:val="916"/>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17">
    <w:name w:val="Table Paragraph"/>
    <w:basedOn w:val="649"/>
    <w:next w:val="917"/>
    <w:link w:val="649"/>
    <w:uiPriority w:val="1"/>
    <w:qFormat/>
    <w:pPr>
      <w:jc w:val="left"/>
    </w:pPr>
    <w:rPr>
      <w:rFonts w:ascii="Calibri" w:hAnsi="Calibri" w:eastAsia="宋体"/>
      <w:sz w:val="22"/>
      <w:szCs w:val="22"/>
      <w:lang w:eastAsia="en-US"/>
    </w:rPr>
  </w:style>
  <w:style w:type="paragraph" w:styleId="918">
    <w:name w:val="xl58"/>
    <w:basedOn w:val="649"/>
    <w:next w:val="918"/>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19">
    <w:name w:val="Andy_二级"/>
    <w:basedOn w:val="898"/>
    <w:next w:val="919"/>
    <w:link w:val="649"/>
    <w:qFormat/>
    <w:pPr>
      <w:numPr>
        <w:ilvl w:val="1"/>
        <w:numId w:val="6"/>
      </w:numPr>
      <w:ind w:firstLine="0"/>
      <w:spacing w:line="360" w:lineRule="auto"/>
    </w:pPr>
    <w:rPr>
      <w:rFonts w:ascii="Calibri" w:hAnsi="Calibri" w:eastAsia="宋体"/>
      <w:sz w:val="24"/>
      <w:szCs w:val="22"/>
    </w:rPr>
  </w:style>
  <w:style w:type="paragraph" w:styleId="920">
    <w:name w:val="cardlist-value"/>
    <w:basedOn w:val="649"/>
    <w:next w:val="920"/>
    <w:link w:val="649"/>
    <w:qFormat/>
    <w:pPr>
      <w:jc w:val="left"/>
      <w:spacing w:before="100" w:beforeAutospacing="1" w:after="100" w:afterAutospacing="1"/>
      <w:widowControl/>
    </w:pPr>
    <w:rPr>
      <w:rFonts w:ascii="宋体" w:hAnsi="宋体" w:eastAsia="宋体" w:cs="宋体"/>
      <w:sz w:val="24"/>
      <w:szCs w:val="24"/>
    </w:rPr>
  </w:style>
  <w:style w:type="paragraph" w:styleId="921">
    <w:name w:val="xl52"/>
    <w:basedOn w:val="649"/>
    <w:next w:val="921"/>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22">
    <w:name w:val="Char1"/>
    <w:basedOn w:val="649"/>
    <w:next w:val="922"/>
    <w:link w:val="649"/>
    <w:qFormat/>
    <w:rPr>
      <w:rFonts w:ascii="Tahoma" w:hAnsi="Tahoma" w:eastAsia="宋体"/>
      <w:sz w:val="24"/>
    </w:rPr>
  </w:style>
  <w:style w:type="paragraph" w:styleId="923">
    <w:name w:val="段"/>
    <w:next w:val="649"/>
    <w:link w:val="649"/>
    <w:qFormat/>
    <w:pPr>
      <w:ind w:firstLine="200"/>
      <w:jc w:val="both"/>
    </w:pPr>
    <w:rPr>
      <w:rFonts w:ascii="宋体" w:hAnsi="Calibri"/>
      <w:sz w:val="21"/>
      <w:lang w:val="en-US" w:eastAsia="zh-CN" w:bidi="ar-SA"/>
    </w:rPr>
  </w:style>
  <w:style w:type="paragraph" w:styleId="924">
    <w:name w:val="Char Char3 Char Char Char Char Char Char Char Char Char Char Char Char Char Char Char Char"/>
    <w:basedOn w:val="649"/>
    <w:next w:val="924"/>
    <w:link w:val="649"/>
    <w:qFormat/>
    <w:pPr>
      <w:ind w:firstLine="200"/>
      <w:jc w:val="left"/>
      <w:spacing w:after="160" w:line="360" w:lineRule="auto"/>
      <w:widowControl/>
    </w:pPr>
    <w:rPr>
      <w:rFonts w:ascii="宋体" w:hAnsi="宋体" w:eastAsia="宋体"/>
      <w:sz w:val="24"/>
    </w:rPr>
  </w:style>
  <w:style w:type="paragraph" w:styleId="925">
    <w:name w:val="font5"/>
    <w:basedOn w:val="649"/>
    <w:next w:val="925"/>
    <w:link w:val="649"/>
    <w:qFormat/>
    <w:pPr>
      <w:jc w:val="left"/>
      <w:spacing w:before="100" w:beforeAutospacing="1" w:after="100" w:afterAutospacing="1"/>
      <w:widowControl/>
    </w:pPr>
    <w:rPr>
      <w:rFonts w:hint="eastAsia" w:ascii="宋体" w:hAnsi="宋体" w:eastAsia="宋体"/>
      <w:sz w:val="18"/>
      <w:szCs w:val="18"/>
    </w:rPr>
  </w:style>
  <w:style w:type="paragraph" w:styleId="926">
    <w:name w:val="Default"/>
    <w:next w:val="926"/>
    <w:link w:val="649"/>
    <w:qFormat/>
    <w:pPr>
      <w:widowControl w:val="off"/>
    </w:pPr>
    <w:rPr>
      <w:rFonts w:ascii="宋体" w:cs="宋体"/>
      <w:color w:val="000000"/>
      <w:sz w:val="24"/>
      <w:szCs w:val="24"/>
      <w:lang w:val="en-US" w:eastAsia="zh-CN" w:bidi="ar-SA"/>
    </w:rPr>
  </w:style>
  <w:style w:type="paragraph" w:styleId="927">
    <w:name w:val="xl66"/>
    <w:basedOn w:val="649"/>
    <w:next w:val="927"/>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28">
    <w:name w:val="小四 段落 宋体 Char Char Char Char Char Char"/>
    <w:basedOn w:val="929"/>
    <w:next w:val="928"/>
    <w:link w:val="649"/>
    <w:qFormat/>
    <w:pPr>
      <w:ind w:firstLine="480"/>
    </w:pPr>
    <w:rPr>
      <w:rFonts w:ascii="宋体" w:hAnsi="宋体"/>
    </w:rPr>
  </w:style>
  <w:style w:type="paragraph" w:styleId="929">
    <w:name w:val="小四 段落 宋体 Char Char Char Char Char Char Char"/>
    <w:basedOn w:val="677"/>
    <w:next w:val="929"/>
    <w:link w:val="649"/>
    <w:semiHidden/>
    <w:qFormat/>
    <w:pPr>
      <w:ind w:left="0" w:right="-33" w:firstLine="545"/>
      <w:jc w:val="left"/>
      <w:spacing w:line="360" w:lineRule="auto"/>
      <w:tabs>
        <w:tab w:val="clear" w:pos="1125" w:leader="none"/>
      </w:tabs>
    </w:pPr>
    <w:rPr>
      <w:sz w:val="24"/>
    </w:rPr>
  </w:style>
  <w:style w:type="paragraph" w:styleId="930">
    <w:name w:val="xl55"/>
    <w:basedOn w:val="649"/>
    <w:next w:val="930"/>
    <w:link w:val="64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31">
    <w:name w:val="纯文本2"/>
    <w:basedOn w:val="649"/>
    <w:next w:val="931"/>
    <w:link w:val="649"/>
    <w:qFormat/>
    <w:rPr>
      <w:rFonts w:ascii="宋体" w:hAnsi="Courier New"/>
    </w:rPr>
  </w:style>
  <w:style w:type="paragraph" w:styleId="932">
    <w:name w:val="列表段落"/>
    <w:basedOn w:val="649"/>
    <w:next w:val="932"/>
    <w:link w:val="649"/>
    <w:uiPriority w:val="34"/>
    <w:qFormat/>
    <w:pPr>
      <w:ind w:firstLine="420"/>
    </w:pPr>
  </w:style>
  <w:style w:type="paragraph" w:styleId="933">
    <w:name w:val="Char Char Char"/>
    <w:basedOn w:val="649"/>
    <w:next w:val="933"/>
    <w:link w:val="649"/>
    <w:qFormat/>
    <w:rPr>
      <w:rFonts w:ascii="Tahoma" w:hAnsi="Tahoma" w:eastAsia="宋体"/>
      <w:sz w:val="24"/>
    </w:rPr>
  </w:style>
  <w:style w:type="paragraph" w:styleId="934">
    <w:name w:val="Heading11"/>
    <w:basedOn w:val="649"/>
    <w:next w:val="649"/>
    <w:link w:val="649"/>
    <w:qFormat/>
    <w:pPr>
      <w:keepNext/>
    </w:pPr>
    <w:rPr>
      <w:rFonts w:ascii="等线 Light" w:eastAsia="等线 Light"/>
      <w:sz w:val="28"/>
    </w:rPr>
  </w:style>
  <w:style w:type="paragraph" w:styleId="935">
    <w:name w:val="xl45"/>
    <w:basedOn w:val="649"/>
    <w:next w:val="935"/>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36">
    <w:name w:val="修订"/>
    <w:next w:val="936"/>
    <w:link w:val="649"/>
    <w:uiPriority w:val="99"/>
    <w:unhideWhenUsed/>
    <w:rPr>
      <w:rFonts w:eastAsia="楷体_GB2312"/>
      <w:sz w:val="26"/>
      <w:lang w:val="en-US" w:eastAsia="zh-CN" w:bidi="ar-SA"/>
    </w:rPr>
  </w:style>
  <w:style w:type="paragraph" w:styleId="937">
    <w:name w:val="xl46"/>
    <w:basedOn w:val="649"/>
    <w:next w:val="937"/>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38">
    <w:name w:val="首行缩进"/>
    <w:basedOn w:val="649"/>
    <w:next w:val="938"/>
    <w:link w:val="649"/>
    <w:qFormat/>
    <w:pPr>
      <w:ind w:left="1024" w:firstLine="480"/>
      <w:widowControl/>
    </w:pPr>
    <w:rPr>
      <w:rFonts w:ascii="Calibri" w:hAnsi="Calibri" w:eastAsia="宋体"/>
      <w:sz w:val="20"/>
      <w:lang w:val="zh-CN"/>
    </w:rPr>
  </w:style>
  <w:style w:type="paragraph" w:styleId="939">
    <w:name w:val="纯文本4"/>
    <w:basedOn w:val="649"/>
    <w:next w:val="939"/>
    <w:link w:val="649"/>
    <w:qFormat/>
    <w:rPr>
      <w:rFonts w:ascii="宋体" w:hAnsi="Courier New"/>
    </w:rPr>
  </w:style>
  <w:style w:type="paragraph" w:styleId="940">
    <w:name w:val="Plain Text1"/>
    <w:basedOn w:val="649"/>
    <w:next w:val="940"/>
    <w:link w:val="649"/>
    <w:qFormat/>
    <w:rPr>
      <w:rFonts w:ascii="宋体" w:hAnsi="Courier New"/>
    </w:rPr>
  </w:style>
  <w:style w:type="paragraph" w:styleId="941">
    <w:name w:val="样式 标题 2 + Times New Roman 四号 非加粗 段前: 5 磅 段后: 0 磅 行距: 固定值 20..."/>
    <w:basedOn w:val="651"/>
    <w:next w:val="941"/>
    <w:link w:val="649"/>
    <w:pPr>
      <w:jc w:val="both"/>
      <w:spacing w:before="100" w:line="400" w:lineRule="exact"/>
    </w:pPr>
    <w:rPr>
      <w:rFonts w:ascii="Times New Roman" w:hAnsi="Times New Roman" w:eastAsia="黑体" w:cs="宋体"/>
      <w:b w:val="0"/>
      <w:sz w:val="28"/>
    </w:rPr>
  </w:style>
  <w:style w:type="paragraph" w:styleId="942">
    <w:name w:val="xl60"/>
    <w:basedOn w:val="649"/>
    <w:next w:val="942"/>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43">
    <w:name w:val="Default Paragraph Font Para Char"/>
    <w:basedOn w:val="649"/>
    <w:next w:val="943"/>
    <w:link w:val="649"/>
    <w:semiHidden/>
    <w:qFormat/>
    <w:pPr>
      <w:jc w:val="left"/>
      <w:spacing w:after="160" w:line="240" w:lineRule="exact"/>
      <w:widowControl/>
    </w:pPr>
    <w:rPr>
      <w:rFonts w:ascii="Verdana" w:hAnsi="Verdana" w:eastAsia="宋体"/>
      <w:sz w:val="20"/>
      <w:lang w:eastAsia="en-US"/>
    </w:rPr>
  </w:style>
  <w:style w:type="paragraph" w:styleId="944">
    <w:name w:val="xl51"/>
    <w:basedOn w:val="649"/>
    <w:next w:val="944"/>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45">
    <w:name w:val="纯文本5"/>
    <w:basedOn w:val="649"/>
    <w:next w:val="945"/>
    <w:link w:val="649"/>
    <w:qFormat/>
    <w:rPr>
      <w:rFonts w:ascii="宋体" w:hAnsi="Courier New" w:eastAsia="宋体"/>
      <w:sz w:val="21"/>
      <w:szCs w:val="24"/>
    </w:rPr>
  </w:style>
  <w:style w:type="paragraph" w:styleId="946">
    <w:name w:val="font7"/>
    <w:basedOn w:val="649"/>
    <w:next w:val="946"/>
    <w:link w:val="649"/>
    <w:qFormat/>
    <w:pPr>
      <w:jc w:val="left"/>
      <w:spacing w:before="100" w:beforeAutospacing="1" w:after="100" w:afterAutospacing="1"/>
      <w:widowControl/>
    </w:pPr>
    <w:rPr>
      <w:rFonts w:eastAsia="宋体"/>
      <w:sz w:val="20"/>
    </w:rPr>
  </w:style>
  <w:style w:type="paragraph" w:styleId="947">
    <w:name w:val="xl61"/>
    <w:basedOn w:val="649"/>
    <w:next w:val="947"/>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48">
    <w:name w:val="小四 段落 宋体 Char"/>
    <w:basedOn w:val="677"/>
    <w:next w:val="948"/>
    <w:link w:val="649"/>
    <w:qFormat/>
    <w:pPr>
      <w:ind w:left="0" w:right="-33" w:firstLine="480"/>
      <w:jc w:val="left"/>
      <w:spacing w:line="360" w:lineRule="auto"/>
      <w:tabs>
        <w:tab w:val="clear" w:pos="1125" w:leader="none"/>
      </w:tabs>
    </w:pPr>
    <w:rPr>
      <w:sz w:val="24"/>
    </w:rPr>
  </w:style>
  <w:style w:type="paragraph" w:styleId="949">
    <w:name w:val="xl49"/>
    <w:basedOn w:val="649"/>
    <w:next w:val="949"/>
    <w:link w:val="64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50">
    <w:name w:val="xl57"/>
    <w:basedOn w:val="649"/>
    <w:next w:val="950"/>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1">
    <w:name w:val="Plain Text"/>
    <w:basedOn w:val="649"/>
    <w:next w:val="951"/>
    <w:link w:val="649"/>
    <w:qFormat/>
    <w:rPr>
      <w:rFonts w:ascii="宋体" w:hAnsi="Courier New"/>
    </w:rPr>
  </w:style>
  <w:style w:type="paragraph" w:styleId="952">
    <w:name w:val="大标题"/>
    <w:basedOn w:val="649"/>
    <w:next w:val="952"/>
    <w:link w:val="649"/>
    <w:qFormat/>
    <w:pPr>
      <w:jc w:val="center"/>
    </w:pPr>
    <w:rPr>
      <w:rFonts w:eastAsia="黑体" w:cs="宋体"/>
      <w:sz w:val="44"/>
    </w:rPr>
  </w:style>
  <w:style w:type="table" w:styleId="953">
    <w:name w:val="网格型1"/>
    <w:basedOn w:val="660"/>
    <w:next w:val="953"/>
    <w:link w:val="649"/>
    <w:uiPriority w:val="59"/>
    <w:qFormat/>
    <w:rPr>
      <w:rFonts w:ascii="Calibri" w:hAnsi="Calibri" w:eastAsia="宋体" w:cs="Times New Roman"/>
    </w:rPr>
    <w:tblPr/>
  </w:style>
  <w:style w:type="paragraph" w:styleId="954">
    <w:name w:val="表格字体"/>
    <w:basedOn w:val="649"/>
    <w:next w:val="954"/>
    <w:link w:val="649"/>
    <w:qFormat/>
    <w:pPr>
      <w:spacing w:line="400" w:lineRule="exact"/>
      <w:widowControl/>
    </w:pPr>
    <w:rPr>
      <w:rFonts w:hint="eastAsia" w:ascii="Calibri" w:hAnsi="Calibri" w:eastAsia="宋体" w:cs="宋体"/>
      <w:bCs/>
      <w:color w:val="000000"/>
      <w:sz w:val="24"/>
      <w:szCs w:val="18"/>
    </w:rPr>
  </w:style>
  <w:style w:type="paragraph" w:styleId="955">
    <w:name w:val="无间隔"/>
    <w:next w:val="955"/>
    <w:link w:val="649"/>
    <w:uiPriority w:val="1"/>
    <w:qFormat/>
    <w:rPr>
      <w:rFonts w:ascii="Cambria" w:hAnsi="Cambria" w:eastAsia="MS Mincho"/>
      <w:sz w:val="22"/>
      <w:szCs w:val="22"/>
      <w:lang w:val="en-US" w:eastAsia="en-US" w:bidi="ar-SA"/>
    </w:rPr>
  </w:style>
  <w:style w:type="paragraph" w:styleId="956">
    <w:name w:val="引用"/>
    <w:basedOn w:val="649"/>
    <w:next w:val="649"/>
    <w:link w:val="957"/>
    <w:uiPriority w:val="29"/>
    <w:qFormat/>
    <w:pPr>
      <w:jc w:val="left"/>
      <w:spacing w:after="200" w:line="276" w:lineRule="auto"/>
      <w:widowControl/>
    </w:pPr>
    <w:rPr>
      <w:rFonts w:ascii="宋体" w:hAnsi="宋体" w:eastAsia="宋体" w:cs="Times New Roman"/>
      <w:i/>
      <w:iCs/>
      <w:color w:val="000000"/>
      <w:sz w:val="22"/>
      <w:szCs w:val="22"/>
      <w:lang w:eastAsia="en-US"/>
    </w:rPr>
  </w:style>
  <w:style w:type="character" w:styleId="957">
    <w:name w:val="引用 字符"/>
    <w:next w:val="957"/>
    <w:link w:val="956"/>
    <w:uiPriority w:val="29"/>
    <w:rPr>
      <w:rFonts w:ascii="宋体" w:hAnsi="宋体"/>
      <w:i/>
      <w:iCs/>
      <w:color w:val="000000"/>
      <w:sz w:val="22"/>
      <w:szCs w:val="22"/>
      <w:lang w:eastAsia="en-US"/>
    </w:rPr>
  </w:style>
  <w:style w:type="paragraph" w:styleId="958">
    <w:name w:val="明显引用"/>
    <w:basedOn w:val="649"/>
    <w:next w:val="649"/>
    <w:link w:val="959"/>
    <w:uiPriority w:val="30"/>
    <w:qFormat/>
    <w:pPr>
      <w:ind w:left="936" w:right="936"/>
      <w:jc w:val="left"/>
      <w:spacing w:before="200" w:after="280" w:line="276" w:lineRule="auto"/>
      <w:widowControl/>
      <w:pBdr>
        <w:bottom w:val="single" w:color="4F81BD" w:sz="4" w:space="4"/>
      </w:pBdr>
    </w:pPr>
    <w:rPr>
      <w:rFonts w:ascii="宋体" w:hAnsi="宋体" w:eastAsia="宋体" w:cs="Times New Roman"/>
      <w:b/>
      <w:bCs/>
      <w:i/>
      <w:iCs/>
      <w:color w:val="4f81bd"/>
      <w:sz w:val="22"/>
      <w:szCs w:val="22"/>
      <w:lang w:eastAsia="en-US"/>
    </w:rPr>
  </w:style>
  <w:style w:type="character" w:styleId="959">
    <w:name w:val="明显引用 字符"/>
    <w:next w:val="959"/>
    <w:link w:val="958"/>
    <w:uiPriority w:val="30"/>
    <w:rPr>
      <w:rFonts w:ascii="宋体" w:hAnsi="宋体"/>
      <w:b/>
      <w:bCs/>
      <w:i/>
      <w:iCs/>
      <w:color w:val="4f81bd"/>
      <w:sz w:val="22"/>
      <w:szCs w:val="22"/>
      <w:lang w:eastAsia="en-US"/>
    </w:rPr>
  </w:style>
  <w:style w:type="character" w:styleId="960">
    <w:name w:val="不明显强调1"/>
    <w:next w:val="960"/>
    <w:link w:val="649"/>
    <w:uiPriority w:val="19"/>
    <w:qFormat/>
    <w:rPr>
      <w:i/>
      <w:iCs/>
      <w:color w:val="000000"/>
    </w:rPr>
  </w:style>
  <w:style w:type="character" w:styleId="961">
    <w:name w:val="明显强调1"/>
    <w:next w:val="961"/>
    <w:link w:val="649"/>
    <w:uiPriority w:val="21"/>
    <w:qFormat/>
    <w:rPr>
      <w:b/>
      <w:bCs/>
      <w:i/>
      <w:iCs/>
      <w:color w:val="4f81bd"/>
    </w:rPr>
  </w:style>
  <w:style w:type="character" w:styleId="962">
    <w:name w:val="不明显参考1"/>
    <w:next w:val="962"/>
    <w:link w:val="649"/>
    <w:uiPriority w:val="31"/>
    <w:qFormat/>
    <w:rPr>
      <w:smallCaps/>
      <w:color w:val="c0504d"/>
      <w:u w:val="single"/>
    </w:rPr>
  </w:style>
  <w:style w:type="character" w:styleId="963">
    <w:name w:val="明显参考1"/>
    <w:next w:val="963"/>
    <w:link w:val="649"/>
    <w:uiPriority w:val="32"/>
    <w:qFormat/>
    <w:rPr>
      <w:b/>
      <w:bCs/>
      <w:smallCaps/>
      <w:color w:val="c0504d"/>
      <w:spacing w:val="5"/>
      <w:u w:val="single"/>
    </w:rPr>
  </w:style>
  <w:style w:type="character" w:styleId="964">
    <w:name w:val="书籍标题1"/>
    <w:next w:val="964"/>
    <w:link w:val="649"/>
    <w:uiPriority w:val="33"/>
    <w:qFormat/>
    <w:rPr>
      <w:b/>
      <w:bCs/>
      <w:smallCaps/>
      <w:spacing w:val="5"/>
    </w:rPr>
  </w:style>
  <w:style w:type="paragraph" w:styleId="965">
    <w:name w:val="TOC 标题1"/>
    <w:basedOn w:val="650"/>
    <w:next w:val="649"/>
    <w:link w:val="649"/>
    <w:uiPriority w:val="39"/>
    <w:unhideWhenUsed/>
    <w:qFormat/>
    <w:pPr>
      <w:jc w:val="left"/>
      <w:spacing w:before="480" w:after="0" w:line="276" w:lineRule="auto"/>
      <w:widowControl/>
      <w:outlineLvl w:val="9"/>
    </w:pPr>
    <w:rPr>
      <w:rFonts w:ascii="Calibri" w:hAnsi="Calibri" w:eastAsia="MS Gothic" w:cs="Times New Roman"/>
      <w:bCs/>
      <w:color w:val="365f91"/>
      <w:sz w:val="28"/>
      <w:szCs w:val="28"/>
      <w:lang w:eastAsia="en-US"/>
    </w:rPr>
  </w:style>
  <w:style w:type="character" w:styleId="53412" w:default="1">
    <w:name w:val="Default Paragraph Font"/>
    <w:uiPriority w:val="1"/>
    <w:semiHidden/>
    <w:unhideWhenUsed/>
  </w:style>
  <w:style w:type="numbering" w:styleId="53413" w:default="1">
    <w:name w:val="No List"/>
    <w:uiPriority w:val="99"/>
    <w:semiHidden/>
    <w:unhideWhenUsed/>
  </w:style>
  <w:style w:type="table" w:styleId="534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21</cp:revision>
  <dcterms:created xsi:type="dcterms:W3CDTF">2025-05-13T14:56:00Z</dcterms:created>
  <dcterms:modified xsi:type="dcterms:W3CDTF">2026-11-06T07:15:55Z</dcterms:modified>
  <cp:version>1048576</cp:version>
</cp:coreProperties>
</file>