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b/>
          <w:color w:val="000000" w:themeColor="text1"/>
          <w:sz w:val="48"/>
          <w:szCs w:val="48"/>
          <w:highlight w:val="none"/>
        </w:rPr>
      </w:pPr>
      <w:r>
        <w:rPr>
          <w:rFonts w:ascii="宋体" w:hAnsi="宋体"/>
          <w:b/>
          <w:color w:val="000000" w:themeColor="text1"/>
          <w:sz w:val="48"/>
          <w:szCs w:val="48"/>
          <w:highlight w:val="none"/>
        </w:rPr>
      </w:r>
      <w:r/>
    </w:p>
    <w:p>
      <w:pPr>
        <w:spacing w:line="360" w:lineRule="auto"/>
        <w:shd w:val="clear" w:color="auto" w:fill="ffffff"/>
        <w:widowControl/>
        <w:rPr>
          <w:rFonts w:ascii="宋体" w:hAnsi="宋体"/>
          <w:b/>
          <w:color w:val="000000" w:themeColor="text1"/>
          <w:sz w:val="32"/>
          <w:szCs w:val="32"/>
          <w:highlight w:val="none"/>
        </w:rPr>
      </w:pPr>
      <w:r>
        <w:rPr>
          <w:rFonts w:ascii="宋体" w:hAnsi="宋体"/>
          <w:b/>
          <w:color w:val="000000" w:themeColor="text1"/>
          <w:sz w:val="32"/>
          <w:szCs w:val="32"/>
          <w:highlight w:val="none"/>
        </w:rPr>
      </w:r>
      <w:r/>
    </w:p>
    <w:p>
      <w:pPr>
        <w:jc w:val="center"/>
        <w:spacing w:line="360" w:lineRule="auto"/>
        <w:widowControl/>
        <w:rPr>
          <w:rFonts w:ascii="等线" w:hAnsi="等线" w:eastAsia="等线" w:cs="等线"/>
          <w:b/>
          <w:color w:val="000000" w:themeColor="text1"/>
          <w:sz w:val="52"/>
          <w:szCs w:val="52"/>
          <w:highlight w:val="none"/>
        </w:rPr>
      </w:pPr>
      <w:r>
        <w:rPr>
          <w:rFonts w:ascii="等线" w:hAnsi="等线" w:eastAsia="等线" w:cs="等线"/>
          <w:b/>
          <w:color w:val="000000" w:themeColor="text1"/>
          <w:sz w:val="52"/>
          <w:szCs w:val="52"/>
          <w:highlight w:val="none"/>
        </w:rPr>
      </w:r>
      <w:r/>
    </w:p>
    <w:p>
      <w:pPr>
        <w:jc w:val="center"/>
        <w:spacing w:line="360" w:lineRule="auto"/>
        <w:widowControl/>
        <w:rPr>
          <w:rFonts w:ascii="等线" w:hAnsi="等线" w:eastAsia="等线" w:cs="等线"/>
          <w:b/>
          <w:color w:val="000000" w:themeColor="text1"/>
          <w:sz w:val="72"/>
          <w:szCs w:val="72"/>
          <w:highlight w:val="none"/>
        </w:rPr>
      </w:pPr>
      <w:r>
        <w:rPr>
          <w:rFonts w:hint="eastAsia" w:ascii="等线" w:hAnsi="等线" w:eastAsia="等线" w:cs="等线"/>
          <w:b/>
          <w:color w:val="000000" w:themeColor="text1"/>
          <w:sz w:val="72"/>
          <w:szCs w:val="72"/>
          <w:highlight w:val="none"/>
        </w:rPr>
        <w:t xml:space="preserve">公开招标文件</w:t>
      </w:r>
      <w:r/>
    </w:p>
    <w:p>
      <w:pPr>
        <w:rPr>
          <w:color w:val="000000" w:themeColor="text1"/>
          <w:highlight w:val="none"/>
        </w:rPr>
      </w:pPr>
      <w:r>
        <w:rPr>
          <w:color w:val="000000" w:themeColor="text1"/>
          <w:highlight w:val="none"/>
        </w:rPr>
      </w:r>
      <w:r/>
    </w:p>
    <w:p>
      <w:pPr>
        <w:rPr>
          <w:rFonts w:ascii="等线" w:hAnsi="等线" w:eastAsia="等线" w:cs="等线"/>
          <w:color w:val="000000" w:themeColor="text1"/>
          <w:highlight w:val="none"/>
        </w:rPr>
      </w:pPr>
      <w:r>
        <w:rPr>
          <w:rFonts w:ascii="等线" w:hAnsi="等线" w:eastAsia="等线" w:cs="等线"/>
          <w:color w:val="000000" w:themeColor="text1"/>
          <w:highlight w:val="none"/>
        </w:rPr>
      </w:r>
      <w:r/>
    </w:p>
    <w:p>
      <w:pPr>
        <w:pStyle w:val="1221"/>
        <w:rPr>
          <w:rFonts w:ascii="等线" w:hAnsi="等线" w:eastAsia="等线" w:cs="等线"/>
          <w:color w:val="000000" w:themeColor="text1"/>
          <w:highlight w:val="none"/>
        </w:rPr>
      </w:pPr>
      <w:r>
        <w:rPr>
          <w:rFonts w:ascii="等线" w:hAnsi="等线" w:eastAsia="等线" w:cs="等线"/>
          <w:color w:val="000000" w:themeColor="text1"/>
          <w:highlight w:val="none"/>
        </w:rPr>
      </w:r>
      <w:r/>
    </w:p>
    <w:p>
      <w:pPr>
        <w:pStyle w:val="1221"/>
        <w:rPr>
          <w:rFonts w:ascii="等线" w:hAnsi="等线" w:eastAsia="等线" w:cs="等线"/>
          <w:color w:val="000000" w:themeColor="text1"/>
          <w:highlight w:val="none"/>
        </w:rPr>
      </w:pPr>
      <w:r>
        <w:rPr>
          <w:rFonts w:ascii="等线" w:hAnsi="等线" w:eastAsia="等线" w:cs="等线"/>
          <w:color w:val="000000" w:themeColor="text1"/>
          <w:highlight w:val="none"/>
        </w:rPr>
      </w:r>
      <w:r/>
    </w:p>
    <w:p>
      <w:pPr>
        <w:pStyle w:val="1221"/>
        <w:rPr>
          <w:rFonts w:ascii="等线" w:hAnsi="等线" w:eastAsia="等线" w:cs="等线"/>
          <w:color w:val="000000" w:themeColor="text1"/>
          <w:highlight w:val="none"/>
        </w:rPr>
      </w:pPr>
      <w:r>
        <w:rPr>
          <w:rFonts w:ascii="等线" w:hAnsi="等线" w:eastAsia="等线" w:cs="等线"/>
          <w:color w:val="000000" w:themeColor="text1"/>
          <w:highlight w:val="none"/>
        </w:rPr>
      </w:r>
      <w:r/>
    </w:p>
    <w:p>
      <w:pPr>
        <w:pStyle w:val="1260"/>
        <w:ind w:firstLine="720"/>
        <w:rPr>
          <w:rFonts w:ascii="等线" w:hAnsi="等线" w:eastAsia="等线" w:cs="等线"/>
          <w:b/>
          <w:color w:val="000000" w:themeColor="text1"/>
          <w:sz w:val="36"/>
          <w:szCs w:val="36"/>
          <w:highlight w:val="none"/>
        </w:rPr>
      </w:pPr>
      <w:r>
        <w:rPr>
          <w:rFonts w:ascii="等线" w:hAnsi="等线" w:eastAsia="等线" w:cs="等线"/>
          <w:b/>
          <w:color w:val="000000" w:themeColor="text1"/>
          <w:sz w:val="36"/>
          <w:szCs w:val="36"/>
          <w:highlight w:val="none"/>
        </w:rPr>
      </w:r>
      <w:r/>
    </w:p>
    <w:p>
      <w:pPr>
        <w:rPr>
          <w:color w:val="000000" w:themeColor="text1"/>
          <w:highlight w:val="none"/>
        </w:rPr>
      </w:pPr>
      <w:r>
        <w:rPr>
          <w:color w:val="000000" w:themeColor="text1"/>
          <w:highlight w:val="none"/>
        </w:rPr>
      </w:r>
      <w:r/>
    </w:p>
    <w:p>
      <w:pPr>
        <w:pStyle w:val="1260"/>
        <w:ind w:left="0" w:firstLine="360"/>
        <w:rPr>
          <w:rFonts w:ascii="等线" w:hAnsi="等线" w:eastAsia="等线" w:cs="等线"/>
          <w:b/>
          <w:color w:val="000000" w:themeColor="text1"/>
          <w:sz w:val="36"/>
          <w:szCs w:val="36"/>
          <w:highlight w:val="none"/>
        </w:rPr>
        <w:outlineLvl w:val="0"/>
      </w:pPr>
      <w:r/>
      <w:bookmarkStart w:id="0" w:name="_Toc18152"/>
      <w:r/>
      <w:bookmarkStart w:id="1" w:name="_Toc677"/>
      <w:r>
        <w:rPr>
          <w:rFonts w:hint="eastAsia" w:ascii="等线" w:hAnsi="等线" w:eastAsia="等线" w:cs="等线"/>
          <w:b/>
          <w:color w:val="000000" w:themeColor="text1"/>
          <w:sz w:val="36"/>
          <w:szCs w:val="36"/>
          <w:highlight w:val="none"/>
        </w:rPr>
        <w:t xml:space="preserve">项目编号：</w:t>
      </w:r>
      <w:bookmarkEnd w:id="0"/>
      <w:r/>
      <w:bookmarkEnd w:id="1"/>
      <w:r>
        <w:rPr>
          <w:rFonts w:hint="eastAsia" w:ascii="等线" w:hAnsi="等线" w:eastAsia="等线" w:cs="等线"/>
          <w:b/>
          <w:color w:val="000000" w:themeColor="text1"/>
          <w:sz w:val="36"/>
          <w:szCs w:val="36"/>
          <w:highlight w:val="none"/>
        </w:rPr>
        <w:t xml:space="preserve">JSZC-320100-SKRS-G2026-0006</w:t>
      </w:r>
      <w:r/>
    </w:p>
    <w:p>
      <w:pPr>
        <w:pStyle w:val="1260"/>
        <w:ind w:left="0" w:firstLine="360"/>
        <w:rPr>
          <w:rFonts w:ascii="等线" w:hAnsi="等线" w:eastAsia="等线" w:cs="等线"/>
          <w:b/>
          <w:color w:val="000000" w:themeColor="text1"/>
          <w:sz w:val="36"/>
          <w:szCs w:val="36"/>
          <w:highlight w:val="none"/>
        </w:rPr>
        <w:outlineLvl w:val="0"/>
      </w:pPr>
      <w:r/>
      <w:bookmarkStart w:id="2" w:name="_Toc10683"/>
      <w:r/>
      <w:bookmarkStart w:id="3" w:name="_Toc7967"/>
      <w:r>
        <w:rPr>
          <w:rFonts w:hint="eastAsia" w:ascii="等线" w:hAnsi="等线" w:eastAsia="等线" w:cs="等线"/>
          <w:b/>
          <w:color w:val="000000" w:themeColor="text1"/>
          <w:sz w:val="36"/>
          <w:szCs w:val="36"/>
          <w:highlight w:val="none"/>
        </w:rPr>
        <w:t xml:space="preserve">项目名称：</w:t>
      </w:r>
      <w:bookmarkEnd w:id="2"/>
      <w:r>
        <w:rPr>
          <w:rFonts w:hint="eastAsia" w:ascii="等线" w:hAnsi="等线" w:eastAsia="等线" w:cs="等线"/>
          <w:b/>
          <w:color w:val="000000" w:themeColor="text1"/>
          <w:sz w:val="36"/>
          <w:szCs w:val="36"/>
          <w:highlight w:val="none"/>
        </w:rPr>
        <w:t xml:space="preserve">2026年度市级农产品质量安全检验检测能力提升仪器设备采购项目</w:t>
      </w:r>
      <w:bookmarkEnd w:id="3"/>
      <w:r/>
      <w:r/>
    </w:p>
    <w:p>
      <w:pPr>
        <w:pStyle w:val="1260"/>
        <w:ind w:left="0" w:firstLine="360"/>
        <w:rPr>
          <w:rFonts w:ascii="等线" w:hAnsi="等线" w:eastAsia="等线" w:cs="等线"/>
          <w:color w:val="000000" w:themeColor="text1"/>
          <w:highlight w:val="none"/>
        </w:rPr>
      </w:pPr>
      <w:r>
        <w:rPr>
          <w:rFonts w:hint="eastAsia" w:ascii="等线" w:hAnsi="等线" w:eastAsia="等线" w:cs="等线"/>
          <w:b/>
          <w:color w:val="000000" w:themeColor="text1"/>
          <w:sz w:val="36"/>
          <w:szCs w:val="36"/>
          <w:highlight w:val="none"/>
        </w:rPr>
        <w:t xml:space="preserve">项目类别：货物类</w:t>
      </w:r>
      <w:r/>
    </w:p>
    <w:p>
      <w:pPr>
        <w:pStyle w:val="1260"/>
        <w:ind w:firstLine="720"/>
        <w:rPr>
          <w:rFonts w:ascii="等线" w:hAnsi="等线" w:eastAsia="等线" w:cs="等线"/>
          <w:b/>
          <w:color w:val="000000" w:themeColor="text1"/>
          <w:sz w:val="36"/>
          <w:szCs w:val="36"/>
          <w:highlight w:val="none"/>
        </w:rPr>
      </w:pPr>
      <w:r>
        <w:rPr>
          <w:rFonts w:ascii="等线" w:hAnsi="等线" w:eastAsia="等线" w:cs="等线"/>
          <w:b/>
          <w:color w:val="000000" w:themeColor="text1"/>
          <w:sz w:val="36"/>
          <w:szCs w:val="36"/>
          <w:highlight w:val="none"/>
        </w:rPr>
      </w:r>
      <w:r/>
    </w:p>
    <w:p>
      <w:pPr>
        <w:pStyle w:val="1260"/>
        <w:ind w:firstLine="720"/>
        <w:rPr>
          <w:rFonts w:ascii="等线" w:hAnsi="等线" w:eastAsia="等线" w:cs="等线"/>
          <w:b/>
          <w:color w:val="000000" w:themeColor="text1"/>
          <w:sz w:val="36"/>
          <w:szCs w:val="36"/>
          <w:highlight w:val="none"/>
        </w:rPr>
      </w:pPr>
      <w:r>
        <w:rPr>
          <w:rFonts w:ascii="等线" w:hAnsi="等线" w:eastAsia="等线" w:cs="等线"/>
          <w:b/>
          <w:color w:val="000000" w:themeColor="text1"/>
          <w:sz w:val="36"/>
          <w:szCs w:val="36"/>
          <w:highlight w:val="none"/>
        </w:rPr>
      </w:r>
      <w:r/>
    </w:p>
    <w:p>
      <w:pPr>
        <w:pStyle w:val="1260"/>
        <w:ind w:left="0" w:firstLine="0"/>
        <w:rPr>
          <w:rFonts w:ascii="等线" w:hAnsi="等线" w:eastAsia="等线" w:cs="等线"/>
          <w:b/>
          <w:color w:val="000000" w:themeColor="text1"/>
          <w:sz w:val="36"/>
          <w:szCs w:val="36"/>
          <w:highlight w:val="none"/>
        </w:rPr>
      </w:pPr>
      <w:r>
        <w:rPr>
          <w:rFonts w:ascii="等线" w:hAnsi="等线" w:eastAsia="等线" w:cs="等线"/>
          <w:b/>
          <w:color w:val="000000" w:themeColor="text1"/>
          <w:sz w:val="36"/>
          <w:szCs w:val="36"/>
          <w:highlight w:val="none"/>
        </w:rPr>
      </w:r>
      <w:r/>
    </w:p>
    <w:p>
      <w:pPr>
        <w:pStyle w:val="1260"/>
        <w:rPr>
          <w:rFonts w:ascii="等线" w:hAnsi="等线" w:eastAsia="等线" w:cs="等线"/>
          <w:color w:val="000000" w:themeColor="text1"/>
          <w:highlight w:val="none"/>
        </w:rPr>
      </w:pPr>
      <w:r>
        <w:rPr>
          <w:rFonts w:ascii="等线" w:hAnsi="等线" w:eastAsia="等线" w:cs="等线"/>
          <w:color w:val="000000" w:themeColor="text1"/>
          <w:highlight w:val="none"/>
        </w:rPr>
      </w:r>
      <w:r/>
    </w:p>
    <w:p>
      <w:pPr>
        <w:ind w:firstLine="1081"/>
        <w:spacing w:line="360" w:lineRule="auto"/>
        <w:widowControl/>
        <w:rPr>
          <w:rFonts w:ascii="等线" w:hAnsi="等线" w:eastAsia="等线" w:cs="等线"/>
          <w:b/>
          <w:color w:val="000000" w:themeColor="text1"/>
          <w:sz w:val="36"/>
          <w:szCs w:val="36"/>
          <w:highlight w:val="none"/>
        </w:rPr>
      </w:pPr>
      <w:r>
        <w:rPr>
          <w:rFonts w:hint="eastAsia" w:ascii="等线" w:hAnsi="等线" w:eastAsia="等线" w:cs="等线"/>
          <w:b/>
          <w:color w:val="000000" w:themeColor="text1"/>
          <w:sz w:val="36"/>
          <w:szCs w:val="36"/>
          <w:highlight w:val="none"/>
        </w:rPr>
        <w:t xml:space="preserve">采 购 人：南京市农产品质量检测院</w:t>
      </w:r>
      <w:r/>
    </w:p>
    <w:p>
      <w:pPr>
        <w:ind w:firstLine="1081"/>
        <w:spacing w:line="360" w:lineRule="auto"/>
        <w:widowControl/>
        <w:rPr>
          <w:rFonts w:ascii="等线" w:hAnsi="等线" w:eastAsia="等线" w:cs="等线"/>
          <w:b/>
          <w:color w:val="000000" w:themeColor="text1"/>
          <w:sz w:val="36"/>
          <w:szCs w:val="36"/>
          <w:highlight w:val="none"/>
        </w:rPr>
        <w:outlineLvl w:val="0"/>
      </w:pPr>
      <w:r/>
      <w:bookmarkStart w:id="4" w:name="_Toc13433"/>
      <w:r/>
      <w:bookmarkStart w:id="5" w:name="_Toc2467"/>
      <w:r>
        <w:rPr>
          <w:rFonts w:hint="eastAsia" w:ascii="等线" w:hAnsi="等线" w:eastAsia="等线" w:cs="等线"/>
          <w:b/>
          <w:color w:val="000000" w:themeColor="text1"/>
          <w:sz w:val="36"/>
          <w:szCs w:val="36"/>
          <w:highlight w:val="none"/>
        </w:rPr>
        <w:t xml:space="preserve">招标代理：</w:t>
      </w:r>
      <w:bookmarkEnd w:id="4"/>
      <w:r>
        <w:rPr>
          <w:rFonts w:hint="eastAsia" w:ascii="等线" w:hAnsi="等线" w:eastAsia="等线" w:cs="等线"/>
          <w:b/>
          <w:color w:val="000000" w:themeColor="text1"/>
          <w:sz w:val="36"/>
          <w:szCs w:val="36"/>
          <w:highlight w:val="none"/>
        </w:rPr>
        <w:t xml:space="preserve">江苏克瑞斯工程投资咨询有限责任公司</w:t>
      </w:r>
      <w:bookmarkEnd w:id="5"/>
      <w:r/>
      <w:r/>
    </w:p>
    <w:p>
      <w:pPr>
        <w:jc w:val="center"/>
        <w:spacing w:line="360" w:lineRule="auto"/>
        <w:shd w:val="clear" w:color="auto" w:fill="ffffff"/>
        <w:widowControl/>
        <w:rPr>
          <w:rFonts w:ascii="等线" w:hAnsi="等线" w:eastAsia="等线" w:cs="等线"/>
          <w:b/>
          <w:color w:val="000000" w:themeColor="text1"/>
          <w:sz w:val="36"/>
          <w:szCs w:val="36"/>
          <w:highlight w:val="none"/>
        </w:rPr>
      </w:pPr>
      <w:r>
        <w:rPr>
          <w:rFonts w:hint="eastAsia" w:ascii="等线" w:hAnsi="等线" w:eastAsia="等线" w:cs="等线"/>
          <w:b/>
          <w:color w:val="000000" w:themeColor="text1"/>
          <w:sz w:val="36"/>
          <w:szCs w:val="36"/>
          <w:highlight w:val="none"/>
        </w:rPr>
        <w:t xml:space="preserve">2026年10月</w:t>
      </w:r>
      <w:r/>
    </w:p>
    <w:p>
      <w:pPr>
        <w:pStyle w:val="1330"/>
        <w:jc w:val="center"/>
        <w:rPr>
          <w:rFonts w:ascii="等线" w:hAnsi="等线" w:eastAsia="等线" w:cs="等线"/>
          <w:color w:val="000000" w:themeColor="text1"/>
          <w:sz w:val="44"/>
          <w:szCs w:val="44"/>
          <w:highlight w:val="none"/>
          <w:lang w:val="zh-CN"/>
        </w:rPr>
        <w:sectPr>
          <w:footerReference w:type="default" r:id="rId10"/>
          <w:footerReference w:type="first" r:id="rId11"/>
          <w:footnotePr/>
          <w:endnotePr/>
          <w:type w:val="nextPage"/>
          <w:pgSz w:w="11906" w:h="16838" w:orient="portrait"/>
          <w:pgMar w:top="1100" w:right="1236" w:bottom="1100" w:left="1236" w:header="851" w:footer="992" w:gutter="0"/>
          <w:cols w:num="1" w:sep="0" w:space="1701" w:equalWidth="1"/>
          <w:docGrid w:linePitch="360"/>
          <w:titlePg/>
        </w:sectPr>
      </w:pPr>
      <w:r>
        <w:rPr>
          <w:rFonts w:ascii="等线" w:hAnsi="等线" w:eastAsia="等线" w:cs="等线"/>
          <w:color w:val="000000" w:themeColor="text1"/>
          <w:sz w:val="44"/>
          <w:szCs w:val="44"/>
          <w:highlight w:val="none"/>
          <w:lang w:val="zh-CN"/>
        </w:rPr>
      </w:r>
      <w:r/>
    </w:p>
    <w:p>
      <w:pPr>
        <w:jc w:val="center"/>
        <w:rPr>
          <w:b/>
          <w:bCs/>
          <w:color w:val="000000" w:themeColor="text1"/>
          <w:sz w:val="36"/>
          <w:szCs w:val="36"/>
          <w:highlight w:val="none"/>
        </w:rPr>
      </w:pPr>
      <w:r>
        <w:rPr>
          <w:rFonts w:ascii="宋体" w:hAnsi="宋体"/>
          <w:b/>
          <w:bCs/>
          <w:color w:val="000000" w:themeColor="text1"/>
          <w:sz w:val="36"/>
          <w:szCs w:val="36"/>
          <w:highlight w:val="none"/>
        </w:rPr>
        <w:t xml:space="preserve">目录</w:t>
      </w:r>
      <w:r/>
    </w:p>
    <w:p>
      <w:pPr>
        <w:pStyle w:val="1035"/>
        <w:tabs>
          <w:tab w:val="right" w:pos="9434" w:leader="dot"/>
        </w:tabs>
        <w:rPr>
          <w:color w:val="000000" w:themeColor="text1"/>
          <w:highlight w:val="none"/>
        </w:rPr>
      </w:pPr>
      <w:r>
        <w:rPr>
          <w:rFonts w:hint="eastAsia" w:ascii="宋体" w:hAnsi="宋体"/>
          <w:b/>
          <w:color w:val="000000" w:themeColor="text1"/>
          <w:sz w:val="28"/>
          <w:szCs w:val="28"/>
          <w:highlight w:val="none"/>
        </w:rPr>
        <w:fldChar w:fldCharType="begin"/>
      </w:r>
      <w:r>
        <w:rPr>
          <w:rFonts w:hint="eastAsia" w:ascii="宋体" w:hAnsi="宋体"/>
          <w:b/>
          <w:color w:val="000000" w:themeColor="text1"/>
          <w:sz w:val="28"/>
          <w:szCs w:val="28"/>
          <w:highlight w:val="none"/>
        </w:rPr>
        <w:instrText xml:space="preserve">TOC \o "1-1" \h \u </w:instrText>
      </w:r>
      <w:r>
        <w:rPr>
          <w:rFonts w:hint="eastAsia" w:ascii="宋体" w:hAnsi="宋体"/>
          <w:b/>
          <w:color w:val="000000" w:themeColor="text1"/>
          <w:sz w:val="28"/>
          <w:szCs w:val="28"/>
          <w:highlight w:val="none"/>
        </w:rPr>
        <w:fldChar w:fldCharType="separate"/>
      </w:r>
      <w:r/>
    </w:p>
    <w:p>
      <w:pPr>
        <w:pStyle w:val="1035"/>
        <w:spacing w:line="480" w:lineRule="auto"/>
        <w:tabs>
          <w:tab w:val="right" w:pos="943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"_Toc19660" </w:instrText>
      </w:r>
      <w:r>
        <w:rPr>
          <w:color w:val="000000" w:themeColor="text1"/>
          <w:highlight w:val="none"/>
        </w:rPr>
        <w:fldChar w:fldCharType="separate"/>
      </w:r>
      <w:r>
        <w:rPr>
          <w:rFonts w:hint="eastAsia" w:ascii="宋体" w:hAnsi="宋体" w:cs="宋体"/>
          <w:color w:val="000000" w:themeColor="text1"/>
          <w:szCs w:val="32"/>
          <w:highlight w:val="none"/>
          <w:shd w:val="clear" w:color="auto" w:fill="ffffff"/>
        </w:rPr>
        <w:t xml:space="preserve">第一章 </w:t>
      </w:r>
      <w:r>
        <w:rPr>
          <w:rFonts w:hint="eastAsia" w:ascii="宋体" w:hAnsi="宋体"/>
          <w:color w:val="000000" w:themeColor="text1"/>
          <w:szCs w:val="32"/>
          <w:highlight w:val="none"/>
        </w:rPr>
        <w:t xml:space="preserve">投标邀请书（招标公告）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_Toc19660 \h </w:instrText>
      </w:r>
      <w:r>
        <w:rPr>
          <w:color w:val="000000" w:themeColor="text1"/>
          <w:highlight w:val="none"/>
        </w:rPr>
        <w:fldChar w:fldCharType="separate"/>
      </w:r>
      <w:r>
        <w:rPr>
          <w:color w:val="000000" w:themeColor="text1"/>
          <w:highlight w:val="none"/>
        </w:rPr>
        <w:t xml:space="preserve">2</w:t>
      </w:r>
      <w:r>
        <w:rPr>
          <w:color w:val="000000" w:themeColor="text1"/>
          <w:highlight w:val="none"/>
        </w:rPr>
        <w:fldChar w:fldCharType="end"/>
      </w:r>
      <w:r>
        <w:rPr>
          <w:color w:val="000000" w:themeColor="text1"/>
          <w:highlight w:val="none"/>
        </w:rPr>
        <w:fldChar w:fldCharType="end"/>
      </w:r>
      <w:r/>
    </w:p>
    <w:p>
      <w:pPr>
        <w:pStyle w:val="1035"/>
        <w:spacing w:line="480" w:lineRule="auto"/>
        <w:tabs>
          <w:tab w:val="right" w:pos="943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"_Toc9891" </w:instrText>
      </w:r>
      <w:r>
        <w:rPr>
          <w:color w:val="000000" w:themeColor="text1"/>
          <w:highlight w:val="none"/>
        </w:rPr>
        <w:fldChar w:fldCharType="separate"/>
      </w:r>
      <w:r>
        <w:rPr>
          <w:rFonts w:hint="eastAsia"/>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_Toc9891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color w:val="000000" w:themeColor="text1"/>
          <w:highlight w:val="none"/>
        </w:rPr>
        <w:fldChar w:fldCharType="end"/>
      </w:r>
      <w:r/>
    </w:p>
    <w:p>
      <w:pPr>
        <w:pStyle w:val="1035"/>
        <w:spacing w:line="480" w:lineRule="auto"/>
        <w:tabs>
          <w:tab w:val="right" w:pos="943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"_Toc27859" </w:instrText>
      </w:r>
      <w:r>
        <w:rPr>
          <w:color w:val="000000" w:themeColor="text1"/>
          <w:highlight w:val="none"/>
        </w:rPr>
        <w:fldChar w:fldCharType="separate"/>
      </w:r>
      <w:r>
        <w:rPr>
          <w:rFonts w:hint="eastAsia"/>
          <w:color w:val="000000" w:themeColor="text1"/>
          <w:highlight w:val="none"/>
        </w:rPr>
        <w:t xml:space="preserve">第三章 评标标准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_Toc27859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color w:val="000000" w:themeColor="text1"/>
          <w:highlight w:val="none"/>
        </w:rPr>
        <w:fldChar w:fldCharType="end"/>
      </w:r>
      <w:r/>
    </w:p>
    <w:p>
      <w:pPr>
        <w:pStyle w:val="1035"/>
        <w:spacing w:line="480" w:lineRule="auto"/>
        <w:tabs>
          <w:tab w:val="right" w:pos="943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"_Toc9749" </w:instrText>
      </w:r>
      <w:r>
        <w:rPr>
          <w:color w:val="000000" w:themeColor="text1"/>
          <w:highlight w:val="none"/>
        </w:rPr>
        <w:fldChar w:fldCharType="separate"/>
      </w:r>
      <w:r>
        <w:rPr>
          <w:rFonts w:hint="eastAsia" w:ascii="宋体" w:hAnsi="宋体" w:cs="宋体"/>
          <w:color w:val="000000" w:themeColor="text1"/>
          <w:szCs w:val="32"/>
          <w:highlight w:val="none"/>
          <w:shd w:val="clear" w:color="auto" w:fill="ffffff"/>
        </w:rPr>
        <w:t xml:space="preserve">第四章 招标技术规格及要求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_Toc9749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color w:val="000000" w:themeColor="text1"/>
          <w:highlight w:val="none"/>
        </w:rPr>
        <w:fldChar w:fldCharType="end"/>
      </w:r>
      <w:r/>
    </w:p>
    <w:p>
      <w:pPr>
        <w:pStyle w:val="1035"/>
        <w:spacing w:line="480" w:lineRule="auto"/>
        <w:tabs>
          <w:tab w:val="right" w:pos="943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"_Toc525" </w:instrText>
      </w:r>
      <w:r>
        <w:rPr>
          <w:color w:val="000000" w:themeColor="text1"/>
          <w:highlight w:val="none"/>
        </w:rPr>
        <w:fldChar w:fldCharType="separate"/>
      </w:r>
      <w:r>
        <w:rPr>
          <w:rFonts w:hint="eastAsia" w:ascii="宋体" w:hAnsi="宋体" w:cs="宋体"/>
          <w:color w:val="000000" w:themeColor="text1"/>
          <w:szCs w:val="32"/>
          <w:highlight w:val="none"/>
          <w:shd w:val="clear" w:color="auto" w:fill="ffffff"/>
        </w:rPr>
        <w:t xml:space="preserve">第五章 合同主要条款及格式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_Toc525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r>
        <w:rPr>
          <w:color w:val="000000" w:themeColor="text1"/>
          <w:highlight w:val="none"/>
        </w:rPr>
        <w:fldChar w:fldCharType="end"/>
      </w:r>
      <w:r/>
    </w:p>
    <w:p>
      <w:pPr>
        <w:pStyle w:val="1035"/>
        <w:spacing w:line="480" w:lineRule="auto"/>
        <w:tabs>
          <w:tab w:val="right" w:pos="943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"_Toc5471" </w:instrText>
      </w:r>
      <w:r>
        <w:rPr>
          <w:color w:val="000000" w:themeColor="text1"/>
          <w:highlight w:val="none"/>
        </w:rPr>
        <w:fldChar w:fldCharType="separate"/>
      </w:r>
      <w:r>
        <w:rPr>
          <w:rFonts w:hint="eastAsia" w:ascii="宋体" w:hAnsi="宋体" w:cs="宋体"/>
          <w:color w:val="000000" w:themeColor="text1"/>
          <w:szCs w:val="32"/>
          <w:highlight w:val="none"/>
          <w:shd w:val="clear" w:color="auto" w:fill="ffffff"/>
        </w:rPr>
        <w:t xml:space="preserve">第六章  投标文件格式及附件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_Toc5471 \h </w:instrText>
      </w:r>
      <w:r>
        <w:rPr>
          <w:color w:val="000000" w:themeColor="text1"/>
          <w:highlight w:val="none"/>
        </w:rPr>
        <w:fldChar w:fldCharType="separate"/>
      </w:r>
      <w:r>
        <w:rPr>
          <w:color w:val="000000" w:themeColor="text1"/>
          <w:highlight w:val="none"/>
        </w:rPr>
        <w:t xml:space="preserve">27</w:t>
      </w:r>
      <w:r>
        <w:rPr>
          <w:color w:val="000000" w:themeColor="text1"/>
          <w:highlight w:val="none"/>
        </w:rPr>
        <w:fldChar w:fldCharType="end"/>
      </w:r>
      <w:r>
        <w:rPr>
          <w:color w:val="000000" w:themeColor="text1"/>
          <w:highlight w:val="none"/>
        </w:rPr>
        <w:fldChar w:fldCharType="end"/>
      </w:r>
      <w:r/>
    </w:p>
    <w:p>
      <w:pPr>
        <w:pStyle w:val="1035"/>
        <w:tabs>
          <w:tab w:val="right" w:pos="9434" w:leader="dot"/>
        </w:tabs>
        <w:rPr>
          <w:color w:val="000000" w:themeColor="text1"/>
          <w:highlight w:val="none"/>
        </w:rPr>
      </w:pPr>
      <w:r>
        <w:rPr>
          <w:color w:val="000000" w:themeColor="text1"/>
          <w:highlight w:val="none"/>
        </w:rPr>
      </w:r>
      <w:r/>
    </w:p>
    <w:p>
      <w:pPr>
        <w:pStyle w:val="1260"/>
        <w:ind w:firstLine="560"/>
        <w:jc w:val="center"/>
        <w:rPr>
          <w:rFonts w:ascii="宋体" w:hAnsi="宋体"/>
          <w:b/>
          <w:color w:val="000000" w:themeColor="text1"/>
          <w:sz w:val="36"/>
          <w:szCs w:val="36"/>
          <w:highlight w:val="none"/>
        </w:rPr>
      </w:pPr>
      <w:r>
        <w:rPr>
          <w:rFonts w:hint="eastAsia" w:ascii="宋体" w:hAnsi="宋体"/>
          <w:color w:val="000000" w:themeColor="text1"/>
          <w:szCs w:val="28"/>
          <w:highlight w:val="none"/>
        </w:rPr>
        <w:fldChar w:fldCharType="end"/>
      </w:r>
      <w:r/>
    </w:p>
    <w:p>
      <w:pPr>
        <w:pStyle w:val="1199"/>
        <w:numPr>
          <w:ilvl w:val="0"/>
          <w:numId w:val="0"/>
        </w:numPr>
        <w:spacing w:before="100" w:after="100" w:line="360" w:lineRule="auto"/>
        <w:rPr>
          <w:rFonts w:ascii="宋体" w:hAnsi="宋体" w:cs="宋体"/>
          <w:color w:val="000000" w:themeColor="text1"/>
          <w:szCs w:val="32"/>
          <w:highlight w:val="none"/>
          <w:shd w:val="clear" w:color="auto" w:fill="ffffff"/>
        </w:rPr>
        <w:sectPr>
          <w:footerReference w:type="default" r:id="rId12"/>
          <w:footerReference w:type="first" r:id="rId13"/>
          <w:footnotePr/>
          <w:endnotePr/>
          <w:type w:val="nextPage"/>
          <w:pgSz w:w="11906" w:h="16838" w:orient="portrait"/>
          <w:pgMar w:top="1100" w:right="1236" w:bottom="1100" w:left="1236" w:header="851" w:footer="992" w:gutter="0"/>
          <w:pgNumType w:start="1"/>
          <w:cols w:num="1" w:sep="0" w:space="1701" w:equalWidth="1"/>
          <w:docGrid w:linePitch="360"/>
        </w:sectPr>
      </w:pPr>
      <w:r/>
      <w:bookmarkStart w:id="6" w:name="_Toc452625217"/>
      <w:r/>
      <w:r/>
    </w:p>
    <w:p>
      <w:pPr>
        <w:pStyle w:val="1199"/>
        <w:numPr>
          <w:ilvl w:val="0"/>
          <w:numId w:val="0"/>
        </w:numPr>
        <w:spacing w:before="0" w:after="0" w:line="360" w:lineRule="auto"/>
        <w:rPr>
          <w:rFonts w:ascii="宋体" w:hAnsi="宋体"/>
          <w:color w:val="000000" w:themeColor="text1"/>
          <w:szCs w:val="32"/>
          <w:highlight w:val="none"/>
        </w:rPr>
      </w:pPr>
      <w:r/>
      <w:bookmarkStart w:id="7" w:name="_Toc19660"/>
      <w:r>
        <w:rPr>
          <w:rFonts w:hint="eastAsia" w:ascii="宋体" w:hAnsi="宋体" w:cs="宋体"/>
          <w:color w:val="000000" w:themeColor="text1"/>
          <w:szCs w:val="32"/>
          <w:highlight w:val="none"/>
          <w:shd w:val="clear" w:color="auto" w:fill="ffffff"/>
        </w:rPr>
        <w:t xml:space="preserve">第一章 </w:t>
      </w:r>
      <w:r>
        <w:rPr>
          <w:rFonts w:hint="eastAsia" w:ascii="宋体" w:hAnsi="宋体"/>
          <w:color w:val="000000" w:themeColor="text1"/>
          <w:szCs w:val="32"/>
          <w:highlight w:val="none"/>
        </w:rPr>
        <w:t xml:space="preserve">投标邀请书（招标公告）</w:t>
      </w:r>
      <w:bookmarkEnd w:id="6"/>
      <w:r/>
      <w:bookmarkEnd w:id="7"/>
      <w:r/>
      <w:r/>
    </w:p>
    <w:p>
      <w:pPr>
        <w:ind w:firstLine="480"/>
        <w:jc w:val="left"/>
        <w:spacing w:line="360" w:lineRule="auto"/>
        <w:rPr>
          <w:rFonts w:ascii="宋体" w:hAnsi="宋体" w:cs="宋体"/>
          <w:color w:val="000000" w:themeColor="text1"/>
          <w:sz w:val="22"/>
          <w:szCs w:val="22"/>
          <w:highlight w:val="none"/>
        </w:rPr>
      </w:pPr>
      <w:r/>
      <w:bookmarkStart w:id="8" w:name="_Toc35393629"/>
      <w:r/>
      <w:bookmarkStart w:id="9" w:name="_Toc28359012"/>
      <w:r/>
      <w:bookmarkStart w:id="10" w:name="_Toc35393798"/>
      <w:r/>
      <w:bookmarkStart w:id="11" w:name="_Toc28359089"/>
      <w:r>
        <w:rPr>
          <w:rFonts w:hint="eastAsia" w:ascii="宋体" w:hAnsi="宋体" w:cs="宋体"/>
          <w:color w:val="000000" w:themeColor="text1"/>
          <w:sz w:val="22"/>
          <w:szCs w:val="22"/>
          <w:highlight w:val="none"/>
        </w:rPr>
        <w:t xml:space="preserve">2026年度市级农产品质量安全检验检测能力提升仪器设备采购项目的潜在供应商应在</w:t>
      </w:r>
      <w:r>
        <w:rPr>
          <w:rFonts w:hint="eastAsia" w:ascii="宋体" w:hAnsi="宋体" w:cs="宋体"/>
          <w:b/>
          <w:bCs/>
          <w:color w:val="000000" w:themeColor="text1"/>
          <w:sz w:val="22"/>
          <w:szCs w:val="22"/>
          <w:highlight w:val="none"/>
        </w:rPr>
        <w:t xml:space="preserve">江苏省政府采购交易系统（以下简称“苏采云”系统）</w:t>
      </w:r>
      <w:r>
        <w:rPr>
          <w:rFonts w:hint="eastAsia" w:ascii="宋体" w:hAnsi="宋体" w:cs="宋体"/>
          <w:color w:val="000000" w:themeColor="text1"/>
          <w:sz w:val="22"/>
          <w:szCs w:val="22"/>
          <w:highlight w:val="none"/>
        </w:rPr>
        <w:t xml:space="preserve">获取招标文件，并于2026年11月</w:t>
      </w:r>
      <w:r>
        <w:rPr>
          <w:rFonts w:hint="eastAsia" w:ascii="宋体" w:hAnsi="宋体" w:cs="宋体"/>
          <w:color w:val="000000" w:themeColor="text1"/>
          <w:sz w:val="22"/>
          <w:szCs w:val="22"/>
          <w:highlight w:val="none"/>
          <w:lang w:val="en-US" w:eastAsia="zh-CN"/>
        </w:rPr>
        <w:t xml:space="preserve">3</w:t>
      </w:r>
      <w:r>
        <w:rPr>
          <w:rFonts w:hint="eastAsia" w:ascii="宋体" w:hAnsi="宋体" w:cs="宋体"/>
          <w:color w:val="000000" w:themeColor="text1"/>
          <w:sz w:val="22"/>
          <w:szCs w:val="22"/>
          <w:highlight w:val="none"/>
        </w:rPr>
        <w:t xml:space="preserve">日09点30分（北京时间）前提交投标文件。</w:t>
      </w:r>
      <w:r/>
    </w:p>
    <w:p>
      <w:pPr>
        <w:ind w:firstLine="482"/>
        <w:jc w:val="left"/>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一、项目概况和招标范围 </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1.项目编号：</w:t>
      </w:r>
      <w:r>
        <w:rPr>
          <w:rFonts w:hint="eastAsia" w:ascii="宋体" w:hAnsi="宋体" w:eastAsia="宋体" w:cs="宋体"/>
          <w:i w:val="0"/>
          <w:iCs w:val="0"/>
          <w:caps w:val="0"/>
          <w:color w:val="000000" w:themeColor="text1"/>
          <w:spacing w:val="0"/>
          <w:sz w:val="22"/>
          <w:szCs w:val="22"/>
          <w:highlight w:val="none"/>
          <w:shd w:val="clear" w:color="auto"/>
        </w:rPr>
        <w:t xml:space="preserve">JSZC-320100-SKRS-G2026-0006</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2.项目名称：2026年度市级农产品质量安全检验检测能力提升仪器设备采购项目</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3.采购方式：公开招标 </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4.预算金额：199.8万元</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人民币</w:t>
      </w:r>
      <w:r>
        <w:rPr>
          <w:rFonts w:hint="eastAsia" w:ascii="宋体" w:hAnsi="宋体" w:cs="宋体"/>
          <w:color w:val="000000" w:themeColor="text1"/>
          <w:sz w:val="22"/>
          <w:szCs w:val="22"/>
          <w:highlight w:val="none"/>
          <w:lang w:eastAsia="zh-CN"/>
        </w:rPr>
        <w:t xml:space="preserve">）</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5.最高限价：199.8万元</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人民币</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，投标报价超过最高限价的为无效投标。</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6.采购需求：采购液相色谱-串联质谱仪1套，具体详见招标文件第四章。</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7.合同履行期限：国产设备：合同签订生效后60日历天内，全部货物送达采购人指定实验室现场，并完成卸货、安装、调试，达到验收条件；进口设备：</w:t>
      </w:r>
      <w:r>
        <w:rPr>
          <w:rFonts w:hint="eastAsia" w:ascii="宋体" w:hAnsi="宋体" w:cs="宋体"/>
          <w:color w:val="000000" w:themeColor="text1"/>
          <w:sz w:val="22"/>
          <w:szCs w:val="22"/>
          <w:highlight w:val="none"/>
          <w:lang w:val="en-US" w:eastAsia="zh-CN"/>
        </w:rPr>
        <w:t xml:space="preserve">预付款支付</w:t>
      </w:r>
      <w:r>
        <w:rPr>
          <w:rFonts w:hint="eastAsia" w:ascii="宋体" w:hAnsi="宋体" w:cs="宋体"/>
          <w:color w:val="000000" w:themeColor="text1"/>
          <w:sz w:val="22"/>
          <w:szCs w:val="22"/>
          <w:highlight w:val="none"/>
        </w:rPr>
        <w:t xml:space="preserve">后8周内，全部货物送达采购人指定实验室现场，并完成卸货、安装、调试，达到验收条件。</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8.本项目</w:t>
      </w:r>
      <w:r>
        <w:rPr>
          <w:rFonts w:hint="eastAsia" w:ascii="宋体" w:hAnsi="宋体" w:cs="宋体"/>
          <w:b/>
          <w:bCs/>
          <w:color w:val="000000" w:themeColor="text1"/>
          <w:sz w:val="22"/>
          <w:szCs w:val="22"/>
          <w:highlight w:val="none"/>
        </w:rPr>
        <w:t xml:space="preserve">接受</w:t>
      </w:r>
      <w:r>
        <w:rPr>
          <w:rFonts w:hint="eastAsia" w:ascii="宋体" w:hAnsi="宋体" w:cs="宋体"/>
          <w:color w:val="000000" w:themeColor="text1"/>
          <w:sz w:val="22"/>
          <w:szCs w:val="22"/>
          <w:highlight w:val="none"/>
        </w:rPr>
        <w:t xml:space="preserve">进口产品投标，进口产品是指通过中国海关报关验放进入中国境内且产自</w:t>
      </w:r>
      <w:r>
        <w:rPr>
          <w:rFonts w:hint="eastAsia" w:ascii="宋体" w:hAnsi="宋体" w:cs="宋体"/>
          <w:color w:val="000000" w:themeColor="text1"/>
          <w:sz w:val="22"/>
          <w:szCs w:val="22"/>
          <w:highlight w:val="none"/>
          <w:lang w:val="en-US" w:eastAsia="zh-CN"/>
        </w:rPr>
        <w:t xml:space="preserve">关</w:t>
      </w:r>
      <w:r>
        <w:rPr>
          <w:rFonts w:hint="eastAsia" w:ascii="宋体" w:hAnsi="宋体" w:cs="宋体"/>
          <w:color w:val="000000" w:themeColor="text1"/>
          <w:sz w:val="22"/>
          <w:szCs w:val="22"/>
          <w:highlight w:val="none"/>
        </w:rPr>
        <w:t xml:space="preserve">境外的产品；</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9.本项目</w:t>
      </w:r>
      <w:r>
        <w:rPr>
          <w:rFonts w:hint="eastAsia" w:ascii="宋体" w:hAnsi="宋体" w:cs="宋体"/>
          <w:b/>
          <w:bCs/>
          <w:color w:val="000000" w:themeColor="text1"/>
          <w:sz w:val="22"/>
          <w:szCs w:val="22"/>
          <w:highlight w:val="none"/>
        </w:rPr>
        <w:t xml:space="preserve">不接受</w:t>
      </w:r>
      <w:r>
        <w:rPr>
          <w:rFonts w:hint="eastAsia" w:ascii="宋体" w:hAnsi="宋体" w:cs="宋体"/>
          <w:color w:val="000000" w:themeColor="text1"/>
          <w:sz w:val="22"/>
          <w:szCs w:val="22"/>
          <w:highlight w:val="none"/>
        </w:rPr>
        <w:t xml:space="preserve">联合体参与投标。</w:t>
      </w:r>
      <w:r/>
    </w:p>
    <w:p>
      <w:pPr>
        <w:ind w:firstLine="482"/>
        <w:jc w:val="left"/>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二、投标人资格要求 </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1.满足《中华人民共和国政府采购法》第二十二条规定； </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bookmarkStart w:id="12" w:name="OLE_LINK5"/>
      <w:r>
        <w:rPr>
          <w:rFonts w:hint="eastAsia" w:ascii="宋体" w:hAnsi="宋体" w:cs="宋体"/>
          <w:color w:val="000000" w:themeColor="text1"/>
          <w:sz w:val="22"/>
          <w:szCs w:val="22"/>
          <w:highlight w:val="none"/>
        </w:rPr>
        <w:t xml:space="preserve">具有独立承担民事责任的能力（提供法人或者其他组织的营业执照，自然人的身份证明）；</w:t>
      </w:r>
      <w:bookmarkEnd w:id="12"/>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bookmarkStart w:id="13" w:name="OLE_LINK6"/>
      <w:r>
        <w:rPr>
          <w:rFonts w:hint="eastAsia" w:ascii="宋体" w:hAnsi="宋体" w:cs="宋体"/>
          <w:color w:val="000000" w:themeColor="text1"/>
          <w:sz w:val="22"/>
          <w:szCs w:val="22"/>
          <w:highlight w:val="none"/>
        </w:rPr>
        <w:t xml:space="preserve">具有良好的商业信誉和健全的财务会计制度</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可任选以下其中一项材料提供：①提供由第三方专业机构出具的2025年度财务审计报告（财务审计报告至少包含资产负债表、利润表、现金流量表、第三方专业机构盖章和注册会计师签字盖章页复印件加盖供应商公章）；②投标截止时间前近半年内任一月的财务报表（至少包括资产负债表和利润表）的复印件加盖供应商公章；③投标截止时间前半年内任一月银行出具的企业资信证明的复印件加盖供应商公章，法人或者其他组织成立未满一年的无需提供</w:t>
      </w: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w:t>
      </w:r>
      <w:bookmarkEnd w:id="13"/>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w:t>
      </w:r>
      <w:bookmarkStart w:id="14" w:name="OLE_LINK7"/>
      <w:r>
        <w:rPr>
          <w:rFonts w:hint="eastAsia" w:ascii="宋体" w:hAnsi="宋体" w:cs="宋体"/>
          <w:color w:val="000000" w:themeColor="text1"/>
          <w:sz w:val="22"/>
          <w:szCs w:val="22"/>
          <w:highlight w:val="none"/>
        </w:rPr>
        <w:t xml:space="preserve">具有履行合同所必需的设备和专业技术能力（根据项目需求提供履行合同所必需的设备和专业技术能力的声明或证明材料）；</w:t>
      </w:r>
      <w:bookmarkEnd w:id="14"/>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w:t>
      </w:r>
      <w:bookmarkStart w:id="15" w:name="OLE_LINK8"/>
      <w:r>
        <w:rPr>
          <w:rFonts w:hint="eastAsia" w:ascii="宋体" w:hAnsi="宋体" w:cs="宋体"/>
          <w:color w:val="000000" w:themeColor="text1"/>
          <w:sz w:val="22"/>
          <w:szCs w:val="22"/>
          <w:highlight w:val="none"/>
        </w:rPr>
        <w:t xml:space="preserve">有依法缴纳税收和社会保障资金的良好记录</w:t>
      </w:r>
      <w:r>
        <w:rPr>
          <w:rFonts w:hint="eastAsia" w:ascii="宋体" w:hAnsi="宋体" w:cs="宋体"/>
          <w:color w:val="000000" w:themeColor="text1"/>
          <w:sz w:val="22"/>
          <w:szCs w:val="22"/>
          <w:highlight w:val="none"/>
          <w:lang w:val="zh-TW"/>
        </w:rPr>
        <w:t xml:space="preserve">【提供参加本次政府采购活动</w:t>
      </w:r>
      <w:r>
        <w:rPr>
          <w:rFonts w:hint="eastAsia" w:ascii="宋体" w:hAnsi="宋体" w:cs="宋体"/>
          <w:color w:val="000000" w:themeColor="text1"/>
          <w:sz w:val="22"/>
          <w:szCs w:val="22"/>
          <w:highlight w:val="none"/>
        </w:rPr>
        <w:t xml:space="preserve">投标截止时间</w:t>
      </w:r>
      <w:r>
        <w:rPr>
          <w:rFonts w:hint="eastAsia" w:ascii="宋体" w:hAnsi="宋体" w:cs="宋体"/>
          <w:color w:val="000000" w:themeColor="text1"/>
          <w:sz w:val="22"/>
          <w:szCs w:val="22"/>
          <w:highlight w:val="none"/>
          <w:lang w:val="zh-TW"/>
        </w:rPr>
        <w:t xml:space="preserve">前半年内至少一个月缴纳税收的凭据，并提供缴纳社会保险的凭据（专用收据，或社会保险缴纳清单），依法享受缓缴、免缴税收、社会保障资金的提供证明材料】</w:t>
      </w:r>
      <w:r>
        <w:rPr>
          <w:rFonts w:hint="eastAsia" w:ascii="宋体" w:hAnsi="宋体" w:cs="宋体"/>
          <w:color w:val="000000" w:themeColor="text1"/>
          <w:sz w:val="22"/>
          <w:szCs w:val="22"/>
          <w:highlight w:val="none"/>
        </w:rPr>
        <w:t xml:space="preserve">；</w:t>
      </w:r>
      <w:bookmarkEnd w:id="15"/>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bookmarkStart w:id="16" w:name="OLE_LINK9"/>
      <w:r>
        <w:rPr>
          <w:rFonts w:hint="eastAsia" w:ascii="宋体" w:hAnsi="宋体" w:cs="宋体"/>
          <w:color w:val="000000" w:themeColor="text1"/>
          <w:sz w:val="22"/>
          <w:szCs w:val="22"/>
          <w:highlight w:val="none"/>
        </w:rPr>
        <w:t xml:space="preserve">参加政府采购活动前三年内，在经营活动中没有重大违法记录（提供参加本次政府采购活动前3年内在经营活动中没有重大违法记录的书面声明）；</w:t>
      </w:r>
      <w:bookmarkEnd w:id="16"/>
      <w:r/>
      <w:r/>
    </w:p>
    <w:p>
      <w:pPr>
        <w:ind w:firstLine="480"/>
        <w:spacing w:line="360" w:lineRule="auto"/>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rPr>
        <w:t xml:space="preserve">2.落实政府采购政策需满足的资格要求：</w:t>
      </w:r>
      <w:r>
        <w:rPr>
          <w:rFonts w:hint="eastAsia" w:ascii="宋体" w:hAnsi="宋体" w:cs="宋体"/>
          <w:color w:val="000000" w:themeColor="text1"/>
          <w:sz w:val="22"/>
          <w:szCs w:val="22"/>
          <w:highlight w:val="none"/>
          <w:lang w:val="zh-TW"/>
        </w:rPr>
        <w:t xml:space="preserve">本项目为非预留份额专门面向中小企业的采购项目或采购包，执行价格扣除优惠政策，详见“第三章评标标准”。</w:t>
      </w:r>
      <w:r/>
    </w:p>
    <w:p>
      <w:pPr>
        <w:ind w:firstLine="480"/>
        <w:spacing w:line="360" w:lineRule="auto"/>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本项目采购标的对应的中小企业划分标准所属行业为：</w:t>
      </w:r>
      <w:r>
        <w:rPr>
          <w:rFonts w:hint="eastAsia" w:ascii="宋体" w:hAnsi="宋体" w:cs="宋体"/>
          <w:color w:val="000000" w:themeColor="text1"/>
          <w:sz w:val="22"/>
          <w:szCs w:val="22"/>
          <w:highlight w:val="none"/>
        </w:rPr>
        <w:t xml:space="preserve">工业</w:t>
      </w:r>
      <w:r>
        <w:rPr>
          <w:rFonts w:hint="eastAsia" w:ascii="宋体" w:hAnsi="宋体" w:cs="宋体"/>
          <w:color w:val="000000" w:themeColor="text1"/>
          <w:sz w:val="22"/>
          <w:szCs w:val="22"/>
          <w:highlight w:val="none"/>
          <w:lang w:val="zh-TW"/>
        </w:rPr>
        <w:t xml:space="preserve">。</w:t>
      </w:r>
      <w:r/>
    </w:p>
    <w:p>
      <w:pPr>
        <w:ind w:firstLine="480"/>
        <w:jc w:val="left"/>
        <w:spacing w:line="360" w:lineRule="auto"/>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3.本项目的特定资格要求：</w:t>
      </w:r>
      <w:bookmarkStart w:id="17" w:name="OLE_LINK10"/>
      <w:r>
        <w:rPr>
          <w:rFonts w:hint="eastAsia" w:ascii="宋体" w:hAnsi="宋体" w:cs="宋体"/>
          <w:b/>
          <w:bCs/>
          <w:color w:val="000000" w:themeColor="text1"/>
          <w:sz w:val="22"/>
          <w:szCs w:val="22"/>
          <w:highlight w:val="none"/>
        </w:rPr>
        <w:t xml:space="preserve">如使用进口产品投标，而投标供应商非所投产品的制造商，则必须具备所投产品制造商或其驻中国办事机构出具的有效授权书（须提供有效盖章授权书</w:t>
      </w:r>
      <w:r>
        <w:rPr>
          <w:rFonts w:hint="eastAsia" w:ascii="宋体" w:hAnsi="宋体" w:cs="宋体"/>
          <w:b/>
          <w:bCs/>
          <w:color w:val="000000" w:themeColor="text1"/>
          <w:sz w:val="22"/>
          <w:szCs w:val="22"/>
          <w:highlight w:val="none"/>
          <w:lang w:val="en-US" w:eastAsia="zh-CN"/>
        </w:rPr>
        <w:t xml:space="preserve">扫描件</w:t>
      </w:r>
      <w:r>
        <w:rPr>
          <w:rFonts w:hint="eastAsia" w:ascii="宋体" w:hAnsi="宋体" w:cs="宋体"/>
          <w:b/>
          <w:bCs/>
          <w:color w:val="000000" w:themeColor="text1"/>
          <w:sz w:val="22"/>
          <w:szCs w:val="22"/>
          <w:highlight w:val="none"/>
        </w:rPr>
        <w:t xml:space="preserve">）。(制造商授权等资料为英文版本的，需提供英文版本资料对应的中文资料，且以中文资料为准)</w:t>
      </w:r>
      <w:bookmarkEnd w:id="17"/>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4.第2.1（5）条所称重大违法记录，是指供应商因违法经营受到刑事处罚或者责令停产停业、吊销许可证或者执照、较大数额罚款等行政处罚。</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5.供应商在参加采购活动前3年内因违法经营被禁止在一定期限内参加政府采购活动，期限届满的，可以参加政府采购活动。</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6.拒绝下述供应商参加本次采购活动： </w:t>
      </w:r>
      <w:r/>
    </w:p>
    <w:p>
      <w:pPr>
        <w:ind w:firstLine="480"/>
        <w:jc w:val="left"/>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（1）供应商单位负责人为同一人或者存在直接控股、管理关系的不同供应商，不得参加同一合同项下的政府采购活动。 （提供承诺书）</w:t>
      </w:r>
      <w:r/>
    </w:p>
    <w:p>
      <w:pPr>
        <w:ind w:firstLine="480"/>
        <w:jc w:val="left"/>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（2）凡为采购项目提供整体设计、规范编制或者项目管理、监理、检测等服务的供应商，不得再参加本项目的采购活动。 （提供承诺书）</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（3）供应商被“信用中国”网站(www.creditchina.gov.cn)、“中国政府采购网”(www.ccgp.gov.cn) 列</w:t>
      </w:r>
      <w:bookmarkStart w:id="73" w:name="_GoBack"/>
      <w:r/>
      <w:bookmarkEnd w:id="73"/>
      <w:r>
        <w:rPr>
          <w:rFonts w:hint="eastAsia" w:ascii="宋体" w:hAnsi="宋体" w:cs="宋体"/>
          <w:color w:val="000000" w:themeColor="text1"/>
          <w:sz w:val="22"/>
          <w:szCs w:val="22"/>
          <w:highlight w:val="none"/>
        </w:rPr>
        <w:t xml:space="preserve">入失信被执行人、重大税收违法案件当事人名单、政府采购严重违法失信行为记录名单。</w:t>
      </w:r>
      <w:r/>
    </w:p>
    <w:p>
      <w:pPr>
        <w:ind w:firstLine="482"/>
        <w:jc w:val="left"/>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三、招标文件</w:t>
      </w:r>
      <w:r>
        <w:rPr>
          <w:rFonts w:hint="eastAsia" w:ascii="宋体" w:hAnsi="宋体" w:cs="宋体"/>
          <w:b/>
          <w:bCs/>
          <w:color w:val="000000" w:themeColor="text1"/>
          <w:sz w:val="22"/>
          <w:szCs w:val="22"/>
          <w:highlight w:val="none"/>
        </w:rPr>
        <w:t xml:space="preserve">的获取</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1、时间：自公告发布之日起5个工作日</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2、地点：江苏省政府采购管理交易系统（苏采云系统）</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3、方式：网上自行下载</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售价:0元</w:t>
      </w:r>
      <w:r/>
    </w:p>
    <w:p>
      <w:pPr>
        <w:ind w:firstLine="482"/>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四、提交投标文件截止时间、开标时间和地点</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2026年11月</w:t>
      </w:r>
      <w:r>
        <w:rPr>
          <w:rFonts w:hint="eastAsia" w:ascii="宋体" w:hAnsi="宋体" w:cs="宋体"/>
          <w:color w:val="000000" w:themeColor="text1"/>
          <w:sz w:val="22"/>
          <w:szCs w:val="22"/>
          <w:highlight w:val="none"/>
          <w:lang w:val="en-US" w:eastAsia="zh-CN"/>
        </w:rPr>
        <w:t xml:space="preserve">3</w:t>
      </w:r>
      <w:r>
        <w:rPr>
          <w:rFonts w:hint="eastAsia" w:ascii="宋体" w:hAnsi="宋体" w:cs="宋体"/>
          <w:color w:val="000000" w:themeColor="text1"/>
          <w:sz w:val="22"/>
          <w:szCs w:val="22"/>
          <w:highlight w:val="none"/>
        </w:rPr>
        <w:t xml:space="preserve">日09点30分（北京时间）</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地点：江苏省政府采购交易系统（苏采云系统）网上开标大厅</w:t>
      </w:r>
      <w:r/>
    </w:p>
    <w:p>
      <w:pPr>
        <w:ind w:firstLine="482"/>
        <w:jc w:val="left"/>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五、其他公告内容 </w:t>
      </w:r>
      <w:r/>
    </w:p>
    <w:p>
      <w:pPr>
        <w:ind w:firstLine="480"/>
        <w:jc w:val="left"/>
        <w:spacing w:line="360" w:lineRule="auto"/>
        <w:rPr>
          <w:rFonts w:ascii="宋体" w:hAnsi="宋体" w:cs="宋体"/>
          <w:color w:val="000000" w:themeColor="text1"/>
          <w:sz w:val="22"/>
          <w:szCs w:val="22"/>
          <w:highlight w:val="none"/>
        </w:rPr>
      </w:pPr>
      <w:r/>
      <w:bookmarkStart w:id="18" w:name="_Hlk209601631"/>
      <w:r>
        <w:rPr>
          <w:rFonts w:hint="eastAsia" w:ascii="宋体" w:hAnsi="宋体" w:cs="宋体"/>
          <w:color w:val="000000" w:themeColor="text1"/>
          <w:sz w:val="22"/>
          <w:szCs w:val="22"/>
          <w:highlight w:val="none"/>
        </w:rPr>
        <w:t xml:space="preserve">1. 潜在供应商访问政府采购管理交易系统（苏采云）的网络地址和方法：</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（3）“CA数字证书”的办理材料以及供应商操作手册详见：http://jsxcmm.com/help/gys.html。</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（4）潜在供应商访问“苏采云”系统的网络地址和方法：“苏采云”系统的网址：http://jszfcg.jsczt.cn/jszc/login。</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（6）招标代理机构（采购代理机构）将数据电文形式的采购文件加载至“苏采云”系统，供潜在供应商下载或者查阅。    </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（7）苏采云系统使用谷歌浏览器参与不见面开标。</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3.供应商如确定参加投标，可自行下载采购文件及有关资料，按照《操作手册》进行注册，领取CA和办理电子签章，并按《操作手册》要求制作、上传电子投标文件。</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4.本次招标不收取投标保证金。</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5.集中考察现场及答疑时间、地点：采购人不组织。供应商如果对采购需求有疑问请和采购单位联系人沟通。</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6.在政府采购资格审查环节，供应商只需提供书面《南京市政府采购供应商信用承诺书》，即可替代以下证明材料：</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（1）符合国家相关规定的财务状况报告；</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（2）依法缴纳税收的证明材料；</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（3）依法缴纳社会保障资金的证明材料；</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（4）具备履行政府采购合同所必需的设备和专业技术能力的证明材料；</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（5）参加政府采购活动前三年内在经营活动中没有重大违法记录的证明材料；</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（6）未被列入失信被执行人、重大税收违法失信主体、政府采购严重违法失信行为记录名单的证明材料。</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供应商涉及以下情形的，不适用信用承诺：</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（1）供应商被列入严重失信主体名单；</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（2）被相关监管部门作出行政处罚且尚在处罚有效期内；</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（3）其他法律、行政法规规定的不适用信用承诺的情形。</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供应商对信用承诺内容的真实性、合法性、有效性负责。如作出虚假信用承诺，视同为“提供虚假材料谋取中标”的违法行为。</w:t>
      </w:r>
      <w:bookmarkEnd w:id="18"/>
      <w:r/>
    </w:p>
    <w:p>
      <w:pPr>
        <w:ind w:firstLine="482"/>
        <w:jc w:val="left"/>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六、联系方式 </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名 称：南京市农产品质量检测院</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地址：南京市栖霞区灵山北路16号</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联系人：李工</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电话：025-86575602</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招标代理机构：江苏克瑞斯工程投资咨询有限责任公司</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地址：</w:t>
      </w:r>
      <w:r>
        <w:rPr>
          <w:rFonts w:hint="eastAsia" w:ascii="宋体" w:hAnsi="宋体" w:cs="宋体"/>
          <w:color w:val="000000" w:themeColor="text1"/>
          <w:sz w:val="22"/>
          <w:szCs w:val="22"/>
          <w:highlight w:val="none"/>
          <w:lang w:val="zh-CN"/>
        </w:rPr>
        <w:t xml:space="preserve">南京市鼓楼区新门口43号厚德苑505、506室</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联系人：易仁强</w:t>
      </w:r>
      <w:r/>
    </w:p>
    <w:p>
      <w:pPr>
        <w:ind w:firstLine="480"/>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电话：18912113512</w:t>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r/>
    </w:p>
    <w:p>
      <w:pPr>
        <w:pStyle w:val="1221"/>
        <w:rPr>
          <w:color w:val="000000" w:themeColor="text1"/>
          <w:highlight w:val="none"/>
        </w:rPr>
      </w:pPr>
      <w:r>
        <w:rPr>
          <w:color w:val="000000" w:themeColor="text1"/>
          <w:highlight w:val="none"/>
        </w:rPr>
      </w:r>
      <w:bookmarkEnd w:id="8"/>
      <w:bookmarkEnd w:id="9"/>
      <w:bookmarkEnd w:id="10"/>
      <w:bookmarkEnd w:id="11"/>
      <w:r/>
    </w:p>
    <w:p>
      <w:pPr>
        <w:jc w:val="center"/>
        <w:rPr>
          <w:rStyle w:val="1212"/>
          <w:color w:val="000000" w:themeColor="text1"/>
          <w:highlight w:val="none"/>
        </w:rPr>
        <w:outlineLvl w:val="0"/>
      </w:pPr>
      <w:r>
        <w:rPr>
          <w:rStyle w:val="1212"/>
          <w:color w:val="000000" w:themeColor="text1"/>
          <w:highlight w:val="none"/>
        </w:rPr>
        <w:br w:type="page" w:clear="all"/>
      </w:r>
      <w:bookmarkStart w:id="19" w:name="_Toc9891"/>
      <w:r>
        <w:rPr>
          <w:rStyle w:val="1212"/>
          <w:rFonts w:hint="eastAsia"/>
          <w:color w:val="000000" w:themeColor="text1"/>
          <w:highlight w:val="none"/>
        </w:rPr>
        <w:t xml:space="preserve">第二章  </w:t>
      </w:r>
      <w:bookmarkStart w:id="20" w:name="_Toc452625218"/>
      <w:r>
        <w:rPr>
          <w:rStyle w:val="1212"/>
          <w:rFonts w:hint="eastAsia"/>
          <w:color w:val="000000" w:themeColor="text1"/>
          <w:highlight w:val="none"/>
        </w:rPr>
        <w:t xml:space="preserve">投标人须知</w:t>
      </w:r>
      <w:bookmarkEnd w:id="19"/>
      <w:r/>
      <w:bookmarkEnd w:id="20"/>
      <w:r/>
      <w:r/>
    </w:p>
    <w:p>
      <w:pPr>
        <w:jc w:val="center"/>
        <w:spacing w:line="360" w:lineRule="auto"/>
        <w:shd w:val="clear" w:color="auto" w:fill="ffffff"/>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供应商须知前附表</w:t>
      </w:r>
      <w:r/>
    </w:p>
    <w:tbl>
      <w:tblPr>
        <w:tblStyle w:val="1019"/>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jc w:val="center"/>
        </w:trPr>
        <w:tc>
          <w:tcPr>
            <w:tcW w:w="720" w:type="dxa"/>
            <w:vAlign w:val="center"/>
            <w:textDirection w:val="lrTb"/>
            <w:noWrap/>
          </w:tcPr>
          <w:p>
            <w:pPr>
              <w:jc w:val="cente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序号</w:t>
            </w:r>
            <w:r/>
          </w:p>
        </w:tc>
        <w:tc>
          <w:tcPr>
            <w:tcW w:w="2042" w:type="dxa"/>
            <w:vAlign w:val="center"/>
            <w:textDirection w:val="lrTb"/>
            <w:noWrap/>
          </w:tcPr>
          <w:p>
            <w:pPr>
              <w:jc w:val="cente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名称</w:t>
            </w:r>
            <w:r/>
          </w:p>
        </w:tc>
        <w:tc>
          <w:tcPr>
            <w:tcW w:w="7069" w:type="dxa"/>
            <w:vAlign w:val="center"/>
            <w:textDirection w:val="lrTb"/>
            <w:noWrap/>
          </w:tcPr>
          <w:p>
            <w:pPr>
              <w:jc w:val="cente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内容</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采购人</w:t>
            </w:r>
            <w:r/>
          </w:p>
        </w:tc>
        <w:tc>
          <w:tcPr>
            <w:tcW w:w="7069" w:type="dxa"/>
            <w:textDirection w:val="lrTb"/>
            <w:noWrap/>
          </w:tcPr>
          <w:p>
            <w:pPr>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名 称：南京市农产品质量检测院　　</w:t>
            </w:r>
            <w:r/>
          </w:p>
          <w:p>
            <w:pPr>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地址：南京市栖霞区灵山北路16号</w:t>
            </w:r>
            <w:r/>
          </w:p>
          <w:p>
            <w:pPr>
              <w:pStyle w:val="1221"/>
              <w:ind w:firstLine="0"/>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联系人：李工</w:t>
            </w:r>
            <w:r/>
          </w:p>
          <w:p>
            <w:pPr>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联系方式：025-86575602</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采购代理机构</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名称：江苏克瑞斯工程投资咨询有限责任公司</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地址：南京市鼓楼区新门口43号厚德苑505、506室</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联系人：易仁强</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联系方式：18912113512</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采购项目名称</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2026年度市级农产品质量安全检验检测能力提升仪器设备采购项目</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项目实施地点</w:t>
            </w:r>
            <w:r/>
          </w:p>
        </w:tc>
        <w:tc>
          <w:tcPr>
            <w:tcW w:w="7069" w:type="dxa"/>
            <w:vAlign w:val="center"/>
            <w:textDirection w:val="lrTb"/>
            <w:noWrap/>
          </w:tcPr>
          <w:p>
            <w:pPr>
              <w:spacing w:line="360" w:lineRule="auto"/>
              <w:rPr>
                <w:rFonts w:ascii="宋体" w:hAnsi="宋体" w:cs="宋体"/>
                <w:b/>
                <w:color w:val="000000" w:themeColor="text1"/>
                <w:sz w:val="22"/>
                <w:szCs w:val="22"/>
                <w:highlight w:val="none"/>
              </w:rPr>
            </w:pPr>
            <w:r>
              <w:rPr>
                <w:rFonts w:hint="eastAsia" w:ascii="宋体" w:hAnsi="宋体" w:cs="宋体"/>
                <w:color w:val="000000" w:themeColor="text1"/>
                <w:sz w:val="22"/>
                <w:szCs w:val="22"/>
                <w:highlight w:val="none"/>
              </w:rPr>
              <w:t xml:space="preserve">江苏省南京市</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资金来源</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财政资金</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评审方法</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综合评分法</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投标有效期</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提交投标文件截止之日起90日</w:t>
            </w:r>
            <w:r/>
          </w:p>
        </w:tc>
      </w:tr>
      <w:tr>
        <w:trPr>
          <w:jc w:val="center"/>
          <w:trHeight w:val="90"/>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信用信息</w:t>
            </w:r>
            <w:r/>
          </w:p>
        </w:tc>
        <w:tc>
          <w:tcPr>
            <w:tcW w:w="7069" w:type="dxa"/>
            <w:vAlign w:val="center"/>
            <w:textDirection w:val="lrTb"/>
            <w:noWrap/>
          </w:tcPr>
          <w:p>
            <w:pPr>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1）信用信息查询渠道及截止时点：在资格审查时通过“信用中国”网站(www.creditchina.gov.cn)、中国政府采购网(www.ccgp.gov.cn)等查询。</w:t>
            </w:r>
            <w:r/>
          </w:p>
          <w:p>
            <w:pPr>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2）信用信息查询记录和证据留存的具体方式：信用信息查询记录将以网站截图打印稿形式与其他采购文件一并保存。</w:t>
            </w:r>
            <w:r/>
          </w:p>
          <w:p>
            <w:pPr>
              <w:jc w:val="left"/>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3）信用信息的使用规则：拒绝列入失信被执行人、重大税收违法失信主体、政府采购严重违法失信行为记录名单的供应商参与政府采购活动。联合体成员存在不良信用记录的，视同联合体存在不良信用记录。</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w:t>
            </w:r>
            <w:r/>
          </w:p>
        </w:tc>
        <w:tc>
          <w:tcPr>
            <w:tcW w:w="2042" w:type="dxa"/>
            <w:vAlign w:val="center"/>
            <w:textDirection w:val="lrTb"/>
            <w:noWrap/>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相同品牌产品</w:t>
            </w:r>
            <w:r/>
          </w:p>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投标要求</w:t>
            </w:r>
            <w:r/>
          </w:p>
        </w:tc>
        <w:tc>
          <w:tcPr>
            <w:tcW w:w="7069" w:type="dxa"/>
            <w:vAlign w:val="center"/>
            <w:textDirection w:val="lrTb"/>
            <w:noWrap/>
          </w:tcPr>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(2)在单一品目的货物采购招标中，同一品牌的产品有多家供应商参加投标，只能按照一家供应商计算。</w:t>
            </w:r>
            <w:r/>
          </w:p>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盖章要求</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供应商响应文件加盖的 CA 电子公章，应使用与供应商名称一致的标准单位电子公章，不得使用带有 “专用章”“合同章”“财务章”“业务章” 等字样的其他类型电子印章；若同时上传纸质扫描件，纸质文件加盖实体公章同样须遵守本条规定。不符合本要求的，按无效响应处理。</w:t>
            </w:r>
            <w:r/>
          </w:p>
        </w:tc>
      </w:tr>
      <w:tr>
        <w:trPr>
          <w:jc w:val="center"/>
        </w:trPr>
        <w:tc>
          <w:tcPr>
            <w:tcW w:w="720"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11</w:t>
            </w:r>
            <w:r/>
          </w:p>
        </w:tc>
        <w:tc>
          <w:tcPr>
            <w:tcW w:w="2042" w:type="dxa"/>
            <w:vAlign w:val="center"/>
            <w:textDirection w:val="lrTb"/>
            <w:noWrap/>
          </w:tcPr>
          <w:p>
            <w:pPr>
              <w:jc w:val="cente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投标文件份数</w:t>
            </w:r>
            <w:r/>
          </w:p>
        </w:tc>
        <w:tc>
          <w:tcPr>
            <w:tcW w:w="7069" w:type="dxa"/>
            <w:vAlign w:val="center"/>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电子投标文件一份（通过系统提交）；纸质投标文件正本一份，副本二份（评审结束后由中标人邮寄至采购代理机构，未中标单位不需要提供）。</w:t>
            </w:r>
            <w:r/>
          </w:p>
        </w:tc>
      </w:tr>
    </w:tbl>
    <w:p>
      <w:pPr>
        <w:ind w:firstLine="482"/>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一、总 则</w:t>
      </w:r>
      <w:r/>
    </w:p>
    <w:p>
      <w:pPr>
        <w:ind w:firstLine="482"/>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1、适用法律</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1.1参照执行《中华人民共和国政府采购法》、</w:t>
      </w:r>
      <w:r>
        <w:rPr>
          <w:rFonts w:hint="eastAsia" w:ascii="宋体" w:hAnsi="宋体" w:cs="宋体"/>
          <w:color w:val="000000" w:themeColor="text1"/>
          <w:sz w:val="22"/>
          <w:szCs w:val="22"/>
          <w:highlight w:val="none"/>
          <w:lang w:val="zh-CN"/>
        </w:rPr>
        <w:t xml:space="preserve">《中华人民共和国政府采购法实施条例》</w:t>
      </w:r>
      <w:r>
        <w:rPr>
          <w:rFonts w:hint="eastAsia" w:ascii="宋体" w:hAnsi="宋体" w:cs="宋体"/>
          <w:color w:val="000000" w:themeColor="text1"/>
          <w:sz w:val="22"/>
          <w:szCs w:val="22"/>
          <w:highlight w:val="none"/>
        </w:rPr>
        <w:t xml:space="preserve">《政府采购货物和服务招标投标管理办法》等有关法律、规章和规定等。</w:t>
      </w:r>
      <w:r/>
    </w:p>
    <w:p>
      <w:pPr>
        <w:ind w:firstLine="482"/>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2、供应商定义</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2.1 “供应商”是指参加投标竞争，并符合招标文件规定资格条件的法人、其他组织或者自然人。</w:t>
      </w:r>
      <w:r/>
    </w:p>
    <w:p>
      <w:pPr>
        <w:ind w:firstLine="482"/>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3、货物和服务、用户或使用单位定义</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3.1“货物和服务”指本招标文件中所述产品及相关服务。</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3.2“用户或使用单位”是指使用货物及接受服务的单位。</w:t>
      </w:r>
      <w:r/>
    </w:p>
    <w:p>
      <w:pPr>
        <w:ind w:firstLine="482"/>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4、政策功能</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4.1 中小企业政策</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（2）</w:t>
      </w:r>
      <w:r>
        <w:rPr>
          <w:rFonts w:hint="eastAsia" w:ascii="宋体" w:hAnsi="宋体" w:cs="宋体"/>
          <w:color w:val="000000" w:themeColor="text1"/>
          <w:sz w:val="22"/>
          <w:szCs w:val="22"/>
          <w:highlight w:val="none"/>
        </w:rPr>
        <w:t xml:space="preserve">根据</w:t>
      </w:r>
      <w:r>
        <w:rPr>
          <w:rFonts w:hint="eastAsia" w:ascii="宋体" w:hAnsi="宋体" w:cs="宋体"/>
          <w:color w:val="000000" w:themeColor="text1"/>
          <w:sz w:val="22"/>
          <w:szCs w:val="22"/>
          <w:highlight w:val="none"/>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themeColor="text1"/>
          <w:sz w:val="22"/>
          <w:szCs w:val="22"/>
          <w:highlight w:val="none"/>
        </w:rPr>
        <w:t xml:space="preserve">对符合规定的小微企业报价给予10%的扣除，用扣除后的价格参加评审。</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（7）中小企业依据《政府采购促进中小企业发展管理办法》（财库〔2020〕46号）、</w:t>
      </w:r>
      <w:r>
        <w:rPr>
          <w:rFonts w:hint="eastAsia" w:ascii="宋体" w:hAnsi="宋体" w:cs="宋体"/>
          <w:color w:val="000000" w:themeColor="text1"/>
          <w:sz w:val="22"/>
          <w:szCs w:val="22"/>
          <w:highlight w:val="none"/>
          <w:lang w:val="zh-CN"/>
        </w:rPr>
        <w:t xml:space="preserve">《关于进一步加大政府采购支持中小企业力度的通知》（财库〔2022〕19号）</w:t>
      </w:r>
      <w:r>
        <w:rPr>
          <w:rFonts w:hint="eastAsia" w:ascii="宋体" w:hAnsi="宋体" w:cs="宋体"/>
          <w:color w:val="000000" w:themeColor="text1"/>
          <w:sz w:val="22"/>
          <w:szCs w:val="22"/>
          <w:highlight w:val="none"/>
        </w:rPr>
        <w:t xml:space="preserve">规定的政策获取政府采购合同后，小微企业不得将合同分包给大中型企业，中型企业不得将合同分包给大型企业。4</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4.2节能产品、环境标志产品政策</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（1）政府采购节能产品、环境标志产品实施品目清单管理。</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（2）拟采购产品属于节能产品、环境标志产品品目清单规定必须强制采购的，实行强制采购。</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（4）参加政府采购活动的节能产品、环境标志产品供应商应当提供国家确定的认证机构出具的、处于有效期之内的节能产品、环境标志产品认证证书。</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4.3进口产品政策</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（1）除在招标文件另有规定外，不允许进口产品参加。进口产品认定依照《财政部关于政府采购进口产品管理有关问题的通知》（财办库〔2008〕248号）的规定。</w:t>
      </w:r>
      <w:r/>
    </w:p>
    <w:p>
      <w:pPr>
        <w:ind w:firstLine="480"/>
        <w:jc w:val="left"/>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lang w:val="zh-CN"/>
        </w:rPr>
        <w:t xml:space="preserve">（2）允许进口产品参加的，满足需求的国内产品可以参加。</w:t>
      </w:r>
      <w:r/>
    </w:p>
    <w:p>
      <w:pPr>
        <w:ind w:firstLine="480"/>
        <w:jc w:val="left"/>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val="zh-CN"/>
        </w:rPr>
        <w:t xml:space="preserve">（3）允许进口产品参加的，优先采购向我国企业转让技术、与我国企业签订消化吸收再创新方</w:t>
      </w:r>
      <w:r>
        <w:rPr>
          <w:rFonts w:hint="eastAsia" w:ascii="宋体" w:hAnsi="宋体" w:cs="宋体"/>
          <w:b/>
          <w:bCs/>
          <w:color w:val="000000" w:themeColor="text1"/>
          <w:sz w:val="22"/>
          <w:szCs w:val="22"/>
          <w:highlight w:val="none"/>
        </w:rPr>
        <w:t xml:space="preserve">案的供应商的进口产品。</w:t>
      </w:r>
      <w:r/>
    </w:p>
    <w:p>
      <w:pPr>
        <w:ind w:firstLine="420"/>
        <w:spacing w:line="360" w:lineRule="auto"/>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4.</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rPr>
        <w:t xml:space="preserve">支持本国产品的政策</w:t>
      </w:r>
      <w:r/>
    </w:p>
    <w:p>
      <w:pPr>
        <w:ind w:firstLine="420"/>
        <w:spacing w:line="360" w:lineRule="auto"/>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二、招标文件构成</w:t>
      </w:r>
      <w:r/>
    </w:p>
    <w:p>
      <w:pPr>
        <w:ind w:firstLine="482"/>
        <w:jc w:val="left"/>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5、招标文件组成</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5.1招标文件包括以下主要内容：</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（1）招标公告；</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（2）投标人须知；</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（3）评标标准；</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（4）采购需求；</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（5）合同主要条款及格式；</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（6）投标文件格式及附件。</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5.2如标书制作工具中格式和内容与“江苏政府采购网”发布的招标文件不一致的，以上述网站发布的招标文件为准。</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5.3采购代理机构如果要求投标人按照招标文件规定提交备选投标方案的，投标人可以提交备选方案；否则，备选方案将被拒绝。</w:t>
      </w:r>
      <w:r/>
    </w:p>
    <w:p>
      <w:pPr>
        <w:ind w:firstLine="482"/>
        <w:jc w:val="left"/>
        <w:spacing w:line="324"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6、其他说明</w:t>
      </w:r>
      <w:r/>
    </w:p>
    <w:p>
      <w:pPr>
        <w:ind w:firstLine="480"/>
        <w:jc w:val="left"/>
        <w:spacing w:line="324"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招标文件中要求的产品品牌或型号，是采购人根据项目所要实现的功能推荐的品牌或型号，仅供投标人参考，并不是限制条件。</w:t>
      </w:r>
      <w:r/>
    </w:p>
    <w:p>
      <w:pPr>
        <w:ind w:firstLine="482"/>
        <w:jc w:val="left"/>
        <w:spacing w:line="324" w:lineRule="auto"/>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三、投标文件的编制</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7、投标文件的语言、计量单位、货币和编制</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p>
    <w:p>
      <w:pPr>
        <w:pStyle w:val="1363"/>
        <w:ind w:firstLine="480"/>
        <w:spacing w:line="360" w:lineRule="auto"/>
        <w:widowControl w:val="off"/>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7.4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8、投标文件的组成</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8.1 投标人编写的投标文件应包括资格证明文件、符合性证明文件、投标分项报价表、响应及偏离表、其他证明文件、投标函、开标一览表等部分。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8.2 如标书制作工具中格式和内容与“江苏政府采购网”发布的招标文件不一致，以“江苏政府采购网”发布的招标文件为准。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9、投标文件的商务部分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（1）★投标函（投标申请及声明）；</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（2）★法定代表人授权委托书及委托代理人的身份证明文件的原件扫描件；</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（3）★第一章投标邀请书中《中华人民共和国政府采购法》规定的资格条件证明文件；</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（4）★第一章投标邀请书中采购人根据采购项目的特殊要求规定的特定条件证明文件； </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（5）《开标一览表》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（6）《分项报价表》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（7）★《商务条款偏离表》；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rPr>
        <w:t xml:space="preserve">8</w:t>
      </w:r>
      <w:r>
        <w:rPr>
          <w:rFonts w:hint="eastAsia" w:ascii="宋体" w:hAnsi="宋体" w:cs="宋体"/>
          <w:color w:val="000000" w:themeColor="text1"/>
          <w:sz w:val="22"/>
          <w:szCs w:val="22"/>
          <w:highlight w:val="none"/>
          <w:lang w:val="zh-TW" w:eastAsia="zh-TW"/>
        </w:rPr>
        <w:t xml:space="preserve">）供应商认为需要提供的其他资格证明文件和商务资料。</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10、投标文件的技术部分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 （1）技术说明和方案；</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 （2）★《技术条款偏离表》；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 （3）服务承诺；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（4）投标人拟投入本项目的设备、人员情况一览表；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 （5）供应商认为需要提供的其他技术资料。</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11、投标文件的价格部分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11.1价格部分是对货物和服务价格构成的说明，招标文件如没有特别说明的话，对每一项货物和服务仅接受一个价格。</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11.2报价应包含本次招标项目有关的所有费用，以及技术资料、支付给员工的工资和国家强制缴纳的各种社会保障资金，以及投标人认为需要的其他费用等。</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eastAsia="zh-TW"/>
        </w:rPr>
        <w:t xml:space="preserve">11.3投标人的任何错漏、优惠、竞争性报价不得作为减轻责任、减少货物和服务、增加收费、降低质量的理由。</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12、投标文件的其他部分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12.1 其他部分由投标人根据编制投标文件需要提供的其他相关文件。</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13、投标保证金（</w:t>
      </w:r>
      <w:r>
        <w:rPr>
          <w:rFonts w:hint="eastAsia" w:ascii="宋体" w:hAnsi="宋体" w:cs="宋体"/>
          <w:color w:val="000000" w:themeColor="text1"/>
          <w:sz w:val="22"/>
          <w:szCs w:val="22"/>
          <w:highlight w:val="none"/>
        </w:rPr>
        <w:t xml:space="preserve">本项目无</w:t>
      </w:r>
      <w:r>
        <w:rPr>
          <w:rFonts w:hint="eastAsia" w:ascii="宋体" w:hAnsi="宋体" w:cs="宋体"/>
          <w:color w:val="000000" w:themeColor="text1"/>
          <w:sz w:val="22"/>
          <w:szCs w:val="22"/>
          <w:highlight w:val="none"/>
          <w:lang w:val="zh-TW" w:eastAsia="zh-TW"/>
        </w:rPr>
        <w:t xml:space="preserve">）</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13.1 投标人应按照投标邀请提交投标保证金，并作为其投标的一部分。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13.2 投标保证金应按照投标邀请规定的数额和办法缴纳。</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13.3 未中标供应商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13.4 中标供应商的投标保证金，将在采购合同签订后五个工作日内无息退还。</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13.5 下列任何情况发生时，投标保证金不予退还：</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（1）投标人在投标截止时间后至投标有效期期满前撤回其投标的；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（2）中标通知书发出后三十天内，中标供应商未与采购人签订合同的；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（3）提供虚假材料谋取中标的；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（4）经查实属于串通投标的等。</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14、投标有效期</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14.1 </w:t>
      </w:r>
      <w:r>
        <w:rPr>
          <w:rFonts w:hint="eastAsia" w:ascii="宋体" w:hAnsi="宋体" w:cs="宋体"/>
          <w:color w:val="000000" w:themeColor="text1"/>
          <w:sz w:val="22"/>
          <w:szCs w:val="22"/>
          <w:highlight w:val="none"/>
        </w:rPr>
        <w:t xml:space="preserve">提交投标文件截止之日起90日</w:t>
      </w:r>
      <w:r>
        <w:rPr>
          <w:rFonts w:hint="eastAsia" w:ascii="宋体" w:hAnsi="宋体" w:cs="宋体"/>
          <w:color w:val="000000" w:themeColor="text1"/>
          <w:sz w:val="22"/>
          <w:szCs w:val="22"/>
          <w:highlight w:val="none"/>
          <w:lang w:val="zh-TW" w:eastAsia="zh-TW"/>
        </w:rPr>
        <w:t xml:space="preserve">。</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15、投标文件签署</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15.1 投标文件应按照招标文件要求加盖电子公章，否则视为无效投标。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16、投标费用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16.1 投标人应承担所有与准备和参加投标有关的费用，无论采购结果如何，代理机构和采购人在任何情况下均无义务和责任承担这些费用。</w:t>
      </w:r>
      <w:r/>
    </w:p>
    <w:p>
      <w:pPr>
        <w:pStyle w:val="1363"/>
        <w:ind w:firstLine="482"/>
        <w:spacing w:line="360" w:lineRule="auto"/>
        <w:widowControl w:val="off"/>
        <w:rPr>
          <w:rFonts w:ascii="宋体" w:hAnsi="宋体" w:cs="宋体"/>
          <w:b/>
          <w:bCs/>
          <w:color w:val="000000" w:themeColor="text1"/>
          <w:sz w:val="22"/>
          <w:szCs w:val="22"/>
          <w:highlight w:val="none"/>
          <w:lang w:val="zh-TW"/>
        </w:rPr>
      </w:pPr>
      <w:r>
        <w:rPr>
          <w:rFonts w:hint="eastAsia" w:ascii="宋体" w:hAnsi="宋体" w:cs="宋体"/>
          <w:b/>
          <w:bCs/>
          <w:color w:val="000000" w:themeColor="text1"/>
          <w:sz w:val="22"/>
          <w:szCs w:val="22"/>
          <w:highlight w:val="none"/>
          <w:lang w:val="zh-TW" w:eastAsia="zh-TW"/>
        </w:rPr>
        <w:t xml:space="preserve">16.2 本次招标代理服务费由</w:t>
      </w:r>
      <w:r>
        <w:rPr>
          <w:rFonts w:hint="eastAsia" w:ascii="宋体" w:hAnsi="宋体" w:cs="宋体"/>
          <w:b/>
          <w:bCs/>
          <w:color w:val="000000" w:themeColor="text1"/>
          <w:sz w:val="22"/>
          <w:szCs w:val="22"/>
          <w:highlight w:val="none"/>
        </w:rPr>
        <w:t xml:space="preserve">中标供应商</w:t>
      </w:r>
      <w:r>
        <w:rPr>
          <w:rFonts w:hint="eastAsia" w:ascii="宋体" w:hAnsi="宋体" w:cs="宋体"/>
          <w:b/>
          <w:bCs/>
          <w:color w:val="000000" w:themeColor="text1"/>
          <w:sz w:val="22"/>
          <w:szCs w:val="22"/>
          <w:highlight w:val="none"/>
          <w:lang w:val="zh-TW" w:eastAsia="zh-TW"/>
        </w:rPr>
        <w:t xml:space="preserve">支付，代理服务费参照《招标代理服务费管理暂行办法》（国家发展计划委员会计价格【2002】1980号）收费标准的</w:t>
      </w:r>
      <w:r>
        <w:rPr>
          <w:rFonts w:hint="eastAsia" w:ascii="宋体" w:hAnsi="宋体" w:cs="宋体"/>
          <w:b/>
          <w:bCs/>
          <w:color w:val="000000" w:themeColor="text1"/>
          <w:sz w:val="22"/>
          <w:szCs w:val="22"/>
          <w:highlight w:val="none"/>
        </w:rPr>
        <w:t xml:space="preserve">50</w:t>
      </w:r>
      <w:r>
        <w:rPr>
          <w:rFonts w:hint="eastAsia" w:ascii="宋体" w:hAnsi="宋体" w:cs="宋体"/>
          <w:b/>
          <w:bCs/>
          <w:color w:val="000000" w:themeColor="text1"/>
          <w:sz w:val="22"/>
          <w:szCs w:val="22"/>
          <w:highlight w:val="none"/>
          <w:lang w:val="zh-TW" w:eastAsia="zh-TW"/>
        </w:rPr>
        <w:t xml:space="preserve">%收取，以中标价为基数，此费用已含在投标报价中，结算时不予另计。</w:t>
      </w:r>
      <w:r>
        <w:rPr>
          <w:rFonts w:hint="eastAsia" w:ascii="宋体" w:hAnsi="宋体" w:cs="宋体"/>
          <w:b/>
          <w:bCs/>
          <w:color w:val="000000" w:themeColor="text1"/>
          <w:sz w:val="22"/>
          <w:szCs w:val="22"/>
          <w:highlight w:val="none"/>
        </w:rPr>
        <w:t xml:space="preserve">评审费由采购人支付</w:t>
      </w:r>
      <w:r>
        <w:rPr>
          <w:rFonts w:hint="eastAsia" w:ascii="宋体" w:hAnsi="宋体" w:cs="宋体"/>
          <w:b/>
          <w:bCs/>
          <w:color w:val="000000" w:themeColor="text1"/>
          <w:sz w:val="22"/>
          <w:szCs w:val="22"/>
          <w:highlight w:val="none"/>
          <w:lang w:val="zh-TW" w:eastAsia="zh-TW"/>
        </w:rPr>
        <w:t xml:space="preserve">。</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eastAsia="zh-TW"/>
        </w:rPr>
        <w:t xml:space="preserve">四、投标文件的递交</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eastAsia="zh-TW"/>
        </w:rPr>
        <w:t xml:space="preserve">17、投标文件的递交</w:t>
      </w:r>
      <w:r/>
    </w:p>
    <w:p>
      <w:pPr>
        <w:pStyle w:val="1230"/>
        <w:ind w:firstLine="482"/>
        <w:jc w:val="left"/>
        <w:spacing w:line="360" w:lineRule="auto"/>
        <w:rPr>
          <w:rFonts w:ascii="宋体" w:hAnsi="宋体" w:eastAsia="宋体" w:cs="宋体"/>
          <w:b w:val="0"/>
          <w:color w:val="000000" w:themeColor="text1"/>
          <w:sz w:val="22"/>
          <w:szCs w:val="22"/>
          <w:highlight w:val="none"/>
        </w:rPr>
      </w:pPr>
      <w:r>
        <w:rPr>
          <w:rFonts w:hint="eastAsia" w:ascii="宋体" w:hAnsi="宋体" w:eastAsia="宋体" w:cs="宋体"/>
          <w:color w:val="000000" w:themeColor="text1"/>
          <w:sz w:val="22"/>
          <w:szCs w:val="22"/>
          <w:highlight w:val="none"/>
          <w:lang w:val="zh-TW" w:eastAsia="zh-TW"/>
        </w:rPr>
        <w:t xml:space="preserve">17.1</w:t>
      </w:r>
      <w:r>
        <w:rPr>
          <w:rFonts w:hint="eastAsia" w:ascii="宋体" w:hAnsi="宋体" w:eastAsia="宋体" w:cs="宋体"/>
          <w:b w:val="0"/>
          <w:color w:val="000000" w:themeColor="text1"/>
          <w:sz w:val="22"/>
          <w:szCs w:val="22"/>
          <w:highlight w:val="none"/>
        </w:rPr>
        <w:t xml:space="preserve">投标人应当按照《操作手册》规定，在招标公告规定的投标截止时间前制作并上传电子投标文件。招标代理机构拒绝接收提交投标文件截止时间后上传的任何电子投标文件。</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rPr>
        <w:t xml:space="preserve">18、</w:t>
      </w:r>
      <w:r>
        <w:rPr>
          <w:rFonts w:hint="eastAsia" w:ascii="宋体" w:hAnsi="宋体" w:cs="宋体"/>
          <w:b/>
          <w:bCs/>
          <w:color w:val="000000" w:themeColor="text1"/>
          <w:sz w:val="22"/>
          <w:szCs w:val="22"/>
          <w:highlight w:val="none"/>
          <w:lang w:val="zh-TW" w:eastAsia="zh-TW"/>
        </w:rPr>
        <w:t xml:space="preserve">投标文件的解密</w:t>
      </w:r>
      <w:r/>
    </w:p>
    <w:p>
      <w:pPr>
        <w:pStyle w:val="1230"/>
        <w:numPr>
          <w:ilvl w:val="0"/>
          <w:numId w:val="3"/>
        </w:numPr>
        <w:ind w:firstLine="480"/>
        <w:jc w:val="both"/>
        <w:spacing w:line="360" w:lineRule="auto"/>
        <w:rPr>
          <w:rFonts w:ascii="宋体" w:hAnsi="宋体" w:eastAsia="宋体" w:cs="宋体"/>
          <w:b w:val="0"/>
          <w:color w:val="000000" w:themeColor="text1"/>
          <w:sz w:val="22"/>
          <w:szCs w:val="22"/>
          <w:highlight w:val="none"/>
        </w:rPr>
      </w:pPr>
      <w:r>
        <w:rPr>
          <w:rFonts w:hint="eastAsia" w:ascii="宋体" w:hAnsi="宋体" w:eastAsia="宋体" w:cs="宋体"/>
          <w:b w:val="0"/>
          <w:color w:val="000000" w:themeColor="text1"/>
          <w:sz w:val="22"/>
          <w:szCs w:val="22"/>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无效投标处理</w:t>
      </w:r>
      <w:r/>
    </w:p>
    <w:p>
      <w:pPr>
        <w:ind w:firstLine="482"/>
        <w:spacing w:line="360" w:lineRule="auto"/>
        <w:rPr>
          <w:rFonts w:ascii="宋体" w:hAnsi="宋体" w:cs="宋体"/>
          <w:color w:val="000000" w:themeColor="text1"/>
          <w:sz w:val="22"/>
          <w:szCs w:val="22"/>
          <w:highlight w:val="none"/>
          <w:lang w:val="zh-TW" w:eastAsia="zh-TW"/>
        </w:rPr>
      </w:pPr>
      <w:r>
        <w:rPr>
          <w:rFonts w:hint="eastAsia" w:ascii="宋体" w:hAnsi="宋体" w:cs="宋体"/>
          <w:b/>
          <w:color w:val="000000" w:themeColor="text1"/>
          <w:sz w:val="22"/>
          <w:szCs w:val="22"/>
          <w:highlight w:val="none"/>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themeColor="text1"/>
          <w:sz w:val="22"/>
          <w:szCs w:val="22"/>
          <w:highlight w:val="none"/>
          <w:lang w:val="zh-TW" w:eastAsia="zh-TW"/>
        </w:rPr>
        <w:t xml:space="preserve">。</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19、投标文件的修改和撤回</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19.1投标文件的撤回</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19.1</w:t>
      </w:r>
      <w:r>
        <w:rPr>
          <w:rFonts w:hint="eastAsia" w:ascii="宋体" w:hAnsi="宋体" w:cs="宋体"/>
          <w:color w:val="000000" w:themeColor="text1"/>
          <w:sz w:val="22"/>
          <w:szCs w:val="22"/>
          <w:highlight w:val="none"/>
          <w:lang w:val="zh-TW"/>
        </w:rPr>
        <w:t xml:space="preserve">.1</w:t>
      </w:r>
      <w:r>
        <w:rPr>
          <w:rFonts w:hint="eastAsia" w:ascii="宋体" w:hAnsi="宋体" w:cs="宋体"/>
          <w:color w:val="000000" w:themeColor="text1"/>
          <w:sz w:val="22"/>
          <w:szCs w:val="22"/>
          <w:highlight w:val="none"/>
          <w:lang w:val="zh-TW" w:eastAsia="zh-TW"/>
        </w:rPr>
        <w:t xml:space="preserve">投标人可在投标截止时间前撤回其电子投标文件，具体操作方法见《操作手册》。</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19.1.2</w:t>
      </w:r>
      <w:r>
        <w:rPr>
          <w:rFonts w:hint="eastAsia" w:ascii="宋体" w:hAnsi="宋体" w:cs="宋体"/>
          <w:color w:val="000000" w:themeColor="text1"/>
          <w:sz w:val="22"/>
          <w:szCs w:val="22"/>
          <w:highlight w:val="none"/>
          <w:lang w:val="zh-TW" w:eastAsia="zh-TW"/>
        </w:rPr>
        <w:t xml:space="preserve">投标人撤回电子投标文件，则认为其不再参与本项目投标活动。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19.2投标文件的修改</w:t>
      </w:r>
      <w:r/>
    </w:p>
    <w:p>
      <w:pPr>
        <w:pStyle w:val="1230"/>
        <w:numPr>
          <w:ilvl w:val="0"/>
          <w:numId w:val="4"/>
        </w:numPr>
        <w:ind w:firstLine="482"/>
        <w:jc w:val="both"/>
        <w:spacing w:line="360" w:lineRule="auto"/>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投标人可在投标截止时间前对其电子投标文件进行修改，具体操作方法见《操作手册》。</w:t>
      </w:r>
      <w:r/>
    </w:p>
    <w:p>
      <w:pPr>
        <w:pStyle w:val="1363"/>
        <w:ind w:firstLine="48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19.2.2 投标截止时间之后，投标人不得对其电子投标文件作任何修改。</w:t>
      </w:r>
      <w:r/>
    </w:p>
    <w:p>
      <w:pPr>
        <w:pStyle w:val="1363"/>
        <w:ind w:firstLine="480"/>
        <w:spacing w:line="360" w:lineRule="auto"/>
        <w:widowControl w:val="o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19.2.3 在投标截止时间至招标文件中规定的投标有效期满之间的这段时间内，投标人不得撤回其投标。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20、诚实信用</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20.1 投标人之间不得相互串通投标报价，不得妨碍其他投标人的公平竞争，不得损害采购人和其他投标人的合法权益。</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20.2 投标人不得以向代理机构工作人员、评标委员会成员行贿或者采取其他不正当手段谋取中标。</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eastAsia="zh-TW"/>
        </w:rPr>
        <w:t xml:space="preserve">五、开标、评标与定标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21、开标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21.2 投标人在开标过程中涉及到的投标文件解密、开标结果确认等工作，应按照《操作手册》规定执行。</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21.3 投标人不足3家的，不得开标。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21.4 投标人如果对开标过程和开标结果有疑义，应当根据《操作手册》规定提出，“苏采云”系统中《开标记录表》公布后5分钟内未提出的，视同认可开标结果。</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22、评标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22.1 评标由组织评标委员会（以下简称“评委会”）进行。</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22.2 评委会由采购人代表和有关技术、经济等方面的专家组成，且人员构成符合政府采购有关规定。</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22.3 评委会独立工作，负责评审所有投标文件并推荐中标候选人，或根据采购人授权直接确定中标人。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4</w:t>
      </w:r>
      <w:r>
        <w:rPr>
          <w:rFonts w:hint="eastAsia" w:ascii="宋体" w:hAnsi="宋体" w:cs="宋体"/>
          <w:color w:val="000000" w:themeColor="text1"/>
          <w:sz w:val="22"/>
          <w:szCs w:val="22"/>
          <w:highlight w:val="none"/>
          <w:lang w:val="zh-TW" w:eastAsia="zh-TW"/>
        </w:rPr>
        <w:t xml:space="preserve">评标委员会负责具体评标事务，并独立履行下列职责：</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（一）审查、评价投标文件是否符合招标文件的商务、技术等实质性要求；</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（二）要求投标人对投标文件有关事项作出澄清或者说明；</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（三）对投标文件进行比较和评价；</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（四）确定中标候选人名单，以及根据采购人委托直接确定中标人；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（五）向采购人、采购代理机构或者有关部门报告评标中发现的违法行为。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 评标程序</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1 投标文件的资格性检查。公开招标采购项目开标结束后，采购人或者采购代理机构应当依法对投标人的资格进行审查。合格投标人不足3家的，不得评标。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2 投标文件的符合性审查。评标委员会对通过资格性检查的投标人的投标文件进行符合性审查，以确定其是否满足招标文件的实质性要求。投标文件有下列情况之一的，在符合性检查时按照无效投标处理：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（1）投标人在“苏采云”系统规定的时间内未成功解密电子投标文件的；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（2）投标人未按照招标文件要求上传电子投标文件的；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（3）同一投标人提交两个（含两个）以上不同的投标报价的；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（4）投标文件未按照招标文件要求加盖电子公章的；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（5）不具备招标文件中规定的资格要求的；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（6）报价超过招标文件中规定的预算金额或者最高限价的；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（7）投标文件含有采购人不能接受的附加条件的；</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eastAsia="zh-TW"/>
        </w:rPr>
        <w:t xml:space="preserve">（8）投标文件内容不全或不符合招标文件中规定的其他实质性要求的；</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（9）没有逐一说明提供产品名称、品牌、规格型号、产地、技术参数和服务响应</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w:t>
      </w:r>
      <w:r>
        <w:rPr>
          <w:rFonts w:hint="eastAsia" w:ascii="宋体" w:hAnsi="宋体" w:cs="宋体"/>
          <w:color w:val="000000" w:themeColor="text1"/>
          <w:sz w:val="22"/>
          <w:szCs w:val="22"/>
          <w:highlight w:val="none"/>
          <w:lang w:val="zh-TW"/>
        </w:rPr>
        <w:t xml:space="preserve">10</w:t>
      </w:r>
      <w:r>
        <w:rPr>
          <w:rFonts w:hint="eastAsia" w:ascii="宋体" w:hAnsi="宋体" w:cs="宋体"/>
          <w:color w:val="000000" w:themeColor="text1"/>
          <w:sz w:val="22"/>
          <w:szCs w:val="22"/>
          <w:highlight w:val="none"/>
          <w:lang w:val="zh-TW" w:eastAsia="zh-TW"/>
        </w:rPr>
        <w:t xml:space="preserve">）现行法律、法规、规章和招标文件规定的其他无效情形。</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.2.1 实质性要求是指本招标文件中用带星号（“★”）等或者其他明确要求的废标的商务和技术要求。</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.2.2 未通过资格审查或符合性审查的投标人，代理机构将通过“苏采云”系统告知其具体原因，评标结束后不再接受有关询问。</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.2.3 有下列情形之一的予以废标：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（1）符合专业条件的投标人或者对招标文件作实质性响应的投标人不足三家的；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（2）出现影响采购公正的违法、违规行为的；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（3）投标人的报价均超过了采购预算，采购人不能支付的；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（4）因苏采云系统故障造成开标不成功的；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（5）因重大变故，采购任务取消的。</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eastAsia="zh-TW"/>
        </w:rPr>
        <w:t xml:space="preserve">（6）投标人以明显低于其他通过符合性审查投标人的报价，有可能影响产品质量或者不能诚信履约的，且不能证明其报价合理性的。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.3 澄清有关问题。</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.3.1 评标期间，评委会对投标文件中含义不明确、同类问题表述不一致或者有明显文字和计算错误的内容，有权要求投标人作出必要的澄清、说明或者补正。</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投标人的澄清、说明或者补正不得超出投标文件的范围或者改变投标文件的实质性内容。</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评委会并非对每个投标人都做澄清要求。</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.3.3 接到评委会澄清、说明和补正要求的，投标人如未按规定作出澄清、说明和补正，其风险由投标人自行承担。</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.3.4 投标人在开、评标全过程中应保持通讯畅通，及时登录苏采云系统查阅、答复相关信息，并安排专人与代理机构及评委会联系。</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.4 比较与评价。评标委员会应当按照招标文件中规定的评标方法和标准，对符合性审查合格的投标文件进行商务和技术评估，综合比较与评价。</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.5 相同品牌产品的投标</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非单一产品采购项目，确定核心产品的方法在招标文件技术需求中载明。多家投标人提供的核心产品品牌相同的，按前两款规定处理。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w:t>
      </w:r>
      <w:r>
        <w:rPr>
          <w:rFonts w:hint="eastAsia" w:ascii="宋体" w:hAnsi="宋体" w:cs="宋体"/>
          <w:color w:val="000000" w:themeColor="text1"/>
          <w:sz w:val="22"/>
          <w:szCs w:val="22"/>
          <w:highlight w:val="none"/>
        </w:rPr>
        <w:t xml:space="preserve">5</w:t>
      </w:r>
      <w:r>
        <w:rPr>
          <w:rFonts w:hint="eastAsia" w:ascii="宋体" w:hAnsi="宋体" w:cs="宋体"/>
          <w:color w:val="000000" w:themeColor="text1"/>
          <w:sz w:val="22"/>
          <w:szCs w:val="22"/>
          <w:highlight w:val="none"/>
          <w:lang w:val="zh-TW" w:eastAsia="zh-TW"/>
        </w:rPr>
        <w:t xml:space="preserve">.6评标过程中出现下列情形之一的，评标委员会应当启动异常低价响应审查程序：</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（1）投标(响应)报价低于全部通过符合性审查供应商投标(响应)报价平均值50%的，即投标(响应)报价&lt;全部通过符合性审查供应商投标(响应)报价平均值×50%；</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（2）投标(响应)报价低于通过符合性审查的次低报价供应商投标(响应)报价50%的，即投标(响应)报价&lt;通过符合性审查的次低报价供应商投标(响应)报价×50%；</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（3）投标(响应)报价低于采购项目最高限价45%的，即投标(响应)报价&lt;采购项目最高限价×45%；</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（4）评标委员会基于专业判断，认为供应商报价过低，有可能影响产品质量或者不能诚信履约的其他情形。</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22.3 评标方法和标准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23.3 采用综合评分法的，评标结果按评审后最终得分由高到低进行排名，得分相同的，按投标报价由低到高顺序排列。得分且投标报价相同的，按技术部分方案优劣顺序排列。</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23确定中标人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23.2 按以下第（</w:t>
      </w:r>
      <w:r>
        <w:rPr>
          <w:rFonts w:hint="eastAsia" w:ascii="宋体" w:hAnsi="宋体" w:cs="宋体"/>
          <w:color w:val="000000" w:themeColor="text1"/>
          <w:sz w:val="22"/>
          <w:szCs w:val="22"/>
          <w:highlight w:val="none"/>
          <w:lang w:val="zh-TW"/>
        </w:rPr>
        <w:t xml:space="preserve">2</w:t>
      </w:r>
      <w:r>
        <w:rPr>
          <w:rFonts w:hint="eastAsia" w:ascii="宋体" w:hAnsi="宋体" w:cs="宋体"/>
          <w:color w:val="000000" w:themeColor="text1"/>
          <w:sz w:val="22"/>
          <w:szCs w:val="22"/>
          <w:highlight w:val="none"/>
          <w:lang w:val="zh-TW" w:eastAsia="zh-TW"/>
        </w:rPr>
        <w:t xml:space="preserve">）种方式确定中标人：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（1）评委会直接确定排名第一的中标候选人为中标人；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（2）采购人在评委会推荐的中标候选人中按顺序确定中标人。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23.3 中标人确定后，将在“江苏政府采购网”发布中标公告，公告期限为1个工作日。</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24、中标通知书</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24.2 《中标通知书》是合同的一个组成部分，对采购人和中标人均具有法律效力。《中标通知书》发出后，采购人改变中标结果或者中标人放弃中标项目的，应当依法承担法律责任。</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25、评标过程的保密性</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25.1 凡是与审查、澄清、评价和比较投标的有关资料以及投标建议等，采购人、评委、均不得向投标人或与评标无关的其他人员透露。</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25.2 投标人不得以任何方式影响评标，否则其投标文件将被作为无效投标文件。</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25.3 招标人和评委会不向未中标的投标人解释未中标原因，也不公布评标过程中的相关细节。</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25.4 采用综合评分法的项目，未中标的投标人可于中标结果公告期限届满之日起通过苏采云系统查看本单位的评审得分及排名情况。</w:t>
      </w:r>
      <w:r/>
    </w:p>
    <w:p>
      <w:pPr>
        <w:pStyle w:val="1363"/>
        <w:ind w:firstLine="480"/>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rPr>
        <w:t xml:space="preserve">六</w:t>
      </w:r>
      <w:r>
        <w:rPr>
          <w:rFonts w:hint="eastAsia" w:ascii="宋体" w:hAnsi="宋体" w:cs="宋体"/>
          <w:b/>
          <w:bCs/>
          <w:color w:val="000000" w:themeColor="text1"/>
          <w:sz w:val="22"/>
          <w:szCs w:val="22"/>
          <w:highlight w:val="none"/>
          <w:lang w:val="zh-TW" w:eastAsia="zh-TW"/>
        </w:rPr>
        <w:t xml:space="preserve">、签订合同</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26、签订合同</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26.2 采购人不得向中标供应商提出任何不合理的要求作为签订合同的条件，不得与中标供应商私下订立背离合同实质性内容的协议。</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26.3 中标供应商因不可抗力或者自身原因不能履行政府采购合同的，采购人可以视情与排位在中标供应商之后第一位的中标候选供应商签订政府采购合同，以此类推。</w:t>
      </w:r>
      <w:r/>
    </w:p>
    <w:p>
      <w:pPr>
        <w:pStyle w:val="1363"/>
        <w:ind w:firstLine="480"/>
        <w:spacing w:line="360" w:lineRule="auto"/>
        <w:widowControl w:val="off"/>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color w:val="000000" w:themeColor="text1"/>
          <w:sz w:val="22"/>
          <w:szCs w:val="22"/>
          <w:highlight w:val="none"/>
          <w:lang w:val="zh-TW"/>
        </w:rPr>
        <w:t xml:space="preserve">。</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eastAsia="zh-TW"/>
        </w:rPr>
        <w:t xml:space="preserve">七、质疑和投诉</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eastAsia="zh-TW"/>
        </w:rPr>
        <w:t xml:space="preserve">27、质疑</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27.1 供应商对采购活动事项有疑问的，可以向代理机构提出询问，代理机构将依法作出答复，但答复的内容不涉及商业秘密。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27.3 质疑文件应包括以下主要内容，并按照“谁主张、谁举证”的原则，附上相关证明材料。否则，代理机构不予受理：</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（1）质疑项目名称、项目编号、招标公告发布时间、开标时间；</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（2）具体的质疑事项及法律依据（具体条款）；</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（4）质疑供应商名称、地址、联系方式（包括手机、传真号码）；</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27.7 质疑文件接收信息：</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（1）接收单位：采购代理机构</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（2）联系人：易仁强</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（3）联系电话：18912113512</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（4）联系邮箱：381970194@qq.com</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（5）接收地址：南京市鼓楼区新门口43号厚德苑505、506室</w:t>
      </w:r>
      <w:r/>
    </w:p>
    <w:p>
      <w:pPr>
        <w:pStyle w:val="1363"/>
        <w:ind w:firstLine="482"/>
        <w:spacing w:line="360" w:lineRule="auto"/>
        <w:widowControl w:val="off"/>
        <w:rPr>
          <w:rFonts w:ascii="宋体" w:hAnsi="宋体" w:cs="宋体"/>
          <w:b/>
          <w:bCs/>
          <w:color w:val="000000" w:themeColor="text1"/>
          <w:sz w:val="22"/>
          <w:szCs w:val="22"/>
          <w:highlight w:val="none"/>
          <w:lang w:val="zh-TW" w:eastAsia="zh-TW"/>
        </w:rPr>
      </w:pPr>
      <w:r>
        <w:rPr>
          <w:rFonts w:hint="eastAsia" w:ascii="宋体" w:hAnsi="宋体" w:cs="宋体"/>
          <w:b/>
          <w:bCs/>
          <w:color w:val="000000" w:themeColor="text1"/>
          <w:sz w:val="22"/>
          <w:szCs w:val="22"/>
          <w:highlight w:val="none"/>
          <w:lang w:val="zh-TW" w:eastAsia="zh-TW"/>
        </w:rPr>
        <w:t xml:space="preserve">28、投诉</w:t>
      </w:r>
      <w:r/>
    </w:p>
    <w:p>
      <w:pPr>
        <w:pStyle w:val="1363"/>
        <w:ind w:firstLine="480"/>
        <w:spacing w:line="360" w:lineRule="auto"/>
        <w:widowControl w:val="off"/>
        <w:rPr>
          <w:rFonts w:ascii="宋体" w:hAnsi="宋体" w:cs="宋体"/>
          <w:color w:val="000000" w:themeColor="text1"/>
          <w:sz w:val="22"/>
          <w:szCs w:val="22"/>
          <w:highlight w:val="none"/>
          <w:lang w:val="zh-TW" w:eastAsia="zh-TW"/>
        </w:rPr>
      </w:pPr>
      <w:r>
        <w:rPr>
          <w:rFonts w:hint="eastAsia" w:ascii="宋体" w:hAnsi="宋体" w:cs="宋体"/>
          <w:color w:val="000000" w:themeColor="text1"/>
          <w:sz w:val="22"/>
          <w:szCs w:val="22"/>
          <w:highlight w:val="none"/>
          <w:lang w:val="zh-TW" w:eastAsia="zh-TW"/>
        </w:rPr>
        <w:t xml:space="preserve">28.1 质疑投标人对代理机构的答复不满意，或代理机构未在规定的时间内作出答复的，可以在答复期满后十五个工作日内向采购人同级财政部门投诉。</w:t>
      </w:r>
      <w:r/>
    </w:p>
    <w:p>
      <w:pPr>
        <w:ind w:firstLine="482"/>
        <w:spacing w:line="360" w:lineRule="auto"/>
        <w:rPr>
          <w:rFonts w:ascii="宋体" w:hAnsi="宋体" w:cs="宋体"/>
          <w:b/>
          <w:color w:val="000000" w:themeColor="text1"/>
          <w:sz w:val="22"/>
          <w:szCs w:val="22"/>
          <w:highlight w:val="none"/>
          <w:lang w:val="zh-CN"/>
        </w:rPr>
      </w:pPr>
      <w:r>
        <w:rPr>
          <w:rFonts w:hint="eastAsia" w:ascii="宋体" w:hAnsi="宋体" w:cs="宋体"/>
          <w:b/>
          <w:color w:val="000000" w:themeColor="text1"/>
          <w:sz w:val="22"/>
          <w:szCs w:val="22"/>
          <w:highlight w:val="none"/>
        </w:rPr>
        <w:t xml:space="preserve">29</w:t>
      </w:r>
      <w:r>
        <w:rPr>
          <w:rFonts w:hint="eastAsia" w:ascii="宋体" w:hAnsi="宋体" w:cs="宋体"/>
          <w:b/>
          <w:color w:val="000000" w:themeColor="text1"/>
          <w:sz w:val="22"/>
          <w:szCs w:val="22"/>
          <w:highlight w:val="none"/>
          <w:lang w:val="zh-CN"/>
        </w:rPr>
        <w:t xml:space="preserve">、诚实信用</w:t>
      </w:r>
      <w:r/>
    </w:p>
    <w:p>
      <w:pPr>
        <w:ind w:firstLine="480"/>
        <w:spacing w:line="360"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rPr>
        <w:t xml:space="preserve">29</w:t>
      </w:r>
      <w:r>
        <w:rPr>
          <w:rFonts w:hint="eastAsia" w:ascii="宋体" w:hAnsi="宋体" w:cs="宋体"/>
          <w:color w:val="000000" w:themeColor="text1"/>
          <w:sz w:val="22"/>
          <w:szCs w:val="22"/>
          <w:highlight w:val="none"/>
          <w:lang w:val="zh-CN"/>
        </w:rPr>
        <w:t xml:space="preserve">.1 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rPr>
        <w:t xml:space="preserve">29</w:t>
      </w:r>
      <w:r>
        <w:rPr>
          <w:rFonts w:hint="eastAsia" w:ascii="宋体" w:hAnsi="宋体" w:cs="宋体"/>
          <w:color w:val="000000" w:themeColor="text1"/>
          <w:sz w:val="22"/>
          <w:szCs w:val="22"/>
          <w:highlight w:val="none"/>
          <w:lang w:val="zh-CN"/>
        </w:rPr>
        <w:t xml:space="preserve">.2 供应商不得以向代理机构工作人员、评标委员会成员行贿或者采取其他不正当手段谋取中标。经查实供应商有此行为的，</w:t>
      </w:r>
      <w:r>
        <w:rPr>
          <w:rFonts w:hint="eastAsia" w:ascii="宋体" w:hAnsi="宋体" w:cs="宋体"/>
          <w:color w:val="000000" w:themeColor="text1"/>
          <w:sz w:val="22"/>
          <w:szCs w:val="22"/>
          <w:highlight w:val="none"/>
        </w:rPr>
        <w:t xml:space="preserve">政府采购管理部门将供应商列入不良行为记录名单，按照《政府采购法》有关规定处理。</w:t>
      </w:r>
      <w:r/>
    </w:p>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29</w:t>
      </w:r>
      <w:r>
        <w:rPr>
          <w:rFonts w:hint="eastAsia" w:ascii="宋体" w:hAnsi="宋体" w:cs="宋体"/>
          <w:color w:val="000000" w:themeColor="text1"/>
          <w:sz w:val="22"/>
          <w:szCs w:val="22"/>
          <w:highlight w:val="none"/>
          <w:lang w:val="zh-CN"/>
        </w:rPr>
        <w:t xml:space="preserve">.3 供应商不得虚假质疑和恶意质疑，并对质疑内容的真实性承担责任。</w:t>
      </w:r>
      <w:r>
        <w:rPr>
          <w:rFonts w:hint="eastAsia" w:ascii="宋体" w:hAnsi="宋体" w:cs="宋体"/>
          <w:color w:val="000000" w:themeColor="text1"/>
          <w:sz w:val="22"/>
          <w:szCs w:val="22"/>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rPr>
        <w:t xml:space="preserve">29</w:t>
      </w:r>
      <w:r>
        <w:rPr>
          <w:rFonts w:hint="eastAsia" w:ascii="宋体" w:hAnsi="宋体" w:cs="宋体"/>
          <w:color w:val="000000" w:themeColor="text1"/>
          <w:sz w:val="22"/>
          <w:szCs w:val="22"/>
          <w:highlight w:val="none"/>
          <w:lang w:val="zh-CN"/>
        </w:rPr>
        <w:t xml:space="preserve">.4 供应商不得虚假承诺，否则，按照提供虚假材料谋取中标成交处理。</w:t>
      </w:r>
      <w:r/>
    </w:p>
    <w:p>
      <w:pPr>
        <w:ind w:firstLine="480"/>
        <w:spacing w:line="324"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rPr>
        <w:t xml:space="preserve">29</w:t>
      </w:r>
      <w:r>
        <w:rPr>
          <w:rFonts w:hint="eastAsia" w:ascii="宋体" w:hAnsi="宋体" w:cs="宋体"/>
          <w:color w:val="000000" w:themeColor="text1"/>
          <w:sz w:val="22"/>
          <w:szCs w:val="22"/>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jc w:val="center"/>
        <w:spacing w:line="360" w:lineRule="auto"/>
        <w:shd w:val="clear" w:color="auto" w:fill="ffffff"/>
        <w:widowControl/>
        <w:rPr>
          <w:rStyle w:val="1212"/>
          <w:color w:val="000000" w:themeColor="text1"/>
          <w:highlight w:val="none"/>
        </w:rPr>
        <w:outlineLvl w:val="0"/>
      </w:pPr>
      <w:r>
        <w:rPr>
          <w:rFonts w:hint="eastAsia" w:ascii="宋体" w:hAnsi="宋体"/>
          <w:color w:val="000000" w:themeColor="text1"/>
          <w:sz w:val="24"/>
          <w:highlight w:val="none"/>
        </w:rPr>
        <w:br w:type="page" w:clear="all"/>
      </w:r>
      <w:bookmarkStart w:id="21" w:name="_Hlk65763946"/>
      <w:r/>
      <w:bookmarkStart w:id="22" w:name="_Toc27859"/>
      <w:r>
        <w:rPr>
          <w:rStyle w:val="1212"/>
          <w:rFonts w:hint="eastAsia"/>
          <w:color w:val="000000" w:themeColor="text1"/>
          <w:highlight w:val="none"/>
        </w:rPr>
        <w:t xml:space="preserve">第三章 </w:t>
      </w:r>
      <w:bookmarkStart w:id="23" w:name="_Toc452625219"/>
      <w:r>
        <w:rPr>
          <w:rStyle w:val="1212"/>
          <w:rFonts w:hint="eastAsia"/>
          <w:color w:val="000000" w:themeColor="text1"/>
          <w:highlight w:val="none"/>
        </w:rPr>
        <w:t xml:space="preserve">评标标准</w:t>
      </w:r>
      <w:bookmarkEnd w:id="21"/>
      <w:r/>
      <w:bookmarkEnd w:id="22"/>
      <w:r/>
      <w:bookmarkEnd w:id="23"/>
      <w:r/>
      <w:r/>
    </w:p>
    <w:p>
      <w:pPr>
        <w:pStyle w:val="1255"/>
        <w:ind w:firstLine="480"/>
        <w:jc w:val="both"/>
        <w:spacing w:before="0" w:beforeAutospacing="0" w:after="0" w:afterAutospacing="0" w:line="324" w:lineRule="auto"/>
        <w:widowControl w:val="off"/>
        <w:rPr>
          <w:color w:val="000000" w:themeColor="text1"/>
          <w:sz w:val="22"/>
          <w:szCs w:val="22"/>
          <w:highlight w:val="none"/>
          <w:lang w:val="zh-CN"/>
        </w:rPr>
      </w:pPr>
      <w:r>
        <w:rPr>
          <w:rFonts w:hint="eastAsia"/>
          <w:color w:val="000000" w:themeColor="text1"/>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p>
    <w:tbl>
      <w:tblPr>
        <w:tblStyle w:val="1019"/>
        <w:tblW w:w="10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03"/>
        <w:gridCol w:w="6970"/>
        <w:gridCol w:w="920"/>
      </w:tblGrid>
      <w:tr>
        <w:trPr>
          <w:jc w:val="center"/>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序号</w:t>
            </w:r>
            <w:r/>
          </w:p>
        </w:tc>
        <w:tc>
          <w:tcPr>
            <w:tcW w:w="1203"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评审因素</w:t>
            </w:r>
            <w:r/>
          </w:p>
        </w:tc>
        <w:tc>
          <w:tcPr>
            <w:tcW w:w="697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评审标准</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分值</w:t>
            </w:r>
            <w:r/>
          </w:p>
        </w:tc>
      </w:tr>
      <w:tr>
        <w:trPr>
          <w:jc w:val="center"/>
        </w:trPr>
        <w:tc>
          <w:tcPr>
            <w:tcW w:w="939" w:type="dxa"/>
            <w:vAlign w:val="center"/>
            <w:textDirection w:val="lrTb"/>
            <w:noWrap w:val="false"/>
          </w:tcPr>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1</w:t>
            </w:r>
            <w:r/>
          </w:p>
        </w:tc>
        <w:tc>
          <w:tcPr>
            <w:tcW w:w="1203" w:type="dxa"/>
            <w:vAlign w:val="center"/>
            <w:textDirection w:val="lrTb"/>
            <w:noWrap w:val="false"/>
          </w:tcPr>
          <w:p>
            <w:pPr>
              <w:spacing w:line="360" w:lineRule="auto"/>
              <w:rPr>
                <w:rFonts w:ascii="宋体" w:hAnsi="宋体" w:cs="宋体"/>
                <w:bCs/>
                <w:color w:val="000000" w:themeColor="text1"/>
                <w:sz w:val="22"/>
                <w:szCs w:val="22"/>
                <w:highlight w:val="none"/>
              </w:rPr>
            </w:pPr>
            <w:r>
              <w:rPr>
                <w:rFonts w:hint="eastAsia" w:ascii="宋体" w:hAnsi="宋体" w:cs="宋体"/>
                <w:b/>
                <w:bCs/>
                <w:color w:val="000000" w:themeColor="text1"/>
                <w:sz w:val="22"/>
                <w:szCs w:val="22"/>
                <w:highlight w:val="none"/>
              </w:rPr>
              <w:t xml:space="preserve">价格</w:t>
            </w:r>
            <w:r/>
          </w:p>
        </w:tc>
        <w:tc>
          <w:tcPr>
            <w:tcW w:w="6970" w:type="dxa"/>
            <w:vAlign w:val="center"/>
            <w:textDirection w:val="lrTb"/>
            <w:noWrap w:val="false"/>
          </w:tcPr>
          <w:p>
            <w:pPr>
              <w:spacing w:line="360" w:lineRule="auto"/>
              <w:rPr>
                <w:rFonts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30分</w:t>
            </w:r>
            <w:r/>
          </w:p>
        </w:tc>
      </w:tr>
      <w:tr>
        <w:trPr>
          <w:jc w:val="center"/>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w:t>
            </w:r>
            <w:r/>
          </w:p>
        </w:tc>
        <w:tc>
          <w:tcPr>
            <w:tcW w:w="1203" w:type="dxa"/>
            <w:vAlign w:val="center"/>
            <w:textDirection w:val="lrTb"/>
            <w:noWrap w:val="false"/>
          </w:tcPr>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项目需求响应情况</w:t>
            </w:r>
            <w:r/>
          </w:p>
        </w:tc>
        <w:tc>
          <w:tcPr>
            <w:tcW w:w="6970" w:type="dxa"/>
            <w:vAlign w:val="center"/>
            <w:textDirection w:val="lrTb"/>
            <w:noWrap w:val="false"/>
          </w:tcPr>
          <w:p>
            <w:pPr>
              <w:spacing w:line="360" w:lineRule="auto"/>
              <w:rPr>
                <w:rFonts w:ascii="宋体" w:hAnsi="宋体" w:cs="宋体"/>
                <w:b/>
                <w:color w:val="000000" w:themeColor="text1"/>
                <w:sz w:val="22"/>
                <w:szCs w:val="22"/>
                <w:highlight w:val="none"/>
              </w:rPr>
            </w:pPr>
            <w:r>
              <w:rPr>
                <w:rFonts w:hint="eastAsia" w:ascii="宋体" w:hAnsi="宋体" w:cs="宋体"/>
                <w:bCs/>
                <w:color w:val="000000" w:themeColor="text1"/>
                <w:sz w:val="22"/>
                <w:szCs w:val="22"/>
                <w:highlight w:val="none"/>
              </w:rPr>
              <w:t xml:space="preserve">投标产品对招标文件具体需求的响应程度：全部响应即满足招标文件“第四章 招标技术规格及要求”要求的得35分</w:t>
            </w:r>
            <w:r>
              <w:rPr>
                <w:rFonts w:hint="eastAsia" w:ascii="宋体" w:hAnsi="宋体" w:cs="宋体"/>
                <w:iCs/>
                <w:color w:val="000000" w:themeColor="text1"/>
                <w:sz w:val="22"/>
                <w:szCs w:val="22"/>
                <w:highlight w:val="none"/>
              </w:rPr>
              <w:t xml:space="preserve">；</w:t>
            </w:r>
            <w:r>
              <w:rPr>
                <w:rFonts w:hint="eastAsia" w:ascii="宋体" w:hAnsi="宋体" w:cs="宋体"/>
                <w:b/>
                <w:color w:val="000000" w:themeColor="text1"/>
                <w:sz w:val="22"/>
                <w:szCs w:val="22"/>
                <w:highlight w:val="none"/>
              </w:rPr>
              <w:t xml:space="preserve">标注“★”项为实质性要求和条件，如有任何一项不满足则为无效响应；</w:t>
            </w:r>
            <w:r>
              <w:rPr>
                <w:rFonts w:hint="eastAsia" w:ascii="宋体" w:hAnsi="宋体" w:cs="宋体"/>
                <w:bCs/>
                <w:color w:val="000000" w:themeColor="text1"/>
                <w:sz w:val="22"/>
                <w:szCs w:val="22"/>
                <w:highlight w:val="none"/>
              </w:rPr>
              <w:t xml:space="preserve">其中标注▲项有负偏离的每项扣5分，其他有负偏离的每项扣0.5分，扣完为止。</w:t>
            </w:r>
            <w:r>
              <w:rPr>
                <w:rFonts w:hint="eastAsia" w:ascii="宋体" w:hAnsi="宋体" w:cs="宋体"/>
                <w:b/>
                <w:color w:val="000000" w:themeColor="text1"/>
                <w:sz w:val="22"/>
                <w:szCs w:val="22"/>
                <w:highlight w:val="none"/>
              </w:rPr>
              <w:t xml:space="preserve">（投标人需在“技术条款偏离表”中如实逐项填列所投产品的参数及服务承诺，如招标文件要求提供相应证明材料的，应在偏离表中注明证明材料所在投标文件的页码位置，如因未在《技术条款偏离表》中注明支持资料具体页码和位置导致本项不得分的，由此产生的后果由供应商自行承担。）</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35分</w:t>
            </w:r>
            <w:r/>
          </w:p>
        </w:tc>
      </w:tr>
      <w:tr>
        <w:trPr>
          <w:jc w:val="center"/>
          <w:trHeight w:val="4978"/>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3.1</w:t>
            </w:r>
            <w:r/>
          </w:p>
        </w:tc>
        <w:tc>
          <w:tcPr>
            <w:tcW w:w="1203"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供货实施方案</w:t>
            </w:r>
            <w:r/>
          </w:p>
        </w:tc>
        <w:tc>
          <w:tcPr>
            <w:tcW w:w="6970" w:type="dxa"/>
            <w:vAlign w:val="center"/>
            <w:textDirection w:val="lrTb"/>
            <w:noWrap w:val="false"/>
          </w:tcPr>
          <w:p>
            <w:pPr>
              <w:spacing w:line="360" w:lineRule="auto"/>
              <w:rPr>
                <w:rFonts w:hint="eastAsia" w:ascii="宋体" w:hAnsi="宋体" w:eastAsia="宋体" w:cs="宋体"/>
                <w:color w:val="000000" w:themeColor="text1"/>
                <w:sz w:val="22"/>
                <w:szCs w:val="22"/>
                <w:highlight w:val="none"/>
                <w:lang w:eastAsia="zh-CN"/>
              </w:rPr>
            </w:pPr>
            <w:r>
              <w:rPr>
                <w:rFonts w:hint="eastAsia" w:ascii="宋体" w:hAnsi="宋体" w:cs="宋体"/>
                <w:color w:val="000000" w:themeColor="text1"/>
                <w:sz w:val="22"/>
                <w:szCs w:val="22"/>
                <w:highlight w:val="none"/>
              </w:rPr>
              <w:t xml:space="preserve">投标人应根据招标文件要求提供具体详实的项目供货实施方案</w:t>
            </w:r>
            <w:r>
              <w:rPr>
                <w:rFonts w:hint="eastAsia" w:ascii="宋体" w:hAnsi="宋体" w:cs="宋体"/>
                <w:color w:val="000000" w:themeColor="text1"/>
                <w:sz w:val="22"/>
                <w:szCs w:val="22"/>
                <w:highlight w:val="none"/>
                <w:lang w:eastAsia="zh-CN"/>
              </w:rPr>
              <w:t xml:space="preserve">：</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（1）实施方案全面，具有合理的供货进度安排和配送组织架构，具有良好的进度控制、风险控制管理、质量保障措施的，得8分；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（2）实施方案不够全面，供货进度安排和配送组织架构不够合理，进度控制、风险控制管理、质量保障措施不全的，得5分；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（3）实施方案简略，供货进度安排和配送组织架构不合理，没有进度控制、风险控制管理、质量保障措施的，得2分；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（4）未提供实施方案的不得分。</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8分</w:t>
            </w:r>
            <w:r/>
          </w:p>
        </w:tc>
      </w:tr>
      <w:tr>
        <w:trPr>
          <w:jc w:val="center"/>
          <w:trHeight w:val="1087"/>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3.2</w:t>
            </w:r>
            <w:r/>
          </w:p>
        </w:tc>
        <w:tc>
          <w:tcPr>
            <w:tcW w:w="1203"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验收方案</w:t>
            </w:r>
            <w:r/>
          </w:p>
        </w:tc>
        <w:tc>
          <w:tcPr>
            <w:tcW w:w="6970"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投标人应根据招标文件要求提供具体详实的项目验收方案，</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（1）验收方案全面，验收资料齐全，验收人员安排合理，对设备安装过程中全程记录的，得8分；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（2）验收方案可行，验收资料基本满足要求，验收人员安排缺乏经验，设备安装过程中记录不全的，得5分；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（3）验收方案简单，验收资料无逻辑性，安排验收人员无经验，安装过程资料丢失的，得2分；</w:t>
            </w:r>
            <w:r/>
          </w:p>
          <w:p>
            <w:pPr>
              <w:spacing w:line="360" w:lineRule="auto"/>
              <w:rPr>
                <w:rFonts w:ascii="宋体" w:hAnsi="宋体" w:cs="宋体"/>
                <w:b/>
                <w:color w:val="000000" w:themeColor="text1"/>
                <w:sz w:val="22"/>
                <w:szCs w:val="22"/>
                <w:highlight w:val="none"/>
              </w:rPr>
            </w:pPr>
            <w:r>
              <w:rPr>
                <w:rFonts w:hint="eastAsia" w:ascii="宋体" w:hAnsi="宋体" w:cs="宋体"/>
                <w:color w:val="000000" w:themeColor="text1"/>
                <w:sz w:val="22"/>
                <w:szCs w:val="22"/>
                <w:highlight w:val="none"/>
              </w:rPr>
              <w:t xml:space="preserve">（4）未提供验收方案的不得分。</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8分</w:t>
            </w:r>
            <w:r/>
          </w:p>
        </w:tc>
      </w:tr>
      <w:tr>
        <w:trPr>
          <w:jc w:val="center"/>
          <w:trHeight w:val="416"/>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3.3</w:t>
            </w:r>
            <w:r/>
          </w:p>
        </w:tc>
        <w:tc>
          <w:tcPr>
            <w:tcW w:w="1203"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售后服务方案</w:t>
            </w:r>
            <w:r/>
          </w:p>
        </w:tc>
        <w:tc>
          <w:tcPr>
            <w:tcW w:w="6970"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投标人应根据招标文件要求提供具体详实的项目售后服务方案，</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（1）售后服务方案全面，细致，有针对性，且质保期后服务等技术指导方案周全，得8分；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（2）售后服务方案一般，针对性一般，且质保期后服务等技术指导方案一般，得5分；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（3）售后服务方案简单、针对性弱，且质保期后服务等技术指导方案简单，得2分；</w:t>
            </w:r>
            <w:r/>
          </w:p>
          <w:p>
            <w:pPr>
              <w:spacing w:line="360" w:lineRule="auto"/>
              <w:rPr>
                <w:rFonts w:ascii="宋体" w:hAnsi="宋体" w:cs="宋体"/>
                <w:b/>
                <w:color w:val="000000" w:themeColor="text1"/>
                <w:sz w:val="22"/>
                <w:szCs w:val="22"/>
                <w:highlight w:val="none"/>
              </w:rPr>
            </w:pPr>
            <w:r>
              <w:rPr>
                <w:rFonts w:hint="eastAsia" w:ascii="宋体" w:hAnsi="宋体" w:cs="宋体"/>
                <w:color w:val="000000" w:themeColor="text1"/>
                <w:sz w:val="22"/>
                <w:szCs w:val="22"/>
                <w:highlight w:val="none"/>
              </w:rPr>
              <w:t xml:space="preserve">（4）未提供售后服务方案的不得分。</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8分</w:t>
            </w:r>
            <w:r/>
          </w:p>
        </w:tc>
      </w:tr>
      <w:tr>
        <w:trPr>
          <w:jc w:val="center"/>
          <w:trHeight w:val="416"/>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3.4</w:t>
            </w:r>
            <w:r/>
          </w:p>
        </w:tc>
        <w:tc>
          <w:tcPr>
            <w:tcW w:w="1203"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培训方案</w:t>
            </w:r>
            <w:r/>
          </w:p>
        </w:tc>
        <w:tc>
          <w:tcPr>
            <w:tcW w:w="6970"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投标人应根据招标文件要求提供具体详实的项目培训方案，对采购人操作、维护人员的培训方案及计划等方面综合评分。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（1）培训方案全面具体、科学合理且有针对性、完全满足项目实际需求的，得6分；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（2）培训方案对要求的各部分有完整的论述且大部分内容详细清晰，内容基本合理并能够满足项目需求的，得4分；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（3）培训方案中对要求的各部分的论述不完整且内容简单粗略，不能满足项目要求的，得2分；</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（4）未提供培训方案的不得分。</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6分</w:t>
            </w:r>
            <w:r/>
          </w:p>
        </w:tc>
      </w:tr>
      <w:tr>
        <w:trPr>
          <w:jc w:val="center"/>
          <w:trHeight w:val="597"/>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4</w:t>
            </w:r>
            <w:r/>
          </w:p>
        </w:tc>
        <w:tc>
          <w:tcPr>
            <w:tcW w:w="1203" w:type="dxa"/>
            <w:vAlign w:val="center"/>
            <w:textDirection w:val="lrTb"/>
            <w:noWrap w:val="false"/>
          </w:tcPr>
          <w:p>
            <w:pPr>
              <w:spacing w:line="360" w:lineRule="auto"/>
              <w:rPr>
                <w:rFonts w:ascii="宋体" w:hAnsi="宋体" w:cs="宋体"/>
                <w:bCs/>
                <w:color w:val="000000" w:themeColor="text1"/>
                <w:sz w:val="22"/>
                <w:szCs w:val="22"/>
                <w:highlight w:val="none"/>
              </w:rPr>
            </w:pPr>
            <w:r>
              <w:rPr>
                <w:rFonts w:hint="eastAsia" w:ascii="宋体" w:hAnsi="宋体" w:cs="宋体"/>
                <w:b/>
                <w:color w:val="000000" w:themeColor="text1"/>
                <w:sz w:val="22"/>
                <w:szCs w:val="22"/>
                <w:highlight w:val="none"/>
              </w:rPr>
              <w:t xml:space="preserve">免费质保期</w:t>
            </w:r>
            <w:r/>
          </w:p>
        </w:tc>
        <w:tc>
          <w:tcPr>
            <w:tcW w:w="6970" w:type="dxa"/>
            <w:vAlign w:val="center"/>
            <w:textDirection w:val="lrTb"/>
            <w:noWrap w:val="false"/>
          </w:tcPr>
          <w:p>
            <w:pPr>
              <w:spacing w:line="360" w:lineRule="auto"/>
              <w:rPr>
                <w:rFonts w:ascii="宋体" w:hAnsi="宋体" w:cs="宋体"/>
                <w:strike/>
                <w:color w:val="000000" w:themeColor="text1"/>
                <w:sz w:val="22"/>
                <w:szCs w:val="22"/>
                <w:highlight w:val="none"/>
              </w:rPr>
            </w:pPr>
            <w:r>
              <w:rPr>
                <w:rFonts w:hint="eastAsia" w:ascii="宋体" w:hAnsi="宋体" w:cs="宋体"/>
                <w:bCs/>
                <w:color w:val="000000" w:themeColor="text1"/>
                <w:sz w:val="22"/>
                <w:szCs w:val="22"/>
                <w:highlight w:val="none"/>
              </w:rPr>
              <w:t xml:space="preserve">在满足采购文件要求的1年免费质保期基础上，每多承诺增加1年质保期加1分，最高加2分</w:t>
            </w:r>
            <w:r>
              <w:rPr>
                <w:rFonts w:hint="eastAsia" w:ascii="宋体" w:hAnsi="宋体" w:cs="宋体"/>
                <w:b/>
                <w:bCs/>
                <w:color w:val="000000" w:themeColor="text1"/>
                <w:sz w:val="22"/>
                <w:szCs w:val="22"/>
                <w:highlight w:val="none"/>
              </w:rPr>
              <w:t xml:space="preserve">（提供质保期承诺函并加盖公章，格式自拟，如承诺的设备质保期不一致按最低质保期计算。）</w:t>
            </w:r>
            <w:r/>
          </w:p>
        </w:tc>
        <w:tc>
          <w:tcPr>
            <w:tcW w:w="920" w:type="dxa"/>
            <w:vAlign w:val="center"/>
            <w:textDirection w:val="lrTb"/>
            <w:noWrap w:val="false"/>
          </w:tcPr>
          <w:p>
            <w:pPr>
              <w:jc w:val="center"/>
              <w:spacing w:line="360" w:lineRule="auto"/>
              <w:rPr>
                <w:rFonts w:ascii="宋体" w:hAnsi="宋体" w:cs="宋体"/>
                <w:b/>
                <w:bCs/>
                <w:strike/>
                <w:color w:val="000000" w:themeColor="text1"/>
                <w:sz w:val="22"/>
                <w:szCs w:val="22"/>
                <w:highlight w:val="none"/>
              </w:rPr>
            </w:pPr>
            <w:r>
              <w:rPr>
                <w:rFonts w:hint="eastAsia" w:ascii="宋体" w:hAnsi="宋体" w:cs="宋体"/>
                <w:b/>
                <w:bCs/>
                <w:color w:val="000000" w:themeColor="text1"/>
                <w:sz w:val="22"/>
                <w:szCs w:val="22"/>
                <w:highlight w:val="none"/>
              </w:rPr>
              <w:t xml:space="preserve">2分</w:t>
            </w:r>
            <w:r/>
          </w:p>
        </w:tc>
      </w:tr>
      <w:tr>
        <w:trPr>
          <w:jc w:val="center"/>
          <w:trHeight w:val="597"/>
        </w:trPr>
        <w:tc>
          <w:tcPr>
            <w:tcW w:w="939"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5</w:t>
            </w:r>
            <w:r/>
          </w:p>
        </w:tc>
        <w:tc>
          <w:tcPr>
            <w:tcW w:w="1203"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业绩</w:t>
            </w:r>
            <w:r/>
          </w:p>
        </w:tc>
        <w:tc>
          <w:tcPr>
            <w:tcW w:w="6970" w:type="dxa"/>
            <w:vAlign w:val="center"/>
            <w:textDirection w:val="lrTb"/>
            <w:noWrap w:val="false"/>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投标人提供自2023年9月1日（含）（时间以合同签订时间为准）以来承揽过同类项目业绩的，每提供一个得1分，最高得3分，未提供或者提供不全不得分</w:t>
            </w:r>
            <w:r>
              <w:rPr>
                <w:rFonts w:hint="eastAsia" w:ascii="宋体" w:hAnsi="宋体" w:cs="宋体"/>
                <w:b/>
                <w:bCs/>
                <w:color w:val="000000" w:themeColor="text1"/>
                <w:sz w:val="22"/>
                <w:szCs w:val="22"/>
                <w:highlight w:val="none"/>
              </w:rPr>
              <w:t xml:space="preserve">（</w:t>
            </w:r>
            <w:r>
              <w:rPr>
                <w:rFonts w:hint="eastAsia" w:ascii="宋体" w:hAnsi="宋体" w:cs="宋体"/>
                <w:b/>
                <w:bCs/>
                <w:color w:val="000000" w:themeColor="text1"/>
                <w:sz w:val="22"/>
                <w:szCs w:val="22"/>
                <w:highlight w:val="none"/>
                <w:lang w:val="zh-TW"/>
              </w:rPr>
              <w:t xml:space="preserve">提供业绩合同并</w:t>
            </w:r>
            <w:r>
              <w:rPr>
                <w:rFonts w:hint="eastAsia" w:ascii="宋体" w:hAnsi="宋体" w:cs="宋体"/>
                <w:b/>
                <w:bCs/>
                <w:color w:val="000000" w:themeColor="text1"/>
                <w:sz w:val="22"/>
                <w:szCs w:val="22"/>
                <w:highlight w:val="none"/>
              </w:rPr>
              <w:t xml:space="preserve">加盖CA电子公章</w:t>
            </w:r>
            <w:r>
              <w:rPr>
                <w:rFonts w:hint="eastAsia" w:ascii="宋体" w:hAnsi="宋体" w:cs="宋体"/>
                <w:b/>
                <w:bCs/>
                <w:color w:val="000000" w:themeColor="text1"/>
                <w:sz w:val="22"/>
                <w:szCs w:val="22"/>
                <w:highlight w:val="none"/>
                <w:lang w:val="zh-TW"/>
              </w:rPr>
              <w:t xml:space="preserve">，合同</w:t>
            </w:r>
            <w:r>
              <w:rPr>
                <w:rFonts w:hint="eastAsia" w:ascii="宋体" w:hAnsi="宋体" w:cs="宋体"/>
                <w:b/>
                <w:bCs/>
                <w:color w:val="000000" w:themeColor="text1"/>
                <w:sz w:val="22"/>
                <w:szCs w:val="22"/>
                <w:highlight w:val="none"/>
              </w:rPr>
              <w:t xml:space="preserve">需体现相关内容，未体现不得分。）</w:t>
            </w:r>
            <w:r/>
          </w:p>
        </w:tc>
        <w:tc>
          <w:tcPr>
            <w:tcW w:w="920" w:type="dxa"/>
            <w:vAlign w:val="center"/>
            <w:textDirection w:val="lrTb"/>
            <w:noWrap w:val="false"/>
          </w:tcPr>
          <w:p>
            <w:pPr>
              <w:jc w:val="cente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3分</w:t>
            </w:r>
            <w:r/>
          </w:p>
        </w:tc>
      </w:tr>
      <w:tr>
        <w:trPr>
          <w:jc w:val="center"/>
          <w:trHeight w:val="597"/>
        </w:trPr>
        <w:tc>
          <w:tcPr>
            <w:gridSpan w:val="3"/>
            <w:tcW w:w="9112" w:type="dxa"/>
            <w:vAlign w:val="center"/>
            <w:textDirection w:val="lrTb"/>
            <w:noWrap w:val="false"/>
          </w:tcPr>
          <w:p>
            <w:pPr>
              <w:jc w:val="cente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合计</w:t>
            </w:r>
            <w:r/>
          </w:p>
        </w:tc>
        <w:tc>
          <w:tcPr>
            <w:tcW w:w="920" w:type="dxa"/>
            <w:vAlign w:val="center"/>
            <w:textDirection w:val="lrTb"/>
            <w:noWrap w:val="false"/>
          </w:tcPr>
          <w:p>
            <w:pPr>
              <w:jc w:val="cente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100分</w:t>
            </w:r>
            <w:r/>
          </w:p>
        </w:tc>
      </w:tr>
    </w:tbl>
    <w:p>
      <w:pPr>
        <w:spacing w:line="4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说明：</w:t>
      </w:r>
      <w:r/>
    </w:p>
    <w:p>
      <w:pPr>
        <w:ind w:firstLine="21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（一）对于小型、微型企业产品的具体评标价格扣除，均按财政部（财库﹝2020﹞46 号文件中最低比例10%扣除，监狱企业及福利企业视同小、微企业。供应商需按照招标文件的要求提供相应的《中小企业声明函》。对于中型企业产品的价格不予扣除。 </w:t>
      </w:r>
      <w:r/>
    </w:p>
    <w:p>
      <w:pPr>
        <w:ind w:firstLine="21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（二）根据财政部、国家环保总局《关于环境标志产品政府采购实施的意见》，投标产品属于《环境标志产品政府采购品目清单》范围内的产品，对相应产品的价格给予1%的扣除，用扣除后的价格参与评审。</w:t>
      </w:r>
      <w:r/>
    </w:p>
    <w:p>
      <w:pPr>
        <w:ind w:firstLine="21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（三）根据财政部、国家发改委《节能产品政府采购实施意见》，投标产品属于《节能产品政府采购品目清单》范围内的产品，对相应产品的价格给予 1%的扣除，用扣除后的价格参与评审。 </w:t>
      </w:r>
      <w:r/>
    </w:p>
    <w:p>
      <w:pPr>
        <w:ind w:firstLine="210"/>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p>
    <w:p>
      <w:pPr>
        <w:numPr>
          <w:ilvl w:val="0"/>
          <w:numId w:val="5"/>
        </w:num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政府采购活动中既有本国产品又有非本国产品参与竞争的，依法对本国产品给予价格评审优惠，对本国产品的报价给予20%的价格扣除，用扣除后的价格参与评审。 </w:t>
      </w:r>
      <w:r/>
    </w:p>
    <w:p>
      <w:pPr>
        <w:numPr>
          <w:ilvl w:val="0"/>
          <w:numId w:val="5"/>
        </w:num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p>
    <w:p>
      <w:pPr>
        <w:numPr>
          <w:ilvl w:val="0"/>
          <w:numId w:val="5"/>
        </w:num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p>
    <w:p>
      <w:pPr>
        <w:numPr>
          <w:ilvl w:val="0"/>
          <w:numId w:val="5"/>
        </w:num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本国产品应当在中国境内生产，即在中华人民共和国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p>
    <w:p>
      <w:pPr>
        <w:numPr>
          <w:ilvl w:val="0"/>
          <w:numId w:val="5"/>
        </w:numPr>
        <w:spacing w:line="400" w:lineRule="exac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p>
    <w:p>
      <w:pPr>
        <w:spacing w:line="4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（五）供应商需对上述评标办法细则逐条响应、提供有效证明材料并列出评标索引，否则将可能导致不得分。</w:t>
      </w:r>
      <w:r/>
    </w:p>
    <w:p>
      <w:pPr>
        <w:spacing w:line="400" w:lineRule="exact"/>
        <w:rPr>
          <w:rFonts w:ascii="宋体" w:hAnsi="宋体" w:cs="宋体"/>
          <w:color w:val="000000" w:themeColor="text1"/>
          <w:sz w:val="22"/>
          <w:szCs w:val="22"/>
          <w:highlight w:val="none"/>
          <w:lang w:val="zh-TW"/>
        </w:rPr>
      </w:pPr>
      <w:r>
        <w:rPr>
          <w:rFonts w:hint="eastAsia" w:ascii="宋体" w:hAnsi="宋体" w:cs="宋体"/>
          <w:color w:val="000000" w:themeColor="text1"/>
          <w:sz w:val="22"/>
          <w:szCs w:val="22"/>
          <w:highlight w:val="none"/>
          <w:lang w:val="zh-TW"/>
        </w:rPr>
        <w:t xml:space="preserve">（</w:t>
      </w:r>
      <w:r>
        <w:rPr>
          <w:rFonts w:hint="eastAsia" w:ascii="宋体" w:hAnsi="宋体" w:cs="宋体"/>
          <w:color w:val="000000" w:themeColor="text1"/>
          <w:sz w:val="22"/>
          <w:szCs w:val="22"/>
          <w:highlight w:val="none"/>
        </w:rPr>
        <w:t xml:space="preserve">六</w:t>
      </w:r>
      <w:r>
        <w:rPr>
          <w:rFonts w:hint="eastAsia" w:ascii="宋体" w:hAnsi="宋体" w:cs="宋体"/>
          <w:color w:val="000000" w:themeColor="text1"/>
          <w:sz w:val="22"/>
          <w:szCs w:val="22"/>
          <w:highlight w:val="none"/>
          <w:lang w:val="zh-TW"/>
        </w:rPr>
        <w:t xml:space="preserve">）所有认证、证明和业绩除上表要求外均须提供有效的证明材料复印件加盖公章。</w:t>
      </w:r>
      <w:r/>
    </w:p>
    <w:p>
      <w:pPr>
        <w:ind w:firstLine="482"/>
        <w:spacing w:line="324" w:lineRule="auto"/>
        <w:rPr>
          <w:rFonts w:ascii="宋体" w:cs="宋体"/>
          <w:b/>
          <w:bCs/>
          <w:color w:val="000000" w:themeColor="text1"/>
          <w:sz w:val="24"/>
          <w:highlight w:val="none"/>
          <w:lang w:eastAsia="zh-TW"/>
        </w:rPr>
      </w:pPr>
      <w:r>
        <w:rPr>
          <w:rFonts w:ascii="宋体" w:cs="宋体"/>
          <w:b/>
          <w:bCs/>
          <w:color w:val="000000" w:themeColor="text1"/>
          <w:sz w:val="24"/>
          <w:highlight w:val="none"/>
          <w:lang w:eastAsia="zh-TW"/>
        </w:rPr>
      </w:r>
      <w:r/>
    </w:p>
    <w:p>
      <w:pPr>
        <w:ind w:firstLine="482"/>
        <w:jc w:val="center"/>
        <w:spacing w:line="324" w:lineRule="auto"/>
        <w:rPr>
          <w:rFonts w:ascii="宋体" w:hAnsi="宋体" w:cs="宋体"/>
          <w:color w:val="000000" w:themeColor="text1"/>
          <w:szCs w:val="32"/>
          <w:highlight w:val="none"/>
          <w:shd w:val="clear" w:color="auto" w:fill="ffffff"/>
        </w:rPr>
      </w:pPr>
      <w:r>
        <w:rPr>
          <w:rFonts w:ascii="宋体" w:cs="宋体"/>
          <w:b/>
          <w:bCs/>
          <w:color w:val="000000" w:themeColor="text1"/>
          <w:sz w:val="24"/>
          <w:highlight w:val="none"/>
        </w:rPr>
        <w:br w:type="page" w:clear="all"/>
      </w:r>
      <w:bookmarkStart w:id="24" w:name="_Toc9749"/>
      <w:r>
        <w:rPr>
          <w:rStyle w:val="1212"/>
          <w:rFonts w:hint="eastAsia"/>
          <w:color w:val="000000" w:themeColor="text1"/>
          <w:highlight w:val="none"/>
        </w:rPr>
        <w:t xml:space="preserve">第四章 </w:t>
      </w:r>
      <w:bookmarkStart w:id="25" w:name="_Toc452625220"/>
      <w:r>
        <w:rPr>
          <w:rStyle w:val="1212"/>
          <w:rFonts w:hint="eastAsia"/>
          <w:color w:val="000000" w:themeColor="text1"/>
          <w:highlight w:val="none"/>
        </w:rPr>
        <w:t xml:space="preserve">招标</w:t>
      </w:r>
      <w:bookmarkEnd w:id="25"/>
      <w:r>
        <w:rPr>
          <w:rStyle w:val="1212"/>
          <w:rFonts w:hint="eastAsia"/>
          <w:color w:val="000000" w:themeColor="text1"/>
          <w:highlight w:val="none"/>
        </w:rPr>
        <w:t xml:space="preserve">技术规格及要求</w:t>
      </w:r>
      <w:bookmarkEnd w:id="24"/>
      <w:r/>
      <w:r/>
    </w:p>
    <w:p>
      <w:pPr>
        <w:jc w:val="left"/>
        <w:spacing w:line="460" w:lineRule="exact"/>
        <w:rPr>
          <w:rFonts w:ascii="宋体" w:hAnsi="宋体" w:cs="宋体"/>
          <w:color w:val="000000" w:themeColor="text1"/>
          <w:sz w:val="22"/>
          <w:szCs w:val="22"/>
          <w:highlight w:val="none"/>
        </w:rPr>
      </w:pPr>
      <w:r/>
      <w:bookmarkStart w:id="26" w:name="_Toc452625221"/>
      <w:r>
        <w:rPr>
          <w:rFonts w:hint="eastAsia" w:ascii="宋体" w:hAnsi="宋体" w:cs="宋体"/>
          <w:b/>
          <w:bCs/>
          <w:color w:val="000000" w:themeColor="text1"/>
          <w:sz w:val="22"/>
          <w:szCs w:val="22"/>
          <w:highlight w:val="none"/>
        </w:rPr>
        <w:t xml:space="preserve">一、设备名称和数量：2026年度市级农产品质量安全检验检测能力提升仪器设备采购项目-</w:t>
      </w:r>
      <w:r>
        <w:rPr>
          <w:rFonts w:hint="eastAsia" w:ascii="宋体" w:hAnsi="宋体" w:cs="宋体"/>
          <w:color w:val="000000" w:themeColor="text1"/>
          <w:sz w:val="22"/>
          <w:szCs w:val="22"/>
          <w:highlight w:val="none"/>
        </w:rPr>
        <w:t xml:space="preserve">液相色谱-串联质谱仪，1套</w:t>
      </w:r>
      <w:r/>
    </w:p>
    <w:p>
      <w:pPr>
        <w:spacing w:line="460" w:lineRule="exact"/>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二、仪器设备用途：</w:t>
      </w:r>
      <w:r>
        <w:rPr>
          <w:rFonts w:hint="eastAsia" w:ascii="宋体" w:hAnsi="宋体" w:cs="宋体"/>
          <w:color w:val="000000" w:themeColor="text1"/>
          <w:sz w:val="22"/>
          <w:szCs w:val="22"/>
          <w:highlight w:val="none"/>
        </w:rPr>
        <w:t xml:space="preserve"> 用于农产品、畜产品、水产品中药物残留和非法添加物的靶向定量检测。</w:t>
      </w:r>
      <w:r/>
    </w:p>
    <w:p>
      <w:pPr>
        <w:pStyle w:val="1045"/>
        <w:ind w:left="0" w:firstLine="0"/>
        <w:spacing w:after="0" w:line="460" w:lineRule="exact"/>
        <w:rPr>
          <w:rFonts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三、主要技术参数</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1.质谱仪性能指标要求</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 离子源技术</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1.1.1离子源类型：标配独立的电喷雾离子源（ESI源）</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1.1.2 ESI与APCI切换只需更换源探针组件，且整个过程无需拆卸离子源（</w:t>
      </w:r>
      <w:r>
        <w:rPr>
          <w:rFonts w:hint="eastAsia" w:ascii="宋体" w:hAnsi="宋体" w:cs="宋体"/>
          <w:b/>
          <w:bCs/>
          <w:color w:val="000000" w:themeColor="text1"/>
          <w:sz w:val="22"/>
          <w:szCs w:val="22"/>
          <w:highlight w:val="none"/>
        </w:rPr>
        <w:t xml:space="preserve">需提供硬件实物照片证明，此条作为验收指标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1.1.3 离子源加热辅助气设计：先喷雾后加热，辅助气温度可至500℃以上</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1.1.4 离子源最大耐受流速：100％水相，至少1.5ml/min流速以上，具备成熟离子色谱联用方案</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1.1.5离子传输管或非毛细管路引流的离子通道设计，可加热至300℃以上，离子通道为无损配件，无需消耗更换（</w:t>
      </w:r>
      <w:r>
        <w:rPr>
          <w:rFonts w:hint="eastAsia" w:ascii="宋体" w:hAnsi="宋体" w:cs="宋体"/>
          <w:b/>
          <w:bCs/>
          <w:color w:val="000000" w:themeColor="text1"/>
          <w:sz w:val="22"/>
          <w:szCs w:val="22"/>
          <w:highlight w:val="none"/>
        </w:rPr>
        <w:t xml:space="preserve">需提供硬件实物照片和软件温度设置证明，此条作为验收指标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1.1.6 弯曲且带有中性挡杆的离子束导向装置，减少噪音，提高耐用性（</w:t>
      </w:r>
      <w:r>
        <w:rPr>
          <w:rFonts w:hint="eastAsia" w:ascii="宋体" w:hAnsi="宋体" w:cs="宋体"/>
          <w:b/>
          <w:bCs/>
          <w:color w:val="000000" w:themeColor="text1"/>
          <w:sz w:val="22"/>
          <w:szCs w:val="22"/>
          <w:highlight w:val="none"/>
        </w:rPr>
        <w:t xml:space="preserve">需提供硬件实物照片证明，此条作为验收指标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 质量分析系统</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1.2.1 质量分析器：三重四级杆质谱质量分析系统</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1.2.2碰撞室技术：90度弯曲碰撞室降低中性分子噪音干扰，提高灵敏度（</w:t>
      </w:r>
      <w:r>
        <w:rPr>
          <w:rFonts w:hint="eastAsia" w:ascii="宋体" w:hAnsi="宋体" w:cs="宋体"/>
          <w:b/>
          <w:bCs/>
          <w:color w:val="000000" w:themeColor="text1"/>
          <w:sz w:val="22"/>
          <w:szCs w:val="22"/>
          <w:highlight w:val="none"/>
        </w:rPr>
        <w:t xml:space="preserve">需提供硬件实物照片证明，此条作为验收指标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1.2.3 质量上限m/z：≥2000amu</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1.2.4 质量稳定性：±0.1amu/24小时, 四级杆无需加热温控</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1.2.5  扫描速度: ≥700通道/秒（</w:t>
      </w:r>
      <w:r>
        <w:rPr>
          <w:rFonts w:hint="eastAsia" w:ascii="宋体" w:hAnsi="宋体" w:cs="宋体"/>
          <w:b/>
          <w:bCs/>
          <w:color w:val="000000" w:themeColor="text1"/>
          <w:sz w:val="22"/>
          <w:szCs w:val="22"/>
          <w:highlight w:val="none"/>
        </w:rPr>
        <w:t xml:space="preserve">需提供软件截图证明，此条作为验收指标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1.2.6灵敏度</w:t>
      </w:r>
      <w:r>
        <w:rPr>
          <w:rFonts w:hint="eastAsia" w:ascii="宋体" w:hAnsi="宋体" w:cs="宋体"/>
          <w:b/>
          <w:bCs/>
          <w:color w:val="000000" w:themeColor="text1"/>
          <w:sz w:val="22"/>
          <w:szCs w:val="22"/>
          <w:highlight w:val="none"/>
        </w:rPr>
        <w:t xml:space="preserve">（需提供省级或以上检测机构出具的计量报告，报告出具时间不晚于本招标文件发布时间，此条作为验收指标）</w:t>
      </w:r>
      <w:r>
        <w:rPr>
          <w:rFonts w:hint="eastAsia" w:ascii="宋体" w:hAnsi="宋体" w:cs="宋体"/>
          <w:color w:val="000000" w:themeColor="text1"/>
          <w:sz w:val="22"/>
          <w:szCs w:val="22"/>
          <w:highlight w:val="none"/>
        </w:rPr>
        <w:t xml:space="preserve">：</w:t>
      </w:r>
      <w:r/>
    </w:p>
    <w:p>
      <w:pPr>
        <w:ind w:left="128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ESI+: 1pg利血平，柱上进样，信噪比≥3000000:1（m/z 609&gt;195）</w:t>
      </w:r>
      <w:r/>
    </w:p>
    <w:p>
      <w:pPr>
        <w:ind w:left="128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ESI-: 1pg利血平，柱上进样，信噪比≥3000000:1（m/z 321&gt;152）    </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1.2.7 扫描速度：≥15000Da/s</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1.2.8扫描模式：具有全扫描、选择离子扫描、选择反应扫描、子离子扫描、母离子扫描、中性丢失扫描</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1.3检测器</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1.3.1极性切换速度：≤5ms</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1.3.2动态线性范围：≥10</w:t>
      </w:r>
      <w:r>
        <w:rPr>
          <w:rFonts w:hint="eastAsia" w:ascii="宋体" w:hAnsi="宋体" w:cs="宋体"/>
          <w:color w:val="000000" w:themeColor="text1"/>
          <w:sz w:val="22"/>
          <w:szCs w:val="22"/>
          <w:highlight w:val="none"/>
          <w:vertAlign w:val="superscript"/>
        </w:rPr>
        <w:t xml:space="preserve">6</w:t>
      </w:r>
      <w:r/>
    </w:p>
    <w:p>
      <w:pPr>
        <w:numPr>
          <w:ilvl w:val="0"/>
          <w:numId w:val="6"/>
        </w:num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数据处理工作站性能指标要求</w:t>
      </w:r>
      <w:r/>
    </w:p>
    <w:p>
      <w:pPr>
        <w:ind w:left="-420" w:firstLine="42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2.1 不低于双核3.0GHz CPU，内存32GB及以上，1 TB硬盘及以上，24寸及以上液晶显示器</w:t>
      </w:r>
      <w:r/>
    </w:p>
    <w:p>
      <w:pPr>
        <w:ind w:left="-420" w:firstLine="42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2.2 为确保电子数据的可靠、合规，工作软件符合21 CFR Part 11 法规要求，具有数据追踪审计功能</w:t>
      </w:r>
      <w:r/>
    </w:p>
    <w:p>
      <w:pPr>
        <w:numPr>
          <w:ilvl w:val="0"/>
          <w:numId w:val="6"/>
        </w:num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液相色谱仪性能指标要求</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3.1超高压二元泵系统： </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3.1.1最高操作耐压：≥15000psi</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▲3.1.2最高流速：≥6.000mL/min（</w:t>
      </w:r>
      <w:r>
        <w:rPr>
          <w:rFonts w:hint="eastAsia" w:ascii="宋体" w:hAnsi="宋体" w:cs="宋体"/>
          <w:b/>
          <w:bCs/>
          <w:color w:val="000000" w:themeColor="text1"/>
          <w:sz w:val="22"/>
          <w:szCs w:val="22"/>
          <w:highlight w:val="none"/>
        </w:rPr>
        <w:t xml:space="preserve">需提供软件截图证明，此条作为验收指标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3.1.3具有在线脱气功能</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 自动进样器</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3.2.1样品位数：≥200位2mL通用样品瓶</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3.2.2进样范围：≥0.1uL</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3.2.3进样精度：≤0.25%RSD</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3.2.4 控温范围：4-40℃</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3.2.5交叉污染: ≤0.0004%</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▲3.3柱温箱温度：5-120℃（</w:t>
      </w:r>
      <w:r>
        <w:rPr>
          <w:rFonts w:hint="eastAsia" w:ascii="宋体" w:hAnsi="宋体" w:cs="宋体"/>
          <w:b/>
          <w:bCs/>
          <w:color w:val="000000" w:themeColor="text1"/>
          <w:sz w:val="22"/>
          <w:szCs w:val="22"/>
          <w:highlight w:val="none"/>
        </w:rPr>
        <w:t xml:space="preserve">需提供软件截图证明，此条作为验收指标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 冷冻离心装置</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4.1 转速离心力：角转头最高转速 ≥ 15200rpm，最大离心力 ≥ 25830×g；300 rpm/100×g 起，转速步进 1rpm；离心力步进1 xg</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4.2 转头锁定系统：转头自锁，具有转头自动锁定装置，可以在3秒内实现转头的安全锁定&amp;转头更换（</w:t>
      </w:r>
      <w:r>
        <w:rPr>
          <w:rFonts w:hint="eastAsia" w:ascii="宋体" w:hAnsi="宋体" w:cs="宋体"/>
          <w:b/>
          <w:bCs/>
          <w:color w:val="000000" w:themeColor="text1"/>
          <w:sz w:val="22"/>
          <w:szCs w:val="22"/>
          <w:highlight w:val="none"/>
        </w:rPr>
        <w:t xml:space="preserve">需提供硬件实物照片证明，此条作为验收指标</w:t>
      </w:r>
      <w:r>
        <w:rPr>
          <w:rFonts w:hint="eastAsia" w:ascii="宋体" w:hAnsi="宋体" w:cs="宋体"/>
          <w:color w:val="000000" w:themeColor="text1"/>
          <w:sz w:val="22"/>
          <w:szCs w:val="22"/>
          <w:highlight w:val="none"/>
        </w:rPr>
        <w:t xml:space="preserve">）</w:t>
      </w:r>
      <w:r/>
    </w:p>
    <w:p>
      <w:pPr>
        <w:ind w:left="440" w:hanging="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4.3 全彩色触摸屏，让操作和运行一目了然，程序：可存储100个程序，每个程序可以进行多步骤程序设定；数据记录: 记录所有的运行记录，并且可以实时查看</w:t>
      </w:r>
      <w:r/>
    </w:p>
    <w:p>
      <w:pPr>
        <w:ind w:left="442" w:hanging="442"/>
        <w:spacing w:line="46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四、仪器设备配置要求</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三重四极杆质谱仪器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电喷雾电离源ESI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二元泵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自动进样器1套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柱温箱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高效液相色谱柱及配套保护柱5套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操作软件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操作电脑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冷冻离心装置（14*50ml角转子） 1套</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氮气发生器1台</w:t>
      </w:r>
      <w:r/>
    </w:p>
    <w:p>
      <w:pPr>
        <w:numPr>
          <w:ilvl w:val="0"/>
          <w:numId w:val="7"/>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两小时延时供电UPS电源（10KVA）1套</w:t>
      </w:r>
      <w:r/>
    </w:p>
    <w:p>
      <w:p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★五、验收要求</w:t>
      </w:r>
      <w:r/>
    </w:p>
    <w:p>
      <w:p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1. 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技术测试不应视为最终验收，仅作为最终验收的前期部分。</w:t>
      </w:r>
      <w:r/>
    </w:p>
    <w:p>
      <w:p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2. 对于技术测试不合格的仪器设备，采购人有权要求中标供应商在指定期限内无条件更换/维修，因供应商导致设备更换/维修次数不得超过1次，且更换/维修必须于合同签订后3个月内完成。逾期未完成更换/维修且更换/维修次数超过1次的，视为技术测试不合格。</w:t>
      </w:r>
      <w:r/>
    </w:p>
    <w:p>
      <w:p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3. 技术测试完成后，采购人将依据《江苏省政府采购履约验收管理办法》的相关规定，组建验收小组，对货物的数量、外观、包装、质量、安全、功能及性能等内容进行最终验收。项目验收的依据为采购合同、招标文件及投标文件。</w:t>
      </w:r>
      <w:r/>
    </w:p>
    <w:p>
      <w:p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4.产品</w:t>
      </w:r>
      <w:r>
        <w:rPr>
          <w:rFonts w:hint="eastAsia" w:ascii="宋体" w:hAnsi="宋体" w:cs="宋体"/>
          <w:color w:val="000000" w:themeColor="text1"/>
          <w:sz w:val="22"/>
          <w:szCs w:val="22"/>
          <w:highlight w:val="none"/>
        </w:rPr>
        <w:t xml:space="preserve">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相应财政预算资金被财政部门收回的。若发现供应商存在提供虚假材料、虚假响应等违法违规行为，采购人将上报财政部门。</w:t>
      </w:r>
      <w:r/>
    </w:p>
    <w:p>
      <w:p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5. 根据相关政府采购预算管理规定，每年12月底前，采购人需完成当年政府采购资金的年终结算及支付工作。中标供应商应在履行过程中积极配合采购人按期完成最终验收。因未能通过最终验收，进而造成相应财政预算资金被财政部门收回的，中标供应商自行承担无法获得相应合同价款的风险，不得就此向采购人主张任何逾期付款违约责任。</w:t>
      </w:r>
      <w:r/>
    </w:p>
    <w:p>
      <w:pPr>
        <w:spacing w:line="460" w:lineRule="exact"/>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　　</w:t>
      </w:r>
      <w:r>
        <w:rPr>
          <w:rFonts w:hint="eastAsia" w:ascii="宋体" w:hAnsi="宋体" w:cs="宋体"/>
          <w:b/>
          <w:bCs/>
          <w:color w:val="000000" w:themeColor="text1"/>
          <w:sz w:val="22"/>
          <w:szCs w:val="22"/>
          <w:highlight w:val="none"/>
        </w:rPr>
        <w:t xml:space="preserve">注：投标时提供关于上述验收要求的承诺书（须逐条承诺）。</w:t>
      </w:r>
      <w:r/>
    </w:p>
    <w:p>
      <w:pPr>
        <w:ind w:left="442" w:hanging="442"/>
        <w:spacing w:line="46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六、售后服务及培训</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ab/>
      </w:r>
      <w:r>
        <w:rPr>
          <w:rFonts w:hint="eastAsia" w:ascii="宋体" w:hAnsi="宋体" w:cs="宋体"/>
          <w:color w:val="000000" w:themeColor="text1"/>
          <w:sz w:val="22"/>
          <w:szCs w:val="22"/>
          <w:highlight w:val="none"/>
        </w:rPr>
        <w:t xml:space="preserve">供货期：国产设备：合同签订生效后60日历天内，全部货物送达采购人指定实验室现场，并完成卸货、安装、调试，达到验收条件； 进口设备：</w:t>
      </w:r>
      <w:r>
        <w:rPr>
          <w:rFonts w:hint="eastAsia" w:ascii="宋体" w:hAnsi="宋体" w:cs="宋体"/>
          <w:color w:val="000000" w:themeColor="text1"/>
          <w:sz w:val="22"/>
          <w:szCs w:val="22"/>
          <w:highlight w:val="none"/>
          <w:lang w:val="en-US" w:eastAsia="zh-CN"/>
        </w:rPr>
        <w:t xml:space="preserve">预付款支付</w:t>
      </w:r>
      <w:r>
        <w:rPr>
          <w:rFonts w:hint="eastAsia" w:ascii="宋体" w:hAnsi="宋体" w:cs="宋体"/>
          <w:color w:val="000000" w:themeColor="text1"/>
          <w:sz w:val="22"/>
          <w:szCs w:val="22"/>
          <w:highlight w:val="none"/>
        </w:rPr>
        <w:t xml:space="preserve">后8周内，全部货物送达采购人指定实验室现场，并完成卸货、安装、调试，达到验收条件。</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卖方须在交货日期7天内到买方提供的现场免费安装、调试设备并验收。直至技术指标与标书符合。 </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免费提供现场培训，人数不限。内容包括仪器的基本原理、操作应用及仪器的维护保养知识，直到用户能正常使用和维护仪器。</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四名人员免费的提高操作培训，培训地点厂家培训中心。</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ab/>
      </w:r>
      <w:r>
        <w:rPr>
          <w:rFonts w:hint="eastAsia" w:ascii="宋体" w:hAnsi="宋体" w:cs="宋体"/>
          <w:color w:val="000000" w:themeColor="text1"/>
          <w:sz w:val="22"/>
          <w:szCs w:val="22"/>
          <w:highlight w:val="none"/>
        </w:rPr>
        <w:t xml:space="preserve">仪器整机原厂免费质保期不少于1年，质保期自设备安装调试验收合格之日起计算。</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ab/>
      </w:r>
      <w:r>
        <w:rPr>
          <w:rFonts w:hint="eastAsia" w:ascii="宋体" w:hAnsi="宋体" w:cs="宋体"/>
          <w:color w:val="000000" w:themeColor="text1"/>
          <w:sz w:val="22"/>
          <w:szCs w:val="22"/>
          <w:highlight w:val="none"/>
        </w:rPr>
        <w:t xml:space="preserve">厂家长期提供技术支持，并免费提供所有公开发表的应用文献和最新仪器有关资料、通讯和用户论文集等。</w:t>
      </w:r>
      <w:r/>
    </w:p>
    <w:p>
      <w:pPr>
        <w:numPr>
          <w:ilvl w:val="0"/>
          <w:numId w:val="8"/>
        </w:numPr>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免费提供仪器使用手册、培训教材、应用文章等。</w:t>
      </w:r>
      <w:r/>
    </w:p>
    <w:p>
      <w:pPr>
        <w:pStyle w:val="1022"/>
        <w:ind w:firstLine="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w:t>
      </w:r>
      <w:r>
        <w:rPr>
          <w:rFonts w:hint="eastAsia" w:ascii="宋体" w:hAnsi="宋体" w:cs="宋体"/>
          <w:b/>
          <w:bCs/>
          <w:color w:val="000000" w:themeColor="text1"/>
          <w:sz w:val="22"/>
          <w:szCs w:val="22"/>
          <w:highlight w:val="none"/>
        </w:rPr>
        <w:t xml:space="preserve">七、交货地点：</w:t>
      </w:r>
      <w:r>
        <w:rPr>
          <w:rFonts w:hint="eastAsia" w:ascii="宋体" w:hAnsi="宋体" w:cs="宋体"/>
          <w:color w:val="000000" w:themeColor="text1"/>
          <w:sz w:val="22"/>
          <w:szCs w:val="22"/>
          <w:highlight w:val="none"/>
        </w:rPr>
        <w:t xml:space="preserve">供应商负责将产品运到采购人指定地点，由供应商负责办理运输、装卸、安装和调试等，费用由供应商负责，由采购人组织验收，检验不合格或不符合质量要求，供应商除无条件退货、返工外，还应承担采购人的一切损失。</w:t>
      </w:r>
      <w:r/>
    </w:p>
    <w:p>
      <w:pPr>
        <w:pStyle w:val="1022"/>
        <w:ind w:firstLine="0"/>
        <w:spacing w:line="46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★八、报价说明：</w:t>
      </w:r>
      <w:r/>
    </w:p>
    <w:p>
      <w:pPr>
        <w:pStyle w:val="1022"/>
        <w:ind w:firstLine="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包括且不限于货物货价、包装费、国际运输及保险费、进口关税、进口增值税、清关报检费、港口杂费、国内运输装卸费、检测费、技术资料费、质保服务费、财务费用、外贸代理费、税金、利润及各类风险费用，直至货物送达指定地点、安装调试并验收合格的全部费用</w:t>
      </w:r>
      <w:r>
        <w:rPr>
          <w:rFonts w:hint="eastAsia" w:ascii="宋体" w:hAnsi="宋体" w:cs="宋体"/>
          <w:color w:val="000000" w:themeColor="text1"/>
          <w:sz w:val="22"/>
          <w:szCs w:val="22"/>
          <w:highlight w:val="none"/>
          <w:lang w:val="zh-CN"/>
        </w:rPr>
        <w:t xml:space="preserve">。</w:t>
      </w:r>
      <w:r/>
    </w:p>
    <w:p>
      <w:pPr>
        <w:pStyle w:val="1022"/>
        <w:ind w:firstLine="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本项目采购人不事先指定具体的外贸代理公司，成交供应商须自行联系具有合法资质的外贸代理公司，经采购人同意后，配合采购人办理相关进口手续。外贸代理费及进口相关杂费全部由成交供应商承担，并已包含在响应总价中。采购人不再另行支付任何与外贸代理相关的费用。成交供应商在报价时不得单独列支外贸代理费。</w:t>
      </w:r>
      <w:r/>
    </w:p>
    <w:p>
      <w:pPr>
        <w:pStyle w:val="1022"/>
        <w:ind w:firstLine="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    采购人仅接受供应商的人民币报价（结算以人民币结算，不考虑汇率变化，因汇率变化产生的风险和收益均由成交供应商自行承担）。因贸易环境改变而增加费用的风险（包括但不限于税费、惩罚性关税、人工费、运输费、检测费）由成交供应商自行承担。</w:t>
      </w:r>
      <w:r/>
    </w:p>
    <w:p>
      <w:pPr>
        <w:pStyle w:val="1022"/>
        <w:ind w:firstLine="0"/>
        <w:spacing w:line="46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★九、付款要求</w:t>
      </w:r>
      <w:r/>
    </w:p>
    <w:p>
      <w:pPr>
        <w:pStyle w:val="1022"/>
        <w:ind w:firstLine="440"/>
        <w:spacing w:line="46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合同签订后 15 日内，甲方支付合同总价 40% 作为预付款。完成安装、调试、试运行，并经计量检定合格</w:t>
      </w:r>
      <w:r>
        <w:rPr>
          <w:rFonts w:hint="eastAsia" w:ascii="宋体" w:hAnsi="宋体" w:cs="宋体"/>
          <w:color w:val="000000" w:themeColor="text1"/>
          <w:sz w:val="22"/>
          <w:szCs w:val="22"/>
          <w:highlight w:val="none"/>
          <w:lang w:eastAsia="zh-CN"/>
        </w:rPr>
        <w:t xml:space="preserve">，</w:t>
      </w:r>
      <w:r>
        <w:rPr>
          <w:rFonts w:hint="eastAsia" w:ascii="宋体" w:hAnsi="宋体" w:cs="宋体"/>
          <w:color w:val="000000" w:themeColor="text1"/>
          <w:sz w:val="22"/>
          <w:szCs w:val="22"/>
          <w:highlight w:val="none"/>
        </w:rPr>
        <w:t xml:space="preserve">且通过最终验收，甲方支付合同总价 60%</w:t>
      </w:r>
      <w:r>
        <w:rPr>
          <w:rFonts w:hint="eastAsia" w:ascii="宋体" w:hAnsi="宋体" w:cs="宋体"/>
          <w:color w:val="000000" w:themeColor="text1"/>
          <w:sz w:val="22"/>
          <w:szCs w:val="22"/>
          <w:highlight w:val="none"/>
          <w:lang w:eastAsia="zh-CN"/>
        </w:rPr>
        <w:t xml:space="preserve">。</w:t>
      </w:r>
      <w:r/>
    </w:p>
    <w:p>
      <w:pPr>
        <w:spacing w:line="460" w:lineRule="exact"/>
        <w:rPr>
          <w:color w:val="000000" w:themeColor="text1"/>
          <w:highlight w:val="none"/>
        </w:rPr>
      </w:pPr>
      <w:r>
        <w:rPr>
          <w:rFonts w:hint="eastAsia" w:ascii="宋体" w:hAnsi="宋体" w:cs="宋体"/>
          <w:b/>
          <w:bCs/>
          <w:color w:val="000000" w:themeColor="text1"/>
          <w:sz w:val="22"/>
          <w:szCs w:val="22"/>
          <w:highlight w:val="none"/>
        </w:rPr>
        <w:t xml:space="preserve">注：投标时提供关于上述第七条、第八条、第九条的承诺书（提供承诺书）。</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199"/>
        <w:numPr>
          <w:ilvl w:val="0"/>
          <w:numId w:val="0"/>
        </w:numPr>
        <w:spacing w:before="100" w:after="100" w:line="360" w:lineRule="auto"/>
        <w:rPr>
          <w:rFonts w:ascii="宋体" w:hAnsi="宋体" w:cs="宋体"/>
          <w:color w:val="000000" w:themeColor="text1"/>
          <w:szCs w:val="32"/>
          <w:highlight w:val="none"/>
          <w:shd w:val="clear" w:color="auto" w:fill="ffffff"/>
        </w:rPr>
      </w:pPr>
      <w:r>
        <w:rPr>
          <w:rFonts w:hint="eastAsia" w:ascii="宋体" w:hAnsi="宋体" w:cs="宋体"/>
          <w:color w:val="000000" w:themeColor="text1"/>
          <w:szCs w:val="32"/>
          <w:highlight w:val="none"/>
          <w:shd w:val="clear" w:color="auto" w:fill="ffffff"/>
        </w:rPr>
        <w:br w:type="page" w:clear="all"/>
      </w:r>
      <w:bookmarkStart w:id="27" w:name="_Toc525"/>
      <w:r>
        <w:rPr>
          <w:rFonts w:hint="eastAsia" w:ascii="宋体" w:hAnsi="宋体" w:cs="宋体"/>
          <w:color w:val="000000" w:themeColor="text1"/>
          <w:szCs w:val="32"/>
          <w:highlight w:val="none"/>
          <w:shd w:val="clear" w:color="auto" w:fill="ffffff"/>
        </w:rPr>
        <w:t xml:space="preserve">第五章 合同主要条款及格式</w:t>
      </w:r>
      <w:bookmarkEnd w:id="26"/>
      <w:r/>
      <w:bookmarkEnd w:id="27"/>
      <w:r/>
      <w:r/>
    </w:p>
    <w:p>
      <w:pPr>
        <w:pStyle w:val="1235"/>
        <w:ind w:firstLine="643"/>
        <w:jc w:val="center"/>
        <w:spacing w:before="120" w:after="120" w:line="360" w:lineRule="auto"/>
        <w:rPr>
          <w:rFonts w:hAnsi="宋体"/>
          <w:b/>
          <w:color w:val="000000" w:themeColor="text1"/>
          <w:sz w:val="32"/>
          <w:szCs w:val="24"/>
          <w:highlight w:val="none"/>
        </w:rPr>
      </w:pPr>
      <w:r>
        <w:rPr>
          <w:rFonts w:hint="eastAsia" w:hAnsi="宋体"/>
          <w:b/>
          <w:color w:val="000000" w:themeColor="text1"/>
          <w:sz w:val="32"/>
          <w:szCs w:val="24"/>
          <w:highlight w:val="none"/>
        </w:rPr>
        <w:t xml:space="preserve">货物采购合同</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项目名称：                                项目采购编号：</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甲方：（买方）</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乙方：（卖方）</w:t>
      </w:r>
      <w:r/>
    </w:p>
    <w:p>
      <w:pPr>
        <w:pStyle w:val="1235"/>
        <w:ind w:firstLine="482"/>
        <w:spacing w:line="360" w:lineRule="auto"/>
        <w:rPr>
          <w:rFonts w:ascii="宋体" w:hAnsi="宋体" w:cs="宋体"/>
          <w:b/>
          <w:color w:val="000000" w:themeColor="text1"/>
          <w:sz w:val="22"/>
          <w:szCs w:val="22"/>
          <w:highlight w:val="none"/>
        </w:rPr>
      </w:pPr>
      <w:r>
        <w:rPr>
          <w:rFonts w:hint="eastAsia" w:ascii="宋体" w:hAnsi="宋体" w:cs="宋体"/>
          <w:color w:val="000000" w:themeColor="text1"/>
          <w:sz w:val="22"/>
          <w:szCs w:val="22"/>
          <w:highlight w:val="none"/>
        </w:rPr>
        <w:t xml:space="preserve">甲、乙双方根据项目的采购结果，签署本合同。</w:t>
      </w:r>
      <w:r/>
    </w:p>
    <w:p>
      <w:pPr>
        <w:pStyle w:val="1235"/>
        <w:ind w:firstLine="482"/>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一、采购标的</w:t>
      </w:r>
      <w:r/>
    </w:p>
    <w:tbl>
      <w:tblPr>
        <w:tblStyle w:val="1019"/>
        <w:tblW w:w="881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textDirection w:val="lrTb"/>
            <w:noWrap/>
          </w:tcPr>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标  的  名    称</w:t>
            </w:r>
            <w:r/>
          </w:p>
        </w:tc>
        <w:tc>
          <w:tcPr>
            <w:tcW w:w="1733" w:type="dxa"/>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品   牌</w:t>
            </w:r>
            <w:r/>
          </w:p>
        </w:tc>
        <w:tc>
          <w:tcPr>
            <w:tcW w:w="2204" w:type="dxa"/>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厂   家</w:t>
            </w:r>
            <w:r/>
          </w:p>
        </w:tc>
        <w:tc>
          <w:tcPr>
            <w:tcW w:w="1417" w:type="dxa"/>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  地</w:t>
            </w:r>
            <w:r/>
          </w:p>
        </w:tc>
      </w:tr>
      <w:tr>
        <w:trPr>
          <w:trHeight w:val="485"/>
        </w:trPr>
        <w:tc>
          <w:tcPr>
            <w:tcW w:w="3464"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733"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2204"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417"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bl>
    <w:p>
      <w:pPr>
        <w:pStyle w:val="1235"/>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bl>
      <w:tblPr>
        <w:tblStyle w:val="1019"/>
        <w:tblW w:w="889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textDirection w:val="lrTb"/>
            <w:noWrap/>
          </w:tcPr>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型 号 规 格</w:t>
            </w:r>
            <w:r/>
          </w:p>
        </w:tc>
        <w:tc>
          <w:tcPr>
            <w:tcW w:w="1589" w:type="dxa"/>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  量</w:t>
            </w:r>
            <w:r/>
          </w:p>
        </w:tc>
        <w:tc>
          <w:tcPr>
            <w:tcW w:w="1271" w:type="dxa"/>
            <w:textDirection w:val="lrTb"/>
            <w:noWrap/>
          </w:tcPr>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  价</w:t>
            </w:r>
            <w:r/>
          </w:p>
        </w:tc>
        <w:tc>
          <w:tcPr>
            <w:tcW w:w="2542" w:type="dxa"/>
            <w:textDirection w:val="lrTb"/>
            <w:noWrap/>
          </w:tcPr>
          <w:p>
            <w:pPr>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总   价</w:t>
            </w:r>
            <w:r/>
          </w:p>
        </w:tc>
      </w:tr>
      <w:tr>
        <w:trPr>
          <w:trHeight w:val="547"/>
        </w:trPr>
        <w:tc>
          <w:tcPr>
            <w:tcW w:w="3495"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589"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271"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2542" w:type="dxa"/>
            <w:textDirection w:val="lrTb"/>
            <w:noWrap/>
          </w:tcPr>
          <w:p>
            <w:pPr>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bl>
    <w:p>
      <w:pPr>
        <w:pStyle w:val="1235"/>
        <w:ind w:firstLine="482"/>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二、合同金额</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本合同总金额为（大写）：____________元整（￥_______元）人民币。</w:t>
      </w:r>
      <w:r/>
    </w:p>
    <w:p>
      <w:pPr>
        <w:pStyle w:val="1254"/>
        <w:ind w:firstLine="480"/>
        <w:spacing w:line="50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本合同价款包含所有乙方提供合同约定产品的报酬及乙方提供合同中产品所支出全部费用，包括且不限于货物货价、包装费、国际运输及保险费、进口关税、进口增值税、清关报检费、港口杂费、国内运输装卸费、检测费、技术资料费、质保服务费、财务费用、外贸代理费、税金、利润及各类风险费用，直至货物送达指定地点、安装调试并验收合格，甲方在上述合同价款之外不再向乙方支付其他任何费用。</w:t>
      </w:r>
      <w:r/>
    </w:p>
    <w:p>
      <w:pPr>
        <w:pStyle w:val="1254"/>
        <w:ind w:firstLine="480"/>
        <w:spacing w:line="50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乙方应先行向甲方开具与拟交付货物的全额合规税务增值税【普通】（专用/普通）发票，由甲方审核确认无误后支付合同价款，否则甲方有权拒绝或迟延支付应付款项，且不影响乙方履行本合同项下的义务。</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三、技术资料及保密</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3.1乙方应按采购文件规定的时间向甲方提供有关技术资料。</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四、产权</w:t>
      </w:r>
      <w:r/>
    </w:p>
    <w:p>
      <w:pPr>
        <w:pStyle w:val="1254"/>
        <w:ind w:firstLine="480"/>
        <w:spacing w:line="500" w:lineRule="exact"/>
        <w:shd w:val="clear" w:color="auto" w:fill="ffffff"/>
        <w:rPr>
          <w:rFonts w:ascii="宋体" w:hAnsi="宋体" w:cs="宋体"/>
          <w:color w:val="000000" w:themeColor="text1"/>
          <w:sz w:val="22"/>
          <w:szCs w:val="22"/>
          <w:highlight w:val="none"/>
          <w:u w:val="single"/>
        </w:rPr>
      </w:pPr>
      <w:r>
        <w:rPr>
          <w:rFonts w:hint="eastAsia" w:ascii="宋体" w:hAnsi="宋体" w:cs="宋体"/>
          <w:color w:val="000000" w:themeColor="text1"/>
          <w:sz w:val="22"/>
          <w:szCs w:val="22"/>
          <w:highlight w:val="none"/>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五、交付及免保</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bCs/>
          <w:color w:val="000000" w:themeColor="text1"/>
          <w:sz w:val="22"/>
          <w:szCs w:val="22"/>
          <w:highlight w:val="none"/>
        </w:rPr>
        <w:t xml:space="preserve">5.1交付期：</w:t>
      </w:r>
      <w:r>
        <w:rPr>
          <w:rFonts w:hint="eastAsia" w:ascii="宋体" w:hAnsi="宋体" w:cs="宋体"/>
          <w:color w:val="000000" w:themeColor="text1"/>
          <w:sz w:val="22"/>
          <w:szCs w:val="22"/>
          <w:highlight w:val="none"/>
        </w:rPr>
        <w:t xml:space="preserve">_________。   </w:t>
      </w:r>
      <w:r/>
    </w:p>
    <w:p>
      <w:pPr>
        <w:pStyle w:val="1235"/>
        <w:ind w:firstLine="480"/>
        <w:spacing w:line="500" w:lineRule="exact"/>
        <w:rPr>
          <w:rFonts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5.2乙方免费、安全送达甲方指定地点：南京市栖霞区灵山北路16号农检院实验室。</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5.3免费质保期：    年   月   日至     年     月   日。</w:t>
      </w:r>
      <w:r/>
    </w:p>
    <w:p>
      <w:pPr>
        <w:pStyle w:val="1235"/>
        <w:ind w:firstLine="480"/>
        <w:spacing w:line="500" w:lineRule="exact"/>
        <w:rPr>
          <w:rFonts w:ascii="宋体" w:hAnsi="宋体" w:cs="宋体"/>
          <w:bCs/>
          <w:color w:val="000000" w:themeColor="text1"/>
          <w:sz w:val="22"/>
          <w:szCs w:val="22"/>
          <w:highlight w:val="none"/>
        </w:rPr>
      </w:pPr>
      <w:r>
        <w:rPr>
          <w:rFonts w:hint="eastAsia" w:ascii="宋体" w:hAnsi="宋体" w:cs="宋体"/>
          <w:color w:val="000000" w:themeColor="text1"/>
          <w:sz w:val="22"/>
          <w:szCs w:val="22"/>
          <w:highlight w:val="none"/>
        </w:rPr>
        <w:t xml:space="preserve">（具体自项目验收合格之日起计）</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六、合同款支付</w:t>
      </w:r>
      <w:r/>
    </w:p>
    <w:p>
      <w:pPr>
        <w:ind w:firstLine="480"/>
        <w:jc w:val="left"/>
        <w:spacing w:line="50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6.1付款方式：</w:t>
      </w:r>
      <w:r/>
    </w:p>
    <w:p>
      <w:pPr>
        <w:ind w:firstLine="480"/>
        <w:jc w:val="left"/>
        <w:spacing w:line="500" w:lineRule="exact"/>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合同签订后 15 日内，甲方支付合同总价 40% 作为预付款。完成安装、调试、试运行，并经计量检定合格且通过最终验收，甲方支付合同总价 60%;</w:t>
      </w:r>
      <w:r/>
    </w:p>
    <w:p>
      <w:pPr>
        <w:pStyle w:val="1235"/>
        <w:ind w:firstLine="482"/>
        <w:spacing w:line="500" w:lineRule="exact"/>
        <w:rPr>
          <w:rFonts w:ascii="宋体" w:hAnsi="宋体" w:cs="宋体"/>
          <w:color w:val="000000" w:themeColor="text1"/>
          <w:sz w:val="22"/>
          <w:szCs w:val="22"/>
          <w:highlight w:val="none"/>
        </w:rPr>
      </w:pPr>
      <w:r>
        <w:rPr>
          <w:rFonts w:hint="eastAsia" w:ascii="宋体" w:hAnsi="宋体" w:cs="宋体"/>
          <w:b/>
          <w:color w:val="000000" w:themeColor="text1"/>
          <w:sz w:val="22"/>
          <w:szCs w:val="22"/>
          <w:highlight w:val="none"/>
        </w:rPr>
        <w:t xml:space="preserve">七、质量保证及售后服务承诺</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7.1乙方应按采购文件规定和投标文件承诺的性能、技术要求、质量标准等向甲方提供产品。</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7.2乙方提供的产品在免费质保期内出现质量问题，根据实际情况，经双方协商，可按以下第种办法处理（处理办法可按货物特性另行约定）：</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（1）更    换：由乙方承担所发生的全部费用。</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（2）合同终止：合同终止，并退还甲方支付的合同款，同时应承担由此产生的所有费用，甲方不承担发生任何费用。</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（3）其他处理办法：。</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7.3在使用过程中发生质量问题，乙方在接到甲方通知后小时内到达现场。</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7.4在免费质保期内，乙方应对产品出现的质量及安全问题负责解决并承担一切费用。</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八、合同内容的交付</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8.1提交使用说明书、质量检验证明书等资料。</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8.2乙方在合同标的交付甲方48小时（工作日）前通知甲方准备接收。</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8.3合同标的验收合格视为交付，交付前发生的风险均由乙方负责。 </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九、验收</w:t>
      </w:r>
      <w:r/>
    </w:p>
    <w:p>
      <w:pPr>
        <w:ind w:firstLine="44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9.1. 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技术测试不应视为最终验收，仅作为最终验收的前期部分。</w:t>
      </w:r>
      <w:r/>
    </w:p>
    <w:p>
      <w:pPr>
        <w:ind w:firstLine="44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 对于技术测试不合格的仪器设备，采购人有权要求中标供应商在指定期限内无条件更换/维修，因供应商导致设备更换/维修次数不得超过1次，且更换/维修必须于合同签订后3个月内完成。逾期未完成更换/维修且更换/维修次数超过1次的，视为技术测试不合格。</w:t>
      </w:r>
      <w:r/>
    </w:p>
    <w:p>
      <w:pPr>
        <w:ind w:firstLine="44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9.3 技术测试完成后，采购人将依据《江苏省政府采购履约验收管理办法》的相关规定，组建验收小组，对货物的数量、外观、包装、质量、安全、功能及性能等内容进行最终验收。项目验收的依据为采购合同、招标文件及投标文件。</w:t>
      </w:r>
      <w:r/>
    </w:p>
    <w:p>
      <w:pPr>
        <w:ind w:firstLine="44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9.4产品</w:t>
      </w:r>
      <w:r>
        <w:rPr>
          <w:rFonts w:hint="eastAsia" w:ascii="宋体" w:hAnsi="宋体" w:cs="宋体"/>
          <w:color w:val="000000" w:themeColor="text1"/>
          <w:sz w:val="22"/>
          <w:szCs w:val="22"/>
          <w:highlight w:val="none"/>
        </w:rPr>
        <w:t xml:space="preserve">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相应财政预算资金被财政部门收回的。若发现供应商存在提供虚假材料、虚假响应等违法违规行为，采购人将上报财政部门。</w:t>
      </w:r>
      <w:r/>
    </w:p>
    <w:p>
      <w:pPr>
        <w:pStyle w:val="1235"/>
        <w:ind w:firstLine="44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9.5 根据相关政府采购预算管理规定，每年12月底前，采购人需完成当年政府采购资金的年终结算及支付工作。中标供应商应在履行过程中积极配合采购人按期完成最终验收。因未能通过最终验收，进而造成相应财政预算资金被财政部门收回的，中标供应商自行承担无法获得相应合同价款的风险，不得就此向采购人主张任何逾期付款违约责任。</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十、违约责任</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10.1 甲方无正当理由拒收的，向乙方支付拒收货款总值百分之一的违约金。</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10.2 甲方无故逾期验收和办理合同款支付手续的（节假日除外）,按逾期付款总额的每日万分之一向乙方支付违约金。</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10.3乙方无故逾期（节假日除外）交付货物的,按逾期付款总额的每日万分之一向甲方支付违约金。</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10.4乙方交付的货物有质量或产权瑕疵等问题时，愿意更换/整改的，按逾期交付处理；乙方拒绝更换/整改的，甲方可解除合同，没收履约保证金并追回全部已付款项，由此造成的损失由乙方全责承担。</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10.5出现但不限于下列情形之一的，即视为乙方违约：</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①未按合同约定时间交付的；②交付的标的不符合合同要求的；③交付后经验收不合格的；</w:t>
      </w:r>
      <w:r>
        <w:rPr>
          <w:rFonts w:hint="eastAsia" w:ascii="宋体" w:hAnsi="宋体" w:cs="宋体"/>
          <w:color w:val="000000" w:themeColor="text1"/>
          <w:sz w:val="22"/>
          <w:szCs w:val="22"/>
          <w:highlight w:val="none"/>
        </w:rPr>
        <w:fldChar w:fldCharType="begin"/>
      </w:r>
      <w:r>
        <w:rPr>
          <w:rFonts w:hint="eastAsia" w:ascii="宋体" w:hAnsi="宋体" w:cs="宋体"/>
          <w:color w:val="000000" w:themeColor="text1"/>
          <w:sz w:val="22"/>
          <w:szCs w:val="22"/>
          <w:highlight w:val="none"/>
        </w:rPr>
        <w:instrText xml:space="preserve"> = 4 \* GB3 </w:instrText>
      </w:r>
      <w:r>
        <w:rPr>
          <w:rFonts w:hint="eastAsia" w:ascii="宋体" w:hAnsi="宋体" w:cs="宋体"/>
          <w:color w:val="000000" w:themeColor="text1"/>
          <w:sz w:val="22"/>
          <w:szCs w:val="22"/>
          <w:highlight w:val="none"/>
        </w:rPr>
        <w:fldChar w:fldCharType="separate"/>
      </w:r>
      <w:r>
        <w:rPr>
          <w:rFonts w:hint="eastAsia" w:ascii="宋体" w:hAnsi="宋体" w:cs="宋体"/>
          <w:color w:val="000000" w:themeColor="text1"/>
          <w:sz w:val="22"/>
          <w:szCs w:val="22"/>
          <w:highlight w:val="none"/>
        </w:rPr>
        <w:t xml:space="preserve">④</w:t>
      </w:r>
      <w:r>
        <w:rPr>
          <w:rFonts w:hint="eastAsia" w:ascii="宋体" w:hAnsi="宋体" w:cs="宋体"/>
          <w:color w:val="000000" w:themeColor="text1"/>
          <w:sz w:val="22"/>
          <w:szCs w:val="22"/>
          <w:highlight w:val="none"/>
        </w:rPr>
        <w:fldChar w:fldCharType="end"/>
      </w:r>
      <w:r>
        <w:rPr>
          <w:rFonts w:hint="eastAsia" w:ascii="宋体" w:hAnsi="宋体" w:cs="宋体"/>
          <w:color w:val="000000" w:themeColor="text1"/>
          <w:sz w:val="22"/>
          <w:szCs w:val="22"/>
          <w:highlight w:val="none"/>
        </w:rPr>
        <w:t xml:space="preserve">违反有关采购规定的；</w:t>
      </w:r>
      <w:r>
        <w:rPr>
          <w:rFonts w:hint="eastAsia" w:ascii="宋体" w:hAnsi="宋体" w:cs="宋体"/>
          <w:color w:val="000000" w:themeColor="text1"/>
          <w:sz w:val="22"/>
          <w:szCs w:val="22"/>
          <w:highlight w:val="none"/>
        </w:rPr>
        <w:fldChar w:fldCharType="begin"/>
      </w:r>
      <w:r>
        <w:rPr>
          <w:rFonts w:hint="eastAsia" w:ascii="宋体" w:hAnsi="宋体" w:cs="宋体"/>
          <w:color w:val="000000" w:themeColor="text1"/>
          <w:sz w:val="22"/>
          <w:szCs w:val="22"/>
          <w:highlight w:val="none"/>
        </w:rPr>
        <w:instrText xml:space="preserve"> = 5 \* GB3 </w:instrText>
      </w:r>
      <w:r>
        <w:rPr>
          <w:rFonts w:hint="eastAsia" w:ascii="宋体" w:hAnsi="宋体" w:cs="宋体"/>
          <w:color w:val="000000" w:themeColor="text1"/>
          <w:sz w:val="22"/>
          <w:szCs w:val="22"/>
          <w:highlight w:val="none"/>
        </w:rPr>
        <w:fldChar w:fldCharType="separate"/>
      </w:r>
      <w:r>
        <w:rPr>
          <w:rFonts w:hint="eastAsia" w:ascii="宋体" w:hAnsi="宋体" w:cs="宋体"/>
          <w:color w:val="000000" w:themeColor="text1"/>
          <w:sz w:val="22"/>
          <w:szCs w:val="22"/>
          <w:highlight w:val="none"/>
        </w:rPr>
        <w:t xml:space="preserve">⑤</w:t>
      </w:r>
      <w:r>
        <w:rPr>
          <w:rFonts w:hint="eastAsia" w:ascii="宋体" w:hAnsi="宋体" w:cs="宋体"/>
          <w:color w:val="000000" w:themeColor="text1"/>
          <w:sz w:val="22"/>
          <w:szCs w:val="22"/>
          <w:highlight w:val="none"/>
        </w:rPr>
        <w:fldChar w:fldCharType="end"/>
      </w:r>
      <w:r>
        <w:rPr>
          <w:rFonts w:hint="eastAsia" w:ascii="宋体" w:hAnsi="宋体" w:cs="宋体"/>
          <w:color w:val="000000" w:themeColor="text1"/>
          <w:sz w:val="22"/>
          <w:szCs w:val="22"/>
          <w:highlight w:val="none"/>
        </w:rPr>
        <w:t xml:space="preserve">因乙方原因导致甲方不能取得所有权的。</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10.6乙方违约的，甲方有权没收乙方交纳的履约保证金、停止支付剩余应付款，并采取包括但不限于下列一种或数种措施维护权益：</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fldChar w:fldCharType="begin"/>
      </w:r>
      <w:r>
        <w:rPr>
          <w:rFonts w:hint="eastAsia" w:ascii="宋体" w:hAnsi="宋体" w:cs="宋体"/>
          <w:color w:val="000000" w:themeColor="text1"/>
          <w:sz w:val="22"/>
          <w:szCs w:val="22"/>
          <w:highlight w:val="none"/>
        </w:rPr>
        <w:instrText xml:space="preserve"> = 1 \* GB3 </w:instrText>
      </w:r>
      <w:r>
        <w:rPr>
          <w:rFonts w:hint="eastAsia" w:ascii="宋体" w:hAnsi="宋体" w:cs="宋体"/>
          <w:color w:val="000000" w:themeColor="text1"/>
          <w:sz w:val="22"/>
          <w:szCs w:val="22"/>
          <w:highlight w:val="none"/>
        </w:rPr>
        <w:fldChar w:fldCharType="separate"/>
      </w:r>
      <w:r>
        <w:rPr>
          <w:rFonts w:hint="eastAsia" w:ascii="宋体" w:hAnsi="宋体" w:cs="宋体"/>
          <w:color w:val="000000" w:themeColor="text1"/>
          <w:sz w:val="22"/>
          <w:szCs w:val="22"/>
          <w:highlight w:val="none"/>
        </w:rPr>
        <w:t xml:space="preserve">①</w:t>
      </w:r>
      <w:r>
        <w:rPr>
          <w:rFonts w:hint="eastAsia" w:ascii="宋体" w:hAnsi="宋体" w:cs="宋体"/>
          <w:color w:val="000000" w:themeColor="text1"/>
          <w:sz w:val="22"/>
          <w:szCs w:val="22"/>
          <w:highlight w:val="none"/>
        </w:rPr>
        <w:fldChar w:fldCharType="end"/>
      </w:r>
      <w:r>
        <w:rPr>
          <w:rFonts w:hint="eastAsia" w:ascii="宋体" w:hAnsi="宋体" w:cs="宋体"/>
          <w:color w:val="000000" w:themeColor="text1"/>
          <w:sz w:val="22"/>
          <w:szCs w:val="22"/>
          <w:highlight w:val="none"/>
        </w:rPr>
        <w:t xml:space="preserve">拒收因乙方违约所交付的产品，终止合同，并向乙方索赔，另行组织采购；</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fldChar w:fldCharType="begin"/>
      </w:r>
      <w:r>
        <w:rPr>
          <w:rFonts w:hint="eastAsia" w:ascii="宋体" w:hAnsi="宋体" w:cs="宋体"/>
          <w:color w:val="000000" w:themeColor="text1"/>
          <w:sz w:val="22"/>
          <w:szCs w:val="22"/>
          <w:highlight w:val="none"/>
        </w:rPr>
        <w:instrText xml:space="preserve"> = 2 \* GB3 </w:instrText>
      </w:r>
      <w:r>
        <w:rPr>
          <w:rFonts w:hint="eastAsia" w:ascii="宋体" w:hAnsi="宋体" w:cs="宋体"/>
          <w:color w:val="000000" w:themeColor="text1"/>
          <w:sz w:val="22"/>
          <w:szCs w:val="22"/>
          <w:highlight w:val="none"/>
        </w:rPr>
        <w:fldChar w:fldCharType="separate"/>
      </w:r>
      <w:r>
        <w:rPr>
          <w:rFonts w:hint="eastAsia" w:ascii="宋体" w:hAnsi="宋体" w:cs="宋体"/>
          <w:color w:val="000000" w:themeColor="text1"/>
          <w:sz w:val="22"/>
          <w:szCs w:val="22"/>
          <w:highlight w:val="none"/>
        </w:rPr>
        <w:t xml:space="preserve">②</w:t>
      </w:r>
      <w:r>
        <w:rPr>
          <w:rFonts w:hint="eastAsia" w:ascii="宋体" w:hAnsi="宋体" w:cs="宋体"/>
          <w:color w:val="000000" w:themeColor="text1"/>
          <w:sz w:val="22"/>
          <w:szCs w:val="22"/>
          <w:highlight w:val="none"/>
        </w:rPr>
        <w:fldChar w:fldCharType="end"/>
      </w:r>
      <w:r>
        <w:rPr>
          <w:rFonts w:hint="eastAsia" w:ascii="宋体" w:hAnsi="宋体" w:cs="宋体"/>
          <w:color w:val="000000" w:themeColor="text1"/>
          <w:sz w:val="22"/>
          <w:szCs w:val="22"/>
          <w:highlight w:val="none"/>
        </w:rPr>
        <w:t xml:space="preserve">没收乙方交纳的履约保证金；</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fldChar w:fldCharType="begin"/>
      </w:r>
      <w:r>
        <w:rPr>
          <w:rFonts w:hint="eastAsia" w:ascii="宋体" w:hAnsi="宋体" w:cs="宋体"/>
          <w:color w:val="000000" w:themeColor="text1"/>
          <w:sz w:val="22"/>
          <w:szCs w:val="22"/>
          <w:highlight w:val="none"/>
        </w:rPr>
        <w:instrText xml:space="preserve"> = 3 \* GB3 </w:instrText>
      </w:r>
      <w:r>
        <w:rPr>
          <w:rFonts w:hint="eastAsia" w:ascii="宋体" w:hAnsi="宋体" w:cs="宋体"/>
          <w:color w:val="000000" w:themeColor="text1"/>
          <w:sz w:val="22"/>
          <w:szCs w:val="22"/>
          <w:highlight w:val="none"/>
        </w:rPr>
        <w:fldChar w:fldCharType="separate"/>
      </w:r>
      <w:r>
        <w:rPr>
          <w:rFonts w:hint="eastAsia" w:ascii="宋体" w:hAnsi="宋体" w:cs="宋体"/>
          <w:color w:val="000000" w:themeColor="text1"/>
          <w:sz w:val="22"/>
          <w:szCs w:val="22"/>
          <w:highlight w:val="none"/>
        </w:rPr>
        <w:t xml:space="preserve">③</w:t>
      </w:r>
      <w:r>
        <w:rPr>
          <w:rFonts w:hint="eastAsia" w:ascii="宋体" w:hAnsi="宋体" w:cs="宋体"/>
          <w:color w:val="000000" w:themeColor="text1"/>
          <w:sz w:val="22"/>
          <w:szCs w:val="22"/>
          <w:highlight w:val="none"/>
        </w:rPr>
        <w:fldChar w:fldCharType="end"/>
      </w:r>
      <w:r>
        <w:rPr>
          <w:rFonts w:hint="eastAsia" w:ascii="宋体" w:hAnsi="宋体" w:cs="宋体"/>
          <w:color w:val="000000" w:themeColor="text1"/>
          <w:sz w:val="22"/>
          <w:szCs w:val="22"/>
          <w:highlight w:val="none"/>
        </w:rPr>
        <w:t xml:space="preserve">将乙方录入甲方不良行为供应商名录，视情节轻重决定是否上报江苏省财政厅，涉嫌犯罪的，移送司法机关处理。</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fldChar w:fldCharType="begin"/>
      </w:r>
      <w:r>
        <w:rPr>
          <w:rFonts w:hint="eastAsia" w:ascii="宋体" w:hAnsi="宋体" w:cs="宋体"/>
          <w:color w:val="000000" w:themeColor="text1"/>
          <w:sz w:val="22"/>
          <w:szCs w:val="22"/>
          <w:highlight w:val="none"/>
        </w:rPr>
        <w:instrText xml:space="preserve"> = 4 \* GB3 </w:instrText>
      </w:r>
      <w:r>
        <w:rPr>
          <w:rFonts w:hint="eastAsia" w:ascii="宋体" w:hAnsi="宋体" w:cs="宋体"/>
          <w:color w:val="000000" w:themeColor="text1"/>
          <w:sz w:val="22"/>
          <w:szCs w:val="22"/>
          <w:highlight w:val="none"/>
        </w:rPr>
        <w:fldChar w:fldCharType="separate"/>
      </w:r>
      <w:r>
        <w:rPr>
          <w:rFonts w:hint="eastAsia" w:ascii="宋体" w:hAnsi="宋体" w:cs="宋体"/>
          <w:color w:val="000000" w:themeColor="text1"/>
          <w:sz w:val="22"/>
          <w:szCs w:val="22"/>
          <w:highlight w:val="none"/>
        </w:rPr>
        <w:t xml:space="preserve">④</w:t>
      </w:r>
      <w:r>
        <w:rPr>
          <w:rFonts w:hint="eastAsia" w:ascii="宋体" w:hAnsi="宋体" w:cs="宋体"/>
          <w:color w:val="000000" w:themeColor="text1"/>
          <w:sz w:val="22"/>
          <w:szCs w:val="22"/>
          <w:highlight w:val="none"/>
        </w:rPr>
        <w:fldChar w:fldCharType="end"/>
      </w:r>
      <w:r>
        <w:rPr>
          <w:rFonts w:hint="eastAsia" w:ascii="宋体" w:hAnsi="宋体" w:cs="宋体"/>
          <w:color w:val="000000" w:themeColor="text1"/>
          <w:sz w:val="22"/>
          <w:szCs w:val="22"/>
          <w:highlight w:val="none"/>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10.7 任何一方违反本合同约定，除承担违约金外，还承担守约方向违约方追责所支付的一切费用，包括但不限于律师费、诉讼费、保全费、公告费、鉴定费、交通费、食宿费、保函费等。</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十一、不可抗力事件处理</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11.1  本合同不可抗力事件及影响按《民法典》等相关法律法规相关规定执行和处理。</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11.2 在合同有效期内，任何一方因不可抗力事件导致不能履行合同，则合同履行期延长，其延长期与不可抗力影响期相同。</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11.3 不可抗力事件发生后，应立即通知对方，并寄送有关权威机构出具的证明。</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11.4 不可抗力事件延续120天以上，双方应通过友好协商，确定是否继续履行合同。</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十二、诉讼</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双方在执行合同中所发生的一切争议，应通过协商解决。如协商不成，可向甲方所在地人民法院。诉讼中，不影响其它未涉诉条款的履行。</w:t>
      </w:r>
      <w:r/>
    </w:p>
    <w:p>
      <w:pPr>
        <w:pStyle w:val="1235"/>
        <w:ind w:firstLine="482"/>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十三、合同生效及其它</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13.1 合同经双方法定代表人或授权委托代表人签字并加盖公章后生效。</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 双方确认本合同载明的住所地可作为合同履行过程中相关文书、法院送达诉讼文书的地址，一方地址变更的，应于变更前至少三日书面告知对方。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13.3 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pStyle w:val="1235"/>
        <w:ind w:firstLine="48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13.4 本合同正本一式六份，具有同等法律效力，甲方执四份、乙方执二份。</w:t>
      </w:r>
      <w:r/>
    </w:p>
    <w:p>
      <w:pPr>
        <w:ind w:firstLine="422"/>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甲方：                                   乙方： </w:t>
      </w:r>
      <w:r/>
    </w:p>
    <w:p>
      <w:pPr>
        <w:pStyle w:val="1235"/>
        <w:ind w:firstLine="480"/>
        <w:spacing w:line="360"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地址：                                   地址： </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法定代表人或授权代表：                   法定代表人或授权代表：</w:t>
      </w:r>
      <w:r/>
    </w:p>
    <w:p>
      <w:pPr>
        <w:pStyle w:val="1235"/>
        <w:ind w:firstLine="480"/>
        <w:spacing w:line="480" w:lineRule="auto"/>
        <w:rPr>
          <w:rFonts w:ascii="宋体" w:hAnsi="宋体" w:cs="宋体"/>
          <w:color w:val="000000" w:themeColor="text1"/>
          <w:sz w:val="22"/>
          <w:szCs w:val="22"/>
          <w:highlight w:val="none"/>
        </w:rPr>
      </w:pPr>
      <w:r/>
      <w:bookmarkStart w:id="28" w:name="电子签名"/>
      <w:r/>
      <w:bookmarkEnd w:id="28"/>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联系电话：                               联系电话：</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统一社会信用代码：                       统一社会信用代码：</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开户银行：                               开户银行：</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户名：                                   户名：</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账号：                                   账号：</w:t>
      </w:r>
      <w:r/>
    </w:p>
    <w:p>
      <w:pPr>
        <w:pStyle w:val="1235"/>
        <w:ind w:firstLine="480"/>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日期：                                   日期： </w:t>
      </w:r>
      <w:r/>
    </w:p>
    <w:p>
      <w:pPr>
        <w:jc w:val="center"/>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color w:val="000000" w:themeColor="text1"/>
          <w:highlight w:val="none"/>
        </w:rPr>
      </w:pPr>
      <w:r>
        <w:rPr>
          <w:color w:val="000000" w:themeColor="text1"/>
          <w:highlight w:val="none"/>
        </w:rPr>
      </w:r>
      <w:r/>
    </w:p>
    <w:p>
      <w:pPr>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pStyle w:val="1020"/>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rPr>
          <w:color w:val="000000" w:themeColor="text1"/>
          <w:highlight w:val="none"/>
        </w:rPr>
      </w:pPr>
      <w:r>
        <w:rPr>
          <w:color w:val="000000" w:themeColor="text1"/>
          <w:highlight w:val="none"/>
        </w:rPr>
      </w:r>
      <w:r/>
    </w:p>
    <w:p>
      <w:pPr>
        <w:jc w:val="center"/>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jc w:val="cente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进口产品采购技术协议</w:t>
      </w:r>
      <w:r/>
    </w:p>
    <w:p>
      <w:pPr>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甲方（买方）：                                签订地点：</w:t>
      </w:r>
      <w:r/>
    </w:p>
    <w:p>
      <w:pPr>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乙方（卖方）：                                            签订时间：</w:t>
      </w:r>
      <w:r/>
    </w:p>
    <w:p>
      <w:pPr>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项目编号：                      </w:t>
      </w:r>
      <w:r/>
    </w:p>
    <w:p>
      <w:pPr>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项目名称：</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为了维护甲、乙双方合法权益，甲方与乙方经友好协商，达成如下进口产品采购技术协议：</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一、标的物：</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（一）概况</w:t>
      </w:r>
      <w:r/>
    </w:p>
    <w:tbl>
      <w:tblPr>
        <w:tblStyle w:val="1019"/>
        <w:tblW w:w="9936"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W w:w="1404"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产品名称</w:t>
            </w:r>
            <w:r/>
          </w:p>
        </w:tc>
        <w:tc>
          <w:tcPr>
            <w:gridSpan w:val="2"/>
            <w:tcW w:w="1170"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型号</w:t>
            </w:r>
            <w:r/>
          </w:p>
        </w:tc>
        <w:tc>
          <w:tcPr>
            <w:tcW w:w="1136" w:type="dxa"/>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品牌</w:t>
            </w:r>
            <w:r/>
          </w:p>
        </w:tc>
        <w:tc>
          <w:tcPr>
            <w:tcW w:w="1136"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生产商</w:t>
            </w:r>
            <w:r/>
          </w:p>
        </w:tc>
        <w:tc>
          <w:tcPr>
            <w:tcW w:w="819"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产地</w:t>
            </w:r>
            <w:r/>
          </w:p>
        </w:tc>
        <w:tc>
          <w:tcPr>
            <w:tcW w:w="1427"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单价</w:t>
            </w:r>
            <w:r/>
          </w:p>
        </w:tc>
        <w:tc>
          <w:tcPr>
            <w:tcW w:w="700"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单位</w:t>
            </w:r>
            <w:r/>
          </w:p>
        </w:tc>
        <w:tc>
          <w:tcPr>
            <w:tcW w:w="720"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数量</w:t>
            </w:r>
            <w:r/>
          </w:p>
        </w:tc>
        <w:tc>
          <w:tcPr>
            <w:tcW w:w="1424" w:type="dxa"/>
            <w:vAlign w:val="center"/>
            <w:textDirection w:val="lrTb"/>
            <w:noWrap/>
          </w:tcPr>
          <w:p>
            <w:pPr>
              <w:jc w:val="cente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总价</w:t>
            </w:r>
            <w:r/>
          </w:p>
        </w:tc>
      </w:tr>
      <w:tr>
        <w:trPr>
          <w:jc w:val="center"/>
          <w:trHeight w:val="570"/>
        </w:trPr>
        <w:tc>
          <w:tcPr>
            <w:tcW w:w="1404"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W w:w="1170"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136" w:type="dxa"/>
            <w:textDirection w:val="lrTb"/>
            <w:noWrap/>
          </w:tcPr>
          <w:p>
            <w:pPr>
              <w:spacing w:line="500" w:lineRule="exact"/>
              <w:rPr>
                <w:rFonts w:ascii="宋体" w:hAnsi="宋体" w:cs="宋体"/>
                <w:color w:val="000000" w:themeColor="text1"/>
                <w:spacing w:val="-20"/>
                <w:sz w:val="22"/>
                <w:szCs w:val="22"/>
                <w:highlight w:val="none"/>
              </w:rPr>
            </w:pPr>
            <w:r>
              <w:rPr>
                <w:rFonts w:ascii="宋体" w:hAnsi="宋体" w:cs="宋体"/>
                <w:color w:val="000000" w:themeColor="text1"/>
                <w:spacing w:val="-20"/>
                <w:sz w:val="22"/>
                <w:szCs w:val="22"/>
                <w:highlight w:val="none"/>
              </w:rPr>
            </w:r>
            <w:r/>
          </w:p>
        </w:tc>
        <w:tc>
          <w:tcPr>
            <w:tcW w:w="1136" w:type="dxa"/>
            <w:textDirection w:val="lrTb"/>
            <w:noWrap/>
          </w:tcPr>
          <w:p>
            <w:pPr>
              <w:spacing w:line="500" w:lineRule="exact"/>
              <w:rPr>
                <w:rFonts w:ascii="宋体" w:hAnsi="宋体" w:cs="宋体"/>
                <w:color w:val="000000" w:themeColor="text1"/>
                <w:spacing w:val="-20"/>
                <w:sz w:val="22"/>
                <w:szCs w:val="22"/>
                <w:highlight w:val="none"/>
              </w:rPr>
            </w:pPr>
            <w:r>
              <w:rPr>
                <w:rFonts w:ascii="宋体" w:hAnsi="宋体" w:cs="宋体"/>
                <w:color w:val="000000" w:themeColor="text1"/>
                <w:spacing w:val="-20"/>
                <w:sz w:val="22"/>
                <w:szCs w:val="22"/>
                <w:highlight w:val="none"/>
              </w:rPr>
            </w:r>
            <w:r/>
          </w:p>
        </w:tc>
        <w:tc>
          <w:tcPr>
            <w:tcW w:w="819"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427"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700"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720"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1424"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570"/>
        </w:trPr>
        <w:tc>
          <w:tcPr>
            <w:gridSpan w:val="2"/>
            <w:tcW w:w="1417" w:type="dxa"/>
            <w:textDirection w:val="lrTb"/>
            <w:noWrap/>
          </w:tcPr>
          <w:p>
            <w:pPr>
              <w:spacing w:line="50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8"/>
            <w:tcW w:w="8519" w:type="dxa"/>
            <w:vAlign w:val="center"/>
            <w:textDirection w:val="lrTb"/>
            <w:noWrap/>
          </w:tcPr>
          <w:p>
            <w:pPr>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合计金额（大写）币种               元整</w:t>
            </w:r>
            <w:r/>
          </w:p>
        </w:tc>
      </w:tr>
    </w:tbl>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（二）仪器设备详细配置、技术参数清单：</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（三）分项报价表：</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二、协议总金额：</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1.本合同总额为设备到买方指定地点，包括实验室装卸调试等费用。</w:t>
      </w:r>
      <w:r/>
    </w:p>
    <w:p>
      <w:pPr>
        <w:ind w:firstLine="440"/>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2.合同总额为含税价、含进口外贸代理费。</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三、交货时间、交货地点及联系人：</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国产设备：合同签订生效后60日历天内，全部货物送达采购人指定实验室现场，且完成卸货、安装、调试，达到验收条件； 进口设备：</w:t>
      </w:r>
      <w:r>
        <w:rPr>
          <w:rFonts w:hint="eastAsia" w:ascii="宋体" w:hAnsi="宋体" w:cs="宋体"/>
          <w:color w:val="000000" w:themeColor="text1"/>
          <w:sz w:val="22"/>
          <w:szCs w:val="22"/>
          <w:highlight w:val="none"/>
          <w:lang w:val="en-US" w:eastAsia="zh-CN"/>
        </w:rPr>
        <w:t xml:space="preserve">预付款支付</w:t>
      </w:r>
      <w:r>
        <w:rPr>
          <w:rFonts w:hint="eastAsia" w:ascii="宋体" w:hAnsi="宋体" w:cs="宋体"/>
          <w:color w:val="000000" w:themeColor="text1"/>
          <w:sz w:val="22"/>
          <w:szCs w:val="22"/>
          <w:highlight w:val="none"/>
        </w:rPr>
        <w:t xml:space="preserve">后8周内，全部货物送达采购人指定实验室现场，且完成卸货、安装、调试，达到验收条件。</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四、免费质保期：年。</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五、付款：</w:t>
      </w:r>
      <w:r/>
    </w:p>
    <w:p>
      <w:pPr>
        <w:ind w:firstLine="440"/>
        <w:jc w:val="left"/>
        <w:spacing w:line="500" w:lineRule="exact"/>
        <w:rPr>
          <w:rFonts w:hint="eastAsia" w:ascii="宋体" w:hAnsi="宋体" w:eastAsia="宋体" w:cs="宋体"/>
          <w:color w:val="000000" w:themeColor="text1"/>
          <w:sz w:val="22"/>
          <w:szCs w:val="22"/>
          <w:highlight w:val="none"/>
          <w:lang w:eastAsia="zh-CN"/>
        </w:rPr>
      </w:pPr>
      <w:r>
        <w:rPr>
          <w:rFonts w:hint="eastAsia" w:ascii="宋体" w:hAnsi="宋体" w:cs="宋体"/>
          <w:color w:val="000000" w:themeColor="text1"/>
          <w:sz w:val="22"/>
          <w:szCs w:val="22"/>
          <w:highlight w:val="none"/>
        </w:rPr>
        <w:t xml:space="preserve">合同签订后 15 日内，甲方支付合同总价 40% 作为预付款。完成安装、调试、试运行，并经计量检定合格且通过最终验收，甲方支付合同总价 60%</w:t>
      </w:r>
      <w:r>
        <w:rPr>
          <w:rFonts w:hint="eastAsia" w:ascii="宋体" w:hAnsi="宋体" w:cs="宋体"/>
          <w:color w:val="000000" w:themeColor="text1"/>
          <w:sz w:val="22"/>
          <w:szCs w:val="22"/>
          <w:highlight w:val="none"/>
          <w:lang w:eastAsia="zh-CN"/>
        </w:rPr>
        <w:t xml:space="preserve">。</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六、验收标准、方法及买方提出异议期限：</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乙方安装调试完毕、正常运行30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七、售后服务承诺：</w:t>
      </w:r>
      <w:r/>
    </w:p>
    <w:p>
      <w:pPr>
        <w:ind w:firstLine="420"/>
        <w:jc w:val="left"/>
        <w:spacing w:line="500" w:lineRule="exact"/>
        <w:rPr>
          <w:rFonts w:ascii="宋体" w:hAnsi="宋体" w:cs="宋体"/>
          <w:color w:val="000000" w:themeColor="text1"/>
          <w:sz w:val="22"/>
          <w:szCs w:val="22"/>
          <w:highlight w:val="none"/>
          <w:u w:val="single"/>
        </w:rPr>
      </w:pPr>
      <w:r>
        <w:rPr>
          <w:rFonts w:ascii="宋体" w:hAnsi="宋体" w:cs="宋体"/>
          <w:color w:val="000000" w:themeColor="text1"/>
          <w:sz w:val="22"/>
          <w:szCs w:val="22"/>
          <w:highlight w:val="none"/>
          <w:u w:val="single"/>
        </w:rPr>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八、违约责任：</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乙方违约的约定：卖方提供的标的物不符合约定的质量要求，应在合理的期限内双方书面确认供货期限及违约责任，负责更换直至符合质量要求，否则买方有权解除合同，并要求卖方按合同总价款的5%向买方支付违约金，如给买方造成经济损失，还应如数赔偿；卖方未按约定期限交付标的物，每迟延一天按合同总价的1%向买方支付违约金。如果卖方迟延履行合同超过合理期限，买方有权解除合同，并且要求卖方赔偿由此给买方造成的经济损失。</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2.甲方违约的约定：买方未能按双方约定的方式和期限支付货款，按有关法律规定向卖方承担相关的违约责任。</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3.双方其他违约责任按《中华人民共和国民法典》的有关规定处理。</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4.乙方应对其提供的货物承担所有权担保责任，并应保证甲方使用该货物时不侵犯第三人的知识产权。否则乙方应承担由此引起的一切法律责任及费用。</w:t>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九、争议解决方式</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如有纠纷双方先行协商解决;协商不成的，由甲方住所地人民法院管辖，诉讼中，不影响其他未涉诉条款的履行。</w:t>
      </w:r>
      <w:bookmarkStart w:id="29" w:name="OLE_LINK1"/>
      <w:r/>
      <w:r/>
    </w:p>
    <w:p>
      <w:pPr>
        <w:ind w:firstLine="422"/>
        <w:jc w:val="left"/>
        <w:spacing w:line="50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十、其它事项</w:t>
      </w:r>
      <w:bookmarkEnd w:id="29"/>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1.本合同经双方签字盖章后生效。本合同一式六份，甲方执四份，乙方执二份，执行完毕后自行失效。</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2.在本合同执行过程中，甲、乙双方对投标文件及承诺为本合同不可分割的补充内容，且具有同等法律效力。</w:t>
      </w:r>
      <w:r/>
    </w:p>
    <w:p>
      <w:pPr>
        <w:ind w:firstLine="420"/>
        <w:jc w:val="left"/>
        <w:spacing w:line="500" w:lineRule="exact"/>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firstLine="904"/>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ind w:firstLine="904"/>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ind w:firstLine="904"/>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ind w:firstLine="904"/>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ind w:firstLine="904"/>
        <w:spacing w:line="360" w:lineRule="auto"/>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p>
      <w:pPr>
        <w:spacing w:line="360" w:lineRule="auto"/>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甲    方                              乙    方</w:t>
      </w:r>
      <w:r/>
    </w:p>
    <w:p>
      <w:pPr>
        <w:ind w:left="46"/>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单位名称（盖章）：     单位名称（盖章）：</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    址：                            地    址：</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签名：                                法定代表人或被授权代表签名：</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开户行：</w:t>
      </w:r>
      <w:r/>
    </w:p>
    <w:p>
      <w:pPr>
        <w:spacing w:line="360" w:lineRule="auto"/>
        <w:rPr>
          <w:color w:val="000000" w:themeColor="text1"/>
          <w:szCs w:val="21"/>
          <w:highlight w:val="none"/>
        </w:rPr>
      </w:pPr>
      <w:r>
        <w:rPr>
          <w:rFonts w:hint="eastAsia"/>
          <w:color w:val="000000" w:themeColor="text1"/>
          <w:szCs w:val="21"/>
          <w:highlight w:val="none"/>
        </w:rPr>
        <w:t xml:space="preserve">账  号：</w:t>
      </w:r>
      <w:r/>
    </w:p>
    <w:p>
      <w:pPr>
        <w:ind w:firstLine="1995"/>
        <w:spacing w:line="360" w:lineRule="auto"/>
        <w:rPr>
          <w:color w:val="000000" w:themeColor="text1"/>
          <w:szCs w:val="21"/>
          <w:highlight w:val="none"/>
        </w:rPr>
      </w:pPr>
      <w:r>
        <w:rPr>
          <w:rFonts w:hint="eastAsia"/>
          <w:color w:val="000000" w:themeColor="text1"/>
          <w:szCs w:val="21"/>
          <w:highlight w:val="none"/>
        </w:rPr>
        <w:t xml:space="preserve"> 联系手机：</w:t>
      </w:r>
      <w:r/>
    </w:p>
    <w:p>
      <w:pPr>
        <w:pStyle w:val="1235"/>
        <w:spacing w:line="360" w:lineRule="auto"/>
        <w:rPr>
          <w:rFonts w:hAnsi="宋体"/>
          <w:color w:val="000000" w:themeColor="text1"/>
          <w:sz w:val="24"/>
          <w:szCs w:val="24"/>
          <w:highlight w:val="none"/>
        </w:rPr>
      </w:pPr>
      <w:r>
        <w:rPr>
          <w:rFonts w:hint="eastAsia"/>
          <w:color w:val="000000" w:themeColor="text1"/>
          <w:szCs w:val="21"/>
          <w:highlight w:val="none"/>
        </w:rPr>
        <w:t xml:space="preserve">日期：    年 月 日日期：年月 日</w:t>
      </w:r>
      <w:r/>
    </w:p>
    <w:p>
      <w:pPr>
        <w:pStyle w:val="1235"/>
        <w:ind w:firstLine="240"/>
        <w:spacing w:line="360" w:lineRule="auto"/>
        <w:rPr>
          <w:rFonts w:hAnsi="宋体"/>
          <w:color w:val="000000" w:themeColor="text1"/>
          <w:sz w:val="24"/>
          <w:szCs w:val="24"/>
          <w:highlight w:val="none"/>
        </w:rPr>
      </w:pPr>
      <w:r>
        <w:rPr>
          <w:rFonts w:hAnsi="宋体"/>
          <w:color w:val="000000" w:themeColor="text1"/>
          <w:sz w:val="24"/>
          <w:szCs w:val="24"/>
          <w:highlight w:val="none"/>
        </w:rPr>
      </w:r>
      <w:r/>
    </w:p>
    <w:p>
      <w:pPr>
        <w:jc w:val="center"/>
        <w:spacing w:line="360" w:lineRule="auto"/>
        <w:rPr>
          <w:b/>
          <w:color w:val="000000" w:themeColor="text1"/>
          <w:sz w:val="32"/>
          <w:highlight w:val="none"/>
        </w:rPr>
      </w:pPr>
      <w:r>
        <w:rPr>
          <w:b/>
          <w:color w:val="000000" w:themeColor="text1"/>
          <w:sz w:val="32"/>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spacing w:line="360" w:lineRule="auto"/>
        <w:rPr>
          <w:color w:val="000000" w:themeColor="text1"/>
          <w:highlight w:val="none"/>
        </w:rPr>
      </w:pPr>
      <w:r>
        <w:rPr>
          <w:color w:val="000000" w:themeColor="text1"/>
          <w:highlight w:val="none"/>
        </w:rPr>
      </w:r>
      <w:r/>
    </w:p>
    <w:p>
      <w:pPr>
        <w:pStyle w:val="1199"/>
        <w:numPr>
          <w:ilvl w:val="0"/>
          <w:numId w:val="0"/>
        </w:numPr>
        <w:spacing w:before="100" w:after="100" w:line="360" w:lineRule="auto"/>
        <w:rPr>
          <w:rFonts w:ascii="宋体" w:hAnsi="宋体" w:cs="宋体"/>
          <w:color w:val="000000" w:themeColor="text1"/>
          <w:szCs w:val="32"/>
          <w:highlight w:val="none"/>
          <w:shd w:val="clear" w:color="auto" w:fill="ffffff"/>
        </w:rPr>
      </w:pPr>
      <w:r/>
      <w:bookmarkStart w:id="30" w:name="_Toc5471"/>
      <w:r>
        <w:rPr>
          <w:rFonts w:hint="eastAsia" w:ascii="宋体" w:hAnsi="宋体" w:cs="宋体"/>
          <w:color w:val="000000" w:themeColor="text1"/>
          <w:szCs w:val="32"/>
          <w:highlight w:val="none"/>
          <w:shd w:val="clear" w:color="auto" w:fill="ffffff"/>
        </w:rPr>
        <w:t xml:space="preserve">第六章  投标文件格式及附件</w:t>
      </w:r>
      <w:bookmarkEnd w:id="30"/>
      <w:r/>
      <w:r/>
    </w:p>
    <w:p>
      <w:pPr>
        <w:spacing w:line="440" w:lineRule="exact"/>
        <w:rPr>
          <w:rFonts w:ascii="宋体" w:hAnsi="宋体"/>
          <w:color w:val="000000" w:themeColor="text1"/>
          <w:sz w:val="20"/>
          <w:szCs w:val="20"/>
          <w:highlight w:val="none"/>
        </w:rPr>
      </w:pPr>
      <w:r>
        <w:rPr>
          <w:rFonts w:ascii="宋体" w:hAnsi="宋体"/>
          <w:color w:val="000000" w:themeColor="text1"/>
          <w:sz w:val="20"/>
          <w:szCs w:val="20"/>
          <w:highlight w:val="none"/>
        </w:rPr>
      </w:r>
      <w:r/>
    </w:p>
    <w:p>
      <w:pPr>
        <w:spacing w:line="440" w:lineRule="exact"/>
        <w:rPr>
          <w:rFonts w:ascii="宋体" w:hAnsi="宋体"/>
          <w:color w:val="000000" w:themeColor="text1"/>
          <w:sz w:val="20"/>
          <w:szCs w:val="20"/>
          <w:highlight w:val="none"/>
        </w:rPr>
      </w:pPr>
      <w:r>
        <w:rPr>
          <w:rFonts w:ascii="宋体" w:hAnsi="宋体"/>
          <w:color w:val="000000" w:themeColor="text1"/>
          <w:sz w:val="20"/>
          <w:szCs w:val="20"/>
          <w:highlight w:val="none"/>
        </w:rPr>
      </w:r>
      <w:r/>
    </w:p>
    <w:p>
      <w:pPr>
        <w:jc w:val="center"/>
        <w:rPr>
          <w:rFonts w:ascii="宋体" w:hAnsi="宋体"/>
          <w:b/>
          <w:color w:val="000000" w:themeColor="text1"/>
          <w:sz w:val="72"/>
          <w:highlight w:val="none"/>
        </w:rPr>
      </w:pPr>
      <w:r>
        <w:rPr>
          <w:rFonts w:ascii="宋体" w:hAnsi="宋体"/>
          <w:b/>
          <w:color w:val="000000" w:themeColor="text1"/>
          <w:sz w:val="72"/>
          <w:highlight w:val="none"/>
        </w:rPr>
      </w:r>
      <w:r/>
    </w:p>
    <w:p>
      <w:pPr>
        <w:jc w:val="center"/>
        <w:rPr>
          <w:rFonts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p>
    <w:p>
      <w:pPr>
        <w:ind w:firstLine="3708"/>
        <w:rPr>
          <w:rFonts w:ascii="宋体" w:hAnsi="宋体"/>
          <w:b/>
          <w:color w:val="000000" w:themeColor="text1"/>
          <w:sz w:val="36"/>
          <w:highlight w:val="none"/>
        </w:rPr>
      </w:pPr>
      <w:r>
        <w:rPr>
          <w:rFonts w:ascii="宋体" w:hAnsi="宋体"/>
          <w:b/>
          <w:color w:val="000000" w:themeColor="text1"/>
          <w:sz w:val="36"/>
          <w:highlight w:val="none"/>
        </w:rPr>
      </w:r>
      <w:r/>
    </w:p>
    <w:p>
      <w:pPr>
        <w:jc w:val="center"/>
        <w:rPr>
          <w:rFonts w:ascii="宋体" w:hAnsi="宋体"/>
          <w:b/>
          <w:color w:val="000000" w:themeColor="text1"/>
          <w:sz w:val="72"/>
          <w:highlight w:val="none"/>
        </w:rPr>
      </w:pPr>
      <w:r>
        <w:rPr>
          <w:rFonts w:ascii="宋体" w:hAnsi="宋体"/>
          <w:b/>
          <w:color w:val="000000" w:themeColor="text1"/>
          <w:sz w:val="72"/>
          <w:highlight w:val="none"/>
        </w:rPr>
      </w:r>
      <w:r/>
    </w:p>
    <w:p>
      <w:pPr>
        <w:jc w:val="center"/>
        <w:rPr>
          <w:rFonts w:ascii="宋体" w:hAnsi="宋体"/>
          <w:b/>
          <w:color w:val="000000" w:themeColor="text1"/>
          <w:sz w:val="36"/>
          <w:highlight w:val="none"/>
        </w:rPr>
      </w:pPr>
      <w:r>
        <w:rPr>
          <w:rFonts w:ascii="宋体" w:hAnsi="宋体"/>
          <w:b/>
          <w:color w:val="000000" w:themeColor="text1"/>
          <w:sz w:val="36"/>
          <w:highlight w:val="none"/>
        </w:rPr>
      </w:r>
      <w:r/>
    </w:p>
    <w:p>
      <w:pPr>
        <w:jc w:val="center"/>
        <w:rPr>
          <w:rFonts w:ascii="宋体" w:hAnsi="宋体"/>
          <w:b/>
          <w:color w:val="000000" w:themeColor="text1"/>
          <w:sz w:val="36"/>
          <w:highlight w:val="none"/>
        </w:rPr>
      </w:pPr>
      <w:r>
        <w:rPr>
          <w:rFonts w:ascii="宋体" w:hAnsi="宋体"/>
          <w:b/>
          <w:color w:val="000000" w:themeColor="text1"/>
          <w:sz w:val="36"/>
          <w:highlight w:val="none"/>
        </w:rPr>
      </w:r>
      <w:r/>
    </w:p>
    <w:p>
      <w:pPr>
        <w:jc w:val="center"/>
        <w:rPr>
          <w:rFonts w:ascii="宋体" w:hAnsi="宋体"/>
          <w:b/>
          <w:color w:val="000000" w:themeColor="text1"/>
          <w:sz w:val="36"/>
          <w:highlight w:val="none"/>
        </w:rPr>
      </w:pPr>
      <w:r>
        <w:rPr>
          <w:rFonts w:ascii="宋体" w:hAnsi="宋体"/>
          <w:b/>
          <w:color w:val="000000" w:themeColor="text1"/>
          <w:sz w:val="36"/>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编号：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名称： </w:t>
      </w:r>
      <w:r/>
    </w:p>
    <w:p>
      <w:pPr>
        <w:rPr>
          <w:rFonts w:ascii="宋体" w:hAnsi="宋体"/>
          <w:b/>
          <w:color w:val="000000" w:themeColor="text1"/>
          <w:sz w:val="36"/>
          <w:highlight w:val="none"/>
        </w:rPr>
      </w:pPr>
      <w:r>
        <w:rPr>
          <w:rFonts w:ascii="宋体" w:hAnsi="宋体"/>
          <w:b/>
          <w:color w:val="000000" w:themeColor="text1"/>
          <w:sz w:val="36"/>
          <w:highlight w:val="none"/>
        </w:rPr>
      </w:r>
      <w:r/>
    </w:p>
    <w:p>
      <w:pPr>
        <w:rPr>
          <w:rFonts w:ascii="宋体" w:hAnsi="宋体"/>
          <w:b/>
          <w:color w:val="000000" w:themeColor="text1"/>
          <w:sz w:val="36"/>
          <w:highlight w:val="none"/>
        </w:rPr>
      </w:pPr>
      <w:r>
        <w:rPr>
          <w:rFonts w:ascii="宋体" w:hAnsi="宋体"/>
          <w:b/>
          <w:color w:val="000000" w:themeColor="text1"/>
          <w:sz w:val="36"/>
          <w:highlight w:val="none"/>
        </w:rPr>
      </w:r>
      <w:r/>
    </w:p>
    <w:p>
      <w:pPr>
        <w:rPr>
          <w:rFonts w:ascii="宋体" w:hAnsi="宋体"/>
          <w:b/>
          <w:color w:val="000000" w:themeColor="text1"/>
          <w:sz w:val="36"/>
          <w:highlight w:val="none"/>
        </w:rPr>
      </w:pPr>
      <w:r>
        <w:rPr>
          <w:rFonts w:ascii="宋体" w:hAnsi="宋体"/>
          <w:b/>
          <w:color w:val="000000" w:themeColor="text1"/>
          <w:sz w:val="36"/>
          <w:highlight w:val="none"/>
        </w:rPr>
      </w:r>
      <w:r/>
    </w:p>
    <w:p>
      <w:pPr>
        <w:rPr>
          <w:rFonts w:ascii="宋体" w:hAnsi="宋体"/>
          <w:b/>
          <w:color w:val="000000" w:themeColor="text1"/>
          <w:sz w:val="36"/>
          <w:highlight w:val="none"/>
        </w:rPr>
      </w:pPr>
      <w:r>
        <w:rPr>
          <w:rFonts w:ascii="宋体" w:hAnsi="宋体"/>
          <w:b/>
          <w:color w:val="000000" w:themeColor="text1"/>
          <w:sz w:val="36"/>
          <w:highlight w:val="none"/>
        </w:rPr>
      </w:r>
      <w:r/>
    </w:p>
    <w:p>
      <w:pPr>
        <w:rPr>
          <w:rFonts w:ascii="宋体" w:hAnsi="宋体"/>
          <w:b/>
          <w:color w:val="000000" w:themeColor="text1"/>
          <w:sz w:val="36"/>
          <w:highlight w:val="none"/>
        </w:rPr>
      </w:pPr>
      <w:r>
        <w:rPr>
          <w:rFonts w:ascii="宋体" w:hAnsi="宋体"/>
          <w:b/>
          <w:color w:val="000000" w:themeColor="text1"/>
          <w:sz w:val="36"/>
          <w:highlight w:val="none"/>
        </w:rPr>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供应商名称：（盖章）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p>
    <w:p>
      <w:pPr>
        <w:rPr>
          <w:color w:val="000000" w:themeColor="text1"/>
          <w:highlight w:val="none"/>
        </w:rPr>
      </w:pPr>
      <w:r>
        <w:rPr>
          <w:color w:val="000000" w:themeColor="text1"/>
          <w:highlight w:val="none"/>
        </w:rPr>
      </w:r>
      <w:r/>
    </w:p>
    <w:p>
      <w:pPr>
        <w:pStyle w:val="1200"/>
        <w:numPr>
          <w:ilvl w:val="0"/>
          <w:numId w:val="0"/>
        </w:numPr>
        <w:ind w:left="-420"/>
        <w:jc w:val="center"/>
        <w:rPr>
          <w:color w:val="000000" w:themeColor="text1"/>
          <w:highlight w:val="none"/>
        </w:rPr>
      </w:pPr>
      <w:r>
        <w:rPr>
          <w:rFonts w:ascii="宋体" w:hAnsi="宋体"/>
          <w:color w:val="000000" w:themeColor="text1"/>
          <w:sz w:val="36"/>
          <w:highlight w:val="none"/>
        </w:rPr>
        <w:br w:type="page" w:clear="all"/>
      </w:r>
      <w:bookmarkStart w:id="31" w:name="_Toc19417"/>
      <w:r>
        <w:rPr>
          <w:rFonts w:hint="eastAsia"/>
          <w:color w:val="000000" w:themeColor="text1"/>
          <w:highlight w:val="none"/>
        </w:rPr>
        <w:t xml:space="preserve">资格性和符合性检查响应对照表</w:t>
      </w:r>
      <w:r/>
    </w:p>
    <w:p>
      <w:pPr>
        <w:ind w:firstLine="205"/>
        <w:spacing w:before="50" w:after="50" w:line="360" w:lineRule="auto"/>
        <w:rPr>
          <w:color w:val="000000" w:themeColor="text1"/>
          <w:highlight w:val="none"/>
          <w:u w:val="single"/>
        </w:rPr>
      </w:pPr>
      <w:r>
        <w:rPr>
          <w:rFonts w:hint="eastAsia"/>
          <w:color w:val="000000" w:themeColor="text1"/>
          <w:highlight w:val="none"/>
        </w:rPr>
        <w:t xml:space="preserve">项目名称：                                                 项目编号：</w:t>
      </w:r>
      <w:r/>
    </w:p>
    <w:tbl>
      <w:tblPr>
        <w:tblStyle w:val="10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4290" w:type="dxa"/>
            <w:vAlign w:val="center"/>
            <w:textDirection w:val="lrTb"/>
            <w:noWrap/>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资格性审查响应内容</w:t>
            </w:r>
            <w:r/>
          </w:p>
        </w:tc>
        <w:tc>
          <w:tcPr>
            <w:tcW w:w="1928"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是否响应</w:t>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（填是或者否）</w:t>
            </w:r>
            <w:r/>
          </w:p>
        </w:tc>
        <w:tc>
          <w:tcPr>
            <w:tcW w:w="1609"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投标文件中的页码位置</w:t>
            </w:r>
            <w:r/>
          </w:p>
        </w:tc>
      </w:tr>
      <w:tr>
        <w:trPr>
          <w:trHeight w:val="584"/>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584"/>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584"/>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17"/>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17"/>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1383"/>
        </w:trPr>
        <w:tc>
          <w:tcPr>
            <w:tcW w:w="791"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4290" w:type="dxa"/>
            <w:vAlign w:val="center"/>
            <w:textDirection w:val="lrTb"/>
            <w:noWrap/>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符合性审查响应内容</w:t>
            </w:r>
            <w:r/>
          </w:p>
        </w:tc>
        <w:tc>
          <w:tcPr>
            <w:tcW w:w="1928"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是否响应</w:t>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（填是或者否）</w:t>
            </w:r>
            <w:r/>
          </w:p>
        </w:tc>
        <w:tc>
          <w:tcPr>
            <w:tcW w:w="1609"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投标文件中的页码位置</w:t>
            </w:r>
            <w:r/>
          </w:p>
        </w:tc>
      </w:tr>
      <w:tr>
        <w:trPr>
          <w:trHeight w:val="417"/>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15"/>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15"/>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15"/>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77"/>
        </w:trPr>
        <w:tc>
          <w:tcPr>
            <w:tcW w:w="791"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p>
        </w:tc>
        <w:tc>
          <w:tcPr>
            <w:tcW w:w="4290" w:type="dxa"/>
            <w:vAlign w:val="center"/>
            <w:textDirection w:val="lrTb"/>
            <w:noWrap/>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投标文件中的其他实质性要求</w:t>
            </w:r>
            <w:r/>
          </w:p>
        </w:tc>
        <w:tc>
          <w:tcPr>
            <w:tcW w:w="1928"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W w:w="16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jc w:val="left"/>
        <w:spacing w:line="360" w:lineRule="auto"/>
        <w:widowControl/>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投标人名称（盖章）：</w:t>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法定代表人或授权代表（签字）：</w:t>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日 期：</w:t>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rPr>
          <w:rFonts w:hint="eastAsia" w:ascii="宋体" w:hAnsi="宋体" w:cs="宋体"/>
          <w:color w:val="000000" w:themeColor="text1"/>
          <w:sz w:val="24"/>
          <w:highlight w:val="none"/>
          <w:u w:val="single"/>
        </w:rPr>
        <w:tab/>
      </w:r>
      <w:r/>
    </w:p>
    <w:p>
      <w:pPr>
        <w:jc w:val="left"/>
        <w:spacing w:line="360" w:lineRule="auto"/>
        <w:widowControl/>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jc w:val="left"/>
        <w:spacing w:line="360" w:lineRule="auto"/>
        <w:widowControl/>
        <w:rPr>
          <w:rFonts w:asci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说明：如果行数不够，请自行增加。</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200"/>
        <w:numPr>
          <w:ilvl w:val="0"/>
          <w:numId w:val="0"/>
        </w:numPr>
        <w:ind w:left="-420"/>
        <w:jc w:val="center"/>
        <w:rPr>
          <w:color w:val="000000" w:themeColor="text1"/>
          <w:highlight w:val="none"/>
        </w:rPr>
      </w:pPr>
      <w:r/>
      <w:bookmarkStart w:id="32" w:name="_Toc23132"/>
      <w:r>
        <w:rPr>
          <w:color w:val="000000" w:themeColor="text1"/>
          <w:highlight w:val="none"/>
        </w:rPr>
        <w:br w:type="page" w:clear="all"/>
      </w:r>
      <w:r>
        <w:rPr>
          <w:color w:val="000000" w:themeColor="text1"/>
          <w:highlight w:val="none"/>
        </w:rPr>
        <w:t xml:space="preserve">评分索引表（可按需调整）</w:t>
      </w:r>
      <w:bookmarkEnd w:id="32"/>
      <w:r/>
      <w:r/>
    </w:p>
    <w:tbl>
      <w:tblPr>
        <w:tblStyle w:val="1019"/>
        <w:tblpPr w:horzAnchor="page" w:tblpX="1627" w:vertAnchor="text" w:tblpY="414"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pStyle w:val="1329"/>
              <w:ind w:left="722"/>
              <w:jc w:val="center"/>
              <w:rPr>
                <w:color w:val="000000" w:themeColor="text1"/>
                <w:highlight w:val="none"/>
              </w:rPr>
            </w:pPr>
            <w:r>
              <w:rPr>
                <w:rFonts w:hint="eastAsia" w:ascii="宋体" w:hAnsi="宋体"/>
                <w:b/>
                <w:color w:val="000000" w:themeColor="text1"/>
                <w:sz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pStyle w:val="1329"/>
              <w:ind w:left="625"/>
              <w:rPr>
                <w:color w:val="000000" w:themeColor="text1"/>
                <w:highlight w:val="none"/>
                <w:lang w:eastAsia="zh-CN"/>
              </w:rPr>
            </w:pPr>
            <w:r>
              <w:rPr>
                <w:rFonts w:hint="eastAsia" w:ascii="宋体" w:hAnsi="宋体"/>
                <w:b/>
                <w:color w:val="000000" w:themeColor="text1"/>
                <w:sz w:val="21"/>
                <w:highlight w:val="none"/>
                <w:lang w:eastAsia="zh-CN"/>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tcPr>
          <w:p>
            <w:pPr>
              <w:rPr>
                <w:color w:val="000000" w:themeColor="text1"/>
                <w:highlight w:val="none"/>
              </w:rPr>
            </w:pPr>
            <w:r>
              <w:rPr>
                <w:color w:val="000000" w:themeColor="text1"/>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tcPr>
          <w:p>
            <w:pPr>
              <w:rPr>
                <w:color w:val="000000" w:themeColor="text1"/>
                <w:highlight w:val="none"/>
              </w:rPr>
            </w:pPr>
            <w:r>
              <w:rPr>
                <w:color w:val="000000" w:themeColor="text1"/>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tcPr>
          <w:p>
            <w:pPr>
              <w:rPr>
                <w:color w:val="000000" w:themeColor="text1"/>
                <w:highlight w:val="none"/>
              </w:rPr>
            </w:pP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570" w:type="dxa"/>
            <w:textDirection w:val="lrTb"/>
            <w:noWrap/>
          </w:tcPr>
          <w:p>
            <w:pPr>
              <w:rPr>
                <w:color w:val="000000" w:themeColor="text1"/>
                <w:highlight w:val="none"/>
              </w:rPr>
            </w:pPr>
            <w:r>
              <w:rPr>
                <w:color w:val="000000" w:themeColor="text1"/>
                <w:highlight w:val="none"/>
              </w:rPr>
            </w:r>
            <w:r/>
          </w:p>
        </w:tc>
      </w:tr>
    </w:tbl>
    <w:p>
      <w:pPr>
        <w:spacing w:line="360" w:lineRule="auto"/>
        <w:rPr>
          <w:b/>
          <w:color w:val="000000" w:themeColor="text1"/>
          <w:highlight w:val="none"/>
        </w:rPr>
      </w:pPr>
      <w:r>
        <w:rPr>
          <w:b/>
          <w:color w:val="000000" w:themeColor="text1"/>
          <w:highlight w:val="none"/>
        </w:rPr>
      </w:r>
      <w:r/>
    </w:p>
    <w:p>
      <w:pPr>
        <w:spacing w:line="36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注：各供应商可根据企业自身实际情况以及对招标文件的响应程度进行编制投标文件</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br w:type="page" w:clear="all"/>
      </w:r>
      <w:r/>
    </w:p>
    <w:p>
      <w:pPr>
        <w:pStyle w:val="1200"/>
        <w:numPr>
          <w:ilvl w:val="0"/>
          <w:numId w:val="0"/>
        </w:numPr>
        <w:spacing w:before="0" w:after="0" w:line="380" w:lineRule="exact"/>
        <w:rPr>
          <w:rStyle w:val="1277"/>
          <w:rFonts w:ascii="宋体" w:hAnsi="宋体" w:cs="宋体"/>
          <w:b w:val="0"/>
          <w:bCs w:val="0"/>
          <w:color w:val="000000" w:themeColor="text1"/>
          <w:sz w:val="22"/>
          <w:szCs w:val="22"/>
          <w:highlight w:val="none"/>
        </w:rPr>
      </w:pPr>
      <w:r>
        <w:rPr>
          <w:rStyle w:val="1277"/>
          <w:rFonts w:hint="eastAsia" w:ascii="宋体" w:hAnsi="宋体" w:cs="宋体"/>
          <w:b w:val="0"/>
          <w:bCs w:val="0"/>
          <w:color w:val="000000" w:themeColor="text1"/>
          <w:sz w:val="22"/>
          <w:szCs w:val="22"/>
          <w:highlight w:val="none"/>
        </w:rPr>
        <w:t xml:space="preserve">附件一、投标申请及声明格式</w:t>
      </w:r>
      <w:bookmarkEnd w:id="31"/>
      <w:r/>
      <w:r/>
    </w:p>
    <w:p>
      <w:pPr>
        <w:ind w:firstLine="562"/>
        <w:jc w:val="center"/>
        <w:spacing w:line="380" w:lineRule="exact"/>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投标申请及声明</w:t>
      </w:r>
      <w:r/>
    </w:p>
    <w:p>
      <w:pPr>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致：南京市农产品质量检测院</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根据贵方</w:t>
      </w:r>
      <w:r>
        <w:rPr>
          <w:rFonts w:hint="eastAsia" w:ascii="宋体" w:hAnsi="宋体" w:cs="宋体"/>
          <w:color w:val="000000" w:themeColor="text1"/>
          <w:sz w:val="22"/>
          <w:szCs w:val="22"/>
          <w:highlight w:val="none"/>
          <w:u w:val="single"/>
        </w:rPr>
        <w:t xml:space="preserve">                   </w:t>
      </w:r>
      <w:r>
        <w:rPr>
          <w:rFonts w:hint="eastAsia" w:ascii="宋体" w:hAnsi="宋体" w:cs="宋体"/>
          <w:b/>
          <w:bCs/>
          <w:color w:val="000000" w:themeColor="text1"/>
          <w:sz w:val="22"/>
          <w:szCs w:val="22"/>
          <w:highlight w:val="none"/>
          <w:u w:val="single"/>
        </w:rPr>
        <w:t xml:space="preserve">（</w:t>
      </w:r>
      <w:r>
        <w:rPr>
          <w:rFonts w:hint="eastAsia" w:ascii="宋体" w:hAnsi="宋体" w:cs="宋体"/>
          <w:b/>
          <w:bCs/>
          <w:color w:val="000000" w:themeColor="text1"/>
          <w:sz w:val="22"/>
          <w:szCs w:val="22"/>
          <w:highlight w:val="none"/>
        </w:rPr>
        <w:t xml:space="preserve">项目名称</w:t>
      </w:r>
      <w:r>
        <w:rPr>
          <w:rFonts w:hint="eastAsia" w:ascii="宋体" w:hAnsi="宋体" w:cs="宋体"/>
          <w:color w:val="000000" w:themeColor="text1"/>
          <w:sz w:val="22"/>
          <w:szCs w:val="22"/>
          <w:highlight w:val="none"/>
        </w:rPr>
        <w:t xml:space="preserve">） </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（项目编号）投标邀请，正式授权下述签字人</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(姓名和职务)代表投标人</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（供应商名称），提交投标文件。</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据此函，签字人兹宣布声明和承诺如下：</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r>
        <w:rPr>
          <w:rFonts w:hint="eastAsia" w:ascii="宋体" w:hAnsi="宋体" w:cs="宋体"/>
          <w:b/>
          <w:bCs/>
          <w:color w:val="000000" w:themeColor="text1"/>
          <w:sz w:val="22"/>
          <w:szCs w:val="22"/>
          <w:highlight w:val="none"/>
        </w:rPr>
        <w:t xml:space="preserve">我们的资格条件完全符合政府采购法和本次招标要求</w:t>
      </w:r>
      <w:r>
        <w:rPr>
          <w:rFonts w:hint="eastAsia" w:ascii="宋体" w:hAnsi="宋体" w:cs="宋体"/>
          <w:color w:val="000000" w:themeColor="text1"/>
          <w:sz w:val="22"/>
          <w:szCs w:val="22"/>
          <w:highlight w:val="none"/>
        </w:rPr>
        <w:t xml:space="preserve">，我们同意并向贵方提供了与投标有关的所有证据和资料。</w:t>
      </w:r>
      <w:r/>
    </w:p>
    <w:p>
      <w:pPr>
        <w:pStyle w:val="1200"/>
        <w:numPr>
          <w:ilvl w:val="0"/>
          <w:numId w:val="0"/>
        </w:numPr>
        <w:ind w:firstLine="482"/>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color w:val="000000" w:themeColor="text1"/>
          <w:sz w:val="22"/>
          <w:szCs w:val="22"/>
          <w:highlight w:val="none"/>
        </w:rPr>
        <w:t xml:space="preserve">2、按招标要求，我们的投标总报价为(大写)元人民币， (小写)元人民币。</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3、本项目交付时间为：</w:t>
      </w:r>
      <w:r>
        <w:rPr>
          <w:rFonts w:hint="eastAsia" w:ascii="宋体" w:hAnsi="宋体" w:cs="宋体"/>
          <w:color w:val="000000" w:themeColor="text1"/>
          <w:sz w:val="22"/>
          <w:szCs w:val="22"/>
          <w:highlight w:val="none"/>
          <w:u w:val="single"/>
        </w:rPr>
        <w:t xml:space="preserve">（满足招标文件要求或填写优于招标要求的时间）</w:t>
      </w:r>
      <w:r>
        <w:rPr>
          <w:rFonts w:hint="eastAsia" w:ascii="宋体" w:hAnsi="宋体" w:cs="宋体"/>
          <w:b w:val="0"/>
          <w:bCs w:val="0"/>
          <w:color w:val="000000" w:themeColor="text1"/>
          <w:sz w:val="22"/>
          <w:szCs w:val="22"/>
          <w:highlight w:val="none"/>
        </w:rPr>
        <w:t xml:space="preserve">。</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  投标产品品牌：。</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4、</w:t>
      </w:r>
      <w:r>
        <w:rPr>
          <w:rFonts w:hint="eastAsia" w:ascii="宋体" w:hAnsi="宋体" w:cs="宋体"/>
          <w:b w:val="0"/>
          <w:bCs w:val="0"/>
          <w:color w:val="000000" w:themeColor="text1"/>
          <w:sz w:val="22"/>
          <w:szCs w:val="22"/>
          <w:highlight w:val="none"/>
          <w:lang w:val="zh-CN"/>
        </w:rPr>
        <w:t xml:space="preserve">我们的报价产品中</w:t>
      </w:r>
      <w:r>
        <w:rPr>
          <w:rFonts w:hint="eastAsia" w:ascii="宋体" w:hAnsi="宋体" w:cs="宋体"/>
          <w:b w:val="0"/>
          <w:bCs w:val="0"/>
          <w:color w:val="000000" w:themeColor="text1"/>
          <w:sz w:val="22"/>
          <w:szCs w:val="22"/>
          <w:highlight w:val="none"/>
          <w:u w:val="single"/>
          <w:lang w:val="zh-CN"/>
        </w:rPr>
        <w:t xml:space="preserve">     （有或无）</w:t>
      </w:r>
      <w:r>
        <w:rPr>
          <w:rFonts w:hint="eastAsia" w:ascii="宋体" w:hAnsi="宋体" w:cs="宋体"/>
          <w:b w:val="0"/>
          <w:bCs w:val="0"/>
          <w:color w:val="000000" w:themeColor="text1"/>
          <w:sz w:val="22"/>
          <w:szCs w:val="22"/>
          <w:highlight w:val="none"/>
          <w:lang w:val="zh-CN"/>
        </w:rPr>
        <w:t xml:space="preserve">进口产品。</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5、我们已详细审核全部招标文件及其有效补充文件，我们放弃对招标文件任何误解的权利，提交投标文件后，</w:t>
      </w:r>
      <w:r>
        <w:rPr>
          <w:rFonts w:hint="eastAsia" w:ascii="宋体" w:hAnsi="宋体" w:cs="宋体"/>
          <w:color w:val="000000" w:themeColor="text1"/>
          <w:sz w:val="22"/>
          <w:szCs w:val="22"/>
          <w:highlight w:val="none"/>
        </w:rPr>
        <w:t xml:space="preserve">不对招标文件本身提出质疑</w:t>
      </w:r>
      <w:r>
        <w:rPr>
          <w:rFonts w:hint="eastAsia" w:ascii="宋体" w:hAnsi="宋体" w:cs="宋体"/>
          <w:b w:val="0"/>
          <w:bCs w:val="0"/>
          <w:color w:val="000000" w:themeColor="text1"/>
          <w:sz w:val="22"/>
          <w:szCs w:val="22"/>
          <w:highlight w:val="none"/>
        </w:rPr>
        <w:t xml:space="preserve">。</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6、我们同意从规定的开标日期起遵循本投标文件，并在规定的投标有效期期满之前均具有约束力。</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8、一旦我方中标，我方将根据招标文件的规定严格履行合同，并保证于承诺的时间完成货物的启动/集成、调试等服务，交付采购人验收、使用。</w:t>
      </w:r>
      <w:r/>
    </w:p>
    <w:p>
      <w:pPr>
        <w:pStyle w:val="1200"/>
        <w:numPr>
          <w:ilvl w:val="0"/>
          <w:numId w:val="0"/>
        </w:numPr>
        <w:ind w:firstLine="480"/>
        <w:keepLines w:val="0"/>
        <w:keepNext w:val="0"/>
        <w:spacing w:before="0" w:after="0" w:line="380" w:lineRule="exact"/>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10、与本投标有关的正式联系方式为：</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   址：</w:t>
      </w:r>
      <w:r>
        <w:rPr>
          <w:rFonts w:hint="eastAsia" w:ascii="宋体" w:hAnsi="宋体" w:cs="宋体"/>
          <w:color w:val="000000" w:themeColor="text1"/>
          <w:sz w:val="22"/>
          <w:szCs w:val="22"/>
          <w:highlight w:val="none"/>
          <w:u w:val="single"/>
        </w:rPr>
        <w:t xml:space="preserve">                      </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   话：</w:t>
      </w:r>
      <w:r>
        <w:rPr>
          <w:rFonts w:hint="eastAsia" w:ascii="宋体" w:hAnsi="宋体" w:cs="宋体"/>
          <w:color w:val="000000" w:themeColor="text1"/>
          <w:sz w:val="22"/>
          <w:szCs w:val="22"/>
          <w:highlight w:val="none"/>
          <w:u w:val="single"/>
        </w:rPr>
        <w:t xml:space="preserve">                      </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传   真：</w:t>
      </w:r>
      <w:r>
        <w:rPr>
          <w:rFonts w:hint="eastAsia" w:ascii="宋体" w:hAnsi="宋体" w:cs="宋体"/>
          <w:color w:val="000000" w:themeColor="text1"/>
          <w:sz w:val="22"/>
          <w:szCs w:val="22"/>
          <w:highlight w:val="none"/>
          <w:u w:val="single"/>
        </w:rPr>
        <w:t xml:space="preserve">                      </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开户银行：</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银行账号：</w:t>
      </w:r>
      <w:r/>
    </w:p>
    <w:p>
      <w:pPr>
        <w:ind w:firstLine="420"/>
        <w:spacing w:line="380" w:lineRule="exact"/>
        <w:shd w:val="clear" w:color="auto" w:fill="ffffff"/>
        <w:rPr>
          <w:rFonts w:ascii="宋体" w:hAnsi="宋体" w:cs="宋体"/>
          <w:color w:val="000000" w:themeColor="text1"/>
          <w:sz w:val="22"/>
          <w:szCs w:val="22"/>
          <w:highlight w:val="none"/>
          <w:u w:val="single"/>
        </w:rPr>
      </w:pPr>
      <w:r>
        <w:rPr>
          <w:rFonts w:hint="eastAsia" w:ascii="宋体" w:hAnsi="宋体" w:cs="宋体"/>
          <w:color w:val="000000" w:themeColor="text1"/>
          <w:sz w:val="22"/>
          <w:szCs w:val="22"/>
          <w:highlight w:val="none"/>
        </w:rPr>
        <w:t xml:space="preserve">投标人授权代表姓名（签字）：</w:t>
      </w:r>
      <w:r>
        <w:rPr>
          <w:rFonts w:hint="eastAsia" w:ascii="宋体" w:hAnsi="宋体" w:cs="宋体"/>
          <w:color w:val="000000" w:themeColor="text1"/>
          <w:sz w:val="22"/>
          <w:szCs w:val="22"/>
          <w:highlight w:val="none"/>
          <w:u w:val="single"/>
        </w:rPr>
        <w:t xml:space="preserve">        </w:t>
      </w:r>
      <w:r/>
    </w:p>
    <w:p>
      <w:pPr>
        <w:ind w:firstLine="420"/>
        <w:spacing w:line="380" w:lineRule="exact"/>
        <w:shd w:val="clear" w:color="auto" w:fill="ffffff"/>
        <w:rPr>
          <w:rFonts w:ascii="宋体" w:hAnsi="宋体" w:cs="宋体"/>
          <w:color w:val="000000" w:themeColor="text1"/>
          <w:sz w:val="22"/>
          <w:szCs w:val="22"/>
          <w:highlight w:val="none"/>
          <w:u w:val="single"/>
        </w:rPr>
      </w:pPr>
      <w:r>
        <w:rPr>
          <w:rFonts w:hint="eastAsia" w:ascii="宋体" w:hAnsi="宋体" w:cs="宋体"/>
          <w:color w:val="000000" w:themeColor="text1"/>
          <w:sz w:val="22"/>
          <w:szCs w:val="22"/>
          <w:highlight w:val="none"/>
        </w:rPr>
        <w:t xml:space="preserve">投标人授权代表联系电话：</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供应商名称：</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（加盖CA电子公章）</w:t>
      </w:r>
      <w:r/>
    </w:p>
    <w:p>
      <w:pPr>
        <w:ind w:firstLine="440"/>
        <w:spacing w:line="380" w:lineRule="exact"/>
        <w:rPr>
          <w:rFonts w:ascii="宋体" w:hAnsi="宋体" w:cs="宋体"/>
          <w:color w:val="000000" w:themeColor="text1"/>
          <w:szCs w:val="21"/>
          <w:highlight w:val="none"/>
        </w:rPr>
      </w:pPr>
      <w:r>
        <w:rPr>
          <w:rFonts w:hint="eastAsia" w:ascii="宋体" w:hAnsi="宋体" w:cs="宋体"/>
          <w:color w:val="000000" w:themeColor="text1"/>
          <w:sz w:val="22"/>
          <w:szCs w:val="22"/>
          <w:highlight w:val="none"/>
        </w:rPr>
        <w:t xml:space="preserve">日    期：</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年</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月</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日</w:t>
      </w:r>
      <w:r/>
    </w:p>
    <w:p>
      <w:pPr>
        <w:pStyle w:val="1234"/>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200"/>
        <w:numPr>
          <w:ilvl w:val="0"/>
          <w:numId w:val="0"/>
        </w:numPr>
        <w:spacing w:before="0" w:after="0" w:line="240" w:lineRule="auto"/>
        <w:rPr>
          <w:rStyle w:val="1277"/>
          <w:rFonts w:ascii="宋体" w:hAnsi="宋体" w:cs="宋体"/>
          <w:b w:val="0"/>
          <w:bCs w:val="0"/>
          <w:color w:val="000000" w:themeColor="text1"/>
          <w:sz w:val="22"/>
          <w:szCs w:val="22"/>
          <w:highlight w:val="none"/>
        </w:rPr>
      </w:pPr>
      <w:r/>
      <w:bookmarkStart w:id="33" w:name="_Toc537"/>
      <w:r>
        <w:rPr>
          <w:rStyle w:val="1277"/>
          <w:rFonts w:hint="eastAsia" w:ascii="宋体" w:hAnsi="宋体" w:cs="宋体"/>
          <w:b w:val="0"/>
          <w:bCs w:val="0"/>
          <w:color w:val="000000" w:themeColor="text1"/>
          <w:sz w:val="22"/>
          <w:szCs w:val="22"/>
          <w:highlight w:val="none"/>
        </w:rPr>
        <w:t xml:space="preserve">附件二、法定代表人授权委托书格式</w:t>
      </w:r>
      <w:bookmarkEnd w:id="33"/>
      <w:r/>
      <w:r/>
    </w:p>
    <w:p>
      <w:pPr>
        <w:ind w:firstLine="562"/>
        <w:jc w:val="center"/>
        <w:spacing w:line="360" w:lineRule="auto"/>
        <w:rPr>
          <w:rFonts w:ascii="宋体" w:hAnsi="宋体" w:cs="宋体"/>
          <w:b/>
          <w:bCs/>
          <w:color w:val="000000" w:themeColor="text1"/>
          <w:sz w:val="22"/>
          <w:szCs w:val="22"/>
          <w:highlight w:val="none"/>
          <w:lang w:val="zh-CN"/>
        </w:rPr>
      </w:pPr>
      <w:r>
        <w:rPr>
          <w:rFonts w:ascii="宋体" w:hAnsi="宋体" w:cs="宋体"/>
          <w:b/>
          <w:bCs/>
          <w:color w:val="000000" w:themeColor="text1"/>
          <w:sz w:val="22"/>
          <w:szCs w:val="22"/>
          <w:highlight w:val="none"/>
          <w:lang w:val="zh-CN"/>
        </w:rPr>
      </w:r>
      <w:r/>
    </w:p>
    <w:p>
      <w:pPr>
        <w:ind w:firstLine="562"/>
        <w:jc w:val="center"/>
        <w:spacing w:line="360" w:lineRule="auto"/>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法定代表人授权委托书</w:t>
      </w:r>
      <w:r/>
    </w:p>
    <w:p>
      <w:pPr>
        <w:jc w:val="left"/>
        <w:spacing w:line="360" w:lineRule="auto"/>
        <w:shd w:val="clear" w:color="auto" w:fill="ffffff"/>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jc w:val="left"/>
        <w:spacing w:line="300" w:lineRule="auto"/>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致：南京市农产品质量检测院</w:t>
      </w:r>
      <w:r/>
    </w:p>
    <w:p>
      <w:pPr>
        <w:pStyle w:val="1200"/>
        <w:numPr>
          <w:ilvl w:val="0"/>
          <w:numId w:val="0"/>
        </w:numPr>
        <w:ind w:firstLine="480"/>
        <w:keepLines w:val="0"/>
        <w:keepNext w:val="0"/>
        <w:spacing w:before="0" w:after="0" w:line="300" w:lineRule="auto"/>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本授权书声明：注册于</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（投标人住址）的</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（供应商名称）法定代表人</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（法定代表人姓名、职务）代表本公司授权在下面签字的</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（投标人代表姓名、职务）为本公司的合法代理人，就贵方组织的</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（项目名称），</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（项目编号）投标，以本公司名义处理一切与之有关的事务。</w:t>
      </w:r>
      <w:r/>
    </w:p>
    <w:p>
      <w:pPr>
        <w:pStyle w:val="1200"/>
        <w:numPr>
          <w:ilvl w:val="0"/>
          <w:numId w:val="0"/>
        </w:numPr>
        <w:ind w:firstLine="480"/>
        <w:keepLines w:val="0"/>
        <w:keepNext w:val="0"/>
        <w:spacing w:before="0" w:after="0" w:line="300" w:lineRule="auto"/>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本授权书于</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年</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月</w:t>
      </w:r>
      <w:r>
        <w:rPr>
          <w:rFonts w:hint="eastAsia" w:ascii="宋体" w:hAnsi="宋体" w:cs="宋体"/>
          <w:b w:val="0"/>
          <w:bCs w:val="0"/>
          <w:color w:val="000000" w:themeColor="text1"/>
          <w:sz w:val="22"/>
          <w:szCs w:val="22"/>
          <w:highlight w:val="none"/>
          <w:u w:val="single"/>
        </w:rPr>
        <w:t xml:space="preserve">  </w:t>
      </w:r>
      <w:r>
        <w:rPr>
          <w:rFonts w:hint="eastAsia" w:ascii="宋体" w:hAnsi="宋体" w:cs="宋体"/>
          <w:b w:val="0"/>
          <w:bCs w:val="0"/>
          <w:color w:val="000000" w:themeColor="text1"/>
          <w:sz w:val="22"/>
          <w:szCs w:val="22"/>
          <w:highlight w:val="none"/>
        </w:rPr>
        <w:t xml:space="preserve">日签字生效，特此声明。</w:t>
      </w:r>
      <w:r/>
    </w:p>
    <w:p>
      <w:pP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    </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法定代表人签字：</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授权委托人签字：                   </w:t>
      </w:r>
      <w:r/>
    </w:p>
    <w:p>
      <w:pPr>
        <w:ind w:firstLine="420"/>
        <w:spacing w:line="380" w:lineRule="exact"/>
        <w:shd w:val="clear" w:color="auto" w:fill="ffffff"/>
        <w:rPr>
          <w:rFonts w:ascii="宋体" w:hAnsi="宋体" w:cs="宋体"/>
          <w:color w:val="000000" w:themeColor="text1"/>
          <w:sz w:val="22"/>
          <w:szCs w:val="22"/>
          <w:highlight w:val="none"/>
        </w:rPr>
      </w:pPr>
      <w:r>
        <w:rPr>
          <w:rFonts w:hint="eastAsia" w:ascii="宋体" w:hAnsi="宋体" w:cs="宋体"/>
          <w:b/>
          <w:bCs/>
          <w:color w:val="000000" w:themeColor="text1"/>
          <w:sz w:val="22"/>
          <w:szCs w:val="22"/>
          <w:highlight w:val="none"/>
        </w:rPr>
        <w:t xml:space="preserve">供应商名称</w:t>
      </w:r>
      <w:r>
        <w:rPr>
          <w:rFonts w:hint="eastAsia" w:ascii="宋体" w:hAnsi="宋体" w:cs="宋体"/>
          <w:b/>
          <w:bCs/>
          <w:color w:val="000000" w:themeColor="text1"/>
          <w:sz w:val="22"/>
          <w:szCs w:val="22"/>
          <w:highlight w:val="none"/>
          <w:lang w:val="zh-CN"/>
        </w:rPr>
        <w:t xml:space="preserve">:  </w:t>
      </w:r>
      <w:r>
        <w:rPr>
          <w:rFonts w:hint="eastAsia" w:ascii="宋体" w:hAnsi="宋体" w:cs="宋体"/>
          <w:color w:val="000000" w:themeColor="text1"/>
          <w:sz w:val="22"/>
          <w:szCs w:val="22"/>
          <w:highlight w:val="none"/>
        </w:rPr>
        <w:t xml:space="preserve">（加盖CA电子公章）</w:t>
      </w:r>
      <w:r/>
    </w:p>
    <w:p>
      <w:pPr>
        <w:spacing w:line="36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     期：        年    月    日</w:t>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pStyle w:val="1200"/>
        <w:numPr>
          <w:ilvl w:val="0"/>
          <w:numId w:val="0"/>
        </w:numPr>
        <w:jc w:val="center"/>
        <w:keepLines w:val="0"/>
        <w:keepNext w:val="0"/>
        <w:spacing w:before="0" w:after="0" w:line="30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法定代表人及委托代理人的身份证明文件的复印件:</w:t>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00"/>
        <w:numPr>
          <w:ilvl w:val="0"/>
          <w:numId w:val="0"/>
        </w:numPr>
        <w:keepLines w:val="0"/>
        <w:keepNext w:val="0"/>
        <w:spacing w:before="0" w:after="0" w:line="300" w:lineRule="auto"/>
        <w:rPr>
          <w:rStyle w:val="1277"/>
          <w:rFonts w:ascii="宋体" w:hAnsi="宋体" w:cs="宋体"/>
          <w:b w:val="0"/>
          <w:bCs w:val="0"/>
          <w:color w:val="000000" w:themeColor="text1"/>
          <w:sz w:val="22"/>
          <w:szCs w:val="22"/>
          <w:highlight w:val="none"/>
          <w:lang w:val="zh-CN"/>
        </w:rPr>
      </w:pPr>
      <w:r>
        <w:rPr>
          <w:rFonts w:hint="eastAsia" w:ascii="宋体" w:hAnsi="宋体" w:cs="宋体"/>
          <w:color w:val="000000" w:themeColor="text1"/>
          <w:sz w:val="21"/>
          <w:szCs w:val="21"/>
          <w:highlight w:val="none"/>
        </w:rPr>
        <w:br w:type="page" w:clear="all"/>
      </w:r>
      <w:bookmarkStart w:id="34" w:name="_Toc29878"/>
      <w:r>
        <w:rPr>
          <w:rStyle w:val="1277"/>
          <w:rFonts w:hint="eastAsia" w:ascii="宋体" w:hAnsi="宋体" w:cs="宋体"/>
          <w:b w:val="0"/>
          <w:bCs w:val="0"/>
          <w:color w:val="000000" w:themeColor="text1"/>
          <w:sz w:val="22"/>
          <w:szCs w:val="22"/>
          <w:highlight w:val="none"/>
          <w:lang w:val="zh-CN"/>
        </w:rPr>
        <w:t xml:space="preserve">附件三、开标一览表格式</w:t>
      </w:r>
      <w:bookmarkEnd w:id="34"/>
      <w:r/>
      <w:r/>
    </w:p>
    <w:p>
      <w:pPr>
        <w:ind w:firstLine="561"/>
        <w:jc w:val="center"/>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开标一览表</w:t>
      </w:r>
      <w:r/>
    </w:p>
    <w:tbl>
      <w:tblPr>
        <w:tblStyle w:val="1019"/>
        <w:tblW w:w="9479" w:type="dxa"/>
        <w:jc w:val="center"/>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ind w:firstLine="480"/>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ind w:left="420" w:hanging="420"/>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ind w:firstLine="480"/>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ind w:left="420" w:hanging="420"/>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ind w:firstLine="480"/>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报价（单位：元）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大写：</w:t>
            </w:r>
            <w:r/>
          </w:p>
          <w:p>
            <w:pP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小写：                             </w:t>
            </w:r>
            <w:r/>
          </w:p>
        </w:tc>
      </w:tr>
      <w:tr>
        <w:trPr>
          <w:jc w:val="cente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ind w:firstLine="480"/>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供货期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jc w:val="center"/>
              <w:spacing w:line="288" w:lineRule="auto"/>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是否为进口产品</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jc w:val="center"/>
              <w:spacing w:line="288"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是       否</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tcPr>
          <w:p>
            <w:pPr>
              <w:pStyle w:val="1221"/>
              <w:ind w:firstLine="0"/>
              <w:spacing w:line="288"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tcPr>
          <w:p>
            <w:pPr>
              <w:pStyle w:val="1221"/>
              <w:ind w:firstLine="472"/>
              <w:spacing w:line="288" w:lineRule="auto"/>
              <w:rPr>
                <w:rFonts w:ascii="宋体" w:hAnsi="宋体" w:cs="宋体"/>
                <w:color w:val="000000" w:themeColor="text1"/>
                <w:sz w:val="22"/>
                <w:szCs w:val="22"/>
                <w:highlight w:val="none"/>
                <w:lang w:val="zh-CN"/>
              </w:rPr>
            </w:pPr>
            <w:r>
              <w:rPr>
                <w:rFonts w:hint="eastAsia" w:ascii="宋体" w:hAnsi="宋体" w:cs="宋体"/>
                <w:color w:val="000000" w:themeColor="text1"/>
                <w:sz w:val="22"/>
                <w:szCs w:val="22"/>
                <w:highlight w:val="none"/>
              </w:rPr>
              <w:t xml:space="preserve">（</w:t>
            </w:r>
            <w:r>
              <w:rPr>
                <w:rFonts w:hint="eastAsia" w:ascii="宋体" w:hAnsi="宋体" w:cs="宋体"/>
                <w:color w:val="000000" w:themeColor="text1"/>
                <w:sz w:val="22"/>
                <w:szCs w:val="22"/>
                <w:highlight w:val="none"/>
                <w:lang w:val="zh-CN"/>
              </w:rPr>
              <w:t xml:space="preserve">填写“是”或“否”</w:t>
            </w:r>
            <w:r>
              <w:rPr>
                <w:rFonts w:hint="eastAsia" w:ascii="宋体" w:hAnsi="宋体" w:cs="宋体"/>
                <w:color w:val="000000" w:themeColor="text1"/>
                <w:sz w:val="22"/>
                <w:szCs w:val="22"/>
                <w:highlight w:val="none"/>
              </w:rPr>
              <w:t xml:space="preserve">）</w:t>
            </w:r>
            <w:r/>
          </w:p>
        </w:tc>
      </w:tr>
    </w:tbl>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说明：</w:t>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1、在“</w:t>
      </w:r>
      <w:r>
        <w:rPr>
          <w:rFonts w:hint="eastAsia" w:ascii="宋体" w:hAnsi="宋体" w:cs="宋体"/>
          <w:color w:val="000000" w:themeColor="text1"/>
          <w:sz w:val="22"/>
          <w:szCs w:val="22"/>
          <w:highlight w:val="none"/>
          <w:lang w:val="zh-CN"/>
        </w:rPr>
        <w:t xml:space="preserve">是否为进口产品</w:t>
      </w:r>
      <w:r>
        <w:rPr>
          <w:rFonts w:hint="eastAsia" w:ascii="宋体" w:hAnsi="宋体" w:cs="宋体"/>
          <w:color w:val="000000" w:themeColor="text1"/>
          <w:sz w:val="22"/>
          <w:szCs w:val="22"/>
          <w:highlight w:val="none"/>
        </w:rPr>
        <w:t xml:space="preserve">”栏后“是”或“否”上打“√”。</w:t>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2、本项目仅接受一个价格，不填报有选择性报价方案。若有优惠条款须注明，但不得影响报价，影响产品整体功能。</w:t>
      </w:r>
      <w:r/>
    </w:p>
    <w:p>
      <w:pP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3、“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p>
    <w:p>
      <w:pP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4、</w:t>
      </w:r>
      <w:r>
        <w:rPr>
          <w:rFonts w:hint="eastAsia" w:ascii="宋体" w:hAnsi="宋体" w:cs="宋体"/>
          <w:b/>
          <w:bCs/>
          <w:color w:val="000000" w:themeColor="text1"/>
          <w:sz w:val="22"/>
          <w:szCs w:val="22"/>
          <w:highlight w:val="none"/>
          <w:lang w:val="zh-CN"/>
        </w:rPr>
        <w:t xml:space="preserve">本项目预算为含税预算，所有投标响应均以人民币报价。供应商的投标响应报价应遵守“中华人民共和国价格法”。该报价为完成项目全流程的所有费用，包含但不限于</w:t>
      </w:r>
      <w:r>
        <w:rPr>
          <w:rFonts w:hint="eastAsia" w:ascii="宋体" w:hAnsi="宋体" w:cs="宋体"/>
          <w:color w:val="000000" w:themeColor="text1"/>
          <w:sz w:val="22"/>
          <w:szCs w:val="22"/>
          <w:highlight w:val="none"/>
        </w:rPr>
        <w:t xml:space="preserve">货物货价、包装费、国际运输及保险费、进口关税、进口增值税、清关报检费、港口杂费、国内运输装卸费、检测费、技术资料费、质保服务费、财务费用、外贸代理费、税金、利润及各类风险费用，直至货物送达指定地点、安装调试并验收合格的全部费用</w:t>
      </w:r>
      <w:r>
        <w:rPr>
          <w:rFonts w:hint="eastAsia" w:ascii="宋体" w:hAnsi="宋体" w:cs="宋体"/>
          <w:b/>
          <w:bCs/>
          <w:color w:val="000000" w:themeColor="text1"/>
          <w:sz w:val="22"/>
          <w:szCs w:val="22"/>
          <w:highlight w:val="none"/>
          <w:lang w:val="zh-CN"/>
        </w:rPr>
        <w:t xml:space="preserve">。</w:t>
      </w:r>
      <w:r/>
    </w:p>
    <w:p>
      <w:pP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5、</w:t>
      </w:r>
      <w:r>
        <w:rPr>
          <w:rFonts w:hint="eastAsia" w:ascii="宋体" w:hAnsi="宋体" w:cs="宋体"/>
          <w:b/>
          <w:bCs/>
          <w:color w:val="000000" w:themeColor="text1"/>
          <w:sz w:val="22"/>
          <w:szCs w:val="22"/>
          <w:highlight w:val="none"/>
          <w:lang w:val="zh-CN"/>
        </w:rPr>
        <w:t xml:space="preserve">本项目采购人不事先指定具体的外贸代理公司，成交供应商须自行联系具有合法资质的外贸代理公司，经采购人同意后，配合采购人办理相关进口手续。外贸代理费及进口相关杂费全部由成交供应商承担，并已包含在响应总价中。采购人不再另行支付任何与外贸代理相关的费用。成交供应商在报价时不得单独列支外贸代理费。</w:t>
      </w:r>
      <w:r/>
    </w:p>
    <w:p>
      <w:pPr>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    采购人仅接受供应商的人民币报价（结算以人民币结算，不考虑汇率变化，因汇率变化产生的风险和收益均由成交供应商自行承担）。因贸易环境改变而增加费用的风险（包括但不限于税费、惩罚性关税、人工费、运输费、检测费）由成交供应商自行承担。</w:t>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供应商名称: （加盖CA电子公章）</w:t>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日期：     年    月    日</w:t>
      </w:r>
      <w:r/>
    </w:p>
    <w:p>
      <w:pPr>
        <w:pStyle w:val="1200"/>
        <w:numPr>
          <w:ilvl w:val="0"/>
          <w:numId w:val="0"/>
        </w:numPr>
        <w:jc w:val="left"/>
        <w:spacing w:before="0" w:after="0" w:line="240" w:lineRule="auto"/>
        <w:rPr>
          <w:rStyle w:val="1277"/>
          <w:rFonts w:ascii="宋体" w:hAnsi="宋体" w:cs="宋体"/>
          <w:b w:val="0"/>
          <w:bCs w:val="0"/>
          <w:color w:val="000000" w:themeColor="text1"/>
          <w:sz w:val="22"/>
          <w:szCs w:val="22"/>
          <w:highlight w:val="none"/>
          <w:lang w:val="zh-CN"/>
        </w:rPr>
      </w:pPr>
      <w:r>
        <w:rPr>
          <w:rFonts w:hint="eastAsia" w:ascii="宋体" w:hAnsi="宋体" w:cs="宋体"/>
          <w:b w:val="0"/>
          <w:bCs w:val="0"/>
          <w:color w:val="000000" w:themeColor="text1"/>
          <w:sz w:val="22"/>
          <w:szCs w:val="22"/>
          <w:highlight w:val="none"/>
        </w:rPr>
        <w:br w:type="page" w:clear="all"/>
      </w:r>
      <w:bookmarkStart w:id="35" w:name="_Toc4979"/>
      <w:r>
        <w:rPr>
          <w:rStyle w:val="1277"/>
          <w:rFonts w:hint="eastAsia" w:ascii="宋体" w:hAnsi="宋体" w:cs="宋体"/>
          <w:b w:val="0"/>
          <w:bCs w:val="0"/>
          <w:color w:val="000000" w:themeColor="text1"/>
          <w:sz w:val="22"/>
          <w:szCs w:val="22"/>
          <w:highlight w:val="none"/>
          <w:lang w:val="zh-CN"/>
        </w:rPr>
        <w:t xml:space="preserve">附件四、分项报价表格式</w:t>
      </w:r>
      <w:bookmarkEnd w:id="35"/>
      <w:r/>
      <w:r/>
    </w:p>
    <w:p>
      <w:pPr>
        <w:ind w:firstLine="562"/>
        <w:jc w:val="center"/>
        <w:spacing w:line="360" w:lineRule="auto"/>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分项报价表</w:t>
      </w:r>
      <w:r/>
    </w:p>
    <w:tbl>
      <w:tblPr>
        <w:tblStyle w:val="1019"/>
        <w:tblW w:w="949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W w:w="645"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序号</w:t>
            </w:r>
            <w:r/>
          </w:p>
        </w:tc>
        <w:tc>
          <w:tcPr>
            <w:shd w:val="clear" w:color="auto" w:fill="ffffff"/>
            <w:tcMar>
              <w:left w:w="15" w:type="dxa"/>
              <w:top w:w="15" w:type="dxa"/>
              <w:right w:w="15" w:type="dxa"/>
              <w:bottom w:w="0" w:type="dxa"/>
            </w:tcMar>
            <w:tcW w:w="1796"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分项内容</w:t>
            </w:r>
            <w:r/>
          </w:p>
        </w:tc>
        <w:tc>
          <w:tcPr>
            <w:shd w:val="clear" w:color="auto" w:fill="ffffff"/>
            <w:tcMar>
              <w:left w:w="15" w:type="dxa"/>
              <w:top w:w="15" w:type="dxa"/>
              <w:right w:w="15" w:type="dxa"/>
              <w:bottom w:w="0" w:type="dxa"/>
            </w:tcMar>
            <w:tcW w:w="1368"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规格/参数</w:t>
            </w:r>
            <w:r/>
          </w:p>
        </w:tc>
        <w:tc>
          <w:tcPr>
            <w:shd w:val="clear" w:color="auto" w:fill="ffffff"/>
            <w:tcMar>
              <w:left w:w="15" w:type="dxa"/>
              <w:top w:w="15" w:type="dxa"/>
              <w:right w:w="15" w:type="dxa"/>
              <w:bottom w:w="0" w:type="dxa"/>
            </w:tcMar>
            <w:tcW w:w="835"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数量</w:t>
            </w:r>
            <w:r/>
          </w:p>
        </w:tc>
        <w:tc>
          <w:tcPr>
            <w:shd w:val="clear" w:color="auto" w:fill="ffffff"/>
            <w:tcMar>
              <w:left w:w="15" w:type="dxa"/>
              <w:top w:w="15" w:type="dxa"/>
              <w:right w:w="15" w:type="dxa"/>
              <w:bottom w:w="0" w:type="dxa"/>
            </w:tcMar>
            <w:tcW w:w="970"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单位</w:t>
            </w:r>
            <w:r/>
          </w:p>
        </w:tc>
        <w:tc>
          <w:tcPr>
            <w:shd w:val="clear" w:color="auto" w:fill="ffffff"/>
            <w:tcMar>
              <w:left w:w="15" w:type="dxa"/>
              <w:top w:w="15" w:type="dxa"/>
              <w:right w:w="15" w:type="dxa"/>
              <w:bottom w:w="0" w:type="dxa"/>
            </w:tcMar>
            <w:tcW w:w="1041"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单价</w:t>
            </w:r>
            <w:r/>
          </w:p>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(元)</w:t>
            </w:r>
            <w:r/>
          </w:p>
        </w:tc>
        <w:tc>
          <w:tcPr>
            <w:shd w:val="clear" w:color="auto" w:fill="ffffff"/>
            <w:tcMar>
              <w:left w:w="15" w:type="dxa"/>
              <w:top w:w="15" w:type="dxa"/>
              <w:right w:w="15" w:type="dxa"/>
              <w:bottom w:w="0" w:type="dxa"/>
            </w:tcMar>
            <w:tcW w:w="941"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总价(元)</w:t>
            </w:r>
            <w:r/>
          </w:p>
        </w:tc>
        <w:tc>
          <w:tcPr>
            <w:shd w:val="clear" w:color="auto" w:fill="ffffff"/>
            <w:tcMar>
              <w:left w:w="15" w:type="dxa"/>
              <w:top w:w="15" w:type="dxa"/>
              <w:right w:w="15" w:type="dxa"/>
              <w:bottom w:w="0" w:type="dxa"/>
            </w:tcMar>
            <w:tcW w:w="919"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制造商</w:t>
            </w:r>
            <w:r/>
          </w:p>
        </w:tc>
        <w:tc>
          <w:tcPr>
            <w:shd w:val="clear" w:color="auto" w:fill="ffffff"/>
            <w:tcW w:w="980" w:type="dxa"/>
            <w:vAlign w:val="center"/>
            <w:textDirection w:val="lrTb"/>
            <w:noWrap/>
          </w:tcPr>
          <w:p>
            <w:pPr>
              <w:jc w:val="center"/>
              <w:spacing w:line="420" w:lineRule="exact"/>
              <w:rPr>
                <w:rFonts w:ascii="宋体" w:hAnsi="宋体" w:cs="宋体"/>
                <w:b/>
                <w:color w:val="000000" w:themeColor="text1"/>
                <w:sz w:val="22"/>
                <w:szCs w:val="22"/>
                <w:highlight w:val="none"/>
              </w:rPr>
            </w:pPr>
            <w:r>
              <w:rPr>
                <w:rFonts w:hint="eastAsia" w:ascii="宋体" w:hAnsi="宋体" w:cs="宋体"/>
                <w:b/>
                <w:color w:val="000000" w:themeColor="text1"/>
                <w:sz w:val="22"/>
                <w:szCs w:val="22"/>
                <w:highlight w:val="none"/>
              </w:rPr>
              <w:t xml:space="preserve">品牌</w:t>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tcW w:w="645" w:type="dxa"/>
            <w:vAlign w:val="center"/>
            <w:textDirection w:val="lrTb"/>
            <w:noWrap/>
          </w:tcPr>
          <w:p>
            <w:pPr>
              <w:jc w:val="center"/>
              <w:spacing w:line="42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796" w:type="dxa"/>
            <w:vAlign w:val="center"/>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Mar>
              <w:left w:w="15" w:type="dxa"/>
              <w:top w:w="15" w:type="dxa"/>
              <w:right w:w="15" w:type="dxa"/>
              <w:bottom w:w="0" w:type="dxa"/>
            </w:tcMar>
            <w:tcW w:w="1368" w:type="dxa"/>
            <w:textDirection w:val="lrTb"/>
            <w:noWrap/>
          </w:tcPr>
          <w:p>
            <w:pPr>
              <w:jc w:val="center"/>
              <w:spacing w:line="440" w:lineRule="exact"/>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W w:w="835" w:type="dxa"/>
            <w:textDirection w:val="lrTb"/>
            <w:noWrap/>
          </w:tcPr>
          <w:p>
            <w:pPr>
              <w:jc w:val="center"/>
              <w:spacing w:line="420" w:lineRule="exact"/>
              <w:rPr>
                <w:rFonts w:ascii="宋体" w:hAnsi="宋体" w:cs="宋体"/>
                <w:bCs/>
                <w:color w:val="000000" w:themeColor="text1"/>
                <w:sz w:val="22"/>
                <w:szCs w:val="22"/>
                <w:highlight w:val="none"/>
              </w:rPr>
            </w:pPr>
            <w:r>
              <w:rPr>
                <w:rFonts w:ascii="宋体" w:hAnsi="宋体" w:cs="宋体"/>
                <w:bCs/>
                <w:color w:val="000000" w:themeColor="text1"/>
                <w:sz w:val="22"/>
                <w:szCs w:val="22"/>
                <w:highlight w:val="none"/>
              </w:rPr>
            </w:r>
            <w:r/>
          </w:p>
        </w:tc>
        <w:tc>
          <w:tcPr>
            <w:tcW w:w="97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10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41"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19"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c>
          <w:tcPr>
            <w:tcW w:w="980" w:type="dxa"/>
            <w:textDirection w:val="lrTb"/>
            <w:noWrap/>
          </w:tcPr>
          <w:p>
            <w:pPr>
              <w:jc w:val="center"/>
              <w:spacing w:line="420" w:lineRule="exact"/>
              <w:rPr>
                <w:rFonts w:ascii="宋体" w:hAnsi="宋体" w:cs="宋体"/>
                <w:b/>
                <w:color w:val="000000" w:themeColor="text1"/>
                <w:sz w:val="22"/>
                <w:szCs w:val="22"/>
                <w:highlight w:val="none"/>
              </w:rPr>
            </w:pPr>
            <w:r>
              <w:rPr>
                <w:rFonts w:ascii="宋体" w:hAnsi="宋体" w:cs="宋体"/>
                <w:b/>
                <w:color w:val="000000" w:themeColor="text1"/>
                <w:sz w:val="22"/>
                <w:szCs w:val="22"/>
                <w:highlight w:val="none"/>
              </w:rPr>
            </w:r>
            <w:r/>
          </w:p>
        </w:tc>
      </w:tr>
      <w:tr>
        <w:trPr>
          <w:cantSplit/>
          <w:trHeight w:val="417"/>
        </w:trPr>
        <w:tc>
          <w:tcPr>
            <w:gridSpan w:val="9"/>
            <w:tcW w:w="9495" w:type="dxa"/>
            <w:vAlign w:val="center"/>
            <w:textDirection w:val="lrTb"/>
            <w:noWrap/>
          </w:tcPr>
          <w:p>
            <w:pPr>
              <w:jc w:val="center"/>
              <w:spacing w:line="420" w:lineRule="exact"/>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投标报价总计（元）</w:t>
            </w:r>
            <w:r/>
          </w:p>
        </w:tc>
      </w:tr>
    </w:tbl>
    <w:p>
      <w:pPr>
        <w:jc w:val="left"/>
        <w:spacing w:line="360" w:lineRule="auto"/>
        <w:tabs>
          <w:tab w:val="left" w:pos="220" w:leader="none"/>
        </w:tabs>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说明：</w:t>
      </w:r>
      <w:r/>
    </w:p>
    <w:p>
      <w:pPr>
        <w:jc w:val="left"/>
        <w:spacing w:line="300" w:lineRule="auto"/>
        <w:tabs>
          <w:tab w:val="left" w:pos="220" w:leader="none"/>
        </w:tabs>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1、此表为表样，行数可自行添加，但表式不变。</w:t>
      </w:r>
      <w:r/>
    </w:p>
    <w:p>
      <w:pPr>
        <w:jc w:val="left"/>
        <w:spacing w:line="300" w:lineRule="auto"/>
        <w:tabs>
          <w:tab w:val="left" w:pos="220" w:leader="none"/>
        </w:tabs>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2、总价=单价*数量，数量由供应商自行计算并填列。</w:t>
      </w:r>
      <w:r/>
    </w:p>
    <w:p>
      <w:pPr>
        <w:jc w:val="left"/>
        <w:spacing w:line="300" w:lineRule="auto"/>
        <w:tabs>
          <w:tab w:val="left" w:pos="220" w:leader="none"/>
        </w:tabs>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3、供应商必须保证承诺使用小、微型企业参加投标的真实性，如出现虚假响应，一经查实，将按照采购方采购有关法律法规进行处理。</w:t>
      </w:r>
      <w:r/>
    </w:p>
    <w:p>
      <w:pPr>
        <w:jc w:val="left"/>
        <w:spacing w:line="300" w:lineRule="auto"/>
        <w:tabs>
          <w:tab w:val="left" w:pos="220" w:leader="none"/>
        </w:tabs>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4、本项目招标文件中“第四章 招标技术规格及要求”的相关需求，供应商必须在投标文件《投标分项报价表》中逐项对应报价，不得有缺项漏项。</w:t>
      </w:r>
      <w:r/>
    </w:p>
    <w:p>
      <w:pPr>
        <w:pStyle w:val="1230"/>
        <w:rPr>
          <w:rFonts w:ascii="宋体" w:hAnsi="宋体" w:eastAsia="宋体" w:cs="宋体"/>
          <w:color w:val="000000" w:themeColor="text1"/>
          <w:sz w:val="22"/>
          <w:szCs w:val="22"/>
          <w:highlight w:val="none"/>
        </w:rPr>
      </w:pPr>
      <w:r>
        <w:rPr>
          <w:rFonts w:ascii="宋体" w:hAnsi="宋体" w:eastAsia="宋体" w:cs="宋体"/>
          <w:color w:val="000000" w:themeColor="text1"/>
          <w:sz w:val="22"/>
          <w:szCs w:val="22"/>
          <w:highlight w:val="none"/>
        </w:rPr>
      </w:r>
      <w:r/>
    </w:p>
    <w:p>
      <w:pPr>
        <w:spacing w:line="380" w:lineRule="exact"/>
        <w:shd w:val="clear" w:color="auto" w:fill="ffffff"/>
        <w:rPr>
          <w:rFonts w:ascii="宋体" w:hAnsi="宋体" w:cs="宋体"/>
          <w:b/>
          <w:bCs/>
          <w:color w:val="000000" w:themeColor="text1"/>
          <w:sz w:val="22"/>
          <w:szCs w:val="22"/>
          <w:highlight w:val="none"/>
          <w:lang w:val="zh-CN"/>
        </w:rPr>
      </w:pPr>
      <w:r>
        <w:rPr>
          <w:rFonts w:hint="eastAsia" w:ascii="宋体" w:hAnsi="宋体" w:cs="宋体"/>
          <w:color w:val="000000" w:themeColor="text1"/>
          <w:sz w:val="22"/>
          <w:szCs w:val="22"/>
          <w:highlight w:val="none"/>
        </w:rPr>
        <w:t xml:space="preserve">供应商名称</w:t>
      </w:r>
      <w:r>
        <w:rPr>
          <w:rFonts w:hint="eastAsia" w:ascii="宋体" w:hAnsi="宋体" w:cs="宋体"/>
          <w:b/>
          <w:bCs/>
          <w:color w:val="000000" w:themeColor="text1"/>
          <w:sz w:val="22"/>
          <w:szCs w:val="22"/>
          <w:highlight w:val="none"/>
          <w:lang w:val="zh-CN"/>
        </w:rPr>
        <w:t xml:space="preserve">:  </w:t>
      </w:r>
      <w:r>
        <w:rPr>
          <w:rFonts w:hint="eastAsia" w:ascii="宋体" w:hAnsi="宋体" w:cs="宋体"/>
          <w:color w:val="000000" w:themeColor="text1"/>
          <w:sz w:val="22"/>
          <w:szCs w:val="22"/>
          <w:highlight w:val="none"/>
        </w:rPr>
        <w:t xml:space="preserve">（加盖CA电子公章）</w:t>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日期：     年    月    日</w:t>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ind w:firstLine="562"/>
        <w:jc w:val="left"/>
        <w:spacing w:line="360" w:lineRule="auto"/>
        <w:rPr>
          <w:rFonts w:ascii="宋体" w:hAnsi="宋体" w:cs="宋体"/>
          <w:b/>
          <w:bCs/>
          <w:color w:val="000000" w:themeColor="text1"/>
          <w:sz w:val="22"/>
          <w:szCs w:val="22"/>
          <w:highlight w:val="none"/>
          <w:lang w:val="zh-CN"/>
        </w:rPr>
      </w:pPr>
      <w:r/>
      <w:bookmarkStart w:id="36" w:name="_Toc7981"/>
      <w:r>
        <w:rPr>
          <w:rFonts w:hint="eastAsia" w:ascii="宋体" w:hAnsi="宋体" w:cs="宋体"/>
          <w:b/>
          <w:color w:val="000000" w:themeColor="text1"/>
          <w:sz w:val="22"/>
          <w:szCs w:val="22"/>
          <w:highlight w:val="none"/>
        </w:rPr>
        <w:t xml:space="preserve">附件五、供货一览表格式</w:t>
      </w:r>
      <w:r/>
    </w:p>
    <w:p>
      <w:pPr>
        <w:spacing w:line="85" w:lineRule="atLeast"/>
        <w:shd w:val="clear" w:color="ffffff" w:fill="ffffff"/>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highlight w:val="none"/>
        </w:rPr>
      </w:r>
      <w:r/>
    </w:p>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供货一览表（含配件、备品、消耗材料）</w:t>
      </w:r>
      <w:r/>
    </w:p>
    <w:tbl>
      <w:tblPr>
        <w:tblStyle w:val="1019"/>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19"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项目名称：</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83"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项目编号：        </w:t>
            </w:r>
            <w:r/>
          </w:p>
        </w:tc>
      </w:tr>
      <w:tr>
        <w:trPr>
          <w:trHeight w:val="28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0" w:type="dxa"/>
            <w:vAlign w:val="center"/>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品    牌</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2" w:type="dxa"/>
            <w:vAlign w:val="center"/>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1" w:type="dxa"/>
            <w:vAlign w:val="center"/>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1" w:type="dxa"/>
            <w:vAlign w:val="center"/>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r>
      <w:tr>
        <w:trPr>
          <w:trHeight w:val="28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0"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生产企业名称</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88"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46"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生产企业地址</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38"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5" w:type="dxa"/>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4" w:type="dxa"/>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数量</w:t>
            </w:r>
            <w:r/>
          </w:p>
        </w:tc>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5" w:type="dxa"/>
            <w:textDirection w:val="lrTb"/>
            <w:noWrap/>
          </w:tcPr>
          <w:p>
            <w:pPr>
              <w:jc w:val="cente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主要技术参数</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5"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4"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5"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5"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4"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5" w:type="dxa"/>
            <w:textDirection w:val="lrTb"/>
            <w:noWrap/>
          </w:tcPr>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 </w:t>
            </w:r>
            <w:r/>
          </w:p>
        </w:tc>
      </w:tr>
    </w:tbl>
    <w:p>
      <w:pPr>
        <w:spacing w:line="380" w:lineRule="exact"/>
        <w:shd w:val="clear" w:color="auto" w:fill="ffffff"/>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投标单位（加盖CA电子公章）：</w:t>
      </w:r>
      <w:r>
        <w:rPr>
          <w:rFonts w:hint="eastAsia" w:ascii="宋体" w:hAnsi="宋体" w:cs="宋体"/>
          <w:color w:val="000000" w:themeColor="text1"/>
          <w:sz w:val="22"/>
          <w:szCs w:val="22"/>
          <w:highlight w:val="none"/>
          <w:u w:val="single"/>
        </w:rPr>
        <w:t xml:space="preserve">                      </w:t>
      </w:r>
      <w:r/>
    </w:p>
    <w:p>
      <w:pPr>
        <w:spacing w:before="240" w:after="240" w:line="85" w:lineRule="atLeast"/>
        <w:shd w:val="clear" w:color="ffffff" w:fill="ffffff"/>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授权代表（签字）：</w:t>
      </w:r>
      <w:r>
        <w:rPr>
          <w:rFonts w:hint="eastAsia" w:ascii="宋体" w:hAnsi="宋体" w:cs="宋体"/>
          <w:color w:val="000000" w:themeColor="text1"/>
          <w:sz w:val="22"/>
          <w:szCs w:val="22"/>
          <w:highlight w:val="none"/>
          <w:u w:val="single"/>
        </w:rPr>
        <w:t xml:space="preserve">                      </w:t>
      </w:r>
      <w:r/>
    </w:p>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日期：</w:t>
      </w:r>
      <w:r>
        <w:rPr>
          <w:rFonts w:hint="eastAsia" w:ascii="宋体" w:hAnsi="宋体" w:cs="宋体"/>
          <w:color w:val="000000" w:themeColor="text1"/>
          <w:sz w:val="22"/>
          <w:szCs w:val="22"/>
          <w:highlight w:val="none"/>
          <w:u w:val="single"/>
        </w:rPr>
        <w:t xml:space="preserve">             </w:t>
      </w:r>
      <w:r/>
    </w:p>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说明：</w:t>
      </w:r>
      <w:r/>
    </w:p>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t xml:space="preserve">1.如果行数不够，请自行增加。</w:t>
      </w:r>
      <w:r/>
    </w:p>
    <w:p>
      <w:pPr>
        <w:spacing w:line="85" w:lineRule="atLeast"/>
        <w:rPr>
          <w:rFonts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2"/>
          <w:szCs w:val="22"/>
          <w:highlight w:val="none"/>
        </w:rPr>
        <w:t xml:space="preserve">2.投标供应商应根据上表要求逐一说明投标货物名称、品牌、规格型号、产地、技术参数等。</w:t>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bookmarkEnd w:id="36"/>
      <w:r/>
    </w:p>
    <w:p>
      <w:pPr>
        <w:pStyle w:val="1276"/>
        <w:ind w:firstLine="480"/>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pStyle w:val="1276"/>
        <w:ind w:firstLine="48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276"/>
        <w:ind w:firstLine="48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276"/>
        <w:ind w:firstLine="48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276"/>
        <w:ind w:firstLine="48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276"/>
        <w:ind w:firstLine="48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jc w:val="left"/>
        <w:spacing w:line="360" w:lineRule="auto"/>
        <w:shd w:val="clear" w:color="auto" w:fill="ffffff"/>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br w:type="page" w:clear="all"/>
      </w:r>
      <w:r/>
    </w:p>
    <w:p>
      <w:pPr>
        <w:pStyle w:val="1200"/>
        <w:numPr>
          <w:ilvl w:val="0"/>
          <w:numId w:val="0"/>
        </w:numPr>
        <w:rPr>
          <w:rStyle w:val="1277"/>
          <w:rFonts w:ascii="宋体" w:hAnsi="宋体" w:cs="宋体"/>
          <w:b w:val="0"/>
          <w:bCs w:val="0"/>
          <w:color w:val="000000" w:themeColor="text1"/>
          <w:sz w:val="22"/>
          <w:szCs w:val="22"/>
          <w:highlight w:val="none"/>
          <w:lang w:val="zh-CN"/>
        </w:rPr>
      </w:pPr>
      <w:r/>
      <w:bookmarkStart w:id="37" w:name="_Toc16477"/>
      <w:r>
        <w:rPr>
          <w:rStyle w:val="1277"/>
          <w:rFonts w:hint="eastAsia" w:ascii="宋体" w:hAnsi="宋体" w:cs="宋体"/>
          <w:b w:val="0"/>
          <w:bCs w:val="0"/>
          <w:color w:val="000000" w:themeColor="text1"/>
          <w:sz w:val="22"/>
          <w:szCs w:val="22"/>
          <w:highlight w:val="none"/>
          <w:lang w:val="zh-CN"/>
        </w:rPr>
        <w:t xml:space="preserve">附件</w:t>
      </w:r>
      <w:r>
        <w:rPr>
          <w:rStyle w:val="1277"/>
          <w:rFonts w:hint="eastAsia" w:ascii="宋体" w:hAnsi="宋体" w:cs="宋体"/>
          <w:b w:val="0"/>
          <w:bCs w:val="0"/>
          <w:color w:val="000000" w:themeColor="text1"/>
          <w:sz w:val="22"/>
          <w:szCs w:val="22"/>
          <w:highlight w:val="none"/>
        </w:rPr>
        <w:t xml:space="preserve">六</w:t>
      </w:r>
      <w:r>
        <w:rPr>
          <w:rStyle w:val="1277"/>
          <w:rFonts w:hint="eastAsia" w:ascii="宋体" w:hAnsi="宋体" w:cs="宋体"/>
          <w:b w:val="0"/>
          <w:bCs w:val="0"/>
          <w:color w:val="000000" w:themeColor="text1"/>
          <w:sz w:val="22"/>
          <w:szCs w:val="22"/>
          <w:highlight w:val="none"/>
          <w:lang w:val="zh-CN"/>
        </w:rPr>
        <w:t xml:space="preserve">、技术</w:t>
      </w:r>
      <w:r>
        <w:rPr>
          <w:rStyle w:val="1277"/>
          <w:rFonts w:hint="eastAsia" w:ascii="宋体" w:hAnsi="宋体" w:cs="宋体"/>
          <w:b w:val="0"/>
          <w:bCs w:val="0"/>
          <w:color w:val="000000" w:themeColor="text1"/>
          <w:sz w:val="22"/>
          <w:szCs w:val="22"/>
          <w:highlight w:val="none"/>
        </w:rPr>
        <w:t xml:space="preserve">条款</w:t>
      </w:r>
      <w:r>
        <w:rPr>
          <w:rStyle w:val="1277"/>
          <w:rFonts w:hint="eastAsia" w:ascii="宋体" w:hAnsi="宋体" w:cs="宋体"/>
          <w:b w:val="0"/>
          <w:bCs w:val="0"/>
          <w:color w:val="000000" w:themeColor="text1"/>
          <w:sz w:val="22"/>
          <w:szCs w:val="22"/>
          <w:highlight w:val="none"/>
          <w:lang w:val="zh-CN"/>
        </w:rPr>
        <w:t xml:space="preserve">偏离表格式</w:t>
      </w:r>
      <w:bookmarkEnd w:id="37"/>
      <w:r/>
      <w:r/>
    </w:p>
    <w:p>
      <w:pPr>
        <w:ind w:firstLine="562"/>
        <w:jc w:val="center"/>
        <w:spacing w:line="360" w:lineRule="auto"/>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技术</w:t>
      </w:r>
      <w:r>
        <w:rPr>
          <w:rFonts w:hint="eastAsia" w:ascii="宋体" w:hAnsi="宋体" w:cs="宋体"/>
          <w:b/>
          <w:bCs/>
          <w:color w:val="000000" w:themeColor="text1"/>
          <w:sz w:val="22"/>
          <w:szCs w:val="22"/>
          <w:highlight w:val="none"/>
        </w:rPr>
        <w:t xml:space="preserve">条款</w:t>
      </w:r>
      <w:r>
        <w:rPr>
          <w:rFonts w:hint="eastAsia" w:ascii="宋体" w:hAnsi="宋体" w:cs="宋体"/>
          <w:b/>
          <w:bCs/>
          <w:color w:val="000000" w:themeColor="text1"/>
          <w:sz w:val="22"/>
          <w:szCs w:val="22"/>
          <w:highlight w:val="none"/>
          <w:lang w:val="zh-CN"/>
        </w:rPr>
        <w:t xml:space="preserve">偏离表</w:t>
      </w:r>
      <w:r/>
    </w:p>
    <w:tbl>
      <w:tblPr>
        <w:tblStyle w:val="1019"/>
        <w:tblW w:w="9321" w:type="dxa"/>
        <w:jc w:val="center"/>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035"/>
        <w:gridCol w:w="1128"/>
        <w:gridCol w:w="1143"/>
      </w:tblGrid>
      <w:tr>
        <w:trPr>
          <w:jc w:val="cente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163"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项目编号：  </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1143"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招标要求规格</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所在页码</w:t>
            </w:r>
            <w:r/>
          </w:p>
        </w:tc>
      </w:tr>
      <w:tr>
        <w:trPr>
          <w:jc w:val="cente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51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128"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14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bl>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说明：</w:t>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1、如果行数不够，请自行增加。</w:t>
      </w:r>
      <w:r/>
    </w:p>
    <w:p>
      <w:pP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2、本项目招标文件中“第四章 招标技术规格及要求”的相关需求，供应商必须在投标文件《技术条款偏离表》中逐项进行说明，投标文件的《技术条款偏离表》中“投标响应”，必须是供应商所投产品的实际参数，且不得完全照抄招标文件中参数；“技术条款偏离表”应逐条响应。</w:t>
      </w:r>
      <w:r/>
    </w:p>
    <w:p>
      <w:pPr>
        <w:rPr>
          <w:rFonts w:ascii="宋体" w:hAnsi="宋体" w:cs="宋体"/>
          <w:b/>
          <w:color w:val="000000" w:themeColor="text1"/>
          <w:sz w:val="22"/>
          <w:szCs w:val="22"/>
          <w:highlight w:val="none"/>
        </w:rPr>
      </w:pPr>
      <w:r>
        <w:rPr>
          <w:rFonts w:hint="eastAsia" w:ascii="宋体" w:hAnsi="宋体" w:cs="宋体"/>
          <w:b/>
          <w:bCs/>
          <w:color w:val="000000" w:themeColor="text1"/>
          <w:sz w:val="22"/>
          <w:szCs w:val="22"/>
          <w:highlight w:val="none"/>
        </w:rPr>
        <w:t xml:space="preserve">3、</w:t>
      </w:r>
      <w:r>
        <w:rPr>
          <w:rFonts w:hint="eastAsia" w:ascii="宋体" w:hAnsi="宋体" w:cs="宋体"/>
          <w:b/>
          <w:color w:val="000000" w:themeColor="text1"/>
          <w:sz w:val="22"/>
          <w:szCs w:val="22"/>
          <w:highlight w:val="none"/>
        </w:rPr>
        <w:t xml:space="preserve">投标人需在“技术条款偏离表”中如实逐项填列所投产品的参数及服务承诺，如招标文件要求提供相应证明材料的，应在偏离表中注明证明材料所在投标文件的页码位置，如因未在《技术条款偏离表》中注明支持资料具体页码和位置导致本项不得分的，由此产生的后果由供应商自行承担。</w:t>
      </w:r>
      <w:r/>
    </w:p>
    <w:p>
      <w:pPr>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供应商名称: （加盖CA电子公章）</w:t>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日期：     年    月    日</w:t>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00"/>
        <w:numPr>
          <w:ilvl w:val="0"/>
          <w:numId w:val="0"/>
        </w:numPr>
        <w:rPr>
          <w:rStyle w:val="1277"/>
          <w:rFonts w:ascii="宋体" w:hAnsi="宋体" w:cs="宋体"/>
          <w:b w:val="0"/>
          <w:bCs w:val="0"/>
          <w:color w:val="000000" w:themeColor="text1"/>
          <w:sz w:val="22"/>
          <w:szCs w:val="22"/>
          <w:highlight w:val="none"/>
          <w:lang w:val="zh-CN"/>
        </w:rPr>
      </w:pPr>
      <w:r/>
      <w:bookmarkStart w:id="38" w:name="_Toc6422"/>
      <w:r>
        <w:rPr>
          <w:rStyle w:val="1277"/>
          <w:rFonts w:hint="eastAsia" w:ascii="宋体" w:hAnsi="宋体" w:cs="宋体"/>
          <w:b w:val="0"/>
          <w:bCs w:val="0"/>
          <w:color w:val="000000" w:themeColor="text1"/>
          <w:sz w:val="22"/>
          <w:szCs w:val="22"/>
          <w:highlight w:val="none"/>
          <w:lang w:val="zh-CN"/>
        </w:rPr>
        <w:t xml:space="preserve">附件</w:t>
      </w:r>
      <w:r>
        <w:rPr>
          <w:rStyle w:val="1277"/>
          <w:rFonts w:hint="eastAsia" w:ascii="宋体" w:hAnsi="宋体" w:cs="宋体"/>
          <w:b w:val="0"/>
          <w:bCs w:val="0"/>
          <w:color w:val="000000" w:themeColor="text1"/>
          <w:sz w:val="22"/>
          <w:szCs w:val="22"/>
          <w:highlight w:val="none"/>
        </w:rPr>
        <w:t xml:space="preserve">七</w:t>
      </w:r>
      <w:r>
        <w:rPr>
          <w:rStyle w:val="1277"/>
          <w:rFonts w:hint="eastAsia" w:ascii="宋体" w:hAnsi="宋体" w:cs="宋体"/>
          <w:b w:val="0"/>
          <w:bCs w:val="0"/>
          <w:color w:val="000000" w:themeColor="text1"/>
          <w:sz w:val="22"/>
          <w:szCs w:val="22"/>
          <w:highlight w:val="none"/>
          <w:lang w:val="zh-CN"/>
        </w:rPr>
        <w:t xml:space="preserve">、商务条款偏离表格式</w:t>
      </w:r>
      <w:bookmarkEnd w:id="38"/>
      <w:r/>
      <w:r/>
    </w:p>
    <w:p>
      <w:pPr>
        <w:ind w:firstLine="562"/>
        <w:jc w:val="center"/>
        <w:spacing w:line="360" w:lineRule="auto"/>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商务条款偏离表</w:t>
      </w:r>
      <w:r/>
    </w:p>
    <w:tbl>
      <w:tblPr>
        <w:tblStyle w:val="1019"/>
        <w:tblW w:w="9599" w:type="dxa"/>
        <w:jc w:val="center"/>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jc w:val="cente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项目编号：         </w:t>
            </w:r>
            <w:r/>
          </w:p>
        </w:tc>
      </w:tr>
      <w:tr>
        <w:trPr>
          <w:jc w:val="cente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偏离</w:t>
            </w:r>
            <w:r/>
          </w:p>
        </w:tc>
      </w:tr>
      <w:tr>
        <w:trPr>
          <w:jc w:val="cente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r>
      <w:tr>
        <w:trPr>
          <w:jc w:val="cente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r>
      <w:tr>
        <w:trPr>
          <w:jc w:val="cente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tcPr>
          <w:p>
            <w:pPr>
              <w:jc w:val="center"/>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p>
        </w:tc>
      </w:tr>
    </w:tbl>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pStyle w:val="1200"/>
        <w:numPr>
          <w:ilvl w:val="0"/>
          <w:numId w:val="0"/>
        </w:numPr>
        <w:spacing w:before="0" w:after="0" w:line="240" w:lineRule="auto"/>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说明：</w:t>
      </w:r>
      <w:r/>
    </w:p>
    <w:p>
      <w:pPr>
        <w:pStyle w:val="1200"/>
        <w:numPr>
          <w:ilvl w:val="0"/>
          <w:numId w:val="0"/>
        </w:numPr>
        <w:spacing w:before="0" w:after="0" w:line="240" w:lineRule="auto"/>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1、如果行数不够，请自行增加。</w:t>
      </w:r>
      <w:r/>
    </w:p>
    <w:p>
      <w:pPr>
        <w:pStyle w:val="1200"/>
        <w:numPr>
          <w:ilvl w:val="0"/>
          <w:numId w:val="0"/>
        </w:numPr>
        <w:spacing w:before="0" w:after="0" w:line="240" w:lineRule="auto"/>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szCs w:val="22"/>
          <w:highlight w:val="none"/>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供应商名称</w:t>
      </w:r>
      <w:r>
        <w:rPr>
          <w:rFonts w:hint="eastAsia" w:ascii="宋体" w:hAnsi="宋体" w:cs="宋体"/>
          <w:color w:val="000000" w:themeColor="text1"/>
          <w:sz w:val="22"/>
          <w:szCs w:val="22"/>
          <w:highlight w:val="none"/>
          <w:lang w:val="zh-CN"/>
        </w:rPr>
        <w:t xml:space="preserve">：</w:t>
      </w:r>
      <w:r>
        <w:rPr>
          <w:rFonts w:hint="eastAsia" w:ascii="宋体" w:hAnsi="宋体" w:cs="宋体"/>
          <w:color w:val="000000" w:themeColor="text1"/>
          <w:sz w:val="22"/>
          <w:szCs w:val="22"/>
          <w:highlight w:val="none"/>
        </w:rPr>
        <w:t xml:space="preserve">（加盖CA电子公章）</w:t>
      </w:r>
      <w:r/>
    </w:p>
    <w:p>
      <w:pPr>
        <w:pStyle w:val="1200"/>
        <w:numPr>
          <w:ilvl w:val="0"/>
          <w:numId w:val="0"/>
        </w:numPr>
        <w:spacing w:before="0" w:after="0" w:line="240" w:lineRule="auto"/>
        <w:rPr>
          <w:rStyle w:val="1277"/>
          <w:rFonts w:ascii="宋体" w:hAnsi="宋体" w:cs="宋体"/>
          <w:b w:val="0"/>
          <w:bCs w:val="0"/>
          <w:color w:val="000000" w:themeColor="text1"/>
          <w:sz w:val="22"/>
          <w:szCs w:val="22"/>
          <w:highlight w:val="none"/>
        </w:rPr>
      </w:pPr>
      <w:r/>
      <w:bookmarkStart w:id="39" w:name="_Toc10980"/>
      <w:r>
        <w:rPr>
          <w:rFonts w:hint="eastAsia" w:ascii="宋体" w:hAnsi="宋体" w:cs="宋体"/>
          <w:b w:val="0"/>
          <w:bCs w:val="0"/>
          <w:color w:val="000000" w:themeColor="text1"/>
          <w:sz w:val="22"/>
          <w:szCs w:val="22"/>
          <w:highlight w:val="none"/>
        </w:rPr>
        <w:t xml:space="preserve">日期：     年    月    日</w:t>
      </w:r>
      <w:r>
        <w:rPr>
          <w:rFonts w:hint="eastAsia" w:ascii="宋体" w:hAnsi="宋体" w:cs="宋体"/>
          <w:b w:val="0"/>
          <w:bCs w:val="0"/>
          <w:color w:val="000000" w:themeColor="text1"/>
          <w:sz w:val="22"/>
          <w:szCs w:val="22"/>
          <w:highlight w:val="none"/>
        </w:rPr>
        <w:br w:type="page" w:clear="all"/>
      </w:r>
      <w:bookmarkStart w:id="40" w:name="_Toc12545"/>
      <w:r>
        <w:rPr>
          <w:rStyle w:val="1277"/>
          <w:rFonts w:hint="eastAsia" w:ascii="宋体" w:hAnsi="宋体" w:cs="宋体"/>
          <w:b w:val="0"/>
          <w:bCs w:val="0"/>
          <w:color w:val="000000" w:themeColor="text1"/>
          <w:sz w:val="22"/>
          <w:szCs w:val="22"/>
          <w:highlight w:val="none"/>
        </w:rPr>
        <w:t xml:space="preserve">附件八、投标人类似业绩情况表</w:t>
      </w:r>
      <w:bookmarkEnd w:id="39"/>
      <w:r/>
      <w:bookmarkEnd w:id="40"/>
      <w:r/>
      <w:r/>
    </w:p>
    <w:p>
      <w:pPr>
        <w:ind w:firstLine="562"/>
        <w:jc w:val="center"/>
        <w:spacing w:line="360" w:lineRule="auto"/>
        <w:rPr>
          <w:rFonts w:ascii="宋体" w:hAnsi="宋体" w:cs="宋体"/>
          <w:b/>
          <w:bCs/>
          <w:color w:val="000000" w:themeColor="text1"/>
          <w:sz w:val="22"/>
          <w:szCs w:val="22"/>
          <w:highlight w:val="none"/>
          <w:lang w:val="zh-CN"/>
        </w:rPr>
      </w:pPr>
      <w:r>
        <w:rPr>
          <w:rFonts w:hint="eastAsia" w:ascii="宋体" w:hAnsi="宋体" w:cs="宋体"/>
          <w:b/>
          <w:bCs/>
          <w:color w:val="000000" w:themeColor="text1"/>
          <w:sz w:val="22"/>
          <w:szCs w:val="22"/>
          <w:highlight w:val="none"/>
          <w:lang w:val="zh-CN"/>
        </w:rPr>
        <w:t xml:space="preserve">投标人业绩情况表</w:t>
      </w:r>
      <w:r/>
    </w:p>
    <w:tbl>
      <w:tblPr>
        <w:tblStyle w:val="1019"/>
        <w:tblW w:w="9516" w:type="dxa"/>
        <w:jc w:val="center"/>
        <w:tblLayout w:type="fixed"/>
        <w:tblCellMar>
          <w:left w:w="10" w:type="dxa"/>
          <w:top w:w="0" w:type="dxa"/>
          <w:right w:w="10" w:type="dxa"/>
          <w:bottom w:w="0" w:type="dxa"/>
        </w:tblCellMar>
        <w:tblLook w:val="04A0" w:firstRow="1" w:lastRow="0" w:firstColumn="1" w:lastColumn="0" w:noHBand="0" w:noVBand="1"/>
      </w:tblPr>
      <w:tblGrid>
        <w:gridCol w:w="769"/>
        <w:gridCol w:w="1759"/>
        <w:gridCol w:w="1599"/>
        <w:gridCol w:w="1119"/>
        <w:gridCol w:w="265"/>
        <w:gridCol w:w="1447"/>
        <w:gridCol w:w="1279"/>
        <w:gridCol w:w="1279"/>
      </w:tblGrid>
      <w:tr>
        <w:trPr>
          <w:jc w:val="center"/>
          <w:trHeight w:val="650"/>
          <w:tblHeader/>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tcPr>
          <w:p>
            <w:pPr>
              <w:jc w:val="left"/>
              <w:spacing w:line="36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项目编号：         </w:t>
            </w:r>
            <w:r/>
          </w:p>
        </w:tc>
      </w:tr>
      <w:tr>
        <w:trPr>
          <w:jc w:val="center"/>
          <w:trHeight w:val="801"/>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tcPr>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tcPr>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tcPr>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项目</w:t>
            </w:r>
            <w:r/>
          </w:p>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签约及服务</w:t>
            </w:r>
            <w:r/>
          </w:p>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时间</w:t>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备注</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ind w:firstLine="120"/>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76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75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59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11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c>
          <w:tcPr>
            <w:tcBorders>
              <w:top w:val="single" w:color="000000" w:sz="4" w:space="0"/>
              <w:left w:val="none" w:color="000000" w:sz="4" w:space="0"/>
              <w:bottom w:val="single" w:color="000000" w:sz="4" w:space="0"/>
              <w:right w:val="single" w:color="000000" w:sz="4" w:space="0"/>
            </w:tcBorders>
            <w:tcW w:w="1279" w:type="dxa"/>
            <w:textDirection w:val="lrTb"/>
            <w:noWrap/>
          </w:tcPr>
          <w:p>
            <w:pPr>
              <w:jc w:val="center"/>
              <w:spacing w:line="400" w:lineRule="atLeast"/>
              <w:widowControl/>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tc>
      </w:tr>
    </w:tbl>
    <w:p>
      <w:pPr>
        <w:spacing w:line="360" w:lineRule="auto"/>
        <w:widowControl/>
        <w:rPr>
          <w:rFonts w:ascii="宋体" w:hAnsi="宋体" w:cs="宋体"/>
          <w:bCs/>
          <w:color w:val="000000" w:themeColor="text1"/>
          <w:sz w:val="22"/>
          <w:szCs w:val="22"/>
          <w:highlight w:val="none"/>
        </w:rPr>
      </w:pPr>
      <w:r>
        <w:rPr>
          <w:rFonts w:hint="eastAsia" w:ascii="宋体" w:hAnsi="宋体" w:cs="宋体"/>
          <w:bCs/>
          <w:color w:val="000000" w:themeColor="text1"/>
          <w:sz w:val="22"/>
          <w:szCs w:val="22"/>
          <w:highlight w:val="none"/>
        </w:rPr>
        <w:t xml:space="preserve">说明：</w:t>
      </w:r>
      <w:r>
        <w:rPr>
          <w:rStyle w:val="1297"/>
          <w:rFonts w:hint="eastAsia" w:ascii="宋体" w:hAnsi="宋体" w:cs="宋体"/>
          <w:bCs/>
          <w:color w:val="000000" w:themeColor="text1"/>
          <w:sz w:val="22"/>
          <w:szCs w:val="22"/>
          <w:highlight w:val="none"/>
        </w:rPr>
        <w:t xml:space="preserve">请投标人根据本格式要求如实填写，并附评标标准要的证明文件。</w:t>
      </w:r>
      <w:r/>
    </w:p>
    <w:p>
      <w:pPr>
        <w:spacing w:line="360" w:lineRule="auto"/>
        <w:widowControl/>
        <w:rPr>
          <w:rFonts w:ascii="宋体" w:hAnsi="宋体" w:cs="宋体"/>
          <w:b/>
          <w:bCs/>
          <w:color w:val="000000" w:themeColor="text1"/>
          <w:sz w:val="22"/>
          <w:szCs w:val="22"/>
          <w:highlight w:val="none"/>
        </w:rPr>
      </w:pPr>
      <w:r>
        <w:rPr>
          <w:rFonts w:ascii="宋体" w:hAnsi="宋体" w:cs="宋体"/>
          <w:b/>
          <w:bCs/>
          <w:color w:val="000000" w:themeColor="text1"/>
          <w:sz w:val="22"/>
          <w:szCs w:val="22"/>
          <w:highlight w:val="none"/>
        </w:rPr>
      </w:r>
      <w:r/>
    </w:p>
    <w:p>
      <w:pPr>
        <w:spacing w:line="380" w:lineRule="exact"/>
        <w:shd w:val="clear" w:color="auto" w:fill="ffffff"/>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供应商名称</w:t>
      </w:r>
      <w:r>
        <w:rPr>
          <w:rFonts w:hint="eastAsia" w:ascii="宋体" w:hAnsi="宋体" w:cs="宋体"/>
          <w:b/>
          <w:bCs/>
          <w:color w:val="000000" w:themeColor="text1"/>
          <w:sz w:val="22"/>
          <w:szCs w:val="22"/>
          <w:highlight w:val="none"/>
          <w:lang w:val="zh-CN"/>
        </w:rPr>
        <w:t xml:space="preserve">:  </w:t>
      </w:r>
      <w:r>
        <w:rPr>
          <w:rFonts w:hint="eastAsia" w:ascii="宋体" w:hAnsi="宋体" w:cs="宋体"/>
          <w:color w:val="000000" w:themeColor="text1"/>
          <w:sz w:val="22"/>
          <w:szCs w:val="22"/>
          <w:highlight w:val="none"/>
        </w:rPr>
        <w:t xml:space="preserve">（加盖CA电子公章）</w:t>
      </w:r>
      <w:r/>
    </w:p>
    <w:p>
      <w:pP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日期：     年    月    日</w:t>
      </w:r>
      <w:r/>
    </w:p>
    <w:p>
      <w:pPr>
        <w:spacing w:line="360" w:lineRule="auto"/>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ind w:left="0" w:firstLine="0"/>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60"/>
        <w:ind w:left="0" w:firstLine="0"/>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p>
    <w:p>
      <w:pPr>
        <w:ind w:right="633"/>
        <w:jc w:val="left"/>
        <w:spacing w:line="360" w:lineRule="auto"/>
        <w:shd w:val="clear" w:color="auto" w:fill="ffffff"/>
        <w:rPr>
          <w:rStyle w:val="1277"/>
          <w:rFonts w:ascii="宋体" w:hAnsi="宋体" w:cs="宋体"/>
          <w:color w:val="000000" w:themeColor="text1"/>
          <w:sz w:val="22"/>
          <w:szCs w:val="22"/>
          <w:highlight w:val="none"/>
          <w:lang w:val="zh-CN"/>
        </w:rPr>
        <w:outlineLvl w:val="0"/>
      </w:pPr>
      <w:r/>
      <w:bookmarkStart w:id="41" w:name="_Toc1832"/>
      <w:r/>
      <w:bookmarkStart w:id="42" w:name="_Toc27244"/>
      <w:r/>
      <w:bookmarkStart w:id="43" w:name="_Toc7013"/>
      <w:r>
        <w:rPr>
          <w:rStyle w:val="1277"/>
          <w:rFonts w:hint="eastAsia" w:ascii="宋体" w:hAnsi="宋体" w:cs="宋体"/>
          <w:color w:val="000000" w:themeColor="text1"/>
          <w:sz w:val="22"/>
          <w:szCs w:val="22"/>
          <w:highlight w:val="none"/>
          <w:lang w:val="zh-CN"/>
        </w:rPr>
        <w:t xml:space="preserve">附件</w:t>
      </w:r>
      <w:r>
        <w:rPr>
          <w:rStyle w:val="1277"/>
          <w:rFonts w:hint="eastAsia" w:ascii="宋体" w:hAnsi="宋体" w:cs="宋体"/>
          <w:color w:val="000000" w:themeColor="text1"/>
          <w:sz w:val="22"/>
          <w:szCs w:val="22"/>
          <w:highlight w:val="none"/>
        </w:rPr>
        <w:t xml:space="preserve">九</w:t>
      </w:r>
      <w:r>
        <w:rPr>
          <w:rStyle w:val="1277"/>
          <w:rFonts w:hint="eastAsia" w:ascii="宋体" w:hAnsi="宋体" w:cs="宋体"/>
          <w:color w:val="000000" w:themeColor="text1"/>
          <w:sz w:val="22"/>
          <w:szCs w:val="22"/>
          <w:highlight w:val="none"/>
          <w:lang w:val="zh-CN"/>
        </w:rPr>
        <w:t xml:space="preserve">、</w:t>
      </w:r>
      <w:r>
        <w:rPr>
          <w:rStyle w:val="1277"/>
          <w:rFonts w:hint="eastAsia" w:ascii="宋体" w:hAnsi="宋体" w:cs="宋体"/>
          <w:color w:val="000000" w:themeColor="text1"/>
          <w:sz w:val="22"/>
          <w:szCs w:val="22"/>
          <w:highlight w:val="none"/>
        </w:rPr>
        <w:t xml:space="preserve">供货</w:t>
      </w:r>
      <w:r>
        <w:rPr>
          <w:rStyle w:val="1277"/>
          <w:rFonts w:hint="eastAsia" w:ascii="宋体" w:hAnsi="宋体" w:cs="宋体"/>
          <w:color w:val="000000" w:themeColor="text1"/>
          <w:sz w:val="22"/>
          <w:szCs w:val="22"/>
          <w:highlight w:val="none"/>
          <w:lang w:val="zh-CN"/>
        </w:rPr>
        <w:t xml:space="preserve">方案</w:t>
      </w:r>
      <w:bookmarkEnd w:id="41"/>
      <w:r/>
      <w:bookmarkEnd w:id="42"/>
      <w:r/>
      <w:bookmarkEnd w:id="43"/>
      <w:r/>
    </w:p>
    <w:p>
      <w:pPr>
        <w:pStyle w:val="1275"/>
        <w:ind w:firstLine="0"/>
        <w:rPr>
          <w:rStyle w:val="1297"/>
          <w:rFonts w:cs="宋体"/>
          <w:b/>
          <w:color w:val="000000" w:themeColor="text1"/>
          <w:sz w:val="22"/>
          <w:szCs w:val="22"/>
          <w:highlight w:val="none"/>
        </w:rPr>
      </w:pPr>
      <w:r>
        <w:rPr>
          <w:rFonts w:cs="宋体"/>
          <w:b/>
          <w:color w:val="000000" w:themeColor="text1"/>
          <w:sz w:val="22"/>
          <w:szCs w:val="22"/>
          <w:highlight w:val="none"/>
        </w:rPr>
      </w:r>
      <w:r/>
    </w:p>
    <w:p>
      <w:pPr>
        <w:pStyle w:val="1275"/>
        <w:ind w:firstLine="0"/>
        <w:rPr>
          <w:rFonts w:cs="宋体"/>
          <w:bCs/>
          <w:color w:val="000000" w:themeColor="text1"/>
          <w:sz w:val="22"/>
          <w:szCs w:val="22"/>
          <w:highlight w:val="none"/>
        </w:rPr>
      </w:pPr>
      <w:r>
        <w:rPr>
          <w:rStyle w:val="1297"/>
          <w:rFonts w:hint="eastAsia" w:cs="宋体"/>
          <w:bCs/>
          <w:color w:val="000000" w:themeColor="text1"/>
          <w:sz w:val="22"/>
          <w:szCs w:val="22"/>
          <w:highlight w:val="none"/>
        </w:rPr>
        <w:t xml:space="preserve">9.1、</w:t>
      </w:r>
      <w:r>
        <w:rPr>
          <w:rFonts w:hint="eastAsia" w:cs="宋体"/>
          <w:bCs/>
          <w:color w:val="000000" w:themeColor="text1"/>
          <w:sz w:val="22"/>
          <w:szCs w:val="22"/>
          <w:highlight w:val="none"/>
        </w:rPr>
        <w:t xml:space="preserve">供货实施方案</w:t>
      </w:r>
      <w:r/>
    </w:p>
    <w:p>
      <w:pPr>
        <w:pStyle w:val="1275"/>
        <w:ind w:firstLine="0"/>
        <w:rPr>
          <w:rFonts w:cs="宋体"/>
          <w:bCs/>
          <w:color w:val="000000" w:themeColor="text1"/>
          <w:sz w:val="22"/>
          <w:szCs w:val="22"/>
          <w:highlight w:val="none"/>
        </w:rPr>
      </w:pPr>
      <w:r>
        <w:rPr>
          <w:rFonts w:hint="eastAsia" w:cs="宋体"/>
          <w:bCs/>
          <w:color w:val="000000" w:themeColor="text1"/>
          <w:sz w:val="22"/>
          <w:szCs w:val="22"/>
          <w:highlight w:val="none"/>
        </w:rPr>
        <w:t xml:space="preserve">9.2、验收方案</w:t>
      </w:r>
      <w:r/>
    </w:p>
    <w:p>
      <w:pPr>
        <w:pStyle w:val="1275"/>
        <w:ind w:firstLine="0"/>
        <w:rPr>
          <w:rFonts w:cs="宋体"/>
          <w:bCs/>
          <w:color w:val="000000" w:themeColor="text1"/>
          <w:sz w:val="22"/>
          <w:szCs w:val="22"/>
          <w:highlight w:val="none"/>
        </w:rPr>
      </w:pPr>
      <w:r>
        <w:rPr>
          <w:rFonts w:hint="eastAsia" w:cs="宋体"/>
          <w:bCs/>
          <w:color w:val="000000" w:themeColor="text1"/>
          <w:sz w:val="22"/>
          <w:szCs w:val="22"/>
          <w:highlight w:val="none"/>
        </w:rPr>
        <w:t xml:space="preserve">9.3、售后服务方案</w:t>
      </w:r>
      <w:r/>
    </w:p>
    <w:p>
      <w:pPr>
        <w:pStyle w:val="1275"/>
        <w:ind w:firstLine="0"/>
        <w:rPr>
          <w:rFonts w:cs="宋体"/>
          <w:bCs/>
          <w:color w:val="000000" w:themeColor="text1"/>
          <w:sz w:val="22"/>
          <w:szCs w:val="22"/>
          <w:highlight w:val="none"/>
        </w:rPr>
      </w:pPr>
      <w:r>
        <w:rPr>
          <w:rFonts w:hint="eastAsia" w:cs="宋体"/>
          <w:bCs/>
          <w:color w:val="000000" w:themeColor="text1"/>
          <w:sz w:val="22"/>
          <w:szCs w:val="22"/>
          <w:highlight w:val="none"/>
        </w:rPr>
        <w:t xml:space="preserve">9.4、培训方案</w:t>
      </w:r>
      <w:r/>
    </w:p>
    <w:p>
      <w:pPr>
        <w:pStyle w:val="1275"/>
        <w:ind w:firstLine="0"/>
        <w:rPr>
          <w:rFonts w:cs="宋体"/>
          <w:b/>
          <w:bCs/>
          <w:color w:val="000000" w:themeColor="text1"/>
          <w:highlight w:val="none"/>
        </w:rPr>
      </w:pPr>
      <w:r>
        <w:rPr>
          <w:rFonts w:cs="宋体"/>
          <w:b/>
          <w:bCs/>
          <w:color w:val="000000" w:themeColor="text1"/>
          <w:highlight w:val="none"/>
        </w:rPr>
      </w:r>
      <w:r/>
    </w:p>
    <w:p>
      <w:pPr>
        <w:pStyle w:val="1275"/>
        <w:jc w:val="center"/>
        <w:rPr>
          <w:rStyle w:val="1297"/>
          <w:rFonts w:cs="宋体"/>
          <w:bCs/>
          <w:color w:val="000000" w:themeColor="text1"/>
          <w:sz w:val="22"/>
          <w:szCs w:val="22"/>
          <w:highlight w:val="none"/>
        </w:rPr>
        <w:outlineLvl w:val="0"/>
      </w:pPr>
      <w:r/>
      <w:bookmarkStart w:id="44" w:name="_Toc30840"/>
      <w:r/>
      <w:bookmarkStart w:id="45" w:name="_Toc28713"/>
      <w:r>
        <w:rPr>
          <w:rStyle w:val="1297"/>
          <w:rFonts w:hint="eastAsia" w:cs="宋体"/>
          <w:bCs/>
          <w:color w:val="000000" w:themeColor="text1"/>
          <w:sz w:val="22"/>
          <w:szCs w:val="22"/>
          <w:highlight w:val="none"/>
        </w:rPr>
        <w:t xml:space="preserve">（</w:t>
      </w:r>
      <w:r>
        <w:rPr>
          <w:rStyle w:val="1297"/>
          <w:rFonts w:hint="eastAsia" w:cs="宋体"/>
          <w:bCs/>
          <w:color w:val="000000" w:themeColor="text1"/>
          <w:sz w:val="22"/>
          <w:szCs w:val="22"/>
          <w:highlight w:val="none"/>
          <w:lang w:val="zh-CN"/>
        </w:rPr>
        <w:t xml:space="preserve">各投标人根据</w:t>
      </w:r>
      <w:r>
        <w:rPr>
          <w:rStyle w:val="1297"/>
          <w:rFonts w:hint="eastAsia" w:cs="宋体"/>
          <w:bCs/>
          <w:color w:val="000000" w:themeColor="text1"/>
          <w:sz w:val="22"/>
          <w:szCs w:val="22"/>
          <w:highlight w:val="none"/>
        </w:rPr>
        <w:t xml:space="preserve">招标</w:t>
      </w:r>
      <w:r>
        <w:rPr>
          <w:rStyle w:val="1297"/>
          <w:rFonts w:hint="eastAsia" w:cs="宋体"/>
          <w:bCs/>
          <w:color w:val="000000" w:themeColor="text1"/>
          <w:sz w:val="22"/>
          <w:szCs w:val="22"/>
          <w:highlight w:val="none"/>
          <w:lang w:val="zh-CN"/>
        </w:rPr>
        <w:t xml:space="preserve">文件规定的</w:t>
      </w:r>
      <w:r>
        <w:rPr>
          <w:rStyle w:val="1297"/>
          <w:rFonts w:hint="eastAsia" w:cs="宋体"/>
          <w:bCs/>
          <w:color w:val="000000" w:themeColor="text1"/>
          <w:sz w:val="22"/>
          <w:szCs w:val="22"/>
          <w:highlight w:val="none"/>
        </w:rPr>
        <w:t xml:space="preserve">服务方案</w:t>
      </w:r>
      <w:r>
        <w:rPr>
          <w:rStyle w:val="1297"/>
          <w:rFonts w:hint="eastAsia" w:cs="宋体"/>
          <w:bCs/>
          <w:color w:val="000000" w:themeColor="text1"/>
          <w:sz w:val="22"/>
          <w:szCs w:val="22"/>
          <w:highlight w:val="none"/>
          <w:lang w:val="zh-CN"/>
        </w:rPr>
        <w:t xml:space="preserve">打分细则</w:t>
      </w:r>
      <w:r>
        <w:rPr>
          <w:rStyle w:val="1297"/>
          <w:rFonts w:hint="eastAsia" w:cs="宋体"/>
          <w:bCs/>
          <w:color w:val="000000" w:themeColor="text1"/>
          <w:sz w:val="22"/>
          <w:szCs w:val="22"/>
          <w:highlight w:val="none"/>
        </w:rPr>
        <w:t xml:space="preserve">内容</w:t>
      </w:r>
      <w:r>
        <w:rPr>
          <w:rStyle w:val="1297"/>
          <w:rFonts w:hint="eastAsia" w:cs="宋体"/>
          <w:bCs/>
          <w:color w:val="000000" w:themeColor="text1"/>
          <w:sz w:val="22"/>
          <w:szCs w:val="22"/>
          <w:highlight w:val="none"/>
          <w:lang w:val="zh-CN"/>
        </w:rPr>
        <w:t xml:space="preserve">，格式自拟</w:t>
      </w:r>
      <w:r>
        <w:rPr>
          <w:rStyle w:val="1297"/>
          <w:rFonts w:hint="eastAsia" w:cs="宋体"/>
          <w:bCs/>
          <w:color w:val="000000" w:themeColor="text1"/>
          <w:sz w:val="22"/>
          <w:szCs w:val="22"/>
          <w:highlight w:val="none"/>
        </w:rPr>
        <w:t xml:space="preserve">）</w:t>
      </w:r>
      <w:bookmarkEnd w:id="44"/>
      <w:r/>
      <w:bookmarkEnd w:id="45"/>
      <w:r/>
      <w:r/>
    </w:p>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p>
    <w:p>
      <w:pPr>
        <w:spacing w:line="360" w:lineRule="auto"/>
        <w:rPr>
          <w:rFonts w:ascii="宋体" w:hAnsi="宋体" w:cs="宋体"/>
          <w:b/>
          <w:color w:val="000000" w:themeColor="text1"/>
          <w:szCs w:val="21"/>
          <w:highlight w:val="none"/>
          <w:lang w:val="zh-CN"/>
        </w:rPr>
      </w:pPr>
      <w:r>
        <w:rPr>
          <w:rFonts w:ascii="宋体" w:hAnsi="宋体" w:cs="宋体"/>
          <w:b/>
          <w:color w:val="000000" w:themeColor="text1"/>
          <w:szCs w:val="21"/>
          <w:highlight w:val="none"/>
          <w:lang w:val="zh-CN"/>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right="633"/>
        <w:jc w:val="left"/>
        <w:spacing w:line="360" w:lineRule="auto"/>
        <w:shd w:val="clear" w:color="auto" w:fill="ffffff"/>
        <w:widowControl/>
        <w:rPr>
          <w:rStyle w:val="1277"/>
          <w:rFonts w:ascii="宋体" w:hAnsi="宋体" w:cs="宋体"/>
          <w:color w:val="000000" w:themeColor="text1"/>
          <w:sz w:val="21"/>
          <w:szCs w:val="21"/>
          <w:highlight w:val="none"/>
        </w:rPr>
        <w:outlineLvl w:val="0"/>
      </w:pPr>
      <w:r>
        <w:rPr>
          <w:rFonts w:hint="eastAsia" w:ascii="宋体" w:hAnsi="宋体" w:cs="宋体"/>
          <w:b/>
          <w:color w:val="000000" w:themeColor="text1"/>
          <w:szCs w:val="21"/>
          <w:highlight w:val="none"/>
        </w:rPr>
        <w:br w:type="page" w:clear="all"/>
      </w:r>
      <w:bookmarkStart w:id="46" w:name="_Toc14184"/>
      <w:r/>
      <w:bookmarkStart w:id="47" w:name="_Toc31349"/>
      <w:r/>
      <w:bookmarkStart w:id="48" w:name="_Toc13954"/>
      <w:r>
        <w:rPr>
          <w:rStyle w:val="1277"/>
          <w:rFonts w:hint="eastAsia" w:ascii="宋体" w:hAnsi="宋体" w:cs="宋体"/>
          <w:color w:val="000000" w:themeColor="text1"/>
          <w:sz w:val="21"/>
          <w:szCs w:val="21"/>
          <w:highlight w:val="none"/>
        </w:rPr>
        <w:t xml:space="preserve">附件十、</w:t>
      </w:r>
      <w:bookmarkEnd w:id="46"/>
      <w:r>
        <w:rPr>
          <w:rStyle w:val="1277"/>
          <w:rFonts w:hint="eastAsia" w:ascii="宋体" w:hAnsi="宋体" w:cs="宋体"/>
          <w:color w:val="000000" w:themeColor="text1"/>
          <w:sz w:val="21"/>
          <w:szCs w:val="21"/>
          <w:highlight w:val="none"/>
        </w:rPr>
        <w:t xml:space="preserve">资格证明文件</w:t>
      </w:r>
      <w:bookmarkEnd w:id="47"/>
      <w:r/>
      <w:bookmarkEnd w:id="48"/>
      <w:r/>
      <w:r/>
    </w:p>
    <w:p>
      <w:pPr>
        <w:ind w:firstLine="480"/>
        <w:spacing w:line="360" w:lineRule="auto"/>
        <w:rPr>
          <w:rFonts w:ascii="宋体" w:hAnsi="宋体" w:cs="宋体"/>
          <w:color w:val="000000" w:themeColor="text1"/>
          <w:szCs w:val="21"/>
          <w:highlight w:val="none"/>
        </w:rPr>
      </w:pPr>
      <w:r/>
      <w:bookmarkStart w:id="49" w:name="_Toc15688"/>
      <w:r>
        <w:rPr>
          <w:rFonts w:hint="eastAsia" w:ascii="宋体" w:hAnsi="宋体" w:cs="宋体"/>
          <w:color w:val="000000" w:themeColor="text1"/>
          <w:szCs w:val="21"/>
          <w:highlight w:val="none"/>
        </w:rPr>
        <w:t xml:space="preserve">1.满足《中华人民共和国政府采购法》第二十二条规定； </w:t>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（1）具有独立承担民事责任的能力（提供法人或者其他组织的营业执照，自然人的身份证明）；</w:t>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（2）具有良好的商业信誉和健全的财务会计制度</w:t>
      </w:r>
      <w:r>
        <w:rPr>
          <w:rFonts w:hint="eastAsia" w:ascii="宋体" w:hAnsi="宋体" w:cs="宋体"/>
          <w:color w:val="000000" w:themeColor="text1"/>
          <w:szCs w:val="21"/>
          <w:highlight w:val="none"/>
          <w:lang w:val="zh-TW"/>
        </w:rPr>
        <w:t xml:space="preserve">【</w:t>
      </w:r>
      <w:r>
        <w:rPr>
          <w:rFonts w:hint="eastAsia" w:ascii="宋体" w:hAnsi="宋体" w:cs="宋体"/>
          <w:color w:val="000000" w:themeColor="text1"/>
          <w:szCs w:val="21"/>
          <w:highlight w:val="none"/>
        </w:rPr>
        <w:t xml:space="preserve">可任选以下其中一项材料提供：①提供由第三方专业机构出具的2025年度财务审计报告（财务审计报告至少包含资产负债表、利润表、现金流量表、第三方专业机构盖章和注册会计师签字盖章页复印件加盖供应商公章）；②投标截止时间前近半年内任一月的财务报表（至少包括资产负债表和利润表）的复印件加盖供应商公章；③投标截止时间前半年内任一月银行出具的企业资信证明的复印件加盖供应商公章，法人或者其他组织成立未满一年的无需提供</w:t>
      </w:r>
      <w:r>
        <w:rPr>
          <w:rFonts w:hint="eastAsia" w:ascii="宋体" w:hAnsi="宋体" w:cs="宋体"/>
          <w:color w:val="000000" w:themeColor="text1"/>
          <w:szCs w:val="21"/>
          <w:highlight w:val="none"/>
          <w:lang w:val="zh-TW"/>
        </w:rPr>
        <w:t xml:space="preserve">】</w:t>
      </w:r>
      <w:r>
        <w:rPr>
          <w:rFonts w:hint="eastAsia" w:ascii="宋体" w:hAnsi="宋体" w:cs="宋体"/>
          <w:color w:val="000000" w:themeColor="text1"/>
          <w:szCs w:val="21"/>
          <w:highlight w:val="none"/>
        </w:rPr>
        <w:t xml:space="preserve">；</w:t>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（3）具有履行合同所必需的设备和专业技术能力（根据项目需求提供履行合同所必需的设备和专业技术能力的声明或证明材料）；</w:t>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（4）有依法缴纳税收和社会保障资金的良好记录</w:t>
      </w:r>
      <w:r>
        <w:rPr>
          <w:rFonts w:hint="eastAsia" w:ascii="宋体" w:hAnsi="宋体" w:cs="宋体"/>
          <w:color w:val="000000" w:themeColor="text1"/>
          <w:szCs w:val="21"/>
          <w:highlight w:val="none"/>
          <w:lang w:val="zh-TW"/>
        </w:rPr>
        <w:t xml:space="preserve">【提供参加本次政府采购活动</w:t>
      </w:r>
      <w:r>
        <w:rPr>
          <w:rFonts w:hint="eastAsia" w:ascii="宋体" w:hAnsi="宋体" w:cs="宋体"/>
          <w:color w:val="000000" w:themeColor="text1"/>
          <w:szCs w:val="21"/>
          <w:highlight w:val="none"/>
        </w:rPr>
        <w:t xml:space="preserve">投标截止时间</w:t>
      </w:r>
      <w:r>
        <w:rPr>
          <w:rFonts w:hint="eastAsia" w:ascii="宋体" w:hAnsi="宋体" w:cs="宋体"/>
          <w:color w:val="000000" w:themeColor="text1"/>
          <w:szCs w:val="21"/>
          <w:highlight w:val="none"/>
          <w:lang w:val="zh-TW"/>
        </w:rPr>
        <w:t xml:space="preserve">前半年内至少一个月缴纳税收的凭据，并提供缴纳社会保险的凭据（专用收据，或社会保险缴纳清单），依法享受缓缴、免缴税收、社会保障资金的提供证明材料】</w:t>
      </w:r>
      <w:r>
        <w:rPr>
          <w:rFonts w:hint="eastAsia" w:ascii="宋体" w:hAnsi="宋体" w:cs="宋体"/>
          <w:color w:val="000000" w:themeColor="text1"/>
          <w:szCs w:val="21"/>
          <w:highlight w:val="none"/>
        </w:rPr>
        <w:t xml:space="preserve">；</w:t>
      </w: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（5）参加政府采购活动前三年内，在经营活动中没有重大违法记录（提供参加本次政府采购活动前3年内在经营活动中没有重大违法记录的书面声明）； </w:t>
      </w:r>
      <w:r/>
    </w:p>
    <w:p>
      <w:pPr>
        <w:ind w:firstLine="480"/>
        <w:spacing w:line="360" w:lineRule="auto"/>
        <w:rPr>
          <w:rFonts w:ascii="宋体" w:hAnsi="宋体" w:cs="宋体"/>
          <w:color w:val="000000" w:themeColor="text1"/>
          <w:szCs w:val="21"/>
          <w:highlight w:val="none"/>
          <w:lang w:val="zh-TW"/>
        </w:rPr>
      </w:pPr>
      <w:r>
        <w:rPr>
          <w:rFonts w:hint="eastAsia" w:ascii="宋体" w:hAnsi="宋体" w:cs="宋体"/>
          <w:color w:val="000000" w:themeColor="text1"/>
          <w:szCs w:val="21"/>
          <w:highlight w:val="none"/>
        </w:rPr>
        <w:t xml:space="preserve">2.落实政府采购政策需满足的资格要求：</w:t>
      </w:r>
      <w:r>
        <w:rPr>
          <w:rFonts w:hint="eastAsia" w:ascii="宋体" w:hAnsi="宋体" w:cs="宋体"/>
          <w:color w:val="000000" w:themeColor="text1"/>
          <w:szCs w:val="21"/>
          <w:highlight w:val="none"/>
          <w:lang w:val="zh-TW"/>
        </w:rPr>
        <w:t xml:space="preserve">本项目为非预留份额专门面向中小企业的采购项目或采购包，执行价格扣除优惠政策，详见“第三章评标标准”。</w:t>
      </w:r>
      <w:r/>
    </w:p>
    <w:p>
      <w:pPr>
        <w:ind w:firstLine="480"/>
        <w:spacing w:line="360" w:lineRule="auto"/>
        <w:rPr>
          <w:rFonts w:ascii="宋体" w:hAnsi="宋体" w:cs="宋体"/>
          <w:color w:val="000000" w:themeColor="text1"/>
          <w:szCs w:val="21"/>
          <w:highlight w:val="none"/>
          <w:lang w:val="zh-TW"/>
        </w:rPr>
      </w:pPr>
      <w:r>
        <w:rPr>
          <w:rFonts w:hint="eastAsia" w:ascii="宋体" w:hAnsi="宋体" w:cs="宋体"/>
          <w:color w:val="000000" w:themeColor="text1"/>
          <w:szCs w:val="21"/>
          <w:highlight w:val="none"/>
          <w:lang w:val="zh-TW"/>
        </w:rPr>
        <w:t xml:space="preserve">本项目采购标的对应的中小企业划分标准所属行业为：</w:t>
      </w:r>
      <w:r>
        <w:rPr>
          <w:rFonts w:hint="eastAsia" w:ascii="宋体" w:hAnsi="宋体" w:cs="宋体"/>
          <w:color w:val="000000" w:themeColor="text1"/>
          <w:szCs w:val="21"/>
          <w:highlight w:val="none"/>
        </w:rPr>
        <w:t xml:space="preserve">工业</w:t>
      </w:r>
      <w:r>
        <w:rPr>
          <w:rFonts w:hint="eastAsia" w:ascii="宋体" w:hAnsi="宋体" w:cs="宋体"/>
          <w:color w:val="000000" w:themeColor="text1"/>
          <w:szCs w:val="21"/>
          <w:highlight w:val="none"/>
          <w:lang w:val="zh-TW"/>
        </w:rPr>
        <w:t xml:space="preserve">。</w:t>
      </w:r>
      <w:r/>
    </w:p>
    <w:p>
      <w:pPr>
        <w:ind w:firstLine="480"/>
        <w:jc w:val="left"/>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3.本项目的特定资格要求：</w:t>
      </w:r>
      <w:r>
        <w:rPr>
          <w:rFonts w:hint="eastAsia" w:ascii="宋体" w:hAnsi="宋体" w:cs="宋体"/>
          <w:b/>
          <w:bCs/>
          <w:color w:val="000000" w:themeColor="text1"/>
          <w:szCs w:val="21"/>
          <w:highlight w:val="none"/>
        </w:rPr>
        <w:t xml:space="preserve">如使用进口产品投标，而投标供应商非所投产品的制造商，则必须具备所投产品制造商或其驻中国办事机构出具的有效授权书（须提供有效盖章授权书</w:t>
      </w:r>
      <w:r>
        <w:rPr>
          <w:rFonts w:hint="eastAsia" w:ascii="宋体" w:hAnsi="宋体" w:cs="宋体"/>
          <w:b/>
          <w:bCs/>
          <w:color w:val="000000" w:themeColor="text1"/>
          <w:szCs w:val="21"/>
          <w:highlight w:val="none"/>
          <w:lang w:val="en-US" w:eastAsia="zh-CN"/>
        </w:rPr>
        <w:t xml:space="preserve">扫描件</w:t>
      </w:r>
      <w:r>
        <w:rPr>
          <w:rFonts w:hint="eastAsia" w:ascii="宋体" w:hAnsi="宋体" w:cs="宋体"/>
          <w:b/>
          <w:bCs/>
          <w:color w:val="000000" w:themeColor="text1"/>
          <w:szCs w:val="21"/>
          <w:highlight w:val="none"/>
        </w:rPr>
        <w:t xml:space="preserve">）。(制造商授权等资料为英文版本的，需提供英文版本资料对应的中文资料，且以中文资料为准)</w:t>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4.第2.1（5）条所称重大违法记录，是指供应商因违法经营受到刑事处罚或者责令停产停业、吊销许可证或者执照、较大数额罚款等行政处罚。</w:t>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5.供应商在参加采购活动前3年内因违法经营被禁止在一定期限内参加政府采购活动，期限届满的，可以参加政府采购活动。</w:t>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6.拒绝下述供应商参加本次采购活动： </w:t>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（1）供应商单位负责人为同一人或者存在直接控股、管理关系的不同供应商，不得参加同一合同项下的政府采购活动。 （提供承诺书）</w:t>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（2）凡为采购项目提供整体设计、规范编制或者项目管理、监理、检测等服务的供应商，不得再参加本项目的采购活动。 （提供承诺书）</w:t>
      </w:r>
      <w:r/>
    </w:p>
    <w:p>
      <w:pPr>
        <w:ind w:firstLine="48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（3）供应商被“信用中国”网站(www.creditchina.gov.cn)、“中国政府采购网”(www.ccgp.gov.cn) 列入失信被执行人、重大税收违法案件当事人名单、政府采购严重违法失信行为记录名单。</w:t>
      </w:r>
      <w:r/>
    </w:p>
    <w:p>
      <w:pPr>
        <w:pStyle w:val="1020"/>
        <w:rPr>
          <w:color w:val="000000" w:themeColor="text1"/>
          <w:highlight w:val="none"/>
        </w:rPr>
      </w:pPr>
      <w:r>
        <w:rPr>
          <w:color w:val="000000" w:themeColor="text1"/>
          <w:highlight w:val="none"/>
        </w:rPr>
      </w:r>
      <w:r/>
    </w:p>
    <w:p>
      <w:r/>
      <w:r/>
    </w:p>
    <w:p>
      <w:pPr>
        <w:pStyle w:val="1200"/>
        <w:numPr>
          <w:ilvl w:val="1"/>
          <w:numId w:val="0"/>
        </w:numPr>
        <w:spacing w:before="0" w:after="0" w:line="240" w:lineRule="auto"/>
        <w:rPr>
          <w:rStyle w:val="1277"/>
          <w:rFonts w:ascii="宋体" w:hAnsi="宋体" w:cs="宋体"/>
          <w:b w:val="0"/>
          <w:bCs w:val="0"/>
          <w:color w:val="000000" w:themeColor="text1"/>
          <w:sz w:val="21"/>
          <w:szCs w:val="21"/>
          <w:highlight w:val="none"/>
          <w:lang w:val="zh-CN"/>
        </w:rPr>
      </w:pPr>
      <w:r/>
      <w:bookmarkStart w:id="50" w:name="_Toc22836"/>
      <w:r>
        <w:rPr>
          <w:rStyle w:val="1277"/>
          <w:rFonts w:hint="eastAsia" w:ascii="宋体" w:hAnsi="宋体" w:cs="宋体"/>
          <w:b w:val="0"/>
          <w:bCs w:val="0"/>
          <w:color w:val="000000" w:themeColor="text1"/>
          <w:sz w:val="21"/>
          <w:szCs w:val="21"/>
          <w:highlight w:val="none"/>
        </w:rPr>
        <w:t xml:space="preserve">格式1</w:t>
      </w:r>
      <w:r>
        <w:rPr>
          <w:rStyle w:val="1277"/>
          <w:rFonts w:hint="eastAsia" w:ascii="宋体" w:hAnsi="宋体" w:cs="宋体"/>
          <w:b w:val="0"/>
          <w:bCs w:val="0"/>
          <w:color w:val="000000" w:themeColor="text1"/>
          <w:sz w:val="21"/>
          <w:szCs w:val="21"/>
          <w:highlight w:val="none"/>
          <w:lang w:val="zh-CN"/>
        </w:rPr>
        <w:t xml:space="preserve">、无重大违法记录声明格式</w:t>
      </w:r>
      <w:bookmarkEnd w:id="49"/>
      <w:r/>
      <w:bookmarkEnd w:id="50"/>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562"/>
        <w:jc w:val="center"/>
        <w:spacing w:line="360" w:lineRule="auto"/>
        <w:rPr>
          <w:rFonts w:ascii="宋体" w:hAnsi="宋体" w:cs="宋体"/>
          <w:b/>
          <w:bCs/>
          <w:color w:val="000000" w:themeColor="text1"/>
          <w:szCs w:val="21"/>
          <w:highlight w:val="none"/>
          <w:lang w:val="zh-CN"/>
        </w:rPr>
        <w:outlineLvl w:val="0"/>
      </w:pPr>
      <w:r/>
      <w:bookmarkStart w:id="51" w:name="_Toc19067"/>
      <w:r/>
      <w:bookmarkStart w:id="52" w:name="_Toc21981"/>
      <w:r>
        <w:rPr>
          <w:rFonts w:hint="eastAsia" w:ascii="宋体" w:hAnsi="宋体" w:cs="宋体"/>
          <w:b/>
          <w:bCs/>
          <w:color w:val="000000" w:themeColor="text1"/>
          <w:szCs w:val="21"/>
          <w:highlight w:val="none"/>
          <w:lang w:val="zh-CN"/>
        </w:rPr>
        <w:t xml:space="preserve">无重大违法记录声明</w:t>
      </w:r>
      <w:bookmarkEnd w:id="51"/>
      <w:r/>
      <w:bookmarkEnd w:id="52"/>
      <w:r/>
      <w:r/>
    </w:p>
    <w:p>
      <w:pPr>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南京市农产品质量检测院：</w:t>
      </w:r>
      <w:r/>
    </w:p>
    <w:p>
      <w:pPr>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我单位（供应商名称）郑重声明：</w:t>
      </w:r>
      <w:r/>
    </w:p>
    <w:p>
      <w:pPr>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参加政府采购活动前三年内在经营活动中（在下划线上如实填写：有或没有）重大违法记录。</w:t>
      </w:r>
      <w:r/>
    </w:p>
    <w:p>
      <w:pPr>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0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50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声明人（加盖CA电子公章）： </w:t>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日  期：______年___月___日</w:t>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pStyle w:val="1200"/>
        <w:numPr>
          <w:ilvl w:val="1"/>
          <w:numId w:val="0"/>
        </w:numPr>
        <w:spacing w:before="0" w:after="0" w:line="240" w:lineRule="auto"/>
        <w:rPr>
          <w:rStyle w:val="1277"/>
          <w:rFonts w:ascii="宋体" w:hAnsi="宋体" w:cs="宋体"/>
          <w:b w:val="0"/>
          <w:bCs w:val="0"/>
          <w:color w:val="000000" w:themeColor="text1"/>
          <w:sz w:val="21"/>
          <w:szCs w:val="21"/>
          <w:highlight w:val="none"/>
          <w:lang w:val="zh-CN"/>
        </w:rPr>
      </w:pPr>
      <w:r/>
      <w:bookmarkStart w:id="53" w:name="_Toc14680"/>
      <w:r/>
      <w:bookmarkStart w:id="54" w:name="_Toc26142"/>
      <w:r>
        <w:rPr>
          <w:rStyle w:val="1277"/>
          <w:rFonts w:hint="eastAsia" w:ascii="宋体" w:hAnsi="宋体" w:cs="宋体"/>
          <w:b w:val="0"/>
          <w:bCs w:val="0"/>
          <w:color w:val="000000" w:themeColor="text1"/>
          <w:sz w:val="21"/>
          <w:szCs w:val="21"/>
          <w:highlight w:val="none"/>
        </w:rPr>
        <w:t xml:space="preserve">格式2</w:t>
      </w:r>
      <w:r>
        <w:rPr>
          <w:rStyle w:val="1277"/>
          <w:rFonts w:hint="eastAsia" w:ascii="宋体" w:hAnsi="宋体" w:cs="宋体"/>
          <w:b w:val="0"/>
          <w:bCs w:val="0"/>
          <w:color w:val="000000" w:themeColor="text1"/>
          <w:sz w:val="21"/>
          <w:szCs w:val="21"/>
          <w:highlight w:val="none"/>
          <w:lang w:val="zh-CN"/>
        </w:rPr>
        <w:t xml:space="preserve">、具备履行合同所必需的设备和专业技术能力的声明格式及证明材料</w:t>
      </w:r>
      <w:bookmarkEnd w:id="53"/>
      <w:r/>
      <w:bookmarkEnd w:id="54"/>
      <w:r/>
      <w:r/>
    </w:p>
    <w:p>
      <w:pPr>
        <w:ind w:firstLine="562"/>
        <w:jc w:val="center"/>
        <w:spacing w:line="360" w:lineRule="auto"/>
        <w:rPr>
          <w:rFonts w:ascii="宋体" w:hAnsi="宋体" w:cs="宋体"/>
          <w:b/>
          <w:bCs/>
          <w:color w:val="000000" w:themeColor="text1"/>
          <w:szCs w:val="21"/>
          <w:highlight w:val="none"/>
          <w:lang w:val="zh-CN"/>
        </w:rPr>
        <w:outlineLvl w:val="0"/>
      </w:pPr>
      <w:r/>
      <w:bookmarkStart w:id="55" w:name="_Toc2393"/>
      <w:r/>
      <w:bookmarkStart w:id="56" w:name="_Toc11124"/>
      <w:r>
        <w:rPr>
          <w:rFonts w:hint="eastAsia" w:ascii="宋体" w:hAnsi="宋体" w:cs="宋体"/>
          <w:b/>
          <w:bCs/>
          <w:color w:val="000000" w:themeColor="text1"/>
          <w:szCs w:val="21"/>
          <w:highlight w:val="none"/>
          <w:lang w:val="zh-CN"/>
        </w:rPr>
        <w:t xml:space="preserve">具备履行合同所必需的设备和专业技术能力的声明格式</w:t>
      </w:r>
      <w:bookmarkEnd w:id="55"/>
      <w:r/>
      <w:bookmarkEnd w:id="56"/>
      <w:r/>
      <w:r/>
    </w:p>
    <w:p>
      <w:pPr>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南京市农产品质量检测院：</w:t>
      </w:r>
      <w:r/>
    </w:p>
    <w:p>
      <w:pPr>
        <w:ind w:firstLine="492"/>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我单位（供应商名称）郑重声明：</w:t>
      </w:r>
      <w:r/>
    </w:p>
    <w:p>
      <w:pPr>
        <w:ind w:firstLine="492"/>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我公司具备履行本项采购合同所必需的设备和专业技术能力，为履行本项采购合同我单位具备如下主要设备和主要专业技术能力：</w:t>
      </w:r>
      <w:r/>
    </w:p>
    <w:p>
      <w:pPr>
        <w:ind w:firstLine="492"/>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主要设备有： ( 如有 )</w:t>
      </w:r>
      <w:r/>
    </w:p>
    <w:p>
      <w:pPr>
        <w:ind w:firstLine="492"/>
        <w:spacing w:line="30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主要专业技术能力有： ( 如有 )</w:t>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声明人（加盖CA电子公章）： </w:t>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日  期：______年___月___日</w:t>
      </w:r>
      <w:r/>
    </w:p>
    <w:p>
      <w:pPr>
        <w:ind w:firstLine="49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其他证明材料及文件（投标人认为需要提供的）</w:t>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jc w:val="center"/>
        <w:spacing w:line="42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格式3、“不存在与参加本项目的其他供应商单位负责人为同一人或者存在直接控股、管理关系”</w:t>
      </w:r>
      <w:r/>
    </w:p>
    <w:p>
      <w:pPr>
        <w:jc w:val="center"/>
        <w:spacing w:line="42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的承诺函</w:t>
      </w:r>
      <w:r/>
    </w:p>
    <w:p>
      <w:pPr>
        <w:spacing w:line="42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致：南京市农产品质量检测院</w:t>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江苏克瑞斯工程投资咨询有限责任公司</w:t>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根据贵方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分包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特此承诺！</w:t>
      </w:r>
      <w:r/>
    </w:p>
    <w:p>
      <w:pPr>
        <w:ind w:firstLine="420"/>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（加盖CA电子公章）</w:t>
      </w:r>
      <w:r/>
    </w:p>
    <w:p>
      <w:pPr>
        <w:ind w:firstLine="412"/>
        <w:jc w:val="left"/>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法定代表人或授权代表（签字或签章）：</w:t>
      </w:r>
      <w:r/>
    </w:p>
    <w:p>
      <w:pPr>
        <w:pStyle w:val="1025"/>
        <w:ind w:firstLine="420"/>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日     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年</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日</w:t>
      </w:r>
      <w:r/>
    </w:p>
    <w:p>
      <w:pPr>
        <w:pStyle w:val="1025"/>
        <w:ind w:firstLine="42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025"/>
        <w:ind w:firstLine="42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pStyle w:val="1025"/>
        <w:ind w:firstLine="42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jc w:val="center"/>
        <w:spacing w:line="42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格式4、“凡为采购项目提供整体设计、规范编制或者项目管理、监理、检测等服务的供应商，不得再参加本项目的采购活动”的承诺函</w:t>
      </w:r>
      <w:r/>
    </w:p>
    <w:p>
      <w:pPr>
        <w:spacing w:line="42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致：南京市农产品质量检测院</w:t>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江苏克瑞斯工程投资咨询有限责任公司</w:t>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根据贵方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分包编号）招标公告，我公司郑重承诺：在参加本次政府采购活动不存在凡为采购项目提供整体设计、规范编制或者项目管理、监理、检测等服务的供应商。本公司对上述承诺的真实性负责。如有虚假，将依法承担相应责任。</w:t>
      </w:r>
      <w:r/>
    </w:p>
    <w:p>
      <w:pPr>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特此承诺！</w:t>
      </w:r>
      <w:r/>
    </w:p>
    <w:p>
      <w:pPr>
        <w:ind w:firstLine="420"/>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（加盖CA电子公章）</w:t>
      </w:r>
      <w:r/>
    </w:p>
    <w:p>
      <w:pPr>
        <w:ind w:firstLine="412"/>
        <w:jc w:val="left"/>
        <w:spacing w:line="42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法定代表人或授权代表（签字或签章）：</w:t>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043"/>
        <w:numPr>
          <w:ilvl w:val="0"/>
          <w:numId w:val="9"/>
        </w:numPr>
        <w:spacing w:before="0"/>
        <w:rPr>
          <w:rFonts w:ascii="Microsoft New Tai Lue" w:hAnsi="Microsoft New Tai Lue" w:cs="Microsoft New Tai Lue"/>
          <w:color w:val="000000" w:themeColor="text1"/>
          <w:sz w:val="24"/>
          <w:szCs w:val="24"/>
          <w:highlight w:val="none"/>
        </w:rPr>
      </w:pPr>
      <w:r>
        <w:rPr>
          <w:rFonts w:hint="eastAsia" w:hAnsi="宋体" w:cs="宋体"/>
          <w:color w:val="000000" w:themeColor="text1"/>
          <w:sz w:val="21"/>
          <w:szCs w:val="21"/>
          <w:highlight w:val="none"/>
        </w:rPr>
        <w:t xml:space="preserve">格式五、</w:t>
      </w:r>
      <w:r>
        <w:rPr>
          <w:rFonts w:hint="eastAsia" w:ascii="Microsoft New Tai Lue" w:hAnsi="Microsoft New Tai Lue" w:cs="Microsoft New Tai Lue"/>
          <w:color w:val="000000" w:themeColor="text1"/>
          <w:sz w:val="24"/>
          <w:szCs w:val="24"/>
          <w:highlight w:val="none"/>
        </w:rPr>
        <w:t xml:space="preserve">南京市政府采购供应商信用承诺书</w:t>
      </w:r>
      <w:r/>
    </w:p>
    <w:p>
      <w:pPr>
        <w:jc w:val="right"/>
        <w:rPr>
          <w:rFonts w:ascii="宋体" w:hAnsi="宋体"/>
          <w:color w:val="000000" w:themeColor="text1"/>
          <w:szCs w:val="21"/>
          <w:highlight w:val="none"/>
        </w:rPr>
      </w:pPr>
      <w:r>
        <w:rPr>
          <w:rFonts w:hint="eastAsia" w:ascii="宋体" w:hAnsi="宋体"/>
          <w:color w:val="000000" w:themeColor="text1"/>
          <w:szCs w:val="21"/>
          <w:highlight w:val="none"/>
        </w:rPr>
        <w:t xml:space="preserve">XXXX年XX月XX日</w:t>
      </w:r>
      <w:r/>
    </w:p>
    <w:p>
      <w:pPr>
        <w:jc w:val="center"/>
        <w:rPr>
          <w:rFonts w:ascii="宋体" w:hAnsi="宋体"/>
          <w:color w:val="000000" w:themeColor="text1"/>
          <w:szCs w:val="21"/>
          <w:highlight w:val="none"/>
        </w:rPr>
      </w:pPr>
      <w:r>
        <w:rPr>
          <w:rFonts w:ascii="宋体" w:hAnsi="宋体"/>
          <w:color w:val="000000" w:themeColor="text1"/>
          <w:szCs w:val="21"/>
          <w:highlight w:val="none"/>
        </w:rPr>
      </w:r>
      <w:r/>
    </w:p>
    <w:tbl>
      <w:tblPr>
        <w:tblStyle w:val="1046"/>
        <w:tblpPr w:horzAnchor="text" w:tblpXSpec="center" w:vertAnchor="text" w:tblpY="1" w:leftFromText="180" w:topFromText="0" w:rightFromText="180" w:bottomFromText="0"/>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2841"/>
      </w:tblGrid>
      <w:tr>
        <w:trPr>
          <w:trHeight w:val="567"/>
        </w:trPr>
        <w:tc>
          <w:tcPr>
            <w:tcW w:w="2148" w:type="dxa"/>
            <w:vAlign w:val="center"/>
            <w:textDirection w:val="lrTb"/>
            <w:noWrap/>
          </w:tcPr>
          <w:p>
            <w:pPr>
              <w:ind w:left="-420"/>
              <w:jc w:val="center"/>
              <w:tabs>
                <w:tab w:val="left" w:pos="252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单位名称</w:t>
            </w:r>
            <w:r/>
          </w:p>
        </w:tc>
        <w:tc>
          <w:tcPr>
            <w:tcW w:w="2284" w:type="dxa"/>
            <w:vAlign w:val="center"/>
            <w:textDirection w:val="lrTb"/>
            <w:noWrap/>
          </w:tcPr>
          <w:p>
            <w:pPr>
              <w:jc w:val="center"/>
              <w:rPr>
                <w:rFonts w:ascii="宋体" w:hAnsi="宋体"/>
                <w:color w:val="000000" w:themeColor="text1"/>
                <w:szCs w:val="21"/>
                <w:highlight w:val="none"/>
              </w:rPr>
            </w:pPr>
            <w:r>
              <w:rPr>
                <w:rFonts w:ascii="宋体" w:hAnsi="宋体"/>
                <w:color w:val="000000" w:themeColor="text1"/>
                <w:szCs w:val="21"/>
                <w:highlight w:val="none"/>
              </w:rPr>
            </w:r>
            <w:r/>
          </w:p>
        </w:tc>
        <w:tc>
          <w:tcPr>
            <w:tcW w:w="1833" w:type="dxa"/>
            <w:vAlign w:val="center"/>
            <w:textDirection w:val="lrTb"/>
            <w:noWrap/>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统一社会信用代码</w:t>
            </w:r>
            <w:r/>
          </w:p>
        </w:tc>
        <w:tc>
          <w:tcPr>
            <w:tcW w:w="2841" w:type="dxa"/>
            <w:vAlign w:val="center"/>
            <w:textDirection w:val="lrTb"/>
            <w:noWrap/>
          </w:tcPr>
          <w:p>
            <w:pPr>
              <w:ind w:right="-678"/>
              <w:jc w:val="center"/>
              <w:tabs>
                <w:tab w:val="left" w:pos="2320" w:leader="none"/>
              </w:tabs>
              <w:rPr>
                <w:rFonts w:ascii="宋体" w:hAnsi="宋体"/>
                <w:color w:val="000000" w:themeColor="text1"/>
                <w:szCs w:val="21"/>
                <w:highlight w:val="none"/>
              </w:rPr>
            </w:pPr>
            <w:r>
              <w:rPr>
                <w:rFonts w:ascii="宋体" w:hAnsi="宋体"/>
                <w:color w:val="000000" w:themeColor="text1"/>
                <w:szCs w:val="21"/>
                <w:highlight w:val="none"/>
              </w:rPr>
            </w:r>
            <w:r/>
          </w:p>
        </w:tc>
      </w:tr>
      <w:tr>
        <w:trPr>
          <w:trHeight w:val="567"/>
        </w:trPr>
        <w:tc>
          <w:tcPr>
            <w:tcW w:w="2148" w:type="dxa"/>
            <w:vAlign w:val="center"/>
            <w:textDirection w:val="lrTb"/>
            <w:noWrap/>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p>
        </w:tc>
        <w:tc>
          <w:tcPr>
            <w:tcW w:w="2284" w:type="dxa"/>
            <w:vAlign w:val="center"/>
            <w:textDirection w:val="lrTb"/>
            <w:noWrap/>
          </w:tcPr>
          <w:p>
            <w:pPr>
              <w:jc w:val="center"/>
              <w:rPr>
                <w:rFonts w:ascii="宋体" w:hAnsi="宋体"/>
                <w:color w:val="000000" w:themeColor="text1"/>
                <w:szCs w:val="21"/>
                <w:highlight w:val="none"/>
              </w:rPr>
            </w:pPr>
            <w:r>
              <w:rPr>
                <w:rFonts w:ascii="宋体" w:hAnsi="宋体"/>
                <w:color w:val="000000" w:themeColor="text1"/>
                <w:szCs w:val="21"/>
                <w:highlight w:val="none"/>
              </w:rPr>
            </w:r>
            <w:r/>
          </w:p>
        </w:tc>
        <w:tc>
          <w:tcPr>
            <w:tcW w:w="1833" w:type="dxa"/>
            <w:vAlign w:val="center"/>
            <w:textDirection w:val="lrTb"/>
            <w:noWrap/>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联系人</w:t>
            </w:r>
            <w:r/>
          </w:p>
        </w:tc>
        <w:tc>
          <w:tcPr>
            <w:tcW w:w="2841" w:type="dxa"/>
            <w:vAlign w:val="center"/>
            <w:textDirection w:val="lrTb"/>
            <w:noWrap/>
          </w:tcPr>
          <w:p>
            <w:pPr>
              <w:jc w:val="center"/>
              <w:rPr>
                <w:rFonts w:ascii="宋体" w:hAnsi="宋体"/>
                <w:color w:val="000000" w:themeColor="text1"/>
                <w:szCs w:val="21"/>
                <w:highlight w:val="none"/>
              </w:rPr>
            </w:pPr>
            <w:r>
              <w:rPr>
                <w:rFonts w:ascii="宋体" w:hAnsi="宋体"/>
                <w:color w:val="000000" w:themeColor="text1"/>
                <w:szCs w:val="21"/>
                <w:highlight w:val="none"/>
              </w:rPr>
            </w:r>
            <w:r/>
          </w:p>
        </w:tc>
      </w:tr>
      <w:tr>
        <w:trPr>
          <w:trHeight w:val="567"/>
        </w:trPr>
        <w:tc>
          <w:tcPr>
            <w:tcW w:w="2148" w:type="dxa"/>
            <w:vAlign w:val="center"/>
            <w:textDirection w:val="lrTb"/>
            <w:noWrap/>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联系地址</w:t>
            </w:r>
            <w:r/>
          </w:p>
        </w:tc>
        <w:tc>
          <w:tcPr>
            <w:tcW w:w="2284" w:type="dxa"/>
            <w:vAlign w:val="center"/>
            <w:textDirection w:val="lrTb"/>
            <w:noWrap/>
          </w:tcPr>
          <w:p>
            <w:pPr>
              <w:jc w:val="center"/>
              <w:rPr>
                <w:rFonts w:ascii="宋体" w:hAnsi="宋体"/>
                <w:color w:val="000000" w:themeColor="text1"/>
                <w:szCs w:val="21"/>
                <w:highlight w:val="none"/>
              </w:rPr>
            </w:pPr>
            <w:r>
              <w:rPr>
                <w:rFonts w:ascii="宋体" w:hAnsi="宋体"/>
                <w:color w:val="000000" w:themeColor="text1"/>
                <w:szCs w:val="21"/>
                <w:highlight w:val="none"/>
              </w:rPr>
            </w:r>
            <w:r/>
          </w:p>
        </w:tc>
        <w:tc>
          <w:tcPr>
            <w:tcW w:w="1833" w:type="dxa"/>
            <w:vAlign w:val="center"/>
            <w:textDirection w:val="lrTb"/>
            <w:noWrap/>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p>
        </w:tc>
        <w:tc>
          <w:tcPr>
            <w:tcW w:w="2841" w:type="dxa"/>
            <w:vAlign w:val="center"/>
            <w:textDirection w:val="lrTb"/>
            <w:noWrap/>
          </w:tcPr>
          <w:p>
            <w:pPr>
              <w:jc w:val="center"/>
              <w:rPr>
                <w:rFonts w:ascii="宋体" w:hAnsi="宋体"/>
                <w:color w:val="000000" w:themeColor="text1"/>
                <w:szCs w:val="21"/>
                <w:highlight w:val="none"/>
              </w:rPr>
            </w:pPr>
            <w:r>
              <w:rPr>
                <w:rFonts w:ascii="宋体" w:hAnsi="宋体"/>
                <w:color w:val="000000" w:themeColor="text1"/>
                <w:szCs w:val="21"/>
                <w:highlight w:val="none"/>
              </w:rPr>
            </w:r>
            <w:r/>
          </w:p>
        </w:tc>
      </w:tr>
      <w:tr>
        <w:trPr>
          <w:trHeight w:val="5560"/>
        </w:trPr>
        <w:tc>
          <w:tcPr>
            <w:tcW w:w="2148" w:type="dxa"/>
            <w:vAlign w:val="center"/>
            <w:textDirection w:val="lrTb"/>
            <w:noWrap/>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信用承诺</w:t>
            </w:r>
            <w:r/>
          </w:p>
        </w:tc>
        <w:tc>
          <w:tcPr>
            <w:gridSpan w:val="3"/>
            <w:tcW w:w="6958" w:type="dxa"/>
            <w:vAlign w:val="center"/>
            <w:textDirection w:val="lrTb"/>
            <w:noWrap/>
          </w:tcPr>
          <w:p>
            <w:pPr>
              <w:ind w:firstLine="420"/>
              <w:rPr>
                <w:rFonts w:ascii="宋体" w:hAnsi="宋体"/>
                <w:color w:val="000000" w:themeColor="text1"/>
                <w:szCs w:val="21"/>
                <w:highlight w:val="none"/>
              </w:rPr>
            </w:pPr>
            <w:r>
              <w:rPr>
                <w:rFonts w:hint="eastAsia" w:ascii="宋体" w:hAnsi="宋体"/>
                <w:color w:val="000000" w:themeColor="text1"/>
                <w:szCs w:val="21"/>
                <w:highlight w:val="none"/>
              </w:rPr>
              <w:t xml:space="preserve">我公司自愿参加贵中心（公司）组织的本次采购活动，严格遵守《中华人民共和国政府采购法》及相关</w:t>
            </w:r>
            <w:r>
              <w:rPr>
                <w:rFonts w:hint="eastAsia" w:ascii="宋体" w:hAnsi="宋体"/>
                <w:color w:val="000000" w:themeColor="text1"/>
                <w:szCs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color w:val="000000" w:themeColor="text1"/>
                <w:szCs w:val="21"/>
                <w:highlight w:val="none"/>
              </w:rPr>
            </w:pPr>
            <w:r>
              <w:rPr>
                <w:rFonts w:ascii="宋体" w:hAnsi="宋体"/>
                <w:color w:val="000000" w:themeColor="text1"/>
                <w:szCs w:val="21"/>
                <w:highlight w:val="none"/>
              </w:rPr>
            </w:r>
            <w:r/>
          </w:p>
          <w:p>
            <w:pPr>
              <w:pStyle w:val="1026"/>
              <w:rPr>
                <w:rFonts w:hAnsi="宋体"/>
                <w:color w:val="000000" w:themeColor="text1"/>
                <w:sz w:val="21"/>
                <w:szCs w:val="21"/>
                <w:highlight w:val="none"/>
              </w:rPr>
            </w:pPr>
            <w:r>
              <w:rPr>
                <w:rFonts w:hAnsi="宋体"/>
                <w:color w:val="000000" w:themeColor="text1"/>
                <w:sz w:val="21"/>
                <w:szCs w:val="2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p>
          <w:p>
            <w:pPr>
              <w:pStyle w:val="1026"/>
              <w:rPr>
                <w:rFonts w:hAnsi="宋体"/>
                <w:color w:val="000000" w:themeColor="text1"/>
                <w:sz w:val="21"/>
                <w:szCs w:val="21"/>
                <w:highlight w:val="none"/>
              </w:rPr>
            </w:pPr>
            <w:r>
              <w:rPr>
                <w:rFonts w:hAnsi="宋体"/>
                <w:color w:val="000000" w:themeColor="text1"/>
                <w:sz w:val="21"/>
                <w:szCs w:val="2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p>
          <w:p>
            <w:pPr>
              <w:pStyle w:val="1026"/>
              <w:rPr>
                <w:rFonts w:hAnsi="宋体"/>
                <w:color w:val="000000" w:themeColor="text1"/>
                <w:sz w:val="21"/>
                <w:szCs w:val="21"/>
                <w:highlight w:val="none"/>
              </w:rPr>
            </w:pPr>
            <w:r>
              <w:rPr>
                <w:rFonts w:hAnsi="宋体"/>
                <w:color w:val="000000" w:themeColor="text1"/>
                <w:sz w:val="21"/>
                <w:szCs w:val="2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p>
          <w:p>
            <w:pPr>
              <w:pStyle w:val="1026"/>
              <w:rPr>
                <w:rFonts w:hAnsi="宋体"/>
                <w:color w:val="000000" w:themeColor="text1"/>
                <w:sz w:val="21"/>
                <w:szCs w:val="21"/>
                <w:highlight w:val="none"/>
              </w:rPr>
            </w:pPr>
            <w:r>
              <w:rPr>
                <w:rFonts w:hAnsi="宋体"/>
                <w:color w:val="000000" w:themeColor="text1"/>
                <w:sz w:val="21"/>
                <w:szCs w:val="2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p>
          <w:p>
            <w:pPr>
              <w:pStyle w:val="1026"/>
              <w:rPr>
                <w:rFonts w:hAnsi="宋体"/>
                <w:color w:val="000000" w:themeColor="text1"/>
                <w:sz w:val="21"/>
                <w:szCs w:val="21"/>
                <w:highlight w:val="none"/>
              </w:rPr>
            </w:pPr>
            <w:r>
              <w:rPr>
                <w:rFonts w:hAnsi="宋体"/>
                <w:color w:val="000000" w:themeColor="text1"/>
                <w:sz w:val="21"/>
                <w:szCs w:val="2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p>
          <w:p>
            <w:pPr>
              <w:pStyle w:val="1026"/>
              <w:rPr>
                <w:rFonts w:hAnsi="宋体"/>
                <w:color w:val="000000" w:themeColor="text1"/>
                <w:sz w:val="21"/>
                <w:szCs w:val="21"/>
                <w:highlight w:val="none"/>
              </w:rPr>
            </w:pPr>
            <w:r>
              <w:rPr>
                <w:rFonts w:hAnsi="宋体"/>
                <w:color w:val="000000" w:themeColor="text1"/>
                <w:sz w:val="21"/>
                <w:szCs w:val="21"/>
                <w:highlight w:val="none"/>
              </w:rPr>
            </w:r>
            <w:r/>
          </w:p>
          <w:p>
            <w:pPr>
              <w:rPr>
                <w:color w:val="000000" w:themeColor="text1"/>
                <w:highlight w:val="none"/>
              </w:rPr>
            </w:pPr>
            <w:r>
              <w:rPr>
                <w:color w:val="000000" w:themeColor="text1"/>
                <w:highlight w:val="none"/>
              </w:rPr>
            </w:r>
            <w:r/>
          </w:p>
          <w:p>
            <w:pPr>
              <w:ind w:firstLine="42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供应商名称（盖章）：</w:t>
            </w:r>
            <w:r/>
          </w:p>
          <w:p>
            <w:pPr>
              <w:ind w:firstLine="420"/>
              <w:jc w:val="center"/>
              <w:rPr>
                <w:rFonts w:ascii="宋体" w:hAnsi="宋体"/>
                <w:color w:val="000000" w:themeColor="text1"/>
                <w:szCs w:val="21"/>
                <w:highlight w:val="none"/>
              </w:rPr>
            </w:pPr>
            <w:r>
              <w:rPr>
                <w:rFonts w:ascii="宋体" w:hAnsi="宋体"/>
                <w:color w:val="000000" w:themeColor="text1"/>
                <w:szCs w:val="21"/>
                <w:highlight w:val="none"/>
              </w:rPr>
            </w:r>
            <w:r/>
          </w:p>
          <w:p>
            <w:pPr>
              <w:ind w:firstLine="42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法定代表人（签字）：</w:t>
            </w:r>
            <w:r/>
          </w:p>
          <w:p>
            <w:pPr>
              <w:ind w:firstLine="420"/>
              <w:jc w:val="center"/>
              <w:rPr>
                <w:rFonts w:ascii="宋体" w:hAnsi="宋体"/>
                <w:color w:val="000000" w:themeColor="text1"/>
                <w:szCs w:val="21"/>
                <w:highlight w:val="none"/>
              </w:rPr>
            </w:pPr>
            <w:r>
              <w:rPr>
                <w:rFonts w:ascii="宋体" w:hAnsi="宋体"/>
                <w:color w:val="000000" w:themeColor="text1"/>
                <w:szCs w:val="21"/>
                <w:highlight w:val="none"/>
              </w:rPr>
            </w:r>
            <w:r/>
          </w:p>
          <w:p>
            <w:pPr>
              <w:ind w:firstLine="420"/>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XXXX年XX月XX日</w:t>
            </w:r>
            <w:r/>
          </w:p>
        </w:tc>
      </w:tr>
    </w:tbl>
    <w:p>
      <w:pPr>
        <w:rPr>
          <w:color w:val="000000" w:themeColor="text1"/>
          <w:highlight w:val="none"/>
        </w:rPr>
      </w:pPr>
      <w:r>
        <w:rPr>
          <w:color w:val="000000" w:themeColor="text1"/>
          <w:highlight w:val="none"/>
        </w:rPr>
      </w:r>
      <w:r/>
    </w:p>
    <w:p>
      <w:pPr>
        <w:ind w:left="703"/>
        <w:rPr>
          <w:color w:val="000000" w:themeColor="text1"/>
          <w:highlight w:val="none"/>
        </w:rPr>
      </w:pPr>
      <w:r>
        <w:rPr>
          <w:color w:val="000000" w:themeColor="text1"/>
          <w:highlight w:val="none"/>
        </w:rPr>
      </w:r>
      <w:r/>
    </w:p>
    <w:p>
      <w:pPr>
        <w:pStyle w:val="1026"/>
        <w:rPr>
          <w:rFonts w:hAnsi="宋体" w:cs="宋体"/>
          <w:color w:val="000000" w:themeColor="text1"/>
          <w:sz w:val="21"/>
          <w:szCs w:val="21"/>
          <w:highlight w:val="none"/>
        </w:rPr>
      </w:pPr>
      <w:r>
        <w:rPr>
          <w:rFonts w:hAnsi="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026"/>
        <w:rPr>
          <w:rFonts w:hAnsi="宋体" w:cs="宋体"/>
          <w:color w:val="000000" w:themeColor="text1"/>
          <w:sz w:val="21"/>
          <w:szCs w:val="21"/>
          <w:highlight w:val="none"/>
        </w:rPr>
      </w:pPr>
      <w:r>
        <w:rPr>
          <w:rFonts w:hAnsi="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026"/>
        <w:rPr>
          <w:rFonts w:hAnsi="宋体" w:cs="宋体"/>
          <w:color w:val="000000" w:themeColor="text1"/>
          <w:sz w:val="21"/>
          <w:szCs w:val="21"/>
          <w:highlight w:val="none"/>
        </w:rPr>
      </w:pPr>
      <w:r>
        <w:rPr>
          <w:rFonts w:hAnsi="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026"/>
        <w:rPr>
          <w:rFonts w:hAnsi="宋体" w:cs="宋体"/>
          <w:color w:val="000000" w:themeColor="text1"/>
          <w:sz w:val="21"/>
          <w:szCs w:val="21"/>
          <w:highlight w:val="none"/>
        </w:rPr>
      </w:pPr>
      <w:r>
        <w:rPr>
          <w:rFonts w:hAnsi="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00"/>
        <w:numPr>
          <w:ilvl w:val="1"/>
          <w:numId w:val="0"/>
        </w:numPr>
        <w:spacing w:before="0" w:after="0" w:line="240" w:lineRule="auto"/>
        <w:rPr>
          <w:rStyle w:val="1277"/>
          <w:rFonts w:ascii="宋体" w:hAnsi="宋体" w:cs="宋体"/>
          <w:b w:val="0"/>
          <w:bCs w:val="0"/>
          <w:color w:val="000000" w:themeColor="text1"/>
          <w:sz w:val="21"/>
          <w:szCs w:val="21"/>
          <w:highlight w:val="none"/>
          <w:lang w:val="zh-CN"/>
        </w:rPr>
      </w:pPr>
      <w:r/>
      <w:bookmarkStart w:id="57" w:name="_Toc16553"/>
      <w:r/>
      <w:bookmarkStart w:id="58" w:name="_Toc17570"/>
      <w:r>
        <w:rPr>
          <w:rStyle w:val="1277"/>
          <w:rFonts w:hint="eastAsia" w:ascii="宋体" w:hAnsi="宋体" w:cs="宋体"/>
          <w:b w:val="0"/>
          <w:bCs w:val="0"/>
          <w:color w:val="000000" w:themeColor="text1"/>
          <w:sz w:val="21"/>
          <w:szCs w:val="21"/>
          <w:highlight w:val="none"/>
          <w:lang w:val="zh-CN"/>
        </w:rPr>
        <w:t xml:space="preserve">附件十</w:t>
      </w:r>
      <w:r>
        <w:rPr>
          <w:rStyle w:val="1277"/>
          <w:rFonts w:hint="eastAsia" w:ascii="宋体" w:hAnsi="宋体" w:cs="宋体"/>
          <w:b w:val="0"/>
          <w:bCs w:val="0"/>
          <w:color w:val="000000" w:themeColor="text1"/>
          <w:sz w:val="21"/>
          <w:szCs w:val="21"/>
          <w:highlight w:val="none"/>
        </w:rPr>
        <w:t xml:space="preserve">一</w:t>
      </w:r>
      <w:r>
        <w:rPr>
          <w:rStyle w:val="1277"/>
          <w:rFonts w:hint="eastAsia" w:ascii="宋体" w:hAnsi="宋体" w:cs="宋体"/>
          <w:b w:val="0"/>
          <w:bCs w:val="0"/>
          <w:color w:val="000000" w:themeColor="text1"/>
          <w:sz w:val="21"/>
          <w:szCs w:val="21"/>
          <w:highlight w:val="none"/>
          <w:lang w:val="zh-CN"/>
        </w:rPr>
        <w:t xml:space="preserve">、中小企业声明函格式</w:t>
      </w:r>
      <w:bookmarkEnd w:id="57"/>
      <w:r/>
      <w:bookmarkEnd w:id="58"/>
      <w:r/>
      <w:r/>
    </w:p>
    <w:p>
      <w:pPr>
        <w:ind w:firstLine="562"/>
        <w:jc w:val="center"/>
        <w:spacing w:line="360" w:lineRule="auto"/>
        <w:rPr>
          <w:rFonts w:ascii="宋体" w:hAnsi="宋体" w:cs="宋体"/>
          <w:b/>
          <w:bCs/>
          <w:color w:val="000000" w:themeColor="text1"/>
          <w:szCs w:val="21"/>
          <w:highlight w:val="none"/>
        </w:rPr>
        <w:outlineLvl w:val="0"/>
      </w:pPr>
      <w:r/>
      <w:bookmarkStart w:id="59" w:name="_Toc3300"/>
      <w:r/>
      <w:bookmarkStart w:id="60" w:name="_Toc6917"/>
      <w:r>
        <w:rPr>
          <w:rFonts w:hint="eastAsia" w:ascii="宋体" w:hAnsi="宋体" w:cs="宋体"/>
          <w:b/>
          <w:bCs/>
          <w:color w:val="000000" w:themeColor="text1"/>
          <w:szCs w:val="21"/>
          <w:highlight w:val="none"/>
        </w:rPr>
        <w:t xml:space="preserve">中小企业声明函（货物）</w:t>
      </w:r>
      <w:bookmarkEnd w:id="59"/>
      <w:r/>
      <w:bookmarkEnd w:id="60"/>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themeColor="text1"/>
          <w:szCs w:val="21"/>
          <w:highlight w:val="none"/>
          <w:u w:val="single"/>
        </w:rPr>
        <w:t xml:space="preserve">（单位名称）</w:t>
      </w:r>
      <w:r>
        <w:rPr>
          <w:rFonts w:hint="eastAsia" w:ascii="宋体" w:hAnsi="宋体" w:cs="宋体"/>
          <w:color w:val="000000" w:themeColor="text1"/>
          <w:szCs w:val="21"/>
          <w:highlight w:val="none"/>
        </w:rPr>
        <w:t xml:space="preserve">的</w:t>
      </w:r>
      <w:r>
        <w:rPr>
          <w:rFonts w:hint="eastAsia" w:ascii="宋体" w:hAnsi="宋体" w:cs="宋体"/>
          <w:color w:val="000000" w:themeColor="text1"/>
          <w:szCs w:val="21"/>
          <w:highlight w:val="none"/>
          <w:u w:val="single"/>
        </w:rPr>
        <w:t xml:space="preserve">（项目名称）</w:t>
      </w:r>
      <w:r>
        <w:rPr>
          <w:rFonts w:hint="eastAsia" w:ascii="宋体" w:hAnsi="宋体" w:cs="宋体"/>
          <w:color w:val="000000" w:themeColor="text1"/>
          <w:szCs w:val="21"/>
          <w:highlight w:val="none"/>
        </w:rPr>
        <w:t xml:space="preserve">采购活动，提供的货物全部由符合政策要求的中小企业制造。相关企业（含联合体中的中小企业、签订分包意向协议的中小企业）的具体情况如下：</w:t>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 </w:t>
      </w:r>
      <w:r>
        <w:rPr>
          <w:rFonts w:hint="eastAsia" w:ascii="宋体" w:hAnsi="宋体" w:cs="宋体"/>
          <w:color w:val="000000" w:themeColor="text1"/>
          <w:szCs w:val="21"/>
          <w:highlight w:val="none"/>
          <w:u w:val="single"/>
        </w:rPr>
        <w:t xml:space="preserve">（标的名称）</w:t>
      </w:r>
      <w:r>
        <w:rPr>
          <w:rFonts w:hint="eastAsia"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（招标文件中明确的所属行业）</w:t>
      </w:r>
      <w:r>
        <w:rPr>
          <w:rFonts w:hint="eastAsia" w:ascii="宋体" w:hAnsi="宋体" w:cs="宋体"/>
          <w:color w:val="000000" w:themeColor="text1"/>
          <w:szCs w:val="21"/>
          <w:highlight w:val="none"/>
        </w:rPr>
        <w:t xml:space="preserve">； 承接企业为</w:t>
      </w:r>
      <w:r>
        <w:rPr>
          <w:rFonts w:hint="eastAsia" w:ascii="宋体" w:hAnsi="宋体" w:cs="宋体"/>
          <w:color w:val="000000" w:themeColor="text1"/>
          <w:szCs w:val="21"/>
          <w:highlight w:val="none"/>
          <w:u w:val="single"/>
        </w:rPr>
        <w:t xml:space="preserve">（企业名称）</w:t>
      </w:r>
      <w:r>
        <w:rPr>
          <w:rFonts w:hint="eastAsia" w:ascii="宋体" w:hAnsi="宋体" w:cs="宋体"/>
          <w:color w:val="000000" w:themeColor="text1"/>
          <w:szCs w:val="21"/>
          <w:highlight w:val="none"/>
        </w:rPr>
        <w:t xml:space="preserve">，从业人员 人，营业收入为万元，资产总额为万元</w:t>
      </w:r>
      <w:r>
        <w:rPr>
          <w:rFonts w:hint="eastAsia" w:ascii="宋体" w:hAnsi="宋体" w:cs="宋体"/>
          <w:color w:val="000000" w:themeColor="text1"/>
          <w:szCs w:val="21"/>
          <w:highlight w:val="none"/>
          <w:vertAlign w:val="superscript"/>
        </w:rPr>
        <w:t xml:space="preserve">【1】</w:t>
      </w:r>
      <w:r>
        <w:rPr>
          <w:rFonts w:hint="eastAsia"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（中型企业、 小型企业、微型企业）</w:t>
      </w:r>
      <w:r>
        <w:rPr>
          <w:rFonts w:hint="eastAsia" w:ascii="宋体" w:hAnsi="宋体" w:cs="宋体"/>
          <w:color w:val="000000" w:themeColor="text1"/>
          <w:szCs w:val="21"/>
          <w:highlight w:val="none"/>
        </w:rPr>
        <w:t xml:space="preserve">；</w:t>
      </w:r>
      <w:r/>
    </w:p>
    <w:p>
      <w:pPr>
        <w:ind w:firstLine="60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p>
    <w:p>
      <w:pPr>
        <w:ind w:firstLine="60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以上企业，不属于大企业的分支机构，不存在控股股东为大企业的情形，也不存在与大企业的负责人为同一人的情 形。</w:t>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本企业对上述声明内容的真实性负责。如有虚假，将依法承担相应责任。</w:t>
      </w:r>
      <w:r/>
    </w:p>
    <w:p>
      <w:pPr>
        <w:pStyle w:val="1234"/>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ind w:right="420"/>
        <w:jc w:val="righ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企业名称（加盖CA电子公章）：</w:t>
      </w:r>
      <w:r/>
    </w:p>
    <w:p>
      <w:pPr>
        <w:ind w:right="840" w:firstLine="6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p>
    <w:p>
      <w:pPr>
        <w:pStyle w:val="1275"/>
        <w:rPr>
          <w:rFonts w:cs="宋体"/>
          <w:color w:val="000000" w:themeColor="text1"/>
          <w:sz w:val="21"/>
          <w:szCs w:val="21"/>
          <w:highlight w:val="none"/>
        </w:rPr>
      </w:pPr>
      <w:r>
        <w:rPr>
          <w:rFonts w:cs="宋体"/>
          <w:color w:val="000000" w:themeColor="text1"/>
          <w:sz w:val="21"/>
          <w:szCs w:val="21"/>
          <w:highlight w:val="none"/>
        </w:rPr>
      </w:r>
      <w:r/>
    </w:p>
    <w:p>
      <w:pPr>
        <w:pStyle w:val="1275"/>
        <w:rPr>
          <w:rFonts w:cs="宋体"/>
          <w:b/>
          <w:bCs/>
          <w:color w:val="000000" w:themeColor="text1"/>
          <w:sz w:val="21"/>
          <w:szCs w:val="21"/>
          <w:highlight w:val="none"/>
        </w:rPr>
      </w:pPr>
      <w:r>
        <w:rPr>
          <w:rFonts w:hint="eastAsia" w:cs="宋体"/>
          <w:color w:val="000000" w:themeColor="text1"/>
          <w:sz w:val="21"/>
          <w:szCs w:val="21"/>
          <w:highlight w:val="none"/>
        </w:rPr>
        <w:t xml:space="preserve">注：【1】 从业人员、营业收入、资产总额填报上一年度数据，无上一年度数据的新成立企业可不填报。</w:t>
      </w:r>
      <w:r/>
    </w:p>
    <w:p>
      <w:pPr>
        <w:pStyle w:val="1275"/>
        <w:rPr>
          <w:rFonts w:cs="宋体"/>
          <w:b/>
          <w:bCs/>
          <w:color w:val="000000" w:themeColor="text1"/>
          <w:sz w:val="21"/>
          <w:szCs w:val="21"/>
          <w:highlight w:val="none"/>
        </w:rPr>
      </w:pPr>
      <w:r>
        <w:rPr>
          <w:rFonts w:hint="eastAsia" w:cs="宋体"/>
          <w:color w:val="000000" w:themeColor="text1"/>
          <w:sz w:val="21"/>
          <w:szCs w:val="21"/>
          <w:highlight w:val="none"/>
        </w:rPr>
        <w:t xml:space="preserve">【2】本项目所属行业类别：</w:t>
      </w:r>
      <w:r>
        <w:rPr>
          <w:rFonts w:hint="eastAsia" w:cs="宋体"/>
          <w:b/>
          <w:bCs/>
          <w:color w:val="000000" w:themeColor="text1"/>
          <w:sz w:val="21"/>
          <w:szCs w:val="21"/>
          <w:highlight w:val="none"/>
        </w:rPr>
        <w:t xml:space="preserve">工业</w:t>
      </w:r>
      <w:r>
        <w:rPr>
          <w:rFonts w:hint="eastAsia" w:cs="宋体"/>
          <w:color w:val="000000" w:themeColor="text1"/>
          <w:sz w:val="21"/>
          <w:szCs w:val="21"/>
          <w:highlight w:val="none"/>
        </w:rPr>
        <w:t xml:space="preserve">。</w:t>
      </w:r>
      <w:r/>
    </w:p>
    <w:p>
      <w:pPr>
        <w:ind w:firstLine="5040"/>
        <w:jc w:val="left"/>
        <w:spacing w:line="44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5040"/>
        <w:jc w:val="left"/>
        <w:spacing w:line="44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spacing w:line="324"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各行业划型标准为：</w:t>
      </w:r>
      <w:r>
        <w:rPr>
          <w:rFonts w:hint="eastAsia" w:ascii="宋体" w:hAnsi="宋体" w:cs="宋体"/>
          <w:b/>
          <w:bCs/>
          <w:color w:val="000000" w:themeColor="text1"/>
          <w:szCs w:val="21"/>
          <w:highlight w:val="none"/>
        </w:rPr>
        <w:br w:type="textWrapping" w:clear="all"/>
      </w:r>
      <w:r>
        <w:rPr>
          <w:rFonts w:hint="eastAsia" w:ascii="宋体" w:hAnsi="宋体" w:cs="宋体"/>
          <w:color w:val="000000" w:themeColor="text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themeColor="text1"/>
          <w:szCs w:val="21"/>
          <w:highlight w:val="none"/>
        </w:rPr>
        <w:br w:type="textWrapping" w:clear="all"/>
      </w:r>
      <w:r>
        <w:rPr>
          <w:rFonts w:hint="eastAsia" w:ascii="宋体" w:hAnsi="宋体" w:cs="宋体"/>
          <w:color w:val="000000" w:themeColor="text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pStyle w:val="1200"/>
        <w:numPr>
          <w:ilvl w:val="1"/>
          <w:numId w:val="0"/>
        </w:numPr>
        <w:spacing w:before="0" w:after="0" w:line="240" w:lineRule="auto"/>
        <w:rPr>
          <w:rStyle w:val="1277"/>
          <w:rFonts w:ascii="宋体" w:hAnsi="宋体" w:cs="宋体"/>
          <w:b w:val="0"/>
          <w:bCs w:val="0"/>
          <w:color w:val="000000" w:themeColor="text1"/>
          <w:sz w:val="21"/>
          <w:szCs w:val="21"/>
          <w:highlight w:val="none"/>
          <w:lang w:val="zh-CN"/>
        </w:rPr>
      </w:pPr>
      <w:r/>
      <w:bookmarkStart w:id="61" w:name="_Toc25747"/>
      <w:r/>
      <w:bookmarkStart w:id="62" w:name="_Toc8393"/>
      <w:r>
        <w:rPr>
          <w:rStyle w:val="1277"/>
          <w:rFonts w:hint="eastAsia" w:ascii="宋体" w:hAnsi="宋体" w:cs="宋体"/>
          <w:b w:val="0"/>
          <w:bCs w:val="0"/>
          <w:color w:val="000000" w:themeColor="text1"/>
          <w:sz w:val="21"/>
          <w:szCs w:val="21"/>
          <w:highlight w:val="none"/>
          <w:lang w:val="zh-CN"/>
        </w:rPr>
        <w:t xml:space="preserve">附件十</w:t>
      </w:r>
      <w:r>
        <w:rPr>
          <w:rStyle w:val="1277"/>
          <w:rFonts w:hint="eastAsia" w:ascii="宋体" w:hAnsi="宋体" w:cs="宋体"/>
          <w:b w:val="0"/>
          <w:bCs w:val="0"/>
          <w:color w:val="000000" w:themeColor="text1"/>
          <w:sz w:val="21"/>
          <w:szCs w:val="21"/>
          <w:highlight w:val="none"/>
        </w:rPr>
        <w:t xml:space="preserve">二</w:t>
      </w:r>
      <w:r>
        <w:rPr>
          <w:rStyle w:val="1277"/>
          <w:rFonts w:hint="eastAsia" w:ascii="宋体" w:hAnsi="宋体" w:cs="宋体"/>
          <w:b w:val="0"/>
          <w:bCs w:val="0"/>
          <w:color w:val="000000" w:themeColor="text1"/>
          <w:sz w:val="21"/>
          <w:szCs w:val="21"/>
          <w:highlight w:val="none"/>
          <w:lang w:val="zh-CN"/>
        </w:rPr>
        <w:t xml:space="preserve">、残疾人福利性单位声明函、属于监狱企业的证明文件</w:t>
      </w:r>
      <w:bookmarkEnd w:id="61"/>
      <w:r/>
      <w:bookmarkEnd w:id="62"/>
      <w:r/>
      <w:r/>
    </w:p>
    <w:p>
      <w:pPr>
        <w:ind w:firstLine="562"/>
        <w:jc w:val="center"/>
        <w:spacing w:line="360" w:lineRule="auto"/>
        <w:rPr>
          <w:rFonts w:ascii="宋体" w:hAnsi="宋体" w:cs="宋体"/>
          <w:b/>
          <w:bCs/>
          <w:color w:val="000000" w:themeColor="text1"/>
          <w:szCs w:val="21"/>
          <w:highlight w:val="none"/>
          <w:lang w:val="zh-CN"/>
        </w:rPr>
        <w:outlineLvl w:val="0"/>
      </w:pPr>
      <w:r/>
      <w:bookmarkStart w:id="63" w:name="_Toc26790"/>
      <w:r/>
      <w:bookmarkStart w:id="64" w:name="_Toc6916"/>
      <w:r>
        <w:rPr>
          <w:rFonts w:hint="eastAsia" w:ascii="宋体" w:hAnsi="宋体" w:cs="宋体"/>
          <w:b/>
          <w:bCs/>
          <w:color w:val="000000" w:themeColor="text1"/>
          <w:szCs w:val="21"/>
          <w:highlight w:val="none"/>
          <w:lang w:val="zh-CN"/>
        </w:rPr>
        <w:t xml:space="preserve">残疾人福利性单位声明函</w:t>
      </w:r>
      <w:bookmarkEnd w:id="63"/>
      <w:r/>
      <w:bookmarkEnd w:id="64"/>
      <w:r/>
      <w:r/>
    </w:p>
    <w:p>
      <w:pPr>
        <w:pStyle w:val="1311"/>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p>
    <w:p>
      <w:pPr>
        <w:ind w:firstLine="504"/>
        <w:spacing w:line="300" w:lineRule="auto"/>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rPr>
        <w:t xml:space="preserve">〔2017〕 141</w:t>
      </w:r>
      <w:r>
        <w:rPr>
          <w:rFonts w:hint="eastAsia" w:ascii="宋体" w:hAnsi="宋体" w:cs="宋体"/>
          <w:color w:val="000000" w:themeColor="text1"/>
          <w:spacing w:val="6"/>
          <w:szCs w:val="21"/>
          <w:highlight w:val="none"/>
        </w:rPr>
        <w:t xml:space="preserve">号）的规定，本单位为符合条件的残疾人福利性单位，且本单位参加</w:t>
      </w:r>
      <w:r>
        <w:rPr>
          <w:rFonts w:hint="eastAsia" w:ascii="宋体" w:hAnsi="宋体" w:cs="宋体"/>
          <w:color w:val="000000" w:themeColor="text1"/>
          <w:szCs w:val="21"/>
          <w:highlight w:val="none"/>
        </w:rPr>
        <w:t xml:space="preserve">______</w:t>
      </w:r>
      <w:r>
        <w:rPr>
          <w:rFonts w:hint="eastAsia" w:ascii="宋体" w:hAnsi="宋体" w:cs="宋体"/>
          <w:color w:val="000000" w:themeColor="text1"/>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firstLine="43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声明人（加盖CA电子公章）： </w:t>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日  期：______年___月___日</w:t>
      </w:r>
      <w:r/>
    </w:p>
    <w:p>
      <w:pPr>
        <w:ind w:firstLine="470"/>
        <w:jc w:val="center"/>
        <w:spacing w:line="360" w:lineRule="auto"/>
        <w:rPr>
          <w:rFonts w:ascii="宋体" w:hAnsi="宋体" w:cs="宋体"/>
          <w:bCs/>
          <w:color w:val="000000" w:themeColor="text1"/>
          <w:szCs w:val="21"/>
          <w:highlight w:val="none"/>
        </w:rPr>
      </w:pPr>
      <w:r>
        <w:rPr>
          <w:rFonts w:ascii="宋体" w:hAnsi="宋体" w:cs="宋体"/>
          <w:bCs/>
          <w:color w:val="000000" w:themeColor="text1"/>
          <w:szCs w:val="21"/>
          <w:highlight w:val="none"/>
        </w:rPr>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注：具体以《关于促进残疾人就业政府采购政策的通知》（财库〔2017〕141号）的规定为准。</w:t>
      </w:r>
      <w:r/>
    </w:p>
    <w:p>
      <w:pPr>
        <w:spacing w:line="588" w:lineRule="exact"/>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3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562"/>
        <w:jc w:val="center"/>
        <w:spacing w:line="360" w:lineRule="auto"/>
        <w:rPr>
          <w:rFonts w:ascii="宋体" w:hAnsi="宋体" w:cs="宋体"/>
          <w:b/>
          <w:bCs/>
          <w:color w:val="000000" w:themeColor="text1"/>
          <w:szCs w:val="21"/>
          <w:highlight w:val="none"/>
          <w:lang w:val="zh-CN"/>
        </w:rPr>
        <w:outlineLvl w:val="0"/>
      </w:pPr>
      <w:r/>
      <w:bookmarkStart w:id="65" w:name="_Toc23243"/>
      <w:r/>
      <w:bookmarkStart w:id="66" w:name="_Toc27070"/>
      <w:r>
        <w:rPr>
          <w:rFonts w:hint="eastAsia" w:ascii="宋体" w:hAnsi="宋体" w:cs="宋体"/>
          <w:b/>
          <w:bCs/>
          <w:color w:val="000000" w:themeColor="text1"/>
          <w:szCs w:val="21"/>
          <w:highlight w:val="none"/>
          <w:lang w:val="zh-CN"/>
        </w:rPr>
        <w:t xml:space="preserve">属于监狱企业的证明文件</w:t>
      </w:r>
      <w:bookmarkEnd w:id="65"/>
      <w:r/>
      <w:bookmarkEnd w:id="66"/>
      <w:r/>
      <w:r/>
    </w:p>
    <w:p>
      <w:pPr>
        <w:pStyle w:val="1275"/>
        <w:rPr>
          <w:rFonts w:cs="宋体"/>
          <w:color w:val="000000" w:themeColor="text1"/>
          <w:sz w:val="21"/>
          <w:szCs w:val="21"/>
          <w:highlight w:val="none"/>
        </w:rPr>
      </w:pPr>
      <w:r>
        <w:rPr>
          <w:rFonts w:cs="宋体"/>
          <w:color w:val="000000" w:themeColor="text1"/>
          <w:sz w:val="21"/>
          <w:szCs w:val="21"/>
          <w:highlight w:val="none"/>
        </w:rPr>
      </w:r>
      <w:r/>
    </w:p>
    <w:p>
      <w:pPr>
        <w:spacing w:line="360" w:lineRule="auto"/>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（提供由省级以上监狱管理局、戒毒管理局（含新疆生产建设兵团）出具的属于监狱企业的证明文件）</w:t>
      </w:r>
      <w:bookmarkStart w:id="67" w:name="_Toc1577"/>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bookmarkEnd w:id="67"/>
      <w:r/>
    </w:p>
    <w:p>
      <w:pPr>
        <w:pStyle w:val="1200"/>
        <w:numPr>
          <w:ilvl w:val="0"/>
          <w:numId w:val="0"/>
        </w:numPr>
        <w:spacing w:before="0" w:after="0" w:line="240" w:lineRule="auto"/>
        <w:rPr>
          <w:rFonts w:ascii="宋体" w:hAnsi="宋体" w:cs="宋体"/>
          <w:color w:val="000000" w:themeColor="text1"/>
          <w:sz w:val="21"/>
          <w:szCs w:val="21"/>
          <w:highlight w:val="none"/>
          <w:lang w:val="zh-TW"/>
        </w:rPr>
      </w:pPr>
      <w:r/>
      <w:bookmarkStart w:id="68" w:name="_Toc26235"/>
      <w:r>
        <w:rPr>
          <w:rFonts w:hint="eastAsia" w:ascii="宋体" w:hAnsi="宋体" w:cs="宋体"/>
          <w:color w:val="000000" w:themeColor="text1"/>
          <w:sz w:val="21"/>
          <w:szCs w:val="21"/>
          <w:highlight w:val="none"/>
          <w:lang w:val="zh-TW"/>
        </w:rPr>
        <w:t xml:space="preserve">附件十</w:t>
      </w:r>
      <w:r>
        <w:rPr>
          <w:rFonts w:hint="eastAsia" w:ascii="宋体" w:hAnsi="宋体" w:cs="宋体"/>
          <w:color w:val="000000" w:themeColor="text1"/>
          <w:sz w:val="21"/>
          <w:szCs w:val="21"/>
          <w:highlight w:val="none"/>
        </w:rPr>
        <w:t xml:space="preserve">三</w:t>
      </w:r>
      <w:r>
        <w:rPr>
          <w:rFonts w:hint="eastAsia" w:ascii="宋体" w:hAnsi="宋体" w:cs="宋体"/>
          <w:color w:val="000000" w:themeColor="text1"/>
          <w:sz w:val="21"/>
          <w:szCs w:val="21"/>
          <w:highlight w:val="none"/>
          <w:lang w:val="zh-TW"/>
        </w:rPr>
        <w:t xml:space="preserve">、政府采购节能产品政策</w:t>
      </w:r>
      <w:bookmarkEnd w:id="68"/>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1、根据财政部、国家发改委《节能产品政府采购实施意见》，投标产品属于《节能产品政府采购品目清单》范围内的产品，对相应产品的价格给予 1%的扣除，用扣除后的价格 参与评审。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2、评标委员会根据供应商填制的《节能产品报价表》，计算其所投节能产品（最小计算单位为品目）享受价格折扣部分的多少。</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3、投标产品（最小计算单位为品目）如为节能产品的，供应商需提供产品及型号所在清单页的复印件并用标识标明，如未提供，将不做价格扣除。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4、供应商必须保证使用节能产品参加投标的真实性，如出现虚假响应，一经查实，将按照招标文件具体规定进行处理。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5、节能产品报价表 </w:t>
      </w:r>
      <w:r/>
    </w:p>
    <w:p>
      <w:pPr>
        <w:jc w:val="cente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节能产品报价表</w:t>
      </w:r>
      <w:r/>
    </w:p>
    <w:p>
      <w:pPr>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投标供应商（加盖CA电子公章）：     项目编号：</w:t>
      </w:r>
      <w:r/>
    </w:p>
    <w:tbl>
      <w:tblPr>
        <w:tblStyle w:val="10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jc w:val="center"/>
          <w:trHeight w:val="705"/>
        </w:trPr>
        <w:tc>
          <w:tcPr>
            <w:tcW w:w="5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p>
        </w:tc>
        <w:tc>
          <w:tcPr>
            <w:tcW w:w="789"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产品名称</w:t>
            </w:r>
            <w:r/>
          </w:p>
        </w:tc>
        <w:tc>
          <w:tcPr>
            <w:tcW w:w="1327"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型号和规格</w:t>
            </w:r>
            <w:r/>
          </w:p>
        </w:tc>
        <w:tc>
          <w:tcPr>
            <w:tcW w:w="730"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p>
        </w:tc>
        <w:tc>
          <w:tcPr>
            <w:tcW w:w="1510" w:type="dxa"/>
            <w:vAlign w:val="center"/>
            <w:textDirection w:val="lrTb"/>
            <w:noWrap/>
          </w:tcPr>
          <w:p>
            <w:pPr>
              <w:jc w:val="center"/>
              <w:spacing w:before="12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原产地和</w:t>
            </w:r>
            <w:r/>
          </w:p>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制造商名称</w:t>
            </w:r>
            <w:r/>
          </w:p>
        </w:tc>
        <w:tc>
          <w:tcPr>
            <w:gridSpan w:val="2"/>
            <w:tcW w:w="1583"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节能产品认证证书编号</w:t>
            </w:r>
            <w:r/>
          </w:p>
        </w:tc>
        <w:tc>
          <w:tcPr>
            <w:tcW w:w="1689"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w:t>
            </w:r>
            <w:r/>
          </w:p>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（元人民币）</w:t>
            </w:r>
            <w:r/>
          </w:p>
        </w:tc>
        <w:tc>
          <w:tcPr>
            <w:tcW w:w="1714"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总价</w:t>
            </w:r>
            <w:r/>
          </w:p>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（元人民币）</w:t>
            </w:r>
            <w:r/>
          </w:p>
        </w:tc>
      </w:tr>
      <w:tr>
        <w:trPr>
          <w:jc w:val="center"/>
          <w:trHeight w:val="705"/>
        </w:trPr>
        <w:tc>
          <w:tcPr>
            <w:tcW w:w="5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89"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327"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30"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510"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gridSpan w:val="2"/>
            <w:tcW w:w="1583"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89"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14" w:type="dxa"/>
            <w:vAlign w:val="center"/>
            <w:textDirection w:val="lrTb"/>
            <w:noWrap/>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Height w:val="705"/>
        </w:trPr>
        <w:tc>
          <w:tcPr>
            <w:tcW w:w="5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89"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327"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30"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510"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gridSpan w:val="2"/>
            <w:tcW w:w="1583"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89"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14" w:type="dxa"/>
            <w:vAlign w:val="center"/>
            <w:textDirection w:val="lrTb"/>
            <w:noWrap/>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Height w:val="705"/>
        </w:trPr>
        <w:tc>
          <w:tcPr>
            <w:gridSpan w:val="6"/>
            <w:tcW w:w="5473" w:type="dxa"/>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其中，节能产品总计：</w:t>
            </w:r>
            <w:r/>
          </w:p>
        </w:tc>
        <w:tc>
          <w:tcPr>
            <w:gridSpan w:val="3"/>
            <w:tcW w:w="4381" w:type="dxa"/>
            <w:vAlign w:val="center"/>
            <w:textDirection w:val="lrTb"/>
            <w:noWrap/>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420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TW"/>
        </w:rPr>
        <w:t xml:space="preserve">法定代表人/授权代表（签字或盖章）</w:t>
      </w:r>
      <w:r>
        <w:rPr>
          <w:rFonts w:hint="eastAsia" w:ascii="宋体" w:hAnsi="宋体" w:cs="宋体"/>
          <w:color w:val="000000" w:themeColor="text1"/>
          <w:szCs w:val="21"/>
          <w:highlight w:val="none"/>
        </w:rPr>
        <w:t xml:space="preserve">:</w:t>
      </w:r>
      <w:r/>
    </w:p>
    <w:p>
      <w:pPr>
        <w:ind w:firstLine="420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日期：年月日</w:t>
      </w:r>
      <w:r/>
    </w:p>
    <w:p>
      <w:pPr>
        <w:rPr>
          <w:rFonts w:ascii="宋体" w:hAnsi="宋体" w:cs="宋体"/>
          <w:b/>
          <w:bCs/>
          <w:color w:val="000000" w:themeColor="text1"/>
          <w:szCs w:val="21"/>
          <w:highlight w:val="none"/>
          <w:lang w:val="zh-TW"/>
        </w:rPr>
      </w:pPr>
      <w:r>
        <w:rPr>
          <w:rFonts w:hint="eastAsia" w:ascii="宋体" w:hAnsi="宋体" w:cs="宋体"/>
          <w:b/>
          <w:bCs/>
          <w:color w:val="000000" w:themeColor="text1"/>
          <w:szCs w:val="21"/>
          <w:highlight w:val="none"/>
          <w:lang w:val="zh-TW"/>
        </w:rPr>
        <w:br w:type="page" w:clear="all"/>
      </w:r>
      <w:bookmarkStart w:id="69" w:name="_Toc15194"/>
      <w:r>
        <w:rPr>
          <w:rFonts w:hint="eastAsia" w:ascii="宋体" w:hAnsi="宋体" w:cs="宋体"/>
          <w:color w:val="000000" w:themeColor="text1"/>
          <w:szCs w:val="21"/>
          <w:highlight w:val="none"/>
          <w:lang w:val="zh-TW"/>
        </w:rPr>
        <w:t xml:space="preserve">附件十</w:t>
      </w:r>
      <w:r>
        <w:rPr>
          <w:rFonts w:hint="eastAsia" w:ascii="宋体" w:hAnsi="宋体" w:cs="宋体"/>
          <w:color w:val="000000" w:themeColor="text1"/>
          <w:szCs w:val="21"/>
          <w:highlight w:val="none"/>
        </w:rPr>
        <w:t xml:space="preserve">四</w:t>
      </w:r>
      <w:r>
        <w:rPr>
          <w:rFonts w:hint="eastAsia" w:ascii="宋体" w:hAnsi="宋体" w:cs="宋体"/>
          <w:color w:val="000000" w:themeColor="text1"/>
          <w:szCs w:val="21"/>
          <w:highlight w:val="none"/>
          <w:lang w:val="zh-TW"/>
        </w:rPr>
        <w:t xml:space="preserve">、政府采购环境标志产品政策</w:t>
      </w:r>
      <w:bookmarkEnd w:id="69"/>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1、根据财政部、国家环保总局《关于环境标志产品政府采购实施的意见》，投标产品属于《环境标志产品政府采购品目清单》范围内的产品，对相应产品的价格给予 1%的扣除，用扣除后的价格参与评审。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2、评标委员会根据供应商填制的《环境标志产品报价表》，计算其所投环境标志产品（最小计算单位为品目）享受价格折扣部分的多少。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3、投标产品（最小计算单位为品目）如为环境标志产品的，供应商需提供产品及型号所在清单页的复印件并用标识标明，如未提供，将不做价格扣除。</w:t>
      </w:r>
      <w:r/>
    </w:p>
    <w:p>
      <w:pPr>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4、供应商必须保证使用环境标志产品参加投标的真实性，如出现虚假响应，一经查实，将按照招标文件具体规定进行处理。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5、环境标志产品报价表 </w:t>
      </w:r>
      <w:r/>
    </w:p>
    <w:p>
      <w:pPr>
        <w:jc w:val="center"/>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环境标志产品报价表</w:t>
      </w:r>
      <w:r/>
    </w:p>
    <w:p>
      <w:pPr>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投标供应商（加盖CA电子公章）：     项目编号：</w:t>
      </w:r>
      <w:r/>
    </w:p>
    <w:tbl>
      <w:tblPr>
        <w:tblStyle w:val="10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jc w:val="center"/>
          <w:trHeight w:val="705"/>
        </w:trPr>
        <w:tc>
          <w:tcPr>
            <w:tcW w:w="5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p>
        </w:tc>
        <w:tc>
          <w:tcPr>
            <w:tcW w:w="734"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产品名称</w:t>
            </w:r>
            <w:r/>
          </w:p>
        </w:tc>
        <w:tc>
          <w:tcPr>
            <w:tcW w:w="110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型号和规格</w:t>
            </w:r>
            <w:r/>
          </w:p>
        </w:tc>
        <w:tc>
          <w:tcPr>
            <w:tcW w:w="786"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p>
        </w:tc>
        <w:tc>
          <w:tcPr>
            <w:tcW w:w="1875" w:type="dxa"/>
            <w:vAlign w:val="center"/>
            <w:textDirection w:val="lrTb"/>
            <w:noWrap/>
          </w:tcPr>
          <w:p>
            <w:pPr>
              <w:jc w:val="center"/>
              <w:spacing w:before="12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原产地和</w:t>
            </w:r>
            <w:r/>
          </w:p>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制造商名称</w:t>
            </w:r>
            <w:r/>
          </w:p>
        </w:tc>
        <w:tc>
          <w:tcPr>
            <w:gridSpan w:val="2"/>
            <w:tcW w:w="17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环境标志产品认证证书证书编号</w:t>
            </w:r>
            <w:r/>
          </w:p>
        </w:tc>
        <w:tc>
          <w:tcPr>
            <w:tcW w:w="1513"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w:t>
            </w:r>
            <w:r/>
          </w:p>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（元人民币）</w:t>
            </w:r>
            <w:r/>
          </w:p>
        </w:tc>
        <w:tc>
          <w:tcPr>
            <w:tcW w:w="1620" w:type="dxa"/>
            <w:vAlign w:val="center"/>
            <w:textDirection w:val="lrTb"/>
            <w:noWrap/>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总价</w:t>
            </w:r>
            <w:r/>
          </w:p>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（元人民币）</w:t>
            </w:r>
            <w:r/>
          </w:p>
        </w:tc>
      </w:tr>
      <w:tr>
        <w:trPr>
          <w:jc w:val="center"/>
          <w:trHeight w:val="705"/>
        </w:trPr>
        <w:tc>
          <w:tcPr>
            <w:tcW w:w="5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34"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0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86"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875"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gridSpan w:val="2"/>
            <w:tcW w:w="17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513"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20" w:type="dxa"/>
            <w:vAlign w:val="center"/>
            <w:textDirection w:val="lrTb"/>
            <w:noWrap/>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Height w:val="705"/>
        </w:trPr>
        <w:tc>
          <w:tcPr>
            <w:tcW w:w="5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34"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10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786"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875"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gridSpan w:val="2"/>
            <w:tcW w:w="1712"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513" w:type="dxa"/>
            <w:vAlign w:val="center"/>
            <w:textDirection w:val="lrTb"/>
            <w:noWrap/>
          </w:tcPr>
          <w:p>
            <w:pPr>
              <w:jc w:val="center"/>
              <w:spacing w:before="60" w:after="60"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620" w:type="dxa"/>
            <w:vAlign w:val="center"/>
            <w:textDirection w:val="lrTb"/>
            <w:noWrap/>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jc w:val="center"/>
          <w:trHeight w:val="705"/>
        </w:trPr>
        <w:tc>
          <w:tcPr>
            <w:gridSpan w:val="6"/>
            <w:tcW w:w="6042" w:type="dxa"/>
            <w:textDirection w:val="lrTb"/>
            <w:noWrap/>
          </w:tcPr>
          <w:p>
            <w:pPr>
              <w:jc w:val="center"/>
              <w:spacing w:before="60" w:after="60"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其中，</w:t>
            </w:r>
            <w:r>
              <w:rPr>
                <w:rFonts w:hint="eastAsia" w:ascii="宋体" w:hAnsi="宋体" w:cs="宋体"/>
                <w:bCs/>
                <w:color w:val="000000" w:themeColor="text1"/>
                <w:szCs w:val="21"/>
                <w:highlight w:val="none"/>
              </w:rPr>
              <w:t xml:space="preserve">环境标志</w:t>
            </w:r>
            <w:r>
              <w:rPr>
                <w:rFonts w:hint="eastAsia" w:ascii="宋体" w:hAnsi="宋体" w:cs="宋体"/>
                <w:color w:val="000000" w:themeColor="text1"/>
                <w:szCs w:val="21"/>
                <w:highlight w:val="none"/>
              </w:rPr>
              <w:t xml:space="preserve">产品总计：</w:t>
            </w:r>
            <w:r/>
          </w:p>
        </w:tc>
        <w:tc>
          <w:tcPr>
            <w:gridSpan w:val="3"/>
            <w:tcW w:w="3812" w:type="dxa"/>
            <w:vAlign w:val="center"/>
            <w:textDirection w:val="lrTb"/>
            <w:noWrap/>
          </w:tcPr>
          <w:p>
            <w:pPr>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200"/>
        <w:spacing w:line="360" w:lineRule="auto"/>
        <w:rPr>
          <w:rFonts w:ascii="宋体" w:hAnsi="宋体" w:cs="宋体"/>
          <w:color w:val="000000" w:themeColor="text1"/>
          <w:szCs w:val="21"/>
          <w:highlight w:val="none"/>
          <w:lang w:val="zh-TW"/>
        </w:rPr>
      </w:pPr>
      <w:r>
        <w:rPr>
          <w:rFonts w:ascii="宋体" w:hAnsi="宋体" w:cs="宋体"/>
          <w:color w:val="000000" w:themeColor="text1"/>
          <w:szCs w:val="21"/>
          <w:highlight w:val="none"/>
          <w:lang w:val="zh-TW"/>
        </w:rPr>
      </w:r>
      <w:r/>
    </w:p>
    <w:p>
      <w:pPr>
        <w:ind w:firstLine="420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TW"/>
        </w:rPr>
        <w:t xml:space="preserve">法定代表人/授权代表（签字或盖章）</w:t>
      </w:r>
      <w:r>
        <w:rPr>
          <w:rFonts w:hint="eastAsia" w:ascii="宋体" w:hAnsi="宋体" w:cs="宋体"/>
          <w:color w:val="000000" w:themeColor="text1"/>
          <w:szCs w:val="21"/>
          <w:highlight w:val="none"/>
        </w:rPr>
        <w:t xml:space="preserve">:</w:t>
      </w:r>
      <w:r/>
    </w:p>
    <w:p>
      <w:pPr>
        <w:ind w:firstLine="4200"/>
        <w:spacing w:line="360" w:lineRule="auto"/>
        <w:rPr>
          <w:rFonts w:ascii="宋体" w:hAnsi="宋体" w:cs="宋体"/>
          <w:b/>
          <w:color w:val="000000" w:themeColor="text1"/>
          <w:szCs w:val="21"/>
          <w:highlight w:val="none"/>
        </w:rPr>
        <w:sectPr>
          <w:footerReference w:type="default" r:id="rId14"/>
          <w:footerReference w:type="even"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themeColor="text1"/>
          <w:szCs w:val="21"/>
          <w:highlight w:val="none"/>
        </w:rPr>
        <w:t xml:space="preserve">日期：年月日</w:t>
      </w:r>
      <w:r/>
    </w:p>
    <w:p>
      <w:pPr>
        <w:pStyle w:val="1200"/>
        <w:numPr>
          <w:ilvl w:val="0"/>
          <w:numId w:val="0"/>
        </w:numPr>
        <w:ind w:left="420"/>
        <w:spacing w:before="0" w:after="0" w:line="240" w:lineRule="auto"/>
        <w:rPr>
          <w:rFonts w:ascii="宋体" w:hAnsi="宋体" w:cs="宋体"/>
          <w:color w:val="000000" w:themeColor="text1"/>
          <w:sz w:val="21"/>
          <w:szCs w:val="21"/>
          <w:highlight w:val="none"/>
          <w:lang w:val="zh-TW"/>
        </w:rPr>
      </w:pPr>
      <w:r/>
      <w:bookmarkStart w:id="70" w:name="_Toc26549"/>
      <w:r>
        <w:rPr>
          <w:rFonts w:hint="eastAsia" w:ascii="宋体" w:hAnsi="宋体" w:cs="宋体"/>
          <w:color w:val="000000" w:themeColor="text1"/>
          <w:sz w:val="21"/>
          <w:szCs w:val="21"/>
          <w:highlight w:val="none"/>
          <w:lang w:val="zh-TW"/>
        </w:rPr>
        <w:t xml:space="preserve">附件</w:t>
      </w:r>
      <w:r>
        <w:rPr>
          <w:rFonts w:hint="eastAsia" w:ascii="宋体" w:hAnsi="宋体" w:cs="宋体"/>
          <w:color w:val="000000" w:themeColor="text1"/>
          <w:sz w:val="21"/>
          <w:szCs w:val="21"/>
          <w:highlight w:val="none"/>
        </w:rPr>
        <w:t xml:space="preserve">十五</w:t>
      </w:r>
      <w:r>
        <w:rPr>
          <w:rFonts w:hint="eastAsia" w:ascii="宋体" w:hAnsi="宋体" w:cs="宋体"/>
          <w:color w:val="000000" w:themeColor="text1"/>
          <w:sz w:val="21"/>
          <w:szCs w:val="21"/>
          <w:highlight w:val="none"/>
          <w:lang w:val="zh-TW"/>
        </w:rPr>
        <w:t xml:space="preserve">、政府采购实施本国产品标准及相关政策（如适用）</w:t>
      </w:r>
      <w:bookmarkEnd w:id="70"/>
      <w:r/>
      <w:r/>
    </w:p>
    <w:p>
      <w:pPr>
        <w:jc w:val="center"/>
        <w:keepLines/>
        <w:keepNext/>
        <w:spacing w:line="360" w:lineRule="auto"/>
        <w:rPr>
          <w:rFonts w:ascii="宋体" w:hAnsi="宋体" w:cs="宋体"/>
          <w:b/>
          <w:color w:val="000000" w:themeColor="text1"/>
          <w:szCs w:val="21"/>
          <w:highlight w:val="none"/>
        </w:rPr>
      </w:pPr>
      <w:r/>
      <w:bookmarkStart w:id="71" w:name="_Toc6335"/>
      <w:r/>
      <w:r/>
    </w:p>
    <w:p>
      <w:pPr>
        <w:jc w:val="center"/>
        <w:keepLines/>
        <w:keepNex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关于符合本国产品标准的声明函</w:t>
      </w:r>
      <w:bookmarkEnd w:id="71"/>
      <w:r/>
      <w:r/>
    </w:p>
    <w:p>
      <w:pPr>
        <w:pStyle w:val="1255"/>
        <w:ind w:firstLine="420"/>
        <w:spacing w:before="0" w:beforeAutospacing="0" w:after="0" w:afterAutospacing="0" w:line="360" w:lineRule="auto"/>
        <w:rPr>
          <w:color w:val="000000" w:themeColor="text1"/>
          <w:sz w:val="21"/>
          <w:szCs w:val="21"/>
          <w:highlight w:val="none"/>
        </w:rPr>
      </w:pPr>
      <w:r>
        <w:rPr>
          <w:rFonts w:hint="eastAsia"/>
          <w:color w:val="000000" w:themeColor="text1"/>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55"/>
        <w:ind w:firstLine="420"/>
        <w:spacing w:before="30" w:beforeAutospacing="0" w:after="30" w:afterAutospacing="0" w:line="360" w:lineRule="auto"/>
        <w:rPr>
          <w:color w:val="000000" w:themeColor="text1"/>
          <w:sz w:val="21"/>
          <w:szCs w:val="21"/>
          <w:highlight w:val="none"/>
        </w:rPr>
      </w:pP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477520</wp:posOffset>
                </wp:positionH>
                <wp:positionV relativeFrom="paragraph">
                  <wp:posOffset>584835</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0" o:spid="_x0000_s10" o:spt="1" type="#_x0000_t1" style="position:absolute;z-index:251670528;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5082540</wp:posOffset>
                </wp:positionH>
                <wp:positionV relativeFrom="paragraph">
                  <wp:posOffset>306705</wp:posOffset>
                </wp:positionV>
                <wp:extent cx="771525" cy="9715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71525" cy="97155"/>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1" o:spid="_x0000_s11" o:spt="1" type="#_x0000_t1" style="position:absolute;z-index:25167155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3300095</wp:posOffset>
                </wp:positionH>
                <wp:positionV relativeFrom="paragraph">
                  <wp:posOffset>292100</wp:posOffset>
                </wp:positionV>
                <wp:extent cx="603250" cy="1016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3250" cy="10160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2" o:spid="_x0000_s12" o:spt="1" type="#_x0000_t1" style="position:absolute;z-index:251672576;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2205990</wp:posOffset>
                </wp:positionH>
                <wp:positionV relativeFrom="paragraph">
                  <wp:posOffset>295275</wp:posOffset>
                </wp:positionV>
                <wp:extent cx="739140" cy="1346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39140" cy="13462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3" o:spid="_x0000_s13" o:spt="1" type="#_x0000_t1" style="position:absolute;z-index:251673600;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364490" cy="9779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4" o:spid="_x0000_s14" o:spt="1" type="#_x0000_t1" style="position:absolute;z-index:251674624;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4248150</wp:posOffset>
                </wp:positionH>
                <wp:positionV relativeFrom="paragraph">
                  <wp:posOffset>43180</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5" o:spid="_x0000_s15" o:spt="1" type="#_x0000_t1" style="position:absolute;z-index:251675648;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filled="f" strokecolor="#000000">
                <v:textbox inset="0,0,0,0">
                  <w:txbxContent>
                    <w:p>
                      <w:r/>
                      <w:r/>
                    </w:p>
                  </w:txbxContent>
                </v:textbox>
              </v:shape>
            </w:pict>
          </mc:Fallback>
        </mc:AlternateContent>
      </w:r>
      <w:r>
        <w:rPr>
          <w:rFonts w:hint="eastAsia"/>
          <w:color w:val="000000" w:themeColor="text1"/>
          <w:sz w:val="21"/>
          <w:szCs w:val="21"/>
          <w:highlight w:val="none"/>
          <w:shd w:val="clear" w:color="auto" w:fill="ffffff"/>
        </w:rPr>
        <w:t xml:space="preserve">1.</w:t>
      </w:r>
      <w:r>
        <w:rPr>
          <w:rStyle w:val="1265"/>
          <w:rFonts w:hint="eastAsia"/>
          <w:color w:val="000000" w:themeColor="text1"/>
          <w:sz w:val="21"/>
          <w:szCs w:val="21"/>
          <w:highlight w:val="none"/>
          <w:u w:val="single"/>
          <w:shd w:val="clear" w:color="auto" w:fill="ffffff"/>
        </w:rPr>
        <w:t xml:space="preserve">（产品名称1）</w:t>
      </w:r>
      <w:r>
        <w:rPr>
          <w:rStyle w:val="1265"/>
          <w:rFonts w:hint="eastAsia"/>
          <w:color w:val="000000" w:themeColor="text1"/>
          <w:sz w:val="21"/>
          <w:szCs w:val="21"/>
          <w:highlight w:val="none"/>
          <w:shd w:val="clear" w:color="auto" w:fill="ffffff"/>
          <w:vertAlign w:val="superscript"/>
        </w:rPr>
        <w:t xml:space="preserve">1</w:t>
      </w:r>
      <w:r>
        <w:rPr>
          <w:rFonts w:hint="eastAsia"/>
          <w:color w:val="000000" w:themeColor="text1"/>
          <w:sz w:val="21"/>
          <w:szCs w:val="21"/>
          <w:highlight w:val="none"/>
          <w:shd w:val="clear" w:color="auto" w:fill="ffffff"/>
        </w:rPr>
        <w:t xml:space="preserve">，生产厂为</w:t>
      </w:r>
      <w:r>
        <w:rPr>
          <w:rStyle w:val="1265"/>
          <w:rFonts w:hint="eastAsia"/>
          <w:color w:val="000000" w:themeColor="text1"/>
          <w:sz w:val="21"/>
          <w:szCs w:val="21"/>
          <w:highlight w:val="none"/>
          <w:u w:val="single"/>
          <w:shd w:val="clear" w:color="auto" w:fill="ffffff"/>
        </w:rPr>
        <w:t xml:space="preserve">（厂名）</w:t>
      </w:r>
      <w:r>
        <w:rPr>
          <w:rStyle w:val="1265"/>
          <w:rFonts w:hint="eastAsia"/>
          <w:color w:val="000000" w:themeColor="text1"/>
          <w:sz w:val="21"/>
          <w:szCs w:val="21"/>
          <w:highlight w:val="none"/>
          <w:shd w:val="clear" w:color="auto" w:fill="ffffff"/>
          <w:vertAlign w:val="superscript"/>
        </w:rPr>
        <w:t xml:space="preserve">2</w:t>
      </w:r>
      <w:r>
        <w:rPr>
          <w:rFonts w:hint="eastAsia"/>
          <w:color w:val="000000" w:themeColor="text1"/>
          <w:sz w:val="21"/>
          <w:szCs w:val="21"/>
          <w:highlight w:val="none"/>
          <w:shd w:val="clear" w:color="auto" w:fill="ffffff"/>
        </w:rPr>
        <w:t xml:space="preserve">，厂址为</w:t>
      </w:r>
      <w:r>
        <w:rPr>
          <w:rStyle w:val="1265"/>
          <w:rFonts w:hint="eastAsia"/>
          <w:color w:val="000000" w:themeColor="text1"/>
          <w:sz w:val="21"/>
          <w:szCs w:val="21"/>
          <w:highlight w:val="none"/>
          <w:u w:val="single"/>
          <w:shd w:val="clear" w:color="auto" w:fill="ffffff"/>
        </w:rPr>
        <w:t xml:space="preserve">（生产厂址）</w:t>
      </w:r>
      <w:r>
        <w:rPr>
          <w:rFonts w:hint="eastAsia"/>
          <w:color w:val="000000" w:themeColor="text1"/>
          <w:sz w:val="21"/>
          <w:szCs w:val="21"/>
          <w:highlight w:val="none"/>
          <w:shd w:val="clear" w:color="auto" w:fill="ffffff"/>
        </w:rPr>
        <w:t xml:space="preserve">。</w:t>
      </w:r>
      <w:r>
        <w:rPr>
          <w:rStyle w:val="1265"/>
          <w:rFonts w:hint="eastAsia"/>
          <w:color w:val="000000" w:themeColor="text1"/>
          <w:sz w:val="21"/>
          <w:szCs w:val="21"/>
          <w:highlight w:val="none"/>
          <w:u w:val="single"/>
          <w:shd w:val="clear" w:color="auto" w:fill="ffffff"/>
        </w:rPr>
        <w:t xml:space="preserve">（产品名称1） </w:t>
      </w:r>
      <w:r>
        <w:rPr>
          <w:rFonts w:hint="eastAsia"/>
          <w:color w:val="000000" w:themeColor="text1"/>
          <w:sz w:val="21"/>
          <w:szCs w:val="21"/>
          <w:highlight w:val="none"/>
          <w:shd w:val="clear" w:color="auto" w:fill="ffffff"/>
        </w:rPr>
        <w:t xml:space="preserve">的中国境内生产的组件成本占比≥</w:t>
      </w:r>
      <w:r>
        <w:rPr>
          <w:rStyle w:val="1265"/>
          <w:rFonts w:hint="eastAsia"/>
          <w:color w:val="000000" w:themeColor="text1"/>
          <w:sz w:val="21"/>
          <w:szCs w:val="21"/>
          <w:highlight w:val="none"/>
          <w:u w:val="single"/>
          <w:shd w:val="clear" w:color="auto" w:fill="ffffff"/>
        </w:rPr>
        <w:t xml:space="preserve">（规定比例）</w:t>
      </w:r>
      <w:r>
        <w:rPr>
          <w:rStyle w:val="1265"/>
          <w:rFonts w:hint="eastAsia"/>
          <w:color w:val="000000" w:themeColor="text1"/>
          <w:sz w:val="21"/>
          <w:szCs w:val="21"/>
          <w:highlight w:val="none"/>
          <w:shd w:val="clear" w:color="auto" w:fill="ffffff"/>
          <w:vertAlign w:val="superscript"/>
        </w:rPr>
        <w:t xml:space="preserve">3</w:t>
      </w:r>
      <w:r>
        <w:rPr>
          <w:rFonts w:hint="eastAsia"/>
          <w:color w:val="000000" w:themeColor="text1"/>
          <w:sz w:val="21"/>
          <w:szCs w:val="21"/>
          <w:highlight w:val="none"/>
          <w:shd w:val="clear" w:color="auto" w:fill="ffffff"/>
        </w:rPr>
        <w:t xml:space="preserve">。</w:t>
      </w:r>
      <w:r>
        <w:rPr>
          <w:rStyle w:val="1265"/>
          <w:rFonts w:hint="eastAsia"/>
          <w:color w:val="000000" w:themeColor="text1"/>
          <w:sz w:val="21"/>
          <w:szCs w:val="21"/>
          <w:highlight w:val="none"/>
          <w:u w:val="single"/>
          <w:shd w:val="clear" w:color="auto" w:fill="ffffff"/>
        </w:rPr>
        <w:t xml:space="preserve">（产品名称1）</w:t>
      </w:r>
      <w:r>
        <w:rPr>
          <w:rFonts w:hint="eastAsia"/>
          <w:color w:val="000000" w:themeColor="text1"/>
          <w:sz w:val="21"/>
          <w:szCs w:val="21"/>
          <w:highlight w:val="none"/>
          <w:shd w:val="clear" w:color="auto" w:fill="ffffff"/>
        </w:rPr>
        <w:t xml:space="preserve">的</w:t>
      </w:r>
      <w:r>
        <w:rPr>
          <w:rStyle w:val="1265"/>
          <w:rFonts w:hint="eastAsia"/>
          <w:color w:val="000000" w:themeColor="text1"/>
          <w:sz w:val="21"/>
          <w:szCs w:val="21"/>
          <w:highlight w:val="none"/>
          <w:u w:val="single"/>
          <w:shd w:val="clear" w:color="auto" w:fill="ffffff"/>
        </w:rPr>
        <w:t xml:space="preserve">（关键组件）</w:t>
      </w:r>
      <w:r>
        <w:rPr>
          <w:rStyle w:val="1265"/>
          <w:rFonts w:hint="eastAsia"/>
          <w:color w:val="000000" w:themeColor="text1"/>
          <w:sz w:val="21"/>
          <w:szCs w:val="21"/>
          <w:highlight w:val="none"/>
          <w:shd w:val="clear" w:color="auto" w:fill="ffffff"/>
          <w:vertAlign w:val="superscript"/>
        </w:rPr>
        <w:t xml:space="preserve">4</w:t>
      </w:r>
      <w:r>
        <w:rPr>
          <w:rFonts w:hint="eastAsia"/>
          <w:color w:val="000000" w:themeColor="text1"/>
          <w:sz w:val="21"/>
          <w:szCs w:val="21"/>
          <w:highlight w:val="none"/>
          <w:shd w:val="clear" w:color="auto" w:fill="ffffff"/>
        </w:rPr>
        <w:t xml:space="preserve">在中国境内生产。</w:t>
      </w:r>
      <w:r>
        <w:rPr>
          <w:rStyle w:val="1265"/>
          <w:rFonts w:hint="eastAsia"/>
          <w:color w:val="000000" w:themeColor="text1"/>
          <w:sz w:val="21"/>
          <w:szCs w:val="21"/>
          <w:highlight w:val="none"/>
          <w:u w:val="single"/>
          <w:shd w:val="clear" w:color="auto" w:fill="ffffff"/>
        </w:rPr>
        <w:t xml:space="preserve">（产品名称1）</w:t>
      </w:r>
      <w:r>
        <w:rPr>
          <w:rFonts w:hint="eastAsia"/>
          <w:color w:val="000000" w:themeColor="text1"/>
          <w:sz w:val="21"/>
          <w:szCs w:val="21"/>
          <w:highlight w:val="none"/>
          <w:shd w:val="clear" w:color="auto" w:fill="ffffff"/>
        </w:rPr>
        <w:t xml:space="preserve">的</w:t>
      </w:r>
      <w:r>
        <w:rPr>
          <w:rStyle w:val="1265"/>
          <w:rFonts w:hint="eastAsia"/>
          <w:color w:val="000000" w:themeColor="text1"/>
          <w:sz w:val="21"/>
          <w:szCs w:val="21"/>
          <w:highlight w:val="none"/>
          <w:u w:val="single"/>
          <w:shd w:val="clear" w:color="auto" w:fill="ffffff"/>
        </w:rPr>
        <w:t xml:space="preserve">（关键工序）</w:t>
      </w:r>
      <w:r>
        <w:rPr>
          <w:rStyle w:val="1265"/>
          <w:rFonts w:hint="eastAsia"/>
          <w:color w:val="000000" w:themeColor="text1"/>
          <w:sz w:val="21"/>
          <w:szCs w:val="21"/>
          <w:highlight w:val="none"/>
          <w:shd w:val="clear" w:color="auto" w:fill="ffffff"/>
          <w:vertAlign w:val="superscript"/>
        </w:rPr>
        <w:t xml:space="preserve">5</w:t>
      </w:r>
      <w:r>
        <w:rPr>
          <w:rFonts w:hint="eastAsia"/>
          <w:color w:val="000000" w:themeColor="text1"/>
          <w:sz w:val="21"/>
          <w:szCs w:val="21"/>
          <w:highlight w:val="none"/>
          <w:shd w:val="clear" w:color="auto" w:fill="ffffff"/>
        </w:rPr>
        <w:t xml:space="preserve">在中国境内完成。</w:t>
      </w:r>
      <w:r/>
    </w:p>
    <w:p>
      <w:pPr>
        <w:pStyle w:val="1255"/>
        <w:ind w:firstLine="420"/>
        <w:spacing w:before="30" w:beforeAutospacing="0" w:after="30" w:afterAutospacing="0" w:line="360" w:lineRule="auto"/>
        <w:rPr>
          <w:color w:val="000000" w:themeColor="text1"/>
          <w:sz w:val="21"/>
          <w:szCs w:val="21"/>
          <w:highlight w:val="none"/>
        </w:rPr>
      </w:pP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6" o:spid="_x0000_s16" o:spt="1" type="#_x0000_t1" style="position:absolute;z-index:251676672;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88950" cy="9652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7" o:spid="_x0000_s17" o:spt="1" type="#_x0000_t1" style="position:absolute;z-index:251677696;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41275</wp:posOffset>
                </wp:positionH>
                <wp:positionV relativeFrom="paragraph">
                  <wp:posOffset>577215</wp:posOffset>
                </wp:positionV>
                <wp:extent cx="587375" cy="11366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87375" cy="113665"/>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8" o:spid="_x0000_s18" o:spt="1" type="#_x0000_t1" style="position:absolute;z-index:251669504;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06095" cy="8509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19" o:spid="_x0000_s19" o:spt="1" type="#_x0000_t1" style="position:absolute;z-index:251678720;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5001260</wp:posOffset>
                </wp:positionH>
                <wp:positionV relativeFrom="paragraph">
                  <wp:posOffset>326390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20" o:spid="_x0000_s20" o:spt="1" type="#_x0000_t1" style="position:absolute;z-index:251679744;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filled="f" strokecolor="#000000">
                <v:textbox inset="0,0,0,0">
                  <w:txbxContent>
                    <w:p>
                      <w:r/>
                      <w:r/>
                    </w:p>
                  </w:txbxContent>
                </v:textbox>
              </v:shape>
            </w:pict>
          </mc:Fallback>
        </mc:AlternateContent>
      </w:r>
      <w:r>
        <w:rPr>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78180" cy="105410"/>
                        </a:xfrm>
                        <a:prstGeom prst="rect">
                          <a:avLst/>
                        </a:prstGeom>
                        <a:noFill/>
                        <a:ln>
                          <a:solidFill>
                            <a:srgbClr val="000000"/>
                          </a:solidFill>
                          <a:round/>
                        </a:ln>
                      </wps:spPr>
                      <wps:txbx>
                        <w:txbxContent>
                          <w:p>
                            <w:r/>
                            <w:r/>
                          </w:p>
                        </w:txbxContent>
                      </wps:txbx>
                      <wps:bodyPr wrap="square" upright="1"/>
                    </wps:wsp>
                  </a:graphicData>
                </a:graphic>
              </wp:anchor>
            </w:drawing>
          </mc:Choice>
          <mc:Fallback>
            <w:pict>
              <v:shape id="shape 21" o:spid="_x0000_s21" o:spt="1" type="#_x0000_t1" style="position:absolute;z-index:251680768;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filled="f" strokecolor="#000000">
                <v:textbox inset="0,0,0,0">
                  <w:txbxContent>
                    <w:p>
                      <w:r/>
                      <w:r/>
                    </w:p>
                  </w:txbxContent>
                </v:textbox>
              </v:shape>
            </w:pict>
          </mc:Fallback>
        </mc:AlternateContent>
      </w:r>
      <w:r>
        <w:rPr>
          <w:rFonts w:hint="eastAsia"/>
          <w:color w:val="000000" w:themeColor="text1"/>
          <w:sz w:val="21"/>
          <w:szCs w:val="21"/>
          <w:highlight w:val="none"/>
          <w:shd w:val="clear" w:color="auto" w:fill="ffffff"/>
        </w:rPr>
        <w:t xml:space="preserve">2.</w:t>
      </w:r>
      <w:r>
        <w:rPr>
          <w:rStyle w:val="1265"/>
          <w:rFonts w:hint="eastAsia"/>
          <w:color w:val="000000" w:themeColor="text1"/>
          <w:sz w:val="21"/>
          <w:szCs w:val="21"/>
          <w:highlight w:val="none"/>
          <w:u w:val="single"/>
          <w:shd w:val="clear" w:color="auto" w:fill="ffffff"/>
        </w:rPr>
        <w:t xml:space="preserve">（产品名称2）</w:t>
      </w:r>
      <w:r>
        <w:rPr>
          <w:rFonts w:hint="eastAsia"/>
          <w:color w:val="000000" w:themeColor="text1"/>
          <w:sz w:val="21"/>
          <w:szCs w:val="21"/>
          <w:highlight w:val="none"/>
          <w:shd w:val="clear" w:color="auto" w:fill="ffffff"/>
        </w:rPr>
        <w:t xml:space="preserve">，生产厂为</w:t>
      </w:r>
      <w:r>
        <w:rPr>
          <w:rStyle w:val="1265"/>
          <w:rFonts w:hint="eastAsia"/>
          <w:color w:val="000000" w:themeColor="text1"/>
          <w:sz w:val="21"/>
          <w:szCs w:val="21"/>
          <w:highlight w:val="none"/>
          <w:u w:val="single"/>
          <w:shd w:val="clear" w:color="auto" w:fill="ffffff"/>
        </w:rPr>
        <w:t xml:space="preserve">（厂名）</w:t>
      </w:r>
      <w:r>
        <w:rPr>
          <w:rFonts w:hint="eastAsia"/>
          <w:color w:val="000000" w:themeColor="text1"/>
          <w:sz w:val="21"/>
          <w:szCs w:val="21"/>
          <w:highlight w:val="none"/>
          <w:shd w:val="clear" w:color="auto" w:fill="ffffff"/>
        </w:rPr>
        <w:t xml:space="preserve">，厂址为</w:t>
      </w:r>
      <w:r>
        <w:rPr>
          <w:rStyle w:val="1265"/>
          <w:rFonts w:hint="eastAsia"/>
          <w:color w:val="000000" w:themeColor="text1"/>
          <w:sz w:val="21"/>
          <w:szCs w:val="21"/>
          <w:highlight w:val="none"/>
          <w:u w:val="single"/>
          <w:shd w:val="clear" w:color="auto" w:fill="ffffff"/>
        </w:rPr>
        <w:t xml:space="preserve">（生产厂址）</w:t>
      </w:r>
      <w:r>
        <w:rPr>
          <w:rFonts w:hint="eastAsia"/>
          <w:color w:val="000000" w:themeColor="text1"/>
          <w:sz w:val="21"/>
          <w:szCs w:val="21"/>
          <w:highlight w:val="none"/>
          <w:shd w:val="clear" w:color="auto" w:fill="ffffff"/>
        </w:rPr>
        <w:t xml:space="preserve">。</w:t>
      </w:r>
      <w:r>
        <w:rPr>
          <w:rStyle w:val="1265"/>
          <w:rFonts w:hint="eastAsia"/>
          <w:color w:val="000000" w:themeColor="text1"/>
          <w:sz w:val="21"/>
          <w:szCs w:val="21"/>
          <w:highlight w:val="none"/>
          <w:u w:val="single"/>
          <w:shd w:val="clear" w:color="auto" w:fill="ffffff"/>
        </w:rPr>
        <w:t xml:space="preserve">（产品名称2）</w:t>
      </w:r>
      <w:r>
        <w:rPr>
          <w:rFonts w:hint="eastAsia"/>
          <w:color w:val="000000" w:themeColor="text1"/>
          <w:sz w:val="21"/>
          <w:szCs w:val="21"/>
          <w:highlight w:val="none"/>
          <w:shd w:val="clear" w:color="auto" w:fill="ffffff"/>
        </w:rPr>
        <w:t xml:space="preserve">的中国境内生产的组件成本占比≥</w:t>
      </w:r>
      <w:r>
        <w:rPr>
          <w:rStyle w:val="1265"/>
          <w:rFonts w:hint="eastAsia"/>
          <w:color w:val="000000" w:themeColor="text1"/>
          <w:sz w:val="21"/>
          <w:szCs w:val="21"/>
          <w:highlight w:val="none"/>
          <w:u w:val="single"/>
          <w:shd w:val="clear" w:color="auto" w:fill="ffffff"/>
        </w:rPr>
        <w:t xml:space="preserve">（规定比例）</w:t>
      </w:r>
      <w:r>
        <w:rPr>
          <w:rFonts w:hint="eastAsia"/>
          <w:color w:val="000000" w:themeColor="text1"/>
          <w:sz w:val="21"/>
          <w:szCs w:val="21"/>
          <w:highlight w:val="none"/>
          <w:shd w:val="clear" w:color="auto" w:fill="ffffff"/>
        </w:rPr>
        <w:t xml:space="preserve">。</w:t>
      </w:r>
      <w:r>
        <w:rPr>
          <w:rStyle w:val="1265"/>
          <w:rFonts w:hint="eastAsia"/>
          <w:color w:val="000000" w:themeColor="text1"/>
          <w:sz w:val="21"/>
          <w:szCs w:val="21"/>
          <w:highlight w:val="none"/>
          <w:u w:val="single"/>
          <w:shd w:val="clear" w:color="auto" w:fill="ffffff"/>
        </w:rPr>
        <w:t xml:space="preserve">（产品名称2）</w:t>
      </w:r>
      <w:r>
        <w:rPr>
          <w:rFonts w:hint="eastAsia"/>
          <w:color w:val="000000" w:themeColor="text1"/>
          <w:sz w:val="21"/>
          <w:szCs w:val="21"/>
          <w:highlight w:val="none"/>
          <w:shd w:val="clear" w:color="auto" w:fill="ffffff"/>
        </w:rPr>
        <w:t xml:space="preserve">的</w:t>
      </w:r>
      <w:r>
        <w:rPr>
          <w:rStyle w:val="1265"/>
          <w:rFonts w:hint="eastAsia"/>
          <w:color w:val="000000" w:themeColor="text1"/>
          <w:sz w:val="21"/>
          <w:szCs w:val="21"/>
          <w:highlight w:val="none"/>
          <w:u w:val="single"/>
          <w:shd w:val="clear" w:color="auto" w:fill="ffffff"/>
        </w:rPr>
        <w:t xml:space="preserve">（关键组件）</w:t>
      </w:r>
      <w:r>
        <w:rPr>
          <w:rFonts w:hint="eastAsia"/>
          <w:color w:val="000000" w:themeColor="text1"/>
          <w:sz w:val="21"/>
          <w:szCs w:val="21"/>
          <w:highlight w:val="none"/>
          <w:shd w:val="clear" w:color="auto" w:fill="ffffff"/>
        </w:rPr>
        <w:t xml:space="preserve">在中国境内生产。</w:t>
      </w:r>
      <w:r>
        <w:rPr>
          <w:rStyle w:val="1265"/>
          <w:rFonts w:hint="eastAsia"/>
          <w:color w:val="000000" w:themeColor="text1"/>
          <w:sz w:val="21"/>
          <w:szCs w:val="21"/>
          <w:highlight w:val="none"/>
          <w:u w:val="single"/>
          <w:shd w:val="clear" w:color="auto" w:fill="ffffff"/>
        </w:rPr>
        <w:t xml:space="preserve">（产品名称2）</w:t>
      </w:r>
      <w:r>
        <w:rPr>
          <w:rFonts w:hint="eastAsia"/>
          <w:color w:val="000000" w:themeColor="text1"/>
          <w:sz w:val="21"/>
          <w:szCs w:val="21"/>
          <w:highlight w:val="none"/>
          <w:shd w:val="clear" w:color="auto" w:fill="ffffff"/>
        </w:rPr>
        <w:t xml:space="preserve">的</w:t>
      </w:r>
      <w:r>
        <w:rPr>
          <w:rStyle w:val="1265"/>
          <w:rFonts w:hint="eastAsia"/>
          <w:color w:val="000000" w:themeColor="text1"/>
          <w:sz w:val="21"/>
          <w:szCs w:val="21"/>
          <w:highlight w:val="none"/>
          <w:u w:val="single"/>
          <w:shd w:val="clear" w:color="auto" w:fill="ffffff"/>
        </w:rPr>
        <w:t xml:space="preserve">（关键工序）</w:t>
      </w:r>
      <w:r>
        <w:rPr>
          <w:rFonts w:hint="eastAsia"/>
          <w:color w:val="000000" w:themeColor="text1"/>
          <w:sz w:val="21"/>
          <w:szCs w:val="21"/>
          <w:highlight w:val="none"/>
          <w:shd w:val="clear" w:color="auto" w:fill="ffffff"/>
        </w:rPr>
        <w:t xml:space="preserve">在中国境内完成。</w:t>
      </w:r>
      <w:r/>
    </w:p>
    <w:p>
      <w:pPr>
        <w:pStyle w:val="1255"/>
        <w:ind w:firstLine="420"/>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w:t>
      </w:r>
      <w:r/>
    </w:p>
    <w:p>
      <w:pPr>
        <w:pStyle w:val="1255"/>
        <w:ind w:firstLine="420"/>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本公司（单位）对上述声明内容的真实性负责。如有虚假，愿承担相应法律责任。</w:t>
      </w:r>
      <w:r/>
    </w:p>
    <w:p>
      <w:pPr>
        <w:pStyle w:val="1255"/>
        <w:spacing w:before="30" w:beforeAutospacing="0" w:after="30" w:afterAutospacing="0" w:line="360" w:lineRule="auto"/>
        <w:rPr>
          <w:color w:val="000000" w:themeColor="text1"/>
          <w:sz w:val="21"/>
          <w:szCs w:val="21"/>
          <w:highlight w:val="none"/>
        </w:rPr>
      </w:pPr>
      <w:r>
        <w:rPr>
          <w:color w:val="000000" w:themeColor="text1"/>
          <w:sz w:val="21"/>
          <w:szCs w:val="21"/>
          <w:highlight w:val="none"/>
        </w:rPr>
      </w:r>
      <w:r/>
    </w:p>
    <w:p>
      <w:pPr>
        <w:pStyle w:val="1255"/>
        <w:ind w:right="480" w:firstLine="3255"/>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公司（单位）名称</w:t>
      </w:r>
      <w:r>
        <w:rPr>
          <w:rFonts w:hint="eastAsia"/>
          <w:color w:val="000000" w:themeColor="text1"/>
          <w:sz w:val="21"/>
          <w:szCs w:val="21"/>
          <w:highlight w:val="none"/>
        </w:rPr>
        <w:t xml:space="preserve">（加盖CA电子公章）</w:t>
      </w:r>
      <w:r>
        <w:rPr>
          <w:rFonts w:hint="eastAsia"/>
          <w:color w:val="000000" w:themeColor="text1"/>
          <w:sz w:val="21"/>
          <w:szCs w:val="21"/>
          <w:highlight w:val="none"/>
          <w:shd w:val="clear" w:color="auto" w:fill="ffffff"/>
        </w:rPr>
        <w:t xml:space="preserve">：　        </w:t>
      </w:r>
      <w:r/>
    </w:p>
    <w:p>
      <w:pPr>
        <w:pStyle w:val="1255"/>
        <w:jc w:val="center"/>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                                日期：　   年　  月　  日         </w:t>
      </w:r>
      <w:r/>
    </w:p>
    <w:p>
      <w:pPr>
        <w:pStyle w:val="1255"/>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__________________</w:t>
      </w:r>
      <w:r/>
    </w:p>
    <w:p>
      <w:pPr>
        <w:pStyle w:val="1255"/>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1.产品如有型号，请在“产品名称”栏一并填写。</w:t>
      </w:r>
      <w:r/>
    </w:p>
    <w:p>
      <w:pPr>
        <w:pStyle w:val="1255"/>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2.生产厂名与厂址应与生产厂营业执照载明的相关信息保持一致。</w:t>
      </w:r>
      <w:r/>
    </w:p>
    <w:p>
      <w:pPr>
        <w:pStyle w:val="1255"/>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3.该产品的中国境内生产的组件成本占比相关要求实施前，“规定比例”栏可不填，下同。</w:t>
      </w:r>
      <w:r/>
    </w:p>
    <w:p>
      <w:pPr>
        <w:pStyle w:val="1255"/>
        <w:spacing w:before="30" w:beforeAutospacing="0" w:after="30" w:afterAutospacing="0" w:line="360" w:lineRule="auto"/>
        <w:rPr>
          <w:color w:val="000000" w:themeColor="text1"/>
          <w:sz w:val="21"/>
          <w:szCs w:val="21"/>
          <w:highlight w:val="none"/>
        </w:rPr>
      </w:pPr>
      <w:r>
        <w:rPr>
          <w:rFonts w:hint="eastAsia"/>
          <w:color w:val="000000" w:themeColor="text1"/>
          <w:sz w:val="21"/>
          <w:szCs w:val="21"/>
          <w:highlight w:val="none"/>
          <w:shd w:val="clear" w:color="auto" w:fill="ffffff"/>
        </w:rPr>
        <w:t xml:space="preserve">4.该产品的关键组件要求实施前，“关键组件”栏可不填，下同。</w:t>
      </w:r>
      <w:r/>
    </w:p>
    <w:p>
      <w:pPr>
        <w:pStyle w:val="1255"/>
        <w:spacing w:before="30" w:beforeAutospacing="0" w:after="30" w:afterAutospacing="0" w:line="360" w:lineRule="auto"/>
        <w:rPr>
          <w:color w:val="000000" w:themeColor="text1"/>
          <w:sz w:val="21"/>
          <w:szCs w:val="21"/>
          <w:highlight w:val="none"/>
          <w:shd w:val="clear" w:color="auto" w:fill="ffffff"/>
        </w:rPr>
      </w:pPr>
      <w:r>
        <w:rPr>
          <w:rFonts w:hint="eastAsia"/>
          <w:color w:val="000000" w:themeColor="text1"/>
          <w:sz w:val="21"/>
          <w:szCs w:val="21"/>
          <w:highlight w:val="none"/>
          <w:shd w:val="clear" w:color="auto" w:fill="ffffff"/>
        </w:rPr>
        <w:t xml:space="preserve">5.该产品的关键工序要求实施前，“关键工序”栏可不填，下同。</w:t>
      </w:r>
      <w:r/>
    </w:p>
    <w:p>
      <w:pPr>
        <w:pStyle w:val="1255"/>
        <w:spacing w:before="30" w:beforeAutospacing="0" w:after="30" w:afterAutospacing="0" w:line="360" w:lineRule="auto"/>
        <w:rPr>
          <w:color w:val="000000" w:themeColor="text1"/>
          <w:sz w:val="21"/>
          <w:szCs w:val="21"/>
          <w:highlight w:val="none"/>
          <w:shd w:val="clear" w:color="auto" w:fill="ffffff"/>
        </w:rPr>
      </w:pPr>
      <w:r>
        <w:rPr>
          <w:rFonts w:hint="eastAsia"/>
          <w:color w:val="000000" w:themeColor="text1"/>
          <w:sz w:val="21"/>
          <w:szCs w:val="21"/>
          <w:highlight w:val="none"/>
          <w:shd w:val="clear" w:color="auto" w:fill="ffffff"/>
        </w:rPr>
        <w:t xml:space="preserve">6.用斜线划除的地方无需填写。</w:t>
      </w:r>
      <w:r/>
    </w:p>
    <w:p>
      <w:pPr>
        <w:pStyle w:val="1255"/>
        <w:spacing w:before="30" w:beforeAutospacing="0" w:after="30" w:afterAutospacing="0" w:line="360" w:lineRule="auto"/>
        <w:rPr>
          <w:color w:val="000000" w:themeColor="text1"/>
          <w:sz w:val="21"/>
          <w:szCs w:val="21"/>
          <w:highlight w:val="none"/>
          <w:shd w:val="clear" w:color="auto" w:fill="ffffff"/>
        </w:rPr>
      </w:pPr>
      <w:r>
        <w:rPr>
          <w:rFonts w:hint="eastAsia"/>
          <w:color w:val="000000" w:themeColor="text1"/>
          <w:sz w:val="21"/>
          <w:szCs w:val="21"/>
          <w:highlight w:val="none"/>
          <w:shd w:val="clear" w:color="auto" w:fill="ffffff"/>
        </w:rPr>
        <w:t xml:space="preserve">7.供应商提供虚假《声明函》、虚假证明文件谋取中标、成交的，依照《中华人民共和国政府采购法》等法律法规规定追究相应责任。</w:t>
      </w:r>
      <w:r/>
    </w:p>
    <w:p>
      <w:pPr>
        <w:pStyle w:val="1255"/>
        <w:spacing w:before="30" w:beforeAutospacing="0" w:after="30" w:afterAutospacing="0" w:line="360" w:lineRule="auto"/>
        <w:rPr>
          <w:color w:val="000000" w:themeColor="text1"/>
          <w:sz w:val="21"/>
          <w:szCs w:val="21"/>
          <w:highlight w:val="none"/>
          <w:shd w:val="clear" w:color="auto" w:fill="ffffff"/>
        </w:rPr>
      </w:pPr>
      <w:r>
        <w:rPr>
          <w:rFonts w:hint="eastAsia"/>
          <w:color w:val="000000" w:themeColor="text1"/>
          <w:sz w:val="21"/>
          <w:szCs w:val="21"/>
          <w:highlight w:val="none"/>
          <w:shd w:val="clear" w:color="auto" w:fill="ffffff"/>
        </w:rPr>
        <w:t xml:space="preserve">8.中标、成交供应商提供的《声明函》或有关证明文件将随中标、成交结果同时公告。</w:t>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00"/>
        <w:spacing w:before="0" w:after="0" w:line="240" w:lineRule="auto"/>
        <w:rPr>
          <w:rFonts w:ascii="宋体" w:hAnsi="宋体" w:cs="宋体"/>
          <w:b w:val="0"/>
          <w:bCs w:val="0"/>
          <w:color w:val="000000" w:themeColor="text1"/>
          <w:sz w:val="21"/>
          <w:szCs w:val="21"/>
          <w:highlight w:val="none"/>
          <w:lang w:val="zh-TW"/>
        </w:rPr>
        <w:sectPr>
          <w:footerReference w:type="default" r:id="rId17"/>
          <w:footerReference w:type="first" r:id="rId18"/>
          <w:footnotePr/>
          <w:endnotePr/>
          <w:type w:val="nextPage"/>
          <w:pgSz w:w="11900" w:h="16840" w:orient="portrait"/>
          <w:pgMar w:top="1157" w:right="1253" w:bottom="1157" w:left="1253" w:header="850" w:footer="737" w:gutter="0"/>
          <w:cols w:num="1" w:sep="0" w:space="1701" w:equalWidth="1"/>
          <w:docGrid w:linePitch="360"/>
          <w:titlePg/>
        </w:sectPr>
      </w:pPr>
      <w:r>
        <w:rPr>
          <w:rFonts w:ascii="宋体" w:hAnsi="宋体" w:cs="宋体"/>
          <w:b w:val="0"/>
          <w:bCs w:val="0"/>
          <w:color w:val="000000" w:themeColor="text1"/>
          <w:sz w:val="21"/>
          <w:szCs w:val="21"/>
          <w:highlight w:val="none"/>
          <w:lang w:val="zh-TW"/>
        </w:rPr>
      </w:r>
      <w:r/>
    </w:p>
    <w:p>
      <w:pPr>
        <w:pStyle w:val="1200"/>
        <w:numPr>
          <w:ilvl w:val="0"/>
          <w:numId w:val="0"/>
        </w:numPr>
        <w:spacing w:before="0" w:after="0" w:line="240" w:lineRule="auto"/>
        <w:rPr>
          <w:rFonts w:ascii="宋体" w:hAnsi="宋体" w:cs="宋体"/>
          <w:b w:val="0"/>
          <w:bCs w:val="0"/>
          <w:color w:val="000000" w:themeColor="text1"/>
          <w:sz w:val="21"/>
          <w:szCs w:val="21"/>
          <w:highlight w:val="none"/>
          <w:lang w:val="zh-TW"/>
        </w:rPr>
      </w:pPr>
      <w:r/>
      <w:bookmarkStart w:id="72" w:name="_Toc12143"/>
      <w:r>
        <w:rPr>
          <w:rFonts w:hint="eastAsia" w:ascii="宋体" w:hAnsi="宋体" w:cs="宋体"/>
          <w:color w:val="000000" w:themeColor="text1"/>
          <w:sz w:val="21"/>
          <w:szCs w:val="21"/>
          <w:highlight w:val="none"/>
          <w:lang w:val="zh-TW"/>
        </w:rPr>
        <w:t xml:space="preserve">附件</w:t>
      </w:r>
      <w:r>
        <w:rPr>
          <w:rFonts w:hint="eastAsia" w:ascii="宋体" w:hAnsi="宋体" w:cs="宋体"/>
          <w:color w:val="000000" w:themeColor="text1"/>
          <w:sz w:val="21"/>
          <w:szCs w:val="21"/>
          <w:highlight w:val="none"/>
        </w:rPr>
        <w:t xml:space="preserve">十六</w:t>
      </w:r>
      <w:r>
        <w:rPr>
          <w:rFonts w:hint="eastAsia" w:ascii="宋体" w:hAnsi="宋体" w:cs="宋体"/>
          <w:color w:val="000000" w:themeColor="text1"/>
          <w:sz w:val="21"/>
          <w:szCs w:val="21"/>
          <w:highlight w:val="none"/>
          <w:lang w:val="zh-TW"/>
        </w:rPr>
        <w:t xml:space="preserve">、成本比例声明函（如适用）</w:t>
      </w:r>
      <w:bookmarkEnd w:id="72"/>
      <w:r/>
      <w:r/>
    </w:p>
    <w:p>
      <w:pPr>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（适用于采购项目或者采购包中含有多种产品时，不提供或者提供声明的比例达不到要求时，不享受价格扣除） </w:t>
      </w:r>
      <w:r/>
    </w:p>
    <w:p>
      <w:pPr>
        <w:jc w:val="center"/>
        <w:spacing w:line="360" w:lineRule="auto"/>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成本比例声明函</w:t>
      </w:r>
      <w:r/>
    </w:p>
    <w:p>
      <w:pPr>
        <w:ind w:firstLine="420"/>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号）的规定，本公司（单位）提供的全部产品中，符合本国产品标准的产品成本之和占本公司（单位）提供的全部产品成本之和的比例达到（填写具体百分比）。 </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本公司（单位）对上述声明内容的真实性负责。如有虚假，愿承担相应法律责任。 </w:t>
      </w:r>
      <w:r/>
    </w:p>
    <w:p>
      <w:pPr>
        <w:ind w:left="562" w:firstLine="420"/>
        <w:jc w:val="cente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left="562" w:firstLine="420"/>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公司（单位）名称（加盖CA电子公章）：</w:t>
      </w:r>
      <w:r/>
    </w:p>
    <w:p>
      <w:pPr>
        <w:ind w:left="562" w:firstLine="420"/>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p>
    <w:p>
      <w:pPr>
        <w:ind w:left="562" w:firstLine="420"/>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ind w:left="562" w:firstLine="420"/>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p>
    <w:p>
      <w:pPr>
        <w:pStyle w:val="1230"/>
        <w:ind w:firstLine="422"/>
        <w:jc w:val="left"/>
        <w:spacing w:before="229" w:line="360" w:lineRule="auto"/>
        <w:rPr>
          <w:rFonts w:ascii="宋体" w:hAnsi="宋体" w:eastAsia="宋体" w:cs="宋体"/>
          <w:color w:val="000000" w:themeColor="text1"/>
          <w:sz w:val="21"/>
          <w:szCs w:val="21"/>
          <w:highlight w:val="none"/>
          <w:lang w:val="zh-TW"/>
        </w:rPr>
      </w:pPr>
      <w:r>
        <w:rPr>
          <w:rFonts w:hint="eastAsia" w:ascii="宋体" w:hAnsi="宋体" w:eastAsia="宋体" w:cs="宋体"/>
          <w:color w:val="000000" w:themeColor="text1"/>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jc w:val="left"/>
        <w:rPr>
          <w:color w:val="000000" w:themeColor="text1"/>
          <w:highlight w:val="none"/>
          <w:lang w:val="zh-TW"/>
        </w:rPr>
      </w:pPr>
      <w:r>
        <w:rPr>
          <w:color w:val="000000" w:themeColor="text1"/>
          <w:highlight w:val="none"/>
          <w:lang w:val="zh-TW"/>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附件十七、免费质保期承诺函（格式自拟）</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ind w:left="0"/>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附件十八、验收要求承诺书</w:t>
      </w:r>
      <w:r/>
    </w:p>
    <w:p>
      <w:pPr>
        <w:rPr>
          <w:color w:val="000000" w:themeColor="text1"/>
          <w:highlight w:val="none"/>
        </w:rPr>
      </w:pPr>
      <w:r>
        <w:rPr>
          <w:color w:val="000000" w:themeColor="text1"/>
          <w:highlight w:val="none"/>
        </w:rPr>
      </w:r>
      <w:r/>
    </w:p>
    <w:p>
      <w:pPr>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致：南京市农产品质量检测院</w:t>
      </w:r>
      <w:r/>
    </w:p>
    <w:p>
      <w:pPr>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江苏克瑞斯工程投资咨询有限责任公司</w:t>
      </w:r>
      <w:r/>
    </w:p>
    <w:p>
      <w:pPr>
        <w:ind w:firstLine="420"/>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根据贵方</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（分包编号）招标</w:t>
      </w:r>
      <w:r>
        <w:rPr>
          <w:rFonts w:hint="eastAsia" w:ascii="宋体" w:hAnsi="宋体" w:cs="宋体"/>
          <w:color w:val="000000" w:themeColor="text1"/>
          <w:szCs w:val="21"/>
          <w:highlight w:val="none"/>
          <w:lang w:val="en-US" w:eastAsia="zh-CN"/>
        </w:rPr>
        <w:t xml:space="preserve">文件</w:t>
      </w:r>
      <w:r>
        <w:rPr>
          <w:rFonts w:hint="eastAsia" w:ascii="宋体" w:hAnsi="宋体" w:cs="宋体"/>
          <w:color w:val="000000" w:themeColor="text1"/>
          <w:szCs w:val="21"/>
          <w:highlight w:val="none"/>
        </w:rPr>
        <w:t xml:space="preserve">，我公司郑重承诺，满足验收要求以下条款：</w:t>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1. 中标供应商应在仪器设备安装调试完成后，及时通知采购人进行技术测试。技术测试由采购人组织技术人员会同中标供应商，依据招标文件及投标文件等，对技术参数进行测试。技术测试所需的测试工具、标准物质（溶液）、试剂耗材等由中标供应商负责。技术测试不应视为最终验收，仅作为最终验收的前期部分。</w:t>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2. 对于技术测试不合格的仪器设备，采购人有权要求中标供应商在指定期限内无条件更换/维修，因供应商导致设备更换/维修次数不得超过1次，且更换/维修必须于合同签订后3个月内完成。逾期未完成更换/维修且更换/维修次数超过1次的，视为技术测试不合格。</w:t>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3. 技术测试完成后，采购人将依据《江苏省政府采购履约验收管理办法》的相关规定，组建验收小组，对货物的数量、外观、包装、质量、安全、功能及性能等内容进行最终验收。项目验收的依据为采购合同、招标文件及投标文件。</w:t>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4.产品</w:t>
      </w:r>
      <w:r>
        <w:rPr>
          <w:rFonts w:hint="eastAsia" w:ascii="宋体" w:hAnsi="宋体" w:cs="宋体"/>
          <w:color w:val="000000" w:themeColor="text1"/>
          <w:szCs w:val="21"/>
          <w:highlight w:val="none"/>
        </w:rPr>
        <w:t xml:space="preserve">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因无法完成最终验收造成相应财政预算资金被财政部门收回的。若发现供应商存在提供虚假材料、虚假响应等违法违规行为，采购人将上报财政部门。</w:t>
      </w:r>
      <w:r/>
    </w:p>
    <w:p>
      <w:pPr>
        <w:pStyle w:val="1020"/>
        <w:ind w:left="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5. 根据相关政府采购预算管理规定，每年12月底前，采购人需完成当年政府采购资金的年终结算及支付工作。中标供应商应在履行过程中积极配合采购人按期完成最终验收。因未能通过最终验收，进而造成相应财政预算资金被财政部门收回的，中标供应商自行承担无法获得相应合同价款的风险，不得就此向采购人主张任何逾期付款违约责任。</w:t>
      </w:r>
      <w:r/>
    </w:p>
    <w:p>
      <w:pPr>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特此承诺！</w:t>
      </w:r>
      <w:r/>
    </w:p>
    <w:p>
      <w:pPr>
        <w:ind w:firstLine="420"/>
        <w:spacing w:line="44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p>
      <w:pPr>
        <w:ind w:firstLine="420"/>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（加盖CA电子公章）</w:t>
      </w:r>
      <w:r/>
    </w:p>
    <w:p>
      <w:pPr>
        <w:ind w:firstLine="412"/>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法定代表人或授权代表（签字或签章）：</w:t>
      </w:r>
      <w:r/>
    </w:p>
    <w:p>
      <w:pPr>
        <w:pStyle w:val="1020"/>
        <w:ind w:left="0" w:firstLine="42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02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311"/>
        <w:ind w:firstLine="0"/>
        <w:spacing w:line="48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附件十九、响应交货地点、报价说明、付款要求承诺书</w:t>
      </w:r>
      <w:r/>
    </w:p>
    <w:p>
      <w:pPr>
        <w:spacing w:line="48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致：南京市农产品质量检测院</w:t>
      </w:r>
      <w:r/>
    </w:p>
    <w:p>
      <w:pPr>
        <w:spacing w:line="480" w:lineRule="auto"/>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江苏克瑞斯工程投资咨询有限责任公司</w:t>
      </w:r>
      <w:r/>
    </w:p>
    <w:p>
      <w:pPr>
        <w:pStyle w:val="1311"/>
        <w:ind w:firstLine="0"/>
        <w:spacing w:line="48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根据贵方</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（项目名称）</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（分包编号）招标</w:t>
      </w:r>
      <w:r>
        <w:rPr>
          <w:rFonts w:hint="eastAsia" w:ascii="宋体" w:hAnsi="宋体" w:cs="宋体"/>
          <w:color w:val="000000" w:themeColor="text1"/>
          <w:sz w:val="22"/>
          <w:szCs w:val="22"/>
          <w:highlight w:val="none"/>
          <w:lang w:val="en-US" w:eastAsia="zh-CN"/>
        </w:rPr>
        <w:t xml:space="preserve">文件</w:t>
      </w:r>
      <w:r>
        <w:rPr>
          <w:rFonts w:hint="eastAsia" w:ascii="宋体" w:hAnsi="宋体" w:cs="宋体"/>
          <w:color w:val="000000" w:themeColor="text1"/>
          <w:sz w:val="22"/>
          <w:szCs w:val="22"/>
          <w:highlight w:val="none"/>
        </w:rPr>
        <w:t xml:space="preserve">，我公司郑重承诺，满足以下条款：</w:t>
      </w:r>
      <w:r/>
    </w:p>
    <w:p>
      <w:pPr>
        <w:pStyle w:val="1022"/>
        <w:ind w:firstLine="220"/>
        <w:spacing w:line="48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★七</w:t>
      </w:r>
      <w:r>
        <w:rPr>
          <w:rFonts w:hint="eastAsia" w:ascii="宋体" w:hAnsi="宋体" w:cs="宋体"/>
          <w:b/>
          <w:bCs/>
          <w:color w:val="000000" w:themeColor="text1"/>
          <w:sz w:val="22"/>
          <w:szCs w:val="22"/>
          <w:highlight w:val="none"/>
        </w:rPr>
        <w:t xml:space="preserve">、交货地点：</w:t>
      </w:r>
      <w:r>
        <w:rPr>
          <w:rFonts w:hint="eastAsia" w:ascii="宋体" w:hAnsi="宋体" w:cs="宋体"/>
          <w:color w:val="000000" w:themeColor="text1"/>
          <w:sz w:val="22"/>
          <w:szCs w:val="22"/>
          <w:highlight w:val="none"/>
        </w:rPr>
        <w:t xml:space="preserve">供应商负责将产品运到采购人指定地点，由供应商负责办理运输、装卸、安装和调试等，费用由供应商负责，由采购人组织验收，检验不合格或不符合质量要求，供应商除无条件退货、返工外，还应承担采购人的一切损失。</w:t>
      </w:r>
      <w:r/>
    </w:p>
    <w:p>
      <w:pPr>
        <w:pStyle w:val="1022"/>
        <w:ind w:firstLine="0"/>
        <w:spacing w:line="480" w:lineRule="auto"/>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★八</w:t>
      </w:r>
      <w:r>
        <w:rPr>
          <w:rFonts w:hint="eastAsia" w:ascii="宋体" w:hAnsi="宋体" w:cs="宋体"/>
          <w:b/>
          <w:bCs/>
          <w:color w:val="000000" w:themeColor="text1"/>
          <w:sz w:val="22"/>
          <w:szCs w:val="22"/>
          <w:highlight w:val="none"/>
        </w:rPr>
        <w:t xml:space="preserve">、报价说明：</w:t>
      </w:r>
      <w:r/>
    </w:p>
    <w:p>
      <w:pPr>
        <w:pStyle w:val="1022"/>
        <w:ind w:firstLine="440"/>
        <w:spacing w:line="48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投标报价包括且不限于货物货价、包装费、国际运输及保险费、进口关税、进口增值税、清关报检费、港口杂费、国内运输装卸费、检测费、技术资料费、质保服务费、财务费用、外贸代理费、税金、利润及各类风险费用，直至货物送达指定地点、安装调试并验收合格的全部费用</w:t>
      </w:r>
      <w:r>
        <w:rPr>
          <w:rFonts w:hint="eastAsia" w:ascii="宋体" w:hAnsi="宋体" w:cs="宋体"/>
          <w:color w:val="000000" w:themeColor="text1"/>
          <w:sz w:val="22"/>
          <w:szCs w:val="22"/>
          <w:highlight w:val="none"/>
          <w:lang w:val="zh-CN"/>
        </w:rPr>
        <w:t xml:space="preserve">。</w:t>
      </w:r>
      <w:r/>
    </w:p>
    <w:p>
      <w:pPr>
        <w:pStyle w:val="1022"/>
        <w:ind w:firstLine="440"/>
        <w:spacing w:line="48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本项目采购人不事先指定具体的外贸代理公司，成交供应商须自行联系具有合法资质的外贸代理公司，经采购人同意后，配合采购人办理相关进口手续。外贸代理费及进口相关杂费全部由成交供应商承担，并已包含在响应总价中。采购人不再另行支付任何与外贸代理相关的费用。成交供应商在报价时不得单独列支外贸代理费。</w:t>
      </w:r>
      <w:r/>
    </w:p>
    <w:p>
      <w:pPr>
        <w:pStyle w:val="1022"/>
        <w:ind w:firstLine="0"/>
        <w:spacing w:line="480" w:lineRule="auto"/>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zh-CN"/>
        </w:rPr>
        <w:t xml:space="preserve">    采购人仅接受供应商的人民币报价（结算以人民币结算，不考虑汇率变化，因汇率变化产生的风险和收益均由成交供应商自行承担）。因贸易环境改变而增加费用的风险（包括但不限于税费、惩罚性关税、人工费、运输费、检测费）由成交供应商自行承担。</w:t>
      </w:r>
      <w:r/>
    </w:p>
    <w:p>
      <w:pPr>
        <w:pStyle w:val="1022"/>
        <w:ind w:firstLine="0"/>
        <w:spacing w:line="480" w:lineRule="auto"/>
        <w:rPr>
          <w:rFonts w:ascii="宋体" w:hAnsi="宋体" w:cs="宋体"/>
          <w:b/>
          <w:bCs/>
          <w:color w:val="000000" w:themeColor="text1"/>
          <w:sz w:val="22"/>
          <w:szCs w:val="22"/>
          <w:highlight w:val="none"/>
        </w:rPr>
      </w:pPr>
      <w:r>
        <w:rPr>
          <w:rFonts w:hint="eastAsia" w:ascii="宋体" w:hAnsi="宋体" w:cs="宋体"/>
          <w:color w:val="000000" w:themeColor="text1"/>
          <w:sz w:val="22"/>
          <w:szCs w:val="22"/>
          <w:highlight w:val="none"/>
        </w:rPr>
        <w:t xml:space="preserve">★九</w:t>
      </w:r>
      <w:r>
        <w:rPr>
          <w:rFonts w:hint="eastAsia" w:ascii="宋体" w:hAnsi="宋体" w:cs="宋体"/>
          <w:b/>
          <w:bCs/>
          <w:color w:val="000000" w:themeColor="text1"/>
          <w:sz w:val="22"/>
          <w:szCs w:val="22"/>
          <w:highlight w:val="none"/>
        </w:rPr>
        <w:t xml:space="preserve">、付款要求</w:t>
      </w:r>
      <w:r/>
    </w:p>
    <w:p>
      <w:pPr>
        <w:pStyle w:val="1311"/>
        <w:ind w:firstLine="440"/>
        <w:spacing w:line="480" w:lineRule="auto"/>
        <w:rPr>
          <w:color w:val="000000" w:themeColor="text1"/>
          <w:highlight w:val="none"/>
        </w:rPr>
      </w:pPr>
      <w:r>
        <w:rPr>
          <w:rFonts w:hint="eastAsia" w:ascii="宋体" w:hAnsi="宋体" w:cs="宋体"/>
          <w:color w:val="000000" w:themeColor="text1"/>
          <w:sz w:val="22"/>
          <w:szCs w:val="22"/>
          <w:highlight w:val="none"/>
        </w:rPr>
        <w:t xml:space="preserve">合同签订后 15 日内，甲方支付合同总价 40% 作为预付款。完成安装、调试、试运行，并经计量检定合格且通过最终验收，甲方支付合同总价 60%;</w:t>
      </w:r>
      <w:r/>
    </w:p>
    <w:p>
      <w:pPr>
        <w:ind w:firstLine="420"/>
        <w:spacing w:line="48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（加盖CA电子公章）</w:t>
      </w:r>
      <w:r/>
    </w:p>
    <w:p>
      <w:pPr>
        <w:ind w:firstLine="412"/>
        <w:jc w:val="left"/>
        <w:spacing w:line="48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法定代表人或授权代表（签字或签章）：</w:t>
      </w:r>
      <w:r/>
    </w:p>
    <w:p>
      <w:pPr>
        <w:pStyle w:val="1020"/>
        <w:ind w:left="0" w:firstLine="420"/>
        <w:rPr>
          <w:color w:val="000000" w:themeColor="text1"/>
          <w:highlight w:val="none"/>
        </w:rPr>
      </w:pPr>
      <w:r>
        <w:rPr>
          <w:rFonts w:hint="eastAsia" w:ascii="宋体" w:hAnsi="宋体" w:cs="宋体"/>
          <w:color w:val="000000" w:themeColor="text1"/>
          <w:szCs w:val="21"/>
          <w:highlight w:val="none"/>
        </w:rPr>
        <w:t xml:space="preserve">日     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p>
    <w:sectPr>
      <w:headerReference w:type="default" r:id="rId9"/>
      <w:footerReference w:type="default" r:id="rId19"/>
      <w:footerReference w:type="first" r:id="rId20"/>
      <w:footnotePr/>
      <w:endnotePr/>
      <w:type w:val="nextPage"/>
      <w:pgSz w:w="11906" w:h="16838" w:orient="portrait"/>
      <w:pgMar w:top="1123" w:right="1179" w:bottom="1123" w:left="117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楷体_GB2312">
    <w:panose1 w:val="02010609060101010101"/>
  </w:font>
  <w:font w:name="MS P 明朝">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1</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43"/>
                            <w:tabs>
                              <w:tab w:val="clear" w:pos="4153" w:leader="none"/>
                              <w:tab w:val="clear" w:pos="8306" w:leader="none"/>
                            </w:tabs>
                          </w:pPr>
                          <w:r>
                            <w:fldChar w:fldCharType="begin"/>
                          </w:r>
                          <w:r>
                            <w:instrText xml:space="preserve"> PAGE  \* MERGEFORMAT </w:instrText>
                          </w:r>
                          <w:r>
                            <w:fldChar w:fldCharType="separate"/>
                          </w:r>
                          <w:r>
                            <w:rPr>
                              <w:rFonts w:hint="eastAsia"/>
                            </w:rPr>
                            <w:t xml:space="preserve">0</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3"/>
                      <w:tabs>
                        <w:tab w:val="clear" w:pos="4153" w:leader="none"/>
                        <w:tab w:val="clear" w:pos="8306" w:leader="none"/>
                      </w:tabs>
                    </w:pPr>
                    <w:r>
                      <w:fldChar w:fldCharType="begin"/>
                    </w:r>
                    <w:r>
                      <w:instrText xml:space="preserve"> PAGE  \* MERGEFORMAT </w:instrText>
                    </w:r>
                    <w:r>
                      <w:fldChar w:fldCharType="separate"/>
                    </w:r>
                    <w:r>
                      <w:rPr>
                        <w:rFonts w:hint="eastAsia"/>
                      </w:rPr>
                      <w:t xml:space="preserve">0</w:t>
                    </w:r>
                    <w:r>
                      <w:rPr>
                        <w:rFonts w:hint="eastAsia"/>
                      </w:rPr>
                      <w:fldChar w:fldCharType="end"/>
                    </w:r>
                    <w:r/>
                  </w:p>
                  <w:p>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2"/>
                          </w:pPr>
                          <w:r>
                            <w:fldChar w:fldCharType="begin"/>
                          </w:r>
                          <w:r>
                            <w:instrText xml:space="preserve"> PAGE  \* MERGEFORMAT </w:instrText>
                          </w:r>
                          <w:r>
                            <w:fldChar w:fldCharType="separate"/>
                          </w:r>
                          <w:r>
                            <w:t xml:space="preserve">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rPr>
        <w:rStyle w:val="1263"/>
      </w:rPr>
      <w:framePr w:wrap="around" w:vAnchor="text" w:hAnchor="margin" w:xAlign="outside" w:y="1"/>
    </w:pPr>
    <w:r>
      <w:fldChar w:fldCharType="begin"/>
    </w:r>
    <w:r>
      <w:rPr>
        <w:rStyle w:val="1263"/>
      </w:rPr>
      <w:instrText xml:space="preserve">PAGE  </w:instrText>
    </w:r>
    <w:r>
      <w:fldChar w:fldCharType="end"/>
    </w:r>
    <w:r/>
  </w:p>
  <w:p>
    <w:pPr>
      <w:pStyle w:val="1243"/>
      <w:ind w:right="360" w:firstLine="360"/>
    </w:pPr>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4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2"/>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43"/>
                            <w:jc w:val="center"/>
                          </w:pPr>
                          <w:r>
                            <w:fldChar w:fldCharType="begin"/>
                          </w:r>
                          <w:r>
                            <w:instrText xml:space="preserve">PAGE   \* MERGEFORMAT</w:instrText>
                          </w:r>
                          <w:r>
                            <w:fldChar w:fldCharType="separate"/>
                          </w:r>
                          <w:r>
                            <w:rPr>
                              <w:lang w:val="zh-CN"/>
                            </w:rPr>
                            <w:t xml:space="preserve">58</w:t>
                          </w:r>
                          <w:r>
                            <w:rPr>
                              <w:lang w:val="zh-CN"/>
                            </w:rP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3"/>
                      <w:jc w:val="center"/>
                    </w:pPr>
                    <w:r>
                      <w:fldChar w:fldCharType="begin"/>
                    </w:r>
                    <w:r>
                      <w:instrText xml:space="preserve">PAGE   \* MERGEFORMAT</w:instrText>
                    </w:r>
                    <w:r>
                      <w:fldChar w:fldCharType="separate"/>
                    </w:r>
                    <w:r>
                      <w:rPr>
                        <w:lang w:val="zh-CN"/>
                      </w:rPr>
                      <w:t xml:space="preserve">58</w:t>
                    </w:r>
                    <w:r>
                      <w:rPr>
                        <w:lang w:val="zh-CN"/>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43"/>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3"/>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9.2.%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308"/>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99"/>
      <w:isLgl w:val="false"/>
      <w:suff w:val="nothing"/>
      <w:lvlText w:val="第%1章"/>
      <w:lvlJc w:val="left"/>
      <w:pPr>
        <w:ind w:left="3402" w:firstLine="0"/>
      </w:pPr>
    </w:lvl>
    <w:lvl w:ilvl="1">
      <w:start w:val="1"/>
      <w:numFmt w:val="lowerLetter"/>
      <w:pStyle w:val="1200"/>
      <w:isLgl w:val="false"/>
      <w:suff w:val="tab"/>
      <w:lvlText w:val="%2)"/>
      <w:lvlJc w:val="left"/>
      <w:pPr>
        <w:ind w:left="840" w:hanging="420"/>
        <w:tabs>
          <w:tab w:val="left" w:pos="840" w:leader="none"/>
        </w:tabs>
      </w:pPr>
    </w:lvl>
    <w:lvl w:ilvl="2">
      <w:start w:val="1"/>
      <w:numFmt w:val="lowerRoman"/>
      <w:pStyle w:val="1201"/>
      <w:isLgl w:val="false"/>
      <w:suff w:val="tab"/>
      <w:lvlText w:val="%3."/>
      <w:lvlJc w:val="right"/>
      <w:pPr>
        <w:ind w:left="1260" w:hanging="420"/>
        <w:tabs>
          <w:tab w:val="left" w:pos="1260" w:leader="none"/>
        </w:tabs>
      </w:pPr>
    </w:lvl>
    <w:lvl w:ilvl="3">
      <w:start w:val="1"/>
      <w:numFmt w:val="decimal"/>
      <w:pStyle w:val="1202"/>
      <w:isLgl w:val="false"/>
      <w:suff w:val="tab"/>
      <w:lvlText w:val="%4."/>
      <w:lvlJc w:val="left"/>
      <w:pPr>
        <w:ind w:left="1680" w:hanging="420"/>
        <w:tabs>
          <w:tab w:val="left" w:pos="1680" w:leader="none"/>
        </w:tabs>
      </w:pPr>
    </w:lvl>
    <w:lvl w:ilvl="4">
      <w:start w:val="1"/>
      <w:numFmt w:val="lowerLetter"/>
      <w:pStyle w:val="1203"/>
      <w:isLgl w:val="false"/>
      <w:suff w:val="tab"/>
      <w:lvlText w:val="%5)"/>
      <w:lvlJc w:val="left"/>
      <w:pPr>
        <w:ind w:left="2100" w:hanging="420"/>
        <w:tabs>
          <w:tab w:val="left" w:pos="2100" w:leader="none"/>
        </w:tabs>
      </w:pPr>
    </w:lvl>
    <w:lvl w:ilvl="5">
      <w:start w:val="1"/>
      <w:numFmt w:val="lowerRoman"/>
      <w:pStyle w:val="1204"/>
      <w:isLgl w:val="false"/>
      <w:suff w:val="tab"/>
      <w:lvlText w:val="%6."/>
      <w:lvlJc w:val="right"/>
      <w:pPr>
        <w:ind w:left="2520" w:hanging="420"/>
        <w:tabs>
          <w:tab w:val="left" w:pos="2520" w:leader="none"/>
        </w:tabs>
      </w:pPr>
    </w:lvl>
    <w:lvl w:ilvl="6">
      <w:start w:val="1"/>
      <w:numFmt w:val="decimal"/>
      <w:pStyle w:val="1205"/>
      <w:isLgl w:val="false"/>
      <w:suff w:val="tab"/>
      <w:lvlText w:val="%7."/>
      <w:lvlJc w:val="left"/>
      <w:pPr>
        <w:ind w:left="2940" w:hanging="420"/>
        <w:tabs>
          <w:tab w:val="left" w:pos="2940" w:leader="none"/>
        </w:tabs>
      </w:pPr>
    </w:lvl>
    <w:lvl w:ilvl="7">
      <w:start w:val="1"/>
      <w:numFmt w:val="lowerLetter"/>
      <w:pStyle w:val="1206"/>
      <w:isLgl w:val="false"/>
      <w:suff w:val="tab"/>
      <w:lvlText w:val="%8)"/>
      <w:lvlJc w:val="left"/>
      <w:pPr>
        <w:ind w:left="3360" w:hanging="420"/>
        <w:tabs>
          <w:tab w:val="left" w:pos="3360" w:leader="none"/>
        </w:tabs>
      </w:pPr>
    </w:lvl>
    <w:lvl w:ilvl="8">
      <w:start w:val="1"/>
      <w:numFmt w:val="lowerRoman"/>
      <w:pStyle w:val="1207"/>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8.%1"/>
      <w:lvlJc w:val="left"/>
      <w:pPr>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2"/>
  </w:num>
  <w:num w:numId="5">
    <w:abstractNumId w:val="1"/>
  </w:num>
  <w:num w:numId="6">
    <w:abstractNumId w:val="0"/>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18"/>
    <w:link w:val="1009"/>
    <w:uiPriority w:val="9"/>
    <w:rPr>
      <w:rFonts w:ascii="Arial" w:hAnsi="Arial" w:eastAsia="Arial" w:cs="Arial"/>
      <w:sz w:val="40"/>
      <w:szCs w:val="40"/>
    </w:rPr>
  </w:style>
  <w:style w:type="character" w:styleId="15">
    <w:name w:val="Heading 2 Char"/>
    <w:basedOn w:val="1018"/>
    <w:link w:val="1010"/>
    <w:uiPriority w:val="9"/>
    <w:rPr>
      <w:rFonts w:ascii="Arial" w:hAnsi="Arial" w:eastAsia="Arial" w:cs="Arial"/>
      <w:sz w:val="34"/>
    </w:rPr>
  </w:style>
  <w:style w:type="character" w:styleId="17">
    <w:name w:val="Heading 3 Char"/>
    <w:basedOn w:val="1018"/>
    <w:link w:val="1011"/>
    <w:uiPriority w:val="9"/>
    <w:rPr>
      <w:rFonts w:ascii="Arial" w:hAnsi="Arial" w:eastAsia="Arial" w:cs="Arial"/>
      <w:sz w:val="30"/>
      <w:szCs w:val="30"/>
    </w:rPr>
  </w:style>
  <w:style w:type="character" w:styleId="19">
    <w:name w:val="Heading 4 Char"/>
    <w:basedOn w:val="1018"/>
    <w:link w:val="1012"/>
    <w:uiPriority w:val="9"/>
    <w:rPr>
      <w:rFonts w:ascii="Arial" w:hAnsi="Arial" w:eastAsia="Arial" w:cs="Arial"/>
      <w:b/>
      <w:bCs/>
      <w:sz w:val="26"/>
      <w:szCs w:val="26"/>
    </w:rPr>
  </w:style>
  <w:style w:type="character" w:styleId="21">
    <w:name w:val="Heading 5 Char"/>
    <w:basedOn w:val="1018"/>
    <w:link w:val="1013"/>
    <w:uiPriority w:val="9"/>
    <w:rPr>
      <w:rFonts w:ascii="Arial" w:hAnsi="Arial" w:eastAsia="Arial" w:cs="Arial"/>
      <w:b/>
      <w:bCs/>
      <w:sz w:val="24"/>
      <w:szCs w:val="24"/>
    </w:rPr>
  </w:style>
  <w:style w:type="character" w:styleId="23">
    <w:name w:val="Heading 6 Char"/>
    <w:basedOn w:val="1018"/>
    <w:link w:val="1014"/>
    <w:uiPriority w:val="9"/>
    <w:rPr>
      <w:rFonts w:ascii="Arial" w:hAnsi="Arial" w:eastAsia="Arial" w:cs="Arial"/>
      <w:b/>
      <w:bCs/>
      <w:sz w:val="22"/>
      <w:szCs w:val="22"/>
    </w:rPr>
  </w:style>
  <w:style w:type="character" w:styleId="25">
    <w:name w:val="Heading 7 Char"/>
    <w:basedOn w:val="1018"/>
    <w:link w:val="1015"/>
    <w:uiPriority w:val="9"/>
    <w:rPr>
      <w:rFonts w:ascii="Arial" w:hAnsi="Arial" w:eastAsia="Arial" w:cs="Arial"/>
      <w:b/>
      <w:bCs/>
      <w:i/>
      <w:iCs/>
      <w:sz w:val="22"/>
      <w:szCs w:val="22"/>
    </w:rPr>
  </w:style>
  <w:style w:type="character" w:styleId="27">
    <w:name w:val="Heading 8 Char"/>
    <w:basedOn w:val="1018"/>
    <w:link w:val="1016"/>
    <w:uiPriority w:val="9"/>
    <w:rPr>
      <w:rFonts w:ascii="Arial" w:hAnsi="Arial" w:eastAsia="Arial" w:cs="Arial"/>
      <w:i/>
      <w:iCs/>
      <w:sz w:val="22"/>
      <w:szCs w:val="22"/>
    </w:rPr>
  </w:style>
  <w:style w:type="character" w:styleId="29">
    <w:name w:val="Heading 9 Char"/>
    <w:basedOn w:val="1018"/>
    <w:link w:val="1017"/>
    <w:uiPriority w:val="9"/>
    <w:rPr>
      <w:rFonts w:ascii="Arial" w:hAnsi="Arial" w:eastAsia="Arial" w:cs="Arial"/>
      <w:i/>
      <w:iCs/>
      <w:sz w:val="21"/>
      <w:szCs w:val="21"/>
    </w:rPr>
  </w:style>
  <w:style w:type="character" w:styleId="34">
    <w:name w:val="Title Char"/>
    <w:basedOn w:val="1018"/>
    <w:link w:val="1043"/>
    <w:uiPriority w:val="10"/>
    <w:rPr>
      <w:sz w:val="48"/>
      <w:szCs w:val="48"/>
    </w:rPr>
  </w:style>
  <w:style w:type="character" w:styleId="36">
    <w:name w:val="Subtitle Char"/>
    <w:basedOn w:val="1018"/>
    <w:link w:val="1037"/>
    <w:uiPriority w:val="11"/>
    <w:rPr>
      <w:sz w:val="24"/>
      <w:szCs w:val="24"/>
    </w:rPr>
  </w:style>
  <w:style w:type="character" w:styleId="38">
    <w:name w:val="Quote Char"/>
    <w:link w:val="1064"/>
    <w:uiPriority w:val="29"/>
    <w:rPr>
      <w:i/>
    </w:rPr>
  </w:style>
  <w:style w:type="character" w:styleId="40">
    <w:name w:val="Intense Quote Char"/>
    <w:link w:val="1066"/>
    <w:uiPriority w:val="30"/>
    <w:rPr>
      <w:i/>
    </w:rPr>
  </w:style>
  <w:style w:type="character" w:styleId="42">
    <w:name w:val="Header Char"/>
    <w:basedOn w:val="1018"/>
    <w:link w:val="1034"/>
    <w:uiPriority w:val="99"/>
  </w:style>
  <w:style w:type="character" w:styleId="46">
    <w:name w:val="Caption Char"/>
    <w:basedOn w:val="1023"/>
    <w:link w:val="1032"/>
    <w:uiPriority w:val="99"/>
  </w:style>
  <w:style w:type="table" w:styleId="49">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38"/>
    <w:uiPriority w:val="99"/>
    <w:rPr>
      <w:sz w:val="18"/>
    </w:rPr>
  </w:style>
  <w:style w:type="character" w:styleId="178">
    <w:name w:val="Endnote Text Char"/>
    <w:link w:val="1030"/>
    <w:uiPriority w:val="99"/>
    <w:rPr>
      <w:sz w:val="20"/>
    </w:rPr>
  </w:style>
  <w:style w:type="paragraph" w:styleId="189">
    <w:name w:val="TOC Heading"/>
    <w:uiPriority w:val="39"/>
    <w:unhideWhenUsed/>
  </w:style>
  <w:style w:type="paragraph" w:styleId="1008" w:default="1">
    <w:name w:val="Normal"/>
    <w:next w:val="1020"/>
    <w:uiPriority w:val="0"/>
    <w:qFormat/>
    <w:pPr>
      <w:jc w:val="both"/>
      <w:widowControl w:val="off"/>
    </w:pPr>
    <w:rPr>
      <w:rFonts w:ascii="Times New Roman" w:hAnsi="Times New Roman" w:eastAsia="宋体" w:cs="Times New Roman"/>
      <w:sz w:val="21"/>
      <w:szCs w:val="24"/>
      <w:lang w:val="en-US" w:eastAsia="zh-CN" w:bidi="ar-SA"/>
    </w:rPr>
  </w:style>
  <w:style w:type="paragraph" w:styleId="1009">
    <w:name w:val="Heading 1"/>
    <w:basedOn w:val="1008"/>
    <w:next w:val="1008"/>
    <w:link w:val="1052"/>
    <w:uiPriority w:val="9"/>
    <w:qFormat/>
    <w:pPr>
      <w:keepLines/>
      <w:keepNext/>
      <w:spacing w:before="480" w:after="200"/>
      <w:outlineLvl w:val="0"/>
    </w:pPr>
    <w:rPr>
      <w:rFonts w:ascii="Arial" w:hAnsi="Arial" w:eastAsia="Arial" w:cs="Arial"/>
      <w:sz w:val="40"/>
      <w:szCs w:val="40"/>
    </w:rPr>
  </w:style>
  <w:style w:type="paragraph" w:styleId="1010">
    <w:name w:val="Heading 2"/>
    <w:basedOn w:val="1008"/>
    <w:next w:val="1008"/>
    <w:link w:val="1053"/>
    <w:uiPriority w:val="9"/>
    <w:unhideWhenUsed/>
    <w:qFormat/>
    <w:pPr>
      <w:keepLines/>
      <w:keepNext/>
      <w:spacing w:before="360" w:after="200"/>
      <w:outlineLvl w:val="1"/>
    </w:pPr>
    <w:rPr>
      <w:rFonts w:ascii="Arial" w:hAnsi="Arial" w:eastAsia="Arial" w:cs="Arial"/>
      <w:sz w:val="34"/>
    </w:rPr>
  </w:style>
  <w:style w:type="paragraph" w:styleId="1011">
    <w:name w:val="Heading 3"/>
    <w:basedOn w:val="1008"/>
    <w:next w:val="1008"/>
    <w:link w:val="1054"/>
    <w:uiPriority w:val="9"/>
    <w:unhideWhenUsed/>
    <w:qFormat/>
    <w:pPr>
      <w:keepLines/>
      <w:keepNext/>
      <w:spacing w:before="320" w:after="200"/>
      <w:outlineLvl w:val="2"/>
    </w:pPr>
    <w:rPr>
      <w:rFonts w:ascii="Arial" w:hAnsi="Arial" w:eastAsia="Arial" w:cs="Arial"/>
      <w:sz w:val="30"/>
      <w:szCs w:val="30"/>
    </w:rPr>
  </w:style>
  <w:style w:type="paragraph" w:styleId="1012">
    <w:name w:val="Heading 4"/>
    <w:basedOn w:val="1008"/>
    <w:next w:val="1008"/>
    <w:link w:val="1055"/>
    <w:uiPriority w:val="9"/>
    <w:unhideWhenUsed/>
    <w:qFormat/>
    <w:pPr>
      <w:keepLines/>
      <w:keepNext/>
      <w:spacing w:before="320" w:after="200"/>
      <w:outlineLvl w:val="3"/>
    </w:pPr>
    <w:rPr>
      <w:rFonts w:ascii="Arial" w:hAnsi="Arial" w:eastAsia="Arial" w:cs="Arial"/>
      <w:b/>
      <w:bCs/>
      <w:sz w:val="26"/>
      <w:szCs w:val="26"/>
    </w:rPr>
  </w:style>
  <w:style w:type="paragraph" w:styleId="1013">
    <w:name w:val="Heading 5"/>
    <w:basedOn w:val="1008"/>
    <w:next w:val="1008"/>
    <w:link w:val="1056"/>
    <w:uiPriority w:val="9"/>
    <w:unhideWhenUsed/>
    <w:qFormat/>
    <w:pPr>
      <w:keepLines/>
      <w:keepNext/>
      <w:spacing w:before="320" w:after="200"/>
      <w:outlineLvl w:val="4"/>
    </w:pPr>
    <w:rPr>
      <w:rFonts w:ascii="Arial" w:hAnsi="Arial" w:eastAsia="Arial" w:cs="Arial"/>
      <w:b/>
      <w:bCs/>
      <w:sz w:val="24"/>
    </w:rPr>
  </w:style>
  <w:style w:type="paragraph" w:styleId="1014">
    <w:name w:val="Heading 6"/>
    <w:basedOn w:val="1008"/>
    <w:next w:val="1008"/>
    <w:link w:val="1057"/>
    <w:uiPriority w:val="9"/>
    <w:unhideWhenUsed/>
    <w:qFormat/>
    <w:pPr>
      <w:keepLines/>
      <w:keepNext/>
      <w:spacing w:before="320" w:after="200"/>
      <w:outlineLvl w:val="5"/>
    </w:pPr>
    <w:rPr>
      <w:rFonts w:ascii="Arial" w:hAnsi="Arial" w:eastAsia="Arial" w:cs="Arial"/>
      <w:b/>
      <w:bCs/>
      <w:sz w:val="22"/>
      <w:szCs w:val="22"/>
    </w:rPr>
  </w:style>
  <w:style w:type="paragraph" w:styleId="1015">
    <w:name w:val="Heading 7"/>
    <w:basedOn w:val="1008"/>
    <w:next w:val="1008"/>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16">
    <w:name w:val="Heading 8"/>
    <w:basedOn w:val="1008"/>
    <w:next w:val="1008"/>
    <w:link w:val="1059"/>
    <w:uiPriority w:val="9"/>
    <w:unhideWhenUsed/>
    <w:qFormat/>
    <w:pPr>
      <w:keepLines/>
      <w:keepNext/>
      <w:spacing w:before="320" w:after="200"/>
      <w:outlineLvl w:val="7"/>
    </w:pPr>
    <w:rPr>
      <w:rFonts w:ascii="Arial" w:hAnsi="Arial" w:eastAsia="Arial" w:cs="Arial"/>
      <w:i/>
      <w:iCs/>
      <w:sz w:val="22"/>
      <w:szCs w:val="22"/>
    </w:rPr>
  </w:style>
  <w:style w:type="paragraph" w:styleId="1017">
    <w:name w:val="Heading 9"/>
    <w:basedOn w:val="1008"/>
    <w:next w:val="1008"/>
    <w:link w:val="1060"/>
    <w:uiPriority w:val="9"/>
    <w:unhideWhenUsed/>
    <w:qFormat/>
    <w:pPr>
      <w:keepLines/>
      <w:keepNext/>
      <w:spacing w:before="320" w:after="200"/>
      <w:outlineLvl w:val="8"/>
    </w:pPr>
    <w:rPr>
      <w:rFonts w:ascii="Arial" w:hAnsi="Arial" w:eastAsia="Arial" w:cs="Arial"/>
      <w:i/>
      <w:iCs/>
      <w:szCs w:val="21"/>
    </w:rPr>
  </w:style>
  <w:style w:type="character" w:styleId="1018" w:default="1">
    <w:name w:val="Default Paragraph Font"/>
    <w:uiPriority w:val="1"/>
    <w:semiHidden/>
    <w:unhideWhenUsed/>
    <w:qFormat/>
  </w:style>
  <w:style w:type="table" w:styleId="1019" w:default="1">
    <w:name w:val="Normal Table"/>
    <w:uiPriority w:val="99"/>
    <w:semiHidden/>
    <w:unhideWhenUsed/>
    <w:qFormat/>
    <w:tblPr>
      <w:tblCellMar>
        <w:left w:w="108" w:type="dxa"/>
        <w:top w:w="0" w:type="dxa"/>
        <w:right w:w="108" w:type="dxa"/>
        <w:bottom w:w="0" w:type="dxa"/>
      </w:tblCellMar>
    </w:tblPr>
  </w:style>
  <w:style w:type="paragraph" w:styleId="1020">
    <w:name w:val="index 4"/>
    <w:basedOn w:val="1008"/>
    <w:next w:val="1008"/>
    <w:uiPriority w:val="99"/>
    <w:semiHidden/>
    <w:qFormat/>
    <w:pPr>
      <w:ind w:left="1260"/>
    </w:pPr>
  </w:style>
  <w:style w:type="paragraph" w:styleId="1021">
    <w:name w:val="toc 7"/>
    <w:basedOn w:val="1008"/>
    <w:next w:val="1008"/>
    <w:uiPriority w:val="39"/>
    <w:unhideWhenUsed/>
    <w:qFormat/>
    <w:pPr>
      <w:ind w:left="1701"/>
      <w:spacing w:after="57"/>
    </w:pPr>
  </w:style>
  <w:style w:type="paragraph" w:styleId="1022">
    <w:name w:val="Normal Indent"/>
    <w:basedOn w:val="1008"/>
    <w:uiPriority w:val="0"/>
    <w:qFormat/>
    <w:pPr>
      <w:ind w:firstLine="420"/>
    </w:pPr>
    <w:rPr>
      <w:szCs w:val="20"/>
    </w:rPr>
  </w:style>
  <w:style w:type="paragraph" w:styleId="1023">
    <w:name w:val="Caption"/>
    <w:basedOn w:val="1008"/>
    <w:next w:val="1008"/>
    <w:uiPriority w:val="35"/>
    <w:semiHidden/>
    <w:unhideWhenUsed/>
    <w:qFormat/>
    <w:pPr>
      <w:spacing w:line="276" w:lineRule="auto"/>
    </w:pPr>
    <w:rPr>
      <w:b/>
      <w:bCs/>
      <w:color w:val="4f81bd" w:themeColor="accent1"/>
      <w:sz w:val="18"/>
      <w:szCs w:val="18"/>
    </w:rPr>
  </w:style>
  <w:style w:type="paragraph" w:styleId="1024">
    <w:name w:val="annotation text"/>
    <w:basedOn w:val="1008"/>
    <w:link w:val="1366"/>
    <w:uiPriority w:val="99"/>
    <w:unhideWhenUsed/>
    <w:qFormat/>
    <w:pPr>
      <w:jc w:val="left"/>
    </w:pPr>
  </w:style>
  <w:style w:type="paragraph" w:styleId="1025">
    <w:name w:val="Body Text"/>
    <w:basedOn w:val="1008"/>
    <w:uiPriority w:val="99"/>
    <w:qFormat/>
    <w:rPr>
      <w:sz w:val="20"/>
    </w:rPr>
  </w:style>
  <w:style w:type="paragraph" w:styleId="1026">
    <w:name w:val="Body Text Indent"/>
    <w:basedOn w:val="1008"/>
    <w:next w:val="1008"/>
    <w:uiPriority w:val="0"/>
    <w:qFormat/>
    <w:pPr>
      <w:spacing w:line="360" w:lineRule="auto"/>
    </w:pPr>
    <w:rPr>
      <w:rFonts w:ascii="宋体"/>
      <w:sz w:val="24"/>
      <w:szCs w:val="20"/>
    </w:rPr>
  </w:style>
  <w:style w:type="paragraph" w:styleId="1027">
    <w:name w:val="toc 5"/>
    <w:basedOn w:val="1008"/>
    <w:next w:val="1008"/>
    <w:uiPriority w:val="39"/>
    <w:unhideWhenUsed/>
    <w:qFormat/>
    <w:pPr>
      <w:ind w:left="1134"/>
      <w:spacing w:after="57"/>
    </w:pPr>
  </w:style>
  <w:style w:type="paragraph" w:styleId="1028">
    <w:name w:val="toc 3"/>
    <w:basedOn w:val="1008"/>
    <w:next w:val="1008"/>
    <w:uiPriority w:val="39"/>
    <w:unhideWhenUsed/>
    <w:qFormat/>
    <w:pPr>
      <w:ind w:left="567"/>
      <w:spacing w:after="57"/>
    </w:pPr>
  </w:style>
  <w:style w:type="paragraph" w:styleId="1029">
    <w:name w:val="toc 8"/>
    <w:basedOn w:val="1008"/>
    <w:next w:val="1008"/>
    <w:uiPriority w:val="39"/>
    <w:unhideWhenUsed/>
    <w:qFormat/>
    <w:pPr>
      <w:ind w:left="1984"/>
      <w:spacing w:after="57"/>
    </w:pPr>
  </w:style>
  <w:style w:type="paragraph" w:styleId="1030">
    <w:name w:val="endnote text"/>
    <w:basedOn w:val="1008"/>
    <w:link w:val="1197"/>
    <w:uiPriority w:val="99"/>
    <w:semiHidden/>
    <w:unhideWhenUsed/>
    <w:qFormat/>
    <w:rPr>
      <w:sz w:val="20"/>
    </w:rPr>
  </w:style>
  <w:style w:type="paragraph" w:styleId="1031">
    <w:name w:val="Balloon Text"/>
    <w:basedOn w:val="1008"/>
    <w:link w:val="1365"/>
    <w:uiPriority w:val="99"/>
    <w:semiHidden/>
    <w:unhideWhenUsed/>
    <w:qFormat/>
    <w:rPr>
      <w:sz w:val="18"/>
      <w:szCs w:val="18"/>
    </w:rPr>
  </w:style>
  <w:style w:type="paragraph" w:styleId="1032">
    <w:name w:val="Footer"/>
    <w:basedOn w:val="1008"/>
    <w:link w:val="1070"/>
    <w:uiPriority w:val="99"/>
    <w:unhideWhenUsed/>
    <w:qFormat/>
    <w:pPr>
      <w:tabs>
        <w:tab w:val="center" w:pos="7143" w:leader="none"/>
        <w:tab w:val="right" w:pos="14287" w:leader="none"/>
      </w:tabs>
    </w:pPr>
  </w:style>
  <w:style w:type="paragraph" w:styleId="1033">
    <w:name w:val="envelope return"/>
    <w:basedOn w:val="1008"/>
    <w:uiPriority w:val="99"/>
    <w:qFormat/>
    <w:rPr>
      <w:rFonts w:ascii="Arial" w:hAnsi="Arial"/>
    </w:rPr>
  </w:style>
  <w:style w:type="paragraph" w:styleId="1034">
    <w:name w:val="Header"/>
    <w:basedOn w:val="1008"/>
    <w:link w:val="1068"/>
    <w:uiPriority w:val="99"/>
    <w:unhideWhenUsed/>
    <w:qFormat/>
    <w:pPr>
      <w:tabs>
        <w:tab w:val="center" w:pos="7143" w:leader="none"/>
        <w:tab w:val="right" w:pos="14287" w:leader="none"/>
      </w:tabs>
    </w:pPr>
  </w:style>
  <w:style w:type="paragraph" w:styleId="1035">
    <w:name w:val="toc 1"/>
    <w:basedOn w:val="1008"/>
    <w:next w:val="1008"/>
    <w:uiPriority w:val="39"/>
    <w:unhideWhenUsed/>
    <w:qFormat/>
    <w:pPr>
      <w:spacing w:after="57"/>
    </w:pPr>
  </w:style>
  <w:style w:type="paragraph" w:styleId="1036">
    <w:name w:val="toc 4"/>
    <w:basedOn w:val="1008"/>
    <w:next w:val="1008"/>
    <w:uiPriority w:val="39"/>
    <w:unhideWhenUsed/>
    <w:qFormat/>
    <w:pPr>
      <w:ind w:left="850"/>
      <w:spacing w:after="57"/>
    </w:pPr>
  </w:style>
  <w:style w:type="paragraph" w:styleId="1037">
    <w:name w:val="Subtitle"/>
    <w:basedOn w:val="1008"/>
    <w:next w:val="1008"/>
    <w:link w:val="1063"/>
    <w:uiPriority w:val="11"/>
    <w:qFormat/>
    <w:pPr>
      <w:spacing w:before="200" w:after="200"/>
    </w:pPr>
    <w:rPr>
      <w:sz w:val="24"/>
    </w:rPr>
  </w:style>
  <w:style w:type="paragraph" w:styleId="1038">
    <w:name w:val="footnote text"/>
    <w:basedOn w:val="1008"/>
    <w:link w:val="1196"/>
    <w:uiPriority w:val="99"/>
    <w:semiHidden/>
    <w:unhideWhenUsed/>
    <w:qFormat/>
    <w:pPr>
      <w:spacing w:after="40"/>
    </w:pPr>
    <w:rPr>
      <w:sz w:val="18"/>
    </w:rPr>
  </w:style>
  <w:style w:type="paragraph" w:styleId="1039">
    <w:name w:val="toc 6"/>
    <w:basedOn w:val="1008"/>
    <w:next w:val="1008"/>
    <w:uiPriority w:val="39"/>
    <w:unhideWhenUsed/>
    <w:qFormat/>
    <w:pPr>
      <w:ind w:left="1417"/>
      <w:spacing w:after="57"/>
    </w:pPr>
  </w:style>
  <w:style w:type="paragraph" w:styleId="1040">
    <w:name w:val="table of figures"/>
    <w:basedOn w:val="1008"/>
    <w:next w:val="1008"/>
    <w:uiPriority w:val="99"/>
    <w:unhideWhenUsed/>
    <w:qFormat/>
  </w:style>
  <w:style w:type="paragraph" w:styleId="1041">
    <w:name w:val="toc 2"/>
    <w:basedOn w:val="1008"/>
    <w:next w:val="1008"/>
    <w:uiPriority w:val="39"/>
    <w:unhideWhenUsed/>
    <w:qFormat/>
    <w:pPr>
      <w:ind w:left="283"/>
      <w:spacing w:after="57"/>
    </w:pPr>
  </w:style>
  <w:style w:type="paragraph" w:styleId="1042">
    <w:name w:val="toc 9"/>
    <w:basedOn w:val="1008"/>
    <w:next w:val="1008"/>
    <w:uiPriority w:val="39"/>
    <w:unhideWhenUsed/>
    <w:qFormat/>
    <w:pPr>
      <w:ind w:left="2268"/>
      <w:spacing w:after="57"/>
    </w:pPr>
  </w:style>
  <w:style w:type="paragraph" w:styleId="1043">
    <w:name w:val="Title"/>
    <w:basedOn w:val="1008"/>
    <w:next w:val="1008"/>
    <w:link w:val="1062"/>
    <w:uiPriority w:val="10"/>
    <w:qFormat/>
    <w:pPr>
      <w:contextualSpacing/>
      <w:spacing w:before="300" w:after="200"/>
    </w:pPr>
    <w:rPr>
      <w:sz w:val="48"/>
      <w:szCs w:val="48"/>
    </w:rPr>
  </w:style>
  <w:style w:type="paragraph" w:styleId="1044">
    <w:name w:val="annotation subject"/>
    <w:basedOn w:val="1024"/>
    <w:next w:val="1024"/>
    <w:link w:val="1367"/>
    <w:uiPriority w:val="99"/>
    <w:semiHidden/>
    <w:unhideWhenUsed/>
    <w:qFormat/>
    <w:rPr>
      <w:b/>
      <w:bCs/>
    </w:rPr>
  </w:style>
  <w:style w:type="paragraph" w:styleId="1045">
    <w:name w:val="Body Text First Indent 2"/>
    <w:basedOn w:val="1026"/>
    <w:next w:val="1008"/>
    <w:uiPriority w:val="0"/>
    <w:qFormat/>
    <w:pPr>
      <w:ind w:left="420" w:firstLine="420"/>
      <w:spacing w:after="120"/>
      <w:widowControl/>
    </w:pPr>
    <w:rPr>
      <w:rFonts w:ascii="仿宋_GB2312" w:eastAsia="仿宋_GB2312"/>
      <w:color w:val="ff6600"/>
      <w:sz w:val="21"/>
    </w:rPr>
  </w:style>
  <w:style w:type="table" w:styleId="10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7">
    <w:name w:val="Strong"/>
    <w:basedOn w:val="1018"/>
    <w:uiPriority w:val="22"/>
    <w:qFormat/>
    <w:rPr>
      <w:b/>
    </w:rPr>
  </w:style>
  <w:style w:type="character" w:styleId="1048">
    <w:name w:val="endnote reference"/>
    <w:uiPriority w:val="99"/>
    <w:semiHidden/>
    <w:unhideWhenUsed/>
    <w:qFormat/>
    <w:rPr>
      <w:vertAlign w:val="superscript"/>
    </w:rPr>
  </w:style>
  <w:style w:type="character" w:styleId="1049">
    <w:name w:val="Hyperlink"/>
    <w:uiPriority w:val="99"/>
    <w:unhideWhenUsed/>
    <w:qFormat/>
    <w:rPr>
      <w:color w:val="0000ff" w:themeColor="hyperlink"/>
      <w:u w:val="single"/>
    </w:rPr>
  </w:style>
  <w:style w:type="character" w:styleId="1050">
    <w:name w:val="annotation reference"/>
    <w:basedOn w:val="1018"/>
    <w:uiPriority w:val="99"/>
    <w:semiHidden/>
    <w:unhideWhenUsed/>
    <w:qFormat/>
    <w:rPr>
      <w:sz w:val="21"/>
      <w:szCs w:val="21"/>
    </w:rPr>
  </w:style>
  <w:style w:type="character" w:styleId="1051">
    <w:name w:val="footnote reference"/>
    <w:uiPriority w:val="99"/>
    <w:unhideWhenUsed/>
    <w:qFormat/>
    <w:rPr>
      <w:vertAlign w:val="superscript"/>
    </w:rPr>
  </w:style>
  <w:style w:type="character" w:styleId="1052" w:customStyle="1">
    <w:name w:val="标题 1 Char"/>
    <w:link w:val="1009"/>
    <w:uiPriority w:val="9"/>
    <w:qFormat/>
    <w:rPr>
      <w:rFonts w:ascii="Arial" w:hAnsi="Arial" w:eastAsia="Arial" w:cs="Arial"/>
      <w:sz w:val="40"/>
      <w:szCs w:val="40"/>
    </w:rPr>
  </w:style>
  <w:style w:type="character" w:styleId="1053" w:customStyle="1">
    <w:name w:val="标题 2 Char"/>
    <w:link w:val="1010"/>
    <w:uiPriority w:val="9"/>
    <w:qFormat/>
    <w:rPr>
      <w:rFonts w:ascii="Arial" w:hAnsi="Arial" w:eastAsia="Arial" w:cs="Arial"/>
      <w:sz w:val="34"/>
    </w:rPr>
  </w:style>
  <w:style w:type="character" w:styleId="1054" w:customStyle="1">
    <w:name w:val="标题 3 Char"/>
    <w:link w:val="1011"/>
    <w:uiPriority w:val="9"/>
    <w:qFormat/>
    <w:rPr>
      <w:rFonts w:ascii="Arial" w:hAnsi="Arial" w:eastAsia="Arial" w:cs="Arial"/>
      <w:sz w:val="30"/>
      <w:szCs w:val="30"/>
    </w:rPr>
  </w:style>
  <w:style w:type="character" w:styleId="1055" w:customStyle="1">
    <w:name w:val="标题 4 Char"/>
    <w:link w:val="1012"/>
    <w:uiPriority w:val="9"/>
    <w:qFormat/>
    <w:rPr>
      <w:rFonts w:ascii="Arial" w:hAnsi="Arial" w:eastAsia="Arial" w:cs="Arial"/>
      <w:b/>
      <w:bCs/>
      <w:sz w:val="26"/>
      <w:szCs w:val="26"/>
    </w:rPr>
  </w:style>
  <w:style w:type="character" w:styleId="1056" w:customStyle="1">
    <w:name w:val="标题 5 Char"/>
    <w:link w:val="1013"/>
    <w:uiPriority w:val="9"/>
    <w:qFormat/>
    <w:rPr>
      <w:rFonts w:ascii="Arial" w:hAnsi="Arial" w:eastAsia="Arial" w:cs="Arial"/>
      <w:b/>
      <w:bCs/>
      <w:sz w:val="24"/>
      <w:szCs w:val="24"/>
    </w:rPr>
  </w:style>
  <w:style w:type="character" w:styleId="1057" w:customStyle="1">
    <w:name w:val="标题 6 Char"/>
    <w:link w:val="1014"/>
    <w:uiPriority w:val="9"/>
    <w:qFormat/>
    <w:rPr>
      <w:rFonts w:ascii="Arial" w:hAnsi="Arial" w:eastAsia="Arial" w:cs="Arial"/>
      <w:b/>
      <w:bCs/>
      <w:sz w:val="22"/>
      <w:szCs w:val="22"/>
    </w:rPr>
  </w:style>
  <w:style w:type="character" w:styleId="1058" w:customStyle="1">
    <w:name w:val="标题 7 Char"/>
    <w:link w:val="1015"/>
    <w:uiPriority w:val="9"/>
    <w:qFormat/>
    <w:rPr>
      <w:rFonts w:ascii="Arial" w:hAnsi="Arial" w:eastAsia="Arial" w:cs="Arial"/>
      <w:b/>
      <w:bCs/>
      <w:i/>
      <w:iCs/>
      <w:sz w:val="22"/>
      <w:szCs w:val="22"/>
    </w:rPr>
  </w:style>
  <w:style w:type="character" w:styleId="1059" w:customStyle="1">
    <w:name w:val="标题 8 Char"/>
    <w:link w:val="1016"/>
    <w:uiPriority w:val="9"/>
    <w:qFormat/>
    <w:rPr>
      <w:rFonts w:ascii="Arial" w:hAnsi="Arial" w:eastAsia="Arial" w:cs="Arial"/>
      <w:i/>
      <w:iCs/>
      <w:sz w:val="22"/>
      <w:szCs w:val="22"/>
    </w:rPr>
  </w:style>
  <w:style w:type="character" w:styleId="1060" w:customStyle="1">
    <w:name w:val="标题 9 Char"/>
    <w:link w:val="1017"/>
    <w:uiPriority w:val="9"/>
    <w:qFormat/>
    <w:rPr>
      <w:rFonts w:ascii="Arial" w:hAnsi="Arial" w:eastAsia="Arial" w:cs="Arial"/>
      <w:i/>
      <w:iCs/>
      <w:sz w:val="21"/>
      <w:szCs w:val="21"/>
    </w:rPr>
  </w:style>
  <w:style w:type="paragraph" w:styleId="1061">
    <w:name w:val="No Spacing"/>
    <w:uiPriority w:val="1"/>
    <w:qFormat/>
    <w:rPr>
      <w:rFonts w:ascii="Times New Roman" w:hAnsi="Times New Roman" w:eastAsia="宋体" w:cs="Times New Roman"/>
      <w:lang w:val="en-US" w:eastAsia="zh-CN" w:bidi="ar-SA"/>
    </w:rPr>
  </w:style>
  <w:style w:type="character" w:styleId="1062" w:customStyle="1">
    <w:name w:val="标题 Char"/>
    <w:link w:val="1043"/>
    <w:uiPriority w:val="10"/>
    <w:qFormat/>
    <w:rPr>
      <w:sz w:val="48"/>
      <w:szCs w:val="48"/>
    </w:rPr>
  </w:style>
  <w:style w:type="character" w:styleId="1063" w:customStyle="1">
    <w:name w:val="副标题 Char"/>
    <w:link w:val="1037"/>
    <w:uiPriority w:val="11"/>
    <w:qFormat/>
    <w:rPr>
      <w:sz w:val="24"/>
      <w:szCs w:val="24"/>
    </w:rPr>
  </w:style>
  <w:style w:type="paragraph" w:styleId="1064">
    <w:name w:val="Quote"/>
    <w:basedOn w:val="1008"/>
    <w:next w:val="1008"/>
    <w:link w:val="1065"/>
    <w:uiPriority w:val="29"/>
    <w:qFormat/>
    <w:pPr>
      <w:ind w:left="720" w:right="720"/>
    </w:pPr>
    <w:rPr>
      <w:i/>
    </w:rPr>
  </w:style>
  <w:style w:type="character" w:styleId="1065" w:customStyle="1">
    <w:name w:val="引用 Char"/>
    <w:link w:val="1064"/>
    <w:uiPriority w:val="29"/>
    <w:qFormat/>
    <w:rPr>
      <w:i/>
    </w:rPr>
  </w:style>
  <w:style w:type="paragraph" w:styleId="1066">
    <w:name w:val="Intense Quote"/>
    <w:basedOn w:val="1008"/>
    <w:next w:val="1008"/>
    <w:link w:val="10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7" w:customStyle="1">
    <w:name w:val="明显引用 Char"/>
    <w:link w:val="1066"/>
    <w:uiPriority w:val="30"/>
    <w:qFormat/>
    <w:rPr>
      <w:i/>
    </w:rPr>
  </w:style>
  <w:style w:type="character" w:styleId="1068" w:customStyle="1">
    <w:name w:val="页眉 Char"/>
    <w:link w:val="1034"/>
    <w:uiPriority w:val="99"/>
    <w:qFormat/>
  </w:style>
  <w:style w:type="character" w:styleId="1069" w:customStyle="1">
    <w:name w:val="Footer Char"/>
    <w:uiPriority w:val="99"/>
    <w:qFormat/>
  </w:style>
  <w:style w:type="character" w:styleId="1070" w:customStyle="1">
    <w:name w:val="页脚 Char"/>
    <w:link w:val="1032"/>
    <w:uiPriority w:val="99"/>
    <w:qFormat/>
  </w:style>
  <w:style w:type="table" w:styleId="10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1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1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6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1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1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1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6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6" w:customStyle="1">
    <w:name w:val="脚注文本 Char"/>
    <w:link w:val="1038"/>
    <w:uiPriority w:val="99"/>
    <w:qFormat/>
    <w:rPr>
      <w:sz w:val="18"/>
    </w:rPr>
  </w:style>
  <w:style w:type="character" w:styleId="1197" w:customStyle="1">
    <w:name w:val="尾注文本 Char"/>
    <w:link w:val="1030"/>
    <w:uiPriority w:val="99"/>
    <w:qFormat/>
    <w:rPr>
      <w:sz w:val="20"/>
    </w:rPr>
  </w:style>
  <w:style w:type="paragraph" w:styleId="1198" w:customStyle="1">
    <w:name w:val="TOC 标题1"/>
    <w:uiPriority w:val="39"/>
    <w:unhideWhenUsed/>
    <w:qFormat/>
    <w:rPr>
      <w:rFonts w:ascii="Times New Roman" w:hAnsi="Times New Roman" w:eastAsia="宋体" w:cs="Times New Roman"/>
      <w:lang w:val="en-US" w:eastAsia="zh-CN" w:bidi="ar-SA"/>
    </w:rPr>
  </w:style>
  <w:style w:type="paragraph" w:styleId="1199" w:customStyle="1">
    <w:name w:val="标题 11"/>
    <w:basedOn w:val="1008"/>
    <w:next w:val="1008"/>
    <w:link w:val="1212"/>
    <w:uiPriority w:val="99"/>
    <w:qFormat/>
    <w:pPr>
      <w:numPr>
        <w:ilvl w:val="0"/>
        <w:numId w:val="1"/>
      </w:numPr>
      <w:jc w:val="center"/>
      <w:keepLines/>
      <w:keepNext/>
      <w:spacing w:before="340" w:after="330" w:line="578" w:lineRule="auto"/>
      <w:outlineLvl w:val="0"/>
    </w:pPr>
    <w:rPr>
      <w:b/>
      <w:bCs/>
      <w:sz w:val="32"/>
      <w:szCs w:val="44"/>
    </w:rPr>
  </w:style>
  <w:style w:type="paragraph" w:styleId="1200" w:customStyle="1">
    <w:name w:val="标题 21"/>
    <w:basedOn w:val="1008"/>
    <w:next w:val="1008"/>
    <w:link w:val="1213"/>
    <w:uiPriority w:val="1"/>
    <w:qFormat/>
    <w:pPr>
      <w:numPr>
        <w:ilvl w:val="1"/>
        <w:numId w:val="1"/>
      </w:numPr>
      <w:keepLines/>
      <w:keepNext/>
      <w:spacing w:before="260" w:after="260" w:line="416" w:lineRule="auto"/>
      <w:outlineLvl w:val="1"/>
    </w:pPr>
    <w:rPr>
      <w:rFonts w:ascii="黑体" w:hAnsi="黑体"/>
      <w:b/>
      <w:bCs/>
      <w:sz w:val="24"/>
      <w:szCs w:val="36"/>
    </w:rPr>
  </w:style>
  <w:style w:type="paragraph" w:styleId="1201" w:customStyle="1">
    <w:name w:val="标题 31"/>
    <w:basedOn w:val="1008"/>
    <w:next w:val="1008"/>
    <w:link w:val="1214"/>
    <w:uiPriority w:val="99"/>
    <w:qFormat/>
    <w:pPr>
      <w:numPr>
        <w:ilvl w:val="2"/>
        <w:numId w:val="1"/>
      </w:numPr>
      <w:keepLines/>
      <w:keepNext/>
      <w:spacing w:before="260" w:after="260" w:line="416" w:lineRule="auto"/>
      <w:outlineLvl w:val="2"/>
    </w:pPr>
    <w:rPr>
      <w:b/>
      <w:bCs/>
      <w:sz w:val="32"/>
      <w:szCs w:val="32"/>
    </w:rPr>
  </w:style>
  <w:style w:type="paragraph" w:styleId="1202" w:customStyle="1">
    <w:name w:val="标题 41"/>
    <w:basedOn w:val="1008"/>
    <w:next w:val="1008"/>
    <w:link w:val="1215"/>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203" w:customStyle="1">
    <w:name w:val="标题 51"/>
    <w:basedOn w:val="1008"/>
    <w:next w:val="1008"/>
    <w:link w:val="1216"/>
    <w:uiPriority w:val="99"/>
    <w:qFormat/>
    <w:pPr>
      <w:numPr>
        <w:ilvl w:val="4"/>
        <w:numId w:val="1"/>
      </w:numPr>
      <w:keepLines/>
      <w:keepNext/>
      <w:spacing w:before="280" w:after="290" w:line="376" w:lineRule="auto"/>
      <w:outlineLvl w:val="4"/>
    </w:pPr>
    <w:rPr>
      <w:b/>
      <w:bCs/>
      <w:sz w:val="28"/>
      <w:szCs w:val="28"/>
    </w:rPr>
  </w:style>
  <w:style w:type="paragraph" w:styleId="1204" w:customStyle="1">
    <w:name w:val="标题 61"/>
    <w:basedOn w:val="1008"/>
    <w:next w:val="1008"/>
    <w:link w:val="1217"/>
    <w:uiPriority w:val="99"/>
    <w:qFormat/>
    <w:pPr>
      <w:numPr>
        <w:ilvl w:val="5"/>
        <w:numId w:val="1"/>
      </w:numPr>
      <w:keepLines/>
      <w:keepNext/>
      <w:spacing w:before="240" w:after="64" w:line="320" w:lineRule="auto"/>
      <w:outlineLvl w:val="5"/>
    </w:pPr>
    <w:rPr>
      <w:rFonts w:ascii="Cambria" w:hAnsi="Cambria"/>
      <w:b/>
      <w:bCs/>
      <w:sz w:val="24"/>
    </w:rPr>
  </w:style>
  <w:style w:type="paragraph" w:styleId="1205" w:customStyle="1">
    <w:name w:val="标题 71"/>
    <w:basedOn w:val="1008"/>
    <w:next w:val="1008"/>
    <w:link w:val="1218"/>
    <w:uiPriority w:val="99"/>
    <w:qFormat/>
    <w:pPr>
      <w:numPr>
        <w:ilvl w:val="6"/>
        <w:numId w:val="1"/>
      </w:numPr>
      <w:keepLines/>
      <w:keepNext/>
      <w:spacing w:before="240" w:after="64" w:line="320" w:lineRule="auto"/>
      <w:outlineLvl w:val="6"/>
    </w:pPr>
    <w:rPr>
      <w:b/>
      <w:bCs/>
      <w:sz w:val="24"/>
    </w:rPr>
  </w:style>
  <w:style w:type="paragraph" w:styleId="1206" w:customStyle="1">
    <w:name w:val="标题 81"/>
    <w:basedOn w:val="1008"/>
    <w:next w:val="1008"/>
    <w:link w:val="1219"/>
    <w:uiPriority w:val="99"/>
    <w:qFormat/>
    <w:pPr>
      <w:numPr>
        <w:ilvl w:val="7"/>
        <w:numId w:val="1"/>
      </w:numPr>
      <w:keepLines/>
      <w:keepNext/>
      <w:spacing w:before="240" w:after="64" w:line="320" w:lineRule="auto"/>
      <w:outlineLvl w:val="7"/>
    </w:pPr>
    <w:rPr>
      <w:rFonts w:ascii="Cambria" w:hAnsi="Cambria"/>
      <w:sz w:val="24"/>
    </w:rPr>
  </w:style>
  <w:style w:type="paragraph" w:styleId="1207" w:customStyle="1">
    <w:name w:val="标题 91"/>
    <w:basedOn w:val="1008"/>
    <w:next w:val="1008"/>
    <w:link w:val="1220"/>
    <w:uiPriority w:val="99"/>
    <w:qFormat/>
    <w:pPr>
      <w:numPr>
        <w:ilvl w:val="8"/>
        <w:numId w:val="1"/>
      </w:numPr>
      <w:keepLines/>
      <w:keepNext/>
      <w:spacing w:before="240" w:after="64" w:line="320" w:lineRule="auto"/>
      <w:outlineLvl w:val="8"/>
    </w:pPr>
    <w:rPr>
      <w:rFonts w:ascii="Cambria" w:hAnsi="Cambria"/>
      <w:szCs w:val="21"/>
    </w:rPr>
  </w:style>
  <w:style w:type="character" w:styleId="1208" w:customStyle="1">
    <w:name w:val="默认段落字体1"/>
    <w:uiPriority w:val="0"/>
    <w:qFormat/>
  </w:style>
  <w:style w:type="table" w:styleId="1209" w:customStyle="1">
    <w:name w:val="普通表格1"/>
    <w:uiPriority w:val="99"/>
    <w:unhideWhenUsed/>
    <w:qFormat/>
    <w:tblPr>
      <w:tblCellMar>
        <w:left w:w="0" w:type="dxa"/>
        <w:top w:w="0" w:type="dxa"/>
        <w:right w:w="0" w:type="dxa"/>
        <w:bottom w:w="0" w:type="dxa"/>
      </w:tblCellMar>
    </w:tblPr>
  </w:style>
  <w:style w:type="paragraph" w:styleId="1210" w:customStyle="1">
    <w:name w:val="宏文本1"/>
    <w:link w:val="1211"/>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1211" w:customStyle="1">
    <w:name w:val="宏文本 字符"/>
    <w:link w:val="1210"/>
    <w:uiPriority w:val="0"/>
    <w:semiHidden/>
    <w:qFormat/>
    <w:rPr>
      <w:rFonts w:ascii="Courier New" w:hAnsi="Courier New"/>
      <w:lang w:val="en-US" w:eastAsia="zh-CN" w:bidi="ar-SA"/>
    </w:rPr>
  </w:style>
  <w:style w:type="character" w:styleId="1212" w:customStyle="1">
    <w:name w:val="标题 1 字符"/>
    <w:link w:val="1199"/>
    <w:uiPriority w:val="99"/>
    <w:qFormat/>
    <w:rPr>
      <w:b/>
      <w:bCs/>
      <w:sz w:val="32"/>
      <w:szCs w:val="44"/>
    </w:rPr>
  </w:style>
  <w:style w:type="character" w:styleId="1213" w:customStyle="1">
    <w:name w:val="标题 2 字符1"/>
    <w:link w:val="1200"/>
    <w:uiPriority w:val="1"/>
    <w:qFormat/>
    <w:rPr>
      <w:rFonts w:ascii="黑体" w:hAnsi="黑体" w:eastAsia="宋体"/>
      <w:b/>
      <w:bCs/>
      <w:sz w:val="24"/>
      <w:szCs w:val="36"/>
    </w:rPr>
  </w:style>
  <w:style w:type="character" w:styleId="1214" w:customStyle="1">
    <w:name w:val="标题 3 字符"/>
    <w:link w:val="1201"/>
    <w:uiPriority w:val="99"/>
    <w:qFormat/>
    <w:rPr>
      <w:b/>
      <w:bCs/>
      <w:sz w:val="32"/>
      <w:szCs w:val="32"/>
    </w:rPr>
  </w:style>
  <w:style w:type="character" w:styleId="1215" w:customStyle="1">
    <w:name w:val="标题 4 字符"/>
    <w:link w:val="1202"/>
    <w:uiPriority w:val="99"/>
    <w:qFormat/>
    <w:rPr>
      <w:rFonts w:ascii="Cambria" w:hAnsi="Cambria"/>
      <w:b/>
      <w:bCs/>
      <w:sz w:val="28"/>
      <w:szCs w:val="28"/>
    </w:rPr>
  </w:style>
  <w:style w:type="character" w:styleId="1216" w:customStyle="1">
    <w:name w:val="标题 5 字符"/>
    <w:link w:val="1203"/>
    <w:uiPriority w:val="99"/>
    <w:qFormat/>
    <w:rPr>
      <w:b/>
      <w:bCs/>
      <w:sz w:val="28"/>
      <w:szCs w:val="28"/>
    </w:rPr>
  </w:style>
  <w:style w:type="character" w:styleId="1217" w:customStyle="1">
    <w:name w:val="标题 6 字符"/>
    <w:link w:val="1204"/>
    <w:uiPriority w:val="99"/>
    <w:qFormat/>
    <w:rPr>
      <w:rFonts w:ascii="Cambria" w:hAnsi="Cambria"/>
      <w:b/>
      <w:bCs/>
      <w:sz w:val="24"/>
      <w:szCs w:val="24"/>
    </w:rPr>
  </w:style>
  <w:style w:type="character" w:styleId="1218" w:customStyle="1">
    <w:name w:val="标题 7 字符"/>
    <w:link w:val="1205"/>
    <w:uiPriority w:val="99"/>
    <w:qFormat/>
    <w:rPr>
      <w:b/>
      <w:bCs/>
      <w:sz w:val="24"/>
      <w:szCs w:val="24"/>
    </w:rPr>
  </w:style>
  <w:style w:type="character" w:styleId="1219" w:customStyle="1">
    <w:name w:val="标题 8 字符"/>
    <w:link w:val="1206"/>
    <w:uiPriority w:val="99"/>
    <w:qFormat/>
    <w:rPr>
      <w:rFonts w:ascii="Cambria" w:hAnsi="Cambria"/>
      <w:sz w:val="24"/>
      <w:szCs w:val="24"/>
    </w:rPr>
  </w:style>
  <w:style w:type="character" w:styleId="1220" w:customStyle="1">
    <w:name w:val="标题 9 字符"/>
    <w:link w:val="1207"/>
    <w:uiPriority w:val="99"/>
    <w:qFormat/>
    <w:rPr>
      <w:rFonts w:ascii="Cambria" w:hAnsi="Cambria"/>
      <w:sz w:val="21"/>
      <w:szCs w:val="21"/>
    </w:rPr>
  </w:style>
  <w:style w:type="paragraph" w:styleId="1221" w:customStyle="1">
    <w:name w:val="正文缩进1"/>
    <w:basedOn w:val="1008"/>
    <w:link w:val="1222"/>
    <w:uiPriority w:val="99"/>
    <w:qFormat/>
    <w:pPr>
      <w:ind w:firstLine="420"/>
    </w:pPr>
  </w:style>
  <w:style w:type="character" w:styleId="1222" w:customStyle="1">
    <w:name w:val="正文缩进 字符"/>
    <w:link w:val="1221"/>
    <w:uiPriority w:val="99"/>
    <w:qFormat/>
    <w:rPr>
      <w:sz w:val="21"/>
      <w:szCs w:val="24"/>
    </w:rPr>
  </w:style>
  <w:style w:type="paragraph" w:styleId="1223" w:customStyle="1">
    <w:name w:val="列表项目符号1"/>
    <w:basedOn w:val="1008"/>
    <w:uiPriority w:val="99"/>
    <w:qFormat/>
    <w:pPr>
      <w:tabs>
        <w:tab w:val="left" w:pos="0" w:leader="none"/>
      </w:tabs>
    </w:pPr>
    <w:rPr>
      <w:szCs w:val="20"/>
    </w:rPr>
  </w:style>
  <w:style w:type="paragraph" w:styleId="1224" w:customStyle="1">
    <w:name w:val="文档结构图1"/>
    <w:basedOn w:val="1008"/>
    <w:link w:val="1225"/>
    <w:uiPriority w:val="0"/>
    <w:qFormat/>
    <w:rPr>
      <w:rFonts w:ascii="宋体"/>
      <w:sz w:val="18"/>
      <w:szCs w:val="18"/>
    </w:rPr>
  </w:style>
  <w:style w:type="character" w:styleId="1225" w:customStyle="1">
    <w:name w:val="文档结构图 字符"/>
    <w:link w:val="1224"/>
    <w:uiPriority w:val="0"/>
    <w:qFormat/>
    <w:rPr>
      <w:rFonts w:ascii="宋体"/>
      <w:sz w:val="18"/>
      <w:szCs w:val="18"/>
    </w:rPr>
  </w:style>
  <w:style w:type="paragraph" w:styleId="1226" w:customStyle="1">
    <w:name w:val="批注文字1"/>
    <w:basedOn w:val="1008"/>
    <w:link w:val="1227"/>
    <w:uiPriority w:val="0"/>
    <w:qFormat/>
    <w:pPr>
      <w:jc w:val="left"/>
    </w:pPr>
  </w:style>
  <w:style w:type="character" w:styleId="1227" w:customStyle="1">
    <w:name w:val="批注文字 字符"/>
    <w:link w:val="1226"/>
    <w:uiPriority w:val="0"/>
    <w:qFormat/>
    <w:rPr>
      <w:sz w:val="21"/>
      <w:szCs w:val="24"/>
    </w:rPr>
  </w:style>
  <w:style w:type="paragraph" w:styleId="1228" w:customStyle="1">
    <w:name w:val="正文文本 31"/>
    <w:basedOn w:val="1008"/>
    <w:link w:val="1229"/>
    <w:uiPriority w:val="99"/>
    <w:qFormat/>
    <w:pPr>
      <w:spacing w:after="120"/>
    </w:pPr>
    <w:rPr>
      <w:sz w:val="16"/>
      <w:szCs w:val="16"/>
    </w:rPr>
  </w:style>
  <w:style w:type="character" w:styleId="1229" w:customStyle="1">
    <w:name w:val="正文文本 3 字符"/>
    <w:link w:val="1228"/>
    <w:uiPriority w:val="99"/>
    <w:qFormat/>
    <w:rPr>
      <w:sz w:val="16"/>
      <w:szCs w:val="16"/>
    </w:rPr>
  </w:style>
  <w:style w:type="paragraph" w:styleId="1230" w:customStyle="1">
    <w:name w:val="正文文本1"/>
    <w:basedOn w:val="1008"/>
    <w:link w:val="1231"/>
    <w:uiPriority w:val="99"/>
    <w:qFormat/>
    <w:pPr>
      <w:jc w:val="center"/>
    </w:pPr>
    <w:rPr>
      <w:rFonts w:eastAsia="幼圆"/>
      <w:b/>
      <w:bCs/>
      <w:sz w:val="44"/>
    </w:rPr>
  </w:style>
  <w:style w:type="character" w:styleId="1231" w:customStyle="1">
    <w:name w:val="正文文本 字符"/>
    <w:link w:val="1230"/>
    <w:uiPriority w:val="99"/>
    <w:qFormat/>
    <w:rPr>
      <w:rFonts w:eastAsia="幼圆"/>
      <w:b/>
      <w:bCs/>
      <w:sz w:val="44"/>
      <w:szCs w:val="24"/>
    </w:rPr>
  </w:style>
  <w:style w:type="paragraph" w:styleId="1232" w:customStyle="1">
    <w:name w:val="正文文本缩进1"/>
    <w:basedOn w:val="1008"/>
    <w:link w:val="1233"/>
    <w:uiPriority w:val="99"/>
    <w:qFormat/>
    <w:pPr>
      <w:ind w:left="420"/>
      <w:spacing w:after="120"/>
    </w:pPr>
  </w:style>
  <w:style w:type="character" w:styleId="1233" w:customStyle="1">
    <w:name w:val="正文文本缩进 字符"/>
    <w:link w:val="1232"/>
    <w:uiPriority w:val="99"/>
    <w:qFormat/>
    <w:rPr>
      <w:sz w:val="21"/>
      <w:szCs w:val="24"/>
    </w:rPr>
  </w:style>
  <w:style w:type="paragraph" w:styleId="1234" w:customStyle="1">
    <w:name w:val="索引 41"/>
    <w:basedOn w:val="1008"/>
    <w:next w:val="1008"/>
    <w:uiPriority w:val="0"/>
    <w:qFormat/>
    <w:pPr>
      <w:ind w:left="840" w:hanging="210"/>
      <w:jc w:val="left"/>
    </w:pPr>
    <w:rPr>
      <w:sz w:val="20"/>
    </w:rPr>
  </w:style>
  <w:style w:type="paragraph" w:styleId="1235" w:customStyle="1">
    <w:name w:val="纯文本11"/>
    <w:basedOn w:val="1008"/>
    <w:link w:val="1236"/>
    <w:uiPriority w:val="99"/>
    <w:qFormat/>
    <w:rPr>
      <w:rFonts w:ascii="Ari"/>
      <w:sz w:val="20"/>
      <w:szCs w:val="20"/>
    </w:rPr>
  </w:style>
  <w:style w:type="character" w:styleId="1236" w:customStyle="1">
    <w:name w:val="纯文本 字符"/>
    <w:link w:val="1235"/>
    <w:uiPriority w:val="99"/>
    <w:qFormat/>
    <w:rPr>
      <w:rFonts w:ascii="Ari"/>
      <w:lang w:val="en-US" w:eastAsia="zh-CN" w:bidi="ar-SA"/>
    </w:rPr>
  </w:style>
  <w:style w:type="paragraph" w:styleId="1237" w:customStyle="1">
    <w:name w:val="日期1"/>
    <w:basedOn w:val="1008"/>
    <w:next w:val="1008"/>
    <w:link w:val="1238"/>
    <w:uiPriority w:val="0"/>
    <w:qFormat/>
  </w:style>
  <w:style w:type="character" w:styleId="1238" w:customStyle="1">
    <w:name w:val="日期 字符"/>
    <w:link w:val="1237"/>
    <w:uiPriority w:val="0"/>
    <w:qFormat/>
    <w:rPr>
      <w:sz w:val="21"/>
      <w:szCs w:val="24"/>
    </w:rPr>
  </w:style>
  <w:style w:type="paragraph" w:styleId="1239" w:customStyle="1">
    <w:name w:val="正文文本缩进 21"/>
    <w:basedOn w:val="1008"/>
    <w:link w:val="1240"/>
    <w:uiPriority w:val="99"/>
    <w:qFormat/>
    <w:pPr>
      <w:ind w:left="-210" w:hanging="20"/>
      <w:spacing w:line="500" w:lineRule="exact"/>
    </w:pPr>
    <w:rPr>
      <w:rFonts w:ascii="宋体" w:hAnsi="Arial"/>
      <w:sz w:val="28"/>
      <w:szCs w:val="28"/>
    </w:rPr>
  </w:style>
  <w:style w:type="character" w:styleId="1240" w:customStyle="1">
    <w:name w:val="正文文本缩进 2 字符"/>
    <w:link w:val="1239"/>
    <w:uiPriority w:val="99"/>
    <w:qFormat/>
    <w:rPr>
      <w:rFonts w:ascii="宋体" w:hAnsi="Arial"/>
      <w:sz w:val="28"/>
      <w:szCs w:val="28"/>
    </w:rPr>
  </w:style>
  <w:style w:type="paragraph" w:styleId="1241" w:customStyle="1">
    <w:name w:val="批注框文本1"/>
    <w:basedOn w:val="1008"/>
    <w:link w:val="1242"/>
    <w:uiPriority w:val="99"/>
    <w:qFormat/>
    <w:rPr>
      <w:sz w:val="18"/>
      <w:szCs w:val="18"/>
    </w:rPr>
  </w:style>
  <w:style w:type="character" w:styleId="1242" w:customStyle="1">
    <w:name w:val="批注框文本 字符"/>
    <w:link w:val="1241"/>
    <w:uiPriority w:val="99"/>
    <w:qFormat/>
    <w:rPr>
      <w:sz w:val="18"/>
      <w:szCs w:val="18"/>
    </w:rPr>
  </w:style>
  <w:style w:type="paragraph" w:styleId="1243" w:customStyle="1">
    <w:name w:val="页脚1"/>
    <w:basedOn w:val="1008"/>
    <w:link w:val="1244"/>
    <w:uiPriority w:val="0"/>
    <w:qFormat/>
    <w:pPr>
      <w:jc w:val="left"/>
      <w:tabs>
        <w:tab w:val="center" w:pos="4153" w:leader="none"/>
        <w:tab w:val="right" w:pos="8306" w:leader="none"/>
      </w:tabs>
    </w:pPr>
    <w:rPr>
      <w:sz w:val="18"/>
      <w:szCs w:val="18"/>
    </w:rPr>
  </w:style>
  <w:style w:type="character" w:styleId="1244" w:customStyle="1">
    <w:name w:val="页脚 字符"/>
    <w:link w:val="1243"/>
    <w:uiPriority w:val="99"/>
    <w:qFormat/>
    <w:rPr>
      <w:sz w:val="18"/>
      <w:szCs w:val="18"/>
    </w:rPr>
  </w:style>
  <w:style w:type="paragraph" w:styleId="1245" w:customStyle="1">
    <w:name w:val="页眉1"/>
    <w:basedOn w:val="1008"/>
    <w:link w:val="1246"/>
    <w:uiPriority w:val="99"/>
    <w:qFormat/>
    <w:pPr>
      <w:jc w:val="center"/>
      <w:tabs>
        <w:tab w:val="center" w:pos="4153" w:leader="none"/>
        <w:tab w:val="right" w:pos="8306" w:leader="none"/>
      </w:tabs>
      <w:pBdr>
        <w:bottom w:val="single" w:color="000000" w:sz="6" w:space="1"/>
      </w:pBdr>
    </w:pPr>
    <w:rPr>
      <w:sz w:val="18"/>
      <w:szCs w:val="18"/>
    </w:rPr>
  </w:style>
  <w:style w:type="character" w:styleId="1246" w:customStyle="1">
    <w:name w:val="页眉 字符"/>
    <w:link w:val="1245"/>
    <w:uiPriority w:val="99"/>
    <w:qFormat/>
    <w:rPr>
      <w:sz w:val="18"/>
      <w:szCs w:val="18"/>
    </w:rPr>
  </w:style>
  <w:style w:type="paragraph" w:styleId="1247" w:customStyle="1">
    <w:name w:val="目录 11"/>
    <w:basedOn w:val="1008"/>
    <w:next w:val="1008"/>
    <w:uiPriority w:val="0"/>
    <w:qFormat/>
  </w:style>
  <w:style w:type="paragraph" w:styleId="1248" w:customStyle="1">
    <w:name w:val="列表1"/>
    <w:basedOn w:val="1230"/>
    <w:uiPriority w:val="99"/>
    <w:qFormat/>
    <w:pPr>
      <w:jc w:val="left"/>
      <w:spacing w:after="120"/>
    </w:pPr>
    <w:rPr>
      <w:rFonts w:eastAsia="MS P 明朝"/>
      <w:b w:val="0"/>
      <w:bCs w:val="0"/>
      <w:sz w:val="24"/>
    </w:rPr>
  </w:style>
  <w:style w:type="paragraph" w:styleId="1249" w:customStyle="1">
    <w:name w:val="脚注文本1"/>
    <w:basedOn w:val="1008"/>
    <w:uiPriority w:val="99"/>
    <w:semiHidden/>
    <w:qFormat/>
    <w:pPr>
      <w:jc w:val="left"/>
    </w:pPr>
    <w:rPr>
      <w:sz w:val="18"/>
      <w:szCs w:val="18"/>
    </w:rPr>
  </w:style>
  <w:style w:type="paragraph" w:styleId="1250" w:customStyle="1">
    <w:name w:val="正文文本缩进 31"/>
    <w:basedOn w:val="1008"/>
    <w:link w:val="1251"/>
    <w:uiPriority w:val="99"/>
    <w:qFormat/>
    <w:pPr>
      <w:ind w:left="420"/>
      <w:spacing w:after="120"/>
    </w:pPr>
    <w:rPr>
      <w:sz w:val="16"/>
      <w:szCs w:val="16"/>
    </w:rPr>
  </w:style>
  <w:style w:type="character" w:styleId="1251" w:customStyle="1">
    <w:name w:val="正文文本缩进 3 字符"/>
    <w:link w:val="1250"/>
    <w:uiPriority w:val="99"/>
    <w:qFormat/>
    <w:rPr>
      <w:sz w:val="16"/>
      <w:szCs w:val="16"/>
    </w:rPr>
  </w:style>
  <w:style w:type="paragraph" w:styleId="1252" w:customStyle="1">
    <w:name w:val="正文文本 21"/>
    <w:basedOn w:val="1008"/>
    <w:link w:val="1253"/>
    <w:uiPriority w:val="99"/>
    <w:qFormat/>
    <w:pPr>
      <w:spacing w:after="120" w:line="480" w:lineRule="auto"/>
    </w:pPr>
    <w:rPr>
      <w:szCs w:val="21"/>
    </w:rPr>
  </w:style>
  <w:style w:type="character" w:styleId="1253" w:customStyle="1">
    <w:name w:val="正文文本 2 字符"/>
    <w:link w:val="1252"/>
    <w:uiPriority w:val="99"/>
    <w:qFormat/>
    <w:rPr>
      <w:sz w:val="21"/>
      <w:szCs w:val="21"/>
    </w:rPr>
  </w:style>
  <w:style w:type="paragraph" w:styleId="1254" w:customStyle="1">
    <w:name w:val="HTML 预设格式1"/>
    <w:basedOn w:val="1008"/>
    <w:uiPriority w:val="99"/>
    <w:unhideWhenUsed/>
    <w:qFormat/>
    <w:rPr>
      <w:rFonts w:ascii="Courier New" w:hAnsi="Courier New" w:cs="Courier New"/>
      <w:sz w:val="20"/>
      <w:szCs w:val="20"/>
    </w:rPr>
  </w:style>
  <w:style w:type="paragraph" w:styleId="1255" w:customStyle="1">
    <w:name w:val="普通(网站)1"/>
    <w:basedOn w:val="1008"/>
    <w:uiPriority w:val="0"/>
    <w:qFormat/>
    <w:pPr>
      <w:jc w:val="left"/>
      <w:spacing w:before="100" w:beforeAutospacing="1" w:after="100" w:afterAutospacing="1"/>
      <w:widowControl/>
    </w:pPr>
    <w:rPr>
      <w:rFonts w:ascii="宋体" w:hAnsi="宋体" w:cs="宋体"/>
      <w:sz w:val="24"/>
    </w:rPr>
  </w:style>
  <w:style w:type="paragraph" w:styleId="1256" w:customStyle="1">
    <w:name w:val="标题1"/>
    <w:basedOn w:val="1008"/>
    <w:next w:val="1008"/>
    <w:link w:val="1257"/>
    <w:uiPriority w:val="99"/>
    <w:qFormat/>
    <w:pPr>
      <w:jc w:val="center"/>
    </w:pPr>
    <w:rPr>
      <w:b/>
      <w:sz w:val="30"/>
      <w:szCs w:val="20"/>
    </w:rPr>
  </w:style>
  <w:style w:type="character" w:styleId="1257" w:customStyle="1">
    <w:name w:val="标题 字符"/>
    <w:link w:val="1256"/>
    <w:uiPriority w:val="99"/>
    <w:qFormat/>
    <w:rPr>
      <w:b/>
      <w:sz w:val="30"/>
    </w:rPr>
  </w:style>
  <w:style w:type="paragraph" w:styleId="1258" w:customStyle="1">
    <w:name w:val="批注主题1"/>
    <w:basedOn w:val="1226"/>
    <w:next w:val="1226"/>
    <w:link w:val="1259"/>
    <w:uiPriority w:val="99"/>
    <w:qFormat/>
    <w:rPr>
      <w:b/>
      <w:bCs/>
    </w:rPr>
  </w:style>
  <w:style w:type="character" w:styleId="1259" w:customStyle="1">
    <w:name w:val="批注主题 字符"/>
    <w:link w:val="1258"/>
    <w:uiPriority w:val="99"/>
    <w:qFormat/>
    <w:rPr>
      <w:b/>
      <w:bCs/>
      <w:sz w:val="21"/>
      <w:szCs w:val="24"/>
    </w:rPr>
  </w:style>
  <w:style w:type="paragraph" w:styleId="1260" w:customStyle="1">
    <w:name w:val="正文首行缩进 21"/>
    <w:basedOn w:val="1232"/>
    <w:uiPriority w:val="99"/>
    <w:unhideWhenUsed/>
    <w:qFormat/>
    <w:pPr>
      <w:ind w:firstLine="420"/>
    </w:pPr>
  </w:style>
  <w:style w:type="table" w:styleId="1261" w:customStyle="1">
    <w:name w:val="网格型1"/>
    <w:basedOn w:val="1209"/>
    <w:uiPriority w:val="59"/>
    <w:qFormat/>
    <w:pPr>
      <w:jc w:val="both"/>
      <w:widowControl w:val="off"/>
    </w:pPr>
    <w:tblPr>
      <w:tblCellMar>
        <w:left w:w="0" w:type="dxa"/>
        <w:top w:w="0" w:type="dxa"/>
        <w:right w:w="0" w:type="dxa"/>
        <w:bottom w:w="0" w:type="dxa"/>
      </w:tblCellMar>
    </w:tblPr>
  </w:style>
  <w:style w:type="character" w:styleId="1262" w:customStyle="1">
    <w:name w:val="要点1"/>
    <w:uiPriority w:val="22"/>
    <w:qFormat/>
    <w:rPr>
      <w:b/>
    </w:rPr>
  </w:style>
  <w:style w:type="character" w:styleId="1263" w:customStyle="1">
    <w:name w:val="页码1"/>
    <w:uiPriority w:val="0"/>
    <w:qFormat/>
    <w:rPr>
      <w:rFonts w:eastAsia="宋体"/>
      <w:b/>
      <w:spacing w:val="0"/>
      <w:sz w:val="24"/>
      <w:szCs w:val="24"/>
      <w:vertAlign w:val="baseline"/>
      <w:lang w:val="en-US" w:eastAsia="zh-CN" w:bidi="ar-SA"/>
    </w:rPr>
  </w:style>
  <w:style w:type="character" w:styleId="1264" w:customStyle="1">
    <w:name w:val="已访问的超链接1"/>
    <w:uiPriority w:val="99"/>
    <w:unhideWhenUsed/>
    <w:qFormat/>
    <w:rPr>
      <w:color w:val="2d64b3"/>
      <w:u w:val="none"/>
    </w:rPr>
  </w:style>
  <w:style w:type="character" w:styleId="1265" w:customStyle="1">
    <w:name w:val="强调1"/>
    <w:uiPriority w:val="0"/>
    <w:qFormat/>
    <w:rPr>
      <w:color w:val="cc0000"/>
    </w:rPr>
  </w:style>
  <w:style w:type="character" w:styleId="1266" w:customStyle="1">
    <w:name w:val="HTML 定义1"/>
    <w:uiPriority w:val="99"/>
    <w:unhideWhenUsed/>
    <w:qFormat/>
  </w:style>
  <w:style w:type="character" w:styleId="1267" w:customStyle="1">
    <w:name w:val="HTML 变量1"/>
    <w:uiPriority w:val="99"/>
    <w:unhideWhenUsed/>
    <w:qFormat/>
  </w:style>
  <w:style w:type="character" w:styleId="1268" w:customStyle="1">
    <w:name w:val="超链接1"/>
    <w:uiPriority w:val="99"/>
    <w:qFormat/>
    <w:rPr>
      <w:color w:val="2d64b3"/>
      <w:u w:val="none"/>
    </w:rPr>
  </w:style>
  <w:style w:type="character" w:styleId="1269" w:customStyle="1">
    <w:name w:val="HTML 代码1"/>
    <w:uiPriority w:val="99"/>
    <w:unhideWhenUsed/>
    <w:qFormat/>
    <w:rPr>
      <w:rFonts w:ascii="Arial" w:hAnsi="Arial" w:cs="Arial"/>
      <w:sz w:val="20"/>
    </w:rPr>
  </w:style>
  <w:style w:type="character" w:styleId="1270" w:customStyle="1">
    <w:name w:val="批注引用1"/>
    <w:uiPriority w:val="0"/>
    <w:qFormat/>
    <w:rPr>
      <w:sz w:val="21"/>
      <w:szCs w:val="21"/>
    </w:rPr>
  </w:style>
  <w:style w:type="character" w:styleId="1271" w:customStyle="1">
    <w:name w:val="HTML 引文1"/>
    <w:uiPriority w:val="0"/>
    <w:qFormat/>
    <w:rPr>
      <w:color w:val="008000"/>
    </w:rPr>
  </w:style>
  <w:style w:type="character" w:styleId="1272" w:customStyle="1">
    <w:name w:val="脚注引用1"/>
    <w:uiPriority w:val="99"/>
    <w:semiHidden/>
    <w:qFormat/>
    <w:rPr>
      <w:vertAlign w:val="superscript"/>
    </w:rPr>
  </w:style>
  <w:style w:type="character" w:styleId="1273" w:customStyle="1">
    <w:name w:val="HTML 键盘1"/>
    <w:uiPriority w:val="99"/>
    <w:unhideWhenUsed/>
    <w:qFormat/>
    <w:rPr>
      <w:rFonts w:hint="eastAsia" w:ascii="Arial" w:hAnsi="Arial" w:cs="Arial"/>
      <w:sz w:val="20"/>
    </w:rPr>
  </w:style>
  <w:style w:type="character" w:styleId="1274" w:customStyle="1">
    <w:name w:val="HTML 样本1"/>
    <w:uiPriority w:val="99"/>
    <w:unhideWhenUsed/>
    <w:qFormat/>
    <w:rPr>
      <w:rFonts w:ascii="Arial" w:hAnsi="Arial" w:cs="Arial"/>
    </w:rPr>
  </w:style>
  <w:style w:type="paragraph" w:styleId="1275" w:customStyle="1">
    <w:name w:val="首行缩进"/>
    <w:basedOn w:val="1008"/>
    <w:uiPriority w:val="99"/>
    <w:qFormat/>
    <w:pPr>
      <w:ind w:firstLine="480"/>
      <w:jc w:val="left"/>
      <w:spacing w:line="360" w:lineRule="auto"/>
    </w:pPr>
    <w:rPr>
      <w:rFonts w:ascii="宋体" w:hAnsi="宋体"/>
      <w:sz w:val="24"/>
    </w:rPr>
  </w:style>
  <w:style w:type="paragraph" w:styleId="1276" w:customStyle="1">
    <w:name w:val="_Style 1"/>
    <w:basedOn w:val="1008"/>
    <w:uiPriority w:val="0"/>
    <w:qFormat/>
    <w:pPr>
      <w:ind w:firstLine="420"/>
    </w:pPr>
    <w:rPr>
      <w:sz w:val="20"/>
    </w:rPr>
  </w:style>
  <w:style w:type="character" w:styleId="1277" w:customStyle="1">
    <w:name w:val="标题 2 字符"/>
    <w:uiPriority w:val="99"/>
    <w:qFormat/>
    <w:rPr>
      <w:rFonts w:ascii="Cambria" w:hAnsi="Cambria"/>
      <w:b/>
      <w:bCs/>
      <w:sz w:val="32"/>
      <w:szCs w:val="32"/>
    </w:rPr>
  </w:style>
  <w:style w:type="character" w:styleId="1278" w:customStyle="1">
    <w:name w:val="fo Char1"/>
    <w:uiPriority w:val="99"/>
    <w:qFormat/>
    <w:rPr>
      <w:rFonts w:eastAsia="宋体"/>
      <w:sz w:val="18"/>
      <w:szCs w:val="18"/>
      <w:lang w:val="en-US" w:eastAsia="zh-CN" w:bidi="ar-SA"/>
    </w:rPr>
  </w:style>
  <w:style w:type="character" w:styleId="1279" w:customStyle="1">
    <w:name w:val="font61"/>
    <w:uiPriority w:val="0"/>
    <w:qFormat/>
    <w:rPr>
      <w:rFonts w:hint="eastAsia" w:ascii="宋体" w:hAnsi="宋体" w:eastAsia="宋体" w:cs="宋体"/>
      <w:color w:val="000000"/>
      <w:sz w:val="21"/>
      <w:szCs w:val="21"/>
      <w:u w:val="none"/>
    </w:rPr>
  </w:style>
  <w:style w:type="character" w:styleId="1280" w:customStyle="1">
    <w:name w:val="Char Char"/>
    <w:uiPriority w:val="0"/>
    <w:qFormat/>
    <w:rPr>
      <w:rFonts w:eastAsia="宋体"/>
      <w:sz w:val="24"/>
      <w:lang w:val="en-US" w:eastAsia="zh-CN" w:bidi="ar-SA"/>
    </w:rPr>
  </w:style>
  <w:style w:type="character" w:styleId="1281" w:customStyle="1">
    <w:name w:val="Formatvorlage Links:  0&quot; Hängend:  13.5 ch Zchn"/>
    <w:link w:val="1282"/>
    <w:uiPriority w:val="0"/>
    <w:qFormat/>
    <w:rPr>
      <w:rFonts w:ascii="Arial" w:hAnsi="Arial"/>
      <w:sz w:val="24"/>
    </w:rPr>
  </w:style>
  <w:style w:type="paragraph" w:styleId="1282" w:customStyle="1">
    <w:name w:val="Formatvorlage Links:  0&quot; Hängend:  13.5 ch"/>
    <w:basedOn w:val="1008"/>
    <w:link w:val="1281"/>
    <w:uiPriority w:val="0"/>
    <w:qFormat/>
    <w:pPr>
      <w:ind w:left="3240" w:hanging="3240"/>
    </w:pPr>
    <w:rPr>
      <w:rFonts w:ascii="Arial" w:hAnsi="Arial"/>
      <w:sz w:val="24"/>
      <w:szCs w:val="20"/>
    </w:rPr>
  </w:style>
  <w:style w:type="character" w:styleId="1283" w:customStyle="1">
    <w:name w:val="font21"/>
    <w:uiPriority w:val="0"/>
    <w:qFormat/>
    <w:rPr>
      <w:rFonts w:hint="eastAsia" w:ascii="宋体" w:hAnsi="宋体" w:eastAsia="宋体" w:cs="宋体"/>
      <w:color w:val="000000"/>
      <w:sz w:val="24"/>
      <w:szCs w:val="24"/>
      <w:u w:val="none"/>
    </w:rPr>
  </w:style>
  <w:style w:type="character" w:styleId="1284" w:customStyle="1">
    <w:name w:val="font11"/>
    <w:uiPriority w:val="0"/>
    <w:qFormat/>
    <w:rPr>
      <w:rFonts w:hint="eastAsia" w:ascii="宋体" w:hAnsi="宋体" w:eastAsia="宋体" w:cs="宋体"/>
      <w:color w:val="000000"/>
      <w:sz w:val="22"/>
      <w:szCs w:val="22"/>
      <w:u w:val="none"/>
    </w:rPr>
  </w:style>
  <w:style w:type="character" w:styleId="1285" w:customStyle="1">
    <w:name w:val="font01"/>
    <w:uiPriority w:val="0"/>
    <w:qFormat/>
    <w:rPr>
      <w:rFonts w:ascii="Times New Roman" w:hAnsi="Times New Roman" w:cs="Times New Roman"/>
      <w:color w:val="000000"/>
      <w:sz w:val="21"/>
      <w:szCs w:val="21"/>
      <w:u w:val="none"/>
    </w:rPr>
  </w:style>
  <w:style w:type="character" w:styleId="1286" w:customStyle="1">
    <w:name w:val="Default Char"/>
    <w:link w:val="1287"/>
    <w:uiPriority w:val="0"/>
    <w:qFormat/>
    <w:rPr>
      <w:rFonts w:ascii="宋体"/>
      <w:color w:val="000000"/>
      <w:sz w:val="24"/>
      <w:szCs w:val="24"/>
      <w:lang w:val="en-US" w:eastAsia="zh-CN" w:bidi="ar-SA"/>
    </w:rPr>
  </w:style>
  <w:style w:type="paragraph" w:styleId="1287" w:customStyle="1">
    <w:name w:val="Default"/>
    <w:link w:val="1286"/>
    <w:uiPriority w:val="0"/>
    <w:qFormat/>
    <w:pPr>
      <w:widowControl w:val="off"/>
    </w:pPr>
    <w:rPr>
      <w:rFonts w:ascii="宋体" w:hAnsi="Times New Roman" w:eastAsia="宋体" w:cs="Times New Roman"/>
      <w:color w:val="000000"/>
      <w:sz w:val="24"/>
      <w:szCs w:val="24"/>
      <w:lang w:val="en-US" w:eastAsia="zh-CN" w:bidi="ar-SA"/>
    </w:rPr>
  </w:style>
  <w:style w:type="character" w:styleId="1288" w:customStyle="1">
    <w:name w:val="样式 首行缩进:  2 字符 Char Char Char"/>
    <w:uiPriority w:val="0"/>
    <w:qFormat/>
    <w:rPr>
      <w:rFonts w:eastAsia="宋体"/>
      <w:sz w:val="24"/>
      <w:lang w:val="en-US" w:eastAsia="zh-CN"/>
    </w:rPr>
  </w:style>
  <w:style w:type="character" w:styleId="1289" w:customStyle="1">
    <w:name w:val="Plain Text Char"/>
    <w:link w:val="1290"/>
    <w:uiPriority w:val="0"/>
    <w:qFormat/>
    <w:rPr>
      <w:rFonts w:ascii="宋体" w:hAnsi="Courier New" w:eastAsia="楷体_GB2312"/>
      <w:sz w:val="26"/>
    </w:rPr>
  </w:style>
  <w:style w:type="paragraph" w:styleId="1290" w:customStyle="1">
    <w:name w:val="纯文本1"/>
    <w:basedOn w:val="1008"/>
    <w:link w:val="1289"/>
    <w:uiPriority w:val="0"/>
    <w:qFormat/>
    <w:rPr>
      <w:rFonts w:ascii="宋体" w:hAnsi="Courier New" w:eastAsia="楷体_GB2312"/>
      <w:sz w:val="26"/>
      <w:szCs w:val="20"/>
    </w:rPr>
  </w:style>
  <w:style w:type="character" w:styleId="1291" w:customStyle="1">
    <w:name w:val="正文文本 Char"/>
    <w:uiPriority w:val="99"/>
    <w:qFormat/>
    <w:rPr>
      <w:rFonts w:ascii="Times New Roman" w:hAnsi="Times New Roman" w:eastAsia="宋体" w:cs="Times New Roman"/>
      <w:szCs w:val="24"/>
    </w:rPr>
  </w:style>
  <w:style w:type="character" w:styleId="1292" w:customStyle="1">
    <w:name w:val="font91"/>
    <w:uiPriority w:val="0"/>
    <w:qFormat/>
    <w:rPr>
      <w:rFonts w:hint="eastAsia" w:ascii="宋体" w:hAnsi="宋体" w:eastAsia="宋体" w:cs="宋体"/>
      <w:color w:val="000000"/>
      <w:sz w:val="20"/>
      <w:szCs w:val="20"/>
      <w:u w:val="none"/>
    </w:rPr>
  </w:style>
  <w:style w:type="character" w:styleId="1293" w:customStyle="1">
    <w:name w:val="占位符文本1"/>
    <w:uiPriority w:val="99"/>
    <w:semiHidden/>
    <w:qFormat/>
    <w:rPr>
      <w:color w:val="808080"/>
    </w:rPr>
  </w:style>
  <w:style w:type="character" w:styleId="1294" w:customStyle="1">
    <w:name w:val="style11"/>
    <w:uiPriority w:val="0"/>
    <w:qFormat/>
    <w:rPr>
      <w:rFonts w:ascii="Verdana" w:hAnsi="Verdana"/>
      <w:sz w:val="21"/>
    </w:rPr>
  </w:style>
  <w:style w:type="character" w:styleId="1295" w:customStyle="1">
    <w:name w:val="Formatvorlage Formatvorlage Links:  0&quot; Hängend:  13.5 ch + MingLiU Zchn"/>
    <w:link w:val="1296"/>
    <w:uiPriority w:val="0"/>
    <w:qFormat/>
    <w:rPr>
      <w:rFonts w:ascii="Arial" w:hAnsi="Arial"/>
      <w:sz w:val="24"/>
    </w:rPr>
  </w:style>
  <w:style w:type="paragraph" w:styleId="1296" w:customStyle="1">
    <w:name w:val="Formatvorlage Formatvorlage Links:  0&quot; Hängend:  13.5 ch + MingLiU"/>
    <w:basedOn w:val="1282"/>
    <w:link w:val="1295"/>
    <w:uiPriority w:val="0"/>
    <w:qFormat/>
  </w:style>
  <w:style w:type="character" w:styleId="1297" w:customStyle="1">
    <w:name w:val="NormalCharacter1"/>
    <w:uiPriority w:val="0"/>
    <w:qFormat/>
  </w:style>
  <w:style w:type="character" w:styleId="1298" w:customStyle="1">
    <w:name w:val="headline-content2"/>
    <w:uiPriority w:val="0"/>
    <w:qFormat/>
    <w:rPr>
      <w:rFonts w:cs="Times New Roman"/>
    </w:rPr>
  </w:style>
  <w:style w:type="character" w:styleId="1299" w:customStyle="1">
    <w:name w:val="font41"/>
    <w:uiPriority w:val="0"/>
    <w:qFormat/>
    <w:rPr>
      <w:rFonts w:ascii="Calibri" w:hAnsi="Calibri" w:cs="Calibri"/>
      <w:color w:val="000000"/>
      <w:sz w:val="24"/>
      <w:szCs w:val="24"/>
      <w:u w:val="none"/>
    </w:rPr>
  </w:style>
  <w:style w:type="character" w:styleId="1300" w:customStyle="1">
    <w:name w:val="text Char"/>
    <w:link w:val="1301"/>
    <w:uiPriority w:val="99"/>
    <w:qFormat/>
    <w:rPr>
      <w:sz w:val="24"/>
      <w:szCs w:val="24"/>
    </w:rPr>
  </w:style>
  <w:style w:type="paragraph" w:styleId="1301" w:customStyle="1">
    <w:name w:val="text"/>
    <w:basedOn w:val="1008"/>
    <w:link w:val="1300"/>
    <w:uiPriority w:val="99"/>
    <w:qFormat/>
    <w:pPr>
      <w:ind w:left="1098" w:hanging="2"/>
      <w:spacing w:after="60" w:line="264" w:lineRule="auto"/>
      <w:widowControl/>
      <w:tabs>
        <w:tab w:val="left" w:pos="1020" w:leader="none"/>
        <w:tab w:val="left" w:pos="1090" w:leader="none"/>
      </w:tabs>
    </w:pPr>
    <w:rPr>
      <w:sz w:val="24"/>
    </w:rPr>
  </w:style>
  <w:style w:type="character" w:styleId="1302" w:customStyle="1">
    <w:name w:val="Char Char5"/>
    <w:uiPriority w:val="0"/>
    <w:qFormat/>
    <w:rPr>
      <w:rFonts w:eastAsia="宋体"/>
      <w:sz w:val="24"/>
      <w:lang w:val="en-US" w:eastAsia="zh-CN" w:bidi="ar-SA"/>
    </w:rPr>
  </w:style>
  <w:style w:type="character" w:styleId="1303" w:customStyle="1">
    <w:name w:val="NICMAN Body Text Char Char"/>
    <w:uiPriority w:val="0"/>
    <w:qFormat/>
    <w:rPr>
      <w:rFonts w:eastAsia="宋体"/>
      <w:sz w:val="24"/>
      <w:lang w:val="en-US" w:eastAsia="zh-CN"/>
    </w:rPr>
  </w:style>
  <w:style w:type="character" w:styleId="1304" w:customStyle="1">
    <w:name w:val="h Char Char"/>
    <w:uiPriority w:val="99"/>
    <w:qFormat/>
    <w:rPr>
      <w:rFonts w:eastAsia="宋体"/>
      <w:sz w:val="18"/>
      <w:szCs w:val="18"/>
      <w:lang w:val="en-US" w:eastAsia="zh-CN" w:bidi="ar-SA"/>
    </w:rPr>
  </w:style>
  <w:style w:type="character" w:styleId="1305" w:customStyle="1">
    <w:name w:val="NICMAN Body Text Char"/>
    <w:uiPriority w:val="0"/>
    <w:qFormat/>
    <w:rPr>
      <w:rFonts w:eastAsia="宋体"/>
      <w:sz w:val="24"/>
      <w:lang w:val="en-US" w:eastAsia="zh-CN" w:bidi="ar-SA"/>
    </w:rPr>
  </w:style>
  <w:style w:type="character" w:styleId="1306" w:customStyle="1">
    <w:name w:val="feature"/>
    <w:uiPriority w:val="0"/>
    <w:qFormat/>
  </w:style>
  <w:style w:type="character" w:styleId="1307" w:customStyle="1">
    <w:name w:val="1名 Char"/>
    <w:link w:val="1308"/>
    <w:uiPriority w:val="99"/>
    <w:qFormat/>
    <w:rPr>
      <w:rFonts w:ascii="宋体"/>
      <w:sz w:val="28"/>
    </w:rPr>
  </w:style>
  <w:style w:type="paragraph" w:styleId="1308" w:customStyle="1">
    <w:name w:val="1名"/>
    <w:basedOn w:val="1008"/>
    <w:link w:val="1307"/>
    <w:uiPriority w:val="99"/>
    <w:qFormat/>
    <w:pPr>
      <w:numPr>
        <w:ilvl w:val="0"/>
        <w:numId w:val="2"/>
      </w:numPr>
      <w:ind w:left="0" w:firstLine="0"/>
      <w:spacing w:before="120"/>
    </w:pPr>
    <w:rPr>
      <w:rFonts w:ascii="宋体"/>
      <w:sz w:val="28"/>
      <w:szCs w:val="20"/>
    </w:rPr>
  </w:style>
  <w:style w:type="paragraph" w:styleId="1309" w:customStyle="1">
    <w:name w:val="无间隔1"/>
    <w:basedOn w:val="1008"/>
    <w:uiPriority w:val="0"/>
    <w:qFormat/>
    <w:pPr>
      <w:spacing w:line="400" w:lineRule="exact"/>
    </w:pPr>
    <w:rPr>
      <w:sz w:val="24"/>
    </w:rPr>
  </w:style>
  <w:style w:type="paragraph" w:styleId="1310" w:customStyle="1">
    <w:name w:val="修订1"/>
    <w:uiPriority w:val="0"/>
    <w:qFormat/>
    <w:rPr>
      <w:rFonts w:ascii="Times New Roman" w:hAnsi="Times New Roman" w:eastAsia="宋体" w:cs="Times New Roman"/>
      <w:sz w:val="21"/>
      <w:szCs w:val="24"/>
      <w:lang w:val="en-US" w:eastAsia="zh-CN" w:bidi="ar-SA"/>
    </w:rPr>
  </w:style>
  <w:style w:type="paragraph" w:styleId="1311" w:customStyle="1">
    <w:name w:val="NormalIndent1"/>
    <w:basedOn w:val="1008"/>
    <w:uiPriority w:val="0"/>
    <w:qFormat/>
    <w:pPr>
      <w:ind w:firstLine="420"/>
    </w:pPr>
    <w:rPr>
      <w:sz w:val="20"/>
    </w:rPr>
  </w:style>
  <w:style w:type="paragraph" w:styleId="1312" w:customStyle="1">
    <w:name w:val="p0"/>
    <w:basedOn w:val="1008"/>
    <w:uiPriority w:val="0"/>
    <w:qFormat/>
    <w:pPr>
      <w:widowControl/>
    </w:pPr>
    <w:rPr>
      <w:b/>
      <w:bCs/>
      <w:sz w:val="24"/>
    </w:rPr>
  </w:style>
  <w:style w:type="paragraph" w:styleId="1313" w:customStyle="1">
    <w:name w:val="Char Char Char Char"/>
    <w:basedOn w:val="1008"/>
    <w:uiPriority w:val="0"/>
    <w:qFormat/>
    <w:pPr>
      <w:jc w:val="left"/>
      <w:spacing w:after="160" w:line="240" w:lineRule="exact"/>
      <w:widowControl/>
    </w:pPr>
  </w:style>
  <w:style w:type="paragraph" w:styleId="1314" w:customStyle="1">
    <w:name w:val="星非-小"/>
    <w:basedOn w:val="1008"/>
    <w:uiPriority w:val="0"/>
    <w:qFormat/>
    <w:pPr>
      <w:ind w:left="830" w:hanging="534"/>
      <w:jc w:val="left"/>
      <w:spacing w:line="480" w:lineRule="exact"/>
    </w:pPr>
    <w:rPr>
      <w:rFonts w:ascii="仿宋_GB2312" w:hAnsi="仿宋_GB2312" w:eastAsia="仿宋_GB2312" w:cs="宋体"/>
      <w:sz w:val="28"/>
      <w:szCs w:val="20"/>
    </w:rPr>
  </w:style>
  <w:style w:type="paragraph" w:styleId="1315" w:customStyle="1">
    <w:name w:val="op_mapdots_left"/>
    <w:basedOn w:val="1008"/>
    <w:uiPriority w:val="0"/>
    <w:qFormat/>
    <w:pPr>
      <w:jc w:val="left"/>
      <w:spacing w:before="100" w:beforeAutospacing="1" w:after="100" w:afterAutospacing="1"/>
      <w:widowControl/>
    </w:pPr>
    <w:rPr>
      <w:rFonts w:ascii="宋体" w:hAnsi="宋体" w:cs="宋体"/>
      <w:sz w:val="24"/>
    </w:rPr>
  </w:style>
  <w:style w:type="paragraph" w:styleId="1316" w:customStyle="1">
    <w:name w:val="p18"/>
    <w:basedOn w:val="1008"/>
    <w:uiPriority w:val="0"/>
    <w:qFormat/>
    <w:pPr>
      <w:ind w:firstLine="420"/>
      <w:jc w:val="left"/>
      <w:widowControl/>
    </w:pPr>
    <w:rPr>
      <w:sz w:val="24"/>
    </w:rPr>
  </w:style>
  <w:style w:type="paragraph" w:styleId="1317" w:customStyle="1">
    <w:name w:val="内容样式"/>
    <w:basedOn w:val="1008"/>
    <w:uiPriority w:val="0"/>
    <w:qFormat/>
    <w:pPr>
      <w:ind w:firstLine="560"/>
      <w:jc w:val="left"/>
      <w:spacing w:line="460" w:lineRule="exact"/>
    </w:pPr>
    <w:rPr>
      <w:rFonts w:ascii="仿宋_GB2312" w:hAnsi="仿宋_GB2312" w:eastAsia="仿宋_GB2312" w:cs="宋体"/>
      <w:sz w:val="28"/>
      <w:szCs w:val="20"/>
    </w:rPr>
  </w:style>
  <w:style w:type="paragraph" w:styleId="1318" w:customStyle="1">
    <w:name w:val="列表段落1"/>
    <w:basedOn w:val="1008"/>
    <w:uiPriority w:val="34"/>
    <w:qFormat/>
    <w:pPr>
      <w:ind w:firstLine="420"/>
    </w:pPr>
  </w:style>
  <w:style w:type="paragraph" w:styleId="1319" w:customStyle="1">
    <w:name w:val="普通正文"/>
    <w:basedOn w:val="1008"/>
    <w:uiPriority w:val="0"/>
    <w:qFormat/>
    <w:pPr>
      <w:ind w:firstLine="480"/>
      <w:jc w:val="left"/>
      <w:spacing w:before="120" w:after="120" w:line="360" w:lineRule="auto"/>
    </w:pPr>
    <w:rPr>
      <w:rFonts w:ascii="Arial" w:hAnsi="Arial"/>
      <w:sz w:val="24"/>
    </w:rPr>
  </w:style>
  <w:style w:type="paragraph" w:styleId="1320" w:customStyle="1">
    <w:name w:val="文档正文"/>
    <w:basedOn w:val="1008"/>
    <w:uiPriority w:val="0"/>
    <w:qFormat/>
    <w:pPr>
      <w:ind w:firstLine="567"/>
      <w:spacing w:line="480" w:lineRule="atLeast"/>
    </w:pPr>
    <w:rPr>
      <w:rFonts w:ascii="Ari" w:eastAsia="Ari"/>
      <w:sz w:val="28"/>
      <w:szCs w:val="20"/>
    </w:rPr>
  </w:style>
  <w:style w:type="paragraph" w:styleId="1321" w:customStyle="1">
    <w:name w:val="man"/>
    <w:next w:val="1008"/>
    <w:uiPriority w:val="99"/>
    <w:qFormat/>
    <w:pPr>
      <w:widowControl w:val="off"/>
    </w:pPr>
    <w:rPr>
      <w:rFonts w:ascii="Arial" w:hAnsi="Arial" w:eastAsia="宋体" w:cs="Arial"/>
      <w:sz w:val="22"/>
      <w:szCs w:val="22"/>
      <w:lang w:val="de-DE" w:eastAsia="de-DE" w:bidi="ar-SA"/>
    </w:rPr>
  </w:style>
  <w:style w:type="paragraph" w:styleId="1322" w:customStyle="1">
    <w:name w:val="列出段落1"/>
    <w:basedOn w:val="1008"/>
    <w:uiPriority w:val="34"/>
    <w:qFormat/>
    <w:pPr>
      <w:contextualSpacing/>
      <w:ind w:left="720"/>
      <w:jc w:val="left"/>
      <w:widowControl/>
    </w:pPr>
    <w:rPr>
      <w:rFonts w:ascii="Arial" w:hAnsi="Arial" w:eastAsia="黑体"/>
      <w:sz w:val="24"/>
      <w:lang w:eastAsia="en-US"/>
    </w:rPr>
  </w:style>
  <w:style w:type="paragraph" w:styleId="1323" w:customStyle="1">
    <w:name w:val="样式 标题 3 + (中文) 黑体 小四 非加粗 段前: 7.8 磅 段后: 0 磅 行距: 固定值 20 磅"/>
    <w:basedOn w:val="1201"/>
    <w:next w:val="1008"/>
    <w:uiPriority w:val="0"/>
    <w:qFormat/>
    <w:pPr>
      <w:spacing w:before="0" w:after="0" w:line="400" w:lineRule="exact"/>
    </w:pPr>
    <w:rPr>
      <w:rFonts w:eastAsia="黑体" w:cs="宋体"/>
      <w:b w:val="0"/>
      <w:bCs w:val="0"/>
      <w:sz w:val="24"/>
      <w:szCs w:val="20"/>
    </w:rPr>
  </w:style>
  <w:style w:type="paragraph" w:styleId="1324" w:customStyle="1">
    <w:name w:val="默认段落字体 Para Char Char Char Char"/>
    <w:basedOn w:val="1008"/>
    <w:uiPriority w:val="0"/>
    <w:qFormat/>
  </w:style>
  <w:style w:type="paragraph" w:styleId="1325" w:customStyle="1">
    <w:name w:val="WPSOffice手动目录 1"/>
    <w:uiPriority w:val="0"/>
    <w:qFormat/>
    <w:rPr>
      <w:rFonts w:ascii="Times New Roman" w:hAnsi="Times New Roman" w:eastAsia="宋体" w:cs="Times New Roman"/>
      <w:lang w:val="en-US" w:eastAsia="zh-CN" w:bidi="ar-SA"/>
    </w:rPr>
  </w:style>
  <w:style w:type="paragraph" w:styleId="1326" w:customStyle="1">
    <w:name w:val="段"/>
    <w:next w:val="1008"/>
    <w:uiPriority w:val="99"/>
    <w:qFormat/>
    <w:pPr>
      <w:ind w:firstLine="200"/>
      <w:jc w:val="both"/>
    </w:pPr>
    <w:rPr>
      <w:rFonts w:ascii="宋体" w:hAnsi="Times New Roman" w:eastAsia="宋体" w:cs="宋体"/>
      <w:sz w:val="21"/>
      <w:szCs w:val="21"/>
      <w:lang w:val="en-US" w:eastAsia="zh-CN" w:bidi="ar-SA"/>
    </w:rPr>
  </w:style>
  <w:style w:type="paragraph" w:styleId="1327" w:customStyle="1">
    <w:name w:val="Char"/>
    <w:basedOn w:val="1008"/>
    <w:uiPriority w:val="0"/>
    <w:qFormat/>
    <w:pPr>
      <w:jc w:val="left"/>
      <w:spacing w:after="160" w:line="240" w:lineRule="exact"/>
      <w:widowControl/>
    </w:pPr>
    <w:rPr>
      <w:rFonts w:ascii="Verdana" w:hAnsi="Verdana" w:eastAsia="仿宋_GB2312"/>
      <w:sz w:val="24"/>
      <w:szCs w:val="20"/>
      <w:lang w:eastAsia="en-US"/>
    </w:rPr>
  </w:style>
  <w:style w:type="paragraph" w:styleId="1328" w:customStyle="1">
    <w:name w:val="absatz4"/>
    <w:basedOn w:val="1008"/>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329" w:customStyle="1">
    <w:name w:val="Table Paragraph"/>
    <w:basedOn w:val="1008"/>
    <w:uiPriority w:val="1"/>
    <w:qFormat/>
    <w:pPr>
      <w:jc w:val="left"/>
    </w:pPr>
    <w:rPr>
      <w:rFonts w:eastAsia="Calibri"/>
      <w:sz w:val="22"/>
      <w:szCs w:val="22"/>
      <w:lang w:eastAsia="en-US"/>
    </w:rPr>
  </w:style>
  <w:style w:type="paragraph" w:styleId="1330" w:customStyle="1">
    <w:name w:val="TOC 标题2"/>
    <w:basedOn w:val="1199"/>
    <w:next w:val="100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331" w:customStyle="1">
    <w:name w:val="正文段"/>
    <w:basedOn w:val="1008"/>
    <w:uiPriority w:val="0"/>
    <w:qFormat/>
    <w:pPr>
      <w:ind w:firstLine="200"/>
      <w:widowControl/>
    </w:pPr>
    <w:rPr>
      <w:sz w:val="24"/>
      <w:szCs w:val="20"/>
    </w:rPr>
  </w:style>
  <w:style w:type="paragraph" w:styleId="1332" w:customStyle="1">
    <w:name w:val="_Style 13"/>
    <w:basedOn w:val="1008"/>
    <w:next w:val="1008"/>
    <w:uiPriority w:val="0"/>
    <w:qFormat/>
    <w:rPr>
      <w:sz w:val="24"/>
      <w:szCs w:val="20"/>
    </w:rPr>
  </w:style>
  <w:style w:type="paragraph" w:styleId="1333">
    <w:name w:val="List Paragraph"/>
    <w:basedOn w:val="1008"/>
    <w:uiPriority w:val="0"/>
    <w:qFormat/>
    <w:pPr>
      <w:contextualSpacing/>
      <w:ind w:left="720"/>
      <w:jc w:val="left"/>
      <w:widowControl/>
    </w:pPr>
    <w:rPr>
      <w:rFonts w:ascii="Arial" w:hAnsi="Arial" w:eastAsia="黑体"/>
      <w:sz w:val="24"/>
      <w:lang w:eastAsia="en-US"/>
    </w:rPr>
  </w:style>
  <w:style w:type="paragraph" w:styleId="1334" w:customStyle="1">
    <w:name w:val="Char Char Char"/>
    <w:basedOn w:val="1008"/>
    <w:uiPriority w:val="0"/>
    <w:qFormat/>
    <w:pPr>
      <w:ind w:left="360" w:hanging="360"/>
      <w:tabs>
        <w:tab w:val="left" w:pos="360" w:leader="none"/>
        <w:tab w:val="left" w:pos="1545" w:leader="none"/>
      </w:tabs>
    </w:pPr>
    <w:rPr>
      <w:szCs w:val="20"/>
    </w:rPr>
  </w:style>
  <w:style w:type="paragraph" w:styleId="1335" w:customStyle="1">
    <w:name w:val="标题2"/>
    <w:basedOn w:val="1200"/>
    <w:next w:val="1230"/>
    <w:uiPriority w:val="0"/>
    <w:qFormat/>
    <w:pPr>
      <w:spacing w:before="156" w:after="156" w:line="360" w:lineRule="auto"/>
    </w:pPr>
    <w:rPr>
      <w:bCs w:val="0"/>
    </w:rPr>
  </w:style>
  <w:style w:type="paragraph" w:styleId="1336" w:customStyle="1">
    <w:name w:val="样式1"/>
    <w:basedOn w:val="1008"/>
    <w:uiPriority w:val="0"/>
    <w:qFormat/>
    <w:pPr>
      <w:tabs>
        <w:tab w:val="left" w:pos="0" w:leader="none"/>
        <w:tab w:val="left" w:pos="420" w:leader="none"/>
        <w:tab w:val="left" w:pos="709" w:leader="none"/>
      </w:tabs>
    </w:pPr>
    <w:rPr>
      <w:rFonts w:ascii="宋体" w:hAnsi="宋体"/>
      <w:szCs w:val="20"/>
    </w:rPr>
  </w:style>
  <w:style w:type="paragraph" w:styleId="1337" w:customStyle="1">
    <w:name w:val="格式３"/>
    <w:basedOn w:val="1008"/>
    <w:uiPriority w:val="0"/>
    <w:qFormat/>
    <w:pPr>
      <w:ind w:left="600" w:hanging="600"/>
      <w:spacing w:line="420" w:lineRule="exact"/>
    </w:pPr>
    <w:rPr>
      <w:rFonts w:ascii="宋体" w:hAnsi="宋体"/>
      <w:color w:val="000000"/>
      <w:sz w:val="24"/>
      <w:szCs w:val="20"/>
    </w:rPr>
  </w:style>
  <w:style w:type="paragraph" w:styleId="1338" w:customStyle="1">
    <w:name w:val="无缩进正文"/>
    <w:basedOn w:val="1008"/>
    <w:uiPriority w:val="0"/>
    <w:qFormat/>
    <w:rPr>
      <w:szCs w:val="20"/>
    </w:rPr>
  </w:style>
  <w:style w:type="paragraph" w:styleId="1339" w:customStyle="1">
    <w:name w:val="Char1 Char Char Char"/>
    <w:basedOn w:val="1008"/>
    <w:uiPriority w:val="0"/>
    <w:qFormat/>
    <w:pPr>
      <w:jc w:val="left"/>
      <w:widowControl/>
    </w:pPr>
    <w:rPr>
      <w:sz w:val="24"/>
    </w:rPr>
  </w:style>
  <w:style w:type="paragraph" w:styleId="1340" w:customStyle="1">
    <w:name w:val="Char Char Char Char1"/>
    <w:basedOn w:val="1224"/>
    <w:uiPriority w:val="0"/>
    <w:qFormat/>
    <w:pPr>
      <w:spacing w:line="360" w:lineRule="auto"/>
      <w:shd w:val="clear" w:color="auto" w:fill="000080"/>
    </w:pPr>
    <w:rPr>
      <w:rFonts w:ascii="Times New Roman"/>
      <w:sz w:val="21"/>
      <w:szCs w:val="20"/>
    </w:rPr>
  </w:style>
  <w:style w:type="paragraph" w:styleId="1341" w:customStyle="1">
    <w:name w:val="+正文 Char"/>
    <w:basedOn w:val="1008"/>
    <w:uiPriority w:val="0"/>
    <w:qFormat/>
    <w:pPr>
      <w:ind w:firstLine="200"/>
      <w:spacing w:line="360" w:lineRule="auto"/>
    </w:pPr>
    <w:rPr>
      <w:sz w:val="24"/>
      <w:szCs w:val="28"/>
    </w:rPr>
  </w:style>
  <w:style w:type="paragraph" w:styleId="1342" w:customStyle="1">
    <w:name w:val="Char Char Char Char Char Char Char Char Char Char"/>
    <w:basedOn w:val="1008"/>
    <w:uiPriority w:val="0"/>
    <w:qFormat/>
    <w:pPr>
      <w:ind w:left="795" w:hanging="360"/>
      <w:tabs>
        <w:tab w:val="left" w:pos="795" w:leader="none"/>
      </w:tabs>
    </w:pPr>
    <w:rPr>
      <w:sz w:val="24"/>
    </w:rPr>
  </w:style>
  <w:style w:type="character" w:styleId="1343" w:customStyle="1">
    <w:name w:val="font31"/>
    <w:uiPriority w:val="0"/>
    <w:qFormat/>
    <w:rPr>
      <w:rFonts w:hint="eastAsia" w:ascii="宋体" w:hAnsi="宋体" w:eastAsia="宋体" w:cs="宋体"/>
      <w:color w:val="000000"/>
      <w:sz w:val="20"/>
      <w:szCs w:val="20"/>
      <w:u w:val="none"/>
    </w:rPr>
  </w:style>
  <w:style w:type="character" w:styleId="1344" w:customStyle="1">
    <w:name w:val="redfilefwwh"/>
    <w:uiPriority w:val="0"/>
    <w:qFormat/>
    <w:rPr>
      <w:color w:val="ba2636"/>
      <w:sz w:val="18"/>
      <w:szCs w:val="18"/>
    </w:rPr>
  </w:style>
  <w:style w:type="character" w:styleId="1345" w:customStyle="1">
    <w:name w:val="cfdate"/>
    <w:uiPriority w:val="0"/>
    <w:qFormat/>
    <w:rPr>
      <w:color w:val="333333"/>
      <w:sz w:val="18"/>
      <w:szCs w:val="18"/>
    </w:rPr>
  </w:style>
  <w:style w:type="character" w:styleId="1346" w:customStyle="1">
    <w:name w:val="qxdate"/>
    <w:uiPriority w:val="0"/>
    <w:qFormat/>
    <w:rPr>
      <w:color w:val="333333"/>
      <w:sz w:val="18"/>
      <w:szCs w:val="18"/>
    </w:rPr>
  </w:style>
  <w:style w:type="character" w:styleId="1347" w:customStyle="1">
    <w:name w:val="gjfg"/>
    <w:uiPriority w:val="0"/>
    <w:qFormat/>
  </w:style>
  <w:style w:type="character" w:styleId="1348" w:customStyle="1">
    <w:name w:val="next2"/>
    <w:uiPriority w:val="0"/>
    <w:qFormat/>
    <w:rPr>
      <w:rFonts w:ascii="微软雅黑" w:hAnsi="微软雅黑" w:eastAsia="微软雅黑" w:cs="微软雅黑"/>
      <w:sz w:val="21"/>
      <w:szCs w:val="21"/>
    </w:rPr>
  </w:style>
  <w:style w:type="character" w:styleId="1349" w:customStyle="1">
    <w:name w:val="next3"/>
    <w:uiPriority w:val="0"/>
    <w:qFormat/>
    <w:rPr>
      <w:color w:val="888888"/>
    </w:rPr>
  </w:style>
  <w:style w:type="character" w:styleId="1350" w:customStyle="1">
    <w:name w:val="displayarti"/>
    <w:uiPriority w:val="0"/>
    <w:qFormat/>
    <w:rPr>
      <w:color w:val="ffffff"/>
      <w:shd w:val="clear" w:color="auto" w:fill="a00000"/>
    </w:rPr>
  </w:style>
  <w:style w:type="character" w:styleId="1351" w:customStyle="1">
    <w:name w:val="redfilenumber"/>
    <w:uiPriority w:val="0"/>
    <w:qFormat/>
    <w:rPr>
      <w:color w:val="ba2636"/>
      <w:sz w:val="18"/>
      <w:szCs w:val="18"/>
    </w:rPr>
  </w:style>
  <w:style w:type="character" w:styleId="1352" w:customStyle="1">
    <w:name w:val="prev2"/>
    <w:uiPriority w:val="0"/>
    <w:qFormat/>
    <w:rPr>
      <w:rFonts w:hint="eastAsia" w:ascii="微软雅黑" w:hAnsi="微软雅黑" w:eastAsia="微软雅黑" w:cs="微软雅黑"/>
      <w:sz w:val="21"/>
      <w:szCs w:val="21"/>
    </w:rPr>
  </w:style>
  <w:style w:type="character" w:styleId="1353" w:customStyle="1">
    <w:name w:val="prev3"/>
    <w:uiPriority w:val="0"/>
    <w:qFormat/>
    <w:rPr>
      <w:color w:val="888888"/>
    </w:rPr>
  </w:style>
  <w:style w:type="character" w:styleId="1354" w:customStyle="1">
    <w:name w:val="prev"/>
    <w:uiPriority w:val="0"/>
    <w:qFormat/>
    <w:rPr>
      <w:color w:val="888888"/>
    </w:rPr>
  </w:style>
  <w:style w:type="character" w:styleId="1355" w:customStyle="1">
    <w:name w:val="prev1"/>
    <w:uiPriority w:val="0"/>
    <w:qFormat/>
    <w:rPr>
      <w:rFonts w:ascii="微软雅黑" w:hAnsi="微软雅黑" w:eastAsia="微软雅黑" w:cs="微软雅黑"/>
      <w:sz w:val="21"/>
      <w:szCs w:val="21"/>
    </w:rPr>
  </w:style>
  <w:style w:type="character" w:styleId="1356" w:customStyle="1">
    <w:name w:val="next"/>
    <w:uiPriority w:val="0"/>
    <w:qFormat/>
    <w:rPr>
      <w:color w:val="888888"/>
    </w:rPr>
  </w:style>
  <w:style w:type="character" w:styleId="1357" w:customStyle="1">
    <w:name w:val="next1"/>
    <w:uiPriority w:val="0"/>
    <w:qFormat/>
    <w:rPr>
      <w:rFonts w:hint="eastAsia" w:ascii="微软雅黑" w:hAnsi="微软雅黑" w:eastAsia="微软雅黑" w:cs="微软雅黑"/>
      <w:sz w:val="21"/>
      <w:szCs w:val="21"/>
    </w:rPr>
  </w:style>
  <w:style w:type="paragraph" w:styleId="1358" w:customStyle="1">
    <w:name w:val="_Style 14"/>
    <w:basedOn w:val="1008"/>
    <w:next w:val="1318"/>
    <w:uiPriority w:val="34"/>
    <w:qFormat/>
    <w:pPr>
      <w:ind w:firstLine="420"/>
    </w:pPr>
    <w:rPr>
      <w:rFonts w:ascii="等线" w:hAnsi="等线" w:eastAsia="等线"/>
      <w:szCs w:val="22"/>
    </w:rPr>
  </w:style>
  <w:style w:type="paragraph" w:styleId="1359" w:customStyle="1">
    <w:name w:val="_Style 8"/>
    <w:basedOn w:val="1008"/>
    <w:next w:val="1318"/>
    <w:uiPriority w:val="34"/>
    <w:qFormat/>
    <w:pPr>
      <w:ind w:firstLine="420"/>
    </w:pPr>
    <w:rPr>
      <w:rFonts w:ascii="等线" w:hAnsi="等线" w:eastAsia="等线"/>
      <w:szCs w:val="22"/>
    </w:rPr>
  </w:style>
  <w:style w:type="paragraph" w:styleId="1360" w:customStyle="1">
    <w:name w:val="列出段落2"/>
    <w:basedOn w:val="1008"/>
    <w:uiPriority w:val="0"/>
    <w:qFormat/>
    <w:pPr>
      <w:ind w:firstLine="420"/>
    </w:pPr>
    <w:rPr>
      <w:lang w:val="zh-CN"/>
    </w:rPr>
  </w:style>
  <w:style w:type="paragraph" w:styleId="1361" w:customStyle="1">
    <w:name w:val="列出段落3"/>
    <w:basedOn w:val="1008"/>
    <w:uiPriority w:val="34"/>
    <w:qFormat/>
    <w:pPr>
      <w:ind w:firstLine="420"/>
    </w:pPr>
  </w:style>
  <w:style w:type="paragraph" w:styleId="1362" w:customStyle="1">
    <w:name w:val="List Paragraph1"/>
    <w:basedOn w:val="1008"/>
    <w:uiPriority w:val="0"/>
    <w:qFormat/>
    <w:pPr>
      <w:contextualSpacing/>
      <w:ind w:left="720"/>
      <w:jc w:val="left"/>
      <w:widowControl/>
    </w:pPr>
    <w:rPr>
      <w:rFonts w:ascii="Arial" w:hAnsi="Arial" w:eastAsia="黑体"/>
      <w:sz w:val="24"/>
      <w:lang w:eastAsia="en-US"/>
    </w:rPr>
  </w:style>
  <w:style w:type="paragraph" w:styleId="1363" w:customStyle="1">
    <w:name w:val="正文 A"/>
    <w:uiPriority w:val="0"/>
    <w:qFormat/>
    <w:rPr>
      <w:rFonts w:ascii="Arial Unicode MS" w:hAnsi="Arial Unicode MS" w:eastAsia="宋体" w:cs="Arial Unicode MS"/>
      <w:color w:val="000000"/>
      <w:lang w:val="en-US" w:eastAsia="zh-CN" w:bidi="ar-SA"/>
    </w:rPr>
  </w:style>
  <w:style w:type="paragraph" w:styleId="1364" w:customStyle="1">
    <w:name w:val="正文首行缩进1"/>
    <w:basedOn w:val="1230"/>
    <w:uiPriority w:val="0"/>
    <w:qFormat/>
    <w:pPr>
      <w:ind w:firstLine="420"/>
      <w:spacing w:line="360" w:lineRule="auto"/>
    </w:pPr>
    <w:rPr>
      <w:szCs w:val="21"/>
    </w:rPr>
  </w:style>
  <w:style w:type="character" w:styleId="1365" w:customStyle="1">
    <w:name w:val="批注框文本 Char"/>
    <w:basedOn w:val="1018"/>
    <w:link w:val="1031"/>
    <w:uiPriority w:val="99"/>
    <w:semiHidden/>
    <w:qFormat/>
    <w:rPr>
      <w:sz w:val="18"/>
      <w:szCs w:val="18"/>
    </w:rPr>
  </w:style>
  <w:style w:type="character" w:styleId="1366" w:customStyle="1">
    <w:name w:val="批注文字 Char"/>
    <w:basedOn w:val="1018"/>
    <w:link w:val="1024"/>
    <w:uiPriority w:val="99"/>
    <w:qFormat/>
    <w:rPr>
      <w:sz w:val="21"/>
      <w:szCs w:val="24"/>
    </w:rPr>
  </w:style>
  <w:style w:type="character" w:styleId="1367" w:customStyle="1">
    <w:name w:val="批注主题 Char"/>
    <w:basedOn w:val="1366"/>
    <w:link w:val="1044"/>
    <w:uiPriority w:val="0"/>
    <w:qFormat/>
    <w:rPr>
      <w:sz w:val="21"/>
      <w:szCs w:val="24"/>
    </w:rPr>
  </w:style>
  <w:style w:type="numbering" w:styleId="125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5"/>
    <customShpInfo spid="_x0000_s1026"/>
    <customShpInfo spid="_x0000_s1033"/>
    <customShpInfo spid="_x0000_s1034"/>
    <customShpInfo spid="_x0000_s1031"/>
    <customShpInfo spid="_x0000_s1032"/>
    <customShpInfo spid="_x0000_s1029"/>
    <customShpInfo spid="_x0000_s1030"/>
    <customShpInfo spid="_x0000_s1027"/>
    <customShpInfo spid="_x0000_s1028"/>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刘权</cp:lastModifiedBy>
  <cp:revision>12</cp:revision>
  <dcterms:created xsi:type="dcterms:W3CDTF">2026-07-23T09:29:00Z</dcterms:created>
  <dcterms:modified xsi:type="dcterms:W3CDTF">2026-10-14T06:50:20Z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eyJoZGlkIjoiY2U2YWYwMGI4YWM1ZWY5MTk5NzI4N2FiMTMzZjE5NmUiLCJ1c2VySWQiOiI5NzY0NjE5NzYifQ==</vt:lpwstr>
  </property>
  <property fmtid="{D5CDD505-2E9C-101B-9397-08002B2CF9AE}" pid="3" name="KSOProductBuildVer">
    <vt:lpwstr>2052-12.1.0.29158</vt:lpwstr>
  </property>
  <property fmtid="{D5CDD505-2E9C-101B-9397-08002B2CF9AE}" pid="4" name="ICV">
    <vt:lpwstr>E03DCACC41A54D44BADB23EE20581485_13</vt:lpwstr>
  </property>
</Properties>
</file>