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51AA1">
      <w:pPr>
        <w:overflowPunct w:val="0"/>
        <w:spacing w:line="360" w:lineRule="auto"/>
        <w:jc w:val="distribute"/>
        <w:rPr>
          <w:rFonts w:ascii="宋体" w:hAnsi="宋体" w:eastAsia="宋体" w:cs="宋体"/>
          <w:b/>
          <w:sz w:val="72"/>
          <w:szCs w:val="20"/>
          <w:highlight w:val="none"/>
          <w:shd w:val="clear" w:color="auto" w:fill="FFFFFF"/>
        </w:rPr>
      </w:pPr>
    </w:p>
    <w:p w14:paraId="744FAD1B">
      <w:pPr>
        <w:overflowPunct w:val="0"/>
        <w:spacing w:line="360" w:lineRule="auto"/>
        <w:jc w:val="center"/>
        <w:rPr>
          <w:rFonts w:ascii="宋体" w:hAnsi="宋体" w:eastAsia="宋体" w:cs="宋体"/>
          <w:b/>
          <w:sz w:val="72"/>
          <w:szCs w:val="20"/>
          <w:highlight w:val="none"/>
          <w:shd w:val="clear" w:color="auto" w:fill="FFFFFF"/>
        </w:rPr>
      </w:pPr>
      <w:r>
        <w:rPr>
          <w:rFonts w:hint="eastAsia" w:ascii="宋体" w:hAnsi="宋体" w:eastAsia="宋体" w:cs="宋体"/>
          <w:b/>
          <w:sz w:val="72"/>
          <w:szCs w:val="20"/>
          <w:highlight w:val="none"/>
          <w:shd w:val="clear" w:color="auto" w:fill="FFFFFF"/>
        </w:rPr>
        <w:t>苏 州 市 政 府 采 购</w:t>
      </w:r>
    </w:p>
    <w:p w14:paraId="6199C741">
      <w:pPr>
        <w:overflowPunct w:val="0"/>
        <w:spacing w:line="360" w:lineRule="auto"/>
        <w:rPr>
          <w:rFonts w:ascii="宋体" w:hAnsi="宋体" w:eastAsia="宋体" w:cs="宋体"/>
          <w:sz w:val="26"/>
          <w:szCs w:val="20"/>
          <w:highlight w:val="none"/>
          <w:shd w:val="clear" w:color="auto" w:fill="FFFFFF"/>
        </w:rPr>
      </w:pPr>
    </w:p>
    <w:p w14:paraId="3790B730">
      <w:pPr>
        <w:overflowPunct w:val="0"/>
        <w:spacing w:line="360" w:lineRule="auto"/>
        <w:jc w:val="center"/>
        <w:rPr>
          <w:rFonts w:ascii="宋体" w:hAnsi="宋体" w:eastAsia="宋体" w:cs="宋体"/>
          <w:b/>
          <w:sz w:val="72"/>
          <w:szCs w:val="20"/>
          <w:highlight w:val="none"/>
          <w:shd w:val="clear" w:color="auto" w:fill="FFFFFF"/>
        </w:rPr>
      </w:pPr>
      <w:r>
        <w:rPr>
          <w:rFonts w:hint="eastAsia" w:ascii="宋体" w:hAnsi="宋体" w:eastAsia="宋体" w:cs="宋体"/>
          <w:b/>
          <w:sz w:val="72"/>
          <w:szCs w:val="20"/>
          <w:highlight w:val="none"/>
          <w:shd w:val="clear" w:color="auto" w:fill="FFFFFF"/>
        </w:rPr>
        <w:t>招 标 文 件</w:t>
      </w:r>
    </w:p>
    <w:p w14:paraId="5985F911">
      <w:pPr>
        <w:overflowPunct w:val="0"/>
        <w:spacing w:line="360" w:lineRule="auto"/>
        <w:jc w:val="center"/>
        <w:rPr>
          <w:rFonts w:ascii="宋体" w:hAnsi="宋体" w:eastAsia="宋体" w:cs="宋体"/>
          <w:sz w:val="26"/>
          <w:szCs w:val="26"/>
          <w:highlight w:val="none"/>
          <w:shd w:val="clear" w:color="auto" w:fill="FFFFFF"/>
        </w:rPr>
      </w:pPr>
    </w:p>
    <w:p w14:paraId="565D8AB7">
      <w:pPr>
        <w:pStyle w:val="61"/>
        <w:spacing w:line="360" w:lineRule="auto"/>
        <w:ind w:firstLine="0" w:firstLineChars="0"/>
        <w:jc w:val="center"/>
        <w:rPr>
          <w:rFonts w:ascii="宋体" w:hAnsi="宋体" w:cs="宋体"/>
          <w:highlight w:val="none"/>
        </w:rPr>
      </w:pPr>
    </w:p>
    <w:p w14:paraId="5641A396">
      <w:pPr>
        <w:overflowPunct w:val="0"/>
        <w:adjustRightInd w:val="0"/>
        <w:spacing w:line="360" w:lineRule="auto"/>
        <w:ind w:firstLine="1687" w:firstLineChars="525"/>
        <w:rPr>
          <w:rFonts w:hint="eastAsia" w:ascii="宋体" w:hAnsi="宋体" w:eastAsia="宋体" w:cs="宋体"/>
          <w:b/>
          <w:bCs/>
          <w:sz w:val="32"/>
          <w:szCs w:val="20"/>
          <w:highlight w:val="none"/>
          <w:shd w:val="clear" w:color="auto" w:fill="FFFFFF"/>
          <w:lang w:eastAsia="zh-CN"/>
        </w:rPr>
      </w:pPr>
      <w:r>
        <w:rPr>
          <w:rFonts w:hint="eastAsia" w:ascii="宋体" w:hAnsi="宋体" w:eastAsia="宋体" w:cs="宋体"/>
          <w:b/>
          <w:bCs/>
          <w:sz w:val="32"/>
          <w:szCs w:val="20"/>
          <w:highlight w:val="none"/>
          <w:shd w:val="clear" w:color="auto" w:fill="FFFFFF"/>
        </w:rPr>
        <w:t>采购编号：</w:t>
      </w:r>
      <w:r>
        <w:rPr>
          <w:rFonts w:hint="eastAsia" w:ascii="宋体" w:hAnsi="宋体" w:eastAsia="宋体" w:cs="宋体"/>
          <w:b/>
          <w:bCs/>
          <w:sz w:val="32"/>
          <w:szCs w:val="20"/>
          <w:highlight w:val="none"/>
          <w:shd w:val="clear" w:color="auto" w:fill="FFFFFF"/>
          <w:lang w:eastAsia="zh-CN"/>
        </w:rPr>
        <w:t>JSZC-320500-SZCH-G2026-0049</w:t>
      </w:r>
    </w:p>
    <w:p w14:paraId="06FD6020">
      <w:pPr>
        <w:overflowPunct w:val="0"/>
        <w:adjustRightInd w:val="0"/>
        <w:spacing w:line="360" w:lineRule="auto"/>
        <w:ind w:firstLine="1687" w:firstLineChars="525"/>
        <w:rPr>
          <w:rFonts w:ascii="宋体" w:hAnsi="宋体" w:eastAsia="宋体" w:cs="宋体"/>
          <w:b/>
          <w:bCs/>
          <w:sz w:val="32"/>
          <w:szCs w:val="20"/>
          <w:highlight w:val="none"/>
          <w:shd w:val="clear" w:color="auto" w:fill="FFFFFF"/>
        </w:rPr>
      </w:pPr>
      <w:r>
        <w:rPr>
          <w:rFonts w:hint="eastAsia" w:ascii="宋体" w:hAnsi="宋体" w:eastAsia="宋体" w:cs="宋体"/>
          <w:b/>
          <w:bCs/>
          <w:sz w:val="32"/>
          <w:szCs w:val="20"/>
          <w:highlight w:val="none"/>
          <w:shd w:val="clear" w:color="auto" w:fill="FFFFFF"/>
        </w:rPr>
        <w:t>采 购 人：江苏省苏州市中级人民法院</w:t>
      </w:r>
    </w:p>
    <w:p w14:paraId="0442CD5E">
      <w:pPr>
        <w:overflowPunct w:val="0"/>
        <w:adjustRightInd w:val="0"/>
        <w:spacing w:line="360" w:lineRule="auto"/>
        <w:ind w:firstLine="1687" w:firstLineChars="525"/>
        <w:rPr>
          <w:rFonts w:ascii="宋体" w:hAnsi="宋体" w:eastAsia="宋体" w:cs="宋体"/>
          <w:b/>
          <w:bCs/>
          <w:sz w:val="32"/>
          <w:szCs w:val="20"/>
          <w:highlight w:val="none"/>
          <w:shd w:val="clear" w:color="auto" w:fill="FFFFFF"/>
        </w:rPr>
      </w:pPr>
      <w:r>
        <w:rPr>
          <w:rFonts w:hint="eastAsia" w:ascii="宋体" w:hAnsi="宋体" w:eastAsia="宋体" w:cs="宋体"/>
          <w:b/>
          <w:bCs/>
          <w:sz w:val="32"/>
          <w:szCs w:val="20"/>
          <w:highlight w:val="none"/>
          <w:shd w:val="clear" w:color="auto" w:fill="FFFFFF"/>
        </w:rPr>
        <w:t>采购内容：苏州法院电子卷宗存储服务</w:t>
      </w:r>
    </w:p>
    <w:p w14:paraId="788C490A">
      <w:pPr>
        <w:overflowPunct w:val="0"/>
        <w:adjustRightInd w:val="0"/>
        <w:spacing w:line="360" w:lineRule="auto"/>
        <w:ind w:firstLine="1687" w:firstLineChars="525"/>
        <w:rPr>
          <w:rFonts w:ascii="宋体" w:hAnsi="宋体" w:eastAsia="宋体" w:cs="宋体"/>
          <w:b/>
          <w:bCs/>
          <w:sz w:val="32"/>
          <w:szCs w:val="20"/>
          <w:highlight w:val="none"/>
          <w:shd w:val="clear" w:color="auto" w:fill="FFFFFF"/>
        </w:rPr>
      </w:pPr>
      <w:r>
        <w:rPr>
          <w:rFonts w:hint="eastAsia" w:ascii="宋体" w:hAnsi="宋体" w:eastAsia="宋体" w:cs="宋体"/>
          <w:b/>
          <w:bCs/>
          <w:sz w:val="32"/>
          <w:szCs w:val="20"/>
          <w:highlight w:val="none"/>
          <w:shd w:val="clear" w:color="auto" w:fill="FFFFFF"/>
        </w:rPr>
        <w:t>采购类别：服务类</w:t>
      </w:r>
    </w:p>
    <w:p w14:paraId="7688BB36">
      <w:pPr>
        <w:pStyle w:val="48"/>
        <w:ind w:left="0" w:leftChars="0" w:firstLine="0" w:firstLineChars="0"/>
        <w:jc w:val="center"/>
        <w:rPr>
          <w:rFonts w:ascii="宋体" w:hAnsi="宋体" w:eastAsia="宋体" w:cs="宋体"/>
          <w:highlight w:val="none"/>
        </w:rPr>
      </w:pPr>
    </w:p>
    <w:p w14:paraId="3A6DE698">
      <w:pPr>
        <w:overflowPunct w:val="0"/>
        <w:spacing w:line="360" w:lineRule="auto"/>
        <w:jc w:val="center"/>
        <w:textAlignment w:val="baseline"/>
        <w:rPr>
          <w:rFonts w:ascii="宋体" w:hAnsi="宋体" w:eastAsia="宋体" w:cs="宋体"/>
          <w:sz w:val="26"/>
          <w:szCs w:val="26"/>
          <w:highlight w:val="none"/>
          <w:shd w:val="clear" w:color="auto" w:fill="FFFFFF"/>
        </w:rPr>
      </w:pPr>
      <w:r>
        <w:rPr>
          <w:rFonts w:hint="eastAsia" w:ascii="宋体" w:hAnsi="宋体" w:eastAsia="宋体" w:cs="宋体"/>
          <w:highlight w:val="none"/>
        </w:rPr>
        <w:drawing>
          <wp:inline distT="0" distB="0" distL="114300" distR="114300">
            <wp:extent cx="1714500" cy="1364615"/>
            <wp:effectExtent l="0" t="0" r="0" b="6985"/>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10"/>
                    <a:stretch>
                      <a:fillRect/>
                    </a:stretch>
                  </pic:blipFill>
                  <pic:spPr>
                    <a:xfrm>
                      <a:off x="0" y="0"/>
                      <a:ext cx="1714500" cy="1364615"/>
                    </a:xfrm>
                    <a:prstGeom prst="rect">
                      <a:avLst/>
                    </a:prstGeom>
                    <a:noFill/>
                    <a:ln>
                      <a:noFill/>
                    </a:ln>
                  </pic:spPr>
                </pic:pic>
              </a:graphicData>
            </a:graphic>
          </wp:inline>
        </w:drawing>
      </w:r>
    </w:p>
    <w:p w14:paraId="516CA0D6">
      <w:pPr>
        <w:pStyle w:val="48"/>
        <w:ind w:left="0" w:leftChars="0" w:firstLine="0" w:firstLineChars="0"/>
        <w:jc w:val="center"/>
        <w:rPr>
          <w:rFonts w:ascii="宋体" w:hAnsi="宋体" w:eastAsia="宋体" w:cs="宋体"/>
          <w:highlight w:val="none"/>
        </w:rPr>
      </w:pPr>
    </w:p>
    <w:p w14:paraId="5CD92D0A">
      <w:pPr>
        <w:pStyle w:val="48"/>
        <w:ind w:left="0" w:leftChars="0" w:firstLine="0" w:firstLineChars="0"/>
        <w:jc w:val="center"/>
        <w:rPr>
          <w:rFonts w:ascii="宋体" w:hAnsi="宋体" w:eastAsia="宋体" w:cs="宋体"/>
          <w:highlight w:val="none"/>
        </w:rPr>
      </w:pPr>
    </w:p>
    <w:p w14:paraId="479CD5AB">
      <w:pPr>
        <w:overflowPunct w:val="0"/>
        <w:spacing w:line="360" w:lineRule="auto"/>
        <w:jc w:val="center"/>
        <w:textAlignment w:val="baseline"/>
        <w:rPr>
          <w:rFonts w:ascii="宋体" w:hAnsi="宋体" w:eastAsia="宋体" w:cs="宋体"/>
          <w:sz w:val="26"/>
          <w:szCs w:val="26"/>
          <w:highlight w:val="none"/>
          <w:shd w:val="clear" w:color="auto" w:fill="FFFFFF"/>
        </w:rPr>
      </w:pPr>
      <w:r>
        <w:rPr>
          <w:rFonts w:hint="eastAsia" w:ascii="宋体" w:hAnsi="宋体" w:eastAsia="宋体" w:cs="宋体"/>
          <w:b/>
          <w:sz w:val="32"/>
          <w:highlight w:val="none"/>
        </w:rPr>
        <w:t>苏州诚和招投标咨询有限公司</w:t>
      </w:r>
    </w:p>
    <w:p w14:paraId="59177368">
      <w:pPr>
        <w:overflowPunct w:val="0"/>
        <w:spacing w:line="360" w:lineRule="auto"/>
        <w:jc w:val="center"/>
        <w:rPr>
          <w:rFonts w:ascii="宋体" w:hAnsi="宋体" w:eastAsia="宋体" w:cs="宋体"/>
          <w:b/>
          <w:sz w:val="32"/>
          <w:szCs w:val="20"/>
          <w:highlight w:val="none"/>
          <w:shd w:val="clear" w:color="auto" w:fill="FFFFFF"/>
        </w:rPr>
      </w:pPr>
      <w:r>
        <w:rPr>
          <w:rFonts w:hint="eastAsia" w:ascii="宋体" w:hAnsi="宋体" w:eastAsia="宋体" w:cs="宋体"/>
          <w:b/>
          <w:sz w:val="32"/>
          <w:szCs w:val="20"/>
          <w:highlight w:val="none"/>
          <w:shd w:val="clear" w:color="auto" w:fill="FFFFFF"/>
        </w:rPr>
        <w:t>二○二六年</w:t>
      </w:r>
      <w:r>
        <w:rPr>
          <w:rFonts w:hint="eastAsia" w:ascii="宋体" w:hAnsi="宋体" w:eastAsia="宋体" w:cs="宋体"/>
          <w:b/>
          <w:sz w:val="32"/>
          <w:szCs w:val="20"/>
          <w:highlight w:val="none"/>
          <w:shd w:val="clear" w:color="auto" w:fill="FFFFFF"/>
          <w:lang w:val="en-US" w:eastAsia="zh-CN"/>
        </w:rPr>
        <w:t>十</w:t>
      </w:r>
      <w:bookmarkStart w:id="103" w:name="_GoBack"/>
      <w:bookmarkEnd w:id="103"/>
      <w:r>
        <w:rPr>
          <w:rFonts w:hint="eastAsia" w:ascii="宋体" w:hAnsi="宋体" w:eastAsia="宋体" w:cs="宋体"/>
          <w:b/>
          <w:sz w:val="32"/>
          <w:szCs w:val="20"/>
          <w:highlight w:val="none"/>
          <w:shd w:val="clear" w:color="auto" w:fill="FFFFFF"/>
        </w:rPr>
        <w:t>月</w:t>
      </w:r>
    </w:p>
    <w:p w14:paraId="0D3628EA">
      <w:pPr>
        <w:overflowPunct w:val="0"/>
        <w:spacing w:line="360" w:lineRule="auto"/>
        <w:jc w:val="center"/>
        <w:rPr>
          <w:rFonts w:ascii="宋体" w:hAnsi="宋体" w:eastAsia="宋体" w:cs="宋体"/>
          <w:b/>
          <w:sz w:val="32"/>
          <w:szCs w:val="32"/>
          <w:highlight w:val="none"/>
          <w:shd w:val="clear" w:color="auto" w:fill="FFFFFF"/>
        </w:rPr>
      </w:pPr>
    </w:p>
    <w:p w14:paraId="5CA3F6BE">
      <w:pPr>
        <w:overflowPunct w:val="0"/>
        <w:spacing w:line="360" w:lineRule="auto"/>
        <w:jc w:val="center"/>
        <w:rPr>
          <w:rFonts w:ascii="宋体" w:hAnsi="宋体" w:eastAsia="宋体" w:cs="宋体"/>
          <w:b/>
          <w:sz w:val="32"/>
          <w:szCs w:val="32"/>
          <w:highlight w:val="none"/>
          <w:shd w:val="clear" w:color="auto" w:fill="FFFFFF"/>
        </w:rPr>
      </w:pPr>
    </w:p>
    <w:p w14:paraId="241C5594">
      <w:pPr>
        <w:overflowPunct w:val="0"/>
        <w:spacing w:line="360" w:lineRule="auto"/>
        <w:jc w:val="center"/>
        <w:rPr>
          <w:rFonts w:ascii="宋体" w:hAnsi="宋体" w:eastAsia="宋体" w:cs="宋体"/>
          <w:b/>
          <w:sz w:val="32"/>
          <w:szCs w:val="32"/>
          <w:highlight w:val="none"/>
          <w:shd w:val="clear" w:color="auto" w:fill="FFFFFF"/>
        </w:rPr>
        <w:sectPr>
          <w:headerReference r:id="rId4" w:type="first"/>
          <w:footerReference r:id="rId6" w:type="first"/>
          <w:headerReference r:id="rId3" w:type="default"/>
          <w:footerReference r:id="rId5" w:type="default"/>
          <w:pgSz w:w="11906" w:h="16838"/>
          <w:pgMar w:top="1134" w:right="1134" w:bottom="1134" w:left="1134" w:header="851" w:footer="992" w:gutter="0"/>
          <w:pgNumType w:start="1"/>
          <w:cols w:space="0" w:num="1"/>
          <w:titlePg/>
          <w:docGrid w:linePitch="380" w:charSpace="0"/>
        </w:sectPr>
      </w:pPr>
    </w:p>
    <w:p w14:paraId="7B9AB956">
      <w:pPr>
        <w:overflowPunct w:val="0"/>
        <w:spacing w:line="360" w:lineRule="auto"/>
        <w:jc w:val="center"/>
        <w:rPr>
          <w:rFonts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t>前附表</w:t>
      </w:r>
    </w:p>
    <w:tbl>
      <w:tblPr>
        <w:tblStyle w:val="49"/>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64"/>
        <w:gridCol w:w="9144"/>
      </w:tblGrid>
      <w:tr w14:paraId="37AE5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8" w:hRule="atLeast"/>
          <w:jc w:val="center"/>
        </w:trPr>
        <w:tc>
          <w:tcPr>
            <w:tcW w:w="664" w:type="dxa"/>
            <w:vAlign w:val="center"/>
          </w:tcPr>
          <w:p w14:paraId="10CAE8AC">
            <w:pPr>
              <w:overflowPunct w:val="0"/>
              <w:jc w:val="center"/>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序号</w:t>
            </w:r>
          </w:p>
        </w:tc>
        <w:tc>
          <w:tcPr>
            <w:tcW w:w="9144" w:type="dxa"/>
            <w:vAlign w:val="center"/>
          </w:tcPr>
          <w:p w14:paraId="5F1E6BF6">
            <w:pPr>
              <w:overflowPunct w:val="0"/>
              <w:jc w:val="center"/>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内容规定</w:t>
            </w:r>
          </w:p>
        </w:tc>
      </w:tr>
      <w:tr w14:paraId="541F4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0" w:hRule="atLeast"/>
          <w:jc w:val="center"/>
        </w:trPr>
        <w:tc>
          <w:tcPr>
            <w:tcW w:w="664" w:type="dxa"/>
            <w:vAlign w:val="center"/>
          </w:tcPr>
          <w:p w14:paraId="4C408D47">
            <w:pPr>
              <w:overflowPunct w:val="0"/>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1</w:t>
            </w:r>
          </w:p>
        </w:tc>
        <w:tc>
          <w:tcPr>
            <w:tcW w:w="9144" w:type="dxa"/>
            <w:vAlign w:val="center"/>
          </w:tcPr>
          <w:p w14:paraId="5B00D2EA">
            <w:pPr>
              <w:overflowPunct w:val="0"/>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采购内容：苏州法院电子卷宗存储服务</w:t>
            </w:r>
          </w:p>
        </w:tc>
      </w:tr>
      <w:tr w14:paraId="2839B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3" w:hRule="atLeast"/>
          <w:jc w:val="center"/>
        </w:trPr>
        <w:tc>
          <w:tcPr>
            <w:tcW w:w="664" w:type="dxa"/>
            <w:vAlign w:val="center"/>
          </w:tcPr>
          <w:p w14:paraId="13D17EA9">
            <w:pPr>
              <w:overflowPunct w:val="0"/>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2</w:t>
            </w:r>
          </w:p>
        </w:tc>
        <w:tc>
          <w:tcPr>
            <w:tcW w:w="9144" w:type="dxa"/>
            <w:vAlign w:val="center"/>
          </w:tcPr>
          <w:p w14:paraId="0A7B5CD3">
            <w:pPr>
              <w:overflowPunct w:val="0"/>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投标（响应）有效期：自投标（响应）截止日起</w:t>
            </w:r>
            <w:r>
              <w:rPr>
                <w:rFonts w:hint="eastAsia" w:ascii="宋体" w:hAnsi="宋体" w:eastAsia="宋体" w:cs="宋体"/>
                <w:b/>
                <w:bCs/>
                <w:szCs w:val="21"/>
                <w:highlight w:val="none"/>
                <w:shd w:val="clear" w:color="auto" w:fill="FFFFFF"/>
              </w:rPr>
              <w:t>九十天（日历日）</w:t>
            </w:r>
          </w:p>
        </w:tc>
      </w:tr>
      <w:tr w14:paraId="2D055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3" w:hRule="atLeast"/>
          <w:jc w:val="center"/>
        </w:trPr>
        <w:tc>
          <w:tcPr>
            <w:tcW w:w="664" w:type="dxa"/>
            <w:vAlign w:val="center"/>
          </w:tcPr>
          <w:p w14:paraId="3792846B">
            <w:pPr>
              <w:overflowPunct w:val="0"/>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3</w:t>
            </w:r>
          </w:p>
        </w:tc>
        <w:tc>
          <w:tcPr>
            <w:tcW w:w="9144" w:type="dxa"/>
            <w:vAlign w:val="center"/>
          </w:tcPr>
          <w:p w14:paraId="71E9597E">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投标（响应）保证金：</w:t>
            </w:r>
          </w:p>
          <w:p w14:paraId="4D81BAD6">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sym w:font="Wingdings" w:char="00FE"/>
            </w:r>
            <w:r>
              <w:rPr>
                <w:rFonts w:hint="eastAsia" w:ascii="宋体" w:hAnsi="宋体" w:eastAsia="宋体" w:cs="宋体"/>
                <w:szCs w:val="21"/>
                <w:highlight w:val="none"/>
                <w:shd w:val="clear" w:color="auto" w:fill="FFFFFF"/>
              </w:rPr>
              <w:t>不需提交，招标文件中有关投标（响应）保证金的规定均不适用。</w:t>
            </w:r>
          </w:p>
          <w:p w14:paraId="0618C900">
            <w:pPr>
              <w:pStyle w:val="16"/>
              <w:spacing w:line="240" w:lineRule="auto"/>
              <w:ind w:left="0"/>
              <w:rPr>
                <w:rFonts w:ascii="宋体" w:hAnsi="宋体" w:eastAsia="宋体" w:cs="宋体"/>
                <w:highlight w:val="none"/>
              </w:rPr>
            </w:pPr>
            <w:r>
              <w:rPr>
                <w:rFonts w:hint="eastAsia" w:ascii="宋体" w:hAnsi="宋体" w:eastAsia="宋体" w:cs="宋体"/>
                <w:sz w:val="21"/>
                <w:szCs w:val="21"/>
                <w:highlight w:val="none"/>
                <w:shd w:val="clear" w:color="auto" w:fill="FFFFFF"/>
              </w:rPr>
              <w:sym w:font="Wingdings" w:char="00A8"/>
            </w:r>
            <w:r>
              <w:rPr>
                <w:rFonts w:hint="eastAsia" w:ascii="宋体" w:hAnsi="宋体" w:eastAsia="宋体" w:cs="宋体"/>
                <w:sz w:val="21"/>
                <w:szCs w:val="21"/>
                <w:highlight w:val="none"/>
                <w:shd w:val="clear" w:color="auto" w:fill="FFFFFF"/>
              </w:rPr>
              <w:t>需提交，投标（响应）保证金金额： 元整。</w:t>
            </w:r>
          </w:p>
        </w:tc>
      </w:tr>
      <w:tr w14:paraId="3C753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8" w:hRule="atLeast"/>
          <w:jc w:val="center"/>
        </w:trPr>
        <w:tc>
          <w:tcPr>
            <w:tcW w:w="664" w:type="dxa"/>
            <w:vAlign w:val="center"/>
          </w:tcPr>
          <w:p w14:paraId="3C668CAA">
            <w:pPr>
              <w:overflowPunct w:val="0"/>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4</w:t>
            </w:r>
          </w:p>
        </w:tc>
        <w:tc>
          <w:tcPr>
            <w:tcW w:w="9144" w:type="dxa"/>
            <w:vAlign w:val="center"/>
          </w:tcPr>
          <w:p w14:paraId="28A89033">
            <w:pPr>
              <w:overflowPunct w:val="0"/>
              <w:rPr>
                <w:rFonts w:ascii="宋体" w:hAnsi="宋体" w:eastAsia="宋体" w:cs="宋体"/>
                <w:highlight w:val="none"/>
              </w:rPr>
            </w:pPr>
            <w:r>
              <w:rPr>
                <w:rFonts w:hint="eastAsia" w:ascii="宋体" w:hAnsi="宋体" w:eastAsia="宋体" w:cs="宋体"/>
                <w:szCs w:val="21"/>
                <w:highlight w:val="none"/>
                <w:shd w:val="clear" w:color="auto" w:fill="FFFFFF"/>
              </w:rPr>
              <w:t>投标（响应）文件：</w:t>
            </w:r>
            <w:r>
              <w:rPr>
                <w:rFonts w:hint="eastAsia" w:ascii="宋体" w:hAnsi="宋体" w:eastAsia="宋体" w:cs="宋体"/>
                <w:b/>
                <w:bCs/>
                <w:sz w:val="24"/>
                <w:szCs w:val="24"/>
                <w:highlight w:val="none"/>
              </w:rPr>
              <w:t>本项目采用网上提交电子投标（响应）文件，不接受纸质投标（响应）文件。</w:t>
            </w:r>
          </w:p>
        </w:tc>
      </w:tr>
      <w:tr w14:paraId="04D3F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 w:hRule="atLeast"/>
          <w:jc w:val="center"/>
        </w:trPr>
        <w:tc>
          <w:tcPr>
            <w:tcW w:w="664" w:type="dxa"/>
            <w:vAlign w:val="center"/>
          </w:tcPr>
          <w:p w14:paraId="2F67BE07">
            <w:pPr>
              <w:overflowPunct w:val="0"/>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5</w:t>
            </w:r>
          </w:p>
        </w:tc>
        <w:tc>
          <w:tcPr>
            <w:tcW w:w="9144" w:type="dxa"/>
            <w:vAlign w:val="center"/>
          </w:tcPr>
          <w:p w14:paraId="4FCC0C4A">
            <w:pPr>
              <w:rPr>
                <w:rFonts w:ascii="宋体" w:hAnsi="宋体" w:eastAsia="宋体" w:cs="宋体"/>
                <w:bCs/>
                <w:szCs w:val="21"/>
                <w:highlight w:val="none"/>
                <w:shd w:val="clear" w:color="auto" w:fill="FFFFFF"/>
              </w:rPr>
            </w:pPr>
            <w:r>
              <w:rPr>
                <w:rFonts w:hint="eastAsia" w:ascii="宋体" w:hAnsi="宋体" w:eastAsia="宋体" w:cs="宋体"/>
                <w:bCs/>
                <w:szCs w:val="21"/>
                <w:highlight w:val="none"/>
                <w:shd w:val="clear" w:color="auto" w:fill="FFFFFF"/>
              </w:rPr>
              <w:t>开标信息</w:t>
            </w:r>
          </w:p>
          <w:p w14:paraId="4C59835B">
            <w:pPr>
              <w:overflowPunct w:val="0"/>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投标（响应）截止时间：2026年</w:t>
            </w:r>
            <w:r>
              <w:rPr>
                <w:rFonts w:hint="eastAsia" w:ascii="宋体" w:hAnsi="宋体" w:eastAsia="宋体" w:cs="宋体"/>
                <w:szCs w:val="21"/>
                <w:highlight w:val="none"/>
                <w:shd w:val="clear" w:color="auto" w:fill="FFFFFF"/>
                <w:lang w:val="en-US" w:eastAsia="zh-CN"/>
              </w:rPr>
              <w:t>11</w:t>
            </w:r>
            <w:r>
              <w:rPr>
                <w:rFonts w:hint="eastAsia" w:ascii="宋体" w:hAnsi="宋体" w:eastAsia="宋体" w:cs="宋体"/>
                <w:szCs w:val="21"/>
                <w:highlight w:val="none"/>
                <w:shd w:val="clear" w:color="auto" w:fill="FFFFFF"/>
              </w:rPr>
              <w:t>月</w:t>
            </w:r>
            <w:r>
              <w:rPr>
                <w:rFonts w:hint="eastAsia" w:ascii="宋体" w:hAnsi="宋体" w:eastAsia="宋体" w:cs="宋体"/>
                <w:szCs w:val="21"/>
                <w:highlight w:val="none"/>
                <w:shd w:val="clear" w:color="auto" w:fill="FFFFFF"/>
                <w:lang w:val="en-US" w:eastAsia="zh-CN"/>
              </w:rPr>
              <w:t>2</w:t>
            </w:r>
            <w:r>
              <w:rPr>
                <w:rFonts w:hint="eastAsia" w:ascii="宋体" w:hAnsi="宋体" w:eastAsia="宋体" w:cs="宋体"/>
                <w:szCs w:val="21"/>
                <w:highlight w:val="none"/>
                <w:shd w:val="clear" w:color="auto" w:fill="FFFFFF"/>
              </w:rPr>
              <w:t>日13点30分（北京时间）</w:t>
            </w:r>
          </w:p>
          <w:p w14:paraId="64D9455B">
            <w:pPr>
              <w:overflowPunct w:val="0"/>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开标时间：2026年</w:t>
            </w:r>
            <w:r>
              <w:rPr>
                <w:rFonts w:hint="eastAsia" w:ascii="宋体" w:hAnsi="宋体" w:eastAsia="宋体" w:cs="宋体"/>
                <w:szCs w:val="21"/>
                <w:highlight w:val="none"/>
                <w:shd w:val="clear" w:color="auto" w:fill="FFFFFF"/>
                <w:lang w:val="en-US" w:eastAsia="zh-CN"/>
              </w:rPr>
              <w:t>11月2日</w:t>
            </w:r>
            <w:r>
              <w:rPr>
                <w:rFonts w:hint="eastAsia" w:ascii="宋体" w:hAnsi="宋体" w:eastAsia="宋体" w:cs="宋体"/>
                <w:szCs w:val="21"/>
                <w:highlight w:val="none"/>
                <w:shd w:val="clear" w:color="auto" w:fill="FFFFFF"/>
              </w:rPr>
              <w:t>13点30分（北京时间）</w:t>
            </w:r>
          </w:p>
          <w:p w14:paraId="12CC6FB2">
            <w:pPr>
              <w:overflowPunct w:val="0"/>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开标地点：“苏采云”系统（网址：http://jszfcg.jsczt.cn/）</w:t>
            </w:r>
          </w:p>
          <w:p w14:paraId="760C5CFB">
            <w:pPr>
              <w:widowControl/>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本项目为不见面开标项目，开标阶段供应商在【供应商解密】环节必须使用CA证书解密电子投标（响应）文件，如在“苏采云”系统规定的时间内未能成功解密的视为放弃参与本项目。</w:t>
            </w:r>
          </w:p>
        </w:tc>
      </w:tr>
      <w:tr w14:paraId="47BFB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664" w:type="dxa"/>
            <w:vAlign w:val="center"/>
          </w:tcPr>
          <w:p w14:paraId="613D14DA">
            <w:pPr>
              <w:overflowPunct w:val="0"/>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6</w:t>
            </w:r>
          </w:p>
        </w:tc>
        <w:tc>
          <w:tcPr>
            <w:tcW w:w="9144" w:type="dxa"/>
            <w:vAlign w:val="center"/>
          </w:tcPr>
          <w:p w14:paraId="7FB02B07">
            <w:pPr>
              <w:widowControl/>
              <w:ind w:right="-159"/>
              <w:jc w:val="left"/>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履约保证金：</w:t>
            </w:r>
          </w:p>
          <w:p w14:paraId="087795B6">
            <w:pP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sym w:font="Wingdings" w:char="00FE"/>
            </w:r>
            <w:r>
              <w:rPr>
                <w:rFonts w:hint="eastAsia" w:ascii="宋体" w:hAnsi="宋体" w:eastAsia="宋体" w:cs="宋体"/>
                <w:szCs w:val="21"/>
                <w:highlight w:val="none"/>
                <w:shd w:val="clear" w:color="auto" w:fill="FFFFFF"/>
              </w:rPr>
              <w:t>不需提交，招标文件中有关履约保证金的规定均不适用。</w:t>
            </w:r>
          </w:p>
          <w:p w14:paraId="7D5AEFF3">
            <w:pPr>
              <w:widowControl/>
              <w:ind w:right="-159"/>
              <w:jc w:val="left"/>
              <w:rPr>
                <w:rFonts w:ascii="宋体" w:hAnsi="宋体" w:eastAsia="宋体" w:cs="宋体"/>
                <w:bCs/>
                <w:sz w:val="24"/>
                <w:szCs w:val="24"/>
                <w:highlight w:val="none"/>
              </w:rPr>
            </w:pPr>
            <w:r>
              <w:rPr>
                <w:rFonts w:hint="eastAsia" w:ascii="宋体" w:hAnsi="宋体" w:eastAsia="宋体" w:cs="宋体"/>
                <w:szCs w:val="21"/>
                <w:highlight w:val="none"/>
                <w:shd w:val="clear" w:color="auto" w:fill="FFFFFF"/>
              </w:rPr>
              <w:sym w:font="Wingdings" w:char="00A8"/>
            </w:r>
            <w:r>
              <w:rPr>
                <w:rFonts w:hint="eastAsia" w:ascii="宋体" w:hAnsi="宋体" w:eastAsia="宋体" w:cs="宋体"/>
                <w:szCs w:val="21"/>
                <w:highlight w:val="none"/>
                <w:shd w:val="clear" w:color="auto" w:fill="FFFFFF"/>
              </w:rPr>
              <w:t>需提交，中标金额的5%。（可提供符合《关于在全省政府采购领域推行电子履约保函(保险)的通知》（苏财购[2023]150号）要求的电子履约保函）</w:t>
            </w:r>
          </w:p>
        </w:tc>
      </w:tr>
      <w:tr w14:paraId="6A977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11" w:hRule="atLeast"/>
          <w:jc w:val="center"/>
        </w:trPr>
        <w:tc>
          <w:tcPr>
            <w:tcW w:w="664" w:type="dxa"/>
            <w:vAlign w:val="center"/>
          </w:tcPr>
          <w:p w14:paraId="0C01A7C2">
            <w:pPr>
              <w:tabs>
                <w:tab w:val="left" w:pos="720"/>
              </w:tabs>
              <w:autoSpaceDE w:val="0"/>
              <w:autoSpaceDN w:val="0"/>
              <w:adjustRightInd w:val="0"/>
              <w:ind w:right="18"/>
              <w:jc w:val="center"/>
              <w:rPr>
                <w:rFonts w:ascii="宋体" w:hAnsi="宋体" w:eastAsia="宋体" w:cs="宋体"/>
                <w:szCs w:val="21"/>
                <w:highlight w:val="none"/>
              </w:rPr>
            </w:pPr>
            <w:r>
              <w:rPr>
                <w:rFonts w:hint="eastAsia" w:ascii="宋体" w:hAnsi="宋体" w:eastAsia="宋体" w:cs="宋体"/>
                <w:szCs w:val="21"/>
                <w:highlight w:val="none"/>
              </w:rPr>
              <w:t>7</w:t>
            </w:r>
          </w:p>
        </w:tc>
        <w:tc>
          <w:tcPr>
            <w:tcW w:w="9144" w:type="dxa"/>
            <w:vAlign w:val="center"/>
          </w:tcPr>
          <w:p w14:paraId="3596973A">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代理服务费:</w:t>
            </w:r>
          </w:p>
          <w:p w14:paraId="142F4AD8">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sym w:font="Wingdings" w:char="00FE"/>
            </w:r>
            <w:r>
              <w:rPr>
                <w:rFonts w:hint="eastAsia" w:ascii="宋体" w:hAnsi="宋体" w:eastAsia="宋体" w:cs="宋体"/>
                <w:color w:val="auto"/>
                <w:szCs w:val="21"/>
                <w:highlight w:val="none"/>
              </w:rPr>
              <w:t>由采购人承担并直接支付</w:t>
            </w:r>
            <w:r>
              <w:rPr>
                <w:rFonts w:hint="eastAsia" w:ascii="宋体" w:hAnsi="宋体" w:eastAsia="宋体" w:cs="宋体"/>
                <w:color w:val="auto"/>
                <w:szCs w:val="21"/>
                <w:highlight w:val="none"/>
                <w:shd w:val="clear" w:color="auto" w:fill="FFFFFF"/>
              </w:rPr>
              <w:t>，采购文件中有关代理服务费的规定均不适用。</w:t>
            </w:r>
          </w:p>
          <w:p w14:paraId="0B2CA630">
            <w:pPr>
              <w:rPr>
                <w:rFonts w:ascii="宋体" w:hAnsi="宋体" w:eastAsia="宋体" w:cs="宋体"/>
                <w:color w:val="auto"/>
                <w:szCs w:val="21"/>
                <w:highlight w:val="none"/>
                <w:shd w:val="clear" w:color="auto" w:fill="FFFFFF"/>
              </w:rPr>
            </w:pPr>
          </w:p>
          <w:p w14:paraId="17809F79">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sym w:font="Wingdings" w:char="00A8"/>
            </w:r>
            <w:r>
              <w:rPr>
                <w:rFonts w:hint="eastAsia" w:ascii="宋体" w:hAnsi="宋体" w:eastAsia="宋体" w:cs="宋体"/>
                <w:color w:val="auto"/>
                <w:szCs w:val="21"/>
                <w:highlight w:val="none"/>
              </w:rPr>
              <w:t>由中标（成交）供应商承担并支付：</w:t>
            </w:r>
          </w:p>
          <w:p w14:paraId="6D8C901E">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rPr>
              <w:t>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p>
          <w:p w14:paraId="44674A90">
            <w:pPr>
              <w:tabs>
                <w:tab w:val="left" w:pos="720"/>
              </w:tabs>
              <w:autoSpaceDE w:val="0"/>
              <w:autoSpaceDN w:val="0"/>
              <w:adjustRightInd w:val="0"/>
              <w:ind w:right="18"/>
              <w:jc w:val="left"/>
              <w:rPr>
                <w:rFonts w:ascii="宋体" w:hAnsi="宋体" w:eastAsia="宋体" w:cs="宋体"/>
                <w:szCs w:val="21"/>
                <w:highlight w:val="none"/>
              </w:rPr>
            </w:pPr>
            <w:r>
              <w:rPr>
                <w:rFonts w:hint="eastAsia" w:ascii="宋体" w:hAnsi="宋体" w:eastAsia="宋体" w:cs="宋体"/>
                <w:szCs w:val="21"/>
                <w:highlight w:val="none"/>
              </w:rPr>
              <w:t>收费标准：代理服务费收费按以下标准的</w:t>
            </w:r>
            <w:r>
              <w:rPr>
                <w:rFonts w:hint="eastAsia" w:ascii="宋体" w:hAnsi="宋体" w:eastAsia="宋体" w:cs="宋体"/>
                <w:szCs w:val="21"/>
                <w:highlight w:val="none"/>
                <w:u w:val="single"/>
              </w:rPr>
              <w:t>65%</w:t>
            </w:r>
            <w:r>
              <w:rPr>
                <w:rFonts w:hint="eastAsia" w:ascii="宋体" w:hAnsi="宋体" w:eastAsia="宋体" w:cs="宋体"/>
                <w:szCs w:val="21"/>
                <w:highlight w:val="none"/>
              </w:rPr>
              <w:t>收取：</w:t>
            </w:r>
          </w:p>
          <w:p w14:paraId="7F21C21D">
            <w:pPr>
              <w:tabs>
                <w:tab w:val="left" w:pos="720"/>
              </w:tabs>
              <w:autoSpaceDE w:val="0"/>
              <w:autoSpaceDN w:val="0"/>
              <w:adjustRightInd w:val="0"/>
              <w:ind w:right="18"/>
              <w:jc w:val="left"/>
              <w:rPr>
                <w:rFonts w:ascii="宋体" w:hAnsi="宋体" w:eastAsia="宋体" w:cs="宋体"/>
                <w:szCs w:val="21"/>
                <w:highlight w:val="none"/>
              </w:rPr>
            </w:pPr>
            <w:r>
              <w:rPr>
                <w:rFonts w:hint="eastAsia" w:ascii="宋体" w:hAnsi="宋体" w:eastAsia="宋体" w:cs="宋体"/>
                <w:szCs w:val="21"/>
                <w:highlight w:val="none"/>
              </w:rPr>
              <w:t>预算金额100万元以下部分，费率为该部分预算金额的1.5%；</w:t>
            </w:r>
          </w:p>
          <w:p w14:paraId="16B25E35">
            <w:pPr>
              <w:tabs>
                <w:tab w:val="left" w:pos="720"/>
              </w:tabs>
              <w:autoSpaceDE w:val="0"/>
              <w:autoSpaceDN w:val="0"/>
              <w:adjustRightInd w:val="0"/>
              <w:ind w:right="18"/>
              <w:jc w:val="left"/>
              <w:rPr>
                <w:rFonts w:ascii="宋体" w:hAnsi="宋体" w:eastAsia="宋体" w:cs="宋体"/>
                <w:szCs w:val="21"/>
                <w:highlight w:val="none"/>
              </w:rPr>
            </w:pPr>
            <w:r>
              <w:rPr>
                <w:rFonts w:hint="eastAsia" w:ascii="宋体" w:hAnsi="宋体" w:eastAsia="宋体" w:cs="宋体"/>
                <w:szCs w:val="21"/>
                <w:highlight w:val="none"/>
              </w:rPr>
              <w:t>预算金额100万元（含）－500万元部分，费率为该部分预算金额的1.1%；</w:t>
            </w:r>
          </w:p>
          <w:p w14:paraId="6F4203AE">
            <w:pPr>
              <w:tabs>
                <w:tab w:val="left" w:pos="720"/>
              </w:tabs>
              <w:autoSpaceDE w:val="0"/>
              <w:autoSpaceDN w:val="0"/>
              <w:adjustRightInd w:val="0"/>
              <w:ind w:right="18"/>
              <w:jc w:val="left"/>
              <w:rPr>
                <w:rFonts w:ascii="宋体" w:hAnsi="宋体" w:eastAsia="宋体" w:cs="宋体"/>
                <w:szCs w:val="21"/>
                <w:highlight w:val="none"/>
              </w:rPr>
            </w:pPr>
            <w:r>
              <w:rPr>
                <w:rFonts w:hint="eastAsia" w:ascii="宋体" w:hAnsi="宋体" w:eastAsia="宋体" w:cs="宋体"/>
                <w:szCs w:val="21"/>
                <w:highlight w:val="none"/>
              </w:rPr>
              <w:t>预算金额500万元（含）-1000万元部分，费率为该部分预算金额的0.8%；</w:t>
            </w:r>
          </w:p>
          <w:p w14:paraId="00BDCC44">
            <w:pPr>
              <w:tabs>
                <w:tab w:val="left" w:pos="720"/>
              </w:tabs>
              <w:autoSpaceDE w:val="0"/>
              <w:autoSpaceDN w:val="0"/>
              <w:adjustRightInd w:val="0"/>
              <w:ind w:right="18"/>
              <w:jc w:val="left"/>
              <w:rPr>
                <w:rFonts w:ascii="宋体" w:hAnsi="宋体" w:eastAsia="宋体" w:cs="宋体"/>
                <w:szCs w:val="21"/>
                <w:highlight w:val="none"/>
              </w:rPr>
            </w:pPr>
            <w:r>
              <w:rPr>
                <w:rFonts w:hint="eastAsia" w:ascii="宋体" w:hAnsi="宋体" w:eastAsia="宋体" w:cs="宋体"/>
                <w:szCs w:val="21"/>
                <w:highlight w:val="none"/>
              </w:rPr>
              <w:t>预算金额1000万元（含）-5000万元部分，费率为该部分预算金额的0.5%；</w:t>
            </w:r>
          </w:p>
          <w:p w14:paraId="77F231FF">
            <w:pPr>
              <w:tabs>
                <w:tab w:val="left" w:pos="720"/>
              </w:tabs>
              <w:autoSpaceDE w:val="0"/>
              <w:autoSpaceDN w:val="0"/>
              <w:adjustRightInd w:val="0"/>
              <w:ind w:right="18"/>
              <w:jc w:val="left"/>
              <w:rPr>
                <w:rFonts w:ascii="宋体" w:hAnsi="宋体" w:eastAsia="宋体" w:cs="宋体"/>
                <w:szCs w:val="21"/>
                <w:highlight w:val="none"/>
              </w:rPr>
            </w:pPr>
            <w:r>
              <w:rPr>
                <w:rFonts w:hint="eastAsia" w:ascii="宋体" w:hAnsi="宋体" w:eastAsia="宋体" w:cs="宋体"/>
                <w:szCs w:val="21"/>
                <w:highlight w:val="none"/>
              </w:rPr>
              <w:t>预算金额5000万元以上部分，费率为该部分预算金额的0.25%。</w:t>
            </w:r>
          </w:p>
          <w:p w14:paraId="5DD60CF4">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szCs w:val="21"/>
                <w:highlight w:val="none"/>
              </w:rPr>
              <w:t>说明：代理服务费以采</w:t>
            </w:r>
            <w:r>
              <w:rPr>
                <w:rFonts w:hint="eastAsia" w:ascii="宋体" w:hAnsi="宋体" w:eastAsia="宋体" w:cs="宋体"/>
                <w:color w:val="auto"/>
                <w:szCs w:val="21"/>
                <w:highlight w:val="none"/>
              </w:rPr>
              <w:t>购预算金额为基数依据，按以上规定的标准和差额定率累进法进行计算收取。例：如预算金额为150万元，则代理服务费＝[100万元以下部分×1.5%＋（150万元－100万元以下部分）×1.1%]×65%。如按上述方法计算的金额低于人民币3000元整的，则本项目代理服务费按人民币3000元整计收。</w:t>
            </w:r>
          </w:p>
          <w:p w14:paraId="17D9150E">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rPr>
              <w:t>付款方式：银行转账、现金解款</w:t>
            </w:r>
          </w:p>
          <w:p w14:paraId="3F21E13A">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rPr>
              <w:t>服务费收款账号：8314122601346</w:t>
            </w:r>
          </w:p>
          <w:p w14:paraId="3F794539">
            <w:pPr>
              <w:tabs>
                <w:tab w:val="left" w:pos="720"/>
              </w:tabs>
              <w:autoSpaceDE w:val="0"/>
              <w:autoSpaceDN w:val="0"/>
              <w:adjustRightInd w:val="0"/>
              <w:ind w:right="18"/>
              <w:jc w:val="left"/>
              <w:rPr>
                <w:rFonts w:ascii="宋体" w:hAnsi="宋体" w:eastAsia="宋体" w:cs="宋体"/>
                <w:color w:val="auto"/>
                <w:szCs w:val="21"/>
                <w:highlight w:val="none"/>
              </w:rPr>
            </w:pPr>
            <w:r>
              <w:rPr>
                <w:rFonts w:hint="eastAsia" w:ascii="宋体" w:hAnsi="宋体" w:eastAsia="宋体" w:cs="宋体"/>
                <w:color w:val="auto"/>
                <w:szCs w:val="21"/>
                <w:highlight w:val="none"/>
              </w:rPr>
              <w:t>账户名：苏州诚和招投标咨询有限公司</w:t>
            </w:r>
          </w:p>
          <w:p w14:paraId="719DC1D0">
            <w:pPr>
              <w:tabs>
                <w:tab w:val="left" w:pos="720"/>
              </w:tabs>
              <w:autoSpaceDE w:val="0"/>
              <w:autoSpaceDN w:val="0"/>
              <w:adjustRightInd w:val="0"/>
              <w:ind w:right="18"/>
              <w:jc w:val="left"/>
              <w:rPr>
                <w:rFonts w:ascii="宋体" w:hAnsi="宋体" w:eastAsia="宋体" w:cs="宋体"/>
                <w:szCs w:val="21"/>
                <w:highlight w:val="none"/>
              </w:rPr>
            </w:pPr>
            <w:r>
              <w:rPr>
                <w:rFonts w:hint="eastAsia" w:ascii="宋体" w:hAnsi="宋体" w:eastAsia="宋体" w:cs="宋体"/>
                <w:szCs w:val="21"/>
                <w:highlight w:val="none"/>
              </w:rPr>
              <w:t>开户行：上海浦东发展银行苏州分行沧浪支行</w:t>
            </w:r>
          </w:p>
        </w:tc>
      </w:tr>
      <w:tr w14:paraId="052DE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8" w:hRule="atLeast"/>
          <w:jc w:val="center"/>
        </w:trPr>
        <w:tc>
          <w:tcPr>
            <w:tcW w:w="664" w:type="dxa"/>
            <w:vAlign w:val="center"/>
          </w:tcPr>
          <w:p w14:paraId="1521E8FE">
            <w:pPr>
              <w:overflowPunct w:val="0"/>
              <w:jc w:val="center"/>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8</w:t>
            </w:r>
          </w:p>
        </w:tc>
        <w:tc>
          <w:tcPr>
            <w:tcW w:w="9144" w:type="dxa"/>
            <w:vAlign w:val="center"/>
          </w:tcPr>
          <w:p w14:paraId="21D80135">
            <w:pPr>
              <w:overflowPunct w:val="0"/>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政府采购</w:t>
            </w:r>
            <w:r>
              <w:rPr>
                <w:rFonts w:hint="eastAsia" w:ascii="宋体" w:hAnsi="宋体" w:eastAsia="宋体" w:cs="宋体"/>
                <w:color w:val="auto"/>
                <w:szCs w:val="21"/>
                <w:highlight w:val="none"/>
              </w:rPr>
              <w:t>监督电话：0512-68616651</w:t>
            </w:r>
          </w:p>
        </w:tc>
      </w:tr>
    </w:tbl>
    <w:p w14:paraId="220E6EBF">
      <w:pPr>
        <w:spacing w:line="360" w:lineRule="auto"/>
        <w:jc w:val="center"/>
        <w:rPr>
          <w:rFonts w:ascii="宋体" w:hAnsi="宋体" w:eastAsia="宋体" w:cs="宋体"/>
          <w:sz w:val="52"/>
          <w:szCs w:val="52"/>
          <w:highlight w:val="none"/>
          <w:shd w:val="clear" w:color="auto" w:fill="FFFFFF"/>
        </w:rPr>
      </w:pPr>
      <w:r>
        <w:rPr>
          <w:rFonts w:hint="eastAsia" w:ascii="宋体" w:hAnsi="宋体" w:eastAsia="宋体" w:cs="宋体"/>
          <w:sz w:val="52"/>
          <w:szCs w:val="52"/>
          <w:highlight w:val="none"/>
          <w:shd w:val="clear" w:color="auto" w:fill="FFFFFF"/>
        </w:rPr>
        <w:br w:type="page"/>
      </w:r>
    </w:p>
    <w:p w14:paraId="3653F62F">
      <w:pPr>
        <w:spacing w:line="360" w:lineRule="auto"/>
        <w:jc w:val="center"/>
        <w:rPr>
          <w:rFonts w:ascii="宋体" w:hAnsi="宋体" w:eastAsia="宋体" w:cs="宋体"/>
          <w:b/>
          <w:sz w:val="48"/>
          <w:szCs w:val="48"/>
          <w:highlight w:val="none"/>
          <w:shd w:val="clear" w:color="auto" w:fill="FFFFFF"/>
        </w:rPr>
      </w:pPr>
      <w:r>
        <w:rPr>
          <w:rFonts w:hint="eastAsia" w:ascii="宋体" w:hAnsi="宋体" w:eastAsia="宋体" w:cs="宋体"/>
          <w:b/>
          <w:sz w:val="48"/>
          <w:szCs w:val="48"/>
          <w:highlight w:val="none"/>
          <w:shd w:val="clear" w:color="auto" w:fill="FFFFFF"/>
        </w:rPr>
        <w:t>总目录</w:t>
      </w:r>
    </w:p>
    <w:p w14:paraId="1FDB229A">
      <w:pPr>
        <w:tabs>
          <w:tab w:val="right" w:leader="dot" w:pos="9022"/>
        </w:tabs>
        <w:adjustRightInd w:val="0"/>
        <w:spacing w:line="360" w:lineRule="auto"/>
        <w:jc w:val="left"/>
        <w:textAlignment w:val="baseline"/>
        <w:rPr>
          <w:rFonts w:ascii="宋体" w:hAnsi="宋体" w:eastAsia="宋体" w:cs="宋体"/>
          <w:highlight w:val="none"/>
        </w:rPr>
      </w:pPr>
      <w:r>
        <w:rPr>
          <w:rFonts w:hint="eastAsia" w:ascii="宋体" w:hAnsi="宋体" w:eastAsia="宋体" w:cs="宋体"/>
          <w:b/>
          <w:bCs/>
          <w:sz w:val="24"/>
          <w:szCs w:val="24"/>
          <w:highlight w:val="none"/>
          <w:shd w:val="clear" w:color="auto" w:fill="FFFFFF"/>
        </w:rPr>
        <w:fldChar w:fldCharType="begin"/>
      </w:r>
      <w:r>
        <w:rPr>
          <w:rFonts w:hint="eastAsia" w:ascii="宋体" w:hAnsi="宋体" w:eastAsia="宋体" w:cs="宋体"/>
          <w:b/>
          <w:bCs/>
          <w:sz w:val="24"/>
          <w:szCs w:val="24"/>
          <w:highlight w:val="none"/>
          <w:shd w:val="clear" w:color="auto" w:fill="FFFFFF"/>
        </w:rPr>
        <w:instrText xml:space="preserve"> TOC \o "1-1"</w:instrText>
      </w:r>
      <w:r>
        <w:rPr>
          <w:rFonts w:hint="eastAsia" w:ascii="宋体" w:hAnsi="宋体" w:eastAsia="宋体" w:cs="宋体"/>
          <w:b/>
          <w:bCs/>
          <w:sz w:val="24"/>
          <w:szCs w:val="24"/>
          <w:highlight w:val="none"/>
          <w:shd w:val="clear" w:color="auto" w:fill="FFFFFF"/>
        </w:rPr>
        <w:fldChar w:fldCharType="separate"/>
      </w:r>
      <w:r>
        <w:rPr>
          <w:rFonts w:hint="eastAsia" w:ascii="宋体" w:hAnsi="宋体" w:eastAsia="宋体" w:cs="宋体"/>
          <w:sz w:val="24"/>
          <w:szCs w:val="20"/>
          <w:highlight w:val="none"/>
          <w:shd w:val="clear" w:color="auto" w:fill="FFFFFF"/>
        </w:rPr>
        <w:t>第一章投标邀请函</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_Toc105940237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3</w:t>
      </w:r>
      <w:r>
        <w:rPr>
          <w:rFonts w:hint="eastAsia" w:ascii="宋体" w:hAnsi="宋体" w:eastAsia="宋体" w:cs="宋体"/>
          <w:sz w:val="24"/>
          <w:szCs w:val="20"/>
          <w:highlight w:val="none"/>
        </w:rPr>
        <w:fldChar w:fldCharType="end"/>
      </w:r>
    </w:p>
    <w:p w14:paraId="1ECCC729">
      <w:pPr>
        <w:tabs>
          <w:tab w:val="right" w:leader="dot" w:pos="9022"/>
        </w:tabs>
        <w:adjustRightInd w:val="0"/>
        <w:spacing w:line="360" w:lineRule="auto"/>
        <w:jc w:val="left"/>
        <w:textAlignment w:val="baseline"/>
        <w:rPr>
          <w:rFonts w:ascii="宋体" w:hAnsi="宋体" w:eastAsia="宋体" w:cs="宋体"/>
          <w:highlight w:val="none"/>
        </w:rPr>
      </w:pPr>
      <w:r>
        <w:rPr>
          <w:rFonts w:hint="eastAsia" w:ascii="宋体" w:hAnsi="宋体" w:eastAsia="宋体" w:cs="宋体"/>
          <w:sz w:val="24"/>
          <w:szCs w:val="20"/>
          <w:highlight w:val="none"/>
          <w:shd w:val="clear" w:color="auto" w:fill="FFFFFF"/>
        </w:rPr>
        <w:t>第二章供应商须知</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_Toc105940238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8</w:t>
      </w:r>
      <w:r>
        <w:rPr>
          <w:rFonts w:hint="eastAsia" w:ascii="宋体" w:hAnsi="宋体" w:eastAsia="宋体" w:cs="宋体"/>
          <w:sz w:val="24"/>
          <w:szCs w:val="20"/>
          <w:highlight w:val="none"/>
        </w:rPr>
        <w:fldChar w:fldCharType="end"/>
      </w:r>
    </w:p>
    <w:p w14:paraId="57976034">
      <w:pPr>
        <w:tabs>
          <w:tab w:val="right" w:leader="dot" w:pos="9022"/>
        </w:tabs>
        <w:adjustRightInd w:val="0"/>
        <w:spacing w:line="360" w:lineRule="auto"/>
        <w:jc w:val="left"/>
        <w:textAlignment w:val="baseline"/>
        <w:rPr>
          <w:rFonts w:ascii="宋体" w:hAnsi="宋体" w:eastAsia="宋体" w:cs="宋体"/>
          <w:highlight w:val="none"/>
        </w:rPr>
      </w:pPr>
      <w:r>
        <w:rPr>
          <w:rFonts w:hint="eastAsia" w:ascii="宋体" w:hAnsi="宋体" w:eastAsia="宋体" w:cs="宋体"/>
          <w:sz w:val="24"/>
          <w:szCs w:val="20"/>
          <w:highlight w:val="none"/>
          <w:shd w:val="clear" w:color="auto" w:fill="FFFFFF"/>
        </w:rPr>
        <w:t>第三章投标文件格式</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_Toc105940239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24</w:t>
      </w:r>
      <w:r>
        <w:rPr>
          <w:rFonts w:hint="eastAsia" w:ascii="宋体" w:hAnsi="宋体" w:eastAsia="宋体" w:cs="宋体"/>
          <w:sz w:val="24"/>
          <w:szCs w:val="20"/>
          <w:highlight w:val="none"/>
        </w:rPr>
        <w:fldChar w:fldCharType="end"/>
      </w:r>
    </w:p>
    <w:p w14:paraId="0027D128">
      <w:pPr>
        <w:tabs>
          <w:tab w:val="right" w:leader="dot" w:pos="9022"/>
        </w:tabs>
        <w:adjustRightInd w:val="0"/>
        <w:spacing w:line="360" w:lineRule="auto"/>
        <w:jc w:val="left"/>
        <w:textAlignment w:val="baseline"/>
        <w:rPr>
          <w:rFonts w:ascii="宋体" w:hAnsi="宋体" w:eastAsia="宋体" w:cs="宋体"/>
          <w:highlight w:val="none"/>
        </w:rPr>
      </w:pPr>
      <w:r>
        <w:rPr>
          <w:rFonts w:hint="eastAsia" w:ascii="宋体" w:hAnsi="宋体" w:eastAsia="宋体" w:cs="宋体"/>
          <w:sz w:val="24"/>
          <w:szCs w:val="20"/>
          <w:highlight w:val="none"/>
          <w:shd w:val="clear" w:color="auto" w:fill="FFFFFF"/>
        </w:rPr>
        <w:t>第四章招标书</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_Toc105940240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41</w:t>
      </w:r>
      <w:r>
        <w:rPr>
          <w:rFonts w:hint="eastAsia" w:ascii="宋体" w:hAnsi="宋体" w:eastAsia="宋体" w:cs="宋体"/>
          <w:sz w:val="24"/>
          <w:szCs w:val="20"/>
          <w:highlight w:val="none"/>
        </w:rPr>
        <w:fldChar w:fldCharType="end"/>
      </w:r>
    </w:p>
    <w:p w14:paraId="58A50FDE">
      <w:pPr>
        <w:tabs>
          <w:tab w:val="right" w:leader="dot" w:pos="9022"/>
        </w:tabs>
        <w:adjustRightInd w:val="0"/>
        <w:spacing w:line="360" w:lineRule="auto"/>
        <w:jc w:val="left"/>
        <w:textAlignment w:val="baseline"/>
        <w:rPr>
          <w:rFonts w:ascii="宋体" w:hAnsi="宋体" w:eastAsia="宋体" w:cs="宋体"/>
          <w:highlight w:val="none"/>
        </w:rPr>
      </w:pPr>
      <w:r>
        <w:rPr>
          <w:rFonts w:hint="eastAsia" w:ascii="宋体" w:hAnsi="宋体" w:eastAsia="宋体" w:cs="宋体"/>
          <w:sz w:val="24"/>
          <w:szCs w:val="20"/>
          <w:highlight w:val="none"/>
          <w:shd w:val="clear" w:color="auto" w:fill="FFFFFF"/>
        </w:rPr>
        <w:t>第五章合同主要条款</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_Toc105940241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49</w:t>
      </w:r>
      <w:r>
        <w:rPr>
          <w:rFonts w:hint="eastAsia" w:ascii="宋体" w:hAnsi="宋体" w:eastAsia="宋体" w:cs="宋体"/>
          <w:sz w:val="24"/>
          <w:szCs w:val="20"/>
          <w:highlight w:val="none"/>
        </w:rPr>
        <w:fldChar w:fldCharType="end"/>
      </w:r>
    </w:p>
    <w:p w14:paraId="4E33E47B">
      <w:pPr>
        <w:tabs>
          <w:tab w:val="right" w:leader="dot" w:pos="9022"/>
        </w:tabs>
        <w:adjustRightInd w:val="0"/>
        <w:spacing w:line="360" w:lineRule="auto"/>
        <w:jc w:val="left"/>
        <w:textAlignment w:val="baseline"/>
        <w:rPr>
          <w:rFonts w:ascii="宋体" w:hAnsi="宋体" w:eastAsia="宋体" w:cs="宋体"/>
          <w:highlight w:val="none"/>
        </w:rPr>
      </w:pPr>
      <w:r>
        <w:rPr>
          <w:rFonts w:hint="eastAsia" w:ascii="宋体" w:hAnsi="宋体" w:eastAsia="宋体" w:cs="宋体"/>
          <w:sz w:val="24"/>
          <w:szCs w:val="20"/>
          <w:highlight w:val="none"/>
          <w:shd w:val="clear" w:color="auto" w:fill="FFFFFF"/>
        </w:rPr>
        <w:t>第六章评分标准</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_Toc105940242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55</w:t>
      </w:r>
      <w:r>
        <w:rPr>
          <w:rFonts w:hint="eastAsia" w:ascii="宋体" w:hAnsi="宋体" w:eastAsia="宋体" w:cs="宋体"/>
          <w:sz w:val="24"/>
          <w:szCs w:val="20"/>
          <w:highlight w:val="none"/>
        </w:rPr>
        <w:fldChar w:fldCharType="end"/>
      </w:r>
    </w:p>
    <w:p w14:paraId="3111A8DE">
      <w:pPr>
        <w:tabs>
          <w:tab w:val="right" w:leader="dot" w:pos="9022"/>
        </w:tabs>
        <w:adjustRightInd w:val="0"/>
        <w:spacing w:line="360" w:lineRule="auto"/>
        <w:jc w:val="left"/>
        <w:textAlignment w:val="baseline"/>
        <w:rPr>
          <w:rFonts w:ascii="宋体" w:hAnsi="宋体" w:eastAsia="宋体" w:cs="宋体"/>
          <w:highlight w:val="none"/>
        </w:rPr>
      </w:pPr>
      <w:r>
        <w:rPr>
          <w:rFonts w:hint="eastAsia" w:ascii="宋体" w:hAnsi="宋体" w:eastAsia="宋体" w:cs="宋体"/>
          <w:sz w:val="24"/>
          <w:szCs w:val="20"/>
          <w:highlight w:val="none"/>
          <w:shd w:val="clear" w:color="auto" w:fill="FFFFFF"/>
        </w:rPr>
        <w:t>第七章附件</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_Toc105940243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61</w:t>
      </w:r>
      <w:r>
        <w:rPr>
          <w:rFonts w:hint="eastAsia" w:ascii="宋体" w:hAnsi="宋体" w:eastAsia="宋体" w:cs="宋体"/>
          <w:sz w:val="24"/>
          <w:szCs w:val="20"/>
          <w:highlight w:val="none"/>
        </w:rPr>
        <w:fldChar w:fldCharType="end"/>
      </w:r>
    </w:p>
    <w:p w14:paraId="39663158">
      <w:pPr>
        <w:overflowPunct w:val="0"/>
        <w:spacing w:line="360" w:lineRule="auto"/>
        <w:textAlignment w:val="baseline"/>
        <w:rPr>
          <w:rFonts w:ascii="宋体" w:hAnsi="宋体" w:eastAsia="宋体" w:cs="宋体"/>
          <w:sz w:val="24"/>
          <w:szCs w:val="20"/>
          <w:highlight w:val="none"/>
          <w:shd w:val="clear" w:color="auto" w:fill="FFFFFF"/>
        </w:rPr>
      </w:pPr>
      <w:r>
        <w:rPr>
          <w:rFonts w:hint="eastAsia" w:ascii="宋体" w:hAnsi="宋体" w:eastAsia="宋体" w:cs="宋体"/>
          <w:bCs/>
          <w:sz w:val="24"/>
          <w:szCs w:val="24"/>
          <w:highlight w:val="none"/>
          <w:shd w:val="clear" w:color="auto" w:fill="FFFFFF"/>
        </w:rPr>
        <w:fldChar w:fldCharType="end"/>
      </w:r>
    </w:p>
    <w:p w14:paraId="21840C12">
      <w:pPr>
        <w:overflowPunct w:val="0"/>
        <w:spacing w:line="360" w:lineRule="auto"/>
        <w:textAlignment w:val="baseline"/>
        <w:rPr>
          <w:rFonts w:ascii="宋体" w:hAnsi="宋体" w:eastAsia="宋体" w:cs="宋体"/>
          <w:b/>
          <w:sz w:val="30"/>
          <w:szCs w:val="30"/>
          <w:highlight w:val="none"/>
          <w:shd w:val="clear" w:color="auto" w:fill="FFFFFF"/>
        </w:rPr>
      </w:pPr>
      <w:r>
        <w:rPr>
          <w:rFonts w:hint="eastAsia" w:ascii="宋体" w:hAnsi="宋体" w:eastAsia="宋体" w:cs="宋体"/>
          <w:sz w:val="24"/>
          <w:szCs w:val="20"/>
          <w:highlight w:val="none"/>
          <w:shd w:val="clear" w:color="auto" w:fill="FFFFFF"/>
        </w:rPr>
        <w:br w:type="page"/>
      </w:r>
    </w:p>
    <w:p w14:paraId="77436A02">
      <w:pPr>
        <w:spacing w:line="360" w:lineRule="auto"/>
        <w:rPr>
          <w:rFonts w:ascii="宋体" w:hAnsi="宋体" w:eastAsia="宋体" w:cs="宋体"/>
          <w:sz w:val="30"/>
          <w:szCs w:val="30"/>
          <w:highlight w:val="none"/>
          <w:shd w:val="clear" w:color="auto" w:fill="FFFFFF"/>
        </w:rPr>
      </w:pPr>
    </w:p>
    <w:p w14:paraId="6FB284CD">
      <w:pPr>
        <w:spacing w:line="360" w:lineRule="auto"/>
        <w:rPr>
          <w:rFonts w:ascii="宋体" w:hAnsi="宋体" w:eastAsia="宋体" w:cs="宋体"/>
          <w:sz w:val="30"/>
          <w:szCs w:val="30"/>
          <w:highlight w:val="none"/>
          <w:shd w:val="clear" w:color="auto" w:fill="FFFFFF"/>
        </w:rPr>
      </w:pPr>
    </w:p>
    <w:p w14:paraId="13893ED4">
      <w:pPr>
        <w:spacing w:line="360" w:lineRule="auto"/>
        <w:rPr>
          <w:rFonts w:ascii="宋体" w:hAnsi="宋体" w:eastAsia="宋体" w:cs="宋体"/>
          <w:sz w:val="30"/>
          <w:szCs w:val="30"/>
          <w:highlight w:val="none"/>
          <w:shd w:val="clear" w:color="auto" w:fill="FFFFFF"/>
        </w:rPr>
      </w:pPr>
    </w:p>
    <w:p w14:paraId="16816444">
      <w:pPr>
        <w:spacing w:line="360" w:lineRule="auto"/>
        <w:rPr>
          <w:rFonts w:ascii="宋体" w:hAnsi="宋体" w:eastAsia="宋体" w:cs="宋体"/>
          <w:sz w:val="30"/>
          <w:szCs w:val="30"/>
          <w:highlight w:val="none"/>
          <w:shd w:val="clear" w:color="auto" w:fill="FFFFFF"/>
        </w:rPr>
      </w:pPr>
    </w:p>
    <w:p w14:paraId="53C8CB9D">
      <w:pPr>
        <w:spacing w:line="360" w:lineRule="auto"/>
        <w:rPr>
          <w:rFonts w:ascii="宋体" w:hAnsi="宋体" w:eastAsia="宋体" w:cs="宋体"/>
          <w:sz w:val="30"/>
          <w:szCs w:val="30"/>
          <w:highlight w:val="none"/>
          <w:shd w:val="clear" w:color="auto" w:fill="FFFFFF"/>
        </w:rPr>
      </w:pPr>
    </w:p>
    <w:p w14:paraId="6B2ABDF4">
      <w:pPr>
        <w:keepNext/>
        <w:keepLines/>
        <w:spacing w:before="340" w:after="330" w:line="360" w:lineRule="auto"/>
        <w:jc w:val="center"/>
        <w:outlineLvl w:val="0"/>
        <w:rPr>
          <w:rFonts w:ascii="宋体" w:hAnsi="宋体" w:eastAsia="宋体" w:cs="宋体"/>
          <w:b/>
          <w:kern w:val="44"/>
          <w:sz w:val="52"/>
          <w:szCs w:val="20"/>
          <w:highlight w:val="none"/>
          <w:shd w:val="clear" w:color="auto" w:fill="FFFFFF"/>
        </w:rPr>
      </w:pPr>
      <w:bookmarkStart w:id="0" w:name="_Toc105940237"/>
      <w:r>
        <w:rPr>
          <w:rFonts w:hint="eastAsia" w:ascii="宋体" w:hAnsi="宋体" w:eastAsia="宋体" w:cs="宋体"/>
          <w:b/>
          <w:kern w:val="44"/>
          <w:sz w:val="52"/>
          <w:szCs w:val="20"/>
          <w:highlight w:val="none"/>
          <w:shd w:val="clear" w:color="auto" w:fill="FFFFFF"/>
        </w:rPr>
        <w:t>第一章投标邀请函</w:t>
      </w:r>
      <w:bookmarkEnd w:id="0"/>
      <w:bookmarkStart w:id="1" w:name="_Hlk117242093"/>
    </w:p>
    <w:bookmarkEnd w:id="1"/>
    <w:p w14:paraId="5FE18551">
      <w:pPr>
        <w:widowControl/>
        <w:jc w:val="left"/>
        <w:rPr>
          <w:rFonts w:ascii="宋体" w:hAnsi="宋体" w:eastAsia="宋体" w:cs="宋体"/>
          <w:b/>
          <w:sz w:val="24"/>
          <w:highlight w:val="none"/>
        </w:rPr>
      </w:pPr>
      <w:r>
        <w:rPr>
          <w:rFonts w:hint="eastAsia" w:ascii="宋体" w:hAnsi="宋体" w:eastAsia="宋体" w:cs="宋体"/>
          <w:b/>
          <w:sz w:val="24"/>
          <w:highlight w:val="none"/>
        </w:rPr>
        <w:br w:type="page"/>
      </w:r>
    </w:p>
    <w:p w14:paraId="621F6FA5">
      <w:pPr>
        <w:adjustRightInd w:val="0"/>
        <w:snapToGrid w:val="0"/>
        <w:spacing w:line="360" w:lineRule="auto"/>
        <w:ind w:firstLine="482" w:firstLineChars="200"/>
        <w:rPr>
          <w:rFonts w:ascii="宋体" w:hAnsi="宋体" w:eastAsia="宋体" w:cs="宋体"/>
          <w:b/>
          <w:sz w:val="24"/>
          <w:highlight w:val="none"/>
        </w:rPr>
      </w:pPr>
    </w:p>
    <w:tbl>
      <w:tblPr>
        <w:tblStyle w:val="49"/>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0"/>
      </w:tblGrid>
      <w:tr w14:paraId="34DD4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710" w:type="dxa"/>
          </w:tcPr>
          <w:p w14:paraId="7782473C">
            <w:pPr>
              <w:adjustRightInd w:val="0"/>
              <w:snapToGrid w:val="0"/>
              <w:spacing w:line="360" w:lineRule="auto"/>
              <w:ind w:firstLine="482" w:firstLineChars="200"/>
              <w:rPr>
                <w:rFonts w:ascii="宋体" w:hAnsi="宋体" w:eastAsia="宋体" w:cs="宋体"/>
                <w:b/>
                <w:bCs/>
                <w:sz w:val="24"/>
                <w:highlight w:val="none"/>
              </w:rPr>
            </w:pPr>
            <w:r>
              <w:rPr>
                <w:rFonts w:hint="eastAsia" w:ascii="宋体" w:hAnsi="宋体" w:eastAsia="宋体" w:cs="宋体"/>
                <w:b/>
                <w:bCs/>
                <w:sz w:val="24"/>
                <w:highlight w:val="none"/>
              </w:rPr>
              <w:t>项目概况：</w:t>
            </w:r>
          </w:p>
          <w:p w14:paraId="6424CFA6">
            <w:pPr>
              <w:adjustRightInd w:val="0"/>
              <w:snapToGrid w:val="0"/>
              <w:spacing w:line="360" w:lineRule="auto"/>
              <w:ind w:firstLine="480" w:firstLineChars="200"/>
              <w:rPr>
                <w:rFonts w:ascii="宋体" w:hAnsi="宋体" w:eastAsia="宋体" w:cs="宋体"/>
                <w:szCs w:val="21"/>
                <w:highlight w:val="none"/>
              </w:rPr>
            </w:pPr>
            <w:r>
              <w:rPr>
                <w:rFonts w:hint="eastAsia" w:ascii="宋体" w:hAnsi="宋体" w:eastAsia="宋体" w:cs="宋体"/>
                <w:sz w:val="24"/>
                <w:highlight w:val="none"/>
              </w:rPr>
              <w:t>苏州法院电子卷宗存</w:t>
            </w:r>
            <w:r>
              <w:rPr>
                <w:rFonts w:hint="eastAsia" w:ascii="宋体" w:hAnsi="宋体" w:eastAsia="宋体" w:cs="宋体"/>
                <w:sz w:val="24"/>
                <w:highlight w:val="none"/>
                <w:lang w:val="en-US" w:eastAsia="zh-CN"/>
              </w:rPr>
              <w:t>储</w:t>
            </w:r>
            <w:r>
              <w:rPr>
                <w:rFonts w:hint="eastAsia" w:ascii="宋体" w:hAnsi="宋体" w:eastAsia="宋体" w:cs="宋体"/>
                <w:sz w:val="24"/>
                <w:highlight w:val="none"/>
              </w:rPr>
              <w:t>服务项目</w:t>
            </w:r>
            <w:r>
              <w:rPr>
                <w:rFonts w:hint="eastAsia" w:ascii="宋体" w:hAnsi="宋体" w:eastAsia="宋体" w:cs="宋体"/>
                <w:sz w:val="24"/>
                <w:highlight w:val="none"/>
                <w:lang w:eastAsia="zh-CN"/>
              </w:rPr>
              <w:t>JSZC-320500-SZCH-G2026-0049</w:t>
            </w:r>
            <w:r>
              <w:rPr>
                <w:rFonts w:hint="eastAsia" w:ascii="宋体" w:hAnsi="宋体" w:eastAsia="宋体" w:cs="宋体"/>
                <w:sz w:val="24"/>
                <w:highlight w:val="none"/>
              </w:rPr>
              <w:t>的潜在投标人应在江苏省政府采购一体化平台“苏采云”系统自行免费下载招标（采购）文件，并于2026年</w:t>
            </w:r>
            <w:r>
              <w:rPr>
                <w:rFonts w:hint="eastAsia" w:ascii="宋体" w:hAnsi="宋体" w:eastAsia="宋体" w:cs="宋体"/>
                <w:sz w:val="24"/>
                <w:highlight w:val="none"/>
                <w:lang w:val="en-US" w:eastAsia="zh-CN"/>
              </w:rPr>
              <w:t>11月2日13</w:t>
            </w:r>
            <w:r>
              <w:rPr>
                <w:rFonts w:hint="eastAsia" w:ascii="宋体" w:hAnsi="宋体" w:eastAsia="宋体" w:cs="宋体"/>
                <w:sz w:val="24"/>
                <w:highlight w:val="none"/>
              </w:rPr>
              <w:t>点</w:t>
            </w:r>
            <w:r>
              <w:rPr>
                <w:rFonts w:hint="eastAsia" w:ascii="宋体" w:hAnsi="宋体" w:eastAsia="宋体" w:cs="宋体"/>
                <w:sz w:val="24"/>
                <w:highlight w:val="none"/>
                <w:lang w:val="en-US" w:eastAsia="zh-CN"/>
              </w:rPr>
              <w:t>30</w:t>
            </w:r>
            <w:r>
              <w:rPr>
                <w:rFonts w:hint="eastAsia" w:ascii="宋体" w:hAnsi="宋体" w:eastAsia="宋体" w:cs="宋体"/>
                <w:sz w:val="24"/>
                <w:highlight w:val="none"/>
              </w:rPr>
              <w:t>分（北京时间）前递交投标文件。</w:t>
            </w:r>
          </w:p>
        </w:tc>
      </w:tr>
    </w:tbl>
    <w:p w14:paraId="452836BE">
      <w:pPr>
        <w:adjustRightInd w:val="0"/>
        <w:snapToGrid w:val="0"/>
        <w:spacing w:line="360" w:lineRule="auto"/>
        <w:ind w:firstLine="482" w:firstLineChars="200"/>
        <w:rPr>
          <w:rFonts w:ascii="宋体" w:hAnsi="宋体" w:eastAsia="宋体" w:cs="宋体"/>
          <w:sz w:val="24"/>
          <w:highlight w:val="none"/>
        </w:rPr>
      </w:pPr>
      <w:r>
        <w:rPr>
          <w:rFonts w:hint="eastAsia" w:ascii="宋体" w:hAnsi="宋体" w:eastAsia="宋体" w:cs="宋体"/>
          <w:b/>
          <w:sz w:val="24"/>
          <w:highlight w:val="none"/>
        </w:rPr>
        <w:t>一、项目基本情况</w:t>
      </w:r>
    </w:p>
    <w:p w14:paraId="63D33EF1">
      <w:pPr>
        <w:adjustRightInd w:val="0"/>
        <w:snapToGrid w:val="0"/>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项目编号：</w:t>
      </w:r>
      <w:r>
        <w:rPr>
          <w:rFonts w:hint="eastAsia" w:ascii="宋体" w:hAnsi="宋体" w:eastAsia="宋体" w:cs="宋体"/>
          <w:sz w:val="24"/>
          <w:highlight w:val="none"/>
          <w:lang w:eastAsia="zh-CN"/>
        </w:rPr>
        <w:t>JSZC-320500-SZCH-G2026-0049</w:t>
      </w:r>
    </w:p>
    <w:p w14:paraId="63B03BD8">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项目名称：苏州法院电子卷宗存储服务</w:t>
      </w:r>
    </w:p>
    <w:p w14:paraId="34EB9A4D">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采购方式：公开招标</w:t>
      </w:r>
    </w:p>
    <w:p w14:paraId="14E1D367">
      <w:pPr>
        <w:adjustRightInd w:val="0"/>
        <w:snapToGrid w:val="0"/>
        <w:spacing w:line="360" w:lineRule="auto"/>
        <w:ind w:firstLine="480" w:firstLineChars="200"/>
        <w:rPr>
          <w:rFonts w:ascii="宋体" w:hAnsi="宋体" w:eastAsia="宋体" w:cs="宋体"/>
          <w:sz w:val="24"/>
          <w:highlight w:val="none"/>
        </w:rPr>
      </w:pPr>
      <w:bookmarkStart w:id="2" w:name="_Hlk193370935"/>
      <w:r>
        <w:rPr>
          <w:rFonts w:hint="eastAsia" w:ascii="宋体" w:hAnsi="宋体" w:eastAsia="宋体" w:cs="宋体"/>
          <w:sz w:val="24"/>
          <w:highlight w:val="none"/>
        </w:rPr>
        <w:t>预算金额：</w:t>
      </w:r>
    </w:p>
    <w:p w14:paraId="1DD758CB">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人民币（大写）：人民币壹佰伍拾柒万伍仟壹佰元整</w:t>
      </w:r>
    </w:p>
    <w:p w14:paraId="69FB0911">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人民币（小写）：¥1575100.00</w:t>
      </w:r>
    </w:p>
    <w:p w14:paraId="0A8DE77A">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最高限价（如有）：¥1575100.00</w:t>
      </w:r>
    </w:p>
    <w:bookmarkEnd w:id="2"/>
    <w:p w14:paraId="29A17FEF">
      <w:pPr>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采购需求：苏州法院电子卷宗存储服务，具体详见招标文件第四章招标书</w:t>
      </w:r>
      <w:bookmarkStart w:id="3" w:name="_Hlk193370988"/>
      <w:r>
        <w:rPr>
          <w:rFonts w:hint="eastAsia" w:ascii="宋体" w:hAnsi="宋体" w:eastAsia="宋体" w:cs="宋体"/>
          <w:sz w:val="24"/>
          <w:highlight w:val="none"/>
        </w:rPr>
        <w:t>。</w:t>
      </w:r>
    </w:p>
    <w:p w14:paraId="51C025B9">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合同履行期限：自合同签订之日起一年。</w:t>
      </w:r>
    </w:p>
    <w:bookmarkEnd w:id="3"/>
    <w:p w14:paraId="431ADA99">
      <w:pPr>
        <w:adjustRightInd w:val="0"/>
        <w:snapToGrid w:val="0"/>
        <w:spacing w:line="360" w:lineRule="auto"/>
        <w:ind w:firstLine="482" w:firstLineChars="200"/>
        <w:rPr>
          <w:rFonts w:ascii="宋体" w:hAnsi="宋体" w:eastAsia="宋体" w:cs="宋体"/>
          <w:b/>
          <w:bCs/>
          <w:sz w:val="24"/>
          <w:szCs w:val="20"/>
          <w:highlight w:val="none"/>
        </w:rPr>
      </w:pPr>
      <w:r>
        <w:rPr>
          <w:rFonts w:hint="eastAsia" w:ascii="宋体" w:hAnsi="宋体" w:eastAsia="宋体" w:cs="宋体"/>
          <w:b/>
          <w:bCs/>
          <w:sz w:val="24"/>
          <w:szCs w:val="20"/>
          <w:highlight w:val="none"/>
        </w:rPr>
        <w:t>本项目（是/否）接受联合体：</w:t>
      </w:r>
      <w:r>
        <w:rPr>
          <w:rFonts w:hint="eastAsia" w:ascii="宋体" w:hAnsi="宋体" w:eastAsia="宋体" w:cs="宋体"/>
          <w:sz w:val="24"/>
          <w:highlight w:val="none"/>
        </w:rPr>
        <w:t>否</w:t>
      </w:r>
    </w:p>
    <w:p w14:paraId="3B98DA9F">
      <w:pPr>
        <w:adjustRightInd w:val="0"/>
        <w:snapToGrid w:val="0"/>
        <w:spacing w:line="360" w:lineRule="auto"/>
        <w:ind w:firstLine="482" w:firstLineChars="200"/>
        <w:rPr>
          <w:rFonts w:ascii="宋体" w:hAnsi="宋体" w:eastAsia="宋体" w:cs="宋体"/>
          <w:b/>
          <w:bCs/>
          <w:sz w:val="24"/>
          <w:szCs w:val="20"/>
          <w:highlight w:val="none"/>
        </w:rPr>
      </w:pPr>
      <w:r>
        <w:rPr>
          <w:rFonts w:hint="eastAsia" w:ascii="宋体" w:hAnsi="宋体" w:eastAsia="宋体" w:cs="宋体"/>
          <w:b/>
          <w:bCs/>
          <w:sz w:val="24"/>
          <w:szCs w:val="20"/>
          <w:highlight w:val="none"/>
        </w:rPr>
        <w:t>二、申请人的资格要求：</w:t>
      </w:r>
    </w:p>
    <w:p w14:paraId="3F47EE5A">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（一）满足《中华人民共和国政府采购法》第二十二条规定；</w:t>
      </w:r>
    </w:p>
    <w:p w14:paraId="5CCB2E5E">
      <w:pPr>
        <w:pStyle w:val="10"/>
        <w:spacing w:line="360" w:lineRule="auto"/>
        <w:ind w:firstLine="480" w:firstLineChars="200"/>
        <w:rPr>
          <w:rFonts w:ascii="宋体" w:hAnsi="宋体" w:eastAsia="宋体" w:cs="宋体"/>
          <w:szCs w:val="22"/>
          <w:highlight w:val="none"/>
        </w:rPr>
      </w:pPr>
      <w:bookmarkStart w:id="4" w:name="_Hlk193371023"/>
      <w:r>
        <w:rPr>
          <w:rFonts w:hint="eastAsia" w:ascii="宋体" w:hAnsi="宋体" w:eastAsia="宋体" w:cs="宋体"/>
          <w:szCs w:val="22"/>
          <w:highlight w:val="none"/>
        </w:rPr>
        <w:t>1.具有独立承担民事责任的能力；</w:t>
      </w:r>
    </w:p>
    <w:p w14:paraId="7440B79C">
      <w:pPr>
        <w:pStyle w:val="10"/>
        <w:spacing w:line="360" w:lineRule="auto"/>
        <w:ind w:firstLine="480" w:firstLineChars="200"/>
        <w:rPr>
          <w:rFonts w:ascii="宋体" w:hAnsi="宋体" w:eastAsia="宋体" w:cs="宋体"/>
          <w:szCs w:val="22"/>
          <w:highlight w:val="none"/>
        </w:rPr>
      </w:pPr>
      <w:r>
        <w:rPr>
          <w:rFonts w:hint="eastAsia" w:ascii="宋体" w:hAnsi="宋体" w:eastAsia="宋体" w:cs="宋体"/>
          <w:szCs w:val="22"/>
          <w:highlight w:val="none"/>
        </w:rPr>
        <w:t>2.具有良好的商业信誉和健全的财务会计制度；</w:t>
      </w:r>
    </w:p>
    <w:p w14:paraId="0AEF255B">
      <w:pPr>
        <w:pStyle w:val="10"/>
        <w:spacing w:line="360" w:lineRule="auto"/>
        <w:ind w:firstLine="480" w:firstLineChars="200"/>
        <w:rPr>
          <w:rFonts w:ascii="宋体" w:hAnsi="宋体" w:eastAsia="宋体" w:cs="宋体"/>
          <w:szCs w:val="22"/>
          <w:highlight w:val="none"/>
        </w:rPr>
      </w:pPr>
      <w:r>
        <w:rPr>
          <w:rFonts w:hint="eastAsia" w:ascii="宋体" w:hAnsi="宋体" w:eastAsia="宋体" w:cs="宋体"/>
          <w:szCs w:val="22"/>
          <w:highlight w:val="none"/>
        </w:rPr>
        <w:t>3.具有履行合同所必需的设备和专业技术能力；</w:t>
      </w:r>
    </w:p>
    <w:p w14:paraId="17E3ED76">
      <w:pPr>
        <w:pStyle w:val="10"/>
        <w:spacing w:line="360" w:lineRule="auto"/>
        <w:ind w:firstLine="480" w:firstLineChars="200"/>
        <w:rPr>
          <w:rFonts w:ascii="宋体" w:hAnsi="宋体" w:eastAsia="宋体" w:cs="宋体"/>
          <w:szCs w:val="22"/>
          <w:highlight w:val="none"/>
        </w:rPr>
      </w:pPr>
      <w:r>
        <w:rPr>
          <w:rFonts w:hint="eastAsia" w:ascii="宋体" w:hAnsi="宋体" w:eastAsia="宋体" w:cs="宋体"/>
          <w:szCs w:val="22"/>
          <w:highlight w:val="none"/>
        </w:rPr>
        <w:t>4.有依法缴纳税收和社会保障资金的良好记录；</w:t>
      </w:r>
    </w:p>
    <w:p w14:paraId="19CF83BA">
      <w:pPr>
        <w:pStyle w:val="10"/>
        <w:spacing w:line="360" w:lineRule="auto"/>
        <w:ind w:firstLine="480" w:firstLineChars="200"/>
        <w:rPr>
          <w:rFonts w:ascii="宋体" w:hAnsi="宋体" w:eastAsia="宋体" w:cs="宋体"/>
          <w:szCs w:val="22"/>
          <w:highlight w:val="none"/>
        </w:rPr>
      </w:pPr>
      <w:r>
        <w:rPr>
          <w:rFonts w:hint="eastAsia" w:ascii="宋体" w:hAnsi="宋体" w:eastAsia="宋体" w:cs="宋体"/>
          <w:szCs w:val="22"/>
          <w:highlight w:val="none"/>
        </w:rPr>
        <w:t>5.参加政府采购活动前三年内，在经营活动中没有重大违法记录；</w:t>
      </w:r>
    </w:p>
    <w:p w14:paraId="1FAC87AE">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6.法律、行政法规规定的其他条件。</w:t>
      </w:r>
    </w:p>
    <w:bookmarkEnd w:id="4"/>
    <w:p w14:paraId="7B60BBD5">
      <w:pPr>
        <w:pStyle w:val="44"/>
        <w:widowControl/>
        <w:spacing w:before="0" w:beforeAutospacing="0" w:after="0" w:afterAutospacing="0" w:line="360" w:lineRule="auto"/>
        <w:ind w:firstLine="480" w:firstLineChars="200"/>
        <w:rPr>
          <w:rFonts w:ascii="宋体" w:hAnsi="宋体" w:eastAsia="宋体" w:cs="宋体"/>
          <w:kern w:val="2"/>
          <w:highlight w:val="none"/>
        </w:rPr>
      </w:pPr>
      <w:r>
        <w:rPr>
          <w:rFonts w:hint="eastAsia" w:ascii="宋体" w:hAnsi="宋体" w:eastAsia="宋体" w:cs="宋体"/>
          <w:kern w:val="2"/>
          <w:highlight w:val="none"/>
        </w:rPr>
        <w:t>（二）落实政府采购政策需满足的资格要求：</w:t>
      </w:r>
    </w:p>
    <w:p w14:paraId="3209CE9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无</w:t>
      </w:r>
    </w:p>
    <w:p w14:paraId="0D9848D4">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（三）本项目的特定资格要求：</w:t>
      </w:r>
    </w:p>
    <w:p w14:paraId="2140657A">
      <w:pPr>
        <w:pStyle w:val="44"/>
        <w:widowControl/>
        <w:spacing w:before="0" w:beforeAutospacing="0" w:after="0" w:afterAutospacing="0" w:line="360" w:lineRule="auto"/>
        <w:ind w:firstLine="480" w:firstLineChars="200"/>
        <w:rPr>
          <w:rFonts w:ascii="宋体" w:hAnsi="宋体" w:eastAsia="宋体" w:cs="宋体"/>
          <w:kern w:val="2"/>
          <w:highlight w:val="none"/>
        </w:rPr>
      </w:pPr>
      <w:r>
        <w:rPr>
          <w:rFonts w:hint="eastAsia" w:ascii="宋体" w:hAnsi="宋体" w:eastAsia="宋体" w:cs="宋体"/>
          <w:kern w:val="2"/>
          <w:highlight w:val="none"/>
        </w:rPr>
        <w:t>未被“信用中国”网站（</w:t>
      </w:r>
      <w:r>
        <w:rPr>
          <w:highlight w:val="none"/>
        </w:rPr>
        <w:fldChar w:fldCharType="begin"/>
      </w:r>
      <w:r>
        <w:rPr>
          <w:highlight w:val="none"/>
        </w:rPr>
        <w:instrText xml:space="preserve"> HYPERLINK "https://www.creditchina.gov.cn" </w:instrText>
      </w:r>
      <w:r>
        <w:rPr>
          <w:highlight w:val="none"/>
        </w:rPr>
        <w:fldChar w:fldCharType="separate"/>
      </w:r>
      <w:r>
        <w:rPr>
          <w:rFonts w:hint="eastAsia" w:ascii="宋体" w:hAnsi="宋体" w:eastAsia="宋体" w:cs="宋体"/>
          <w:kern w:val="2"/>
          <w:highlight w:val="none"/>
        </w:rPr>
        <w:t>www.creditchina.gov.cn</w:t>
      </w:r>
      <w:r>
        <w:rPr>
          <w:rFonts w:hint="eastAsia" w:ascii="宋体" w:hAnsi="宋体" w:eastAsia="宋体" w:cs="宋体"/>
          <w:kern w:val="2"/>
          <w:highlight w:val="none"/>
        </w:rPr>
        <w:fldChar w:fldCharType="end"/>
      </w:r>
      <w:r>
        <w:rPr>
          <w:rFonts w:hint="eastAsia" w:ascii="宋体" w:hAnsi="宋体" w:eastAsia="宋体" w:cs="宋体"/>
          <w:kern w:val="2"/>
          <w:highlight w:val="none"/>
        </w:rPr>
        <w:t>）列入失信被执行人、重大税收违法案件当事人名单、政府采购严重失信行为记录名单。</w:t>
      </w:r>
    </w:p>
    <w:p w14:paraId="73739099">
      <w:pPr>
        <w:adjustRightInd w:val="0"/>
        <w:snapToGrid w:val="0"/>
        <w:spacing w:line="360" w:lineRule="auto"/>
        <w:ind w:firstLine="482" w:firstLineChars="200"/>
        <w:rPr>
          <w:rFonts w:ascii="宋体" w:hAnsi="宋体" w:eastAsia="宋体" w:cs="宋体"/>
          <w:b/>
          <w:bCs/>
          <w:sz w:val="24"/>
          <w:szCs w:val="20"/>
          <w:highlight w:val="none"/>
        </w:rPr>
      </w:pPr>
      <w:r>
        <w:rPr>
          <w:rFonts w:hint="eastAsia" w:ascii="宋体" w:hAnsi="宋体" w:eastAsia="宋体" w:cs="宋体"/>
          <w:b/>
          <w:bCs/>
          <w:sz w:val="24"/>
          <w:szCs w:val="20"/>
          <w:highlight w:val="none"/>
        </w:rPr>
        <w:t>三、获取招标文件</w:t>
      </w:r>
    </w:p>
    <w:p w14:paraId="2501A0C5">
      <w:pPr>
        <w:adjustRightInd w:val="0"/>
        <w:snapToGrid w:val="0"/>
        <w:spacing w:line="360" w:lineRule="auto"/>
        <w:ind w:firstLine="480" w:firstLineChars="200"/>
        <w:rPr>
          <w:rFonts w:ascii="宋体" w:hAnsi="宋体" w:eastAsia="宋体" w:cs="宋体"/>
          <w:sz w:val="24"/>
          <w:szCs w:val="20"/>
          <w:highlight w:val="none"/>
        </w:rPr>
      </w:pPr>
      <w:bookmarkStart w:id="5" w:name="_Hlk97035982"/>
      <w:r>
        <w:rPr>
          <w:rFonts w:hint="eastAsia" w:ascii="宋体" w:hAnsi="宋体" w:eastAsia="宋体" w:cs="宋体"/>
          <w:sz w:val="24"/>
          <w:highlight w:val="none"/>
        </w:rPr>
        <w:t>1</w:t>
      </w:r>
      <w:r>
        <w:rPr>
          <w:rFonts w:hint="eastAsia" w:ascii="宋体" w:hAnsi="宋体" w:eastAsia="宋体" w:cs="宋体"/>
          <w:sz w:val="24"/>
          <w:szCs w:val="20"/>
          <w:highlight w:val="none"/>
        </w:rPr>
        <w:t>、时间：自</w:t>
      </w:r>
      <w:r>
        <w:rPr>
          <w:rFonts w:hint="eastAsia" w:ascii="宋体" w:hAnsi="宋体" w:eastAsia="宋体" w:cs="宋体"/>
          <w:sz w:val="24"/>
          <w:szCs w:val="20"/>
          <w:highlight w:val="none"/>
          <w:lang w:val="en-US" w:eastAsia="zh-CN"/>
        </w:rPr>
        <w:t>更正</w:t>
      </w:r>
      <w:r>
        <w:rPr>
          <w:rFonts w:hint="eastAsia" w:ascii="宋体" w:hAnsi="宋体" w:eastAsia="宋体" w:cs="宋体"/>
          <w:sz w:val="24"/>
          <w:szCs w:val="20"/>
          <w:highlight w:val="none"/>
        </w:rPr>
        <w:t>公告发布之日起</w:t>
      </w:r>
      <w:r>
        <w:rPr>
          <w:rFonts w:hint="eastAsia" w:ascii="宋体" w:hAnsi="宋体" w:eastAsia="宋体" w:cs="宋体"/>
          <w:sz w:val="24"/>
          <w:szCs w:val="24"/>
          <w:highlight w:val="none"/>
          <w:shd w:val="clear" w:color="auto" w:fill="FFFFFF"/>
        </w:rPr>
        <w:t>5个工作日</w:t>
      </w:r>
    </w:p>
    <w:p w14:paraId="1387397F">
      <w:pPr>
        <w:adjustRightInd w:val="0"/>
        <w:snapToGrid w:val="0"/>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0"/>
          <w:highlight w:val="none"/>
        </w:rPr>
        <w:t>2、</w:t>
      </w:r>
      <w:r>
        <w:rPr>
          <w:rFonts w:hint="eastAsia" w:ascii="宋体" w:hAnsi="宋体" w:eastAsia="宋体" w:cs="宋体"/>
          <w:sz w:val="24"/>
          <w:szCs w:val="24"/>
          <w:highlight w:val="none"/>
          <w:shd w:val="clear" w:color="auto" w:fill="FFFFFF"/>
        </w:rPr>
        <w:t>地点：江苏省政府采购一体化平台“苏采云”系统</w:t>
      </w:r>
    </w:p>
    <w:p w14:paraId="02C937B3">
      <w:pPr>
        <w:adjustRightInd w:val="0"/>
        <w:snapToGrid w:val="0"/>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highlight w:val="none"/>
        </w:rPr>
        <w:t>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p>
    <w:p w14:paraId="49E63EF7">
      <w:pPr>
        <w:adjustRightInd w:val="0"/>
        <w:snapToGrid w:val="0"/>
        <w:spacing w:line="360" w:lineRule="auto"/>
        <w:ind w:firstLine="480" w:firstLineChars="200"/>
        <w:rPr>
          <w:rFonts w:ascii="宋体" w:hAnsi="宋体" w:eastAsia="宋体" w:cs="宋体"/>
          <w:sz w:val="24"/>
          <w:szCs w:val="20"/>
          <w:highlight w:val="none"/>
        </w:rPr>
      </w:pPr>
      <w:r>
        <w:rPr>
          <w:rFonts w:hint="eastAsia" w:ascii="宋体" w:hAnsi="宋体" w:eastAsia="宋体" w:cs="宋体"/>
          <w:sz w:val="24"/>
          <w:szCs w:val="20"/>
          <w:highlight w:val="none"/>
        </w:rPr>
        <w:t>4、售价：0.00元</w:t>
      </w:r>
    </w:p>
    <w:bookmarkEnd w:id="5"/>
    <w:p w14:paraId="550C758C">
      <w:pPr>
        <w:widowControl/>
        <w:kinsoku w:val="0"/>
        <w:overflowPunct w:val="0"/>
        <w:autoSpaceDE w:val="0"/>
        <w:autoSpaceDN w:val="0"/>
        <w:adjustRightInd w:val="0"/>
        <w:snapToGrid w:val="0"/>
        <w:spacing w:line="360" w:lineRule="auto"/>
        <w:ind w:firstLine="482" w:firstLineChars="200"/>
        <w:jc w:val="left"/>
        <w:rPr>
          <w:rFonts w:ascii="宋体" w:hAnsi="宋体" w:eastAsia="宋体" w:cs="宋体"/>
          <w:b/>
          <w:sz w:val="24"/>
          <w:highlight w:val="none"/>
        </w:rPr>
      </w:pPr>
      <w:r>
        <w:rPr>
          <w:rFonts w:hint="eastAsia" w:ascii="宋体" w:hAnsi="宋体" w:eastAsia="宋体" w:cs="宋体"/>
          <w:b/>
          <w:sz w:val="24"/>
          <w:highlight w:val="none"/>
        </w:rPr>
        <w:t>四、提交投标文件截止时间、开标时间和地点</w:t>
      </w:r>
    </w:p>
    <w:p w14:paraId="7F27D667">
      <w:pPr>
        <w:widowControl/>
        <w:kinsoku w:val="0"/>
        <w:overflowPunct w:val="0"/>
        <w:autoSpaceDE w:val="0"/>
        <w:autoSpaceDN w:val="0"/>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2026年</w:t>
      </w:r>
      <w:r>
        <w:rPr>
          <w:rFonts w:hint="eastAsia" w:ascii="宋体" w:hAnsi="宋体" w:eastAsia="宋体" w:cs="宋体"/>
          <w:sz w:val="24"/>
          <w:highlight w:val="none"/>
          <w:lang w:val="en-US" w:eastAsia="zh-CN"/>
        </w:rPr>
        <w:t>11月2日13</w:t>
      </w:r>
      <w:r>
        <w:rPr>
          <w:rFonts w:hint="eastAsia" w:ascii="宋体" w:hAnsi="宋体" w:eastAsia="宋体" w:cs="宋体"/>
          <w:sz w:val="24"/>
          <w:highlight w:val="none"/>
        </w:rPr>
        <w:t>点</w:t>
      </w:r>
      <w:r>
        <w:rPr>
          <w:rFonts w:hint="eastAsia" w:ascii="宋体" w:hAnsi="宋体" w:eastAsia="宋体" w:cs="宋体"/>
          <w:sz w:val="24"/>
          <w:highlight w:val="none"/>
          <w:lang w:val="en-US" w:eastAsia="zh-CN"/>
        </w:rPr>
        <w:t>30</w:t>
      </w:r>
      <w:r>
        <w:rPr>
          <w:rFonts w:hint="eastAsia" w:ascii="宋体" w:hAnsi="宋体" w:eastAsia="宋体" w:cs="宋体"/>
          <w:sz w:val="24"/>
          <w:highlight w:val="none"/>
        </w:rPr>
        <w:t>分（北京时间）</w:t>
      </w:r>
    </w:p>
    <w:p w14:paraId="6F0DB83A">
      <w:pPr>
        <w:widowControl/>
        <w:kinsoku w:val="0"/>
        <w:overflowPunct w:val="0"/>
        <w:autoSpaceDE w:val="0"/>
        <w:autoSpaceDN w:val="0"/>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55"/>
          <w:rFonts w:hint="eastAsia" w:ascii="宋体" w:hAnsi="宋体" w:eastAsia="宋体" w:cs="宋体"/>
          <w:color w:val="auto"/>
          <w:sz w:val="24"/>
          <w:highlight w:val="none"/>
        </w:rPr>
        <w:t>http://jszfcg.jsczt.cn/）</w:t>
      </w:r>
      <w:r>
        <w:rPr>
          <w:rStyle w:val="55"/>
          <w:rFonts w:hint="eastAsia" w:ascii="宋体" w:hAnsi="宋体" w:eastAsia="宋体" w:cs="宋体"/>
          <w:color w:val="auto"/>
          <w:sz w:val="24"/>
          <w:highlight w:val="none"/>
        </w:rPr>
        <w:fldChar w:fldCharType="end"/>
      </w:r>
    </w:p>
    <w:p w14:paraId="20BBE045">
      <w:pPr>
        <w:widowControl/>
        <w:kinsoku w:val="0"/>
        <w:overflowPunct w:val="0"/>
        <w:autoSpaceDE w:val="0"/>
        <w:autoSpaceDN w:val="0"/>
        <w:adjustRightInd w:val="0"/>
        <w:snapToGrid w:val="0"/>
        <w:spacing w:line="360" w:lineRule="auto"/>
        <w:ind w:firstLine="482" w:firstLineChars="200"/>
        <w:jc w:val="left"/>
        <w:rPr>
          <w:rFonts w:ascii="宋体" w:hAnsi="宋体" w:eastAsia="宋体" w:cs="宋体"/>
          <w:sz w:val="24"/>
          <w:highlight w:val="none"/>
        </w:rPr>
      </w:pPr>
      <w:r>
        <w:rPr>
          <w:rFonts w:hint="eastAsia" w:ascii="宋体" w:hAnsi="宋体" w:eastAsia="宋体" w:cs="宋体"/>
          <w:b/>
          <w:sz w:val="24"/>
          <w:highlight w:val="none"/>
        </w:rPr>
        <w:t>五、公告期限：自本公告发布之日起5个工作日。</w:t>
      </w:r>
    </w:p>
    <w:p w14:paraId="51CB4471">
      <w:pPr>
        <w:widowControl/>
        <w:kinsoku w:val="0"/>
        <w:overflowPunct w:val="0"/>
        <w:autoSpaceDE w:val="0"/>
        <w:autoSpaceDN w:val="0"/>
        <w:adjustRightInd w:val="0"/>
        <w:snapToGrid w:val="0"/>
        <w:spacing w:line="360" w:lineRule="auto"/>
        <w:ind w:firstLine="482" w:firstLineChars="200"/>
        <w:jc w:val="left"/>
        <w:rPr>
          <w:rFonts w:ascii="宋体" w:hAnsi="宋体" w:eastAsia="宋体" w:cs="宋体"/>
          <w:b/>
          <w:sz w:val="24"/>
          <w:highlight w:val="none"/>
        </w:rPr>
      </w:pPr>
      <w:r>
        <w:rPr>
          <w:rFonts w:hint="eastAsia" w:ascii="宋体" w:hAnsi="宋体" w:eastAsia="宋体" w:cs="宋体"/>
          <w:b/>
          <w:sz w:val="24"/>
          <w:highlight w:val="none"/>
        </w:rPr>
        <w:t>六、其他补充事宜</w:t>
      </w:r>
    </w:p>
    <w:p w14:paraId="3FF73269">
      <w:pPr>
        <w:widowControl/>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kern w:val="0"/>
          <w:sz w:val="24"/>
          <w:szCs w:val="24"/>
          <w:highlight w:val="none"/>
          <w:shd w:val="clear" w:color="auto" w:fill="FFFFFF"/>
          <w:lang w:bidi="ar"/>
        </w:rPr>
        <w:t>1、</w:t>
      </w:r>
      <w:r>
        <w:rPr>
          <w:rFonts w:hint="eastAsia" w:ascii="宋体" w:hAnsi="宋体" w:eastAsia="宋体" w:cs="宋体"/>
          <w:bCs/>
          <w:sz w:val="24"/>
          <w:szCs w:val="24"/>
          <w:highlight w:val="none"/>
        </w:rPr>
        <w:t>为采购项目提供整体设计、规范编制或者项目管理、监理、检测等服务的供应商，不得再参加该采购项目的其他采购活动。</w:t>
      </w:r>
    </w:p>
    <w:p w14:paraId="4C816DBB">
      <w:pPr>
        <w:widowControl/>
        <w:spacing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2、单位负责人为同一人或者存在直接控股、管理关系的不同供应商，不得参加同一合同项下的政府采购活动。</w:t>
      </w:r>
    </w:p>
    <w:p w14:paraId="35874C5E">
      <w:pPr>
        <w:widowControl/>
        <w:spacing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3、本次采购的有关信息将在中国政府采购网、江苏政府采购网、苏州市政府采购网上发布，敬请留意；有关该采购项目的澄清、修改及成交等信息亦在以上网站发布，敬请留意。</w:t>
      </w:r>
    </w:p>
    <w:p w14:paraId="567BC36B">
      <w:pPr>
        <w:adjustRightInd w:val="0"/>
        <w:snapToGrid w:val="0"/>
        <w:spacing w:line="360" w:lineRule="auto"/>
        <w:ind w:firstLine="480" w:firstLineChars="200"/>
        <w:rPr>
          <w:rFonts w:ascii="宋体" w:hAnsi="宋体" w:eastAsia="宋体" w:cs="宋体"/>
          <w:sz w:val="24"/>
          <w:highlight w:val="none"/>
        </w:rPr>
      </w:pPr>
      <w:bookmarkStart w:id="7" w:name="_Hlk193371515"/>
      <w:r>
        <w:rPr>
          <w:rFonts w:hint="eastAsia" w:ascii="宋体" w:hAnsi="宋体" w:eastAsia="宋体" w:cs="宋体"/>
          <w:sz w:val="24"/>
          <w:highlight w:val="none"/>
        </w:rPr>
        <w:t>4、CA证书办理</w:t>
      </w:r>
    </w:p>
    <w:p w14:paraId="1D9BECC1">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highlight w:val="none"/>
        </w:rPr>
        <w:t>“苏采云”系统目前仅支持“苏采云”系统下的政务CA证书，江苏省内各地区办理的“苏采云”系统下的政务CA证书全省通用。</w:t>
      </w:r>
      <w:r>
        <w:rPr>
          <w:rFonts w:hint="eastAsia" w:ascii="宋体" w:hAnsi="宋体" w:eastAsia="宋体" w:cs="宋体"/>
          <w:sz w:val="24"/>
          <w:highlight w:val="none"/>
        </w:rPr>
        <w:t>苏州现场办理地址：</w:t>
      </w:r>
      <w:r>
        <w:rPr>
          <w:rFonts w:hint="eastAsia" w:ascii="宋体" w:hAnsi="宋体" w:eastAsia="宋体" w:cs="宋体"/>
          <w:sz w:val="24"/>
          <w:szCs w:val="24"/>
          <w:highlight w:val="none"/>
          <w:shd w:val="clear" w:color="auto" w:fill="FFFFFF"/>
          <w:lang w:bidi="ar"/>
        </w:rPr>
        <w:t>苏州市高新区邓尉路105号狮山科技馆一楼服务大厅，咨询电话：0512-65737699</w:t>
      </w:r>
      <w:r>
        <w:rPr>
          <w:rFonts w:hint="eastAsia" w:ascii="宋体" w:hAnsi="宋体" w:eastAsia="宋体" w:cs="宋体"/>
          <w:sz w:val="24"/>
          <w:highlight w:val="none"/>
        </w:rPr>
        <w:t>。</w:t>
      </w:r>
    </w:p>
    <w:bookmarkEnd w:id="7"/>
    <w:p w14:paraId="0D72E1BF">
      <w:pPr>
        <w:widowControl/>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kern w:val="0"/>
          <w:sz w:val="24"/>
          <w:szCs w:val="24"/>
          <w:highlight w:val="none"/>
          <w:shd w:val="clear" w:color="auto" w:fill="FFFFFF"/>
          <w:lang w:bidi="ar"/>
        </w:rPr>
        <w:t>5、本项目获取招标文件截止日期之后仍可以下载招标文件，但截止日期之后下载的招标文件，视为非有效方式且不作为供应商权益受到损害的证明材料和依据。</w:t>
      </w:r>
    </w:p>
    <w:p w14:paraId="45CAE6CA">
      <w:pPr>
        <w:adjustRightInd w:val="0"/>
        <w:snapToGrid w:val="0"/>
        <w:spacing w:line="360" w:lineRule="auto"/>
        <w:ind w:firstLine="480" w:firstLineChars="200"/>
        <w:rPr>
          <w:rFonts w:ascii="宋体" w:hAnsi="宋体" w:eastAsia="宋体" w:cs="宋体"/>
          <w:sz w:val="24"/>
          <w:highlight w:val="none"/>
        </w:rPr>
      </w:pPr>
      <w:bookmarkStart w:id="8" w:name="_Hlk193371550"/>
      <w:r>
        <w:rPr>
          <w:rFonts w:hint="eastAsia" w:ascii="宋体" w:hAnsi="宋体" w:eastAsia="宋体" w:cs="宋体"/>
          <w:sz w:val="24"/>
          <w:highlight w:val="none"/>
        </w:rPr>
        <w:t>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p>
    <w:p w14:paraId="09E45636">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7、如不同投标（响应）文件制作机器码一致，则投标（响应）无效。</w:t>
      </w:r>
    </w:p>
    <w:p w14:paraId="07088C98">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8、制作电子投标（响应）文件：</w:t>
      </w:r>
    </w:p>
    <w:p w14:paraId="3E207C39">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kern w:val="0"/>
          <w:sz w:val="24"/>
          <w:szCs w:val="24"/>
          <w:highlight w:val="none"/>
          <w:shd w:val="clear" w:color="auto" w:fill="FFFFFF"/>
          <w:lang w:bidi="ar"/>
        </w:rPr>
        <w:t>电子投标（响应）文件制作完成后请于投标（响应）文件递交截止时间前成功上传至“苏采云”系统，否则视为放弃参加该采购项目。</w:t>
      </w:r>
      <w:r>
        <w:rPr>
          <w:rFonts w:hint="eastAsia" w:ascii="宋体" w:hAnsi="宋体" w:eastAsia="宋体" w:cs="宋体"/>
          <w:sz w:val="24"/>
          <w:highlight w:val="none"/>
        </w:rPr>
        <w:t>供应商应充分考虑到网络环境、网络带宽等风险因素，如因供应商自身原因造成的电子投标（响应）文件上传不成功由供应商自行承担全部责任。</w:t>
      </w:r>
    </w:p>
    <w:p w14:paraId="7A23BE29">
      <w:pPr>
        <w:adjustRightInd w:val="0"/>
        <w:snapToGrid w:val="0"/>
        <w:spacing w:line="360" w:lineRule="auto"/>
        <w:ind w:firstLine="480" w:firstLineChars="200"/>
        <w:rPr>
          <w:rFonts w:ascii="宋体" w:hAnsi="宋体" w:eastAsia="宋体" w:cs="宋体"/>
          <w:sz w:val="24"/>
          <w:highlight w:val="none"/>
        </w:rPr>
      </w:pPr>
      <w:bookmarkStart w:id="9" w:name="_Hlk193371673"/>
      <w:r>
        <w:rPr>
          <w:rFonts w:hint="eastAsia" w:ascii="宋体" w:hAnsi="宋体" w:eastAsia="宋体" w:cs="宋体"/>
          <w:sz w:val="24"/>
          <w:highlight w:val="none"/>
        </w:rPr>
        <w:t>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p>
    <w:p w14:paraId="623022EF">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p>
    <w:bookmarkEnd w:id="9"/>
    <w:p w14:paraId="15B02683">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11、技术支持：</w:t>
      </w:r>
    </w:p>
    <w:p w14:paraId="495065A9">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CA技术咨询服务电话：400-608-6099</w:t>
      </w:r>
    </w:p>
    <w:p w14:paraId="231DD9FA">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电子签章技术咨询服务电话：15380932027、15371015030、13675197356、13675197221</w:t>
      </w:r>
    </w:p>
    <w:p w14:paraId="79698F99">
      <w:pPr>
        <w:widowControl/>
        <w:spacing w:line="360" w:lineRule="auto"/>
        <w:ind w:firstLine="480"/>
        <w:jc w:val="left"/>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“苏采云”平台技术咨询电话：0519-86722802、13914088964、18261002950</w:t>
      </w:r>
    </w:p>
    <w:p w14:paraId="2932351B">
      <w:pPr>
        <w:widowControl/>
        <w:spacing w:line="360" w:lineRule="auto"/>
        <w:ind w:firstLine="480"/>
        <w:jc w:val="left"/>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智能客服：登录苏采云系统后，联系系统右下方智能客服图标进行咨询。</w:t>
      </w:r>
    </w:p>
    <w:p w14:paraId="061C50AB">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12、根据《政府采购促进中小企业发展管理办法》（财库〔2020〕46号）及《中小企业划型标准规定》（工信部联企业〔2011〕300号），本采购标的对应的中小企业划分标准所属行业为：软件和信息技术服务业。</w:t>
      </w:r>
    </w:p>
    <w:p w14:paraId="5745AE6E">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13、本项目支持政府采购合同信用融资。</w:t>
      </w:r>
    </w:p>
    <w:p w14:paraId="6591F946">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14、政府采购监督电话：</w:t>
      </w:r>
      <w:r>
        <w:rPr>
          <w:rFonts w:hint="eastAsia" w:ascii="宋体" w:hAnsi="宋体" w:eastAsia="宋体" w:cs="宋体"/>
          <w:bCs/>
          <w:sz w:val="24"/>
          <w:szCs w:val="24"/>
          <w:highlight w:val="none"/>
        </w:rPr>
        <w:t>0512-68616651</w:t>
      </w:r>
      <w:r>
        <w:rPr>
          <w:rFonts w:hint="eastAsia" w:ascii="宋体" w:hAnsi="宋体" w:eastAsia="宋体" w:cs="宋体"/>
          <w:sz w:val="24"/>
          <w:highlight w:val="none"/>
        </w:rPr>
        <w:t>。</w:t>
      </w:r>
    </w:p>
    <w:p w14:paraId="25A1C147">
      <w:pPr>
        <w:widowControl/>
        <w:kinsoku w:val="0"/>
        <w:overflowPunct w:val="0"/>
        <w:autoSpaceDE w:val="0"/>
        <w:autoSpaceDN w:val="0"/>
        <w:adjustRightInd w:val="0"/>
        <w:snapToGrid w:val="0"/>
        <w:spacing w:line="360" w:lineRule="auto"/>
        <w:ind w:firstLine="482" w:firstLineChars="200"/>
        <w:jc w:val="left"/>
        <w:rPr>
          <w:rFonts w:ascii="宋体" w:hAnsi="宋体" w:eastAsia="宋体" w:cs="宋体"/>
          <w:sz w:val="24"/>
          <w:highlight w:val="none"/>
        </w:rPr>
      </w:pPr>
      <w:r>
        <w:rPr>
          <w:rFonts w:hint="eastAsia" w:ascii="宋体" w:hAnsi="宋体" w:eastAsia="宋体" w:cs="宋体"/>
          <w:b/>
          <w:sz w:val="24"/>
          <w:highlight w:val="none"/>
        </w:rPr>
        <w:t>七、对本次招标提出询问，请按以下方式联系。</w:t>
      </w:r>
    </w:p>
    <w:p w14:paraId="1B401266">
      <w:pPr>
        <w:widowControl/>
        <w:spacing w:line="360" w:lineRule="auto"/>
        <w:ind w:firstLine="480"/>
        <w:jc w:val="left"/>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1、采购人信息</w:t>
      </w:r>
    </w:p>
    <w:p w14:paraId="4FDAC70B">
      <w:pPr>
        <w:widowControl/>
        <w:spacing w:line="360" w:lineRule="auto"/>
        <w:ind w:firstLine="480"/>
        <w:jc w:val="left"/>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单位名称：江苏省苏州市中级人民法院</w:t>
      </w:r>
    </w:p>
    <w:p w14:paraId="26CEACB7">
      <w:pPr>
        <w:widowControl/>
        <w:spacing w:line="360" w:lineRule="auto"/>
        <w:ind w:firstLine="480"/>
        <w:jc w:val="left"/>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单位地址：苏州市解放东路488号</w:t>
      </w:r>
    </w:p>
    <w:p w14:paraId="5C4D5477">
      <w:pPr>
        <w:widowControl/>
        <w:spacing w:line="360" w:lineRule="auto"/>
        <w:ind w:firstLine="480"/>
        <w:jc w:val="left"/>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联系人：张祺</w:t>
      </w:r>
    </w:p>
    <w:p w14:paraId="1E32C0C0">
      <w:pPr>
        <w:widowControl/>
        <w:spacing w:line="360" w:lineRule="auto"/>
        <w:ind w:firstLine="480"/>
        <w:jc w:val="left"/>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联系电话：0512-68552270</w:t>
      </w:r>
    </w:p>
    <w:p w14:paraId="151DEA4E">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2、采购代理机构信息</w:t>
      </w:r>
    </w:p>
    <w:p w14:paraId="7AE52E9F">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单位名称：苏州诚和招投标咨询有限公司</w:t>
      </w:r>
    </w:p>
    <w:p w14:paraId="69EABD75">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单位地址：苏州市竹辉路477号</w:t>
      </w:r>
    </w:p>
    <w:p w14:paraId="7F539EFA">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联系人：周文娴、刘琦、高凡</w:t>
      </w:r>
    </w:p>
    <w:p w14:paraId="31A7C538">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联系电话：0512-65161799</w:t>
      </w:r>
    </w:p>
    <w:p w14:paraId="79B374A0">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3、项目联系方式</w:t>
      </w:r>
    </w:p>
    <w:p w14:paraId="15E5E7F9">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项目联系人：周文娴、刘琦、高凡</w:t>
      </w:r>
    </w:p>
    <w:p w14:paraId="3287482C">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联系电话：0512-65161799</w:t>
      </w:r>
    </w:p>
    <w:p w14:paraId="5BF3E0E1">
      <w:pPr>
        <w:rPr>
          <w:rFonts w:ascii="宋体" w:hAnsi="宋体" w:eastAsia="宋体" w:cs="宋体"/>
          <w:sz w:val="24"/>
          <w:highlight w:val="none"/>
        </w:rPr>
      </w:pPr>
      <w:r>
        <w:rPr>
          <w:rFonts w:hint="eastAsia" w:ascii="宋体" w:hAnsi="宋体" w:eastAsia="宋体" w:cs="宋体"/>
          <w:sz w:val="24"/>
          <w:highlight w:val="none"/>
        </w:rPr>
        <w:br w:type="page"/>
      </w:r>
    </w:p>
    <w:p w14:paraId="0B8D37BB">
      <w:pPr>
        <w:pStyle w:val="16"/>
        <w:rPr>
          <w:rFonts w:ascii="宋体" w:hAnsi="宋体" w:eastAsia="宋体" w:cs="宋体"/>
          <w:highlight w:val="none"/>
        </w:rPr>
      </w:pPr>
    </w:p>
    <w:p w14:paraId="5A43119A">
      <w:pPr>
        <w:wordWrap w:val="0"/>
        <w:spacing w:line="360" w:lineRule="auto"/>
        <w:ind w:right="-159" w:firstLine="482" w:firstLineChars="200"/>
        <w:jc w:val="right"/>
        <w:rPr>
          <w:rFonts w:ascii="宋体" w:hAnsi="宋体" w:eastAsia="宋体" w:cs="宋体"/>
          <w:b/>
          <w:sz w:val="24"/>
          <w:szCs w:val="24"/>
          <w:highlight w:val="none"/>
          <w:shd w:val="clear" w:color="auto" w:fill="FFFFFF"/>
        </w:rPr>
      </w:pPr>
    </w:p>
    <w:p w14:paraId="323F5501">
      <w:pPr>
        <w:pStyle w:val="17"/>
        <w:ind w:left="0" w:right="0" w:firstLine="482" w:firstLineChars="200"/>
        <w:rPr>
          <w:rFonts w:hint="default" w:ascii="宋体" w:hAnsi="宋体" w:eastAsia="宋体" w:cs="宋体"/>
          <w:b/>
          <w:sz w:val="24"/>
          <w:szCs w:val="24"/>
          <w:highlight w:val="none"/>
          <w:shd w:val="clear" w:color="auto" w:fill="FFFFFF"/>
        </w:rPr>
      </w:pPr>
    </w:p>
    <w:p w14:paraId="292FCE1B">
      <w:pPr>
        <w:pStyle w:val="17"/>
        <w:ind w:left="0" w:right="0" w:firstLine="482" w:firstLineChars="200"/>
        <w:rPr>
          <w:rFonts w:hint="default" w:ascii="宋体" w:hAnsi="宋体" w:eastAsia="宋体" w:cs="宋体"/>
          <w:b/>
          <w:sz w:val="24"/>
          <w:szCs w:val="24"/>
          <w:highlight w:val="none"/>
          <w:shd w:val="clear" w:color="auto" w:fill="FFFFFF"/>
        </w:rPr>
      </w:pPr>
    </w:p>
    <w:p w14:paraId="2AA727EB">
      <w:pPr>
        <w:pStyle w:val="17"/>
        <w:ind w:left="0" w:right="0" w:firstLine="482" w:firstLineChars="200"/>
        <w:rPr>
          <w:rFonts w:hint="default" w:ascii="宋体" w:hAnsi="宋体" w:eastAsia="宋体" w:cs="宋体"/>
          <w:b/>
          <w:sz w:val="24"/>
          <w:szCs w:val="24"/>
          <w:highlight w:val="none"/>
          <w:shd w:val="clear" w:color="auto" w:fill="FFFFFF"/>
        </w:rPr>
      </w:pPr>
    </w:p>
    <w:p w14:paraId="6FA9794B">
      <w:pPr>
        <w:pStyle w:val="17"/>
        <w:ind w:left="0" w:right="0" w:firstLine="482" w:firstLineChars="200"/>
        <w:rPr>
          <w:rFonts w:hint="default" w:ascii="宋体" w:hAnsi="宋体" w:eastAsia="宋体" w:cs="宋体"/>
          <w:b/>
          <w:sz w:val="24"/>
          <w:szCs w:val="24"/>
          <w:highlight w:val="none"/>
          <w:shd w:val="clear" w:color="auto" w:fill="FFFFFF"/>
        </w:rPr>
      </w:pPr>
    </w:p>
    <w:p w14:paraId="78D95586">
      <w:pPr>
        <w:pStyle w:val="17"/>
        <w:ind w:left="0" w:right="0" w:firstLine="482" w:firstLineChars="200"/>
        <w:rPr>
          <w:rFonts w:hint="default" w:ascii="宋体" w:hAnsi="宋体" w:eastAsia="宋体" w:cs="宋体"/>
          <w:b/>
          <w:sz w:val="24"/>
          <w:szCs w:val="24"/>
          <w:highlight w:val="none"/>
          <w:shd w:val="clear" w:color="auto" w:fill="FFFFFF"/>
        </w:rPr>
      </w:pPr>
    </w:p>
    <w:p w14:paraId="5690C497">
      <w:pPr>
        <w:pStyle w:val="17"/>
        <w:ind w:left="0" w:right="0" w:firstLine="482" w:firstLineChars="200"/>
        <w:rPr>
          <w:rFonts w:hint="default" w:ascii="宋体" w:hAnsi="宋体" w:eastAsia="宋体" w:cs="宋体"/>
          <w:b/>
          <w:sz w:val="24"/>
          <w:szCs w:val="24"/>
          <w:highlight w:val="none"/>
          <w:shd w:val="clear" w:color="auto" w:fill="FFFFFF"/>
        </w:rPr>
      </w:pPr>
    </w:p>
    <w:p w14:paraId="3D8B9799">
      <w:pPr>
        <w:pStyle w:val="17"/>
        <w:ind w:left="0" w:right="0" w:firstLine="482" w:firstLineChars="200"/>
        <w:rPr>
          <w:rFonts w:hint="default" w:ascii="宋体" w:hAnsi="宋体" w:eastAsia="宋体" w:cs="宋体"/>
          <w:b/>
          <w:sz w:val="24"/>
          <w:szCs w:val="24"/>
          <w:highlight w:val="none"/>
          <w:shd w:val="clear" w:color="auto" w:fill="FFFFFF"/>
        </w:rPr>
      </w:pPr>
    </w:p>
    <w:p w14:paraId="6DF126DB">
      <w:pPr>
        <w:pStyle w:val="17"/>
        <w:ind w:left="0" w:right="0" w:firstLine="482" w:firstLineChars="200"/>
        <w:rPr>
          <w:rFonts w:hint="default" w:ascii="宋体" w:hAnsi="宋体" w:eastAsia="宋体" w:cs="宋体"/>
          <w:b/>
          <w:sz w:val="24"/>
          <w:szCs w:val="24"/>
          <w:highlight w:val="none"/>
          <w:shd w:val="clear" w:color="auto" w:fill="FFFFFF"/>
        </w:rPr>
      </w:pPr>
    </w:p>
    <w:p w14:paraId="5B411125">
      <w:pPr>
        <w:keepNext/>
        <w:keepLines/>
        <w:spacing w:before="340" w:after="330" w:line="360" w:lineRule="auto"/>
        <w:jc w:val="center"/>
        <w:outlineLvl w:val="0"/>
        <w:rPr>
          <w:rFonts w:ascii="宋体" w:hAnsi="宋体" w:eastAsia="宋体" w:cs="宋体"/>
          <w:b/>
          <w:kern w:val="44"/>
          <w:sz w:val="52"/>
          <w:szCs w:val="20"/>
          <w:highlight w:val="none"/>
          <w:shd w:val="clear" w:color="auto" w:fill="FFFFFF"/>
        </w:rPr>
      </w:pPr>
      <w:bookmarkStart w:id="10" w:name="_Toc105940238"/>
      <w:r>
        <w:rPr>
          <w:rFonts w:hint="eastAsia" w:ascii="宋体" w:hAnsi="宋体" w:eastAsia="宋体" w:cs="宋体"/>
          <w:b/>
          <w:kern w:val="44"/>
          <w:sz w:val="52"/>
          <w:szCs w:val="20"/>
          <w:highlight w:val="none"/>
          <w:shd w:val="clear" w:color="auto" w:fill="FFFFFF"/>
        </w:rPr>
        <w:t>第二章供应商须知</w:t>
      </w:r>
      <w:bookmarkEnd w:id="10"/>
    </w:p>
    <w:p w14:paraId="6F6DA3E5">
      <w:pPr>
        <w:adjustRightInd w:val="0"/>
        <w:snapToGrid w:val="0"/>
        <w:spacing w:line="360" w:lineRule="auto"/>
        <w:ind w:firstLine="480" w:firstLineChars="20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br w:type="page"/>
      </w:r>
    </w:p>
    <w:p w14:paraId="3783E429">
      <w:pPr>
        <w:adjustRightInd w:val="0"/>
        <w:snapToGrid w:val="0"/>
        <w:spacing w:line="360" w:lineRule="auto"/>
        <w:ind w:firstLine="482" w:firstLineChars="200"/>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A.说明和释义</w:t>
      </w:r>
    </w:p>
    <w:p w14:paraId="75A70871">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1.说明</w:t>
      </w:r>
    </w:p>
    <w:p w14:paraId="57FC412E">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1.1本招标文件仅适用于苏州诚和招投标咨询有限公司组织的招标活动。</w:t>
      </w:r>
    </w:p>
    <w:p w14:paraId="10855266">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1.2本次招标活动及因本次招标产生的合同受中国法律制约和保护。</w:t>
      </w:r>
    </w:p>
    <w:p w14:paraId="40AB34EA">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1.3本招标文件的解释权属于苏州诚和招投标咨询有限公司。</w:t>
      </w:r>
    </w:p>
    <w:p w14:paraId="2F0B5EC1">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2.词语释义</w:t>
      </w:r>
    </w:p>
    <w:p w14:paraId="137A04EF">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bookmarkStart w:id="11" w:name="_Hlk193372031"/>
      <w:r>
        <w:rPr>
          <w:rFonts w:hint="eastAsia" w:ascii="宋体" w:hAnsi="宋体" w:eastAsia="宋体" w:cs="宋体"/>
          <w:sz w:val="24"/>
          <w:szCs w:val="24"/>
          <w:highlight w:val="none"/>
          <w:shd w:val="clear" w:color="auto" w:fill="FFFFFF"/>
        </w:rPr>
        <w:t>2.1采购人：指依法进行政府采购的国家机关、事业单位、团体组织。</w:t>
      </w:r>
    </w:p>
    <w:p w14:paraId="66A196CD">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2.2采购代理机构：指依法接受采购人委托，从事货物、工程和服务等政府采购代理业务的社会中介机构。</w:t>
      </w:r>
    </w:p>
    <w:p w14:paraId="18F88F14">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2.3供应商：指响应招标、参加投标竞争的法人、其他组织或者自然人。</w:t>
      </w:r>
    </w:p>
    <w:p w14:paraId="2887C0E2">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2.4响应：供应商根据采购人或采购代理机构发布的招标文件，编制投标（响应）文件并按规定投标（响应）的行为。</w:t>
      </w:r>
    </w:p>
    <w:p w14:paraId="43C1ACDF">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2.5合同：采供双方根据招标文件和中标的投标（响应）文件及中标通知书规定的内容签署的以书面形式所达成的协议，包括所有的附件、附录和构成协议的所有文件。</w:t>
      </w:r>
    </w:p>
    <w:p w14:paraId="39C79A70">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2.6甲方（采购人）：合同中明确规定的实际购买货物和服务的法人或其他组织和自然人。</w:t>
      </w:r>
    </w:p>
    <w:p w14:paraId="527CCC4F">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2.7乙方（供应商）：合同中规定的向采购人提供货物和服务的法人或其他组织和自然人。</w:t>
      </w:r>
    </w:p>
    <w:p w14:paraId="1A3A8018">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2.8货物：系指乙方按招标文件规定，应向甲方提供的一切设备、备品、备件、工具、手册及其它有关技术资料和材料。</w:t>
      </w:r>
    </w:p>
    <w:p w14:paraId="295A8BA2">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2.9服务：系指本次招标文件规定乙方应承担的与提供货物和服务有关的辅助服务，比如运输、保险、安装、调试、提供技术援助、培训、配合措施、维修响应及合同中规定乙方应承担的其它义务。</w:t>
      </w:r>
    </w:p>
    <w:p w14:paraId="3879B2E4">
      <w:pPr>
        <w:tabs>
          <w:tab w:val="left" w:pos="540"/>
        </w:tabs>
        <w:spacing w:line="360" w:lineRule="auto"/>
        <w:ind w:firstLine="484" w:firstLineChars="202"/>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p>
    <w:p w14:paraId="4E0DE55A">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2.11天：日历天。</w:t>
      </w:r>
    </w:p>
    <w:p w14:paraId="6660B450">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2.12时间：除特别说明，均指北京时间。</w:t>
      </w:r>
    </w:p>
    <w:p w14:paraId="30A09C4C">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2.13交货地点：合同中明确约定的乙方提交的货物和服务最终到达地点。</w:t>
      </w:r>
    </w:p>
    <w:p w14:paraId="65D04905">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2.14合同价款：根据合同规定，乙方在正确地履行合同义务后甲方应支付乙方的价款。</w:t>
      </w:r>
    </w:p>
    <w:p w14:paraId="309FE86D">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2.15产地：货物开采、生长、生产、最终制造、加工或提供服务的来源地。</w:t>
      </w:r>
    </w:p>
    <w:p w14:paraId="5999AC29">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2.16不可抗力：不能预见、不能避免并且不能克服的客观情况。</w:t>
      </w:r>
    </w:p>
    <w:p w14:paraId="36644B76">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2.17实质响应：满足有关本次采购标的、数量、质量、价款或者报酬、履行期限、履行地点和方式、违约责任和解决争议方法等要求。</w:t>
      </w:r>
    </w:p>
    <w:bookmarkEnd w:id="11"/>
    <w:p w14:paraId="606E492F">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2.18</w:t>
      </w:r>
      <w:r>
        <w:rPr>
          <w:rFonts w:hint="eastAsia" w:ascii="宋体" w:hAnsi="宋体" w:eastAsia="宋体" w:cs="宋体"/>
          <w:sz w:val="24"/>
          <w:szCs w:val="24"/>
          <w:highlight w:val="none"/>
        </w:rPr>
        <w:t>书面形式：指书面文字、合同书、信件和传真等可以有形地表现所载内容的形式。</w:t>
      </w:r>
    </w:p>
    <w:p w14:paraId="4E41B302">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2.19</w:t>
      </w:r>
      <w:r>
        <w:rPr>
          <w:rFonts w:hint="eastAsia" w:ascii="宋体" w:hAnsi="宋体" w:eastAsia="宋体" w:cs="宋体"/>
          <w:sz w:val="24"/>
          <w:szCs w:val="24"/>
          <w:highlight w:val="none"/>
        </w:rPr>
        <w:t>核心产品：根据本项目技术构成、产品价格比重等合理确定的产品。</w:t>
      </w:r>
    </w:p>
    <w:p w14:paraId="10AE26E9">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2.20</w:t>
      </w:r>
      <w:r>
        <w:rPr>
          <w:rFonts w:hint="eastAsia" w:ascii="宋体" w:hAnsi="宋体" w:eastAsia="宋体" w:cs="宋体"/>
          <w:sz w:val="24"/>
          <w:szCs w:val="24"/>
          <w:highlight w:val="none"/>
        </w:rPr>
        <w:t>进口产品：通过中国海关报关验放进入中国境内且产自关境外的产品。</w:t>
      </w:r>
    </w:p>
    <w:p w14:paraId="48109513">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2.21</w:t>
      </w:r>
      <w:r>
        <w:rPr>
          <w:rFonts w:hint="eastAsia" w:ascii="宋体" w:hAnsi="宋体" w:eastAsia="宋体" w:cs="宋体"/>
          <w:sz w:val="24"/>
          <w:szCs w:val="24"/>
          <w:highlight w:val="none"/>
        </w:rPr>
        <w:t>本国产品：符合</w:t>
      </w:r>
      <w:r>
        <w:rPr>
          <w:rFonts w:hint="eastAsia" w:ascii="宋体" w:hAnsi="宋体" w:eastAsia="宋体" w:cs="宋体"/>
          <w:sz w:val="24"/>
          <w:szCs w:val="24"/>
          <w:highlight w:val="none"/>
          <w:lang w:val="zh-CN"/>
        </w:rPr>
        <w:t>《国务院办公厅关于在政府采购中实施本国产品标准及相关政策的通知》（国办发［2025］34号）规定</w:t>
      </w:r>
      <w:r>
        <w:rPr>
          <w:rFonts w:hint="eastAsia" w:ascii="宋体" w:hAnsi="宋体" w:eastAsia="宋体" w:cs="宋体"/>
          <w:sz w:val="24"/>
          <w:szCs w:val="24"/>
          <w:highlight w:val="none"/>
        </w:rPr>
        <w:t>的产品视为本国产品。</w:t>
      </w:r>
    </w:p>
    <w:p w14:paraId="2EEE328B">
      <w:pPr>
        <w:spacing w:line="360" w:lineRule="auto"/>
        <w:ind w:firstLine="480" w:firstLineChars="200"/>
        <w:rPr>
          <w:rFonts w:ascii="宋体" w:hAnsi="宋体" w:eastAsia="宋体" w:cs="宋体"/>
          <w:sz w:val="24"/>
          <w:highlight w:val="none"/>
        </w:rPr>
      </w:pPr>
      <w:r>
        <w:rPr>
          <w:rFonts w:hint="eastAsia" w:ascii="宋体" w:hAnsi="宋体" w:eastAsia="宋体" w:cs="宋体"/>
          <w:sz w:val="24"/>
          <w:szCs w:val="24"/>
          <w:highlight w:val="none"/>
          <w:shd w:val="clear" w:color="auto" w:fill="FFFFFF"/>
        </w:rPr>
        <w:t>2.22</w:t>
      </w:r>
      <w:r>
        <w:rPr>
          <w:rFonts w:hint="eastAsia" w:ascii="宋体" w:hAnsi="宋体" w:eastAsia="宋体" w:cs="宋体"/>
          <w:sz w:val="24"/>
          <w:highlight w:val="none"/>
        </w:rPr>
        <w:t>采购本国货物、工程和服务：除有《中华人民共和国政府采购法》第十条规定情形之外，政府采购应当采购本国货物、工程和服务。</w:t>
      </w:r>
    </w:p>
    <w:p w14:paraId="5BF872DA">
      <w:pPr>
        <w:adjustRightInd w:val="0"/>
        <w:snapToGrid w:val="0"/>
        <w:spacing w:line="360" w:lineRule="auto"/>
        <w:ind w:firstLine="482" w:firstLineChars="200"/>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B.供应商</w:t>
      </w:r>
    </w:p>
    <w:p w14:paraId="3076489B">
      <w:pPr>
        <w:overflowPunct w:val="0"/>
        <w:adjustRightInd w:val="0"/>
        <w:snapToGrid w:val="0"/>
        <w:spacing w:line="360" w:lineRule="auto"/>
        <w:ind w:firstLine="482" w:firstLineChars="200"/>
        <w:textAlignment w:val="baseline"/>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3、申请人的资格要求：</w:t>
      </w:r>
    </w:p>
    <w:p w14:paraId="3825764F">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bookmarkStart w:id="12" w:name="_Hlk193372108"/>
      <w:r>
        <w:rPr>
          <w:rFonts w:hint="eastAsia" w:ascii="宋体" w:hAnsi="宋体" w:eastAsia="宋体" w:cs="宋体"/>
          <w:sz w:val="24"/>
          <w:szCs w:val="24"/>
          <w:highlight w:val="none"/>
          <w:shd w:val="clear" w:color="auto" w:fill="FFFFFF"/>
        </w:rPr>
        <w:t>详见本项目招标公告中的“申请人的资格要求”。</w:t>
      </w:r>
      <w:bookmarkEnd w:id="12"/>
    </w:p>
    <w:p w14:paraId="08A7F3A5">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4.供应商代表</w:t>
      </w:r>
    </w:p>
    <w:p w14:paraId="20866841">
      <w:pPr>
        <w:adjustRightInd w:val="0"/>
        <w:snapToGrid w:val="0"/>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sz w:val="24"/>
          <w:szCs w:val="24"/>
          <w:highlight w:val="none"/>
          <w:shd w:val="clear" w:color="auto" w:fill="FFFFFF"/>
        </w:rPr>
        <w:t>详见统一格式</w:t>
      </w:r>
      <w:bookmarkEnd w:id="13"/>
      <w:r>
        <w:rPr>
          <w:rFonts w:hint="eastAsia" w:ascii="宋体" w:hAnsi="宋体" w:eastAsia="宋体" w:cs="宋体"/>
          <w:sz w:val="24"/>
          <w:szCs w:val="24"/>
          <w:highlight w:val="none"/>
          <w:shd w:val="clear" w:color="auto" w:fill="FFFFFF"/>
        </w:rPr>
        <w:t>）。</w:t>
      </w:r>
    </w:p>
    <w:p w14:paraId="0D85623F">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5.投标费用</w:t>
      </w:r>
    </w:p>
    <w:p w14:paraId="262FFCA6">
      <w:pPr>
        <w:adjustRightInd w:val="0"/>
        <w:snapToGrid w:val="0"/>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无论投标（响应）过程中的做法和结果如何，供应商自行承担所有与参加投标（响应）有关的全部费用。</w:t>
      </w:r>
    </w:p>
    <w:p w14:paraId="450AF2E3">
      <w:pPr>
        <w:spacing w:line="360" w:lineRule="auto"/>
        <w:ind w:firstLine="482" w:firstLineChars="200"/>
        <w:rPr>
          <w:rFonts w:ascii="宋体" w:hAnsi="宋体" w:eastAsia="宋体" w:cs="宋体"/>
          <w:b/>
          <w:sz w:val="24"/>
          <w:szCs w:val="24"/>
          <w:highlight w:val="none"/>
        </w:rPr>
      </w:pPr>
      <w:bookmarkStart w:id="14" w:name="_Hlk193372378"/>
      <w:r>
        <w:rPr>
          <w:rFonts w:hint="eastAsia" w:ascii="宋体" w:hAnsi="宋体" w:eastAsia="宋体" w:cs="宋体"/>
          <w:b/>
          <w:sz w:val="24"/>
          <w:szCs w:val="24"/>
          <w:highlight w:val="none"/>
          <w:shd w:val="clear" w:color="auto" w:fill="FFFFFF"/>
        </w:rPr>
        <w:t>6.</w:t>
      </w:r>
      <w:r>
        <w:rPr>
          <w:rFonts w:hint="eastAsia" w:ascii="宋体" w:hAnsi="宋体" w:eastAsia="宋体" w:cs="宋体"/>
          <w:b/>
          <w:sz w:val="24"/>
          <w:szCs w:val="24"/>
          <w:highlight w:val="none"/>
        </w:rPr>
        <w:t>联合投标（响应）</w:t>
      </w:r>
    </w:p>
    <w:p w14:paraId="04380FE1">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6.1</w:t>
      </w:r>
      <w:r>
        <w:rPr>
          <w:rFonts w:hint="eastAsia" w:ascii="宋体" w:hAnsi="宋体" w:eastAsia="宋体" w:cs="宋体"/>
          <w:sz w:val="24"/>
          <w:szCs w:val="24"/>
          <w:highlight w:val="none"/>
        </w:rPr>
        <w:t>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p>
    <w:p w14:paraId="5B835E94">
      <w:pPr>
        <w:spacing w:line="360" w:lineRule="auto"/>
        <w:ind w:firstLine="480" w:firstLineChars="200"/>
        <w:rPr>
          <w:rFonts w:ascii="宋体" w:hAnsi="宋体" w:eastAsia="宋体" w:cs="宋体"/>
          <w:sz w:val="24"/>
          <w:szCs w:val="24"/>
          <w:highlight w:val="none"/>
        </w:rPr>
      </w:pPr>
      <w:bookmarkStart w:id="15" w:name="_Hlk193372188"/>
      <w:r>
        <w:rPr>
          <w:rFonts w:hint="eastAsia" w:ascii="宋体" w:hAnsi="宋体" w:eastAsia="宋体" w:cs="宋体"/>
          <w:sz w:val="24"/>
          <w:szCs w:val="24"/>
          <w:highlight w:val="none"/>
          <w:shd w:val="clear" w:color="auto" w:fill="FFFFFF"/>
        </w:rPr>
        <w:t>6.2</w:t>
      </w:r>
      <w:r>
        <w:rPr>
          <w:rFonts w:hint="eastAsia" w:ascii="宋体" w:hAnsi="宋体" w:eastAsia="宋体" w:cs="宋体"/>
          <w:sz w:val="24"/>
          <w:szCs w:val="24"/>
          <w:highlight w:val="none"/>
        </w:rPr>
        <w:t>联合体除应符合上述</w:t>
      </w:r>
      <w:r>
        <w:rPr>
          <w:rFonts w:hint="eastAsia" w:ascii="宋体" w:hAnsi="宋体" w:eastAsia="宋体" w:cs="宋体"/>
          <w:sz w:val="24"/>
          <w:szCs w:val="24"/>
          <w:highlight w:val="none"/>
          <w:shd w:val="clear" w:color="auto" w:fill="FFFFFF"/>
        </w:rPr>
        <w:t>6.1</w:t>
      </w:r>
      <w:r>
        <w:rPr>
          <w:rFonts w:hint="eastAsia" w:ascii="宋体" w:hAnsi="宋体" w:eastAsia="宋体" w:cs="宋体"/>
          <w:sz w:val="24"/>
          <w:szCs w:val="24"/>
          <w:highlight w:val="none"/>
        </w:rPr>
        <w:t>条要求外，还应遵守以下规定：</w:t>
      </w:r>
    </w:p>
    <w:p w14:paraId="3D172A0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（1）</w:t>
      </w:r>
      <w:r>
        <w:rPr>
          <w:rFonts w:hint="eastAsia" w:ascii="宋体" w:hAnsi="宋体" w:eastAsia="宋体" w:cs="宋体"/>
          <w:sz w:val="24"/>
          <w:szCs w:val="24"/>
          <w:highlight w:val="none"/>
        </w:rPr>
        <w:t>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p>
    <w:p w14:paraId="25C8628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（2）</w:t>
      </w:r>
      <w:r>
        <w:rPr>
          <w:rFonts w:hint="eastAsia" w:ascii="宋体" w:hAnsi="宋体" w:eastAsia="宋体" w:cs="宋体"/>
          <w:sz w:val="24"/>
          <w:szCs w:val="24"/>
          <w:highlight w:val="none"/>
        </w:rPr>
        <w:t>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5"/>
    </w:p>
    <w:bookmarkEnd w:id="14"/>
    <w:p w14:paraId="73FDCFD9">
      <w:pPr>
        <w:adjustRightInd w:val="0"/>
        <w:snapToGrid w:val="0"/>
        <w:spacing w:line="360" w:lineRule="auto"/>
        <w:ind w:firstLine="482" w:firstLineChars="200"/>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C.招标文件和投标（响应）文件的说明</w:t>
      </w:r>
    </w:p>
    <w:p w14:paraId="1AE98EF0">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7.招标文件</w:t>
      </w:r>
    </w:p>
    <w:p w14:paraId="62F5ACA1">
      <w:pPr>
        <w:spacing w:line="360" w:lineRule="auto"/>
        <w:ind w:firstLine="480" w:firstLineChars="200"/>
        <w:rPr>
          <w:rFonts w:ascii="宋体" w:hAnsi="宋体" w:eastAsia="宋体" w:cs="宋体"/>
          <w:b/>
          <w:sz w:val="24"/>
          <w:szCs w:val="24"/>
          <w:highlight w:val="none"/>
        </w:rPr>
      </w:pPr>
      <w:r>
        <w:rPr>
          <w:rFonts w:hint="eastAsia" w:ascii="宋体" w:hAnsi="宋体" w:eastAsia="宋体" w:cs="宋体"/>
          <w:sz w:val="24"/>
          <w:szCs w:val="24"/>
          <w:highlight w:val="none"/>
        </w:rPr>
        <w:t>7.1</w:t>
      </w:r>
      <w:bookmarkStart w:id="16" w:name="_Hlk193372537"/>
      <w:r>
        <w:rPr>
          <w:rFonts w:hint="eastAsia" w:ascii="宋体" w:hAnsi="宋体" w:eastAsia="宋体" w:cs="宋体"/>
          <w:sz w:val="24"/>
          <w:szCs w:val="24"/>
          <w:highlight w:val="none"/>
        </w:rPr>
        <w:t>招标文件由招标文件总目录所列内容组成，</w:t>
      </w:r>
      <w:bookmarkEnd w:id="16"/>
      <w:r>
        <w:rPr>
          <w:rFonts w:hint="eastAsia" w:ascii="宋体" w:hAnsi="宋体" w:eastAsia="宋体" w:cs="宋体"/>
          <w:sz w:val="24"/>
          <w:szCs w:val="24"/>
          <w:highlight w:val="none"/>
        </w:rPr>
        <w:t>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7" w:name="_Hlk193372564"/>
      <w:r>
        <w:rPr>
          <w:rFonts w:hint="eastAsia" w:ascii="宋体" w:hAnsi="宋体" w:eastAsia="宋体" w:cs="宋体"/>
          <w:b/>
          <w:sz w:val="24"/>
          <w:szCs w:val="24"/>
          <w:highlight w:val="none"/>
        </w:rPr>
        <w:t>该电子投标（响应）文件将被视为未实质性响应。</w:t>
      </w:r>
    </w:p>
    <w:bookmarkEnd w:id="17"/>
    <w:p w14:paraId="21642642">
      <w:pPr>
        <w:spacing w:line="360" w:lineRule="auto"/>
        <w:ind w:firstLine="480" w:firstLineChars="200"/>
        <w:jc w:val="left"/>
        <w:rPr>
          <w:rFonts w:ascii="宋体" w:hAnsi="宋体" w:eastAsia="宋体" w:cs="宋体"/>
          <w:sz w:val="24"/>
          <w:szCs w:val="20"/>
          <w:highlight w:val="none"/>
        </w:rPr>
      </w:pPr>
      <w:r>
        <w:rPr>
          <w:rFonts w:hint="eastAsia" w:ascii="宋体" w:hAnsi="宋体" w:eastAsia="宋体" w:cs="宋体"/>
          <w:sz w:val="24"/>
          <w:szCs w:val="24"/>
          <w:highlight w:val="none"/>
        </w:rPr>
        <w:t>7.2招标文件及其补充文件</w:t>
      </w:r>
      <w:bookmarkStart w:id="18" w:name="_Hlk193372622"/>
      <w:r>
        <w:rPr>
          <w:rFonts w:hint="eastAsia" w:ascii="宋体" w:hAnsi="宋体" w:eastAsia="宋体" w:cs="宋体"/>
          <w:sz w:val="24"/>
          <w:szCs w:val="24"/>
          <w:highlight w:val="none"/>
        </w:rPr>
        <w:t>未按规定的方式获得的</w:t>
      </w:r>
      <w:bookmarkEnd w:id="18"/>
      <w:r>
        <w:rPr>
          <w:rFonts w:hint="eastAsia" w:ascii="宋体" w:hAnsi="宋体" w:eastAsia="宋体" w:cs="宋体"/>
          <w:sz w:val="24"/>
          <w:szCs w:val="24"/>
          <w:highlight w:val="none"/>
        </w:rPr>
        <w:t>，采购代理机构对招标文件及其补遗的真实性、完整性不承担任何责任。</w:t>
      </w:r>
    </w:p>
    <w:p w14:paraId="20022601">
      <w:pPr>
        <w:tabs>
          <w:tab w:val="left" w:pos="0"/>
          <w:tab w:val="left" w:pos="600"/>
        </w:tabs>
        <w:spacing w:line="360" w:lineRule="auto"/>
        <w:ind w:left="485"/>
        <w:rPr>
          <w:rFonts w:ascii="宋体" w:hAnsi="宋体" w:eastAsia="宋体" w:cs="宋体"/>
          <w:b/>
          <w:sz w:val="24"/>
          <w:szCs w:val="24"/>
          <w:highlight w:val="none"/>
          <w:shd w:val="clear" w:color="auto" w:fill="FFFFFF"/>
        </w:rPr>
      </w:pPr>
      <w:bookmarkStart w:id="19" w:name="_Hlk193372773"/>
      <w:r>
        <w:rPr>
          <w:rFonts w:hint="eastAsia" w:ascii="宋体" w:hAnsi="宋体" w:eastAsia="宋体" w:cs="宋体"/>
          <w:b/>
          <w:sz w:val="24"/>
          <w:szCs w:val="24"/>
          <w:highlight w:val="none"/>
          <w:shd w:val="clear" w:color="auto" w:fill="FFFFFF"/>
        </w:rPr>
        <w:t>8.招标文件的询问</w:t>
      </w:r>
    </w:p>
    <w:p w14:paraId="4F038A9D">
      <w:pPr>
        <w:tabs>
          <w:tab w:val="left" w:pos="0"/>
        </w:tabs>
        <w:spacing w:line="360" w:lineRule="auto"/>
        <w:ind w:firstLine="484" w:firstLineChars="202"/>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供应商在收到招标文件后，若有问题需要询问，应于下载招标文件后，可通过公告中的联系方式及时提出，采购人或采购代理机构将予以解答。</w:t>
      </w:r>
    </w:p>
    <w:p w14:paraId="37F52396">
      <w:pPr>
        <w:tabs>
          <w:tab w:val="left" w:pos="0"/>
          <w:tab w:val="left" w:pos="600"/>
        </w:tabs>
        <w:spacing w:line="360" w:lineRule="auto"/>
        <w:ind w:left="485"/>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9.现场踏勘</w:t>
      </w:r>
    </w:p>
    <w:p w14:paraId="7FF4361B">
      <w:pPr>
        <w:tabs>
          <w:tab w:val="left" w:pos="0"/>
        </w:tabs>
        <w:spacing w:line="360" w:lineRule="auto"/>
        <w:ind w:firstLine="484" w:firstLineChars="202"/>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供应商可自行对有关现场和周围环境进行踏勘，以获取编制投标（响应）文件和签署合同所需的信息，踏勘现场所发生的费用由供应商自己承担。</w:t>
      </w:r>
    </w:p>
    <w:p w14:paraId="47B920C3">
      <w:pPr>
        <w:tabs>
          <w:tab w:val="left" w:pos="0"/>
          <w:tab w:val="left" w:pos="600"/>
        </w:tabs>
        <w:spacing w:line="360" w:lineRule="auto"/>
        <w:ind w:left="485"/>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10.集中现场考察</w:t>
      </w:r>
    </w:p>
    <w:p w14:paraId="38BD2DCB">
      <w:pPr>
        <w:tabs>
          <w:tab w:val="left" w:pos="0"/>
        </w:tabs>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本项目按以下第</w:t>
      </w:r>
      <w:r>
        <w:rPr>
          <w:rFonts w:hint="eastAsia" w:ascii="宋体" w:hAnsi="宋体" w:eastAsia="宋体" w:cs="宋体"/>
          <w:sz w:val="24"/>
          <w:szCs w:val="24"/>
          <w:highlight w:val="none"/>
          <w:u w:val="single"/>
        </w:rPr>
        <w:t>①</w:t>
      </w:r>
      <w:r>
        <w:rPr>
          <w:rFonts w:hint="eastAsia" w:ascii="宋体" w:hAnsi="宋体" w:eastAsia="宋体" w:cs="宋体"/>
          <w:sz w:val="24"/>
          <w:szCs w:val="24"/>
          <w:highlight w:val="none"/>
        </w:rPr>
        <w:t>种方式组织集中现场考察：</w:t>
      </w:r>
    </w:p>
    <w:p w14:paraId="6B186C75">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①采购人不组织集中现场考察；</w:t>
      </w:r>
    </w:p>
    <w:p w14:paraId="64895EEE">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②采购人组织集中现场考察，请供应商持在“苏采云”系统中下载本项目采购文件的</w:t>
      </w:r>
      <w:r>
        <w:rPr>
          <w:rFonts w:hint="eastAsia" w:ascii="宋体" w:hAnsi="宋体" w:eastAsia="宋体" w:cs="宋体"/>
          <w:b/>
          <w:sz w:val="24"/>
          <w:szCs w:val="24"/>
          <w:highlight w:val="none"/>
        </w:rPr>
        <w:t>《投标供应商确认函》</w:t>
      </w:r>
      <w:r>
        <w:rPr>
          <w:rFonts w:hint="eastAsia" w:ascii="宋体" w:hAnsi="宋体" w:eastAsia="宋体" w:cs="宋体"/>
          <w:sz w:val="24"/>
          <w:szCs w:val="24"/>
          <w:highlight w:val="none"/>
        </w:rPr>
        <w:t>，按以下时间地点参加集中现场考察：</w:t>
      </w:r>
    </w:p>
    <w:p w14:paraId="64CCB7D3">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集合时间：</w:t>
      </w:r>
      <w:r>
        <w:rPr>
          <w:rFonts w:hint="eastAsia" w:ascii="宋体" w:hAnsi="宋体" w:eastAsia="宋体" w:cs="宋体"/>
          <w:sz w:val="24"/>
          <w:szCs w:val="24"/>
          <w:highlight w:val="none"/>
          <w:u w:val="single"/>
        </w:rPr>
        <w:t>/年/月/日/时/分（北京时间）</w:t>
      </w:r>
      <w:r>
        <w:rPr>
          <w:rFonts w:hint="eastAsia" w:ascii="宋体" w:hAnsi="宋体" w:eastAsia="宋体" w:cs="宋体"/>
          <w:sz w:val="24"/>
          <w:szCs w:val="24"/>
          <w:highlight w:val="none"/>
        </w:rPr>
        <w:t>；</w:t>
      </w:r>
    </w:p>
    <w:p w14:paraId="09CA3EB5">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集合地点：</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p>
    <w:p w14:paraId="3ED2B42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p>
    <w:p w14:paraId="086C52E2">
      <w:pPr>
        <w:spacing w:line="360" w:lineRule="auto"/>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请供应商安排好行程，不得迟到。未提供《投标供应商确认函》或迟到者，恕不接待。</w:t>
      </w:r>
    </w:p>
    <w:p w14:paraId="2978ECB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10.1根据自身投标（响应）需要，供应商可对项目相关情况进行考察，以获取编制投标（响应）文件和签署合同所需的信息。考察现场所发生的费用由供应商自己承担。</w:t>
      </w:r>
    </w:p>
    <w:p w14:paraId="2C9D400F">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10.2采购人或采购代理机构向供应商提供的有关本项目的资料和数据，是采购人或采购代理机构现有的并认为能使供应商可利用的资料。采购人或采购代理机构对供应商由此而做出的推论、理解和结论概不负责。</w:t>
      </w:r>
    </w:p>
    <w:p w14:paraId="4A36B746">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10.3经采购人允许，供应商可为考察目的进入采购人的项目现场，但供应商不得因此使采购人承担有关的责任和蒙受损失。供应商应承担考察现场的责任和风险。</w:t>
      </w:r>
    </w:p>
    <w:p w14:paraId="1C318E5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p>
    <w:p w14:paraId="2E241D72">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10.5由于未进行现场考察造成的任何问题由供应商自行承担。</w:t>
      </w:r>
    </w:p>
    <w:p w14:paraId="54984F69">
      <w:pPr>
        <w:tabs>
          <w:tab w:val="left" w:pos="0"/>
          <w:tab w:val="left" w:pos="600"/>
        </w:tabs>
        <w:spacing w:line="360" w:lineRule="auto"/>
        <w:ind w:left="485"/>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11.招标文件的澄清或修改</w:t>
      </w:r>
    </w:p>
    <w:p w14:paraId="0446DDC2">
      <w:pPr>
        <w:tabs>
          <w:tab w:val="left" w:pos="0"/>
        </w:tabs>
        <w:spacing w:line="360" w:lineRule="auto"/>
        <w:ind w:firstLine="484" w:firstLineChars="202"/>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p>
    <w:p w14:paraId="347D42DE">
      <w:pPr>
        <w:tabs>
          <w:tab w:val="left" w:pos="0"/>
        </w:tabs>
        <w:spacing w:line="360" w:lineRule="auto"/>
        <w:ind w:firstLine="484" w:firstLineChars="202"/>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11.2为保证供应商有足够时间修正投标（响应）文件，或出于其他合理原因，采购代理机构可依法顺延投标（响应）截止时间和开标时间。</w:t>
      </w:r>
    </w:p>
    <w:p w14:paraId="3157BC2C">
      <w:pPr>
        <w:adjustRightInd w:val="0"/>
        <w:snapToGrid w:val="0"/>
        <w:spacing w:line="360" w:lineRule="auto"/>
        <w:ind w:firstLine="480" w:firstLineChars="200"/>
        <w:rPr>
          <w:rFonts w:ascii="宋体" w:hAnsi="宋体" w:eastAsia="宋体" w:cs="宋体"/>
          <w:highlight w:val="none"/>
        </w:rPr>
      </w:pPr>
      <w:r>
        <w:rPr>
          <w:rFonts w:hint="eastAsia" w:ascii="宋体" w:hAnsi="宋体" w:eastAsia="宋体" w:cs="宋体"/>
          <w:sz w:val="24"/>
          <w:szCs w:val="24"/>
          <w:highlight w:val="none"/>
          <w:shd w:val="clear" w:color="auto" w:fill="FFFFFF"/>
        </w:rPr>
        <w:t>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9"/>
    </w:p>
    <w:p w14:paraId="7D6C026B">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12.提示与要求</w:t>
      </w:r>
    </w:p>
    <w:p w14:paraId="6F0C807E">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12.1供应商应仔细阅读招标文件的所有内容，按招标文件的要求提供投标（响应）文件，并保证所提供的全部资料的真实性，以使其投标（响应）对招标文件作出实质性响应，否则，其投标（响应）可能被拒绝。</w:t>
      </w:r>
    </w:p>
    <w:p w14:paraId="7F2B861C">
      <w:pPr>
        <w:adjustRightInd w:val="0"/>
        <w:snapToGrid w:val="0"/>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12.2无论是否递交投标（响应）文件，供应商都应将招标文件及以后的所有通知、文件等视为保密文件。</w:t>
      </w:r>
    </w:p>
    <w:p w14:paraId="5F61BCB9">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13.投标（响应）文件计量单位和使用文字</w:t>
      </w:r>
    </w:p>
    <w:p w14:paraId="169F701B">
      <w:pPr>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13.1投标（响应）文件中所使用的计量单位，除招标文件中有特殊要求外，均应使用中华人民共和国法定计量单位。</w:t>
      </w:r>
    </w:p>
    <w:p w14:paraId="1BDDFE4A">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13.2投标（响应）文件应使用中文编制，投标（响应）文件中必须使用其他文字的，必须附有中文译本。对于未附有中文译本和中文译本不准确的投标（响应）文件可能引起的对供应商不利的后果，</w:t>
      </w:r>
      <w:bookmarkStart w:id="20" w:name="_Hlk193372870"/>
      <w:r>
        <w:rPr>
          <w:rFonts w:hint="eastAsia" w:ascii="宋体" w:hAnsi="宋体" w:eastAsia="宋体" w:cs="宋体"/>
          <w:sz w:val="24"/>
          <w:szCs w:val="24"/>
          <w:highlight w:val="none"/>
          <w:shd w:val="clear" w:color="auto" w:fill="FFFFFF"/>
        </w:rPr>
        <w:t>采购人或采购代理机构概不负责。</w:t>
      </w:r>
      <w:bookmarkEnd w:id="20"/>
    </w:p>
    <w:p w14:paraId="31542B5C">
      <w:pPr>
        <w:adjustRightInd w:val="0"/>
        <w:snapToGrid w:val="0"/>
        <w:spacing w:line="360" w:lineRule="auto"/>
        <w:ind w:firstLine="482" w:firstLineChars="200"/>
        <w:outlineLvl w:val="1"/>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14.投标（响应）文件的组成</w:t>
      </w:r>
    </w:p>
    <w:p w14:paraId="7F61845B">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14.1投标（响应）书：</w:t>
      </w:r>
    </w:p>
    <w:p w14:paraId="02E05DA4">
      <w:pPr>
        <w:spacing w:line="360" w:lineRule="auto"/>
        <w:ind w:firstLine="482"/>
        <w:rPr>
          <w:rFonts w:ascii="宋体" w:hAnsi="宋体" w:eastAsia="宋体" w:cs="宋体"/>
          <w:highlight w:val="none"/>
        </w:rPr>
      </w:pPr>
      <w:r>
        <w:rPr>
          <w:rFonts w:hint="eastAsia" w:ascii="宋体" w:hAnsi="宋体" w:eastAsia="宋体" w:cs="宋体"/>
          <w:b/>
          <w:sz w:val="24"/>
          <w:highlight w:val="none"/>
        </w:rPr>
        <w:t>14.1.1封面；</w:t>
      </w:r>
    </w:p>
    <w:p w14:paraId="2A69FECD">
      <w:pPr>
        <w:tabs>
          <w:tab w:val="left" w:pos="0"/>
        </w:tabs>
        <w:adjustRightInd w:val="0"/>
        <w:snapToGrid w:val="0"/>
        <w:spacing w:line="360" w:lineRule="auto"/>
        <w:ind w:firstLine="482" w:firstLineChars="200"/>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14.1.2开标一览表（总报价）（格式详见第三章）；</w:t>
      </w:r>
    </w:p>
    <w:p w14:paraId="08354876">
      <w:pPr>
        <w:adjustRightInd w:val="0"/>
        <w:snapToGrid w:val="0"/>
        <w:spacing w:line="360" w:lineRule="auto"/>
        <w:ind w:firstLine="482" w:firstLineChars="200"/>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14.1.3投标（响应）报价明细表（格式详见第三章）；</w:t>
      </w:r>
    </w:p>
    <w:p w14:paraId="7F30B88D">
      <w:pPr>
        <w:adjustRightInd w:val="0"/>
        <w:snapToGrid w:val="0"/>
        <w:spacing w:line="360" w:lineRule="auto"/>
        <w:ind w:firstLine="482" w:firstLineChars="200"/>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14.1.4资格性审查文件</w:t>
      </w:r>
    </w:p>
    <w:tbl>
      <w:tblPr>
        <w:tblStyle w:val="49"/>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4315"/>
        <w:gridCol w:w="4767"/>
      </w:tblGrid>
      <w:tr w14:paraId="0D57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988" w:type="dxa"/>
            <w:vAlign w:val="center"/>
          </w:tcPr>
          <w:p w14:paraId="68151D5E">
            <w:pPr>
              <w:pStyle w:val="15"/>
              <w:jc w:val="center"/>
              <w:rPr>
                <w:rFonts w:ascii="宋体" w:hAnsi="宋体" w:eastAsia="宋体" w:cs="宋体"/>
                <w:sz w:val="21"/>
                <w:highlight w:val="none"/>
              </w:rPr>
            </w:pPr>
            <w:bookmarkStart w:id="21" w:name="_Hlk193373287"/>
            <w:r>
              <w:rPr>
                <w:rFonts w:hint="eastAsia" w:ascii="宋体" w:hAnsi="宋体" w:eastAsia="宋体" w:cs="宋体"/>
                <w:sz w:val="21"/>
                <w:highlight w:val="none"/>
              </w:rPr>
              <w:t>序号</w:t>
            </w:r>
          </w:p>
        </w:tc>
        <w:tc>
          <w:tcPr>
            <w:tcW w:w="4315" w:type="dxa"/>
            <w:vAlign w:val="center"/>
          </w:tcPr>
          <w:p w14:paraId="7C895BAE">
            <w:pPr>
              <w:pStyle w:val="15"/>
              <w:jc w:val="center"/>
              <w:rPr>
                <w:rFonts w:ascii="宋体" w:hAnsi="宋体" w:eastAsia="宋体" w:cs="宋体"/>
                <w:sz w:val="21"/>
                <w:highlight w:val="none"/>
              </w:rPr>
            </w:pPr>
            <w:r>
              <w:rPr>
                <w:rFonts w:hint="eastAsia" w:ascii="宋体" w:hAnsi="宋体" w:eastAsia="宋体" w:cs="宋体"/>
                <w:sz w:val="21"/>
                <w:highlight w:val="none"/>
              </w:rPr>
              <w:t>评审项</w:t>
            </w:r>
          </w:p>
        </w:tc>
        <w:tc>
          <w:tcPr>
            <w:tcW w:w="4767" w:type="dxa"/>
            <w:vAlign w:val="center"/>
          </w:tcPr>
          <w:p w14:paraId="5DA36783">
            <w:pPr>
              <w:pStyle w:val="15"/>
              <w:jc w:val="center"/>
              <w:rPr>
                <w:rFonts w:ascii="宋体" w:hAnsi="宋体" w:eastAsia="宋体" w:cs="宋体"/>
                <w:sz w:val="21"/>
                <w:highlight w:val="none"/>
              </w:rPr>
            </w:pPr>
            <w:r>
              <w:rPr>
                <w:rFonts w:hint="eastAsia" w:ascii="宋体" w:hAnsi="宋体" w:eastAsia="宋体" w:cs="宋体"/>
                <w:sz w:val="21"/>
                <w:highlight w:val="none"/>
              </w:rPr>
              <w:t>评审要求</w:t>
            </w:r>
          </w:p>
        </w:tc>
      </w:tr>
      <w:tr w14:paraId="7B8E2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70" w:type="dxa"/>
            <w:gridSpan w:val="3"/>
            <w:vAlign w:val="center"/>
          </w:tcPr>
          <w:p w14:paraId="4D82FD4F">
            <w:pPr>
              <w:pStyle w:val="15"/>
              <w:jc w:val="center"/>
              <w:rPr>
                <w:rFonts w:ascii="宋体" w:hAnsi="宋体" w:eastAsia="宋体" w:cs="宋体"/>
                <w:sz w:val="21"/>
                <w:highlight w:val="none"/>
              </w:rPr>
            </w:pPr>
            <w:r>
              <w:rPr>
                <w:rFonts w:hint="eastAsia" w:ascii="宋体" w:hAnsi="宋体" w:eastAsia="宋体" w:cs="宋体"/>
                <w:sz w:val="21"/>
                <w:highlight w:val="none"/>
              </w:rPr>
              <w:t>一、基本资格条件</w:t>
            </w:r>
          </w:p>
        </w:tc>
      </w:tr>
      <w:tr w14:paraId="0CE8D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8" w:type="dxa"/>
            <w:vAlign w:val="center"/>
          </w:tcPr>
          <w:p w14:paraId="2FD82041">
            <w:pPr>
              <w:pStyle w:val="15"/>
              <w:jc w:val="center"/>
              <w:rPr>
                <w:rFonts w:ascii="宋体" w:hAnsi="宋体" w:eastAsia="宋体" w:cs="宋体"/>
                <w:sz w:val="21"/>
                <w:highlight w:val="none"/>
              </w:rPr>
            </w:pPr>
            <w:r>
              <w:rPr>
                <w:rFonts w:hint="eastAsia" w:ascii="宋体" w:hAnsi="宋体" w:eastAsia="宋体" w:cs="宋体"/>
                <w:sz w:val="21"/>
                <w:highlight w:val="none"/>
              </w:rPr>
              <w:t>1</w:t>
            </w:r>
          </w:p>
        </w:tc>
        <w:tc>
          <w:tcPr>
            <w:tcW w:w="4315" w:type="dxa"/>
            <w:vAlign w:val="center"/>
          </w:tcPr>
          <w:p w14:paraId="4DF7C202">
            <w:pPr>
              <w:pStyle w:val="15"/>
              <w:jc w:val="left"/>
              <w:rPr>
                <w:rFonts w:ascii="宋体" w:hAnsi="宋体" w:eastAsia="宋体" w:cs="宋体"/>
                <w:sz w:val="21"/>
                <w:szCs w:val="21"/>
                <w:highlight w:val="none"/>
              </w:rPr>
            </w:pPr>
            <w:r>
              <w:rPr>
                <w:rFonts w:hint="eastAsia" w:ascii="宋体" w:hAnsi="宋体" w:eastAsia="宋体" w:cs="宋体"/>
                <w:sz w:val="21"/>
                <w:szCs w:val="21"/>
                <w:highlight w:val="none"/>
              </w:rPr>
              <w:t>具有独立承担民事责任的能力</w:t>
            </w:r>
          </w:p>
        </w:tc>
        <w:tc>
          <w:tcPr>
            <w:tcW w:w="4767" w:type="dxa"/>
            <w:vAlign w:val="center"/>
          </w:tcPr>
          <w:p w14:paraId="33575128">
            <w:pPr>
              <w:pStyle w:val="15"/>
              <w:spacing w:line="36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供应商提供包括法人或者其他组织的营业执照等证明文件，自然人的身份证明。</w:t>
            </w:r>
          </w:p>
        </w:tc>
      </w:tr>
      <w:tr w14:paraId="7B26E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8" w:type="dxa"/>
            <w:vAlign w:val="center"/>
          </w:tcPr>
          <w:p w14:paraId="0732EB61">
            <w:pPr>
              <w:pStyle w:val="15"/>
              <w:jc w:val="center"/>
              <w:rPr>
                <w:rFonts w:ascii="宋体" w:hAnsi="宋体" w:eastAsia="宋体" w:cs="宋体"/>
                <w:sz w:val="21"/>
                <w:highlight w:val="none"/>
              </w:rPr>
            </w:pPr>
            <w:r>
              <w:rPr>
                <w:rFonts w:hint="eastAsia" w:ascii="宋体" w:hAnsi="宋体" w:eastAsia="宋体" w:cs="宋体"/>
                <w:sz w:val="21"/>
                <w:highlight w:val="none"/>
              </w:rPr>
              <w:t>2</w:t>
            </w:r>
          </w:p>
        </w:tc>
        <w:tc>
          <w:tcPr>
            <w:tcW w:w="4315" w:type="dxa"/>
            <w:vAlign w:val="center"/>
          </w:tcPr>
          <w:p w14:paraId="159B53B5">
            <w:pPr>
              <w:pStyle w:val="15"/>
              <w:jc w:val="left"/>
              <w:rPr>
                <w:rFonts w:ascii="宋体" w:hAnsi="宋体" w:eastAsia="宋体" w:cs="宋体"/>
                <w:sz w:val="21"/>
                <w:szCs w:val="21"/>
                <w:highlight w:val="none"/>
              </w:rPr>
            </w:pPr>
            <w:r>
              <w:rPr>
                <w:rFonts w:hint="eastAsia" w:ascii="宋体" w:hAnsi="宋体" w:eastAsia="宋体" w:cs="宋体"/>
                <w:sz w:val="21"/>
                <w:szCs w:val="21"/>
                <w:highlight w:val="none"/>
              </w:rPr>
              <w:t>具有良好的商业信誉和健全的财务会计制度</w:t>
            </w:r>
          </w:p>
        </w:tc>
        <w:tc>
          <w:tcPr>
            <w:tcW w:w="4767" w:type="dxa"/>
            <w:vAlign w:val="center"/>
          </w:tcPr>
          <w:p w14:paraId="0AC73428">
            <w:pPr>
              <w:pStyle w:val="15"/>
              <w:spacing w:line="360" w:lineRule="auto"/>
              <w:jc w:val="left"/>
              <w:rPr>
                <w:rFonts w:ascii="宋体" w:hAnsi="宋体" w:eastAsia="宋体" w:cs="宋体"/>
                <w:sz w:val="21"/>
                <w:szCs w:val="21"/>
                <w:highlight w:val="none"/>
              </w:rPr>
            </w:pPr>
            <w:r>
              <w:rPr>
                <w:rFonts w:hint="eastAsia" w:ascii="宋体" w:hAnsi="宋体" w:eastAsia="宋体" w:cs="宋体"/>
                <w:color w:val="auto"/>
                <w:sz w:val="21"/>
                <w:szCs w:val="21"/>
                <w:highlight w:val="none"/>
              </w:rPr>
              <w:t>供应商为法人的，应提供最近一期的财务报告（包括但不限于资产负债表、利润表等会计报表），或基本开户银行出具的银行资信证明，或财政部门认可的政府采购专业担保机构出具的投标担保函；部分其他组织、自然人，若没有财务报告，可以提供银行出具的资信证明。</w:t>
            </w:r>
          </w:p>
        </w:tc>
      </w:tr>
      <w:tr w14:paraId="7EF09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8" w:type="dxa"/>
            <w:vAlign w:val="center"/>
          </w:tcPr>
          <w:p w14:paraId="29C19BC5">
            <w:pPr>
              <w:pStyle w:val="15"/>
              <w:jc w:val="center"/>
              <w:rPr>
                <w:rFonts w:ascii="宋体" w:hAnsi="宋体" w:eastAsia="宋体" w:cs="宋体"/>
                <w:sz w:val="21"/>
                <w:highlight w:val="none"/>
              </w:rPr>
            </w:pPr>
            <w:r>
              <w:rPr>
                <w:rFonts w:hint="eastAsia" w:ascii="宋体" w:hAnsi="宋体" w:eastAsia="宋体" w:cs="宋体"/>
                <w:sz w:val="21"/>
                <w:highlight w:val="none"/>
              </w:rPr>
              <w:t>3</w:t>
            </w:r>
          </w:p>
        </w:tc>
        <w:tc>
          <w:tcPr>
            <w:tcW w:w="4315" w:type="dxa"/>
            <w:vAlign w:val="center"/>
          </w:tcPr>
          <w:p w14:paraId="08E894CA">
            <w:pPr>
              <w:pStyle w:val="15"/>
              <w:jc w:val="left"/>
              <w:rPr>
                <w:rFonts w:ascii="宋体" w:hAnsi="宋体" w:eastAsia="宋体" w:cs="宋体"/>
                <w:sz w:val="21"/>
                <w:szCs w:val="21"/>
                <w:highlight w:val="none"/>
              </w:rPr>
            </w:pPr>
            <w:r>
              <w:rPr>
                <w:rFonts w:hint="eastAsia" w:ascii="宋体" w:hAnsi="宋体" w:eastAsia="宋体" w:cs="宋体"/>
                <w:sz w:val="21"/>
                <w:szCs w:val="21"/>
                <w:highlight w:val="none"/>
              </w:rPr>
              <w:t>具有履行合同所必需的设备和专业技术能力</w:t>
            </w:r>
          </w:p>
        </w:tc>
        <w:tc>
          <w:tcPr>
            <w:tcW w:w="4767" w:type="dxa"/>
            <w:vAlign w:val="center"/>
          </w:tcPr>
          <w:p w14:paraId="2D677AD4">
            <w:pPr>
              <w:pStyle w:val="15"/>
              <w:spacing w:line="36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供应商提供设备清单、相关技术人员的职称证书和用工合同或具有履行合同所必需的设备和专业技术能力的承诺书（格式自拟）。</w:t>
            </w:r>
          </w:p>
        </w:tc>
      </w:tr>
      <w:tr w14:paraId="2C0D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8" w:type="dxa"/>
            <w:vAlign w:val="center"/>
          </w:tcPr>
          <w:p w14:paraId="1EB29D9F">
            <w:pPr>
              <w:pStyle w:val="15"/>
              <w:jc w:val="center"/>
              <w:rPr>
                <w:rFonts w:ascii="宋体" w:hAnsi="宋体" w:eastAsia="宋体" w:cs="宋体"/>
                <w:sz w:val="21"/>
                <w:highlight w:val="none"/>
              </w:rPr>
            </w:pPr>
            <w:r>
              <w:rPr>
                <w:rFonts w:hint="eastAsia" w:ascii="宋体" w:hAnsi="宋体" w:eastAsia="宋体" w:cs="宋体"/>
                <w:sz w:val="21"/>
                <w:highlight w:val="none"/>
              </w:rPr>
              <w:t>4</w:t>
            </w:r>
          </w:p>
        </w:tc>
        <w:tc>
          <w:tcPr>
            <w:tcW w:w="4315" w:type="dxa"/>
            <w:vAlign w:val="center"/>
          </w:tcPr>
          <w:p w14:paraId="0448651E">
            <w:pPr>
              <w:pStyle w:val="15"/>
              <w:jc w:val="left"/>
              <w:rPr>
                <w:rFonts w:ascii="宋体" w:hAnsi="宋体" w:eastAsia="宋体" w:cs="宋体"/>
                <w:sz w:val="21"/>
                <w:szCs w:val="21"/>
                <w:highlight w:val="none"/>
              </w:rPr>
            </w:pPr>
            <w:r>
              <w:rPr>
                <w:rFonts w:hint="eastAsia" w:ascii="宋体" w:hAnsi="宋体" w:eastAsia="宋体" w:cs="宋体"/>
                <w:sz w:val="21"/>
                <w:szCs w:val="21"/>
                <w:highlight w:val="none"/>
              </w:rPr>
              <w:t>具有依法缴纳税收和社会保障资金的良好记录</w:t>
            </w:r>
          </w:p>
        </w:tc>
        <w:tc>
          <w:tcPr>
            <w:tcW w:w="4767" w:type="dxa"/>
            <w:vAlign w:val="center"/>
          </w:tcPr>
          <w:p w14:paraId="77F7B6EE">
            <w:pPr>
              <w:spacing w:line="360" w:lineRule="auto"/>
              <w:jc w:val="left"/>
              <w:rPr>
                <w:rFonts w:ascii="宋体" w:hAnsi="宋体" w:eastAsia="宋体" w:cs="宋体"/>
                <w:highlight w:val="none"/>
              </w:rPr>
            </w:pPr>
            <w:r>
              <w:rPr>
                <w:rFonts w:hint="eastAsia" w:ascii="宋体" w:hAnsi="宋体" w:eastAsia="宋体" w:cs="宋体"/>
                <w:highlight w:val="none"/>
              </w:rPr>
              <w:t>供应商提供参加本次政府采购活动前一段时间内依法缴纳税收和社会保险的凭据；依法免税或不需要缴纳社会保障资金的供应商，应提供相应证明资料证明其依法免税或不需要缴纳社会保障资金。</w:t>
            </w:r>
          </w:p>
        </w:tc>
      </w:tr>
      <w:tr w14:paraId="49E0D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88" w:type="dxa"/>
            <w:vAlign w:val="center"/>
          </w:tcPr>
          <w:p w14:paraId="60AEC05F">
            <w:pPr>
              <w:pStyle w:val="15"/>
              <w:jc w:val="center"/>
              <w:rPr>
                <w:rFonts w:ascii="宋体" w:hAnsi="宋体" w:eastAsia="宋体" w:cs="宋体"/>
                <w:sz w:val="21"/>
                <w:highlight w:val="none"/>
              </w:rPr>
            </w:pPr>
            <w:r>
              <w:rPr>
                <w:rFonts w:hint="eastAsia" w:ascii="宋体" w:hAnsi="宋体" w:eastAsia="宋体" w:cs="宋体"/>
                <w:sz w:val="21"/>
                <w:highlight w:val="none"/>
              </w:rPr>
              <w:t>5</w:t>
            </w:r>
          </w:p>
        </w:tc>
        <w:tc>
          <w:tcPr>
            <w:tcW w:w="4315" w:type="dxa"/>
            <w:vAlign w:val="center"/>
          </w:tcPr>
          <w:p w14:paraId="53CFD678">
            <w:pPr>
              <w:pStyle w:val="15"/>
              <w:jc w:val="left"/>
              <w:rPr>
                <w:rFonts w:ascii="宋体" w:hAnsi="宋体" w:eastAsia="宋体" w:cs="宋体"/>
                <w:sz w:val="21"/>
                <w:szCs w:val="21"/>
                <w:highlight w:val="none"/>
              </w:rPr>
            </w:pPr>
            <w:r>
              <w:rPr>
                <w:rFonts w:hint="eastAsia" w:ascii="宋体" w:hAnsi="宋体" w:eastAsia="宋体" w:cs="宋体"/>
                <w:sz w:val="21"/>
                <w:szCs w:val="21"/>
                <w:highlight w:val="none"/>
              </w:rPr>
              <w:t>参加政府采购活动前三年内，在经营活动中没有重大违法记录</w:t>
            </w:r>
          </w:p>
        </w:tc>
        <w:tc>
          <w:tcPr>
            <w:tcW w:w="4767" w:type="dxa"/>
            <w:vAlign w:val="center"/>
          </w:tcPr>
          <w:p w14:paraId="2524DDCC">
            <w:pPr>
              <w:pStyle w:val="15"/>
              <w:spacing w:line="36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供应商提供参加政府采购活动前三年内在经营活动中没有重大违法记录的书面声明。</w:t>
            </w:r>
          </w:p>
        </w:tc>
      </w:tr>
      <w:tr w14:paraId="7B184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8" w:type="dxa"/>
            <w:vAlign w:val="center"/>
          </w:tcPr>
          <w:p w14:paraId="46CD1203">
            <w:pPr>
              <w:pStyle w:val="15"/>
              <w:jc w:val="center"/>
              <w:rPr>
                <w:rFonts w:ascii="宋体" w:hAnsi="宋体" w:eastAsia="宋体" w:cs="宋体"/>
                <w:sz w:val="21"/>
                <w:highlight w:val="none"/>
              </w:rPr>
            </w:pPr>
            <w:r>
              <w:rPr>
                <w:rFonts w:hint="eastAsia" w:ascii="宋体" w:hAnsi="宋体" w:eastAsia="宋体" w:cs="宋体"/>
                <w:sz w:val="21"/>
                <w:highlight w:val="none"/>
              </w:rPr>
              <w:t>6</w:t>
            </w:r>
          </w:p>
        </w:tc>
        <w:tc>
          <w:tcPr>
            <w:tcW w:w="4315" w:type="dxa"/>
            <w:vAlign w:val="center"/>
          </w:tcPr>
          <w:p w14:paraId="6BB608F5">
            <w:pPr>
              <w:pStyle w:val="15"/>
              <w:jc w:val="left"/>
              <w:rPr>
                <w:rFonts w:ascii="宋体" w:hAnsi="宋体" w:eastAsia="宋体" w:cs="宋体"/>
                <w:sz w:val="21"/>
                <w:szCs w:val="21"/>
                <w:highlight w:val="none"/>
              </w:rPr>
            </w:pPr>
            <w:r>
              <w:rPr>
                <w:rFonts w:hint="eastAsia" w:ascii="宋体" w:hAnsi="宋体" w:eastAsia="宋体" w:cs="宋体"/>
                <w:sz w:val="21"/>
                <w:szCs w:val="21"/>
                <w:highlight w:val="none"/>
              </w:rPr>
              <w:t>法律、行政法规规定的其他条件</w:t>
            </w:r>
          </w:p>
        </w:tc>
        <w:tc>
          <w:tcPr>
            <w:tcW w:w="4767" w:type="dxa"/>
            <w:vAlign w:val="center"/>
          </w:tcPr>
          <w:p w14:paraId="528F707A">
            <w:pPr>
              <w:pStyle w:val="15"/>
              <w:jc w:val="left"/>
              <w:rPr>
                <w:rFonts w:ascii="宋体" w:hAnsi="宋体" w:eastAsia="宋体" w:cs="宋体"/>
                <w:sz w:val="21"/>
                <w:szCs w:val="21"/>
                <w:highlight w:val="none"/>
              </w:rPr>
            </w:pPr>
            <w:r>
              <w:rPr>
                <w:rFonts w:hint="eastAsia" w:ascii="宋体" w:hAnsi="宋体" w:eastAsia="宋体" w:cs="宋体"/>
                <w:sz w:val="21"/>
                <w:szCs w:val="21"/>
                <w:highlight w:val="none"/>
              </w:rPr>
              <w:t>符合法律、行政法规规定的其他条件的证明材料或书面声明。</w:t>
            </w:r>
          </w:p>
        </w:tc>
      </w:tr>
      <w:tr w14:paraId="15F6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070" w:type="dxa"/>
            <w:gridSpan w:val="3"/>
            <w:vAlign w:val="center"/>
          </w:tcPr>
          <w:p w14:paraId="45220D63">
            <w:pPr>
              <w:pStyle w:val="15"/>
              <w:jc w:val="center"/>
              <w:rPr>
                <w:rFonts w:ascii="宋体" w:hAnsi="宋体" w:eastAsia="宋体" w:cs="宋体"/>
                <w:sz w:val="21"/>
                <w:highlight w:val="none"/>
              </w:rPr>
            </w:pPr>
            <w:r>
              <w:rPr>
                <w:rFonts w:hint="eastAsia" w:ascii="宋体" w:hAnsi="宋体" w:eastAsia="宋体" w:cs="宋体"/>
                <w:sz w:val="21"/>
                <w:highlight w:val="none"/>
              </w:rPr>
              <w:t>二、落实政府采购政策需满足的资格要求</w:t>
            </w:r>
          </w:p>
        </w:tc>
      </w:tr>
      <w:tr w14:paraId="427C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8" w:type="dxa"/>
            <w:vAlign w:val="center"/>
          </w:tcPr>
          <w:p w14:paraId="362F50FA">
            <w:pPr>
              <w:pStyle w:val="15"/>
              <w:jc w:val="center"/>
              <w:rPr>
                <w:rFonts w:ascii="宋体" w:hAnsi="宋体" w:eastAsia="宋体" w:cs="宋体"/>
                <w:sz w:val="21"/>
                <w:highlight w:val="none"/>
              </w:rPr>
            </w:pPr>
            <w:r>
              <w:rPr>
                <w:rFonts w:hint="eastAsia" w:ascii="宋体" w:hAnsi="宋体" w:eastAsia="宋体" w:cs="宋体"/>
                <w:sz w:val="21"/>
                <w:highlight w:val="none"/>
              </w:rPr>
              <w:t>1</w:t>
            </w:r>
          </w:p>
        </w:tc>
        <w:tc>
          <w:tcPr>
            <w:tcW w:w="4315" w:type="dxa"/>
            <w:vAlign w:val="center"/>
          </w:tcPr>
          <w:p w14:paraId="11497684">
            <w:pPr>
              <w:pStyle w:val="15"/>
              <w:jc w:val="left"/>
              <w:rPr>
                <w:rFonts w:ascii="宋体" w:hAnsi="宋体" w:eastAsia="宋体" w:cs="宋体"/>
                <w:sz w:val="21"/>
                <w:szCs w:val="21"/>
                <w:highlight w:val="none"/>
              </w:rPr>
            </w:pPr>
            <w:r>
              <w:rPr>
                <w:rFonts w:hint="eastAsia" w:ascii="宋体" w:hAnsi="宋体" w:eastAsia="宋体" w:cs="宋体"/>
                <w:sz w:val="21"/>
                <w:highlight w:val="none"/>
              </w:rPr>
              <w:t>无</w:t>
            </w:r>
          </w:p>
        </w:tc>
        <w:tc>
          <w:tcPr>
            <w:tcW w:w="4767" w:type="dxa"/>
          </w:tcPr>
          <w:p w14:paraId="41482F1B">
            <w:pPr>
              <w:pStyle w:val="15"/>
              <w:jc w:val="left"/>
              <w:rPr>
                <w:rFonts w:ascii="宋体" w:hAnsi="宋体" w:eastAsia="宋体" w:cs="宋体"/>
                <w:sz w:val="21"/>
                <w:highlight w:val="none"/>
              </w:rPr>
            </w:pPr>
            <w:r>
              <w:rPr>
                <w:rFonts w:hint="eastAsia" w:ascii="宋体" w:hAnsi="宋体" w:eastAsia="宋体" w:cs="宋体"/>
                <w:sz w:val="21"/>
                <w:szCs w:val="21"/>
                <w:highlight w:val="none"/>
              </w:rPr>
              <w:t>无</w:t>
            </w:r>
          </w:p>
        </w:tc>
      </w:tr>
      <w:tr w14:paraId="3F754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070" w:type="dxa"/>
            <w:gridSpan w:val="3"/>
            <w:vAlign w:val="center"/>
          </w:tcPr>
          <w:p w14:paraId="3E33937E">
            <w:pPr>
              <w:pStyle w:val="15"/>
              <w:jc w:val="center"/>
              <w:rPr>
                <w:rFonts w:ascii="宋体" w:hAnsi="宋体" w:eastAsia="宋体" w:cs="宋体"/>
                <w:sz w:val="21"/>
                <w:szCs w:val="21"/>
                <w:highlight w:val="none"/>
              </w:rPr>
            </w:pPr>
            <w:r>
              <w:rPr>
                <w:rFonts w:hint="eastAsia" w:ascii="宋体" w:hAnsi="宋体" w:eastAsia="宋体" w:cs="宋体"/>
                <w:sz w:val="21"/>
                <w:szCs w:val="21"/>
                <w:highlight w:val="none"/>
              </w:rPr>
              <w:t>三、本项目的特定资格要求</w:t>
            </w:r>
          </w:p>
        </w:tc>
      </w:tr>
      <w:tr w14:paraId="4431B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8" w:type="dxa"/>
            <w:vAlign w:val="center"/>
          </w:tcPr>
          <w:p w14:paraId="22226BD6">
            <w:pPr>
              <w:pStyle w:val="15"/>
              <w:jc w:val="center"/>
              <w:rPr>
                <w:rFonts w:ascii="宋体" w:hAnsi="宋体" w:eastAsia="宋体" w:cs="宋体"/>
                <w:sz w:val="21"/>
                <w:highlight w:val="none"/>
              </w:rPr>
            </w:pPr>
            <w:r>
              <w:rPr>
                <w:rFonts w:hint="eastAsia" w:ascii="宋体" w:hAnsi="宋体" w:eastAsia="宋体" w:cs="宋体"/>
                <w:sz w:val="21"/>
                <w:highlight w:val="none"/>
              </w:rPr>
              <w:t>1</w:t>
            </w:r>
          </w:p>
        </w:tc>
        <w:tc>
          <w:tcPr>
            <w:tcW w:w="4315" w:type="dxa"/>
            <w:shd w:val="clear" w:color="auto" w:fill="auto"/>
            <w:vAlign w:val="center"/>
          </w:tcPr>
          <w:p w14:paraId="4682F3C5">
            <w:pPr>
              <w:pStyle w:val="15"/>
              <w:jc w:val="left"/>
              <w:rPr>
                <w:rFonts w:ascii="宋体" w:hAnsi="宋体" w:eastAsia="宋体" w:cs="宋体"/>
                <w:sz w:val="21"/>
                <w:szCs w:val="21"/>
                <w:highlight w:val="none"/>
              </w:rPr>
            </w:pPr>
            <w:r>
              <w:rPr>
                <w:rFonts w:hint="eastAsia" w:ascii="宋体" w:hAnsi="宋体" w:eastAsia="宋体" w:cs="宋体"/>
                <w:sz w:val="21"/>
                <w:szCs w:val="21"/>
                <w:highlight w:val="none"/>
              </w:rPr>
              <w:t>未被“信用中国”（www.creditchina.gov.cn）等相关网站列入失信被执行人、重大税收违法案件当事人名单、政府采购严重失信行为记录名单。</w:t>
            </w:r>
          </w:p>
        </w:tc>
        <w:tc>
          <w:tcPr>
            <w:tcW w:w="4767" w:type="dxa"/>
            <w:shd w:val="clear" w:color="auto" w:fill="auto"/>
            <w:vAlign w:val="center"/>
          </w:tcPr>
          <w:p w14:paraId="26A97C91">
            <w:pPr>
              <w:pStyle w:val="15"/>
              <w:jc w:val="left"/>
              <w:rPr>
                <w:rFonts w:ascii="宋体" w:hAnsi="宋体" w:eastAsia="宋体" w:cs="宋体"/>
                <w:sz w:val="21"/>
                <w:szCs w:val="21"/>
                <w:highlight w:val="none"/>
              </w:rPr>
            </w:pPr>
            <w:r>
              <w:rPr>
                <w:rFonts w:hint="eastAsia" w:ascii="宋体" w:hAnsi="宋体" w:eastAsia="宋体" w:cs="宋体"/>
                <w:sz w:val="21"/>
                <w:szCs w:val="21"/>
                <w:highlight w:val="none"/>
              </w:rPr>
              <w:t>供应商无需提供相关证明资料，由采购代理机构按照招标文件第二章“21.信用查询”要求执行。</w:t>
            </w:r>
          </w:p>
        </w:tc>
      </w:tr>
      <w:bookmarkEnd w:id="21"/>
    </w:tbl>
    <w:p w14:paraId="0C12C0C0">
      <w:pPr>
        <w:spacing w:line="360" w:lineRule="auto"/>
        <w:ind w:firstLine="482" w:firstLineChars="200"/>
        <w:rPr>
          <w:rFonts w:ascii="宋体" w:hAnsi="宋体" w:eastAsia="宋体" w:cs="宋体"/>
          <w:b/>
          <w:sz w:val="24"/>
          <w:highlight w:val="none"/>
        </w:rPr>
      </w:pPr>
      <w:r>
        <w:rPr>
          <w:rFonts w:hint="eastAsia" w:ascii="宋体" w:hAnsi="宋体" w:eastAsia="宋体" w:cs="宋体"/>
          <w:b/>
          <w:sz w:val="24"/>
          <w:highlight w:val="none"/>
        </w:rPr>
        <w:t>以上是资格性审查的要求和必须提供的材料，未按要求提供的投标（响应）无效。</w:t>
      </w:r>
    </w:p>
    <w:p w14:paraId="2923A1DF">
      <w:pPr>
        <w:spacing w:line="360" w:lineRule="auto"/>
        <w:ind w:firstLine="482" w:firstLineChars="200"/>
        <w:rPr>
          <w:rFonts w:ascii="宋体" w:hAnsi="宋体" w:eastAsia="宋体" w:cs="宋体"/>
          <w:b/>
          <w:sz w:val="24"/>
          <w:highlight w:val="none"/>
        </w:rPr>
      </w:pPr>
      <w:r>
        <w:rPr>
          <w:rFonts w:hint="eastAsia" w:ascii="宋体" w:hAnsi="宋体" w:eastAsia="宋体" w:cs="宋体"/>
          <w:b/>
          <w:sz w:val="24"/>
          <w:highlight w:val="none"/>
        </w:rPr>
        <w:t>14.1.5符合性审查响应文件</w:t>
      </w:r>
    </w:p>
    <w:tbl>
      <w:tblPr>
        <w:tblStyle w:val="49"/>
        <w:tblW w:w="4744" w:type="pct"/>
        <w:tblInd w:w="4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3955"/>
        <w:gridCol w:w="4738"/>
      </w:tblGrid>
      <w:tr w14:paraId="67EF3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351" w:type="pct"/>
            <w:vAlign w:val="center"/>
          </w:tcPr>
          <w:p w14:paraId="11E7C6C9">
            <w:pPr>
              <w:pStyle w:val="15"/>
              <w:spacing w:line="240"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2115" w:type="pct"/>
            <w:vAlign w:val="center"/>
          </w:tcPr>
          <w:p w14:paraId="546A7432">
            <w:pPr>
              <w:pStyle w:val="15"/>
              <w:spacing w:line="240" w:lineRule="auto"/>
              <w:jc w:val="center"/>
              <w:rPr>
                <w:rFonts w:ascii="宋体" w:hAnsi="宋体" w:eastAsia="宋体" w:cs="宋体"/>
                <w:b/>
                <w:bCs/>
                <w:sz w:val="21"/>
                <w:szCs w:val="21"/>
                <w:highlight w:val="none"/>
              </w:rPr>
            </w:pPr>
            <w:r>
              <w:rPr>
                <w:rFonts w:hint="eastAsia" w:ascii="宋体" w:hAnsi="宋体" w:eastAsia="宋体" w:cs="宋体"/>
                <w:b/>
                <w:sz w:val="21"/>
                <w:szCs w:val="21"/>
                <w:highlight w:val="none"/>
              </w:rPr>
              <w:t>评审项</w:t>
            </w:r>
          </w:p>
        </w:tc>
        <w:tc>
          <w:tcPr>
            <w:tcW w:w="2532" w:type="pct"/>
            <w:vAlign w:val="center"/>
          </w:tcPr>
          <w:p w14:paraId="1523718B">
            <w:pPr>
              <w:pStyle w:val="15"/>
              <w:spacing w:line="240" w:lineRule="auto"/>
              <w:jc w:val="center"/>
              <w:rPr>
                <w:rFonts w:ascii="宋体" w:hAnsi="宋体" w:eastAsia="宋体" w:cs="宋体"/>
                <w:b/>
                <w:sz w:val="21"/>
                <w:szCs w:val="21"/>
                <w:highlight w:val="none"/>
              </w:rPr>
            </w:pPr>
            <w:r>
              <w:rPr>
                <w:rFonts w:hint="eastAsia" w:ascii="宋体" w:hAnsi="宋体" w:eastAsia="宋体" w:cs="宋体"/>
                <w:b/>
                <w:sz w:val="21"/>
                <w:szCs w:val="21"/>
                <w:highlight w:val="none"/>
              </w:rPr>
              <w:t>评审要求</w:t>
            </w:r>
          </w:p>
        </w:tc>
      </w:tr>
      <w:tr w14:paraId="7671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5000" w:type="pct"/>
            <w:gridSpan w:val="3"/>
            <w:vAlign w:val="center"/>
          </w:tcPr>
          <w:p w14:paraId="15AE02AF">
            <w:pPr>
              <w:pStyle w:val="15"/>
              <w:spacing w:line="240" w:lineRule="auto"/>
              <w:jc w:val="center"/>
              <w:rPr>
                <w:rFonts w:ascii="宋体" w:hAnsi="宋体" w:eastAsia="宋体" w:cs="宋体"/>
                <w:b/>
                <w:sz w:val="21"/>
                <w:szCs w:val="21"/>
                <w:highlight w:val="none"/>
              </w:rPr>
            </w:pPr>
            <w:r>
              <w:rPr>
                <w:rFonts w:hint="eastAsia" w:ascii="宋体" w:hAnsi="宋体" w:eastAsia="宋体" w:cs="宋体"/>
                <w:b/>
                <w:sz w:val="21"/>
                <w:szCs w:val="21"/>
                <w:highlight w:val="none"/>
              </w:rPr>
              <w:t>一、报价要求</w:t>
            </w:r>
          </w:p>
        </w:tc>
      </w:tr>
      <w:tr w14:paraId="4F71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1" w:type="pct"/>
            <w:vAlign w:val="center"/>
          </w:tcPr>
          <w:p w14:paraId="61FE24AD">
            <w:pPr>
              <w:pStyle w:val="15"/>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2115" w:type="pct"/>
            <w:vAlign w:val="center"/>
          </w:tcPr>
          <w:p w14:paraId="467122A7">
            <w:pPr>
              <w:pStyle w:val="15"/>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报价符合性审查</w:t>
            </w:r>
          </w:p>
        </w:tc>
        <w:tc>
          <w:tcPr>
            <w:tcW w:w="2532" w:type="pct"/>
            <w:vAlign w:val="center"/>
          </w:tcPr>
          <w:p w14:paraId="1B6C48FE">
            <w:pPr>
              <w:pStyle w:val="15"/>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1.超预算/最高限价审查要求：投标（响应）报价不得超过采购项目预算/最高限价。</w:t>
            </w:r>
          </w:p>
          <w:p w14:paraId="69D325CA">
            <w:pPr>
              <w:pStyle w:val="15"/>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p>
        </w:tc>
      </w:tr>
      <w:tr w14:paraId="7688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51" w:type="pct"/>
            <w:vAlign w:val="center"/>
          </w:tcPr>
          <w:p w14:paraId="7350D6CF">
            <w:pPr>
              <w:pStyle w:val="15"/>
              <w:spacing w:line="24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p>
        </w:tc>
        <w:tc>
          <w:tcPr>
            <w:tcW w:w="2115" w:type="pct"/>
            <w:vAlign w:val="center"/>
          </w:tcPr>
          <w:p w14:paraId="28D66016">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供应商报价不得超出采购预算及最高限价</w:t>
            </w:r>
          </w:p>
        </w:tc>
        <w:tc>
          <w:tcPr>
            <w:tcW w:w="2532" w:type="pct"/>
            <w:vAlign w:val="center"/>
          </w:tcPr>
          <w:p w14:paraId="783D1DE9">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以响应文件报价为准(供应商无须单独提供资料)</w:t>
            </w:r>
          </w:p>
        </w:tc>
      </w:tr>
      <w:tr w14:paraId="7AD25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000" w:type="pct"/>
            <w:gridSpan w:val="3"/>
            <w:vAlign w:val="center"/>
          </w:tcPr>
          <w:p w14:paraId="1D217914">
            <w:pPr>
              <w:pStyle w:val="15"/>
              <w:spacing w:line="240" w:lineRule="auto"/>
              <w:jc w:val="center"/>
              <w:rPr>
                <w:rFonts w:ascii="宋体" w:hAnsi="宋体" w:eastAsia="宋体" w:cs="宋体"/>
                <w:sz w:val="21"/>
                <w:szCs w:val="21"/>
                <w:highlight w:val="none"/>
              </w:rPr>
            </w:pPr>
            <w:r>
              <w:rPr>
                <w:rFonts w:hint="eastAsia" w:ascii="宋体" w:hAnsi="宋体" w:eastAsia="宋体" w:cs="宋体"/>
                <w:b/>
                <w:sz w:val="21"/>
                <w:szCs w:val="21"/>
                <w:highlight w:val="none"/>
              </w:rPr>
              <w:t>二、商务要求</w:t>
            </w:r>
          </w:p>
        </w:tc>
      </w:tr>
      <w:tr w14:paraId="0D079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51" w:type="pct"/>
            <w:shd w:val="clear" w:color="auto" w:fill="auto"/>
            <w:vAlign w:val="center"/>
          </w:tcPr>
          <w:p w14:paraId="604EA574">
            <w:pPr>
              <w:pStyle w:val="15"/>
              <w:spacing w:line="240" w:lineRule="auto"/>
              <w:jc w:val="center"/>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1</w:t>
            </w:r>
          </w:p>
        </w:tc>
        <w:tc>
          <w:tcPr>
            <w:tcW w:w="2115" w:type="pct"/>
            <w:vAlign w:val="center"/>
          </w:tcPr>
          <w:p w14:paraId="26DC0626">
            <w:pPr>
              <w:pStyle w:val="15"/>
              <w:spacing w:line="240" w:lineRule="auto"/>
              <w:jc w:val="left"/>
              <w:rPr>
                <w:rFonts w:ascii="宋体" w:hAnsi="宋体" w:eastAsia="宋体" w:cs="宋体"/>
                <w:b/>
                <w:sz w:val="21"/>
                <w:szCs w:val="21"/>
                <w:highlight w:val="none"/>
              </w:rPr>
            </w:pPr>
            <w:r>
              <w:rPr>
                <w:rFonts w:hint="eastAsia" w:ascii="宋体" w:hAnsi="宋体" w:eastAsia="宋体" w:cs="宋体"/>
                <w:sz w:val="21"/>
                <w:szCs w:val="21"/>
                <w:highlight w:val="none"/>
              </w:rPr>
              <w:t>投标（响应）函</w:t>
            </w:r>
          </w:p>
        </w:tc>
        <w:tc>
          <w:tcPr>
            <w:tcW w:w="2532" w:type="pct"/>
            <w:vAlign w:val="center"/>
          </w:tcPr>
          <w:p w14:paraId="4CDAB595">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格式见第三章</w:t>
            </w:r>
          </w:p>
        </w:tc>
      </w:tr>
      <w:tr w14:paraId="445C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351" w:type="pct"/>
            <w:shd w:val="clear" w:color="auto" w:fill="auto"/>
            <w:vAlign w:val="center"/>
          </w:tcPr>
          <w:p w14:paraId="5E41F66F">
            <w:pPr>
              <w:pStyle w:val="15"/>
              <w:spacing w:line="240" w:lineRule="auto"/>
              <w:jc w:val="center"/>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2</w:t>
            </w:r>
          </w:p>
        </w:tc>
        <w:tc>
          <w:tcPr>
            <w:tcW w:w="2115" w:type="pct"/>
            <w:vAlign w:val="center"/>
          </w:tcPr>
          <w:p w14:paraId="3E0BE093">
            <w:pPr>
              <w:pStyle w:val="15"/>
              <w:spacing w:line="240" w:lineRule="auto"/>
              <w:jc w:val="left"/>
              <w:rPr>
                <w:rFonts w:ascii="宋体" w:hAnsi="宋体" w:eastAsia="宋体" w:cs="宋体"/>
                <w:b/>
                <w:sz w:val="21"/>
                <w:szCs w:val="21"/>
                <w:highlight w:val="none"/>
              </w:rPr>
            </w:pPr>
            <w:r>
              <w:rPr>
                <w:rFonts w:hint="eastAsia" w:ascii="宋体" w:hAnsi="宋体" w:eastAsia="宋体" w:cs="宋体"/>
                <w:sz w:val="21"/>
                <w:szCs w:val="21"/>
                <w:highlight w:val="none"/>
              </w:rPr>
              <w:t>法定代表人授权委托书（如有授权）</w:t>
            </w:r>
          </w:p>
        </w:tc>
        <w:tc>
          <w:tcPr>
            <w:tcW w:w="2532" w:type="pct"/>
            <w:vAlign w:val="center"/>
          </w:tcPr>
          <w:p w14:paraId="6933401A">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格式见第三章</w:t>
            </w:r>
          </w:p>
        </w:tc>
      </w:tr>
      <w:tr w14:paraId="7AC6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1" w:type="pct"/>
            <w:shd w:val="clear" w:color="auto" w:fill="auto"/>
            <w:vAlign w:val="center"/>
          </w:tcPr>
          <w:p w14:paraId="15099BF0">
            <w:pPr>
              <w:pStyle w:val="15"/>
              <w:spacing w:line="240" w:lineRule="auto"/>
              <w:jc w:val="center"/>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3</w:t>
            </w:r>
          </w:p>
        </w:tc>
        <w:tc>
          <w:tcPr>
            <w:tcW w:w="2115" w:type="pct"/>
            <w:vAlign w:val="center"/>
          </w:tcPr>
          <w:p w14:paraId="5CBC5201">
            <w:pPr>
              <w:pStyle w:val="15"/>
              <w:spacing w:line="240" w:lineRule="auto"/>
              <w:jc w:val="left"/>
              <w:rPr>
                <w:rFonts w:ascii="宋体" w:hAnsi="宋体" w:eastAsia="宋体" w:cs="宋体"/>
                <w:b/>
                <w:sz w:val="21"/>
                <w:szCs w:val="21"/>
                <w:highlight w:val="none"/>
              </w:rPr>
            </w:pPr>
            <w:r>
              <w:rPr>
                <w:rFonts w:hint="eastAsia" w:ascii="宋体" w:hAnsi="宋体" w:eastAsia="宋体" w:cs="宋体"/>
                <w:sz w:val="21"/>
                <w:szCs w:val="21"/>
                <w:highlight w:val="none"/>
              </w:rPr>
              <w:t>供应商法定代表人身份证扫描件、供应商代理人身份证扫描件（如有授权）</w:t>
            </w:r>
          </w:p>
        </w:tc>
        <w:tc>
          <w:tcPr>
            <w:tcW w:w="2532" w:type="pct"/>
            <w:vAlign w:val="center"/>
          </w:tcPr>
          <w:p w14:paraId="6DFA187E">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供应商法定代表人身份证扫描件、供应商代理人身份证扫描件（如有授权）</w:t>
            </w:r>
          </w:p>
        </w:tc>
      </w:tr>
      <w:tr w14:paraId="236C4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351" w:type="pct"/>
            <w:shd w:val="clear" w:color="auto" w:fill="auto"/>
            <w:vAlign w:val="center"/>
          </w:tcPr>
          <w:p w14:paraId="1B06425C">
            <w:pPr>
              <w:pStyle w:val="15"/>
              <w:spacing w:line="240" w:lineRule="auto"/>
              <w:jc w:val="center"/>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4</w:t>
            </w:r>
          </w:p>
        </w:tc>
        <w:tc>
          <w:tcPr>
            <w:tcW w:w="2115" w:type="pct"/>
            <w:vAlign w:val="center"/>
          </w:tcPr>
          <w:p w14:paraId="48A5E8CB">
            <w:pPr>
              <w:pStyle w:val="15"/>
              <w:spacing w:line="240" w:lineRule="auto"/>
              <w:jc w:val="left"/>
              <w:rPr>
                <w:rFonts w:ascii="宋体" w:hAnsi="宋体" w:eastAsia="宋体" w:cs="宋体"/>
                <w:b/>
                <w:sz w:val="21"/>
                <w:szCs w:val="21"/>
                <w:highlight w:val="none"/>
              </w:rPr>
            </w:pPr>
            <w:r>
              <w:rPr>
                <w:rFonts w:hint="eastAsia" w:ascii="宋体" w:hAnsi="宋体" w:eastAsia="宋体" w:cs="宋体"/>
                <w:sz w:val="21"/>
                <w:szCs w:val="21"/>
                <w:highlight w:val="none"/>
              </w:rPr>
              <w:t>《供应商基本情况表》《资格文件的声明函》</w:t>
            </w:r>
          </w:p>
        </w:tc>
        <w:tc>
          <w:tcPr>
            <w:tcW w:w="2532" w:type="pct"/>
            <w:vAlign w:val="center"/>
          </w:tcPr>
          <w:p w14:paraId="2CAAC673">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格式见第三章</w:t>
            </w:r>
          </w:p>
        </w:tc>
      </w:tr>
      <w:tr w14:paraId="08B92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51" w:type="pct"/>
            <w:shd w:val="clear" w:color="auto" w:fill="auto"/>
            <w:vAlign w:val="center"/>
          </w:tcPr>
          <w:p w14:paraId="56E89291">
            <w:pPr>
              <w:pStyle w:val="15"/>
              <w:spacing w:line="240" w:lineRule="auto"/>
              <w:jc w:val="center"/>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5</w:t>
            </w:r>
          </w:p>
        </w:tc>
        <w:tc>
          <w:tcPr>
            <w:tcW w:w="2115" w:type="pct"/>
            <w:vAlign w:val="center"/>
          </w:tcPr>
          <w:p w14:paraId="7BD017FD">
            <w:pPr>
              <w:pStyle w:val="15"/>
              <w:spacing w:line="240" w:lineRule="auto"/>
              <w:jc w:val="left"/>
              <w:rPr>
                <w:rFonts w:ascii="宋体" w:hAnsi="宋体" w:eastAsia="宋体" w:cs="宋体"/>
                <w:b/>
                <w:sz w:val="21"/>
                <w:szCs w:val="21"/>
                <w:highlight w:val="none"/>
              </w:rPr>
            </w:pPr>
            <w:r>
              <w:rPr>
                <w:rFonts w:hint="eastAsia" w:ascii="宋体" w:hAnsi="宋体" w:eastAsia="宋体" w:cs="宋体"/>
                <w:sz w:val="21"/>
                <w:szCs w:val="21"/>
                <w:highlight w:val="none"/>
              </w:rPr>
              <w:t>《对投标人（供应商）有直接控股、管理关系的单位情况表》</w:t>
            </w:r>
          </w:p>
        </w:tc>
        <w:tc>
          <w:tcPr>
            <w:tcW w:w="2532" w:type="pct"/>
            <w:vAlign w:val="center"/>
          </w:tcPr>
          <w:p w14:paraId="256A0A67">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格式见第三章</w:t>
            </w:r>
          </w:p>
        </w:tc>
      </w:tr>
      <w:tr w14:paraId="68B8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51" w:type="pct"/>
            <w:shd w:val="clear" w:color="auto" w:fill="auto"/>
            <w:vAlign w:val="center"/>
          </w:tcPr>
          <w:p w14:paraId="72FDCB24">
            <w:pPr>
              <w:pStyle w:val="15"/>
              <w:spacing w:line="240" w:lineRule="auto"/>
              <w:jc w:val="center"/>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6</w:t>
            </w:r>
          </w:p>
        </w:tc>
        <w:tc>
          <w:tcPr>
            <w:tcW w:w="2115" w:type="pct"/>
            <w:vAlign w:val="center"/>
          </w:tcPr>
          <w:p w14:paraId="4F8115BA">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《商务要求偏离表》</w:t>
            </w:r>
          </w:p>
        </w:tc>
        <w:tc>
          <w:tcPr>
            <w:tcW w:w="2532" w:type="pct"/>
            <w:vAlign w:val="center"/>
          </w:tcPr>
          <w:p w14:paraId="3684A84F">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格式见第三章</w:t>
            </w:r>
          </w:p>
        </w:tc>
      </w:tr>
      <w:tr w14:paraId="0F24F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351" w:type="pct"/>
            <w:vAlign w:val="center"/>
          </w:tcPr>
          <w:p w14:paraId="2AD45AF8">
            <w:pPr>
              <w:pStyle w:val="15"/>
              <w:spacing w:line="240" w:lineRule="auto"/>
              <w:jc w:val="center"/>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7</w:t>
            </w:r>
          </w:p>
        </w:tc>
        <w:tc>
          <w:tcPr>
            <w:tcW w:w="2115" w:type="pct"/>
            <w:vAlign w:val="center"/>
          </w:tcPr>
          <w:p w14:paraId="0C075938">
            <w:pPr>
              <w:pStyle w:val="15"/>
              <w:spacing w:line="240" w:lineRule="auto"/>
              <w:jc w:val="left"/>
              <w:rPr>
                <w:rFonts w:ascii="宋体" w:hAnsi="宋体" w:eastAsia="宋体" w:cs="宋体"/>
                <w:b/>
                <w:sz w:val="21"/>
                <w:szCs w:val="21"/>
                <w:highlight w:val="none"/>
              </w:rPr>
            </w:pPr>
            <w:r>
              <w:rPr>
                <w:rFonts w:hint="eastAsia" w:ascii="宋体" w:hAnsi="宋体" w:eastAsia="宋体" w:cs="宋体"/>
                <w:sz w:val="21"/>
                <w:szCs w:val="21"/>
                <w:highlight w:val="none"/>
              </w:rPr>
              <w:t>《拟投入本项目人员配备一览表》</w:t>
            </w:r>
          </w:p>
        </w:tc>
        <w:tc>
          <w:tcPr>
            <w:tcW w:w="2532" w:type="pct"/>
            <w:vAlign w:val="center"/>
          </w:tcPr>
          <w:p w14:paraId="3415E9FE">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格式见第三章</w:t>
            </w:r>
          </w:p>
        </w:tc>
      </w:tr>
      <w:tr w14:paraId="3680A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5000" w:type="pct"/>
            <w:gridSpan w:val="3"/>
            <w:vAlign w:val="center"/>
          </w:tcPr>
          <w:p w14:paraId="2CEA36CC">
            <w:pPr>
              <w:pStyle w:val="15"/>
              <w:spacing w:line="240" w:lineRule="auto"/>
              <w:jc w:val="center"/>
              <w:rPr>
                <w:rFonts w:ascii="宋体" w:hAnsi="宋体" w:eastAsia="宋体" w:cs="宋体"/>
                <w:sz w:val="21"/>
                <w:szCs w:val="21"/>
                <w:highlight w:val="none"/>
              </w:rPr>
            </w:pPr>
            <w:r>
              <w:rPr>
                <w:rFonts w:hint="eastAsia" w:ascii="宋体" w:hAnsi="宋体" w:eastAsia="宋体" w:cs="宋体"/>
                <w:b/>
                <w:sz w:val="21"/>
                <w:szCs w:val="21"/>
                <w:highlight w:val="none"/>
              </w:rPr>
              <w:t>三、技术要求</w:t>
            </w:r>
          </w:p>
        </w:tc>
      </w:tr>
      <w:tr w14:paraId="6D72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51" w:type="pct"/>
            <w:vAlign w:val="center"/>
          </w:tcPr>
          <w:p w14:paraId="760C7825">
            <w:pPr>
              <w:pStyle w:val="15"/>
              <w:spacing w:line="24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1</w:t>
            </w:r>
          </w:p>
        </w:tc>
        <w:tc>
          <w:tcPr>
            <w:tcW w:w="2115" w:type="pct"/>
            <w:vAlign w:val="center"/>
          </w:tcPr>
          <w:p w14:paraId="0B5582AF">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《服务或技术要求偏离表》</w:t>
            </w:r>
          </w:p>
        </w:tc>
        <w:tc>
          <w:tcPr>
            <w:tcW w:w="2532" w:type="pct"/>
            <w:vAlign w:val="center"/>
          </w:tcPr>
          <w:p w14:paraId="6CE62FF6">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格式见第三章</w:t>
            </w:r>
          </w:p>
        </w:tc>
      </w:tr>
      <w:tr w14:paraId="4C20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351" w:type="pct"/>
            <w:vAlign w:val="center"/>
          </w:tcPr>
          <w:p w14:paraId="4EBB77BC">
            <w:pPr>
              <w:pStyle w:val="15"/>
              <w:spacing w:line="24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c>
          <w:tcPr>
            <w:tcW w:w="2115" w:type="pct"/>
            <w:vAlign w:val="center"/>
          </w:tcPr>
          <w:p w14:paraId="2254036A">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《针对本项目制定的服务实施方案》</w:t>
            </w:r>
          </w:p>
        </w:tc>
        <w:tc>
          <w:tcPr>
            <w:tcW w:w="2532" w:type="pct"/>
            <w:vAlign w:val="center"/>
          </w:tcPr>
          <w:p w14:paraId="51322D3D">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格式见第三章</w:t>
            </w:r>
          </w:p>
        </w:tc>
      </w:tr>
      <w:tr w14:paraId="1C0A7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351" w:type="pct"/>
            <w:vAlign w:val="center"/>
          </w:tcPr>
          <w:p w14:paraId="66B2C9E1">
            <w:pPr>
              <w:pStyle w:val="15"/>
              <w:spacing w:line="240" w:lineRule="auto"/>
              <w:jc w:val="center"/>
              <w:rPr>
                <w:rFonts w:ascii="宋体" w:hAnsi="宋体" w:eastAsia="宋体" w:cs="宋体"/>
                <w:sz w:val="21"/>
                <w:szCs w:val="21"/>
                <w:highlight w:val="none"/>
              </w:rPr>
            </w:pPr>
            <w:bookmarkStart w:id="22" w:name="_Hlk193373412"/>
            <w:r>
              <w:rPr>
                <w:rFonts w:hint="eastAsia" w:ascii="宋体" w:hAnsi="宋体" w:eastAsia="宋体" w:cs="宋体"/>
                <w:sz w:val="21"/>
                <w:szCs w:val="21"/>
                <w:highlight w:val="none"/>
              </w:rPr>
              <w:t>3</w:t>
            </w:r>
          </w:p>
        </w:tc>
        <w:tc>
          <w:tcPr>
            <w:tcW w:w="2115" w:type="pct"/>
            <w:vAlign w:val="center"/>
          </w:tcPr>
          <w:p w14:paraId="3EDA22B7">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采购需求中所涉及到的或供应商认为需加以说明或证明的其他有关符合性证明材料、证明（如有）</w:t>
            </w:r>
          </w:p>
        </w:tc>
        <w:tc>
          <w:tcPr>
            <w:tcW w:w="2532" w:type="pct"/>
            <w:vAlign w:val="center"/>
          </w:tcPr>
          <w:p w14:paraId="182792C6">
            <w:pPr>
              <w:pStyle w:val="15"/>
              <w:spacing w:line="240" w:lineRule="auto"/>
              <w:jc w:val="left"/>
              <w:rPr>
                <w:rFonts w:ascii="宋体" w:hAnsi="宋体" w:eastAsia="宋体" w:cs="宋体"/>
                <w:sz w:val="21"/>
                <w:szCs w:val="21"/>
                <w:highlight w:val="none"/>
              </w:rPr>
            </w:pPr>
            <w:r>
              <w:rPr>
                <w:rFonts w:hint="eastAsia" w:ascii="宋体" w:hAnsi="宋体" w:eastAsia="宋体" w:cs="宋体"/>
                <w:sz w:val="21"/>
                <w:szCs w:val="21"/>
                <w:highlight w:val="none"/>
              </w:rPr>
              <w:t>投标人须针对集成实施、对接及数据同步内容提供承诺函，不提供视为非实质性响应招标文件要求</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格式自拟</w:t>
            </w:r>
            <w:r>
              <w:rPr>
                <w:rFonts w:hint="eastAsia" w:ascii="宋体" w:hAnsi="宋体" w:eastAsia="宋体" w:cs="宋体"/>
                <w:sz w:val="21"/>
                <w:szCs w:val="21"/>
                <w:highlight w:val="none"/>
              </w:rPr>
              <w:t>。</w:t>
            </w:r>
          </w:p>
        </w:tc>
      </w:tr>
      <w:bookmarkEnd w:id="22"/>
    </w:tbl>
    <w:p w14:paraId="276260BE">
      <w:pPr>
        <w:adjustRightInd w:val="0"/>
        <w:snapToGrid w:val="0"/>
        <w:spacing w:line="360" w:lineRule="auto"/>
        <w:ind w:firstLine="482" w:firstLineChars="200"/>
        <w:rPr>
          <w:rFonts w:ascii="宋体" w:hAnsi="宋体" w:eastAsia="宋体" w:cs="宋体"/>
          <w:b/>
          <w:bCs/>
          <w:sz w:val="24"/>
          <w:szCs w:val="24"/>
          <w:highlight w:val="none"/>
          <w:u w:val="single"/>
          <w:shd w:val="clear" w:color="auto" w:fill="FFFFFF"/>
        </w:rPr>
      </w:pPr>
      <w:r>
        <w:rPr>
          <w:rFonts w:hint="eastAsia" w:ascii="宋体" w:hAnsi="宋体" w:eastAsia="宋体" w:cs="宋体"/>
          <w:b/>
          <w:bCs/>
          <w:sz w:val="24"/>
          <w:szCs w:val="24"/>
          <w:highlight w:val="none"/>
          <w:u w:val="single"/>
          <w:shd w:val="clear" w:color="auto" w:fill="FFFFFF"/>
        </w:rPr>
        <w:t>以上为符合性审查的要求和必须提供的材料，</w:t>
      </w:r>
      <w:bookmarkStart w:id="23" w:name="_Hlk193373771"/>
      <w:r>
        <w:rPr>
          <w:rFonts w:hint="eastAsia" w:ascii="宋体" w:hAnsi="宋体" w:eastAsia="宋体" w:cs="宋体"/>
          <w:b/>
          <w:bCs/>
          <w:sz w:val="24"/>
          <w:szCs w:val="24"/>
          <w:highlight w:val="none"/>
          <w:u w:val="single"/>
          <w:shd w:val="clear" w:color="auto" w:fill="FFFFFF"/>
        </w:rPr>
        <w:t>未按要求提供</w:t>
      </w:r>
      <w:bookmarkEnd w:id="23"/>
      <w:r>
        <w:rPr>
          <w:rFonts w:hint="eastAsia" w:ascii="宋体" w:hAnsi="宋体" w:eastAsia="宋体" w:cs="宋体"/>
          <w:b/>
          <w:bCs/>
          <w:sz w:val="24"/>
          <w:szCs w:val="24"/>
          <w:highlight w:val="none"/>
          <w:u w:val="single"/>
          <w:shd w:val="clear" w:color="auto" w:fill="FFFFFF"/>
        </w:rPr>
        <w:t>的投标（响应）无效。</w:t>
      </w:r>
    </w:p>
    <w:p w14:paraId="798CFE1C">
      <w:pPr>
        <w:spacing w:line="360" w:lineRule="auto"/>
        <w:ind w:firstLine="482" w:firstLineChars="200"/>
        <w:rPr>
          <w:rFonts w:ascii="宋体" w:hAnsi="宋体" w:eastAsia="宋体" w:cs="宋体"/>
          <w:b/>
          <w:sz w:val="24"/>
          <w:highlight w:val="none"/>
        </w:rPr>
      </w:pPr>
      <w:r>
        <w:rPr>
          <w:rFonts w:hint="eastAsia" w:ascii="宋体" w:hAnsi="宋体" w:eastAsia="宋体" w:cs="宋体"/>
          <w:b/>
          <w:sz w:val="24"/>
          <w:highlight w:val="none"/>
        </w:rPr>
        <w:t>14.1.6综合评审其他文件相关要求详见采购文件第六章评审办法。</w:t>
      </w:r>
    </w:p>
    <w:p w14:paraId="7EA73AB8">
      <w:pPr>
        <w:tabs>
          <w:tab w:val="left" w:pos="753"/>
        </w:tabs>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注：</w:t>
      </w:r>
      <w:r>
        <w:rPr>
          <w:rFonts w:hint="eastAsia" w:ascii="宋体" w:hAnsi="宋体" w:eastAsia="宋体" w:cs="宋体"/>
          <w:b/>
          <w:sz w:val="24"/>
          <w:szCs w:val="24"/>
          <w:highlight w:val="none"/>
        </w:rPr>
        <w:t>供应商</w:t>
      </w:r>
      <w:r>
        <w:rPr>
          <w:rFonts w:hint="eastAsia" w:ascii="宋体" w:hAnsi="宋体" w:eastAsia="宋体" w:cs="宋体"/>
          <w:b/>
          <w:bCs/>
          <w:sz w:val="24"/>
          <w:szCs w:val="24"/>
          <w:highlight w:val="none"/>
        </w:rPr>
        <w:t>必须提交上述</w:t>
      </w:r>
      <w:r>
        <w:rPr>
          <w:rFonts w:hint="eastAsia" w:ascii="宋体" w:hAnsi="宋体" w:eastAsia="宋体" w:cs="宋体"/>
          <w:b/>
          <w:sz w:val="24"/>
          <w:highlight w:val="none"/>
        </w:rPr>
        <w:t>14.1</w:t>
      </w:r>
      <w:r>
        <w:rPr>
          <w:rFonts w:hint="eastAsia" w:ascii="宋体" w:hAnsi="宋体" w:eastAsia="宋体" w:cs="宋体"/>
          <w:b/>
          <w:bCs/>
          <w:sz w:val="24"/>
          <w:szCs w:val="24"/>
          <w:highlight w:val="none"/>
        </w:rPr>
        <w:t>.1—</w:t>
      </w:r>
      <w:r>
        <w:rPr>
          <w:rFonts w:hint="eastAsia" w:ascii="宋体" w:hAnsi="宋体" w:eastAsia="宋体" w:cs="宋体"/>
          <w:b/>
          <w:sz w:val="24"/>
          <w:highlight w:val="none"/>
        </w:rPr>
        <w:t>14.1</w:t>
      </w:r>
      <w:r>
        <w:rPr>
          <w:rFonts w:hint="eastAsia" w:ascii="宋体" w:hAnsi="宋体" w:eastAsia="宋体" w:cs="宋体"/>
          <w:b/>
          <w:bCs/>
          <w:sz w:val="24"/>
          <w:szCs w:val="24"/>
          <w:highlight w:val="none"/>
        </w:rPr>
        <w:t>.5款规定的资料。否则，投标响应文件将被视为因未实质性响应招标文件要求而被拒绝。</w:t>
      </w:r>
    </w:p>
    <w:p w14:paraId="60C47854">
      <w:pPr>
        <w:adjustRightInd w:val="0"/>
        <w:snapToGrid w:val="0"/>
        <w:spacing w:line="360" w:lineRule="auto"/>
        <w:ind w:firstLine="480" w:firstLineChars="200"/>
        <w:rPr>
          <w:rFonts w:ascii="宋体" w:hAnsi="宋体" w:eastAsia="宋体" w:cs="宋体"/>
          <w:sz w:val="24"/>
          <w:szCs w:val="24"/>
          <w:highlight w:val="none"/>
          <w:shd w:val="clear" w:color="auto" w:fill="FFFFFF"/>
        </w:rPr>
      </w:pPr>
      <w:bookmarkStart w:id="24" w:name="_Hlk158131259"/>
      <w:bookmarkStart w:id="25" w:name="_Hlk193374074"/>
      <w:r>
        <w:rPr>
          <w:rFonts w:hint="eastAsia" w:ascii="宋体" w:hAnsi="宋体" w:eastAsia="宋体" w:cs="宋体"/>
          <w:sz w:val="24"/>
          <w:szCs w:val="24"/>
          <w:highlight w:val="none"/>
          <w:shd w:val="clear" w:color="auto" w:fill="FFFFFF"/>
        </w:rPr>
        <w:t>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p>
    <w:p w14:paraId="3D543C3C">
      <w:pPr>
        <w:adjustRightInd w:val="0"/>
        <w:snapToGrid w:val="0"/>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供应商必须保证全部投标（响应）资料的真实性，如有虚假或对招标文件所要求说明的情况故意隐瞒或虚报，视为不实质性响应招标文件，响应无效。</w:t>
      </w:r>
    </w:p>
    <w:p w14:paraId="6BEBE39F">
      <w:pPr>
        <w:adjustRightInd w:val="0"/>
        <w:snapToGrid w:val="0"/>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如供应商投标（响应）文件中某些条款不响应招标文件提出的全部采购内容与服务要求，须在偏离表中逐条列出，未列出的视同响应。</w:t>
      </w:r>
      <w:bookmarkEnd w:id="24"/>
    </w:p>
    <w:bookmarkEnd w:id="25"/>
    <w:p w14:paraId="4551E351">
      <w:pPr>
        <w:tabs>
          <w:tab w:val="left" w:pos="142"/>
          <w:tab w:val="left" w:pos="600"/>
        </w:tabs>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15.</w:t>
      </w:r>
      <w:r>
        <w:rPr>
          <w:rFonts w:hint="eastAsia" w:ascii="宋体" w:hAnsi="宋体" w:eastAsia="宋体" w:cs="宋体"/>
          <w:b/>
          <w:sz w:val="24"/>
          <w:szCs w:val="24"/>
          <w:highlight w:val="none"/>
        </w:rPr>
        <w:t xml:space="preserve"> 电子投标（响应）文件的制作及递交</w:t>
      </w:r>
    </w:p>
    <w:p w14:paraId="1DE8B68A">
      <w:pPr>
        <w:tabs>
          <w:tab w:val="left" w:pos="142"/>
          <w:tab w:val="left" w:pos="600"/>
        </w:tabs>
        <w:spacing w:line="360" w:lineRule="auto"/>
        <w:ind w:firstLine="480" w:firstLineChars="200"/>
        <w:jc w:val="left"/>
        <w:rPr>
          <w:rFonts w:ascii="宋体" w:hAnsi="宋体" w:eastAsia="宋体" w:cs="宋体"/>
          <w:sz w:val="24"/>
          <w:szCs w:val="24"/>
          <w:highlight w:val="none"/>
        </w:rPr>
      </w:pPr>
      <w:bookmarkStart w:id="26" w:name="_Hlk140247794"/>
      <w:r>
        <w:rPr>
          <w:rFonts w:hint="eastAsia" w:ascii="宋体" w:hAnsi="宋体" w:eastAsia="宋体" w:cs="宋体"/>
          <w:sz w:val="24"/>
          <w:szCs w:val="24"/>
          <w:highlight w:val="none"/>
        </w:rPr>
        <w:t>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p>
    <w:p w14:paraId="1E61654E">
      <w:pPr>
        <w:tabs>
          <w:tab w:val="left" w:pos="142"/>
          <w:tab w:val="left" w:pos="600"/>
        </w:tabs>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p>
    <w:p w14:paraId="455AD01D">
      <w:pPr>
        <w:tabs>
          <w:tab w:val="left" w:pos="142"/>
          <w:tab w:val="left" w:pos="600"/>
        </w:tabs>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注：（1）请供应商务必保管好编制递交电子投标（响应）文件时使用的CA，如因丢失、损坏等原因更换CA锁时，需重新制作电子投标（响应）文件并递交，否则可能无法解密，因此导致的响应失败等不利后果由供应商自行承担。</w:t>
      </w:r>
    </w:p>
    <w:p w14:paraId="235F5871">
      <w:pPr>
        <w:tabs>
          <w:tab w:val="left" w:pos="142"/>
          <w:tab w:val="left" w:pos="600"/>
        </w:tabs>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p>
    <w:p w14:paraId="2BB29217">
      <w:pPr>
        <w:tabs>
          <w:tab w:val="left" w:pos="142"/>
          <w:tab w:val="left" w:pos="600"/>
        </w:tabs>
        <w:spacing w:line="360" w:lineRule="auto"/>
        <w:ind w:firstLine="482" w:firstLineChars="200"/>
        <w:jc w:val="left"/>
        <w:rPr>
          <w:rFonts w:ascii="宋体" w:hAnsi="宋体" w:eastAsia="宋体" w:cs="宋体"/>
          <w:b/>
          <w:bCs/>
          <w:sz w:val="24"/>
          <w:szCs w:val="24"/>
          <w:highlight w:val="none"/>
        </w:rPr>
      </w:pPr>
      <w:r>
        <w:rPr>
          <w:rFonts w:hint="eastAsia" w:ascii="宋体" w:hAnsi="宋体" w:eastAsia="宋体" w:cs="宋体"/>
          <w:b/>
          <w:bCs/>
          <w:sz w:val="24"/>
          <w:szCs w:val="24"/>
          <w:highlight w:val="none"/>
        </w:rPr>
        <w:t>15.3投标（响应）文件未按照招标文件要求加盖CA电子公章的，响应无效。</w:t>
      </w:r>
    </w:p>
    <w:p w14:paraId="4A9AF18E">
      <w:pPr>
        <w:tabs>
          <w:tab w:val="left" w:pos="142"/>
          <w:tab w:val="left" w:pos="600"/>
        </w:tabs>
        <w:spacing w:line="360" w:lineRule="auto"/>
        <w:ind w:firstLine="480" w:firstLineChars="200"/>
        <w:jc w:val="left"/>
        <w:rPr>
          <w:rFonts w:ascii="宋体" w:hAnsi="宋体" w:eastAsia="宋体" w:cs="宋体"/>
          <w:sz w:val="24"/>
          <w:szCs w:val="24"/>
          <w:highlight w:val="none"/>
        </w:rPr>
      </w:pPr>
      <w:bookmarkStart w:id="27" w:name="_Hlk158134955"/>
      <w:r>
        <w:rPr>
          <w:rFonts w:hint="eastAsia" w:ascii="宋体" w:hAnsi="宋体" w:eastAsia="宋体" w:cs="宋体"/>
          <w:sz w:val="24"/>
          <w:szCs w:val="24"/>
          <w:highlight w:val="none"/>
        </w:rPr>
        <w:t>15.4联合体投标（响应）：如招标公告中允许联合体投标（响应），联合体投标（响应）的投标（响应）文件制作上传操作如下：</w:t>
      </w:r>
    </w:p>
    <w:p w14:paraId="691081EC">
      <w:pPr>
        <w:pStyle w:val="16"/>
        <w:spacing w:line="360" w:lineRule="auto"/>
        <w:ind w:left="0" w:firstLine="480" w:firstLineChars="200"/>
        <w:rPr>
          <w:rFonts w:ascii="宋体" w:hAnsi="宋体" w:eastAsia="宋体" w:cs="宋体"/>
          <w:bCs/>
          <w:szCs w:val="24"/>
          <w:highlight w:val="none"/>
        </w:rPr>
      </w:pPr>
      <w:r>
        <w:rPr>
          <w:rFonts w:hint="eastAsia" w:ascii="宋体" w:hAnsi="宋体" w:eastAsia="宋体" w:cs="宋体"/>
          <w:szCs w:val="24"/>
          <w:highlight w:val="none"/>
        </w:rPr>
        <w:t>第一步：在投标（响应）文件中上传联合体投标（响应）协议书。</w:t>
      </w:r>
      <w:r>
        <w:rPr>
          <w:rFonts w:hint="eastAsia" w:ascii="宋体" w:hAnsi="宋体" w:eastAsia="宋体" w:cs="宋体"/>
          <w:bCs/>
          <w:szCs w:val="24"/>
          <w:highlight w:val="none"/>
        </w:rPr>
        <w:t>（注：联合投标（响应）协议书须盖有联合体各方实体公章或电子章，否则投标（响应）无效。）</w:t>
      </w:r>
    </w:p>
    <w:p w14:paraId="051C8BA4">
      <w:pPr>
        <w:tabs>
          <w:tab w:val="left" w:pos="142"/>
          <w:tab w:val="left" w:pos="600"/>
        </w:tabs>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第二步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在投标（响应）文件中，由联合体中的牵头人制作投标（响应）文件。</w:t>
      </w:r>
      <w:bookmarkEnd w:id="27"/>
    </w:p>
    <w:p w14:paraId="7B5A3204">
      <w:pPr>
        <w:tabs>
          <w:tab w:val="left" w:pos="142"/>
          <w:tab w:val="left" w:pos="600"/>
        </w:tabs>
        <w:spacing w:line="360" w:lineRule="auto"/>
        <w:ind w:firstLine="482" w:firstLineChars="200"/>
        <w:jc w:val="left"/>
        <w:rPr>
          <w:rFonts w:ascii="宋体" w:hAnsi="宋体" w:eastAsia="宋体" w:cs="宋体"/>
          <w:b/>
          <w:bCs/>
          <w:sz w:val="24"/>
          <w:szCs w:val="24"/>
          <w:highlight w:val="none"/>
        </w:rPr>
      </w:pPr>
      <w:r>
        <w:rPr>
          <w:rFonts w:hint="eastAsia" w:ascii="宋体" w:hAnsi="宋体" w:eastAsia="宋体" w:cs="宋体"/>
          <w:b/>
          <w:bCs/>
          <w:sz w:val="24"/>
          <w:szCs w:val="24"/>
          <w:highlight w:val="none"/>
        </w:rPr>
        <w:t>15.5如不同投标（响应）文件制作机器码一致，则投标（响应）无效。</w:t>
      </w:r>
    </w:p>
    <w:bookmarkEnd w:id="26"/>
    <w:p w14:paraId="474610E6">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16.投标（响应）报价（编制）要求的说明</w:t>
      </w:r>
    </w:p>
    <w:p w14:paraId="72DDEEBC">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16.1</w:t>
      </w:r>
      <w:bookmarkStart w:id="28" w:name="_Hlk193374411"/>
      <w:r>
        <w:rPr>
          <w:rFonts w:hint="eastAsia" w:ascii="宋体" w:hAnsi="宋体" w:eastAsia="宋体" w:cs="宋体"/>
          <w:sz w:val="24"/>
          <w:szCs w:val="24"/>
          <w:highlight w:val="none"/>
          <w:shd w:val="clear" w:color="auto" w:fill="FFFFFF"/>
        </w:rPr>
        <w:t>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8"/>
    </w:p>
    <w:p w14:paraId="382318B6">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p>
    <w:p w14:paraId="2351F86C">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16.3一项投标（响应）内容只允许一个报价，采购人或采购代理机构不接受任何有选择性的投标（响应）报价。</w:t>
      </w:r>
    </w:p>
    <w:p w14:paraId="7BE34AD8">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16.4投标（响应）文件报价中的单价和总价全部采用人民币表示，除非合同的特殊条款另有规定。</w:t>
      </w:r>
    </w:p>
    <w:p w14:paraId="255D80BB">
      <w:pPr>
        <w:overflowPunct w:val="0"/>
        <w:adjustRightInd w:val="0"/>
        <w:snapToGrid w:val="0"/>
        <w:spacing w:line="360" w:lineRule="auto"/>
        <w:ind w:firstLine="480" w:firstLineChars="200"/>
        <w:textAlignment w:val="baseline"/>
        <w:rPr>
          <w:rFonts w:ascii="宋体" w:hAnsi="宋体" w:eastAsia="宋体" w:cs="宋体"/>
          <w:highlight w:val="none"/>
        </w:rPr>
      </w:pPr>
      <w:r>
        <w:rPr>
          <w:rFonts w:hint="eastAsia" w:ascii="宋体" w:hAnsi="宋体" w:eastAsia="宋体" w:cs="宋体"/>
          <w:sz w:val="24"/>
          <w:szCs w:val="24"/>
          <w:highlight w:val="none"/>
          <w:shd w:val="clear" w:color="auto" w:fill="FFFFFF"/>
        </w:rPr>
        <w:t>16.5最低报价不能作为中标的保证。</w:t>
      </w:r>
    </w:p>
    <w:p w14:paraId="6A79336B">
      <w:pPr>
        <w:overflowPunct w:val="0"/>
        <w:adjustRightInd w:val="0"/>
        <w:snapToGrid w:val="0"/>
        <w:spacing w:line="360" w:lineRule="auto"/>
        <w:ind w:firstLine="482" w:firstLineChars="200"/>
        <w:textAlignment w:val="baseline"/>
        <w:rPr>
          <w:rFonts w:ascii="宋体" w:hAnsi="宋体" w:eastAsia="宋体" w:cs="宋体"/>
          <w:b/>
          <w:sz w:val="24"/>
          <w:szCs w:val="24"/>
          <w:highlight w:val="none"/>
          <w:shd w:val="clear" w:color="auto" w:fill="FFFFFF"/>
        </w:rPr>
      </w:pPr>
      <w:bookmarkStart w:id="29" w:name="_Hlk193374841"/>
      <w:r>
        <w:rPr>
          <w:rFonts w:hint="eastAsia" w:ascii="宋体" w:hAnsi="宋体" w:eastAsia="宋体" w:cs="宋体"/>
          <w:b/>
          <w:sz w:val="24"/>
          <w:szCs w:val="24"/>
          <w:highlight w:val="none"/>
          <w:shd w:val="clear" w:color="auto" w:fill="FFFFFF"/>
        </w:rPr>
        <w:t>17.履约保证金：</w:t>
      </w:r>
    </w:p>
    <w:p w14:paraId="3CD0DB6B">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p>
    <w:p w14:paraId="5BE82A3F">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17.1中标的供应商应按前附表的规定提交履约保证金。</w:t>
      </w:r>
    </w:p>
    <w:p w14:paraId="6E1C366F">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p>
    <w:p w14:paraId="1EAEC176">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账  户：</w:t>
      </w:r>
    </w:p>
    <w:p w14:paraId="57029F80">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开户行：</w:t>
      </w:r>
    </w:p>
    <w:p w14:paraId="2619F7F3">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账  号：</w:t>
      </w:r>
    </w:p>
    <w:p w14:paraId="731276FC">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17.3中标单位无故拖延或拒不提交履约保证金的，视为拒绝与采购人签订合同，采购人可以按照评审报告推荐的中标候选人名单排序，确定下一候选人为中标单位或者重新开展政府采购活动。</w:t>
      </w:r>
    </w:p>
    <w:p w14:paraId="10CE5812">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p>
    <w:bookmarkEnd w:id="29"/>
    <w:p w14:paraId="0AFDEC60">
      <w:pPr>
        <w:overflowPunct w:val="0"/>
        <w:adjustRightInd w:val="0"/>
        <w:snapToGrid w:val="0"/>
        <w:spacing w:line="360" w:lineRule="auto"/>
        <w:ind w:firstLine="482"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18.投标（响应）文件的有效期</w:t>
      </w:r>
    </w:p>
    <w:p w14:paraId="40A176E2">
      <w:pPr>
        <w:spacing w:line="360" w:lineRule="auto"/>
        <w:ind w:firstLine="480" w:firstLineChars="200"/>
        <w:rPr>
          <w:rFonts w:ascii="宋体" w:hAnsi="宋体" w:eastAsia="宋体" w:cs="宋体"/>
          <w:b/>
          <w:bCs/>
          <w:sz w:val="24"/>
          <w:szCs w:val="24"/>
          <w:highlight w:val="none"/>
          <w:shd w:val="clear" w:color="auto" w:fill="FFFFFF"/>
        </w:rPr>
      </w:pPr>
      <w:r>
        <w:rPr>
          <w:rFonts w:hint="eastAsia" w:ascii="宋体" w:hAnsi="宋体" w:eastAsia="宋体" w:cs="宋体"/>
          <w:sz w:val="24"/>
          <w:szCs w:val="24"/>
          <w:highlight w:val="none"/>
          <w:shd w:val="clear" w:color="auto" w:fill="FFFFFF"/>
        </w:rPr>
        <w:t>18.1自投标（响应）截止日起</w:t>
      </w:r>
      <w:r>
        <w:rPr>
          <w:rFonts w:hint="eastAsia" w:ascii="宋体" w:hAnsi="宋体" w:eastAsia="宋体" w:cs="宋体"/>
          <w:sz w:val="24"/>
          <w:szCs w:val="24"/>
          <w:highlight w:val="none"/>
          <w:u w:val="single"/>
          <w:shd w:val="clear" w:color="auto" w:fill="FFFFFF"/>
        </w:rPr>
        <w:t>90</w:t>
      </w:r>
      <w:r>
        <w:rPr>
          <w:rFonts w:hint="eastAsia" w:ascii="宋体" w:hAnsi="宋体" w:eastAsia="宋体" w:cs="宋体"/>
          <w:sz w:val="24"/>
          <w:szCs w:val="24"/>
          <w:highlight w:val="none"/>
          <w:shd w:val="clear" w:color="auto" w:fill="FFFFFF"/>
        </w:rPr>
        <w:t>天内，投标（响应）书应保持有效。</w:t>
      </w:r>
      <w:r>
        <w:rPr>
          <w:rFonts w:hint="eastAsia" w:ascii="宋体" w:hAnsi="宋体" w:eastAsia="宋体" w:cs="宋体"/>
          <w:b/>
          <w:bCs/>
          <w:sz w:val="24"/>
          <w:szCs w:val="24"/>
          <w:highlight w:val="none"/>
          <w:shd w:val="clear" w:color="auto" w:fill="FFFFFF"/>
        </w:rPr>
        <w:t>有效期短于这个规定期限的投标（响应）将被拒绝。</w:t>
      </w:r>
    </w:p>
    <w:p w14:paraId="5D996335">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p>
    <w:p w14:paraId="024D11A6">
      <w:pPr>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19.</w:t>
      </w:r>
      <w:r>
        <w:rPr>
          <w:rFonts w:hint="eastAsia" w:ascii="宋体" w:hAnsi="宋体" w:eastAsia="宋体" w:cs="宋体"/>
          <w:b/>
          <w:sz w:val="24"/>
          <w:szCs w:val="24"/>
          <w:highlight w:val="none"/>
        </w:rPr>
        <w:t>投标（响应）截止时间</w:t>
      </w:r>
    </w:p>
    <w:p w14:paraId="381ACA83">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19.1电子投标（响应）文件制作完成后请于投标（响应）截止时间前上传，否则视为放弃参加该采购项目。</w:t>
      </w:r>
    </w:p>
    <w:p w14:paraId="3DE0CA1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19.2</w:t>
      </w:r>
      <w:bookmarkStart w:id="30" w:name="_Hlk193375017"/>
      <w:r>
        <w:rPr>
          <w:rFonts w:hint="eastAsia" w:ascii="宋体" w:hAnsi="宋体" w:eastAsia="宋体" w:cs="宋体"/>
          <w:sz w:val="24"/>
          <w:szCs w:val="24"/>
          <w:highlight w:val="none"/>
        </w:rPr>
        <w:t>采购人或采购代理机构推迟投标（响应）截止时间时，以更正公告形式发布。在这种情况下，采购人或采购代理机构和投标（响应）单位的权利和义务将受到新的截止期的约束。</w:t>
      </w:r>
      <w:bookmarkEnd w:id="30"/>
    </w:p>
    <w:p w14:paraId="13DCB65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19.3</w:t>
      </w:r>
      <w:bookmarkStart w:id="31" w:name="_Hlk117242692"/>
      <w:bookmarkStart w:id="32" w:name="_Hlk116314345"/>
      <w:r>
        <w:rPr>
          <w:rFonts w:hint="eastAsia" w:ascii="宋体" w:hAnsi="宋体" w:eastAsia="宋体" w:cs="宋体"/>
          <w:sz w:val="24"/>
          <w:szCs w:val="24"/>
          <w:highlight w:val="none"/>
        </w:rPr>
        <w:t>在投标（递交）截止时间止，采购人或采购代理机构收到的某采购包投标（响应）文件少于三份，采购人或采购代理机构有权宣布该采购包本次招标（采购）失败。</w:t>
      </w:r>
    </w:p>
    <w:p w14:paraId="3BA90E07">
      <w:pPr>
        <w:spacing w:line="360" w:lineRule="auto"/>
        <w:ind w:firstLine="480"/>
        <w:rPr>
          <w:rFonts w:ascii="宋体" w:hAnsi="宋体" w:eastAsia="宋体" w:cs="宋体"/>
          <w:highlight w:val="none"/>
        </w:rPr>
      </w:pPr>
      <w:r>
        <w:rPr>
          <w:rFonts w:hint="eastAsia" w:ascii="宋体" w:hAnsi="宋体" w:eastAsia="宋体" w:cs="宋体"/>
          <w:sz w:val="24"/>
          <w:szCs w:val="24"/>
          <w:highlight w:val="none"/>
        </w:rPr>
        <w:t>19</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4供应商</w:t>
      </w:r>
      <w:r>
        <w:rPr>
          <w:rFonts w:hint="eastAsia" w:ascii="宋体" w:hAnsi="宋体" w:eastAsia="宋体" w:cs="宋体"/>
          <w:sz w:val="24"/>
          <w:szCs w:val="24"/>
          <w:highlight w:val="none"/>
          <w:lang w:val="zh-CN"/>
        </w:rPr>
        <w:t>在投标（响应）截止</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zh-CN"/>
        </w:rPr>
        <w:t>间前，可以对所递交的</w:t>
      </w:r>
      <w:r>
        <w:rPr>
          <w:rFonts w:hint="eastAsia" w:ascii="宋体" w:hAnsi="宋体" w:eastAsia="宋体" w:cs="宋体"/>
          <w:sz w:val="24"/>
          <w:szCs w:val="24"/>
          <w:highlight w:val="none"/>
        </w:rPr>
        <w:t>投标（响应）</w:t>
      </w:r>
      <w:r>
        <w:rPr>
          <w:rFonts w:hint="eastAsia" w:ascii="宋体" w:hAnsi="宋体" w:eastAsia="宋体" w:cs="宋体"/>
          <w:sz w:val="24"/>
          <w:szCs w:val="24"/>
          <w:highlight w:val="none"/>
          <w:lang w:val="zh-CN"/>
        </w:rPr>
        <w:t>文件进行补充、修改或者撤回。</w:t>
      </w:r>
    </w:p>
    <w:bookmarkEnd w:id="31"/>
    <w:bookmarkEnd w:id="32"/>
    <w:p w14:paraId="32F25661">
      <w:pPr>
        <w:adjustRightInd w:val="0"/>
        <w:snapToGrid w:val="0"/>
        <w:spacing w:line="360" w:lineRule="auto"/>
        <w:ind w:firstLine="482" w:firstLineChars="200"/>
        <w:rPr>
          <w:rFonts w:ascii="宋体" w:hAnsi="宋体" w:eastAsia="宋体" w:cs="宋体"/>
          <w:highlight w:val="none"/>
        </w:rPr>
      </w:pPr>
      <w:r>
        <w:rPr>
          <w:rFonts w:hint="eastAsia" w:ascii="宋体" w:hAnsi="宋体" w:eastAsia="宋体" w:cs="宋体"/>
          <w:b/>
          <w:bCs/>
          <w:sz w:val="24"/>
          <w:szCs w:val="20"/>
          <w:highlight w:val="none"/>
          <w:shd w:val="clear" w:color="auto" w:fill="FFFFFF"/>
        </w:rPr>
        <w:t>D.开标和评标</w:t>
      </w:r>
    </w:p>
    <w:p w14:paraId="2CFF3A76">
      <w:pPr>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20.开标</w:t>
      </w:r>
    </w:p>
    <w:p w14:paraId="71276260">
      <w:pPr>
        <w:widowControl/>
        <w:spacing w:line="360" w:lineRule="auto"/>
        <w:ind w:firstLine="480"/>
        <w:rPr>
          <w:rFonts w:ascii="宋体" w:hAnsi="宋体" w:eastAsia="宋体" w:cs="宋体"/>
          <w:sz w:val="24"/>
          <w:szCs w:val="24"/>
          <w:highlight w:val="none"/>
        </w:rPr>
      </w:pPr>
      <w:bookmarkStart w:id="33" w:name="_Hlk92794076"/>
      <w:r>
        <w:rPr>
          <w:rFonts w:hint="eastAsia" w:ascii="宋体" w:hAnsi="宋体" w:eastAsia="宋体" w:cs="宋体"/>
          <w:sz w:val="24"/>
          <w:szCs w:val="24"/>
          <w:highlight w:val="none"/>
        </w:rPr>
        <w:t>20.1本项目为不见面开标项目，开标阶段供应商在【解密环节】必须使用CA证书解密电子投标（响应）文件，请供应商确保电脑、系统及其他设备（视频输入输出设备等）无误，且开启直至项目结束始终保持系统在线状态。</w:t>
      </w:r>
    </w:p>
    <w:p w14:paraId="7FE98DE7">
      <w:pPr>
        <w:spacing w:line="360" w:lineRule="auto"/>
        <w:ind w:firstLine="480" w:firstLineChars="200"/>
        <w:rPr>
          <w:rFonts w:ascii="宋体" w:hAnsi="宋体" w:eastAsia="宋体" w:cs="宋体"/>
          <w:sz w:val="24"/>
          <w:szCs w:val="24"/>
          <w:highlight w:val="none"/>
        </w:rPr>
      </w:pPr>
      <w:bookmarkStart w:id="34" w:name="_Hlk90652960"/>
      <w:r>
        <w:rPr>
          <w:rFonts w:hint="eastAsia" w:ascii="宋体" w:hAnsi="宋体" w:eastAsia="宋体" w:cs="宋体"/>
          <w:sz w:val="24"/>
          <w:szCs w:val="24"/>
          <w:highlight w:val="none"/>
        </w:rPr>
        <w:t>20.2线上参加（观看）开标（开启）会方式：登录“苏采云”系统，点击“开标大厅”，选择对应项目，点击进入不见面开标系统。</w:t>
      </w:r>
    </w:p>
    <w:p w14:paraId="16D6A0F9">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p>
    <w:bookmarkEnd w:id="34"/>
    <w:p w14:paraId="4A1E275D">
      <w:pPr>
        <w:spacing w:line="360" w:lineRule="auto"/>
        <w:ind w:firstLine="480" w:firstLineChars="200"/>
        <w:rPr>
          <w:rFonts w:ascii="宋体" w:hAnsi="宋体" w:eastAsia="宋体" w:cs="宋体"/>
          <w:sz w:val="24"/>
          <w:szCs w:val="24"/>
          <w:highlight w:val="none"/>
        </w:rPr>
      </w:pPr>
      <w:bookmarkStart w:id="35" w:name="_Hlk158135485"/>
      <w:r>
        <w:rPr>
          <w:rFonts w:hint="eastAsia" w:ascii="宋体" w:hAnsi="宋体" w:eastAsia="宋体" w:cs="宋体"/>
          <w:sz w:val="24"/>
          <w:szCs w:val="24"/>
          <w:highlight w:val="none"/>
        </w:rPr>
        <w:t>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5"/>
      <w:r>
        <w:rPr>
          <w:rFonts w:hint="eastAsia" w:ascii="宋体" w:hAnsi="宋体" w:eastAsia="宋体" w:cs="宋体"/>
          <w:sz w:val="24"/>
          <w:szCs w:val="24"/>
          <w:highlight w:val="none"/>
        </w:rPr>
        <w:t>。</w:t>
      </w:r>
    </w:p>
    <w:p w14:paraId="45F6C67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20.5供应商在“苏采云”系统规定的时间内未成功解密电子投标（响应）文件的，投标（响应）无效。</w:t>
      </w:r>
    </w:p>
    <w:p w14:paraId="58FD1F52">
      <w:pPr>
        <w:spacing w:line="360" w:lineRule="auto"/>
        <w:ind w:firstLine="480" w:firstLineChars="200"/>
        <w:rPr>
          <w:rFonts w:ascii="宋体" w:hAnsi="宋体" w:eastAsia="宋体" w:cs="宋体"/>
          <w:highlight w:val="none"/>
        </w:rPr>
      </w:pPr>
      <w:r>
        <w:rPr>
          <w:rFonts w:hint="eastAsia" w:ascii="宋体" w:hAnsi="宋体" w:eastAsia="宋体" w:cs="宋体"/>
          <w:sz w:val="24"/>
          <w:szCs w:val="24"/>
          <w:highlight w:val="none"/>
        </w:rPr>
        <w:t>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p>
    <w:p w14:paraId="050FCB5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20.7供应商电脑环境最低要求：谷歌浏览器，版本可直接网上下载最新版本即可。如需收听现场语音需配置放音设备，如视频直播、互动交流使用异常，请刷新网页，如仍无法解决，请联系技术支持。</w:t>
      </w:r>
    </w:p>
    <w:p w14:paraId="12FA68E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20.8至投标（响应）文件提交截止时间，递交投标（响应）文件的供应商不足三家的，不得开标。</w:t>
      </w:r>
    </w:p>
    <w:p w14:paraId="4D848F33">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20.9开标在招标文件规定的时间、地点进行，由采购人或采购代理机构主持，供应商参加（观看），评标委员会成员不得参加开标活动。</w:t>
      </w:r>
    </w:p>
    <w:p w14:paraId="3DB8307F">
      <w:pPr>
        <w:spacing w:line="360" w:lineRule="auto"/>
        <w:ind w:firstLine="480" w:firstLineChars="200"/>
        <w:rPr>
          <w:rFonts w:ascii="宋体" w:hAnsi="宋体" w:eastAsia="宋体" w:cs="宋体"/>
          <w:highlight w:val="none"/>
        </w:rPr>
      </w:pPr>
      <w:bookmarkStart w:id="36" w:name="_Hlk193375492"/>
      <w:r>
        <w:rPr>
          <w:rFonts w:hint="eastAsia" w:ascii="宋体" w:hAnsi="宋体" w:eastAsia="宋体" w:cs="宋体"/>
          <w:sz w:val="24"/>
          <w:szCs w:val="24"/>
          <w:highlight w:val="none"/>
        </w:rPr>
        <w:t>20.10以上开标活动</w:t>
      </w:r>
      <w:bookmarkStart w:id="37" w:name="_Hlk193375633"/>
      <w:r>
        <w:rPr>
          <w:rFonts w:hint="eastAsia" w:ascii="宋体" w:hAnsi="宋体" w:eastAsia="宋体" w:cs="宋体"/>
          <w:sz w:val="24"/>
          <w:szCs w:val="24"/>
          <w:highlight w:val="none"/>
        </w:rPr>
        <w:t>所涉及系统操作，以“苏采云”系统最新要求为准</w:t>
      </w:r>
      <w:bookmarkEnd w:id="37"/>
      <w:r>
        <w:rPr>
          <w:rFonts w:hint="eastAsia" w:ascii="宋体" w:hAnsi="宋体" w:eastAsia="宋体" w:cs="宋体"/>
          <w:sz w:val="24"/>
          <w:szCs w:val="24"/>
          <w:highlight w:val="none"/>
        </w:rPr>
        <w:t>。</w:t>
      </w:r>
      <w:bookmarkEnd w:id="36"/>
    </w:p>
    <w:bookmarkEnd w:id="33"/>
    <w:p w14:paraId="2BB991BA">
      <w:pPr>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21.信用查询</w:t>
      </w:r>
    </w:p>
    <w:p w14:paraId="6BD5B387">
      <w:pPr>
        <w:spacing w:line="360" w:lineRule="auto"/>
        <w:ind w:firstLine="480" w:firstLineChars="200"/>
        <w:rPr>
          <w:rFonts w:ascii="宋体" w:hAnsi="宋体" w:eastAsia="宋体" w:cs="宋体"/>
          <w:sz w:val="24"/>
          <w:szCs w:val="24"/>
          <w:highlight w:val="none"/>
        </w:rPr>
      </w:pPr>
      <w:bookmarkStart w:id="38" w:name="_Hlk193375658"/>
      <w:r>
        <w:rPr>
          <w:rFonts w:hint="eastAsia" w:ascii="宋体" w:hAnsi="宋体" w:eastAsia="宋体" w:cs="宋体"/>
          <w:sz w:val="24"/>
          <w:szCs w:val="24"/>
          <w:highlight w:val="none"/>
        </w:rPr>
        <w:t>根据政府采购法及相关法规，以及苏州市财政局《关于印发苏州市市级政府采购信用记录查询和使用工作试行办法的通知》（苏财购（2017）11号）文件的规定，采购人对供应商进行信用查询。</w:t>
      </w:r>
    </w:p>
    <w:p w14:paraId="0FC67C61">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21.1查询时间：投标（响应）文件提交截止时间。</w:t>
      </w:r>
    </w:p>
    <w:p w14:paraId="0DF58DAD">
      <w:pPr>
        <w:tabs>
          <w:tab w:val="left" w:pos="753"/>
        </w:tabs>
        <w:spacing w:line="360" w:lineRule="auto"/>
        <w:ind w:firstLine="480"/>
        <w:rPr>
          <w:rFonts w:ascii="宋体" w:hAnsi="宋体" w:eastAsia="宋体" w:cs="宋体"/>
          <w:bCs/>
          <w:sz w:val="24"/>
          <w:szCs w:val="24"/>
          <w:highlight w:val="none"/>
        </w:rPr>
      </w:pPr>
      <w:r>
        <w:rPr>
          <w:rFonts w:hint="eastAsia" w:ascii="宋体" w:hAnsi="宋体" w:eastAsia="宋体" w:cs="宋体"/>
          <w:sz w:val="24"/>
          <w:szCs w:val="24"/>
          <w:highlight w:val="none"/>
        </w:rPr>
        <w:t>21.2查询渠道：</w:t>
      </w:r>
      <w:bookmarkStart w:id="39" w:name="_Hlk92794284"/>
      <w:r>
        <w:rPr>
          <w:rFonts w:hint="eastAsia" w:ascii="宋体" w:hAnsi="宋体" w:eastAsia="宋体" w:cs="宋体"/>
          <w:bCs/>
          <w:sz w:val="24"/>
          <w:szCs w:val="24"/>
          <w:highlight w:val="none"/>
        </w:rPr>
        <w:t>中国政府采购网（www.ccgp.gov.cn）、信用中国（www.creditchina.gov.cn）、信用江苏（</w:t>
      </w:r>
      <w:r>
        <w:rPr>
          <w:highlight w:val="none"/>
        </w:rPr>
        <w:fldChar w:fldCharType="begin"/>
      </w:r>
      <w:r>
        <w:rPr>
          <w:highlight w:val="none"/>
        </w:rPr>
        <w:instrText xml:space="preserve"> HYPERLINK "http://www.jscredit.gov.cn/" </w:instrText>
      </w:r>
      <w:r>
        <w:rPr>
          <w:highlight w:val="none"/>
        </w:rPr>
        <w:fldChar w:fldCharType="separate"/>
      </w:r>
      <w:r>
        <w:rPr>
          <w:rFonts w:hint="eastAsia" w:ascii="宋体" w:hAnsi="宋体" w:eastAsia="宋体" w:cs="宋体"/>
          <w:bCs/>
          <w:sz w:val="24"/>
          <w:szCs w:val="24"/>
          <w:highlight w:val="none"/>
        </w:rPr>
        <w:t>www.jscredit.gov.cn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）、诚信苏州（www.szcredit.gov.cn）。</w:t>
      </w:r>
    </w:p>
    <w:p w14:paraId="4BA9CEAE">
      <w:pPr>
        <w:tabs>
          <w:tab w:val="left" w:pos="753"/>
        </w:tabs>
        <w:spacing w:line="360" w:lineRule="auto"/>
        <w:ind w:firstLine="480"/>
        <w:jc w:val="left"/>
        <w:rPr>
          <w:rFonts w:ascii="宋体" w:hAnsi="宋体" w:eastAsia="宋体" w:cs="宋体"/>
          <w:bCs/>
          <w:sz w:val="24"/>
          <w:szCs w:val="24"/>
          <w:highlight w:val="none"/>
        </w:rPr>
      </w:pPr>
      <w:r>
        <w:rPr>
          <w:rFonts w:hint="eastAsia" w:ascii="宋体" w:hAnsi="宋体" w:eastAsia="宋体" w:cs="宋体"/>
          <w:sz w:val="24"/>
          <w:szCs w:val="24"/>
          <w:highlight w:val="none"/>
        </w:rPr>
        <w:t>21.3查询证据留存方式：</w:t>
      </w:r>
      <w:bookmarkEnd w:id="39"/>
      <w:r>
        <w:rPr>
          <w:rFonts w:hint="eastAsia" w:ascii="宋体" w:hAnsi="宋体" w:eastAsia="宋体" w:cs="宋体"/>
          <w:bCs/>
          <w:sz w:val="24"/>
          <w:szCs w:val="24"/>
          <w:highlight w:val="none"/>
        </w:rPr>
        <w:t>对存在失信信息的供应商，由失信供应商进行确认。同时，采购代理机构工作人员应根据评标委员会确认的失信信息，登录到相关来源网站页面进行复核并打印，作为证据留存。</w:t>
      </w:r>
    </w:p>
    <w:p w14:paraId="7B8B1B40">
      <w:pPr>
        <w:tabs>
          <w:tab w:val="left" w:pos="753"/>
        </w:tabs>
        <w:spacing w:line="360" w:lineRule="auto"/>
        <w:ind w:firstLine="480"/>
        <w:jc w:val="left"/>
        <w:rPr>
          <w:rFonts w:ascii="宋体" w:hAnsi="宋体" w:eastAsia="宋体" w:cs="宋体"/>
          <w:highlight w:val="none"/>
        </w:rPr>
      </w:pPr>
      <w:r>
        <w:rPr>
          <w:rFonts w:hint="eastAsia" w:ascii="宋体" w:hAnsi="宋体" w:eastAsia="宋体" w:cs="宋体"/>
          <w:sz w:val="24"/>
          <w:szCs w:val="24"/>
          <w:highlight w:val="none"/>
        </w:rPr>
        <w:t>21.4信用记录使用规则：</w:t>
      </w:r>
      <w:r>
        <w:rPr>
          <w:rFonts w:hint="eastAsia" w:ascii="宋体" w:hAnsi="宋体" w:eastAsia="宋体" w:cs="宋体"/>
          <w:bCs/>
          <w:sz w:val="24"/>
          <w:szCs w:val="24"/>
          <w:highlight w:val="none"/>
        </w:rPr>
        <w:t>在对供应商进行资格性审查时，应根据查询结果对供应商的不良信用记录逐项甄别确认。</w:t>
      </w:r>
    </w:p>
    <w:p w14:paraId="2FF9F41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21.4.1政府采购严重违法记录，即供应商被全国各级财政部门列入“政府采购严重违法失信行为记录名单”，且在处罚有效期内的。</w:t>
      </w:r>
    </w:p>
    <w:p w14:paraId="424CF1B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21.4.2财政部门与法院、工商、税务等部门联合惩戒的失信信息，包括：</w:t>
      </w:r>
    </w:p>
    <w:p w14:paraId="5B2DD67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21.4.2.1被列入失信被执行人名单；</w:t>
      </w:r>
    </w:p>
    <w:p w14:paraId="3CC35932">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21.4.2.2被列入重大税收违法案件当事人名单；</w:t>
      </w:r>
    </w:p>
    <w:p w14:paraId="40F45281">
      <w:pPr>
        <w:spacing w:line="360" w:lineRule="auto"/>
        <w:ind w:firstLine="480" w:firstLineChars="200"/>
        <w:rPr>
          <w:rFonts w:ascii="宋体" w:hAnsi="宋体" w:eastAsia="宋体" w:cs="宋体"/>
          <w:sz w:val="24"/>
          <w:szCs w:val="24"/>
          <w:highlight w:val="none"/>
        </w:rPr>
      </w:pPr>
      <w:bookmarkStart w:id="40" w:name="_Hlk92794378"/>
      <w:r>
        <w:rPr>
          <w:rFonts w:hint="eastAsia" w:ascii="宋体" w:hAnsi="宋体" w:eastAsia="宋体" w:cs="宋体"/>
          <w:sz w:val="24"/>
          <w:szCs w:val="24"/>
          <w:highlight w:val="none"/>
        </w:rPr>
        <w:t>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25C70B5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21.5接受联合体的项目，两个及以上的自然人、法人或者其他组织组成一个联合体，以一个供应商的身份共同参加政府采购活动的，联合体成员其中一名成员存在失信信息的，视同联合体存在失信信息。</w:t>
      </w:r>
    </w:p>
    <w:bookmarkEnd w:id="38"/>
    <w:bookmarkEnd w:id="40"/>
    <w:p w14:paraId="25B28510">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22.评标委员会</w:t>
      </w:r>
    </w:p>
    <w:p w14:paraId="6C4FDC0A">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22.1评标委员会由采购人或采购代理机构依法组建,由采购单位代表、专家评委组成。</w:t>
      </w:r>
    </w:p>
    <w:p w14:paraId="20E2D35A">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22.2评标委员会负责具体的评标事务，并独立履行以下职责：</w:t>
      </w:r>
    </w:p>
    <w:p w14:paraId="2DD09DAC">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22.2.1审查、评价投标（响应）文件是否符合招标文件的商务、技术等实质性要求；</w:t>
      </w:r>
    </w:p>
    <w:p w14:paraId="7276153C">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22.2.2要求供应商对投标（响应）文件有关事项作出澄清或者说明；</w:t>
      </w:r>
    </w:p>
    <w:p w14:paraId="0887233D">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22.2.3对投标（响应）文件进行比较和评价；</w:t>
      </w:r>
    </w:p>
    <w:p w14:paraId="0E042C8E">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22.2.4</w:t>
      </w:r>
      <w:r>
        <w:rPr>
          <w:rFonts w:hint="eastAsia" w:ascii="宋体" w:hAnsi="宋体" w:eastAsia="宋体" w:cs="宋体"/>
          <w:sz w:val="24"/>
          <w:szCs w:val="24"/>
          <w:highlight w:val="none"/>
          <w:shd w:val="clear" w:color="auto" w:fill="FFFFFF"/>
          <w:lang w:val="zh-CN"/>
        </w:rPr>
        <w:t>按照评标办法和标准推荐不低于3家中标候选人，并根据采购人的委托及评审结果直接确定中标人；</w:t>
      </w:r>
    </w:p>
    <w:p w14:paraId="65EC0818">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22.2.5向采购人、采购代理机构或者有关部门报告评标中发现的违法行为；</w:t>
      </w:r>
    </w:p>
    <w:p w14:paraId="6738B6F2">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22.3评标委员会成员应当履行下列义务：</w:t>
      </w:r>
    </w:p>
    <w:p w14:paraId="28B6D3AD">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22.3.1遵纪守法，客观、公正、廉洁地履行职责；</w:t>
      </w:r>
    </w:p>
    <w:p w14:paraId="1156B38C">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22.3.2按照招标文件规定的评标办法和评标标准进行评标，对评审意见承担个人责任；</w:t>
      </w:r>
    </w:p>
    <w:p w14:paraId="42385F43">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22.3.3对评标过程和结果，以及供应商的商业秘密保密；</w:t>
      </w:r>
    </w:p>
    <w:p w14:paraId="6189C5D7">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22.3.4参与评审报告的起草；</w:t>
      </w:r>
    </w:p>
    <w:p w14:paraId="7521462E">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22.3.5配合相关部门的投诉处理工作；</w:t>
      </w:r>
    </w:p>
    <w:p w14:paraId="59DE0178">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22.3.6配合采购人或采购代理机构答复投标（响应）供应商提出的质疑。</w:t>
      </w:r>
    </w:p>
    <w:p w14:paraId="1C21F5BA">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23.评标内容的保密</w:t>
      </w:r>
    </w:p>
    <w:p w14:paraId="6EBBB8C2">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23.1公开开标后，直到宣布授予中标单位合同为止，凡属于审查、澄清、评价和比较投标（响应）的所有资料，有关授予合同的信息都不应向供应商或与评标无关的其他人泄露。</w:t>
      </w:r>
    </w:p>
    <w:p w14:paraId="271CB618">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23.2在投标（响应）文件的审查、澄清、评价和比较以及授予合同的过程中，供应商对采购人或采购代理机构和评标委员会成员施加影响的任何行为，都将取消其中标资格。</w:t>
      </w:r>
    </w:p>
    <w:p w14:paraId="588CA12A">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23.3在评标期间，</w:t>
      </w:r>
      <w:bookmarkStart w:id="41" w:name="_Hlk193376556"/>
      <w:r>
        <w:rPr>
          <w:rFonts w:hint="eastAsia" w:ascii="宋体" w:hAnsi="宋体" w:eastAsia="宋体" w:cs="宋体"/>
          <w:sz w:val="24"/>
          <w:szCs w:val="24"/>
          <w:highlight w:val="none"/>
          <w:shd w:val="clear" w:color="auto" w:fill="FFFFFF"/>
        </w:rPr>
        <w:t>采购人或采购代理机构将通过指定联络人与供应商进行联系。</w:t>
      </w:r>
      <w:bookmarkEnd w:id="41"/>
    </w:p>
    <w:p w14:paraId="62CE0B1F">
      <w:pPr>
        <w:overflowPunct w:val="0"/>
        <w:spacing w:line="360" w:lineRule="auto"/>
        <w:ind w:firstLine="482"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24.对投标（响应）文件初审</w:t>
      </w:r>
    </w:p>
    <w:p w14:paraId="509DC579">
      <w:pPr>
        <w:spacing w:line="360" w:lineRule="auto"/>
        <w:ind w:firstLine="476"/>
        <w:rPr>
          <w:rFonts w:ascii="宋体" w:hAnsi="宋体" w:eastAsia="宋体" w:cs="宋体"/>
          <w:b/>
          <w:sz w:val="24"/>
          <w:szCs w:val="24"/>
          <w:highlight w:val="none"/>
          <w:shd w:val="clear" w:color="auto" w:fill="FFFFFF"/>
        </w:rPr>
      </w:pPr>
      <w:r>
        <w:rPr>
          <w:rFonts w:hint="eastAsia" w:ascii="宋体" w:hAnsi="宋体" w:eastAsia="宋体" w:cs="宋体"/>
          <w:sz w:val="24"/>
          <w:szCs w:val="24"/>
          <w:highlight w:val="none"/>
          <w:shd w:val="clear" w:color="auto" w:fill="FFFFFF"/>
        </w:rPr>
        <w:t>24.1开标结束后，采购人依法对供应商的资格进行审查。</w:t>
      </w:r>
    </w:p>
    <w:p w14:paraId="658DFC2D">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24.2资格审查后，评标委员会在初审过程中有权拒绝有下列情况之一的投标（响应）文件：</w:t>
      </w:r>
    </w:p>
    <w:p w14:paraId="0C9E7488">
      <w:pPr>
        <w:adjustRightInd w:val="0"/>
        <w:snapToGrid w:val="0"/>
        <w:spacing w:line="360" w:lineRule="auto"/>
        <w:ind w:firstLine="482" w:firstLineChars="200"/>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24.2.1供应商的投标（响应）文件未按照本须知规定制作的；</w:t>
      </w:r>
    </w:p>
    <w:p w14:paraId="08086B18">
      <w:pPr>
        <w:adjustRightInd w:val="0"/>
        <w:snapToGrid w:val="0"/>
        <w:spacing w:line="360" w:lineRule="auto"/>
        <w:ind w:firstLine="482" w:firstLineChars="200"/>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24.2.2与招标文件有重大偏离；</w:t>
      </w:r>
    </w:p>
    <w:p w14:paraId="13EA9730">
      <w:pPr>
        <w:adjustRightInd w:val="0"/>
        <w:snapToGrid w:val="0"/>
        <w:spacing w:line="360" w:lineRule="auto"/>
        <w:ind w:firstLine="482" w:firstLineChars="200"/>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24.2.3供应商拒绝修正错误；</w:t>
      </w:r>
    </w:p>
    <w:p w14:paraId="6B345CD0">
      <w:pPr>
        <w:adjustRightInd w:val="0"/>
        <w:snapToGrid w:val="0"/>
        <w:spacing w:line="360" w:lineRule="auto"/>
        <w:ind w:firstLine="482" w:firstLineChars="200"/>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24.2.4供应商的报价是选择性的；</w:t>
      </w:r>
    </w:p>
    <w:p w14:paraId="4616D0B5">
      <w:pPr>
        <w:adjustRightInd w:val="0"/>
        <w:snapToGrid w:val="0"/>
        <w:spacing w:line="360" w:lineRule="auto"/>
        <w:ind w:firstLine="482" w:firstLineChars="200"/>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24.2.5供应商的报价只投了部分内容；</w:t>
      </w:r>
    </w:p>
    <w:p w14:paraId="7E704BD4">
      <w:pPr>
        <w:adjustRightInd w:val="0"/>
        <w:snapToGrid w:val="0"/>
        <w:spacing w:line="360" w:lineRule="auto"/>
        <w:ind w:firstLine="482" w:firstLineChars="200"/>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24.2.6供应商的投标（响应）文件出现了评标委员会认为不应当雷同的情况；</w:t>
      </w:r>
    </w:p>
    <w:p w14:paraId="0DE17F92">
      <w:pPr>
        <w:adjustRightInd w:val="0"/>
        <w:snapToGrid w:val="0"/>
        <w:spacing w:line="360" w:lineRule="auto"/>
        <w:ind w:firstLine="482" w:firstLineChars="200"/>
        <w:rPr>
          <w:rFonts w:ascii="宋体" w:hAnsi="宋体" w:eastAsia="宋体" w:cs="宋体"/>
          <w:b/>
          <w:bCs/>
          <w:sz w:val="24"/>
          <w:szCs w:val="24"/>
          <w:highlight w:val="none"/>
          <w:u w:val="single"/>
          <w:shd w:val="clear" w:color="auto" w:fill="FFFFFF"/>
        </w:rPr>
      </w:pPr>
      <w:r>
        <w:rPr>
          <w:rFonts w:hint="eastAsia" w:ascii="宋体" w:hAnsi="宋体" w:eastAsia="宋体" w:cs="宋体"/>
          <w:b/>
          <w:bCs/>
          <w:sz w:val="24"/>
          <w:szCs w:val="24"/>
          <w:highlight w:val="none"/>
          <w:shd w:val="clear" w:color="auto" w:fill="FFFFFF"/>
        </w:rPr>
        <w:t>24.2.7其他被评标委员会认定无效的情况。</w:t>
      </w:r>
    </w:p>
    <w:p w14:paraId="6A049BE0">
      <w:pPr>
        <w:adjustRightInd w:val="0"/>
        <w:snapToGrid w:val="0"/>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p>
    <w:p w14:paraId="6D11B632">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p>
    <w:p w14:paraId="20F95287">
      <w:pPr>
        <w:tabs>
          <w:tab w:val="left" w:pos="0"/>
        </w:tabs>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24.5评标委员会将拒绝被确定为非实质性响应的投标，供应商不能通过修正或撤销不符之处而使其投标成为实质性响应的投标。</w:t>
      </w:r>
    </w:p>
    <w:p w14:paraId="4B004AFB">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24.6评标委员会将对确定为实质性响应的投标进行审核，看其是否有计算上或累加上的算术错误。投标（响应）文件报价出现前后不一致的，除招标文件另有规定外，按照下列规定修正：</w:t>
      </w:r>
    </w:p>
    <w:p w14:paraId="3A1149C3">
      <w:pPr>
        <w:spacing w:line="360" w:lineRule="auto"/>
        <w:ind w:firstLine="480" w:firstLineChars="200"/>
        <w:rPr>
          <w:rFonts w:ascii="宋体" w:hAnsi="宋体" w:eastAsia="宋体" w:cs="宋体"/>
          <w:sz w:val="24"/>
          <w:szCs w:val="24"/>
          <w:highlight w:val="none"/>
          <w:shd w:val="clear" w:color="auto" w:fill="FFFFFF"/>
        </w:rPr>
      </w:pPr>
      <w:bookmarkStart w:id="42" w:name="_Hlk193377260"/>
      <w:r>
        <w:rPr>
          <w:rFonts w:hint="eastAsia" w:ascii="宋体" w:hAnsi="宋体" w:eastAsia="宋体" w:cs="宋体"/>
          <w:sz w:val="24"/>
          <w:szCs w:val="24"/>
          <w:highlight w:val="none"/>
          <w:shd w:val="clear" w:color="auto" w:fill="FFFFFF"/>
        </w:rPr>
        <w:t>24.6.1投标（响应）文件中开标一览表（报价表）内容与投标（响应）文件中相应内容不一致的，以开标一览表（报价表）为准；</w:t>
      </w:r>
    </w:p>
    <w:p w14:paraId="3A4A8DF8">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24.6.2大写金额和小写金额不一致的，以大写金额为准；</w:t>
      </w:r>
    </w:p>
    <w:p w14:paraId="23BD3828">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24.6.3单价金额小数点或者百分比有明显错位的，以开标一览表的总价为准，并修改单价；</w:t>
      </w:r>
    </w:p>
    <w:p w14:paraId="163E9053">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24.6.4总价金额与按单价汇总金额不一致的，以单价金额计算结果为准。</w:t>
      </w:r>
    </w:p>
    <w:p w14:paraId="5D7D5C04">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同时出现两种以上不一致的，按照前款规定的顺序修正。修正后的报价按照本须知25.1条的规定经供应商确认后产生约束力，供应商不确认的，其投标（响应）无效。</w:t>
      </w:r>
    </w:p>
    <w:p w14:paraId="4C46F1D2">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24.7供应商不同意以上修正，则其投标（响应）将被拒绝。</w:t>
      </w:r>
    </w:p>
    <w:bookmarkEnd w:id="42"/>
    <w:p w14:paraId="0E80E77E">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24.8评标委员会认为供应商的报价明显低于其他通过符合性审查供应商的报价，有可能影响产品质量或者不能诚信履约的，应当要求其在评标现场合理的时间内提供书面说明</w:t>
      </w:r>
      <w:bookmarkStart w:id="43" w:name="_Hlk158140341"/>
      <w:r>
        <w:rPr>
          <w:rFonts w:hint="eastAsia" w:ascii="宋体" w:hAnsi="宋体" w:eastAsia="宋体" w:cs="宋体"/>
          <w:sz w:val="24"/>
          <w:szCs w:val="24"/>
          <w:highlight w:val="none"/>
          <w:shd w:val="clear" w:color="auto" w:fill="FFFFFF"/>
        </w:rPr>
        <w:t>（线上开评标项目可通过“苏采云”系统要求其提供）</w:t>
      </w:r>
      <w:bookmarkEnd w:id="43"/>
      <w:r>
        <w:rPr>
          <w:rFonts w:hint="eastAsia" w:ascii="宋体" w:hAnsi="宋体" w:eastAsia="宋体" w:cs="宋体"/>
          <w:sz w:val="24"/>
          <w:szCs w:val="24"/>
          <w:highlight w:val="none"/>
          <w:shd w:val="clear" w:color="auto" w:fill="FFFFFF"/>
        </w:rPr>
        <w:t>，必要时提交相关证明材料；供应商不能证明其报价合理性的，评标委员会将其作为无效投标（响应）处理。</w:t>
      </w:r>
    </w:p>
    <w:p w14:paraId="7B7EAA35">
      <w:pPr>
        <w:tabs>
          <w:tab w:val="left" w:pos="0"/>
        </w:tabs>
        <w:spacing w:line="360" w:lineRule="auto"/>
        <w:ind w:firstLine="480" w:firstLineChars="200"/>
        <w:rPr>
          <w:rFonts w:ascii="宋体" w:hAnsi="宋体" w:eastAsia="宋体" w:cs="宋体"/>
          <w:sz w:val="24"/>
          <w:szCs w:val="24"/>
          <w:highlight w:val="none"/>
          <w:shd w:val="clear" w:color="auto" w:fill="FFFFFF"/>
        </w:rPr>
      </w:pPr>
      <w:bookmarkStart w:id="44" w:name="_Hlk193377421"/>
      <w:r>
        <w:rPr>
          <w:rFonts w:hint="eastAsia" w:ascii="宋体" w:hAnsi="宋体" w:eastAsia="宋体" w:cs="宋体"/>
          <w:sz w:val="24"/>
          <w:szCs w:val="24"/>
          <w:highlight w:val="none"/>
          <w:shd w:val="clear" w:color="auto" w:fill="FFFFFF"/>
        </w:rPr>
        <w:t>24.9评标委员会对投标（响应）文件的判定，只依据投标（响应）内容本身，不依靠开标后的任何外来证明。</w:t>
      </w:r>
      <w:bookmarkEnd w:id="44"/>
    </w:p>
    <w:p w14:paraId="4548282C">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25.投标的澄清</w:t>
      </w:r>
    </w:p>
    <w:p w14:paraId="2D9D6A7E">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p>
    <w:p w14:paraId="331FE233">
      <w:pPr>
        <w:spacing w:line="360" w:lineRule="auto"/>
        <w:ind w:firstLine="480" w:firstLineChars="200"/>
        <w:rPr>
          <w:rFonts w:ascii="宋体" w:hAnsi="宋体" w:eastAsia="宋体" w:cs="宋体"/>
          <w:sz w:val="24"/>
          <w:szCs w:val="24"/>
          <w:highlight w:val="none"/>
          <w:shd w:val="clear" w:color="auto" w:fill="FFFFFF"/>
        </w:rPr>
      </w:pPr>
      <w:bookmarkStart w:id="45" w:name="_Hlk158140503"/>
      <w:bookmarkStart w:id="46" w:name="_Hlk158140452"/>
      <w:bookmarkStart w:id="47" w:name="_Hlk90656398"/>
      <w:bookmarkStart w:id="48" w:name="_Hlk193377538"/>
      <w:r>
        <w:rPr>
          <w:rFonts w:hint="eastAsia" w:ascii="宋体" w:hAnsi="宋体" w:eastAsia="宋体" w:cs="宋体"/>
          <w:sz w:val="24"/>
          <w:szCs w:val="24"/>
          <w:highlight w:val="none"/>
          <w:shd w:val="clear" w:color="auto" w:fill="FFFFFF"/>
        </w:rPr>
        <w:t>25.2本项目采用线上澄清</w:t>
      </w:r>
      <w:bookmarkEnd w:id="45"/>
      <w:r>
        <w:rPr>
          <w:rFonts w:hint="eastAsia" w:ascii="宋体" w:hAnsi="宋体" w:eastAsia="宋体" w:cs="宋体"/>
          <w:sz w:val="24"/>
          <w:szCs w:val="24"/>
          <w:highlight w:val="none"/>
          <w:shd w:val="clear" w:color="auto" w:fill="FFFFFF"/>
        </w:rPr>
        <w:t>。</w:t>
      </w:r>
      <w:bookmarkEnd w:id="46"/>
    </w:p>
    <w:p w14:paraId="0E40D7D9">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p>
    <w:p w14:paraId="63CA677B">
      <w:pPr>
        <w:spacing w:line="360" w:lineRule="auto"/>
        <w:ind w:firstLine="480" w:firstLineChars="200"/>
        <w:rPr>
          <w:rFonts w:ascii="宋体" w:hAnsi="宋体" w:eastAsia="宋体" w:cs="宋体"/>
          <w:highlight w:val="none"/>
        </w:rPr>
      </w:pPr>
      <w:r>
        <w:rPr>
          <w:rFonts w:hint="eastAsia" w:ascii="宋体" w:hAnsi="宋体" w:eastAsia="宋体" w:cs="宋体"/>
          <w:sz w:val="24"/>
          <w:szCs w:val="24"/>
          <w:highlight w:val="none"/>
          <w:shd w:val="clear" w:color="auto" w:fill="FFFFFF"/>
        </w:rPr>
        <w:t>25.2.2接到评标委员会澄清、说明和更正要求的供应商如未按规定作出澄清、说明和更正，其风险由供应商自行承担。</w:t>
      </w:r>
      <w:bookmarkEnd w:id="47"/>
    </w:p>
    <w:bookmarkEnd w:id="48"/>
    <w:p w14:paraId="12765FF5">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26.废标</w:t>
      </w:r>
    </w:p>
    <w:p w14:paraId="7187A098">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26.1在招标过程中，出现下列情况之一的，应予废标：</w:t>
      </w:r>
    </w:p>
    <w:p w14:paraId="23581B77">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26.1.1符合专业条件的供应商或者对招标文件作实质响应的供应商不足三家的；</w:t>
      </w:r>
    </w:p>
    <w:p w14:paraId="455054D8">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26.1.2出现影响采购公正的违法、违规行为的；</w:t>
      </w:r>
    </w:p>
    <w:p w14:paraId="768A043F">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26.1.3供应商的报价均超过了采购预算，采购人不能支付的；</w:t>
      </w:r>
    </w:p>
    <w:p w14:paraId="456D37CA">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26.1.4因重大变故，采购任务取消的；</w:t>
      </w:r>
    </w:p>
    <w:p w14:paraId="50BCFBE0">
      <w:pPr>
        <w:adjustRightInd w:val="0"/>
        <w:snapToGrid w:val="0"/>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26.2废标后，采购代理机构将把废标的理由通知所有供应商。</w:t>
      </w:r>
    </w:p>
    <w:p w14:paraId="09BF5FCD">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27.投标（响应）文件的评价和比较</w:t>
      </w:r>
    </w:p>
    <w:p w14:paraId="42A4963D">
      <w:pPr>
        <w:tabs>
          <w:tab w:val="left" w:pos="142"/>
          <w:tab w:val="left" w:pos="600"/>
        </w:tabs>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27.1评标委员会应当严格按照招标文件的要求、条件、评分标准，对符合性审查合格的投标（响应）文件进行商务和技术评估，综合比较与评价。</w:t>
      </w:r>
    </w:p>
    <w:p w14:paraId="7D0B7992">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27.2本项目采用综合评分法，即指投标（响应）文件满足招标文件全部实质性要求，且按照评审因素的量化指标评审得分最高的供应商为排名第一的中标候选人的评标方法。</w:t>
      </w:r>
    </w:p>
    <w:p w14:paraId="5CA27971">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评标委员会严格按照招标文件的要求、条件、评分标准，对供应商所提供货物或服务的先进性、可靠性、售后服务承诺、质量保证承诺等实质性响应内容进行比较报价，同时考虑以下因素：</w:t>
      </w:r>
    </w:p>
    <w:p w14:paraId="771CBF67">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27.2.1投标（响应）者的资信情况和履约能力；</w:t>
      </w:r>
    </w:p>
    <w:p w14:paraId="7532C9EE">
      <w:pPr>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27.2.2投标（响应）者提供的其他优惠条件；</w:t>
      </w:r>
    </w:p>
    <w:p w14:paraId="16CF6ED0">
      <w:pPr>
        <w:overflowPunct w:val="0"/>
        <w:adjustRightInd w:val="0"/>
        <w:snapToGrid w:val="0"/>
        <w:spacing w:line="360" w:lineRule="auto"/>
        <w:ind w:firstLine="482" w:firstLineChars="200"/>
        <w:textAlignment w:val="baseline"/>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27.3最低的投标（响应）报价或最高的折扣比例是中标的重要条件，但不是唯一条件。</w:t>
      </w:r>
    </w:p>
    <w:p w14:paraId="14045A80">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28.中标单位的确认</w:t>
      </w:r>
    </w:p>
    <w:p w14:paraId="17A55830">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28.1评标委员会根据供应商资格审查情况，以及对投标（响应）文件进行评价和比较，按照评标办法和标准进行评标，并根据采购人的委托，按照中标候选人的顺序在中标候选人中直接确定成交人。</w:t>
      </w:r>
    </w:p>
    <w:p w14:paraId="0403F1FD">
      <w:pPr>
        <w:widowControl/>
        <w:adjustRightInd w:val="0"/>
        <w:snapToGrid w:val="0"/>
        <w:spacing w:line="360" w:lineRule="auto"/>
        <w:ind w:firstLine="480" w:firstLineChars="200"/>
        <w:rPr>
          <w:rFonts w:ascii="宋体" w:hAnsi="宋体" w:eastAsia="宋体" w:cs="宋体"/>
          <w:highlight w:val="none"/>
        </w:rPr>
      </w:pPr>
      <w:r>
        <w:rPr>
          <w:rFonts w:hint="eastAsia" w:ascii="宋体" w:hAnsi="宋体" w:eastAsia="宋体" w:cs="宋体"/>
          <w:sz w:val="24"/>
          <w:szCs w:val="24"/>
          <w:highlight w:val="none"/>
          <w:shd w:val="clear" w:color="auto" w:fill="FFFFFF"/>
        </w:rPr>
        <w:t>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p>
    <w:p w14:paraId="6010821A">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bCs/>
          <w:sz w:val="24"/>
          <w:szCs w:val="20"/>
          <w:highlight w:val="none"/>
          <w:shd w:val="clear" w:color="auto" w:fill="FFFFFF"/>
        </w:rPr>
        <w:t>E.授予合同</w:t>
      </w:r>
    </w:p>
    <w:p w14:paraId="7A073D26">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29.合同授予标准</w:t>
      </w:r>
    </w:p>
    <w:p w14:paraId="3D2CA3DB">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29.1采购人将把合同授予其投标（响应）文件在实质上响应招标文件要求和按本须知规定评选出的供应商。确定为中标的供应商必须具有实施本合同的能力和资源。</w:t>
      </w:r>
    </w:p>
    <w:p w14:paraId="3DA65810">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30.中标通知书</w:t>
      </w:r>
    </w:p>
    <w:p w14:paraId="75FC18DA">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bookmarkStart w:id="49" w:name="_Hlk193377906"/>
      <w:r>
        <w:rPr>
          <w:rFonts w:hint="eastAsia" w:ascii="宋体" w:hAnsi="宋体" w:eastAsia="宋体" w:cs="宋体"/>
          <w:sz w:val="24"/>
          <w:szCs w:val="24"/>
          <w:highlight w:val="none"/>
          <w:shd w:val="clear" w:color="auto" w:fill="FFFFFF"/>
        </w:rPr>
        <w:t>30.1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p>
    <w:p w14:paraId="7435E930">
      <w:pPr>
        <w:overflowPunct w:val="0"/>
        <w:spacing w:line="360" w:lineRule="auto"/>
        <w:ind w:firstLine="480" w:firstLineChars="200"/>
        <w:textAlignment w:val="baseline"/>
        <w:rPr>
          <w:rFonts w:ascii="宋体" w:hAnsi="宋体" w:eastAsia="宋体" w:cs="宋体"/>
          <w:highlight w:val="none"/>
        </w:rPr>
      </w:pPr>
      <w:r>
        <w:rPr>
          <w:rFonts w:hint="eastAsia" w:ascii="宋体" w:hAnsi="宋体" w:eastAsia="宋体" w:cs="宋体"/>
          <w:sz w:val="24"/>
          <w:szCs w:val="24"/>
          <w:highlight w:val="none"/>
          <w:shd w:val="clear" w:color="auto" w:fill="FFFFFF"/>
        </w:rPr>
        <w:t>30.2采购人或采购代理机构对未中标单位不承担解释未中标原因的义务。</w:t>
      </w:r>
    </w:p>
    <w:p w14:paraId="579A4A21">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30.3中标通知书将成为合同的组成部分。</w:t>
      </w:r>
    </w:p>
    <w:bookmarkEnd w:id="49"/>
    <w:p w14:paraId="41C98DA9">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31.合同的签订</w:t>
      </w:r>
    </w:p>
    <w:p w14:paraId="2BD448B8">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31.1中标单位应按中标通知书中规定的时间和地点，由法定代表人或授权代理人与甲方代表签订合同。</w:t>
      </w:r>
    </w:p>
    <w:p w14:paraId="084F7221">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31.2签订合同及合同条款应以招标文件和中标单位的投标（响应）文件及其澄清文件为依据。</w:t>
      </w:r>
    </w:p>
    <w:p w14:paraId="188728B5">
      <w:pPr>
        <w:adjustRightInd w:val="0"/>
        <w:snapToGrid w:val="0"/>
        <w:spacing w:line="360" w:lineRule="auto"/>
        <w:ind w:firstLine="482" w:firstLineChars="200"/>
        <w:rPr>
          <w:rFonts w:ascii="宋体" w:hAnsi="宋体" w:eastAsia="宋体" w:cs="宋体"/>
          <w:b/>
          <w:sz w:val="24"/>
          <w:szCs w:val="24"/>
          <w:highlight w:val="none"/>
          <w:shd w:val="clear" w:color="auto" w:fill="FFFFFF"/>
        </w:rPr>
      </w:pPr>
      <w:bookmarkStart w:id="50" w:name="_Hlk193378097"/>
      <w:r>
        <w:rPr>
          <w:rFonts w:hint="eastAsia" w:ascii="宋体" w:hAnsi="宋体" w:eastAsia="宋体" w:cs="宋体"/>
          <w:b/>
          <w:bCs/>
          <w:sz w:val="24"/>
          <w:szCs w:val="20"/>
          <w:highlight w:val="none"/>
          <w:shd w:val="clear" w:color="auto" w:fill="FFFFFF"/>
        </w:rPr>
        <w:t>F.其他事项</w:t>
      </w:r>
    </w:p>
    <w:bookmarkEnd w:id="50"/>
    <w:p w14:paraId="436DA415">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32.质疑</w:t>
      </w:r>
    </w:p>
    <w:p w14:paraId="7F7A1593">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32.1质疑及答复遵守《政府采购质疑和投诉办法》（财政部令第94号）规定。</w:t>
      </w:r>
    </w:p>
    <w:p w14:paraId="07C43FA4">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p>
    <w:p w14:paraId="635F36F5">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32.2.1对可以质疑的招标文件提出质疑的，为收到招标文件之日或者招标文件公告期限届满之日；</w:t>
      </w:r>
    </w:p>
    <w:p w14:paraId="7458D856">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32.2.2对采购过程提出质疑的，为各采购程序环节结束之日；</w:t>
      </w:r>
    </w:p>
    <w:p w14:paraId="0AF1515F">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32.2.3对中标结果提出质疑的，为中标结果公告期限届满之日。</w:t>
      </w:r>
    </w:p>
    <w:p w14:paraId="44065C5E">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32.3供应商应当在法定质疑期内一次性提出针对同一采购程序环节的质疑。供应商如在法定期限内对同一采购程序环节提出多次质疑的，采购代理机构或采购人将只对供应商第一次质疑作出答复。</w:t>
      </w:r>
    </w:p>
    <w:p w14:paraId="0A2ED4AD">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32.4提出质疑的供应商应当是参与所质疑项目采购活动的供应商，未依照招标公告要求获取招标文件的供应商，视为未参与该项政府采购活动，不具备对该政府采购项目提出质疑的法定权利。</w:t>
      </w:r>
    </w:p>
    <w:p w14:paraId="78EA320E">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32.5对招标文件内容质疑时，需提供在“苏采云”系统中下载本项目招标文件的《投标供应商确认函》，未提供的视为未依照招标公告要求获取招标文件的供应商，不具备对该政府采购项目提出质疑的法定权利。</w:t>
      </w:r>
    </w:p>
    <w:p w14:paraId="30AE0404">
      <w:pPr>
        <w:overflowPunct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32.6接收质疑函的方式为书面形式（当场送达或邮寄方式）。供应商质疑函范本格式请参照“苏州市政府采购”网站——“下载中心”——“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rFonts w:hint="eastAsia" w:ascii="宋体" w:hAnsi="宋体" w:eastAsia="宋体" w:cs="宋体"/>
          <w:sz w:val="24"/>
          <w:szCs w:val="24"/>
          <w:highlight w:val="none"/>
          <w:shd w:val="clear" w:color="auto" w:fill="FFFFFF"/>
        </w:rPr>
        <w:t>政府采购供应商质疑函范本</w:t>
      </w:r>
      <w:r>
        <w:rPr>
          <w:rFonts w:hint="eastAsia" w:ascii="宋体" w:hAnsi="宋体" w:eastAsia="宋体" w:cs="宋体"/>
          <w:sz w:val="24"/>
          <w:szCs w:val="24"/>
          <w:highlight w:val="none"/>
          <w:shd w:val="clear" w:color="auto" w:fill="FFFFFF"/>
        </w:rPr>
        <w:fldChar w:fldCharType="end"/>
      </w:r>
      <w:r>
        <w:rPr>
          <w:rFonts w:hint="eastAsia" w:ascii="宋体" w:hAnsi="宋体" w:eastAsia="宋体" w:cs="宋体"/>
          <w:sz w:val="24"/>
          <w:szCs w:val="24"/>
          <w:highlight w:val="none"/>
          <w:shd w:val="clear" w:color="auto" w:fill="FFFFFF"/>
        </w:rPr>
        <w:t>”。供应商如组成联合体参加投标（响应），则《质疑函范本》中要求签字、盖章、加盖公章之处，联合体各方均须按要求签字、盖章、加盖公章。</w:t>
      </w:r>
    </w:p>
    <w:p w14:paraId="33672201">
      <w:pPr>
        <w:overflowPunct w:val="0"/>
        <w:spacing w:line="360" w:lineRule="auto"/>
        <w:ind w:firstLine="480" w:firstLineChars="200"/>
        <w:textAlignment w:val="baseline"/>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32.7</w:t>
      </w:r>
      <w:r>
        <w:rPr>
          <w:rFonts w:hint="eastAsia" w:ascii="宋体" w:hAnsi="宋体" w:eastAsia="宋体" w:cs="宋体"/>
          <w:sz w:val="24"/>
          <w:szCs w:val="24"/>
          <w:highlight w:val="none"/>
        </w:rPr>
        <w:t>供应商提出书面质疑必须有理、有据，不得捏造事实、提供虚假材料进行恶意质疑。否则，一经查实，将报请政府采购监管部门按照政府采购相关法规规定，依法进行处罚和失信记录。</w:t>
      </w:r>
    </w:p>
    <w:p w14:paraId="62B91EF3">
      <w:pPr>
        <w:overflowPunct w:val="0"/>
        <w:spacing w:line="360" w:lineRule="auto"/>
        <w:ind w:firstLine="480" w:firstLineChars="200"/>
        <w:textAlignment w:val="baseline"/>
        <w:rPr>
          <w:rFonts w:ascii="宋体" w:hAnsi="宋体" w:eastAsia="宋体" w:cs="宋体"/>
          <w:sz w:val="24"/>
          <w:szCs w:val="24"/>
          <w:highlight w:val="none"/>
          <w:lang w:val="zh-CN"/>
        </w:rPr>
      </w:pPr>
      <w:r>
        <w:rPr>
          <w:rFonts w:hint="eastAsia" w:ascii="宋体" w:hAnsi="宋体" w:eastAsia="宋体" w:cs="宋体"/>
          <w:sz w:val="24"/>
          <w:szCs w:val="24"/>
          <w:highlight w:val="none"/>
          <w:shd w:val="clear" w:color="auto" w:fill="FFFFFF"/>
        </w:rPr>
        <w:t>32.8</w:t>
      </w:r>
      <w:r>
        <w:rPr>
          <w:rFonts w:hint="eastAsia" w:ascii="宋体" w:hAnsi="宋体" w:eastAsia="宋体" w:cs="宋体"/>
          <w:sz w:val="24"/>
          <w:szCs w:val="24"/>
          <w:highlight w:val="none"/>
          <w:lang w:val="zh-CN"/>
        </w:rPr>
        <w:t>质疑递交信息：详见第一章采购人及采购代理机构联系信息。</w:t>
      </w:r>
    </w:p>
    <w:p w14:paraId="431AE38A">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33.监督和公证</w:t>
      </w:r>
    </w:p>
    <w:p w14:paraId="7DDF9D74">
      <w:pPr>
        <w:adjustRightInd w:val="0"/>
        <w:snapToGrid w:val="0"/>
        <w:spacing w:line="360" w:lineRule="auto"/>
        <w:ind w:firstLine="480" w:firstLineChars="20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33.1有关监督部门将对招投标全过程进行监督。</w:t>
      </w:r>
    </w:p>
    <w:p w14:paraId="30B3A5E8">
      <w:pPr>
        <w:overflowPunct w:val="0"/>
        <w:adjustRightInd w:val="0"/>
        <w:snapToGrid w:val="0"/>
        <w:spacing w:line="360" w:lineRule="auto"/>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33.2开、评标过程将通过公证机关进行公证（如有）。</w:t>
      </w:r>
    </w:p>
    <w:p w14:paraId="79D677CE">
      <w:pPr>
        <w:adjustRightInd w:val="0"/>
        <w:snapToGrid w:val="0"/>
        <w:spacing w:line="360" w:lineRule="auto"/>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34.未尽事宜</w:t>
      </w:r>
    </w:p>
    <w:p w14:paraId="2DBF51DC">
      <w:pPr>
        <w:adjustRightInd w:val="0"/>
        <w:snapToGrid w:val="0"/>
        <w:spacing w:line="360" w:lineRule="auto"/>
        <w:ind w:firstLine="480" w:firstLineChars="200"/>
        <w:rPr>
          <w:rFonts w:ascii="宋体" w:hAnsi="宋体" w:eastAsia="宋体" w:cs="宋体"/>
          <w:sz w:val="24"/>
          <w:szCs w:val="24"/>
          <w:highlight w:val="none"/>
          <w:shd w:val="clear" w:color="auto" w:fill="FFFFFF"/>
        </w:rPr>
      </w:pPr>
      <w:bookmarkStart w:id="51" w:name="_Hlk193378690"/>
      <w:r>
        <w:rPr>
          <w:rFonts w:hint="eastAsia" w:ascii="宋体" w:hAnsi="宋体" w:eastAsia="宋体" w:cs="宋体"/>
          <w:sz w:val="24"/>
          <w:szCs w:val="24"/>
          <w:highlight w:val="none"/>
          <w:shd w:val="clear" w:color="auto" w:fill="FFFFFF"/>
        </w:rPr>
        <w:t>未尽事宜应按《中华人民共和国民法典》、《中华人民共和国政府采购法》以及其它相关法律、法规之规定解释。</w:t>
      </w:r>
    </w:p>
    <w:bookmarkEnd w:id="51"/>
    <w:p w14:paraId="427D3A08">
      <w:pPr>
        <w:spacing w:line="360" w:lineRule="auto"/>
        <w:rPr>
          <w:rFonts w:ascii="宋体" w:hAnsi="宋体" w:eastAsia="宋体" w:cs="宋体"/>
          <w:sz w:val="32"/>
          <w:szCs w:val="32"/>
          <w:highlight w:val="none"/>
          <w:shd w:val="clear" w:color="auto" w:fill="FFFFFF"/>
        </w:rPr>
      </w:pPr>
      <w:r>
        <w:rPr>
          <w:rFonts w:hint="eastAsia" w:ascii="宋体" w:hAnsi="宋体" w:eastAsia="宋体" w:cs="宋体"/>
          <w:sz w:val="26"/>
          <w:szCs w:val="20"/>
          <w:highlight w:val="none"/>
          <w:shd w:val="clear" w:color="auto" w:fill="FFFFFF"/>
        </w:rPr>
        <w:br w:type="page"/>
      </w:r>
    </w:p>
    <w:p w14:paraId="4E0619E4">
      <w:pPr>
        <w:spacing w:line="360" w:lineRule="auto"/>
        <w:rPr>
          <w:rFonts w:ascii="宋体" w:hAnsi="宋体" w:eastAsia="宋体" w:cs="宋体"/>
          <w:sz w:val="32"/>
          <w:szCs w:val="32"/>
          <w:highlight w:val="none"/>
          <w:shd w:val="clear" w:color="auto" w:fill="FFFFFF"/>
        </w:rPr>
      </w:pPr>
    </w:p>
    <w:p w14:paraId="3273EF89">
      <w:pPr>
        <w:spacing w:line="360" w:lineRule="auto"/>
        <w:rPr>
          <w:rFonts w:ascii="宋体" w:hAnsi="宋体" w:eastAsia="宋体" w:cs="宋体"/>
          <w:sz w:val="32"/>
          <w:szCs w:val="32"/>
          <w:highlight w:val="none"/>
          <w:shd w:val="clear" w:color="auto" w:fill="FFFFFF"/>
        </w:rPr>
      </w:pPr>
    </w:p>
    <w:p w14:paraId="48EDB960">
      <w:pPr>
        <w:spacing w:line="360" w:lineRule="auto"/>
        <w:rPr>
          <w:rFonts w:ascii="宋体" w:hAnsi="宋体" w:eastAsia="宋体" w:cs="宋体"/>
          <w:sz w:val="32"/>
          <w:szCs w:val="32"/>
          <w:highlight w:val="none"/>
          <w:shd w:val="clear" w:color="auto" w:fill="FFFFFF"/>
        </w:rPr>
      </w:pPr>
    </w:p>
    <w:p w14:paraId="32FF053B">
      <w:pPr>
        <w:spacing w:line="360" w:lineRule="auto"/>
        <w:rPr>
          <w:rFonts w:ascii="宋体" w:hAnsi="宋体" w:eastAsia="宋体" w:cs="宋体"/>
          <w:sz w:val="32"/>
          <w:szCs w:val="32"/>
          <w:highlight w:val="none"/>
          <w:shd w:val="clear" w:color="auto" w:fill="FFFFFF"/>
        </w:rPr>
      </w:pPr>
    </w:p>
    <w:p w14:paraId="41A8B2C2">
      <w:pPr>
        <w:spacing w:line="360" w:lineRule="auto"/>
        <w:rPr>
          <w:rFonts w:ascii="宋体" w:hAnsi="宋体" w:eastAsia="宋体" w:cs="宋体"/>
          <w:sz w:val="32"/>
          <w:szCs w:val="32"/>
          <w:highlight w:val="none"/>
          <w:shd w:val="clear" w:color="auto" w:fill="FFFFFF"/>
        </w:rPr>
      </w:pPr>
    </w:p>
    <w:p w14:paraId="54AB80FC">
      <w:pPr>
        <w:keepNext/>
        <w:keepLines/>
        <w:spacing w:before="340" w:after="330" w:line="360" w:lineRule="auto"/>
        <w:jc w:val="center"/>
        <w:outlineLvl w:val="0"/>
        <w:rPr>
          <w:rFonts w:ascii="宋体" w:hAnsi="宋体" w:eastAsia="宋体" w:cs="宋体"/>
          <w:kern w:val="44"/>
          <w:sz w:val="52"/>
          <w:szCs w:val="20"/>
          <w:highlight w:val="none"/>
          <w:shd w:val="clear" w:color="auto" w:fill="FFFFFF"/>
        </w:rPr>
      </w:pPr>
      <w:bookmarkStart w:id="52" w:name="_Toc105940239"/>
      <w:r>
        <w:rPr>
          <w:rFonts w:hint="eastAsia" w:ascii="宋体" w:hAnsi="宋体" w:eastAsia="宋体" w:cs="宋体"/>
          <w:b/>
          <w:kern w:val="44"/>
          <w:sz w:val="52"/>
          <w:szCs w:val="20"/>
          <w:highlight w:val="none"/>
          <w:shd w:val="clear" w:color="auto" w:fill="FFFFFF"/>
        </w:rPr>
        <w:t>第三章投标（响应）文件格式</w:t>
      </w:r>
      <w:bookmarkEnd w:id="52"/>
    </w:p>
    <w:p w14:paraId="23043710">
      <w:pPr>
        <w:overflowPunct w:val="0"/>
        <w:adjustRightInd w:val="0"/>
        <w:spacing w:line="360" w:lineRule="auto"/>
        <w:jc w:val="left"/>
        <w:textAlignment w:val="baseline"/>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t>说明：</w:t>
      </w:r>
    </w:p>
    <w:p w14:paraId="5D9339B6">
      <w:pPr>
        <w:overflowPunct w:val="0"/>
        <w:adjustRightInd w:val="0"/>
        <w:spacing w:line="360" w:lineRule="auto"/>
        <w:ind w:firstLine="482" w:firstLineChars="200"/>
        <w:jc w:val="left"/>
        <w:textAlignment w:val="baseline"/>
        <w:rPr>
          <w:rFonts w:ascii="宋体" w:hAnsi="宋体" w:eastAsia="宋体" w:cs="宋体"/>
          <w:b/>
          <w:sz w:val="24"/>
          <w:szCs w:val="20"/>
          <w:highlight w:val="none"/>
          <w:shd w:val="clear" w:color="auto" w:fill="FFFFFF"/>
        </w:rPr>
      </w:pPr>
      <w:r>
        <w:rPr>
          <w:rFonts w:hint="eastAsia" w:ascii="宋体" w:hAnsi="宋体" w:eastAsia="宋体" w:cs="宋体"/>
          <w:b/>
          <w:sz w:val="24"/>
          <w:szCs w:val="21"/>
          <w:highlight w:val="none"/>
          <w:shd w:val="clear" w:color="auto" w:fill="FFFFFF"/>
        </w:rPr>
        <w:t>对本章所有的投标（响应）文件格式 ，除注明允许修改的文件外，供应商均应按照本章提供的格式填写，否则作为无效标。允许修改的文件，投标（响应）方可根据自身情况进行补充和修改，但补充和修改不得造成与原格式内容有实质性的违背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highlight w:val="none"/>
          <w:shd w:val="clear" w:color="auto" w:fill="FFFFFF"/>
        </w:rPr>
        <w:t>。</w:t>
      </w:r>
    </w:p>
    <w:p w14:paraId="087187DC">
      <w:pPr>
        <w:overflowPunct w:val="0"/>
        <w:spacing w:line="360" w:lineRule="auto"/>
        <w:textAlignment w:val="baseline"/>
        <w:outlineLvl w:val="1"/>
        <w:rPr>
          <w:rFonts w:ascii="宋体" w:hAnsi="宋体" w:eastAsia="宋体" w:cs="宋体"/>
          <w:b/>
          <w:sz w:val="24"/>
          <w:szCs w:val="20"/>
          <w:highlight w:val="none"/>
          <w:shd w:val="clear" w:color="auto" w:fill="FFFFFF"/>
        </w:rPr>
      </w:pPr>
      <w:r>
        <w:rPr>
          <w:rFonts w:hint="eastAsia" w:ascii="宋体" w:hAnsi="宋体" w:eastAsia="宋体" w:cs="宋体"/>
          <w:b/>
          <w:sz w:val="28"/>
          <w:szCs w:val="20"/>
          <w:highlight w:val="none"/>
          <w:shd w:val="clear" w:color="auto" w:fill="FFFFFF"/>
        </w:rPr>
        <w:br w:type="page"/>
      </w:r>
      <w:r>
        <w:rPr>
          <w:rFonts w:hint="eastAsia" w:ascii="宋体" w:hAnsi="宋体" w:eastAsia="宋体" w:cs="宋体"/>
          <w:b/>
          <w:sz w:val="24"/>
          <w:szCs w:val="20"/>
          <w:highlight w:val="none"/>
          <w:shd w:val="clear" w:color="auto" w:fill="FFFFFF"/>
        </w:rPr>
        <w:t>1、（供应商）法定代表人授权委托书</w:t>
      </w:r>
    </w:p>
    <w:p w14:paraId="5452DFB0">
      <w:pPr>
        <w:overflowPunct w:val="0"/>
        <w:spacing w:line="360" w:lineRule="auto"/>
        <w:jc w:val="center"/>
        <w:textAlignment w:val="baseline"/>
        <w:rPr>
          <w:rFonts w:ascii="宋体" w:hAnsi="宋体" w:eastAsia="宋体" w:cs="宋体"/>
          <w:sz w:val="24"/>
          <w:szCs w:val="20"/>
          <w:highlight w:val="none"/>
          <w:shd w:val="clear" w:color="auto" w:fill="FFFFFF"/>
        </w:rPr>
      </w:pPr>
    </w:p>
    <w:p w14:paraId="7F4B8DC3">
      <w:pPr>
        <w:overflowPunct w:val="0"/>
        <w:adjustRightInd w:val="0"/>
        <w:spacing w:line="360" w:lineRule="auto"/>
        <w:jc w:val="center"/>
        <w:textAlignment w:val="baseline"/>
        <w:rPr>
          <w:rFonts w:ascii="宋体" w:hAnsi="宋体" w:eastAsia="宋体" w:cs="宋体"/>
          <w:b/>
          <w:sz w:val="24"/>
          <w:szCs w:val="24"/>
          <w:highlight w:val="none"/>
        </w:rPr>
      </w:pPr>
      <w:r>
        <w:rPr>
          <w:rFonts w:hint="eastAsia" w:ascii="宋体" w:hAnsi="宋体" w:eastAsia="宋体" w:cs="宋体"/>
          <w:b/>
          <w:sz w:val="24"/>
          <w:szCs w:val="20"/>
          <w:highlight w:val="none"/>
        </w:rPr>
        <w:t>授权委托书</w:t>
      </w:r>
    </w:p>
    <w:p w14:paraId="0AFE9CFF">
      <w:pPr>
        <w:overflowPunct w:val="0"/>
        <w:spacing w:line="360" w:lineRule="auto"/>
        <w:textAlignment w:val="baseline"/>
        <w:rPr>
          <w:rFonts w:ascii="宋体" w:hAnsi="宋体" w:eastAsia="宋体" w:cs="宋体"/>
          <w:sz w:val="24"/>
          <w:szCs w:val="20"/>
          <w:highlight w:val="none"/>
        </w:rPr>
      </w:pPr>
    </w:p>
    <w:p w14:paraId="3E6067E1">
      <w:pPr>
        <w:overflowPunct w:val="0"/>
        <w:spacing w:line="360" w:lineRule="auto"/>
        <w:ind w:firstLine="480" w:firstLineChars="200"/>
        <w:textAlignment w:val="baseline"/>
        <w:rPr>
          <w:rFonts w:ascii="宋体" w:hAnsi="宋体" w:eastAsia="宋体" w:cs="宋体"/>
          <w:sz w:val="24"/>
          <w:szCs w:val="20"/>
          <w:highlight w:val="none"/>
        </w:rPr>
      </w:pPr>
      <w:bookmarkStart w:id="53" w:name="_Hlk117242496"/>
      <w:r>
        <w:rPr>
          <w:rFonts w:hint="eastAsia" w:ascii="宋体" w:hAnsi="宋体" w:eastAsia="宋体" w:cs="宋体"/>
          <w:sz w:val="24"/>
          <w:szCs w:val="20"/>
          <w:highlight w:val="none"/>
        </w:rPr>
        <w:t>本授权委托书声明：我</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（姓名）系</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（供应商名称）的法定代表人，现授权委托</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（供应商名称）的</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 （姓名+手机号码）为本公司代理人，以本公司的名义参加苏州诚和招投标咨询有限公司组织实施的编号为</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号的招标活动。代理人在开标、评标、合同招标过程中所签署的一切文件和处理与这有关的一切事务，我均予以承认。</w:t>
      </w:r>
    </w:p>
    <w:p w14:paraId="3399AC17">
      <w:pPr>
        <w:overflowPunct w:val="0"/>
        <w:spacing w:line="360" w:lineRule="auto"/>
        <w:ind w:firstLine="480" w:firstLineChars="200"/>
        <w:textAlignment w:val="baseline"/>
        <w:rPr>
          <w:rFonts w:ascii="宋体" w:hAnsi="宋体" w:eastAsia="宋体" w:cs="宋体"/>
          <w:sz w:val="24"/>
          <w:szCs w:val="20"/>
          <w:highlight w:val="none"/>
        </w:rPr>
      </w:pPr>
      <w:r>
        <w:rPr>
          <w:rFonts w:hint="eastAsia" w:ascii="宋体" w:hAnsi="宋体" w:eastAsia="宋体" w:cs="宋体"/>
          <w:sz w:val="24"/>
          <w:szCs w:val="20"/>
          <w:highlight w:val="none"/>
        </w:rPr>
        <w:t>代理人在授权委托书有效期内签署的所有文件不因授权委托的撤销而失效，除非有撤销授权委托的书面通知，本授权委托书自投标之日起至合同履行完毕止。</w:t>
      </w:r>
    </w:p>
    <w:p w14:paraId="61E6AA4F">
      <w:pPr>
        <w:overflowPunct w:val="0"/>
        <w:spacing w:line="360" w:lineRule="auto"/>
        <w:ind w:firstLine="480" w:firstLineChars="200"/>
        <w:textAlignment w:val="baseline"/>
        <w:rPr>
          <w:rFonts w:ascii="宋体" w:hAnsi="宋体" w:eastAsia="宋体" w:cs="宋体"/>
          <w:sz w:val="24"/>
          <w:szCs w:val="20"/>
          <w:highlight w:val="none"/>
        </w:rPr>
      </w:pPr>
      <w:r>
        <w:rPr>
          <w:rFonts w:hint="eastAsia" w:ascii="宋体" w:hAnsi="宋体" w:eastAsia="宋体" w:cs="宋体"/>
          <w:sz w:val="24"/>
          <w:szCs w:val="20"/>
          <w:highlight w:val="none"/>
        </w:rPr>
        <w:t>代理人无转委托权。特此委托。</w:t>
      </w:r>
    </w:p>
    <w:bookmarkEnd w:id="53"/>
    <w:p w14:paraId="1AFE57B3">
      <w:pPr>
        <w:overflowPunct w:val="0"/>
        <w:spacing w:line="360" w:lineRule="auto"/>
        <w:ind w:firstLine="480" w:firstLineChars="200"/>
        <w:textAlignment w:val="baseline"/>
        <w:rPr>
          <w:rFonts w:ascii="宋体" w:hAnsi="宋体" w:eastAsia="宋体" w:cs="宋体"/>
          <w:sz w:val="24"/>
          <w:szCs w:val="20"/>
          <w:highlight w:val="none"/>
        </w:rPr>
      </w:pPr>
    </w:p>
    <w:p w14:paraId="5175224C">
      <w:pPr>
        <w:overflowPunct w:val="0"/>
        <w:spacing w:line="360" w:lineRule="auto"/>
        <w:ind w:firstLine="480" w:firstLineChars="200"/>
        <w:textAlignment w:val="baseline"/>
        <w:rPr>
          <w:rFonts w:ascii="宋体" w:hAnsi="宋体" w:eastAsia="宋体" w:cs="宋体"/>
          <w:sz w:val="24"/>
          <w:szCs w:val="20"/>
          <w:highlight w:val="none"/>
        </w:rPr>
      </w:pPr>
    </w:p>
    <w:p w14:paraId="0D85D6B2">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62D71456">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法定代表人（签字或盖章）</w:t>
      </w:r>
    </w:p>
    <w:p w14:paraId="3EAA9037">
      <w:pPr>
        <w:spacing w:line="360" w:lineRule="auto"/>
        <w:ind w:right="420"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p w14:paraId="7AA8D5EA">
      <w:pPr>
        <w:rPr>
          <w:rFonts w:ascii="宋体" w:hAnsi="宋体" w:eastAsia="宋体" w:cs="宋体"/>
          <w:b/>
          <w:sz w:val="24"/>
          <w:szCs w:val="20"/>
          <w:highlight w:val="none"/>
        </w:rPr>
      </w:pPr>
      <w:r>
        <w:rPr>
          <w:rFonts w:hint="eastAsia" w:ascii="宋体" w:hAnsi="宋体" w:eastAsia="宋体" w:cs="宋体"/>
          <w:b/>
          <w:sz w:val="24"/>
          <w:szCs w:val="20"/>
          <w:highlight w:val="none"/>
        </w:rPr>
        <w:br w:type="page"/>
      </w:r>
    </w:p>
    <w:p w14:paraId="5D613344">
      <w:pPr>
        <w:overflowPunct w:val="0"/>
        <w:adjustRightInd w:val="0"/>
        <w:spacing w:line="360" w:lineRule="auto"/>
        <w:jc w:val="left"/>
        <w:textAlignment w:val="baseline"/>
        <w:outlineLvl w:val="1"/>
        <w:rPr>
          <w:rFonts w:ascii="宋体" w:hAnsi="宋体" w:eastAsia="宋体" w:cs="宋体"/>
          <w:b/>
          <w:sz w:val="24"/>
          <w:szCs w:val="20"/>
          <w:highlight w:val="none"/>
        </w:rPr>
      </w:pPr>
      <w:r>
        <w:rPr>
          <w:rFonts w:hint="eastAsia" w:ascii="宋体" w:hAnsi="宋体" w:eastAsia="宋体" w:cs="宋体"/>
          <w:b/>
          <w:sz w:val="24"/>
          <w:szCs w:val="20"/>
          <w:highlight w:val="none"/>
        </w:rPr>
        <w:t>2、投标（响应）函</w:t>
      </w:r>
    </w:p>
    <w:p w14:paraId="147441CD">
      <w:pPr>
        <w:spacing w:line="360" w:lineRule="auto"/>
        <w:jc w:val="center"/>
        <w:textAlignment w:val="baseline"/>
        <w:rPr>
          <w:rFonts w:ascii="宋体" w:hAnsi="宋体" w:eastAsia="宋体" w:cs="宋体"/>
          <w:sz w:val="24"/>
          <w:szCs w:val="24"/>
          <w:highlight w:val="none"/>
          <w:shd w:val="clear" w:color="auto" w:fill="FFFFFF"/>
        </w:rPr>
      </w:pPr>
      <w:r>
        <w:rPr>
          <w:rFonts w:hint="eastAsia" w:ascii="宋体" w:hAnsi="宋体" w:eastAsia="宋体" w:cs="宋体"/>
          <w:b/>
          <w:sz w:val="24"/>
          <w:szCs w:val="24"/>
          <w:highlight w:val="none"/>
          <w:shd w:val="clear" w:color="auto" w:fill="FFFFFF"/>
        </w:rPr>
        <w:t>投标（响应）函</w:t>
      </w:r>
    </w:p>
    <w:p w14:paraId="45230691">
      <w:pPr>
        <w:adjustRightInd w:val="0"/>
        <w:textAlignment w:val="baseline"/>
        <w:rPr>
          <w:rFonts w:ascii="宋体" w:hAnsi="宋体" w:eastAsia="宋体" w:cs="宋体"/>
          <w:sz w:val="24"/>
          <w:szCs w:val="24"/>
          <w:highlight w:val="none"/>
          <w:u w:val="single"/>
        </w:rPr>
      </w:pPr>
      <w:r>
        <w:rPr>
          <w:rFonts w:hint="eastAsia" w:ascii="宋体" w:hAnsi="宋体" w:eastAsia="宋体" w:cs="宋体"/>
          <w:sz w:val="24"/>
          <w:szCs w:val="24"/>
          <w:highlight w:val="none"/>
          <w:u w:val="single"/>
          <w:shd w:val="clear" w:color="auto" w:fill="FFFFFF"/>
        </w:rPr>
        <w:t>苏州诚和招投标咨询有限公司</w:t>
      </w:r>
      <w:r>
        <w:rPr>
          <w:rFonts w:hint="eastAsia" w:ascii="宋体" w:hAnsi="宋体" w:eastAsia="宋体" w:cs="宋体"/>
          <w:sz w:val="24"/>
          <w:szCs w:val="24"/>
          <w:highlight w:val="none"/>
          <w:u w:val="single"/>
        </w:rPr>
        <w:t>：</w:t>
      </w:r>
    </w:p>
    <w:p w14:paraId="61E19C92">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本公司收到贵司</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号招标文件，经仔细阅读和研究，本公司决定参加投标（响应）。</w:t>
      </w:r>
    </w:p>
    <w:p w14:paraId="4E3489F9">
      <w:pPr>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0"/>
          <w:highlight w:val="none"/>
          <w:shd w:val="clear" w:color="auto" w:fill="FFFFFF"/>
        </w:rPr>
        <w:t>1、本公司愿意按照招标文件的一切要求，提供完成该项目的全部内容，本公司的投标（响应）报价</w:t>
      </w:r>
      <w:r>
        <w:rPr>
          <w:rFonts w:hint="eastAsia" w:ascii="宋体" w:hAnsi="宋体" w:eastAsia="宋体" w:cs="宋体"/>
          <w:sz w:val="24"/>
          <w:szCs w:val="24"/>
          <w:highlight w:val="none"/>
          <w:shd w:val="clear" w:color="auto" w:fill="FFFFFF"/>
        </w:rPr>
        <w:t>包括完成本招标项目所需的项目运行管理、技术支撑、资源租赁费、支撑设备费用、试运行直到验收、质保、运维、利润、税金、保险、培训、技术支持、政策性文件规定及合同包含的所有风险、责任等各项应有费用。</w:t>
      </w:r>
    </w:p>
    <w:p w14:paraId="08C94C93">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2、如果本公司的投标（响应）书被接受，本公司将严格履行招标文件中规定的每一项要求，按期、按质、按量履行合同的义务。</w:t>
      </w:r>
    </w:p>
    <w:p w14:paraId="15A7AC86">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3、本公司已详细审查全部招标文件，包括补充文件（更正公告，如有）。本公司完全理解并同意放弃对这方面有不明及误解的权利。</w:t>
      </w:r>
    </w:p>
    <w:p w14:paraId="1DA75162">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4、本公司同意按招标文件中的规定，本投标（响应）书的有效期限为投标（响应）截止日起</w:t>
      </w:r>
      <w:r>
        <w:rPr>
          <w:rFonts w:hint="eastAsia" w:ascii="宋体" w:hAnsi="宋体" w:eastAsia="宋体" w:cs="宋体"/>
          <w:sz w:val="24"/>
          <w:szCs w:val="20"/>
          <w:highlight w:val="none"/>
          <w:u w:val="single"/>
          <w:shd w:val="clear" w:color="auto" w:fill="FFFFFF"/>
        </w:rPr>
        <w:t>90</w:t>
      </w:r>
      <w:r>
        <w:rPr>
          <w:rFonts w:hint="eastAsia" w:ascii="宋体" w:hAnsi="宋体" w:eastAsia="宋体" w:cs="宋体"/>
          <w:sz w:val="24"/>
          <w:szCs w:val="20"/>
          <w:highlight w:val="none"/>
          <w:shd w:val="clear" w:color="auto" w:fill="FFFFFF"/>
        </w:rPr>
        <w:t>天。</w:t>
      </w:r>
    </w:p>
    <w:p w14:paraId="05E4B2C9">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5、本公司愿意提供采购人或采购代理机构在招标文件中要求的所有资料。</w:t>
      </w:r>
    </w:p>
    <w:p w14:paraId="2B7DBFD0">
      <w:pPr>
        <w:ind w:firstLine="480" w:firstLineChars="200"/>
        <w:rPr>
          <w:rFonts w:ascii="宋体" w:hAnsi="宋体" w:eastAsia="宋体" w:cs="宋体"/>
          <w:kern w:val="0"/>
          <w:sz w:val="24"/>
          <w:szCs w:val="24"/>
          <w:highlight w:val="none"/>
          <w:shd w:val="clear" w:color="auto" w:fill="FFFFFF"/>
        </w:rPr>
      </w:pPr>
      <w:r>
        <w:rPr>
          <w:rFonts w:hint="eastAsia" w:ascii="宋体" w:hAnsi="宋体" w:eastAsia="宋体" w:cs="宋体"/>
          <w:sz w:val="24"/>
          <w:szCs w:val="20"/>
          <w:highlight w:val="none"/>
          <w:shd w:val="clear" w:color="auto" w:fill="FFFFFF"/>
        </w:rPr>
        <w:t>6、</w:t>
      </w:r>
      <w:r>
        <w:rPr>
          <w:rFonts w:hint="eastAsia" w:ascii="宋体" w:hAnsi="宋体" w:eastAsia="宋体" w:cs="宋体"/>
          <w:kern w:val="0"/>
          <w:sz w:val="24"/>
          <w:szCs w:val="24"/>
          <w:highlight w:val="none"/>
          <w:shd w:val="clear" w:color="auto" w:fill="FFFFFF"/>
        </w:rPr>
        <w:t>本公司声明：本公司在参加本次政府采购活动前3年内在经营活动中没有重大违法记录。</w:t>
      </w:r>
    </w:p>
    <w:p w14:paraId="58C1B318">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7、本公司愿意遵守招标公告及招标文件中所列的收费标准。</w:t>
      </w:r>
    </w:p>
    <w:p w14:paraId="282E235E">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8、本公司承诺该项投标（响应）在开标后的全过程中保持有效，不作任何更改和变动。</w:t>
      </w:r>
    </w:p>
    <w:p w14:paraId="3DBC7376">
      <w:pPr>
        <w:ind w:firstLine="480" w:firstLineChars="200"/>
        <w:textAlignment w:val="baseline"/>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9、如果本公司中标（成交），本公司愿意按采购文件规定支付履约保证金（如有）。</w:t>
      </w:r>
    </w:p>
    <w:p w14:paraId="142B2D59">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10、本公司承诺符合</w:t>
      </w:r>
      <w:r>
        <w:rPr>
          <w:rFonts w:hint="eastAsia" w:ascii="宋体" w:hAnsi="宋体" w:eastAsia="宋体" w:cs="宋体"/>
          <w:sz w:val="24"/>
          <w:szCs w:val="24"/>
          <w:highlight w:val="none"/>
        </w:rPr>
        <w:t>招标公告中的“申请人的资格要求”</w:t>
      </w:r>
      <w:r>
        <w:rPr>
          <w:rFonts w:hint="eastAsia" w:ascii="宋体" w:hAnsi="宋体" w:eastAsia="宋体" w:cs="宋体"/>
          <w:sz w:val="24"/>
          <w:szCs w:val="20"/>
          <w:highlight w:val="none"/>
          <w:shd w:val="clear" w:color="auto" w:fill="FFFFFF"/>
        </w:rPr>
        <w:t>的要求，若与真实情况不符，本公司愿意承担由此而产生的一切后果。</w:t>
      </w:r>
    </w:p>
    <w:p w14:paraId="556E3229">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11、综合说明：</w:t>
      </w:r>
    </w:p>
    <w:p w14:paraId="05766D92">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（1）伴随服务及配合措施；</w:t>
      </w:r>
    </w:p>
    <w:p w14:paraId="3AF68537">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（2）要求甲方提供的配合；</w:t>
      </w:r>
    </w:p>
    <w:p w14:paraId="23668482">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（3）对招标文件有不同意见的偏离说明；</w:t>
      </w:r>
    </w:p>
    <w:p w14:paraId="7DB63E3C">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（4）其它说明。</w:t>
      </w:r>
    </w:p>
    <w:p w14:paraId="2AE6C0F0">
      <w:pPr>
        <w:textAlignment w:val="baseline"/>
        <w:rPr>
          <w:rFonts w:ascii="宋体" w:hAnsi="宋体" w:eastAsia="宋体" w:cs="宋体"/>
          <w:sz w:val="24"/>
          <w:szCs w:val="20"/>
          <w:highlight w:val="none"/>
          <w:shd w:val="clear" w:color="auto" w:fill="FFFFFF"/>
        </w:rPr>
      </w:pPr>
    </w:p>
    <w:p w14:paraId="5CA94635">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所有有关</w:t>
      </w:r>
      <w:r>
        <w:rPr>
          <w:rFonts w:hint="eastAsia" w:ascii="宋体" w:hAnsi="宋体" w:eastAsia="宋体" w:cs="宋体"/>
          <w:sz w:val="24"/>
          <w:szCs w:val="24"/>
          <w:highlight w:val="none"/>
        </w:rPr>
        <w:t>投标（响应）文件</w:t>
      </w:r>
      <w:r>
        <w:rPr>
          <w:rFonts w:hint="eastAsia" w:ascii="宋体" w:hAnsi="宋体" w:eastAsia="宋体" w:cs="宋体"/>
          <w:sz w:val="24"/>
          <w:szCs w:val="20"/>
          <w:highlight w:val="none"/>
          <w:shd w:val="clear" w:color="auto" w:fill="FFFFFF"/>
        </w:rPr>
        <w:t>的函电，请按下列地址联系：</w:t>
      </w:r>
    </w:p>
    <w:p w14:paraId="1F77861E">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单位：                     联系人：                 地址：</w:t>
      </w:r>
    </w:p>
    <w:p w14:paraId="675031A8">
      <w:pPr>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邮政编码：                 联系电话：               传真：</w:t>
      </w:r>
    </w:p>
    <w:p w14:paraId="01CB0CDA">
      <w:pPr>
        <w:ind w:firstLine="480" w:firstLineChars="2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公司电子邮箱：</w:t>
      </w:r>
    </w:p>
    <w:p w14:paraId="3BF86E6A">
      <w:pPr>
        <w:ind w:firstLine="480"/>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银行账号：</w:t>
      </w:r>
    </w:p>
    <w:p w14:paraId="40B37459">
      <w:pPr>
        <w:ind w:firstLine="480"/>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银行开户行：</w:t>
      </w:r>
    </w:p>
    <w:p w14:paraId="0E06E454">
      <w:pPr>
        <w:ind w:firstLine="480"/>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数字人民币开户行（如有）：</w:t>
      </w:r>
    </w:p>
    <w:p w14:paraId="4A662619">
      <w:pPr>
        <w:ind w:firstLine="480"/>
        <w:rPr>
          <w:rFonts w:ascii="宋体" w:hAnsi="宋体" w:eastAsia="宋体" w:cs="宋体"/>
          <w:sz w:val="24"/>
          <w:szCs w:val="24"/>
          <w:highlight w:val="none"/>
          <w:shd w:val="clear" w:color="auto" w:fill="FFFFFF"/>
        </w:rPr>
      </w:pPr>
      <w:r>
        <w:rPr>
          <w:rFonts w:hint="eastAsia" w:ascii="宋体" w:hAnsi="宋体" w:eastAsia="宋体" w:cs="宋体"/>
          <w:sz w:val="24"/>
          <w:highlight w:val="none"/>
          <w:shd w:val="clear" w:color="auto" w:fill="FFFFFF"/>
        </w:rPr>
        <w:t>数字人民币账户（数币钱包ID）：</w:t>
      </w:r>
    </w:p>
    <w:p w14:paraId="64E73D6D">
      <w:pPr>
        <w:pStyle w:val="48"/>
        <w:ind w:firstLine="520"/>
        <w:rPr>
          <w:rFonts w:ascii="宋体" w:hAnsi="宋体" w:eastAsia="宋体" w:cs="宋体"/>
          <w:highlight w:val="none"/>
        </w:rPr>
      </w:pPr>
    </w:p>
    <w:p w14:paraId="29279E5E">
      <w:pPr>
        <w:ind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43B6FE80">
      <w:pPr>
        <w:ind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p w14:paraId="3E3F0B15">
      <w:pPr>
        <w:rPr>
          <w:rFonts w:ascii="宋体" w:hAnsi="宋体" w:eastAsia="宋体" w:cs="宋体"/>
          <w:b/>
          <w:szCs w:val="24"/>
          <w:highlight w:val="none"/>
        </w:rPr>
      </w:pPr>
      <w:r>
        <w:rPr>
          <w:rFonts w:hint="eastAsia" w:ascii="宋体" w:hAnsi="宋体" w:eastAsia="宋体" w:cs="宋体"/>
          <w:b/>
          <w:szCs w:val="24"/>
          <w:highlight w:val="none"/>
        </w:rPr>
        <w:br w:type="page"/>
      </w:r>
    </w:p>
    <w:p w14:paraId="1C10115D">
      <w:pPr>
        <w:pStyle w:val="10"/>
        <w:overflowPunct w:val="0"/>
        <w:adjustRightInd/>
        <w:spacing w:line="360" w:lineRule="auto"/>
        <w:ind w:firstLine="0"/>
        <w:jc w:val="both"/>
        <w:outlineLvl w:val="1"/>
        <w:rPr>
          <w:rFonts w:ascii="宋体" w:hAnsi="宋体" w:eastAsia="宋体" w:cs="宋体"/>
          <w:b/>
          <w:szCs w:val="24"/>
          <w:highlight w:val="none"/>
        </w:rPr>
      </w:pPr>
      <w:r>
        <w:rPr>
          <w:rFonts w:hint="eastAsia" w:ascii="宋体" w:hAnsi="宋体" w:eastAsia="宋体" w:cs="宋体"/>
          <w:b/>
          <w:szCs w:val="24"/>
          <w:highlight w:val="none"/>
        </w:rPr>
        <w:t>3、开标一览表（总报价）</w:t>
      </w:r>
    </w:p>
    <w:p w14:paraId="2923451C">
      <w:pPr>
        <w:pStyle w:val="154"/>
        <w:adjustRightInd/>
        <w:spacing w:line="360" w:lineRule="auto"/>
        <w:jc w:val="center"/>
        <w:rPr>
          <w:rFonts w:hAnsi="宋体" w:eastAsia="宋体" w:cs="宋体"/>
          <w:b/>
          <w:sz w:val="24"/>
          <w:szCs w:val="24"/>
          <w:highlight w:val="none"/>
        </w:rPr>
      </w:pPr>
      <w:r>
        <w:rPr>
          <w:rFonts w:hint="eastAsia" w:hAnsi="宋体" w:eastAsia="宋体" w:cs="宋体"/>
          <w:b/>
          <w:sz w:val="24"/>
          <w:szCs w:val="24"/>
          <w:highlight w:val="none"/>
        </w:rPr>
        <w:t>开标一览表（总报价）</w:t>
      </w:r>
    </w:p>
    <w:p w14:paraId="61670243">
      <w:pPr>
        <w:rPr>
          <w:rFonts w:ascii="宋体" w:hAnsi="宋体" w:eastAsia="宋体" w:cs="宋体"/>
          <w:sz w:val="24"/>
          <w:szCs w:val="24"/>
          <w:highlight w:val="none"/>
        </w:rPr>
      </w:pPr>
      <w:r>
        <w:rPr>
          <w:rFonts w:hint="eastAsia" w:ascii="宋体" w:hAnsi="宋体" w:eastAsia="宋体" w:cs="宋体"/>
          <w:sz w:val="24"/>
          <w:szCs w:val="24"/>
          <w:highlight w:val="none"/>
        </w:rPr>
        <w:t>投标人全称（加盖公章）：</w:t>
      </w:r>
    </w:p>
    <w:p w14:paraId="506D1AFC">
      <w:pPr>
        <w:rPr>
          <w:rFonts w:ascii="宋体" w:hAnsi="宋体" w:eastAsia="宋体" w:cs="宋体"/>
          <w:sz w:val="24"/>
          <w:szCs w:val="24"/>
          <w:highlight w:val="none"/>
        </w:rPr>
      </w:pPr>
      <w:r>
        <w:rPr>
          <w:rFonts w:hint="eastAsia" w:ascii="宋体" w:hAnsi="宋体" w:eastAsia="宋体" w:cs="宋体"/>
          <w:sz w:val="24"/>
          <w:szCs w:val="24"/>
          <w:highlight w:val="none"/>
        </w:rPr>
        <w:t>项目编号：</w:t>
      </w:r>
    </w:p>
    <w:p w14:paraId="65004C6B">
      <w:pPr>
        <w:rPr>
          <w:rFonts w:ascii="宋体" w:hAnsi="宋体" w:eastAsia="宋体" w:cs="宋体"/>
          <w:sz w:val="24"/>
          <w:szCs w:val="24"/>
          <w:highlight w:val="none"/>
        </w:rPr>
      </w:pPr>
      <w:r>
        <w:rPr>
          <w:rFonts w:hint="eastAsia" w:ascii="宋体" w:hAnsi="宋体" w:eastAsia="宋体" w:cs="宋体"/>
          <w:sz w:val="24"/>
          <w:szCs w:val="24"/>
          <w:highlight w:val="none"/>
        </w:rPr>
        <w:t>分包号：                                                    采购包1</w:t>
      </w:r>
    </w:p>
    <w:tbl>
      <w:tblPr>
        <w:tblStyle w:val="49"/>
        <w:tblW w:w="859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8"/>
        <w:gridCol w:w="5024"/>
      </w:tblGrid>
      <w:tr w14:paraId="04052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3568" w:type="dxa"/>
            <w:tcBorders>
              <w:top w:val="single" w:color="auto" w:sz="4" w:space="0"/>
              <w:left w:val="single" w:color="auto" w:sz="4" w:space="0"/>
              <w:bottom w:val="single" w:color="auto" w:sz="4" w:space="0"/>
              <w:right w:val="single" w:color="auto" w:sz="4" w:space="0"/>
            </w:tcBorders>
            <w:vAlign w:val="center"/>
          </w:tcPr>
          <w:p w14:paraId="0A33EF17">
            <w:pPr>
              <w:widowControl/>
              <w:spacing w:line="6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项目名称</w:t>
            </w:r>
          </w:p>
        </w:tc>
        <w:tc>
          <w:tcPr>
            <w:tcW w:w="5024" w:type="dxa"/>
            <w:tcBorders>
              <w:top w:val="single" w:color="auto" w:sz="4" w:space="0"/>
              <w:left w:val="single" w:color="auto" w:sz="4" w:space="0"/>
              <w:bottom w:val="single" w:color="auto" w:sz="4" w:space="0"/>
              <w:right w:val="single" w:color="auto" w:sz="4" w:space="0"/>
            </w:tcBorders>
            <w:vAlign w:val="center"/>
          </w:tcPr>
          <w:p w14:paraId="36877FB7">
            <w:pPr>
              <w:widowControl/>
              <w:spacing w:line="6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投标总报价</w:t>
            </w:r>
          </w:p>
        </w:tc>
      </w:tr>
      <w:tr w14:paraId="47A67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8" w:hRule="atLeast"/>
        </w:trPr>
        <w:tc>
          <w:tcPr>
            <w:tcW w:w="3568" w:type="dxa"/>
            <w:tcBorders>
              <w:top w:val="single" w:color="auto" w:sz="4" w:space="0"/>
              <w:left w:val="single" w:color="auto" w:sz="4" w:space="0"/>
              <w:bottom w:val="single" w:color="auto" w:sz="4" w:space="0"/>
              <w:right w:val="single" w:color="auto" w:sz="4" w:space="0"/>
            </w:tcBorders>
            <w:vAlign w:val="center"/>
          </w:tcPr>
          <w:p w14:paraId="0BE771BD">
            <w:pPr>
              <w:widowControl/>
              <w:jc w:val="center"/>
              <w:rPr>
                <w:rFonts w:ascii="宋体" w:hAnsi="宋体" w:eastAsia="宋体" w:cs="宋体"/>
                <w:kern w:val="0"/>
                <w:sz w:val="24"/>
                <w:szCs w:val="24"/>
                <w:highlight w:val="none"/>
              </w:rPr>
            </w:pPr>
            <w:bookmarkStart w:id="54" w:name="XMMC"/>
            <w:bookmarkEnd w:id="54"/>
          </w:p>
        </w:tc>
        <w:tc>
          <w:tcPr>
            <w:tcW w:w="5024" w:type="dxa"/>
            <w:tcBorders>
              <w:top w:val="single" w:color="auto" w:sz="4" w:space="0"/>
              <w:left w:val="single" w:color="auto" w:sz="4" w:space="0"/>
              <w:bottom w:val="single" w:color="auto" w:sz="4" w:space="0"/>
              <w:right w:val="single" w:color="auto" w:sz="4" w:space="0"/>
            </w:tcBorders>
            <w:vAlign w:val="center"/>
          </w:tcPr>
          <w:p w14:paraId="1FC1A341">
            <w:pPr>
              <w:widowControl/>
              <w:spacing w:line="6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小写：</w:t>
            </w:r>
            <w:bookmarkStart w:id="55" w:name="JEXX"/>
            <w:bookmarkEnd w:id="55"/>
            <w:r>
              <w:rPr>
                <w:rFonts w:hint="eastAsia" w:ascii="宋体" w:hAnsi="宋体" w:eastAsia="宋体" w:cs="宋体"/>
                <w:kern w:val="0"/>
                <w:sz w:val="24"/>
                <w:szCs w:val="24"/>
                <w:highlight w:val="none"/>
              </w:rPr>
              <w:t xml:space="preserve">     （元人民币）</w:t>
            </w:r>
          </w:p>
        </w:tc>
      </w:tr>
      <w:tr w14:paraId="3B12F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trPr>
        <w:tc>
          <w:tcPr>
            <w:tcW w:w="3568" w:type="dxa"/>
            <w:tcBorders>
              <w:top w:val="single" w:color="auto" w:sz="4" w:space="0"/>
              <w:left w:val="single" w:color="auto" w:sz="4" w:space="0"/>
              <w:bottom w:val="single" w:color="auto" w:sz="4" w:space="0"/>
              <w:right w:val="single" w:color="auto" w:sz="4" w:space="0"/>
            </w:tcBorders>
            <w:vAlign w:val="center"/>
          </w:tcPr>
          <w:p w14:paraId="61A42890">
            <w:pPr>
              <w:widowControl/>
              <w:spacing w:line="6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投标报价大写金额</w:t>
            </w:r>
          </w:p>
        </w:tc>
        <w:tc>
          <w:tcPr>
            <w:tcW w:w="5024" w:type="dxa"/>
            <w:tcBorders>
              <w:top w:val="single" w:color="auto" w:sz="4" w:space="0"/>
              <w:left w:val="single" w:color="auto" w:sz="4" w:space="0"/>
              <w:bottom w:val="single" w:color="auto" w:sz="4" w:space="0"/>
              <w:right w:val="single" w:color="auto" w:sz="4" w:space="0"/>
            </w:tcBorders>
            <w:vAlign w:val="center"/>
          </w:tcPr>
          <w:p w14:paraId="295EAD73">
            <w:pPr>
              <w:widowControl/>
              <w:spacing w:line="600" w:lineRule="exact"/>
              <w:rPr>
                <w:rFonts w:ascii="宋体" w:hAnsi="宋体" w:eastAsia="宋体" w:cs="宋体"/>
                <w:kern w:val="0"/>
                <w:sz w:val="24"/>
                <w:szCs w:val="24"/>
                <w:highlight w:val="none"/>
              </w:rPr>
            </w:pPr>
            <w:bookmarkStart w:id="56" w:name="JEDX"/>
            <w:bookmarkEnd w:id="56"/>
          </w:p>
        </w:tc>
      </w:tr>
    </w:tbl>
    <w:p w14:paraId="49D3ACD7">
      <w:pPr>
        <w:widowControl/>
        <w:spacing w:line="600" w:lineRule="exact"/>
        <w:ind w:left="1024"/>
        <w:rPr>
          <w:rFonts w:ascii="宋体" w:hAnsi="宋体" w:eastAsia="宋体" w:cs="宋体"/>
          <w:kern w:val="0"/>
          <w:sz w:val="24"/>
          <w:szCs w:val="24"/>
          <w:highlight w:val="none"/>
        </w:rPr>
      </w:pPr>
    </w:p>
    <w:p w14:paraId="00236913">
      <w:pPr>
        <w:spacing w:line="360" w:lineRule="auto"/>
        <w:ind w:right="420" w:firstLine="21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日期：     年</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月  </w:t>
      </w:r>
    </w:p>
    <w:p w14:paraId="4B12A704">
      <w:pPr>
        <w:pStyle w:val="48"/>
        <w:spacing w:after="0" w:line="360" w:lineRule="auto"/>
        <w:ind w:left="0" w:leftChars="0" w:firstLine="48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填写说明:</w:t>
      </w:r>
    </w:p>
    <w:p w14:paraId="6F64CCC8">
      <w:pPr>
        <w:pStyle w:val="48"/>
        <w:spacing w:after="0" w:line="360" w:lineRule="auto"/>
        <w:ind w:left="0" w:leftChars="0" w:firstLine="480"/>
        <w:rPr>
          <w:rFonts w:ascii="宋体" w:hAnsi="宋体" w:eastAsia="宋体" w:cs="宋体"/>
          <w:sz w:val="24"/>
          <w:szCs w:val="24"/>
          <w:highlight w:val="none"/>
          <w:u w:val="single"/>
        </w:rPr>
      </w:pPr>
      <w:r>
        <w:rPr>
          <w:rFonts w:hint="eastAsia" w:ascii="宋体" w:hAnsi="宋体" w:eastAsia="宋体" w:cs="宋体"/>
          <w:sz w:val="24"/>
          <w:szCs w:val="24"/>
          <w:highlight w:val="none"/>
          <w:u w:val="single"/>
          <w:lang w:val="zh-CN"/>
        </w:rPr>
        <w:t>1、开标一览表必须加盖投标</w:t>
      </w:r>
      <w:r>
        <w:rPr>
          <w:rFonts w:hint="eastAsia" w:ascii="宋体" w:hAnsi="宋体" w:eastAsia="宋体" w:cs="宋体"/>
          <w:sz w:val="24"/>
          <w:szCs w:val="24"/>
          <w:highlight w:val="none"/>
          <w:u w:val="single"/>
        </w:rPr>
        <w:t>人公章（复印件无效）。</w:t>
      </w:r>
    </w:p>
    <w:p w14:paraId="08FB7A37">
      <w:pPr>
        <w:widowControl/>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sz w:val="24"/>
          <w:szCs w:val="24"/>
          <w:highlight w:val="none"/>
          <w:u w:val="single"/>
          <w:lang w:val="zh-CN"/>
        </w:rPr>
        <w:t>2、如有分包，投标人投任何</w:t>
      </w:r>
      <w:r>
        <w:rPr>
          <w:rFonts w:hint="eastAsia" w:ascii="宋体" w:hAnsi="宋体" w:eastAsia="宋体" w:cs="宋体"/>
          <w:sz w:val="24"/>
          <w:szCs w:val="24"/>
          <w:highlight w:val="none"/>
          <w:u w:val="single"/>
        </w:rPr>
        <w:t>一个</w:t>
      </w:r>
      <w:r>
        <w:rPr>
          <w:rFonts w:hint="eastAsia" w:ascii="宋体" w:hAnsi="宋体" w:eastAsia="宋体" w:cs="宋体"/>
          <w:sz w:val="24"/>
          <w:szCs w:val="24"/>
          <w:highlight w:val="none"/>
          <w:u w:val="single"/>
          <w:lang w:val="zh-CN"/>
        </w:rPr>
        <w:t>包的标的，</w:t>
      </w:r>
      <w:r>
        <w:rPr>
          <w:rFonts w:hint="eastAsia" w:ascii="宋体" w:hAnsi="宋体" w:eastAsia="宋体" w:cs="宋体"/>
          <w:sz w:val="24"/>
          <w:szCs w:val="24"/>
          <w:highlight w:val="none"/>
          <w:u w:val="single"/>
        </w:rPr>
        <w:t>都需单</w:t>
      </w:r>
      <w:r>
        <w:rPr>
          <w:rFonts w:hint="eastAsia" w:ascii="宋体" w:hAnsi="宋体" w:eastAsia="宋体" w:cs="宋体"/>
          <w:sz w:val="24"/>
          <w:szCs w:val="24"/>
          <w:highlight w:val="none"/>
          <w:u w:val="single"/>
          <w:lang w:val="zh-CN"/>
        </w:rPr>
        <w:t>独填写开标一览表。</w:t>
      </w:r>
    </w:p>
    <w:p w14:paraId="57567BDF">
      <w:pPr>
        <w:spacing w:line="360" w:lineRule="auto"/>
        <w:textAlignment w:val="baseline"/>
        <w:outlineLvl w:val="1"/>
        <w:rPr>
          <w:rFonts w:ascii="宋体" w:hAnsi="宋体" w:eastAsia="宋体" w:cs="宋体"/>
          <w:highlight w:val="none"/>
        </w:rPr>
      </w:pPr>
      <w:r>
        <w:rPr>
          <w:rFonts w:hint="eastAsia" w:ascii="宋体" w:hAnsi="宋体" w:eastAsia="宋体" w:cs="宋体"/>
          <w:b/>
          <w:sz w:val="24"/>
          <w:szCs w:val="24"/>
          <w:highlight w:val="none"/>
          <w:shd w:val="clear" w:color="auto" w:fill="FFFFFF"/>
        </w:rPr>
        <w:br w:type="page"/>
      </w:r>
      <w:r>
        <w:rPr>
          <w:rFonts w:hint="eastAsia" w:ascii="宋体" w:hAnsi="宋体" w:eastAsia="宋体" w:cs="宋体"/>
          <w:b/>
          <w:sz w:val="24"/>
          <w:szCs w:val="24"/>
          <w:highlight w:val="none"/>
          <w:shd w:val="clear" w:color="auto" w:fill="FFFFFF"/>
        </w:rPr>
        <w:t>4、</w:t>
      </w:r>
      <w:r>
        <w:rPr>
          <w:rFonts w:hint="eastAsia" w:ascii="宋体" w:hAnsi="宋体" w:eastAsia="宋体" w:cs="宋体"/>
          <w:b/>
          <w:bCs/>
          <w:sz w:val="24"/>
          <w:szCs w:val="24"/>
          <w:highlight w:val="none"/>
          <w:shd w:val="clear" w:color="auto" w:fill="FFFFFF"/>
        </w:rPr>
        <w:t>投标（响应）报价明细表</w:t>
      </w:r>
    </w:p>
    <w:p w14:paraId="211AF5B1">
      <w:pPr>
        <w:pStyle w:val="17"/>
        <w:ind w:left="0" w:right="-607" w:firstLine="0"/>
        <w:jc w:val="center"/>
        <w:rPr>
          <w:rFonts w:hint="default" w:ascii="宋体" w:hAnsi="宋体" w:eastAsia="宋体" w:cs="宋体"/>
          <w:b/>
          <w:bCs/>
          <w:sz w:val="24"/>
          <w:szCs w:val="24"/>
          <w:highlight w:val="none"/>
          <w:shd w:val="clear" w:color="auto" w:fill="FFFFFF"/>
        </w:rPr>
      </w:pPr>
    </w:p>
    <w:p w14:paraId="0400E409">
      <w:pPr>
        <w:pStyle w:val="17"/>
        <w:ind w:left="0" w:right="-607" w:firstLine="0"/>
        <w:jc w:val="center"/>
        <w:rPr>
          <w:rFonts w:hint="default" w:ascii="宋体" w:hAnsi="宋体" w:eastAsia="宋体" w:cs="宋体"/>
          <w:b/>
          <w:sz w:val="24"/>
          <w:szCs w:val="24"/>
          <w:highlight w:val="none"/>
          <w:shd w:val="clear" w:color="auto" w:fill="FFFFFF"/>
        </w:rPr>
      </w:pPr>
      <w:r>
        <w:rPr>
          <w:rFonts w:hint="eastAsia" w:ascii="宋体" w:hAnsi="宋体" w:eastAsia="宋体" w:cs="宋体"/>
          <w:b/>
          <w:bCs/>
          <w:sz w:val="24"/>
          <w:szCs w:val="24"/>
          <w:highlight w:val="none"/>
          <w:shd w:val="clear" w:color="auto" w:fill="FFFFFF"/>
        </w:rPr>
        <w:t>投标（响应）报价明细</w:t>
      </w:r>
      <w:r>
        <w:rPr>
          <w:rFonts w:ascii="宋体" w:hAnsi="宋体" w:eastAsia="宋体" w:cs="宋体"/>
          <w:b/>
          <w:bCs/>
          <w:sz w:val="24"/>
          <w:szCs w:val="24"/>
          <w:highlight w:val="none"/>
          <w:shd w:val="clear" w:color="auto" w:fill="FFFFFF"/>
        </w:rPr>
        <w:t>表</w:t>
      </w:r>
    </w:p>
    <w:tbl>
      <w:tblPr>
        <w:tblStyle w:val="49"/>
        <w:tblW w:w="989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4224"/>
        <w:gridCol w:w="992"/>
        <w:gridCol w:w="992"/>
        <w:gridCol w:w="992"/>
        <w:gridCol w:w="993"/>
        <w:gridCol w:w="850"/>
      </w:tblGrid>
      <w:tr w14:paraId="348D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51" w:type="dxa"/>
            <w:vAlign w:val="center"/>
          </w:tcPr>
          <w:p w14:paraId="6A28A166">
            <w:pPr>
              <w:widowControl/>
              <w:spacing w:line="276" w:lineRule="auto"/>
              <w:jc w:val="center"/>
              <w:rPr>
                <w:rFonts w:ascii="宋体" w:hAnsi="宋体" w:eastAsia="宋体" w:cs="宋体"/>
                <w:bCs/>
                <w:szCs w:val="21"/>
                <w:highlight w:val="none"/>
              </w:rPr>
            </w:pPr>
            <w:r>
              <w:rPr>
                <w:rFonts w:hint="eastAsia" w:ascii="宋体" w:hAnsi="宋体" w:eastAsia="宋体" w:cs="宋体"/>
                <w:bCs/>
                <w:szCs w:val="21"/>
                <w:highlight w:val="none"/>
              </w:rPr>
              <w:t>序号</w:t>
            </w:r>
          </w:p>
        </w:tc>
        <w:tc>
          <w:tcPr>
            <w:tcW w:w="4224" w:type="dxa"/>
            <w:noWrap/>
            <w:vAlign w:val="center"/>
          </w:tcPr>
          <w:p w14:paraId="2D3D4B2B">
            <w:pPr>
              <w:widowControl/>
              <w:spacing w:line="276" w:lineRule="auto"/>
              <w:jc w:val="center"/>
              <w:rPr>
                <w:rFonts w:ascii="宋体" w:hAnsi="宋体" w:eastAsia="宋体" w:cs="宋体"/>
                <w:bCs/>
                <w:szCs w:val="21"/>
                <w:highlight w:val="none"/>
              </w:rPr>
            </w:pPr>
            <w:r>
              <w:rPr>
                <w:rFonts w:hint="eastAsia" w:ascii="宋体" w:hAnsi="宋体" w:eastAsia="宋体" w:cs="宋体"/>
                <w:bCs/>
                <w:szCs w:val="21"/>
                <w:highlight w:val="none"/>
              </w:rPr>
              <w:t>内容名称</w:t>
            </w:r>
          </w:p>
        </w:tc>
        <w:tc>
          <w:tcPr>
            <w:tcW w:w="992" w:type="dxa"/>
            <w:vAlign w:val="center"/>
          </w:tcPr>
          <w:p w14:paraId="4963EE5A">
            <w:pPr>
              <w:widowControl/>
              <w:spacing w:line="276" w:lineRule="auto"/>
              <w:jc w:val="center"/>
              <w:rPr>
                <w:rFonts w:ascii="宋体" w:hAnsi="宋体" w:eastAsia="宋体" w:cs="宋体"/>
                <w:bCs/>
                <w:szCs w:val="21"/>
                <w:highlight w:val="none"/>
              </w:rPr>
            </w:pPr>
            <w:r>
              <w:rPr>
                <w:rFonts w:hint="eastAsia" w:ascii="宋体" w:hAnsi="宋体" w:eastAsia="宋体" w:cs="宋体"/>
                <w:bCs/>
                <w:szCs w:val="21"/>
                <w:highlight w:val="none"/>
              </w:rPr>
              <w:t>单位</w:t>
            </w:r>
          </w:p>
        </w:tc>
        <w:tc>
          <w:tcPr>
            <w:tcW w:w="992" w:type="dxa"/>
            <w:vAlign w:val="center"/>
          </w:tcPr>
          <w:p w14:paraId="5BD53B30">
            <w:pPr>
              <w:widowControl/>
              <w:spacing w:line="276" w:lineRule="auto"/>
              <w:jc w:val="center"/>
              <w:rPr>
                <w:rFonts w:ascii="宋体" w:hAnsi="宋体" w:eastAsia="宋体" w:cs="宋体"/>
                <w:bCs/>
                <w:szCs w:val="21"/>
                <w:highlight w:val="none"/>
              </w:rPr>
            </w:pPr>
            <w:r>
              <w:rPr>
                <w:rFonts w:hint="eastAsia" w:ascii="宋体" w:hAnsi="宋体" w:eastAsia="宋体" w:cs="宋体"/>
                <w:bCs/>
                <w:szCs w:val="21"/>
                <w:highlight w:val="none"/>
              </w:rPr>
              <w:t>数量</w:t>
            </w:r>
          </w:p>
        </w:tc>
        <w:tc>
          <w:tcPr>
            <w:tcW w:w="992" w:type="dxa"/>
            <w:vAlign w:val="center"/>
          </w:tcPr>
          <w:p w14:paraId="77E27A8B">
            <w:pPr>
              <w:widowControl/>
              <w:spacing w:line="276" w:lineRule="auto"/>
              <w:jc w:val="center"/>
              <w:rPr>
                <w:rFonts w:ascii="宋体" w:hAnsi="宋体" w:eastAsia="宋体" w:cs="宋体"/>
                <w:bCs/>
                <w:szCs w:val="21"/>
                <w:highlight w:val="none"/>
              </w:rPr>
            </w:pPr>
            <w:r>
              <w:rPr>
                <w:rFonts w:hint="eastAsia" w:ascii="宋体" w:hAnsi="宋体" w:eastAsia="宋体" w:cs="宋体"/>
                <w:bCs/>
                <w:szCs w:val="21"/>
                <w:highlight w:val="none"/>
              </w:rPr>
              <w:t>单价</w:t>
            </w:r>
          </w:p>
        </w:tc>
        <w:tc>
          <w:tcPr>
            <w:tcW w:w="993" w:type="dxa"/>
            <w:vAlign w:val="center"/>
          </w:tcPr>
          <w:p w14:paraId="7CE5ACFF">
            <w:pPr>
              <w:widowControl/>
              <w:spacing w:line="276" w:lineRule="auto"/>
              <w:jc w:val="center"/>
              <w:rPr>
                <w:rFonts w:ascii="宋体" w:hAnsi="宋体" w:eastAsia="宋体" w:cs="宋体"/>
                <w:bCs/>
                <w:szCs w:val="21"/>
                <w:highlight w:val="none"/>
              </w:rPr>
            </w:pPr>
            <w:r>
              <w:rPr>
                <w:rFonts w:hint="eastAsia" w:ascii="宋体" w:hAnsi="宋体" w:eastAsia="宋体" w:cs="宋体"/>
                <w:bCs/>
                <w:szCs w:val="21"/>
                <w:highlight w:val="none"/>
              </w:rPr>
              <w:t>小计</w:t>
            </w:r>
          </w:p>
        </w:tc>
        <w:tc>
          <w:tcPr>
            <w:tcW w:w="850" w:type="dxa"/>
            <w:vAlign w:val="center"/>
          </w:tcPr>
          <w:p w14:paraId="23CF510D">
            <w:pPr>
              <w:widowControl/>
              <w:spacing w:line="276" w:lineRule="auto"/>
              <w:jc w:val="center"/>
              <w:rPr>
                <w:rFonts w:ascii="宋体" w:hAnsi="宋体" w:eastAsia="宋体" w:cs="宋体"/>
                <w:bCs/>
                <w:szCs w:val="21"/>
                <w:highlight w:val="none"/>
              </w:rPr>
            </w:pPr>
            <w:r>
              <w:rPr>
                <w:rFonts w:hint="eastAsia" w:ascii="宋体" w:hAnsi="宋体" w:eastAsia="宋体" w:cs="宋体"/>
                <w:bCs/>
                <w:szCs w:val="21"/>
                <w:highlight w:val="none"/>
              </w:rPr>
              <w:t>备注</w:t>
            </w:r>
          </w:p>
        </w:tc>
      </w:tr>
      <w:tr w14:paraId="706AB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51" w:type="dxa"/>
            <w:noWrap/>
            <w:vAlign w:val="center"/>
          </w:tcPr>
          <w:p w14:paraId="74CA5716">
            <w:pPr>
              <w:widowControl/>
              <w:spacing w:line="276" w:lineRule="auto"/>
              <w:jc w:val="center"/>
              <w:rPr>
                <w:rFonts w:ascii="宋体" w:hAnsi="宋体" w:eastAsia="宋体" w:cs="宋体"/>
                <w:szCs w:val="21"/>
                <w:highlight w:val="none"/>
              </w:rPr>
            </w:pPr>
            <w:r>
              <w:rPr>
                <w:rFonts w:hint="eastAsia" w:ascii="宋体" w:hAnsi="宋体" w:eastAsia="宋体" w:cs="宋体"/>
                <w:szCs w:val="21"/>
                <w:highlight w:val="none"/>
              </w:rPr>
              <w:t>1</w:t>
            </w:r>
          </w:p>
        </w:tc>
        <w:tc>
          <w:tcPr>
            <w:tcW w:w="4224" w:type="dxa"/>
            <w:shd w:val="clear" w:color="auto" w:fill="auto"/>
            <w:noWrap/>
            <w:vAlign w:val="center"/>
          </w:tcPr>
          <w:p w14:paraId="35C3C869">
            <w:pPr>
              <w:spacing w:line="276" w:lineRule="auto"/>
              <w:jc w:val="left"/>
              <w:rPr>
                <w:rFonts w:asciiTheme="minorEastAsia" w:hAnsiTheme="minorEastAsia" w:eastAsiaTheme="minorEastAsia" w:cstheme="minorBidi"/>
                <w:kern w:val="2"/>
                <w:sz w:val="21"/>
                <w:szCs w:val="21"/>
                <w:highlight w:val="none"/>
                <w:lang w:val="en-US" w:eastAsia="zh-CN" w:bidi="ar-SA"/>
              </w:rPr>
            </w:pPr>
            <w:r>
              <w:rPr>
                <w:rFonts w:hint="eastAsia" w:ascii="宋体" w:hAnsi="宋体" w:eastAsia="宋体"/>
                <w:szCs w:val="21"/>
                <w:highlight w:val="none"/>
              </w:rPr>
              <w:t>电子卷宗系统构建服务</w:t>
            </w:r>
          </w:p>
        </w:tc>
        <w:tc>
          <w:tcPr>
            <w:tcW w:w="992" w:type="dxa"/>
            <w:shd w:val="clear" w:color="auto" w:fill="auto"/>
            <w:vAlign w:val="center"/>
          </w:tcPr>
          <w:p w14:paraId="346D1E44">
            <w:pPr>
              <w:spacing w:line="276" w:lineRule="auto"/>
              <w:jc w:val="center"/>
              <w:rPr>
                <w:rFonts w:asciiTheme="minorEastAsia" w:hAnsiTheme="minorEastAsia" w:eastAsiaTheme="minorEastAsia" w:cstheme="minorBidi"/>
                <w:kern w:val="2"/>
                <w:sz w:val="21"/>
                <w:szCs w:val="21"/>
                <w:highlight w:val="none"/>
                <w:lang w:val="en-US" w:eastAsia="zh-CN" w:bidi="ar-SA"/>
              </w:rPr>
            </w:pPr>
            <w:r>
              <w:rPr>
                <w:rFonts w:hint="eastAsia" w:cs="仿宋_GB2312" w:asciiTheme="minorEastAsia" w:hAnsiTheme="minorEastAsia"/>
                <w:szCs w:val="21"/>
                <w:highlight w:val="none"/>
              </w:rPr>
              <w:t>项</w:t>
            </w:r>
          </w:p>
        </w:tc>
        <w:tc>
          <w:tcPr>
            <w:tcW w:w="992" w:type="dxa"/>
            <w:vAlign w:val="center"/>
          </w:tcPr>
          <w:p w14:paraId="25C0CE5D">
            <w:pPr>
              <w:spacing w:line="276" w:lineRule="auto"/>
              <w:jc w:val="center"/>
              <w:rPr>
                <w:rFonts w:ascii="宋体" w:hAnsi="宋体" w:eastAsia="宋体" w:cs="宋体"/>
                <w:szCs w:val="21"/>
                <w:highlight w:val="none"/>
              </w:rPr>
            </w:pPr>
            <w:r>
              <w:rPr>
                <w:rFonts w:hint="eastAsia" w:asciiTheme="minorEastAsia" w:hAnsiTheme="minorEastAsia"/>
                <w:szCs w:val="21"/>
                <w:highlight w:val="none"/>
              </w:rPr>
              <w:t>1</w:t>
            </w:r>
          </w:p>
        </w:tc>
        <w:tc>
          <w:tcPr>
            <w:tcW w:w="992" w:type="dxa"/>
            <w:noWrap/>
            <w:vAlign w:val="bottom"/>
          </w:tcPr>
          <w:p w14:paraId="6D20AA81">
            <w:pPr>
              <w:widowControl/>
              <w:spacing w:line="276" w:lineRule="auto"/>
              <w:jc w:val="left"/>
              <w:rPr>
                <w:rFonts w:ascii="宋体" w:hAnsi="宋体" w:eastAsia="宋体" w:cs="宋体"/>
                <w:szCs w:val="21"/>
                <w:highlight w:val="none"/>
              </w:rPr>
            </w:pPr>
          </w:p>
        </w:tc>
        <w:tc>
          <w:tcPr>
            <w:tcW w:w="993" w:type="dxa"/>
            <w:noWrap/>
            <w:vAlign w:val="bottom"/>
          </w:tcPr>
          <w:p w14:paraId="554323E2">
            <w:pPr>
              <w:widowControl/>
              <w:spacing w:line="276" w:lineRule="auto"/>
              <w:jc w:val="left"/>
              <w:rPr>
                <w:rFonts w:ascii="宋体" w:hAnsi="宋体" w:eastAsia="宋体" w:cs="宋体"/>
                <w:szCs w:val="21"/>
                <w:highlight w:val="none"/>
              </w:rPr>
            </w:pPr>
          </w:p>
        </w:tc>
        <w:tc>
          <w:tcPr>
            <w:tcW w:w="850" w:type="dxa"/>
            <w:noWrap/>
            <w:vAlign w:val="bottom"/>
          </w:tcPr>
          <w:p w14:paraId="3BD7A46C">
            <w:pPr>
              <w:widowControl/>
              <w:spacing w:line="276" w:lineRule="auto"/>
              <w:jc w:val="left"/>
              <w:rPr>
                <w:rFonts w:ascii="宋体" w:hAnsi="宋体" w:eastAsia="宋体" w:cs="宋体"/>
                <w:szCs w:val="21"/>
                <w:highlight w:val="none"/>
              </w:rPr>
            </w:pPr>
          </w:p>
        </w:tc>
      </w:tr>
      <w:tr w14:paraId="3CC29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51" w:type="dxa"/>
            <w:noWrap/>
            <w:vAlign w:val="center"/>
          </w:tcPr>
          <w:p w14:paraId="3FDF081B">
            <w:pPr>
              <w:widowControl/>
              <w:spacing w:line="276" w:lineRule="auto"/>
              <w:jc w:val="center"/>
              <w:rPr>
                <w:rFonts w:ascii="宋体" w:hAnsi="宋体" w:eastAsia="宋体" w:cs="宋体"/>
                <w:szCs w:val="21"/>
                <w:highlight w:val="none"/>
              </w:rPr>
            </w:pPr>
            <w:r>
              <w:rPr>
                <w:rFonts w:hint="eastAsia" w:ascii="宋体" w:hAnsi="宋体" w:eastAsia="宋体" w:cs="宋体"/>
                <w:szCs w:val="21"/>
                <w:highlight w:val="none"/>
              </w:rPr>
              <w:t>2</w:t>
            </w:r>
          </w:p>
        </w:tc>
        <w:tc>
          <w:tcPr>
            <w:tcW w:w="4224" w:type="dxa"/>
            <w:shd w:val="clear" w:color="auto" w:fill="auto"/>
            <w:noWrap/>
            <w:vAlign w:val="center"/>
          </w:tcPr>
          <w:p w14:paraId="5BED552A">
            <w:pPr>
              <w:spacing w:line="276" w:lineRule="auto"/>
              <w:jc w:val="left"/>
              <w:rPr>
                <w:rFonts w:asciiTheme="minorEastAsia" w:hAnsiTheme="minorEastAsia" w:eastAsiaTheme="minorEastAsia" w:cstheme="minorBidi"/>
                <w:kern w:val="2"/>
                <w:sz w:val="21"/>
                <w:szCs w:val="21"/>
                <w:highlight w:val="none"/>
                <w:lang w:val="en-US" w:eastAsia="zh-CN" w:bidi="ar-SA"/>
              </w:rPr>
            </w:pPr>
            <w:r>
              <w:rPr>
                <w:rFonts w:hint="eastAsia" w:ascii="宋体" w:hAnsi="宋体" w:eastAsia="宋体"/>
                <w:szCs w:val="21"/>
                <w:highlight w:val="none"/>
              </w:rPr>
              <w:t>电子卷宗系统计算服务</w:t>
            </w:r>
          </w:p>
        </w:tc>
        <w:tc>
          <w:tcPr>
            <w:tcW w:w="992" w:type="dxa"/>
            <w:shd w:val="clear" w:color="auto" w:fill="auto"/>
            <w:vAlign w:val="center"/>
          </w:tcPr>
          <w:p w14:paraId="3A51B55B">
            <w:pPr>
              <w:spacing w:line="276" w:lineRule="auto"/>
              <w:jc w:val="center"/>
              <w:rPr>
                <w:rFonts w:asciiTheme="minorEastAsia" w:hAnsiTheme="minorEastAsia" w:eastAsiaTheme="minorEastAsia" w:cstheme="minorBidi"/>
                <w:kern w:val="2"/>
                <w:sz w:val="21"/>
                <w:szCs w:val="21"/>
                <w:highlight w:val="none"/>
                <w:lang w:val="en-US" w:eastAsia="zh-CN" w:bidi="ar-SA"/>
              </w:rPr>
            </w:pPr>
            <w:r>
              <w:rPr>
                <w:rFonts w:hint="eastAsia" w:cs="仿宋_GB2312" w:asciiTheme="minorEastAsia" w:hAnsiTheme="minorEastAsia"/>
                <w:szCs w:val="21"/>
                <w:highlight w:val="none"/>
              </w:rPr>
              <w:t>项</w:t>
            </w:r>
          </w:p>
        </w:tc>
        <w:tc>
          <w:tcPr>
            <w:tcW w:w="992" w:type="dxa"/>
            <w:vAlign w:val="center"/>
          </w:tcPr>
          <w:p w14:paraId="2A4612B8">
            <w:pPr>
              <w:spacing w:line="276" w:lineRule="auto"/>
              <w:jc w:val="center"/>
              <w:rPr>
                <w:rFonts w:ascii="宋体" w:hAnsi="宋体" w:eastAsia="宋体" w:cs="宋体"/>
                <w:szCs w:val="21"/>
                <w:highlight w:val="none"/>
              </w:rPr>
            </w:pPr>
            <w:r>
              <w:rPr>
                <w:rStyle w:val="166"/>
                <w:rFonts w:hint="default" w:asciiTheme="minorEastAsia" w:hAnsiTheme="minorEastAsia" w:eastAsiaTheme="minorEastAsia"/>
                <w:sz w:val="21"/>
                <w:szCs w:val="21"/>
                <w:highlight w:val="none"/>
                <w:lang w:bidi="ar"/>
              </w:rPr>
              <w:t>4</w:t>
            </w:r>
          </w:p>
        </w:tc>
        <w:tc>
          <w:tcPr>
            <w:tcW w:w="992" w:type="dxa"/>
            <w:noWrap/>
            <w:vAlign w:val="bottom"/>
          </w:tcPr>
          <w:p w14:paraId="69AE6764">
            <w:pPr>
              <w:widowControl/>
              <w:spacing w:line="276" w:lineRule="auto"/>
              <w:jc w:val="left"/>
              <w:rPr>
                <w:rFonts w:ascii="宋体" w:hAnsi="宋体" w:eastAsia="宋体" w:cs="宋体"/>
                <w:szCs w:val="21"/>
                <w:highlight w:val="none"/>
              </w:rPr>
            </w:pPr>
          </w:p>
        </w:tc>
        <w:tc>
          <w:tcPr>
            <w:tcW w:w="993" w:type="dxa"/>
            <w:noWrap/>
            <w:vAlign w:val="bottom"/>
          </w:tcPr>
          <w:p w14:paraId="6B26D68D">
            <w:pPr>
              <w:widowControl/>
              <w:spacing w:line="276" w:lineRule="auto"/>
              <w:jc w:val="left"/>
              <w:rPr>
                <w:rFonts w:ascii="宋体" w:hAnsi="宋体" w:eastAsia="宋体" w:cs="宋体"/>
                <w:szCs w:val="21"/>
                <w:highlight w:val="none"/>
              </w:rPr>
            </w:pPr>
          </w:p>
        </w:tc>
        <w:tc>
          <w:tcPr>
            <w:tcW w:w="850" w:type="dxa"/>
            <w:noWrap/>
            <w:vAlign w:val="bottom"/>
          </w:tcPr>
          <w:p w14:paraId="5DF2DC1D">
            <w:pPr>
              <w:widowControl/>
              <w:spacing w:line="276" w:lineRule="auto"/>
              <w:jc w:val="left"/>
              <w:rPr>
                <w:rFonts w:ascii="宋体" w:hAnsi="宋体" w:eastAsia="宋体" w:cs="宋体"/>
                <w:szCs w:val="21"/>
                <w:highlight w:val="none"/>
              </w:rPr>
            </w:pPr>
          </w:p>
        </w:tc>
      </w:tr>
      <w:tr w14:paraId="150D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51" w:type="dxa"/>
            <w:noWrap/>
            <w:vAlign w:val="center"/>
          </w:tcPr>
          <w:p w14:paraId="445400D0">
            <w:pPr>
              <w:widowControl/>
              <w:spacing w:line="276" w:lineRule="auto"/>
              <w:jc w:val="center"/>
              <w:rPr>
                <w:rFonts w:ascii="宋体" w:hAnsi="宋体" w:eastAsia="宋体" w:cs="宋体"/>
                <w:szCs w:val="21"/>
                <w:highlight w:val="none"/>
              </w:rPr>
            </w:pPr>
            <w:r>
              <w:rPr>
                <w:rFonts w:hint="eastAsia" w:ascii="宋体" w:hAnsi="宋体" w:eastAsia="宋体" w:cs="宋体"/>
                <w:szCs w:val="21"/>
                <w:highlight w:val="none"/>
              </w:rPr>
              <w:t>3</w:t>
            </w:r>
          </w:p>
        </w:tc>
        <w:tc>
          <w:tcPr>
            <w:tcW w:w="4224" w:type="dxa"/>
            <w:shd w:val="clear" w:color="auto" w:fill="auto"/>
            <w:noWrap/>
            <w:vAlign w:val="center"/>
          </w:tcPr>
          <w:p w14:paraId="669B19B8">
            <w:pPr>
              <w:spacing w:line="276" w:lineRule="auto"/>
              <w:jc w:val="left"/>
              <w:rPr>
                <w:rFonts w:asciiTheme="minorEastAsia" w:hAnsiTheme="minorEastAsia" w:eastAsiaTheme="minorEastAsia" w:cstheme="minorBidi"/>
                <w:kern w:val="2"/>
                <w:sz w:val="21"/>
                <w:szCs w:val="21"/>
                <w:highlight w:val="none"/>
                <w:lang w:val="en-US" w:eastAsia="zh-CN" w:bidi="ar-SA"/>
              </w:rPr>
            </w:pPr>
            <w:r>
              <w:rPr>
                <w:rFonts w:hint="eastAsia" w:ascii="宋体" w:hAnsi="宋体" w:eastAsia="宋体"/>
                <w:szCs w:val="21"/>
                <w:highlight w:val="none"/>
              </w:rPr>
              <w:t>电子卷宗系统存储服务</w:t>
            </w:r>
          </w:p>
        </w:tc>
        <w:tc>
          <w:tcPr>
            <w:tcW w:w="992" w:type="dxa"/>
            <w:shd w:val="clear" w:color="auto" w:fill="auto"/>
            <w:vAlign w:val="center"/>
          </w:tcPr>
          <w:p w14:paraId="7708BD19">
            <w:pPr>
              <w:spacing w:line="276" w:lineRule="auto"/>
              <w:jc w:val="center"/>
              <w:rPr>
                <w:rFonts w:asciiTheme="minorEastAsia" w:hAnsiTheme="minorEastAsia" w:eastAsiaTheme="minorEastAsia" w:cstheme="minorBidi"/>
                <w:kern w:val="2"/>
                <w:sz w:val="21"/>
                <w:szCs w:val="21"/>
                <w:highlight w:val="none"/>
                <w:lang w:val="en-US" w:eastAsia="zh-CN" w:bidi="ar-SA"/>
              </w:rPr>
            </w:pPr>
            <w:r>
              <w:rPr>
                <w:rFonts w:hint="eastAsia" w:cs="仿宋_GB2312" w:asciiTheme="minorEastAsia" w:hAnsiTheme="minorEastAsia"/>
                <w:szCs w:val="21"/>
                <w:highlight w:val="none"/>
              </w:rPr>
              <w:t>项</w:t>
            </w:r>
          </w:p>
        </w:tc>
        <w:tc>
          <w:tcPr>
            <w:tcW w:w="992" w:type="dxa"/>
            <w:vAlign w:val="center"/>
          </w:tcPr>
          <w:p w14:paraId="5CCFAD01">
            <w:pPr>
              <w:spacing w:line="276" w:lineRule="auto"/>
              <w:jc w:val="center"/>
              <w:rPr>
                <w:rFonts w:ascii="宋体" w:hAnsi="宋体" w:eastAsia="宋体" w:cs="宋体"/>
                <w:szCs w:val="21"/>
                <w:highlight w:val="none"/>
              </w:rPr>
            </w:pPr>
            <w:r>
              <w:rPr>
                <w:rStyle w:val="166"/>
                <w:rFonts w:hint="default" w:asciiTheme="minorEastAsia" w:hAnsiTheme="minorEastAsia" w:eastAsiaTheme="minorEastAsia"/>
                <w:sz w:val="21"/>
                <w:szCs w:val="21"/>
                <w:highlight w:val="none"/>
                <w:lang w:bidi="ar"/>
              </w:rPr>
              <w:t>4</w:t>
            </w:r>
          </w:p>
        </w:tc>
        <w:tc>
          <w:tcPr>
            <w:tcW w:w="992" w:type="dxa"/>
            <w:noWrap/>
            <w:vAlign w:val="bottom"/>
          </w:tcPr>
          <w:p w14:paraId="2BFD30D3">
            <w:pPr>
              <w:widowControl/>
              <w:spacing w:line="276" w:lineRule="auto"/>
              <w:jc w:val="left"/>
              <w:rPr>
                <w:rFonts w:ascii="宋体" w:hAnsi="宋体" w:eastAsia="宋体" w:cs="宋体"/>
                <w:szCs w:val="21"/>
                <w:highlight w:val="none"/>
              </w:rPr>
            </w:pPr>
          </w:p>
        </w:tc>
        <w:tc>
          <w:tcPr>
            <w:tcW w:w="993" w:type="dxa"/>
            <w:noWrap/>
            <w:vAlign w:val="bottom"/>
          </w:tcPr>
          <w:p w14:paraId="280220AE">
            <w:pPr>
              <w:widowControl/>
              <w:spacing w:line="276" w:lineRule="auto"/>
              <w:jc w:val="left"/>
              <w:rPr>
                <w:rFonts w:ascii="宋体" w:hAnsi="宋体" w:eastAsia="宋体" w:cs="宋体"/>
                <w:szCs w:val="21"/>
                <w:highlight w:val="none"/>
              </w:rPr>
            </w:pPr>
          </w:p>
        </w:tc>
        <w:tc>
          <w:tcPr>
            <w:tcW w:w="850" w:type="dxa"/>
            <w:noWrap/>
            <w:vAlign w:val="bottom"/>
          </w:tcPr>
          <w:p w14:paraId="371AF064">
            <w:pPr>
              <w:widowControl/>
              <w:spacing w:line="276" w:lineRule="auto"/>
              <w:jc w:val="left"/>
              <w:rPr>
                <w:rFonts w:ascii="宋体" w:hAnsi="宋体" w:eastAsia="宋体" w:cs="宋体"/>
                <w:szCs w:val="21"/>
                <w:highlight w:val="none"/>
              </w:rPr>
            </w:pPr>
          </w:p>
        </w:tc>
      </w:tr>
      <w:tr w14:paraId="0E93C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51" w:type="dxa"/>
            <w:noWrap/>
            <w:vAlign w:val="center"/>
          </w:tcPr>
          <w:p w14:paraId="5D2F67CB">
            <w:pPr>
              <w:widowControl/>
              <w:spacing w:line="276" w:lineRule="auto"/>
              <w:jc w:val="center"/>
              <w:rPr>
                <w:rFonts w:ascii="宋体" w:hAnsi="宋体" w:eastAsia="宋体" w:cs="宋体"/>
                <w:szCs w:val="21"/>
                <w:highlight w:val="none"/>
              </w:rPr>
            </w:pPr>
            <w:r>
              <w:rPr>
                <w:rFonts w:hint="eastAsia" w:ascii="宋体" w:hAnsi="宋体" w:eastAsia="宋体" w:cs="宋体"/>
                <w:szCs w:val="21"/>
                <w:highlight w:val="none"/>
              </w:rPr>
              <w:t>4</w:t>
            </w:r>
          </w:p>
        </w:tc>
        <w:tc>
          <w:tcPr>
            <w:tcW w:w="4224" w:type="dxa"/>
            <w:shd w:val="clear" w:color="auto" w:fill="auto"/>
            <w:noWrap/>
            <w:vAlign w:val="center"/>
          </w:tcPr>
          <w:p w14:paraId="161F3673">
            <w:pPr>
              <w:spacing w:line="276" w:lineRule="auto"/>
              <w:jc w:val="left"/>
              <w:rPr>
                <w:rFonts w:asciiTheme="minorEastAsia" w:hAnsiTheme="minorEastAsia" w:eastAsiaTheme="minorEastAsia" w:cstheme="minorBidi"/>
                <w:kern w:val="2"/>
                <w:sz w:val="21"/>
                <w:szCs w:val="21"/>
                <w:highlight w:val="none"/>
                <w:lang w:val="en-US" w:eastAsia="zh-CN" w:bidi="ar-SA"/>
              </w:rPr>
            </w:pPr>
            <w:r>
              <w:rPr>
                <w:rFonts w:hint="eastAsia" w:ascii="宋体" w:hAnsi="宋体" w:eastAsia="宋体"/>
                <w:szCs w:val="21"/>
                <w:highlight w:val="none"/>
              </w:rPr>
              <w:t>管理服务</w:t>
            </w:r>
          </w:p>
        </w:tc>
        <w:tc>
          <w:tcPr>
            <w:tcW w:w="992" w:type="dxa"/>
            <w:shd w:val="clear" w:color="auto" w:fill="auto"/>
            <w:vAlign w:val="center"/>
          </w:tcPr>
          <w:p w14:paraId="74F6BF8F">
            <w:pPr>
              <w:spacing w:line="276" w:lineRule="auto"/>
              <w:jc w:val="center"/>
              <w:rPr>
                <w:rFonts w:asciiTheme="minorEastAsia" w:hAnsiTheme="minorEastAsia" w:eastAsiaTheme="minorEastAsia" w:cstheme="minorBidi"/>
                <w:kern w:val="2"/>
                <w:sz w:val="21"/>
                <w:szCs w:val="21"/>
                <w:highlight w:val="none"/>
                <w:lang w:val="en-US" w:eastAsia="zh-CN" w:bidi="ar-SA"/>
              </w:rPr>
            </w:pPr>
            <w:r>
              <w:rPr>
                <w:rFonts w:hint="eastAsia" w:cs="仿宋_GB2312" w:asciiTheme="minorEastAsia" w:hAnsiTheme="minorEastAsia"/>
                <w:szCs w:val="21"/>
                <w:highlight w:val="none"/>
              </w:rPr>
              <w:t>项</w:t>
            </w:r>
          </w:p>
        </w:tc>
        <w:tc>
          <w:tcPr>
            <w:tcW w:w="992" w:type="dxa"/>
            <w:vAlign w:val="center"/>
          </w:tcPr>
          <w:p w14:paraId="39B5B82D">
            <w:pPr>
              <w:spacing w:line="276" w:lineRule="auto"/>
              <w:jc w:val="center"/>
              <w:rPr>
                <w:rFonts w:ascii="宋体" w:hAnsi="宋体" w:eastAsia="宋体" w:cs="宋体"/>
                <w:szCs w:val="21"/>
                <w:highlight w:val="none"/>
              </w:rPr>
            </w:pPr>
            <w:r>
              <w:rPr>
                <w:rStyle w:val="166"/>
                <w:rFonts w:hint="default" w:asciiTheme="minorEastAsia" w:hAnsiTheme="minorEastAsia" w:eastAsiaTheme="minorEastAsia"/>
                <w:sz w:val="21"/>
                <w:szCs w:val="21"/>
                <w:highlight w:val="none"/>
              </w:rPr>
              <w:t>2</w:t>
            </w:r>
          </w:p>
        </w:tc>
        <w:tc>
          <w:tcPr>
            <w:tcW w:w="992" w:type="dxa"/>
            <w:noWrap/>
            <w:vAlign w:val="bottom"/>
          </w:tcPr>
          <w:p w14:paraId="2E2A13FA">
            <w:pPr>
              <w:widowControl/>
              <w:spacing w:line="276" w:lineRule="auto"/>
              <w:jc w:val="left"/>
              <w:rPr>
                <w:rFonts w:ascii="宋体" w:hAnsi="宋体" w:eastAsia="宋体" w:cs="宋体"/>
                <w:szCs w:val="21"/>
                <w:highlight w:val="none"/>
              </w:rPr>
            </w:pPr>
          </w:p>
        </w:tc>
        <w:tc>
          <w:tcPr>
            <w:tcW w:w="993" w:type="dxa"/>
            <w:noWrap/>
            <w:vAlign w:val="bottom"/>
          </w:tcPr>
          <w:p w14:paraId="374AE5E6">
            <w:pPr>
              <w:widowControl/>
              <w:spacing w:line="276" w:lineRule="auto"/>
              <w:jc w:val="left"/>
              <w:rPr>
                <w:rFonts w:ascii="宋体" w:hAnsi="宋体" w:eastAsia="宋体" w:cs="宋体"/>
                <w:szCs w:val="21"/>
                <w:highlight w:val="none"/>
              </w:rPr>
            </w:pPr>
          </w:p>
        </w:tc>
        <w:tc>
          <w:tcPr>
            <w:tcW w:w="850" w:type="dxa"/>
            <w:noWrap/>
            <w:vAlign w:val="bottom"/>
          </w:tcPr>
          <w:p w14:paraId="646C0E62">
            <w:pPr>
              <w:widowControl/>
              <w:spacing w:line="276" w:lineRule="auto"/>
              <w:jc w:val="left"/>
              <w:rPr>
                <w:rFonts w:ascii="宋体" w:hAnsi="宋体" w:eastAsia="宋体" w:cs="宋体"/>
                <w:szCs w:val="21"/>
                <w:highlight w:val="none"/>
              </w:rPr>
            </w:pPr>
          </w:p>
        </w:tc>
      </w:tr>
      <w:tr w14:paraId="6A144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51" w:type="dxa"/>
            <w:noWrap/>
            <w:vAlign w:val="center"/>
          </w:tcPr>
          <w:p w14:paraId="2A771EBA">
            <w:pPr>
              <w:widowControl/>
              <w:spacing w:line="276" w:lineRule="auto"/>
              <w:jc w:val="center"/>
              <w:rPr>
                <w:rFonts w:ascii="宋体" w:hAnsi="宋体" w:eastAsia="宋体" w:cs="宋体"/>
                <w:szCs w:val="21"/>
                <w:highlight w:val="none"/>
              </w:rPr>
            </w:pPr>
            <w:r>
              <w:rPr>
                <w:rFonts w:hint="eastAsia" w:ascii="宋体" w:hAnsi="宋体" w:eastAsia="宋体" w:cs="宋体"/>
                <w:szCs w:val="21"/>
                <w:highlight w:val="none"/>
              </w:rPr>
              <w:t>5</w:t>
            </w:r>
          </w:p>
        </w:tc>
        <w:tc>
          <w:tcPr>
            <w:tcW w:w="4224" w:type="dxa"/>
            <w:shd w:val="clear" w:color="auto" w:fill="auto"/>
            <w:noWrap/>
            <w:vAlign w:val="center"/>
          </w:tcPr>
          <w:p w14:paraId="0F46EA57">
            <w:pPr>
              <w:spacing w:line="276" w:lineRule="auto"/>
              <w:jc w:val="left"/>
              <w:rPr>
                <w:rFonts w:asciiTheme="minorEastAsia" w:hAnsiTheme="minorEastAsia" w:eastAsiaTheme="minorEastAsia" w:cstheme="minorBidi"/>
                <w:kern w:val="2"/>
                <w:sz w:val="21"/>
                <w:szCs w:val="21"/>
                <w:highlight w:val="none"/>
                <w:lang w:val="en-US" w:eastAsia="zh-CN" w:bidi="ar-SA"/>
              </w:rPr>
            </w:pPr>
            <w:r>
              <w:rPr>
                <w:rFonts w:hint="eastAsia" w:ascii="宋体" w:hAnsi="宋体" w:eastAsia="宋体"/>
                <w:szCs w:val="21"/>
                <w:highlight w:val="none"/>
              </w:rPr>
              <w:t>数据传输服务</w:t>
            </w:r>
          </w:p>
        </w:tc>
        <w:tc>
          <w:tcPr>
            <w:tcW w:w="992" w:type="dxa"/>
            <w:shd w:val="clear" w:color="auto" w:fill="auto"/>
            <w:vAlign w:val="center"/>
          </w:tcPr>
          <w:p w14:paraId="5E1CBC15">
            <w:pPr>
              <w:spacing w:line="276" w:lineRule="auto"/>
              <w:jc w:val="center"/>
              <w:rPr>
                <w:rFonts w:asciiTheme="minorEastAsia" w:hAnsiTheme="minorEastAsia" w:eastAsiaTheme="minorEastAsia" w:cstheme="minorBidi"/>
                <w:kern w:val="2"/>
                <w:sz w:val="21"/>
                <w:szCs w:val="21"/>
                <w:highlight w:val="none"/>
                <w:lang w:val="en-US" w:eastAsia="zh-CN" w:bidi="ar-SA"/>
              </w:rPr>
            </w:pPr>
            <w:r>
              <w:rPr>
                <w:rFonts w:hint="eastAsia" w:cs="仿宋_GB2312" w:asciiTheme="minorEastAsia" w:hAnsiTheme="minorEastAsia"/>
                <w:szCs w:val="21"/>
                <w:highlight w:val="none"/>
              </w:rPr>
              <w:t>项</w:t>
            </w:r>
          </w:p>
        </w:tc>
        <w:tc>
          <w:tcPr>
            <w:tcW w:w="992" w:type="dxa"/>
            <w:vAlign w:val="center"/>
          </w:tcPr>
          <w:p w14:paraId="5E12376B">
            <w:pPr>
              <w:spacing w:line="276" w:lineRule="auto"/>
              <w:jc w:val="center"/>
              <w:rPr>
                <w:rFonts w:ascii="宋体" w:hAnsi="宋体" w:eastAsia="宋体" w:cs="宋体"/>
                <w:szCs w:val="21"/>
                <w:highlight w:val="none"/>
              </w:rPr>
            </w:pPr>
            <w:r>
              <w:rPr>
                <w:rStyle w:val="166"/>
                <w:rFonts w:hint="default" w:asciiTheme="minorEastAsia" w:hAnsiTheme="minorEastAsia" w:eastAsiaTheme="minorEastAsia"/>
                <w:sz w:val="21"/>
                <w:szCs w:val="21"/>
                <w:highlight w:val="none"/>
              </w:rPr>
              <w:t>2</w:t>
            </w:r>
          </w:p>
        </w:tc>
        <w:tc>
          <w:tcPr>
            <w:tcW w:w="992" w:type="dxa"/>
            <w:noWrap/>
            <w:vAlign w:val="bottom"/>
          </w:tcPr>
          <w:p w14:paraId="2C5EC35C">
            <w:pPr>
              <w:widowControl/>
              <w:spacing w:line="276" w:lineRule="auto"/>
              <w:jc w:val="left"/>
              <w:rPr>
                <w:rFonts w:ascii="宋体" w:hAnsi="宋体" w:eastAsia="宋体" w:cs="宋体"/>
                <w:szCs w:val="21"/>
                <w:highlight w:val="none"/>
              </w:rPr>
            </w:pPr>
          </w:p>
        </w:tc>
        <w:tc>
          <w:tcPr>
            <w:tcW w:w="993" w:type="dxa"/>
            <w:noWrap/>
            <w:vAlign w:val="bottom"/>
          </w:tcPr>
          <w:p w14:paraId="375D0D09">
            <w:pPr>
              <w:widowControl/>
              <w:spacing w:line="276" w:lineRule="auto"/>
              <w:jc w:val="left"/>
              <w:rPr>
                <w:rFonts w:ascii="宋体" w:hAnsi="宋体" w:eastAsia="宋体" w:cs="宋体"/>
                <w:szCs w:val="21"/>
                <w:highlight w:val="none"/>
              </w:rPr>
            </w:pPr>
          </w:p>
        </w:tc>
        <w:tc>
          <w:tcPr>
            <w:tcW w:w="850" w:type="dxa"/>
            <w:noWrap/>
            <w:vAlign w:val="bottom"/>
          </w:tcPr>
          <w:p w14:paraId="496E5BCF">
            <w:pPr>
              <w:widowControl/>
              <w:spacing w:line="276" w:lineRule="auto"/>
              <w:jc w:val="left"/>
              <w:rPr>
                <w:rFonts w:ascii="宋体" w:hAnsi="宋体" w:eastAsia="宋体" w:cs="宋体"/>
                <w:szCs w:val="21"/>
                <w:highlight w:val="none"/>
              </w:rPr>
            </w:pPr>
          </w:p>
        </w:tc>
      </w:tr>
      <w:tr w14:paraId="2F337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51" w:type="dxa"/>
            <w:noWrap/>
            <w:vAlign w:val="center"/>
          </w:tcPr>
          <w:p w14:paraId="4F24D9C0">
            <w:pPr>
              <w:widowControl/>
              <w:spacing w:line="276" w:lineRule="auto"/>
              <w:jc w:val="center"/>
              <w:rPr>
                <w:rFonts w:ascii="宋体" w:hAnsi="宋体" w:eastAsia="宋体" w:cs="宋体"/>
                <w:szCs w:val="21"/>
                <w:highlight w:val="none"/>
              </w:rPr>
            </w:pPr>
            <w:r>
              <w:rPr>
                <w:rFonts w:ascii="宋体" w:hAnsi="宋体" w:eastAsia="宋体" w:cs="宋体"/>
                <w:szCs w:val="21"/>
                <w:highlight w:val="none"/>
              </w:rPr>
              <w:t>…</w:t>
            </w:r>
          </w:p>
        </w:tc>
        <w:tc>
          <w:tcPr>
            <w:tcW w:w="4224" w:type="dxa"/>
            <w:vAlign w:val="center"/>
          </w:tcPr>
          <w:p w14:paraId="63F402D8">
            <w:pPr>
              <w:widowControl/>
              <w:spacing w:line="276" w:lineRule="auto"/>
              <w:jc w:val="left"/>
              <w:rPr>
                <w:rFonts w:ascii="宋体" w:hAnsi="宋体" w:eastAsia="宋体" w:cs="宋体"/>
                <w:szCs w:val="21"/>
                <w:highlight w:val="none"/>
              </w:rPr>
            </w:pPr>
          </w:p>
        </w:tc>
        <w:tc>
          <w:tcPr>
            <w:tcW w:w="992" w:type="dxa"/>
            <w:vAlign w:val="center"/>
          </w:tcPr>
          <w:p w14:paraId="1D4ECC56">
            <w:pPr>
              <w:widowControl/>
              <w:spacing w:line="276" w:lineRule="auto"/>
              <w:jc w:val="center"/>
              <w:rPr>
                <w:rFonts w:ascii="宋体" w:hAnsi="宋体" w:eastAsia="宋体" w:cs="宋体"/>
                <w:szCs w:val="21"/>
                <w:highlight w:val="none"/>
              </w:rPr>
            </w:pPr>
          </w:p>
        </w:tc>
        <w:tc>
          <w:tcPr>
            <w:tcW w:w="992" w:type="dxa"/>
            <w:vAlign w:val="center"/>
          </w:tcPr>
          <w:p w14:paraId="68881459">
            <w:pPr>
              <w:widowControl/>
              <w:spacing w:line="276" w:lineRule="auto"/>
              <w:jc w:val="center"/>
              <w:rPr>
                <w:rFonts w:ascii="宋体" w:hAnsi="宋体" w:eastAsia="宋体" w:cs="宋体"/>
                <w:szCs w:val="21"/>
                <w:highlight w:val="none"/>
              </w:rPr>
            </w:pPr>
          </w:p>
        </w:tc>
        <w:tc>
          <w:tcPr>
            <w:tcW w:w="992" w:type="dxa"/>
            <w:noWrap/>
            <w:vAlign w:val="bottom"/>
          </w:tcPr>
          <w:p w14:paraId="1DC3FCAD">
            <w:pPr>
              <w:widowControl/>
              <w:spacing w:line="276" w:lineRule="auto"/>
              <w:jc w:val="left"/>
              <w:rPr>
                <w:rFonts w:ascii="宋体" w:hAnsi="宋体" w:eastAsia="宋体" w:cs="宋体"/>
                <w:szCs w:val="21"/>
                <w:highlight w:val="none"/>
              </w:rPr>
            </w:pPr>
          </w:p>
        </w:tc>
        <w:tc>
          <w:tcPr>
            <w:tcW w:w="993" w:type="dxa"/>
            <w:noWrap/>
            <w:vAlign w:val="bottom"/>
          </w:tcPr>
          <w:p w14:paraId="64D94632">
            <w:pPr>
              <w:widowControl/>
              <w:spacing w:line="276" w:lineRule="auto"/>
              <w:jc w:val="left"/>
              <w:rPr>
                <w:rFonts w:ascii="宋体" w:hAnsi="宋体" w:eastAsia="宋体" w:cs="宋体"/>
                <w:szCs w:val="21"/>
                <w:highlight w:val="none"/>
              </w:rPr>
            </w:pPr>
          </w:p>
        </w:tc>
        <w:tc>
          <w:tcPr>
            <w:tcW w:w="850" w:type="dxa"/>
            <w:noWrap/>
            <w:vAlign w:val="bottom"/>
          </w:tcPr>
          <w:p w14:paraId="3622DCBB">
            <w:pPr>
              <w:widowControl/>
              <w:spacing w:line="276" w:lineRule="auto"/>
              <w:jc w:val="left"/>
              <w:rPr>
                <w:rFonts w:ascii="宋体" w:hAnsi="宋体" w:eastAsia="宋体" w:cs="宋体"/>
                <w:szCs w:val="21"/>
                <w:highlight w:val="none"/>
              </w:rPr>
            </w:pPr>
          </w:p>
        </w:tc>
      </w:tr>
      <w:tr w14:paraId="75260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051" w:type="dxa"/>
            <w:gridSpan w:val="5"/>
            <w:noWrap/>
            <w:vAlign w:val="center"/>
          </w:tcPr>
          <w:p w14:paraId="038DB3E0">
            <w:pPr>
              <w:widowControl/>
              <w:spacing w:line="276" w:lineRule="auto"/>
              <w:jc w:val="left"/>
              <w:rPr>
                <w:rFonts w:ascii="宋体" w:hAnsi="宋体" w:eastAsia="宋体" w:cs="宋体"/>
                <w:szCs w:val="21"/>
                <w:highlight w:val="none"/>
              </w:rPr>
            </w:pPr>
            <w:r>
              <w:rPr>
                <w:rFonts w:hint="eastAsia" w:ascii="宋体" w:hAnsi="宋体" w:eastAsia="宋体" w:cs="宋体"/>
                <w:szCs w:val="21"/>
                <w:highlight w:val="none"/>
              </w:rPr>
              <w:t>合计（含税）：</w:t>
            </w:r>
          </w:p>
        </w:tc>
        <w:tc>
          <w:tcPr>
            <w:tcW w:w="993" w:type="dxa"/>
            <w:noWrap/>
            <w:vAlign w:val="bottom"/>
          </w:tcPr>
          <w:p w14:paraId="74C80750">
            <w:pPr>
              <w:widowControl/>
              <w:spacing w:line="276" w:lineRule="auto"/>
              <w:jc w:val="left"/>
              <w:rPr>
                <w:rFonts w:ascii="宋体" w:hAnsi="宋体" w:eastAsia="宋体" w:cs="宋体"/>
                <w:szCs w:val="21"/>
                <w:highlight w:val="none"/>
              </w:rPr>
            </w:pPr>
            <w:r>
              <w:rPr>
                <w:rFonts w:hint="eastAsia" w:ascii="宋体" w:hAnsi="宋体" w:eastAsia="宋体" w:cs="宋体"/>
                <w:szCs w:val="21"/>
                <w:highlight w:val="none"/>
              </w:rPr>
              <w:t>　</w:t>
            </w:r>
          </w:p>
        </w:tc>
        <w:tc>
          <w:tcPr>
            <w:tcW w:w="850" w:type="dxa"/>
            <w:noWrap/>
            <w:vAlign w:val="bottom"/>
          </w:tcPr>
          <w:p w14:paraId="160F67E8">
            <w:pPr>
              <w:widowControl/>
              <w:spacing w:line="276" w:lineRule="auto"/>
              <w:jc w:val="left"/>
              <w:rPr>
                <w:rFonts w:ascii="宋体" w:hAnsi="宋体" w:eastAsia="宋体" w:cs="宋体"/>
                <w:szCs w:val="21"/>
                <w:highlight w:val="none"/>
              </w:rPr>
            </w:pPr>
            <w:r>
              <w:rPr>
                <w:rFonts w:hint="eastAsia" w:ascii="宋体" w:hAnsi="宋体" w:eastAsia="宋体" w:cs="宋体"/>
                <w:szCs w:val="21"/>
                <w:highlight w:val="none"/>
              </w:rPr>
              <w:t>　</w:t>
            </w:r>
          </w:p>
        </w:tc>
      </w:tr>
    </w:tbl>
    <w:p w14:paraId="65FFFDAC">
      <w:pPr>
        <w:spacing w:line="276" w:lineRule="auto"/>
        <w:ind w:left="735" w:hanging="735"/>
        <w:rPr>
          <w:rFonts w:ascii="宋体" w:hAnsi="宋体" w:eastAsia="宋体"/>
          <w:szCs w:val="21"/>
          <w:highlight w:val="none"/>
        </w:rPr>
      </w:pPr>
      <w:r>
        <w:rPr>
          <w:rFonts w:hint="eastAsia" w:ascii="宋体" w:hAnsi="宋体" w:eastAsia="宋体"/>
          <w:szCs w:val="21"/>
          <w:highlight w:val="none"/>
        </w:rPr>
        <w:t>注：</w:t>
      </w:r>
    </w:p>
    <w:p w14:paraId="2317E989">
      <w:pPr>
        <w:spacing w:line="276" w:lineRule="auto"/>
        <w:rPr>
          <w:rFonts w:ascii="宋体" w:hAnsi="宋体" w:eastAsia="宋体"/>
          <w:szCs w:val="21"/>
          <w:highlight w:val="none"/>
        </w:rPr>
      </w:pPr>
      <w:r>
        <w:rPr>
          <w:rFonts w:hint="eastAsia" w:ascii="宋体" w:hAnsi="宋体" w:eastAsia="宋体"/>
          <w:szCs w:val="21"/>
          <w:highlight w:val="none"/>
        </w:rPr>
        <w:t>1、投标人须按“投标（响应）报价明细表”的格式详细报出投标总报价的各个组成部分的报价。</w:t>
      </w:r>
    </w:p>
    <w:p w14:paraId="1044996B">
      <w:pPr>
        <w:spacing w:line="276" w:lineRule="auto"/>
        <w:rPr>
          <w:rFonts w:ascii="宋体" w:hAnsi="宋体" w:eastAsia="宋体"/>
          <w:szCs w:val="21"/>
          <w:highlight w:val="none"/>
        </w:rPr>
      </w:pPr>
      <w:r>
        <w:rPr>
          <w:rFonts w:hint="eastAsia" w:ascii="宋体" w:hAnsi="宋体" w:eastAsia="宋体"/>
          <w:szCs w:val="21"/>
          <w:highlight w:val="none"/>
        </w:rPr>
        <w:t>2、“投标（响应）报价明细表”各分项报价合计应当与“开标一览表”投标总报价相等，如不相等，投标总报价以“开标一览表”为准。</w:t>
      </w:r>
    </w:p>
    <w:p w14:paraId="1319B57D">
      <w:pPr>
        <w:rPr>
          <w:rFonts w:ascii="宋体" w:hAnsi="宋体" w:eastAsia="宋体" w:cs="宋体"/>
          <w:b/>
          <w:sz w:val="24"/>
          <w:szCs w:val="24"/>
          <w:highlight w:val="none"/>
          <w:shd w:val="clear" w:color="auto" w:fill="FFFFFF"/>
        </w:rPr>
      </w:pPr>
    </w:p>
    <w:p w14:paraId="222C9933">
      <w:pPr>
        <w:rPr>
          <w:rFonts w:ascii="宋体" w:hAnsi="宋体" w:eastAsia="宋体" w:cs="宋体"/>
          <w:b/>
          <w:sz w:val="24"/>
          <w:szCs w:val="24"/>
          <w:highlight w:val="none"/>
          <w:shd w:val="clear" w:color="auto" w:fill="FFFFFF"/>
        </w:rPr>
      </w:pPr>
    </w:p>
    <w:p w14:paraId="02B81DE4">
      <w:pPr>
        <w:rPr>
          <w:rFonts w:ascii="宋体" w:hAnsi="宋体" w:eastAsia="宋体" w:cs="宋体"/>
          <w:b/>
          <w:sz w:val="24"/>
          <w:szCs w:val="24"/>
          <w:highlight w:val="none"/>
          <w:shd w:val="clear" w:color="auto" w:fill="FFFFFF"/>
        </w:rPr>
      </w:pPr>
    </w:p>
    <w:p w14:paraId="73E4681A">
      <w:pPr>
        <w:rPr>
          <w:rFonts w:ascii="宋体" w:hAnsi="宋体" w:eastAsia="宋体" w:cs="宋体"/>
          <w:b/>
          <w:sz w:val="24"/>
          <w:szCs w:val="24"/>
          <w:highlight w:val="none"/>
          <w:shd w:val="clear" w:color="auto" w:fill="FFFFFF"/>
        </w:rPr>
      </w:pPr>
    </w:p>
    <w:p w14:paraId="622FEED7">
      <w:pPr>
        <w:rPr>
          <w:rFonts w:ascii="宋体" w:hAnsi="宋体" w:eastAsia="宋体" w:cs="宋体"/>
          <w:b/>
          <w:sz w:val="24"/>
          <w:szCs w:val="24"/>
          <w:highlight w:val="none"/>
          <w:shd w:val="clear" w:color="auto" w:fill="FFFFFF"/>
        </w:rPr>
      </w:pPr>
    </w:p>
    <w:p w14:paraId="7BBAE55A">
      <w:pPr>
        <w:rPr>
          <w:rFonts w:ascii="宋体" w:hAnsi="宋体" w:eastAsia="宋体" w:cs="宋体"/>
          <w:b/>
          <w:sz w:val="24"/>
          <w:szCs w:val="24"/>
          <w:highlight w:val="none"/>
          <w:shd w:val="clear" w:color="auto" w:fill="FFFFFF"/>
        </w:rPr>
      </w:pPr>
    </w:p>
    <w:p w14:paraId="1078FAF7">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7B5F71C9">
      <w:pPr>
        <w:spacing w:line="360" w:lineRule="auto"/>
        <w:ind w:right="420"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p w14:paraId="56B58085">
      <w:pP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br w:type="page"/>
      </w:r>
    </w:p>
    <w:p w14:paraId="4E4FD2BD">
      <w:pPr>
        <w:spacing w:line="360" w:lineRule="auto"/>
        <w:textAlignment w:val="baseline"/>
        <w:outlineLvl w:val="1"/>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5、针对本项目制定的服务实施方案</w:t>
      </w:r>
    </w:p>
    <w:p w14:paraId="37A48916">
      <w:pPr>
        <w:adjustRightInd w:val="0"/>
        <w:spacing w:before="240" w:beforeLines="100" w:line="360" w:lineRule="auto"/>
        <w:jc w:val="center"/>
        <w:textAlignment w:val="baseline"/>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针对本项目制定的服务实施方案</w:t>
      </w:r>
    </w:p>
    <w:tbl>
      <w:tblPr>
        <w:tblStyle w:val="49"/>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356"/>
      </w:tblGrid>
      <w:tr w14:paraId="7B2D8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80" w:hRule="atLeast"/>
          <w:jc w:val="center"/>
        </w:trPr>
        <w:tc>
          <w:tcPr>
            <w:tcW w:w="9356" w:type="dxa"/>
          </w:tcPr>
          <w:p w14:paraId="4893BA79">
            <w:pPr>
              <w:tabs>
                <w:tab w:val="left" w:pos="1320"/>
              </w:tabs>
              <w:spacing w:line="360" w:lineRule="auto"/>
              <w:jc w:val="left"/>
              <w:rPr>
                <w:rFonts w:ascii="宋体" w:hAnsi="宋体" w:eastAsia="宋体" w:cs="宋体"/>
                <w:sz w:val="24"/>
                <w:szCs w:val="21"/>
                <w:highlight w:val="none"/>
                <w:shd w:val="clear" w:color="auto" w:fill="FFFFFF"/>
              </w:rPr>
            </w:pPr>
            <w:r>
              <w:rPr>
                <w:rFonts w:hint="eastAsia" w:ascii="宋体" w:hAnsi="宋体" w:eastAsia="宋体" w:cs="宋体"/>
                <w:sz w:val="24"/>
                <w:szCs w:val="24"/>
                <w:highlight w:val="none"/>
                <w:shd w:val="clear" w:color="auto" w:fill="FFFFFF"/>
              </w:rPr>
              <w:t>提示：</w:t>
            </w:r>
            <w:r>
              <w:rPr>
                <w:rFonts w:hint="eastAsia" w:ascii="宋体" w:hAnsi="宋体" w:eastAsia="宋体" w:cs="宋体"/>
                <w:bCs/>
                <w:sz w:val="24"/>
                <w:szCs w:val="24"/>
                <w:highlight w:val="none"/>
              </w:rPr>
              <w:t>供应商应根据本次采购项目要求，对服务实施方案等进行详细的说明与描述。</w:t>
            </w:r>
            <w:r>
              <w:rPr>
                <w:rFonts w:hint="eastAsia" w:ascii="宋体" w:hAnsi="宋体" w:eastAsia="宋体" w:cs="宋体"/>
                <w:sz w:val="24"/>
                <w:szCs w:val="24"/>
                <w:highlight w:val="none"/>
                <w:shd w:val="clear" w:color="auto" w:fill="FFFFFF"/>
              </w:rPr>
              <w:t>供应商可根据自身情况编写，本页不够可另加页附后。</w:t>
            </w:r>
          </w:p>
          <w:p w14:paraId="2D5C2922">
            <w:pPr>
              <w:tabs>
                <w:tab w:val="left" w:pos="0"/>
              </w:tabs>
              <w:spacing w:line="360" w:lineRule="auto"/>
              <w:jc w:val="left"/>
              <w:rPr>
                <w:rFonts w:ascii="宋体" w:hAnsi="宋体" w:eastAsia="宋体" w:cs="宋体"/>
                <w:b/>
                <w:bCs/>
                <w:sz w:val="24"/>
                <w:szCs w:val="24"/>
                <w:highlight w:val="none"/>
                <w:shd w:val="clear" w:color="auto" w:fill="FFFFFF"/>
              </w:rPr>
            </w:pPr>
          </w:p>
          <w:p w14:paraId="248A66CF">
            <w:pPr>
              <w:spacing w:line="360" w:lineRule="auto"/>
              <w:rPr>
                <w:rFonts w:ascii="宋体" w:hAnsi="宋体" w:eastAsia="宋体" w:cs="宋体"/>
                <w:sz w:val="26"/>
                <w:szCs w:val="20"/>
                <w:highlight w:val="none"/>
                <w:shd w:val="clear" w:color="auto" w:fill="FFFFFF"/>
              </w:rPr>
            </w:pPr>
          </w:p>
          <w:p w14:paraId="307DCB58">
            <w:pPr>
              <w:spacing w:line="360" w:lineRule="auto"/>
              <w:rPr>
                <w:rFonts w:ascii="宋体" w:hAnsi="宋体" w:eastAsia="宋体" w:cs="宋体"/>
                <w:sz w:val="26"/>
                <w:szCs w:val="20"/>
                <w:highlight w:val="none"/>
                <w:shd w:val="clear" w:color="auto" w:fill="FFFFFF"/>
              </w:rPr>
            </w:pPr>
          </w:p>
          <w:p w14:paraId="4CF414A8">
            <w:pPr>
              <w:spacing w:line="360" w:lineRule="auto"/>
              <w:rPr>
                <w:rFonts w:ascii="宋体" w:hAnsi="宋体" w:eastAsia="宋体" w:cs="宋体"/>
                <w:sz w:val="24"/>
                <w:szCs w:val="20"/>
                <w:highlight w:val="none"/>
                <w:shd w:val="clear" w:color="auto" w:fill="FFFFFF"/>
              </w:rPr>
            </w:pPr>
          </w:p>
          <w:p w14:paraId="5B88825B">
            <w:pPr>
              <w:spacing w:line="360" w:lineRule="auto"/>
              <w:rPr>
                <w:rFonts w:ascii="宋体" w:hAnsi="宋体" w:eastAsia="宋体" w:cs="宋体"/>
                <w:sz w:val="24"/>
                <w:szCs w:val="20"/>
                <w:highlight w:val="none"/>
                <w:shd w:val="clear" w:color="auto" w:fill="FFFFFF"/>
              </w:rPr>
            </w:pPr>
          </w:p>
          <w:p w14:paraId="75432CA0">
            <w:pPr>
              <w:spacing w:line="360" w:lineRule="auto"/>
              <w:rPr>
                <w:rFonts w:ascii="宋体" w:hAnsi="宋体" w:eastAsia="宋体" w:cs="宋体"/>
                <w:sz w:val="24"/>
                <w:szCs w:val="20"/>
                <w:highlight w:val="none"/>
                <w:shd w:val="clear" w:color="auto" w:fill="FFFFFF"/>
              </w:rPr>
            </w:pPr>
          </w:p>
          <w:p w14:paraId="23117D33">
            <w:pPr>
              <w:spacing w:line="360" w:lineRule="auto"/>
              <w:rPr>
                <w:rFonts w:ascii="宋体" w:hAnsi="宋体" w:eastAsia="宋体" w:cs="宋体"/>
                <w:sz w:val="24"/>
                <w:szCs w:val="20"/>
                <w:highlight w:val="none"/>
                <w:shd w:val="clear" w:color="auto" w:fill="FFFFFF"/>
              </w:rPr>
            </w:pPr>
          </w:p>
          <w:p w14:paraId="796BE9D0">
            <w:pPr>
              <w:spacing w:line="360" w:lineRule="auto"/>
              <w:rPr>
                <w:rFonts w:ascii="宋体" w:hAnsi="宋体" w:eastAsia="宋体" w:cs="宋体"/>
                <w:sz w:val="24"/>
                <w:szCs w:val="20"/>
                <w:highlight w:val="none"/>
                <w:shd w:val="clear" w:color="auto" w:fill="FFFFFF"/>
              </w:rPr>
            </w:pPr>
          </w:p>
          <w:p w14:paraId="38B83469">
            <w:pPr>
              <w:spacing w:line="360" w:lineRule="auto"/>
              <w:rPr>
                <w:rFonts w:ascii="宋体" w:hAnsi="宋体" w:eastAsia="宋体" w:cs="宋体"/>
                <w:sz w:val="24"/>
                <w:szCs w:val="20"/>
                <w:highlight w:val="none"/>
                <w:shd w:val="clear" w:color="auto" w:fill="FFFFFF"/>
              </w:rPr>
            </w:pPr>
          </w:p>
          <w:p w14:paraId="65A6E1F5">
            <w:pPr>
              <w:spacing w:line="360" w:lineRule="auto"/>
              <w:rPr>
                <w:rFonts w:ascii="宋体" w:hAnsi="宋体" w:eastAsia="宋体" w:cs="宋体"/>
                <w:sz w:val="24"/>
                <w:szCs w:val="20"/>
                <w:highlight w:val="none"/>
                <w:shd w:val="clear" w:color="auto" w:fill="FFFFFF"/>
              </w:rPr>
            </w:pPr>
          </w:p>
          <w:p w14:paraId="07FA3E1C">
            <w:pPr>
              <w:spacing w:line="360" w:lineRule="auto"/>
              <w:rPr>
                <w:rFonts w:ascii="宋体" w:hAnsi="宋体" w:eastAsia="宋体" w:cs="宋体"/>
                <w:sz w:val="24"/>
                <w:szCs w:val="20"/>
                <w:highlight w:val="none"/>
                <w:shd w:val="clear" w:color="auto" w:fill="FFFFFF"/>
              </w:rPr>
            </w:pPr>
          </w:p>
          <w:p w14:paraId="1E80B19E">
            <w:pPr>
              <w:spacing w:line="360" w:lineRule="auto"/>
              <w:rPr>
                <w:rFonts w:ascii="宋体" w:hAnsi="宋体" w:eastAsia="宋体" w:cs="宋体"/>
                <w:sz w:val="24"/>
                <w:szCs w:val="20"/>
                <w:highlight w:val="none"/>
                <w:shd w:val="clear" w:color="auto" w:fill="FFFFFF"/>
              </w:rPr>
            </w:pPr>
          </w:p>
          <w:p w14:paraId="2FE648DC">
            <w:pPr>
              <w:spacing w:line="360" w:lineRule="auto"/>
              <w:rPr>
                <w:rFonts w:ascii="宋体" w:hAnsi="宋体" w:eastAsia="宋体" w:cs="宋体"/>
                <w:sz w:val="24"/>
                <w:szCs w:val="20"/>
                <w:highlight w:val="none"/>
                <w:shd w:val="clear" w:color="auto" w:fill="FFFFFF"/>
              </w:rPr>
            </w:pPr>
          </w:p>
          <w:p w14:paraId="6FC5A1A2">
            <w:pPr>
              <w:spacing w:line="360" w:lineRule="auto"/>
              <w:rPr>
                <w:rFonts w:ascii="宋体" w:hAnsi="宋体" w:eastAsia="宋体" w:cs="宋体"/>
                <w:sz w:val="24"/>
                <w:szCs w:val="20"/>
                <w:highlight w:val="none"/>
                <w:shd w:val="clear" w:color="auto" w:fill="FFFFFF"/>
              </w:rPr>
            </w:pPr>
          </w:p>
          <w:p w14:paraId="3BA02D3F">
            <w:pPr>
              <w:spacing w:line="360" w:lineRule="auto"/>
              <w:rPr>
                <w:rFonts w:ascii="宋体" w:hAnsi="宋体" w:eastAsia="宋体" w:cs="宋体"/>
                <w:sz w:val="24"/>
                <w:szCs w:val="20"/>
                <w:highlight w:val="none"/>
                <w:shd w:val="clear" w:color="auto" w:fill="FFFFFF"/>
              </w:rPr>
            </w:pPr>
          </w:p>
          <w:p w14:paraId="67C87A32">
            <w:pPr>
              <w:spacing w:line="360" w:lineRule="auto"/>
              <w:rPr>
                <w:rFonts w:ascii="宋体" w:hAnsi="宋体" w:eastAsia="宋体" w:cs="宋体"/>
                <w:sz w:val="24"/>
                <w:szCs w:val="20"/>
                <w:highlight w:val="none"/>
                <w:shd w:val="clear" w:color="auto" w:fill="FFFFFF"/>
              </w:rPr>
            </w:pPr>
          </w:p>
          <w:p w14:paraId="29719F97">
            <w:pPr>
              <w:spacing w:line="360" w:lineRule="auto"/>
              <w:rPr>
                <w:rFonts w:ascii="宋体" w:hAnsi="宋体" w:eastAsia="宋体" w:cs="宋体"/>
                <w:sz w:val="24"/>
                <w:szCs w:val="20"/>
                <w:highlight w:val="none"/>
                <w:shd w:val="clear" w:color="auto" w:fill="FFFFFF"/>
              </w:rPr>
            </w:pPr>
          </w:p>
          <w:p w14:paraId="6E4F70FD">
            <w:pPr>
              <w:spacing w:line="360" w:lineRule="auto"/>
              <w:ind w:firstLine="260" w:firstLineChars="100"/>
              <w:rPr>
                <w:rFonts w:ascii="宋体" w:hAnsi="宋体" w:eastAsia="宋体" w:cs="宋体"/>
                <w:sz w:val="26"/>
                <w:szCs w:val="20"/>
                <w:highlight w:val="none"/>
                <w:shd w:val="clear" w:color="auto" w:fill="FFFFFF"/>
              </w:rPr>
            </w:pPr>
          </w:p>
          <w:p w14:paraId="72233715">
            <w:pPr>
              <w:spacing w:line="360" w:lineRule="auto"/>
              <w:ind w:firstLine="260" w:firstLineChars="100"/>
              <w:rPr>
                <w:rFonts w:ascii="宋体" w:hAnsi="宋体" w:eastAsia="宋体" w:cs="宋体"/>
                <w:sz w:val="26"/>
                <w:szCs w:val="20"/>
                <w:highlight w:val="none"/>
                <w:shd w:val="clear" w:color="auto" w:fill="FFFFFF"/>
              </w:rPr>
            </w:pPr>
          </w:p>
        </w:tc>
      </w:tr>
    </w:tbl>
    <w:p w14:paraId="045CC7FD">
      <w:pPr>
        <w:spacing w:line="360" w:lineRule="auto"/>
        <w:ind w:firstLine="480" w:firstLineChars="200"/>
        <w:textAlignment w:val="baseline"/>
        <w:rPr>
          <w:rFonts w:ascii="宋体" w:hAnsi="宋体" w:eastAsia="宋体" w:cs="宋体"/>
          <w:sz w:val="24"/>
          <w:szCs w:val="20"/>
          <w:highlight w:val="none"/>
          <w:shd w:val="clear" w:color="auto" w:fill="FFFFFF"/>
        </w:rPr>
      </w:pPr>
    </w:p>
    <w:p w14:paraId="153F7C42">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1B351890">
      <w:pPr>
        <w:spacing w:line="360" w:lineRule="auto"/>
        <w:ind w:right="420"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p w14:paraId="46E0B4B8">
      <w:pPr>
        <w:overflowPunct w:val="0"/>
        <w:spacing w:line="360" w:lineRule="auto"/>
        <w:textAlignment w:val="baseline"/>
        <w:rPr>
          <w:rFonts w:ascii="宋体" w:hAnsi="宋体" w:eastAsia="宋体" w:cs="宋体"/>
          <w:sz w:val="24"/>
          <w:szCs w:val="20"/>
          <w:highlight w:val="none"/>
        </w:rPr>
      </w:pPr>
    </w:p>
    <w:p w14:paraId="6105A8ED">
      <w:pPr>
        <w:spacing w:line="360" w:lineRule="auto"/>
        <w:textAlignment w:val="baseline"/>
        <w:outlineLvl w:val="1"/>
        <w:rPr>
          <w:rFonts w:ascii="宋体" w:hAnsi="宋体" w:eastAsia="宋体" w:cs="宋体"/>
          <w:bCs/>
          <w:sz w:val="24"/>
          <w:szCs w:val="24"/>
          <w:highlight w:val="none"/>
          <w:shd w:val="clear" w:color="auto" w:fill="FFFFFF"/>
          <w:lang w:val="zh-CN"/>
        </w:rPr>
      </w:pPr>
      <w:r>
        <w:rPr>
          <w:rFonts w:hint="eastAsia" w:ascii="宋体" w:hAnsi="宋体" w:eastAsia="宋体" w:cs="宋体"/>
          <w:b/>
          <w:sz w:val="24"/>
          <w:szCs w:val="24"/>
          <w:highlight w:val="none"/>
          <w:shd w:val="clear" w:color="auto" w:fill="FFFFFF"/>
        </w:rPr>
        <w:br w:type="page"/>
      </w:r>
      <w:r>
        <w:rPr>
          <w:rFonts w:hint="eastAsia" w:ascii="宋体" w:hAnsi="宋体" w:eastAsia="宋体" w:cs="宋体"/>
          <w:b/>
          <w:sz w:val="24"/>
          <w:szCs w:val="24"/>
          <w:highlight w:val="none"/>
          <w:shd w:val="clear" w:color="auto" w:fill="FFFFFF"/>
        </w:rPr>
        <w:t>6、服务或技术要求偏离表</w:t>
      </w:r>
    </w:p>
    <w:p w14:paraId="710B6AD8">
      <w:pPr>
        <w:spacing w:line="360" w:lineRule="auto"/>
        <w:jc w:val="cente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服务或技术要求偏离表</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292"/>
        <w:gridCol w:w="1620"/>
        <w:gridCol w:w="1440"/>
        <w:gridCol w:w="1699"/>
        <w:gridCol w:w="1757"/>
      </w:tblGrid>
      <w:tr w14:paraId="42FA1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828" w:type="dxa"/>
            <w:vAlign w:val="center"/>
          </w:tcPr>
          <w:p w14:paraId="2CC60998">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序号</w:t>
            </w:r>
          </w:p>
        </w:tc>
        <w:tc>
          <w:tcPr>
            <w:tcW w:w="1292" w:type="dxa"/>
            <w:vAlign w:val="center"/>
          </w:tcPr>
          <w:p w14:paraId="1C922105">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采购内容</w:t>
            </w:r>
          </w:p>
        </w:tc>
        <w:tc>
          <w:tcPr>
            <w:tcW w:w="1620" w:type="dxa"/>
            <w:vAlign w:val="center"/>
          </w:tcPr>
          <w:p w14:paraId="6065F1E7">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采购要求</w:t>
            </w:r>
          </w:p>
        </w:tc>
        <w:tc>
          <w:tcPr>
            <w:tcW w:w="1440" w:type="dxa"/>
            <w:vAlign w:val="center"/>
          </w:tcPr>
          <w:p w14:paraId="3B95B894">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响应情况</w:t>
            </w:r>
          </w:p>
        </w:tc>
        <w:tc>
          <w:tcPr>
            <w:tcW w:w="1699" w:type="dxa"/>
            <w:vAlign w:val="center"/>
          </w:tcPr>
          <w:p w14:paraId="67225806">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偏离/响应</w:t>
            </w:r>
          </w:p>
        </w:tc>
        <w:tc>
          <w:tcPr>
            <w:tcW w:w="1757" w:type="dxa"/>
            <w:vAlign w:val="center"/>
          </w:tcPr>
          <w:p w14:paraId="66DD2E4A">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说明</w:t>
            </w:r>
          </w:p>
        </w:tc>
      </w:tr>
      <w:tr w14:paraId="03A89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1FACDA03">
            <w:pPr>
              <w:pStyle w:val="171"/>
              <w:spacing w:line="400" w:lineRule="exact"/>
              <w:ind w:firstLine="0"/>
              <w:jc w:val="center"/>
              <w:rPr>
                <w:rFonts w:ascii="宋体" w:hAnsi="宋体" w:eastAsia="宋体" w:cs="宋体"/>
                <w:szCs w:val="24"/>
                <w:highlight w:val="none"/>
              </w:rPr>
            </w:pPr>
          </w:p>
        </w:tc>
        <w:tc>
          <w:tcPr>
            <w:tcW w:w="1292" w:type="dxa"/>
          </w:tcPr>
          <w:p w14:paraId="1FA65B46">
            <w:pPr>
              <w:pStyle w:val="171"/>
              <w:spacing w:line="400" w:lineRule="exact"/>
              <w:ind w:firstLine="0"/>
              <w:jc w:val="center"/>
              <w:rPr>
                <w:rFonts w:ascii="宋体" w:hAnsi="宋体" w:eastAsia="宋体" w:cs="宋体"/>
                <w:szCs w:val="24"/>
                <w:highlight w:val="none"/>
              </w:rPr>
            </w:pPr>
          </w:p>
        </w:tc>
        <w:tc>
          <w:tcPr>
            <w:tcW w:w="1620" w:type="dxa"/>
          </w:tcPr>
          <w:p w14:paraId="4E14148B">
            <w:pPr>
              <w:pStyle w:val="171"/>
              <w:spacing w:line="400" w:lineRule="exact"/>
              <w:ind w:firstLine="0"/>
              <w:jc w:val="center"/>
              <w:rPr>
                <w:rFonts w:ascii="宋体" w:hAnsi="宋体" w:eastAsia="宋体" w:cs="宋体"/>
                <w:szCs w:val="24"/>
                <w:highlight w:val="none"/>
              </w:rPr>
            </w:pPr>
          </w:p>
        </w:tc>
        <w:tc>
          <w:tcPr>
            <w:tcW w:w="1440" w:type="dxa"/>
          </w:tcPr>
          <w:p w14:paraId="4B183E0E">
            <w:pPr>
              <w:pStyle w:val="171"/>
              <w:spacing w:line="400" w:lineRule="exact"/>
              <w:ind w:firstLine="0"/>
              <w:jc w:val="center"/>
              <w:rPr>
                <w:rFonts w:ascii="宋体" w:hAnsi="宋体" w:eastAsia="宋体" w:cs="宋体"/>
                <w:szCs w:val="24"/>
                <w:highlight w:val="none"/>
              </w:rPr>
            </w:pPr>
          </w:p>
        </w:tc>
        <w:tc>
          <w:tcPr>
            <w:tcW w:w="1699" w:type="dxa"/>
          </w:tcPr>
          <w:p w14:paraId="753335C2">
            <w:pPr>
              <w:pStyle w:val="171"/>
              <w:spacing w:line="400" w:lineRule="exact"/>
              <w:ind w:firstLine="0"/>
              <w:jc w:val="center"/>
              <w:rPr>
                <w:rFonts w:ascii="宋体" w:hAnsi="宋体" w:eastAsia="宋体" w:cs="宋体"/>
                <w:szCs w:val="24"/>
                <w:highlight w:val="none"/>
              </w:rPr>
            </w:pPr>
          </w:p>
        </w:tc>
        <w:tc>
          <w:tcPr>
            <w:tcW w:w="1757" w:type="dxa"/>
          </w:tcPr>
          <w:p w14:paraId="16021FC2">
            <w:pPr>
              <w:pStyle w:val="171"/>
              <w:spacing w:line="400" w:lineRule="exact"/>
              <w:ind w:firstLine="0"/>
              <w:jc w:val="center"/>
              <w:rPr>
                <w:rFonts w:ascii="宋体" w:hAnsi="宋体" w:eastAsia="宋体" w:cs="宋体"/>
                <w:szCs w:val="24"/>
                <w:highlight w:val="none"/>
              </w:rPr>
            </w:pPr>
          </w:p>
        </w:tc>
      </w:tr>
      <w:tr w14:paraId="7E6A6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7CE09614">
            <w:pPr>
              <w:pStyle w:val="171"/>
              <w:spacing w:line="400" w:lineRule="exact"/>
              <w:ind w:firstLine="0"/>
              <w:jc w:val="center"/>
              <w:rPr>
                <w:rFonts w:ascii="宋体" w:hAnsi="宋体" w:eastAsia="宋体" w:cs="宋体"/>
                <w:szCs w:val="24"/>
                <w:highlight w:val="none"/>
              </w:rPr>
            </w:pPr>
          </w:p>
        </w:tc>
        <w:tc>
          <w:tcPr>
            <w:tcW w:w="1292" w:type="dxa"/>
          </w:tcPr>
          <w:p w14:paraId="7E69A0A3">
            <w:pPr>
              <w:pStyle w:val="171"/>
              <w:spacing w:line="400" w:lineRule="exact"/>
              <w:ind w:firstLine="0"/>
              <w:jc w:val="center"/>
              <w:rPr>
                <w:rFonts w:ascii="宋体" w:hAnsi="宋体" w:eastAsia="宋体" w:cs="宋体"/>
                <w:szCs w:val="24"/>
                <w:highlight w:val="none"/>
              </w:rPr>
            </w:pPr>
          </w:p>
        </w:tc>
        <w:tc>
          <w:tcPr>
            <w:tcW w:w="1620" w:type="dxa"/>
          </w:tcPr>
          <w:p w14:paraId="32E4EFD5">
            <w:pPr>
              <w:pStyle w:val="171"/>
              <w:spacing w:line="400" w:lineRule="exact"/>
              <w:ind w:firstLine="0"/>
              <w:jc w:val="center"/>
              <w:rPr>
                <w:rFonts w:ascii="宋体" w:hAnsi="宋体" w:eastAsia="宋体" w:cs="宋体"/>
                <w:szCs w:val="24"/>
                <w:highlight w:val="none"/>
              </w:rPr>
            </w:pPr>
          </w:p>
        </w:tc>
        <w:tc>
          <w:tcPr>
            <w:tcW w:w="1440" w:type="dxa"/>
          </w:tcPr>
          <w:p w14:paraId="229431C5">
            <w:pPr>
              <w:pStyle w:val="171"/>
              <w:spacing w:line="400" w:lineRule="exact"/>
              <w:ind w:firstLine="0"/>
              <w:jc w:val="center"/>
              <w:rPr>
                <w:rFonts w:ascii="宋体" w:hAnsi="宋体" w:eastAsia="宋体" w:cs="宋体"/>
                <w:szCs w:val="24"/>
                <w:highlight w:val="none"/>
              </w:rPr>
            </w:pPr>
          </w:p>
        </w:tc>
        <w:tc>
          <w:tcPr>
            <w:tcW w:w="1699" w:type="dxa"/>
          </w:tcPr>
          <w:p w14:paraId="23744C88">
            <w:pPr>
              <w:pStyle w:val="171"/>
              <w:spacing w:line="400" w:lineRule="exact"/>
              <w:ind w:firstLine="0"/>
              <w:jc w:val="center"/>
              <w:rPr>
                <w:rFonts w:ascii="宋体" w:hAnsi="宋体" w:eastAsia="宋体" w:cs="宋体"/>
                <w:szCs w:val="24"/>
                <w:highlight w:val="none"/>
              </w:rPr>
            </w:pPr>
          </w:p>
        </w:tc>
        <w:tc>
          <w:tcPr>
            <w:tcW w:w="1757" w:type="dxa"/>
          </w:tcPr>
          <w:p w14:paraId="070AACF4">
            <w:pPr>
              <w:pStyle w:val="171"/>
              <w:spacing w:line="400" w:lineRule="exact"/>
              <w:ind w:firstLine="0"/>
              <w:jc w:val="center"/>
              <w:rPr>
                <w:rFonts w:ascii="宋体" w:hAnsi="宋体" w:eastAsia="宋体" w:cs="宋体"/>
                <w:szCs w:val="24"/>
                <w:highlight w:val="none"/>
              </w:rPr>
            </w:pPr>
          </w:p>
        </w:tc>
      </w:tr>
      <w:tr w14:paraId="7AD6F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6FE95007">
            <w:pPr>
              <w:pStyle w:val="171"/>
              <w:spacing w:line="400" w:lineRule="exact"/>
              <w:ind w:firstLine="0"/>
              <w:jc w:val="center"/>
              <w:rPr>
                <w:rFonts w:ascii="宋体" w:hAnsi="宋体" w:eastAsia="宋体" w:cs="宋体"/>
                <w:szCs w:val="24"/>
                <w:highlight w:val="none"/>
              </w:rPr>
            </w:pPr>
          </w:p>
        </w:tc>
        <w:tc>
          <w:tcPr>
            <w:tcW w:w="1292" w:type="dxa"/>
          </w:tcPr>
          <w:p w14:paraId="7309BF1E">
            <w:pPr>
              <w:pStyle w:val="171"/>
              <w:spacing w:line="400" w:lineRule="exact"/>
              <w:ind w:firstLine="0"/>
              <w:jc w:val="center"/>
              <w:rPr>
                <w:rFonts w:ascii="宋体" w:hAnsi="宋体" w:eastAsia="宋体" w:cs="宋体"/>
                <w:szCs w:val="24"/>
                <w:highlight w:val="none"/>
              </w:rPr>
            </w:pPr>
          </w:p>
        </w:tc>
        <w:tc>
          <w:tcPr>
            <w:tcW w:w="1620" w:type="dxa"/>
          </w:tcPr>
          <w:p w14:paraId="6E6B2F5B">
            <w:pPr>
              <w:pStyle w:val="171"/>
              <w:spacing w:line="400" w:lineRule="exact"/>
              <w:ind w:firstLine="0"/>
              <w:jc w:val="center"/>
              <w:rPr>
                <w:rFonts w:ascii="宋体" w:hAnsi="宋体" w:eastAsia="宋体" w:cs="宋体"/>
                <w:szCs w:val="24"/>
                <w:highlight w:val="none"/>
              </w:rPr>
            </w:pPr>
          </w:p>
        </w:tc>
        <w:tc>
          <w:tcPr>
            <w:tcW w:w="1440" w:type="dxa"/>
          </w:tcPr>
          <w:p w14:paraId="3CF4C778">
            <w:pPr>
              <w:pStyle w:val="171"/>
              <w:spacing w:line="400" w:lineRule="exact"/>
              <w:ind w:firstLine="0"/>
              <w:jc w:val="center"/>
              <w:rPr>
                <w:rFonts w:ascii="宋体" w:hAnsi="宋体" w:eastAsia="宋体" w:cs="宋体"/>
                <w:szCs w:val="24"/>
                <w:highlight w:val="none"/>
              </w:rPr>
            </w:pPr>
          </w:p>
        </w:tc>
        <w:tc>
          <w:tcPr>
            <w:tcW w:w="1699" w:type="dxa"/>
          </w:tcPr>
          <w:p w14:paraId="0C39829D">
            <w:pPr>
              <w:pStyle w:val="171"/>
              <w:spacing w:line="400" w:lineRule="exact"/>
              <w:ind w:firstLine="0"/>
              <w:jc w:val="center"/>
              <w:rPr>
                <w:rFonts w:ascii="宋体" w:hAnsi="宋体" w:eastAsia="宋体" w:cs="宋体"/>
                <w:szCs w:val="24"/>
                <w:highlight w:val="none"/>
              </w:rPr>
            </w:pPr>
          </w:p>
        </w:tc>
        <w:tc>
          <w:tcPr>
            <w:tcW w:w="1757" w:type="dxa"/>
          </w:tcPr>
          <w:p w14:paraId="3304D6E0">
            <w:pPr>
              <w:pStyle w:val="171"/>
              <w:spacing w:line="400" w:lineRule="exact"/>
              <w:ind w:firstLine="0"/>
              <w:jc w:val="center"/>
              <w:rPr>
                <w:rFonts w:ascii="宋体" w:hAnsi="宋体" w:eastAsia="宋体" w:cs="宋体"/>
                <w:szCs w:val="24"/>
                <w:highlight w:val="none"/>
              </w:rPr>
            </w:pPr>
          </w:p>
        </w:tc>
      </w:tr>
      <w:tr w14:paraId="6A679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2DEE3EAE">
            <w:pPr>
              <w:pStyle w:val="171"/>
              <w:spacing w:line="400" w:lineRule="exact"/>
              <w:ind w:firstLine="0"/>
              <w:jc w:val="center"/>
              <w:rPr>
                <w:rFonts w:ascii="宋体" w:hAnsi="宋体" w:eastAsia="宋体" w:cs="宋体"/>
                <w:szCs w:val="24"/>
                <w:highlight w:val="none"/>
              </w:rPr>
            </w:pPr>
          </w:p>
        </w:tc>
        <w:tc>
          <w:tcPr>
            <w:tcW w:w="1292" w:type="dxa"/>
          </w:tcPr>
          <w:p w14:paraId="6FBADB72">
            <w:pPr>
              <w:pStyle w:val="171"/>
              <w:spacing w:line="400" w:lineRule="exact"/>
              <w:ind w:firstLine="0"/>
              <w:jc w:val="center"/>
              <w:rPr>
                <w:rFonts w:ascii="宋体" w:hAnsi="宋体" w:eastAsia="宋体" w:cs="宋体"/>
                <w:szCs w:val="24"/>
                <w:highlight w:val="none"/>
              </w:rPr>
            </w:pPr>
          </w:p>
        </w:tc>
        <w:tc>
          <w:tcPr>
            <w:tcW w:w="1620" w:type="dxa"/>
          </w:tcPr>
          <w:p w14:paraId="5B05F8C6">
            <w:pPr>
              <w:pStyle w:val="171"/>
              <w:spacing w:line="400" w:lineRule="exact"/>
              <w:ind w:firstLine="0"/>
              <w:jc w:val="center"/>
              <w:rPr>
                <w:rFonts w:ascii="宋体" w:hAnsi="宋体" w:eastAsia="宋体" w:cs="宋体"/>
                <w:szCs w:val="24"/>
                <w:highlight w:val="none"/>
              </w:rPr>
            </w:pPr>
          </w:p>
        </w:tc>
        <w:tc>
          <w:tcPr>
            <w:tcW w:w="1440" w:type="dxa"/>
          </w:tcPr>
          <w:p w14:paraId="6D540E3D">
            <w:pPr>
              <w:pStyle w:val="171"/>
              <w:spacing w:line="400" w:lineRule="exact"/>
              <w:ind w:firstLine="0"/>
              <w:jc w:val="center"/>
              <w:rPr>
                <w:rFonts w:ascii="宋体" w:hAnsi="宋体" w:eastAsia="宋体" w:cs="宋体"/>
                <w:szCs w:val="24"/>
                <w:highlight w:val="none"/>
              </w:rPr>
            </w:pPr>
          </w:p>
        </w:tc>
        <w:tc>
          <w:tcPr>
            <w:tcW w:w="1699" w:type="dxa"/>
          </w:tcPr>
          <w:p w14:paraId="020AA22D">
            <w:pPr>
              <w:pStyle w:val="171"/>
              <w:spacing w:line="400" w:lineRule="exact"/>
              <w:ind w:firstLine="0"/>
              <w:jc w:val="center"/>
              <w:rPr>
                <w:rFonts w:ascii="宋体" w:hAnsi="宋体" w:eastAsia="宋体" w:cs="宋体"/>
                <w:szCs w:val="24"/>
                <w:highlight w:val="none"/>
              </w:rPr>
            </w:pPr>
          </w:p>
        </w:tc>
        <w:tc>
          <w:tcPr>
            <w:tcW w:w="1757" w:type="dxa"/>
          </w:tcPr>
          <w:p w14:paraId="27C9B797">
            <w:pPr>
              <w:pStyle w:val="171"/>
              <w:spacing w:line="400" w:lineRule="exact"/>
              <w:ind w:firstLine="0"/>
              <w:jc w:val="center"/>
              <w:rPr>
                <w:rFonts w:ascii="宋体" w:hAnsi="宋体" w:eastAsia="宋体" w:cs="宋体"/>
                <w:szCs w:val="24"/>
                <w:highlight w:val="none"/>
              </w:rPr>
            </w:pPr>
          </w:p>
        </w:tc>
      </w:tr>
      <w:tr w14:paraId="547E0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14E422B8">
            <w:pPr>
              <w:pStyle w:val="171"/>
              <w:spacing w:line="400" w:lineRule="exact"/>
              <w:ind w:firstLine="0"/>
              <w:jc w:val="center"/>
              <w:rPr>
                <w:rFonts w:ascii="宋体" w:hAnsi="宋体" w:eastAsia="宋体" w:cs="宋体"/>
                <w:szCs w:val="24"/>
                <w:highlight w:val="none"/>
              </w:rPr>
            </w:pPr>
          </w:p>
        </w:tc>
        <w:tc>
          <w:tcPr>
            <w:tcW w:w="1292" w:type="dxa"/>
          </w:tcPr>
          <w:p w14:paraId="7E5BF3BC">
            <w:pPr>
              <w:pStyle w:val="171"/>
              <w:spacing w:line="400" w:lineRule="exact"/>
              <w:ind w:firstLine="0"/>
              <w:jc w:val="center"/>
              <w:rPr>
                <w:rFonts w:ascii="宋体" w:hAnsi="宋体" w:eastAsia="宋体" w:cs="宋体"/>
                <w:szCs w:val="24"/>
                <w:highlight w:val="none"/>
              </w:rPr>
            </w:pPr>
          </w:p>
        </w:tc>
        <w:tc>
          <w:tcPr>
            <w:tcW w:w="1620" w:type="dxa"/>
          </w:tcPr>
          <w:p w14:paraId="55A91ADD">
            <w:pPr>
              <w:pStyle w:val="171"/>
              <w:spacing w:line="400" w:lineRule="exact"/>
              <w:ind w:firstLine="0"/>
              <w:jc w:val="center"/>
              <w:rPr>
                <w:rFonts w:ascii="宋体" w:hAnsi="宋体" w:eastAsia="宋体" w:cs="宋体"/>
                <w:szCs w:val="24"/>
                <w:highlight w:val="none"/>
              </w:rPr>
            </w:pPr>
          </w:p>
        </w:tc>
        <w:tc>
          <w:tcPr>
            <w:tcW w:w="1440" w:type="dxa"/>
          </w:tcPr>
          <w:p w14:paraId="4C80AD34">
            <w:pPr>
              <w:pStyle w:val="171"/>
              <w:spacing w:line="400" w:lineRule="exact"/>
              <w:ind w:firstLine="0"/>
              <w:jc w:val="center"/>
              <w:rPr>
                <w:rFonts w:ascii="宋体" w:hAnsi="宋体" w:eastAsia="宋体" w:cs="宋体"/>
                <w:szCs w:val="24"/>
                <w:highlight w:val="none"/>
              </w:rPr>
            </w:pPr>
          </w:p>
        </w:tc>
        <w:tc>
          <w:tcPr>
            <w:tcW w:w="1699" w:type="dxa"/>
          </w:tcPr>
          <w:p w14:paraId="0BAF43B0">
            <w:pPr>
              <w:pStyle w:val="171"/>
              <w:spacing w:line="400" w:lineRule="exact"/>
              <w:ind w:firstLine="0"/>
              <w:jc w:val="center"/>
              <w:rPr>
                <w:rFonts w:ascii="宋体" w:hAnsi="宋体" w:eastAsia="宋体" w:cs="宋体"/>
                <w:szCs w:val="24"/>
                <w:highlight w:val="none"/>
              </w:rPr>
            </w:pPr>
          </w:p>
        </w:tc>
        <w:tc>
          <w:tcPr>
            <w:tcW w:w="1757" w:type="dxa"/>
          </w:tcPr>
          <w:p w14:paraId="0969C87A">
            <w:pPr>
              <w:pStyle w:val="171"/>
              <w:spacing w:line="400" w:lineRule="exact"/>
              <w:ind w:firstLine="0"/>
              <w:jc w:val="center"/>
              <w:rPr>
                <w:rFonts w:ascii="宋体" w:hAnsi="宋体" w:eastAsia="宋体" w:cs="宋体"/>
                <w:szCs w:val="24"/>
                <w:highlight w:val="none"/>
              </w:rPr>
            </w:pPr>
          </w:p>
        </w:tc>
      </w:tr>
    </w:tbl>
    <w:p w14:paraId="033A796C">
      <w:pPr>
        <w:pStyle w:val="48"/>
        <w:ind w:firstLine="520"/>
        <w:rPr>
          <w:rFonts w:ascii="宋体" w:hAnsi="宋体" w:eastAsia="宋体" w:cs="宋体"/>
          <w:highlight w:val="none"/>
        </w:rPr>
      </w:pPr>
    </w:p>
    <w:p w14:paraId="7BD20AB4">
      <w:pPr>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注：</w:t>
      </w:r>
    </w:p>
    <w:p w14:paraId="4B2C9B13">
      <w:pPr>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p>
    <w:p w14:paraId="64D6B1CD">
      <w:pPr>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2、本表不作为响应单位对所响应标的物服务条款详细描述和说明的替代。</w:t>
      </w:r>
    </w:p>
    <w:p w14:paraId="77F3ED70">
      <w:pPr>
        <w:overflowPunct w:val="0"/>
        <w:spacing w:line="360" w:lineRule="auto"/>
        <w:textAlignment w:val="baseline"/>
        <w:rPr>
          <w:rFonts w:ascii="宋体" w:hAnsi="宋体" w:eastAsia="宋体" w:cs="宋体"/>
          <w:sz w:val="24"/>
          <w:szCs w:val="20"/>
          <w:highlight w:val="none"/>
        </w:rPr>
      </w:pPr>
    </w:p>
    <w:p w14:paraId="5EC2F814">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05C8D131">
      <w:pPr>
        <w:spacing w:line="360" w:lineRule="auto"/>
        <w:ind w:right="420"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p w14:paraId="541115EB">
      <w:pP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br w:type="page"/>
      </w:r>
    </w:p>
    <w:p w14:paraId="48F4C2E4">
      <w:pPr>
        <w:overflowPunct w:val="0"/>
        <w:spacing w:line="360" w:lineRule="auto"/>
        <w:textAlignment w:val="baseline"/>
        <w:outlineLvl w:val="1"/>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7、商务要求偏离表</w:t>
      </w:r>
    </w:p>
    <w:p w14:paraId="570BB1DC">
      <w:pPr>
        <w:overflowPunct w:val="0"/>
        <w:adjustRightInd w:val="0"/>
        <w:spacing w:line="360" w:lineRule="auto"/>
        <w:jc w:val="center"/>
        <w:textAlignment w:val="baseline"/>
        <w:rPr>
          <w:rFonts w:ascii="宋体" w:hAnsi="宋体" w:eastAsia="宋体" w:cs="宋体"/>
          <w:sz w:val="24"/>
          <w:szCs w:val="24"/>
          <w:highlight w:val="none"/>
          <w:shd w:val="clear" w:color="auto" w:fill="FFFFFF"/>
        </w:rPr>
      </w:pPr>
      <w:r>
        <w:rPr>
          <w:rFonts w:hint="eastAsia" w:ascii="宋体" w:hAnsi="宋体" w:eastAsia="宋体" w:cs="宋体"/>
          <w:b/>
          <w:bCs/>
          <w:sz w:val="24"/>
          <w:szCs w:val="24"/>
          <w:highlight w:val="none"/>
          <w:shd w:val="clear" w:color="auto" w:fill="FFFFFF"/>
        </w:rPr>
        <w:t>商务要求偏离表</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292"/>
        <w:gridCol w:w="1620"/>
        <w:gridCol w:w="1440"/>
        <w:gridCol w:w="1699"/>
        <w:gridCol w:w="1757"/>
      </w:tblGrid>
      <w:tr w14:paraId="0B48A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828" w:type="dxa"/>
            <w:vAlign w:val="center"/>
          </w:tcPr>
          <w:p w14:paraId="511A7DE5">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序号</w:t>
            </w:r>
          </w:p>
        </w:tc>
        <w:tc>
          <w:tcPr>
            <w:tcW w:w="1292" w:type="dxa"/>
            <w:vAlign w:val="center"/>
          </w:tcPr>
          <w:p w14:paraId="754A696B">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采购内容</w:t>
            </w:r>
          </w:p>
        </w:tc>
        <w:tc>
          <w:tcPr>
            <w:tcW w:w="1620" w:type="dxa"/>
            <w:vAlign w:val="center"/>
          </w:tcPr>
          <w:p w14:paraId="6E932CDC">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采购要求</w:t>
            </w:r>
          </w:p>
        </w:tc>
        <w:tc>
          <w:tcPr>
            <w:tcW w:w="1440" w:type="dxa"/>
            <w:vAlign w:val="center"/>
          </w:tcPr>
          <w:p w14:paraId="38024FF2">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响应情况</w:t>
            </w:r>
          </w:p>
        </w:tc>
        <w:tc>
          <w:tcPr>
            <w:tcW w:w="1699" w:type="dxa"/>
            <w:vAlign w:val="center"/>
          </w:tcPr>
          <w:p w14:paraId="750C73BC">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偏离/响应</w:t>
            </w:r>
          </w:p>
        </w:tc>
        <w:tc>
          <w:tcPr>
            <w:tcW w:w="1757" w:type="dxa"/>
            <w:vAlign w:val="center"/>
          </w:tcPr>
          <w:p w14:paraId="744616EC">
            <w:pPr>
              <w:pStyle w:val="171"/>
              <w:spacing w:line="400" w:lineRule="exact"/>
              <w:ind w:firstLine="0"/>
              <w:jc w:val="center"/>
              <w:rPr>
                <w:rFonts w:ascii="宋体" w:hAnsi="宋体" w:eastAsia="宋体" w:cs="宋体"/>
                <w:szCs w:val="24"/>
                <w:highlight w:val="none"/>
              </w:rPr>
            </w:pPr>
            <w:r>
              <w:rPr>
                <w:rFonts w:hint="eastAsia" w:ascii="宋体" w:hAnsi="宋体" w:eastAsia="宋体" w:cs="宋体"/>
                <w:szCs w:val="24"/>
                <w:highlight w:val="none"/>
              </w:rPr>
              <w:t>说明</w:t>
            </w:r>
          </w:p>
        </w:tc>
      </w:tr>
      <w:tr w14:paraId="666F9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1B6A5140">
            <w:pPr>
              <w:pStyle w:val="171"/>
              <w:spacing w:line="400" w:lineRule="exact"/>
              <w:ind w:firstLine="0"/>
              <w:jc w:val="center"/>
              <w:rPr>
                <w:rFonts w:ascii="宋体" w:hAnsi="宋体" w:eastAsia="宋体" w:cs="宋体"/>
                <w:szCs w:val="24"/>
                <w:highlight w:val="none"/>
              </w:rPr>
            </w:pPr>
          </w:p>
        </w:tc>
        <w:tc>
          <w:tcPr>
            <w:tcW w:w="1292" w:type="dxa"/>
          </w:tcPr>
          <w:p w14:paraId="59850394">
            <w:pPr>
              <w:pStyle w:val="171"/>
              <w:spacing w:line="400" w:lineRule="exact"/>
              <w:ind w:firstLine="0"/>
              <w:jc w:val="center"/>
              <w:rPr>
                <w:rFonts w:ascii="宋体" w:hAnsi="宋体" w:eastAsia="宋体" w:cs="宋体"/>
                <w:szCs w:val="24"/>
                <w:highlight w:val="none"/>
              </w:rPr>
            </w:pPr>
          </w:p>
        </w:tc>
        <w:tc>
          <w:tcPr>
            <w:tcW w:w="1620" w:type="dxa"/>
          </w:tcPr>
          <w:p w14:paraId="1E1C01F5">
            <w:pPr>
              <w:pStyle w:val="171"/>
              <w:spacing w:line="400" w:lineRule="exact"/>
              <w:ind w:firstLine="0"/>
              <w:jc w:val="center"/>
              <w:rPr>
                <w:rFonts w:ascii="宋体" w:hAnsi="宋体" w:eastAsia="宋体" w:cs="宋体"/>
                <w:szCs w:val="24"/>
                <w:highlight w:val="none"/>
              </w:rPr>
            </w:pPr>
          </w:p>
        </w:tc>
        <w:tc>
          <w:tcPr>
            <w:tcW w:w="1440" w:type="dxa"/>
          </w:tcPr>
          <w:p w14:paraId="0775A360">
            <w:pPr>
              <w:pStyle w:val="171"/>
              <w:spacing w:line="400" w:lineRule="exact"/>
              <w:ind w:firstLine="0"/>
              <w:jc w:val="center"/>
              <w:rPr>
                <w:rFonts w:ascii="宋体" w:hAnsi="宋体" w:eastAsia="宋体" w:cs="宋体"/>
                <w:szCs w:val="24"/>
                <w:highlight w:val="none"/>
              </w:rPr>
            </w:pPr>
          </w:p>
        </w:tc>
        <w:tc>
          <w:tcPr>
            <w:tcW w:w="1699" w:type="dxa"/>
          </w:tcPr>
          <w:p w14:paraId="7E75E958">
            <w:pPr>
              <w:pStyle w:val="171"/>
              <w:spacing w:line="400" w:lineRule="exact"/>
              <w:ind w:firstLine="0"/>
              <w:jc w:val="center"/>
              <w:rPr>
                <w:rFonts w:ascii="宋体" w:hAnsi="宋体" w:eastAsia="宋体" w:cs="宋体"/>
                <w:szCs w:val="24"/>
                <w:highlight w:val="none"/>
              </w:rPr>
            </w:pPr>
          </w:p>
        </w:tc>
        <w:tc>
          <w:tcPr>
            <w:tcW w:w="1757" w:type="dxa"/>
          </w:tcPr>
          <w:p w14:paraId="1B562A3D">
            <w:pPr>
              <w:pStyle w:val="171"/>
              <w:spacing w:line="400" w:lineRule="exact"/>
              <w:ind w:firstLine="0"/>
              <w:jc w:val="center"/>
              <w:rPr>
                <w:rFonts w:ascii="宋体" w:hAnsi="宋体" w:eastAsia="宋体" w:cs="宋体"/>
                <w:szCs w:val="24"/>
                <w:highlight w:val="none"/>
              </w:rPr>
            </w:pPr>
          </w:p>
        </w:tc>
      </w:tr>
      <w:tr w14:paraId="509EA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0CCE6F4E">
            <w:pPr>
              <w:pStyle w:val="171"/>
              <w:spacing w:line="400" w:lineRule="exact"/>
              <w:ind w:firstLine="0"/>
              <w:jc w:val="center"/>
              <w:rPr>
                <w:rFonts w:ascii="宋体" w:hAnsi="宋体" w:eastAsia="宋体" w:cs="宋体"/>
                <w:szCs w:val="24"/>
                <w:highlight w:val="none"/>
              </w:rPr>
            </w:pPr>
          </w:p>
        </w:tc>
        <w:tc>
          <w:tcPr>
            <w:tcW w:w="1292" w:type="dxa"/>
          </w:tcPr>
          <w:p w14:paraId="62F3A7D0">
            <w:pPr>
              <w:pStyle w:val="171"/>
              <w:spacing w:line="400" w:lineRule="exact"/>
              <w:ind w:firstLine="0"/>
              <w:jc w:val="center"/>
              <w:rPr>
                <w:rFonts w:ascii="宋体" w:hAnsi="宋体" w:eastAsia="宋体" w:cs="宋体"/>
                <w:szCs w:val="24"/>
                <w:highlight w:val="none"/>
              </w:rPr>
            </w:pPr>
          </w:p>
        </w:tc>
        <w:tc>
          <w:tcPr>
            <w:tcW w:w="1620" w:type="dxa"/>
          </w:tcPr>
          <w:p w14:paraId="013004D2">
            <w:pPr>
              <w:pStyle w:val="171"/>
              <w:spacing w:line="400" w:lineRule="exact"/>
              <w:ind w:firstLine="0"/>
              <w:jc w:val="center"/>
              <w:rPr>
                <w:rFonts w:ascii="宋体" w:hAnsi="宋体" w:eastAsia="宋体" w:cs="宋体"/>
                <w:szCs w:val="24"/>
                <w:highlight w:val="none"/>
              </w:rPr>
            </w:pPr>
          </w:p>
        </w:tc>
        <w:tc>
          <w:tcPr>
            <w:tcW w:w="1440" w:type="dxa"/>
          </w:tcPr>
          <w:p w14:paraId="6572437A">
            <w:pPr>
              <w:pStyle w:val="171"/>
              <w:spacing w:line="400" w:lineRule="exact"/>
              <w:ind w:firstLine="0"/>
              <w:jc w:val="center"/>
              <w:rPr>
                <w:rFonts w:ascii="宋体" w:hAnsi="宋体" w:eastAsia="宋体" w:cs="宋体"/>
                <w:szCs w:val="24"/>
                <w:highlight w:val="none"/>
              </w:rPr>
            </w:pPr>
          </w:p>
        </w:tc>
        <w:tc>
          <w:tcPr>
            <w:tcW w:w="1699" w:type="dxa"/>
          </w:tcPr>
          <w:p w14:paraId="58FAAF43">
            <w:pPr>
              <w:pStyle w:val="171"/>
              <w:spacing w:line="400" w:lineRule="exact"/>
              <w:ind w:firstLine="0"/>
              <w:jc w:val="center"/>
              <w:rPr>
                <w:rFonts w:ascii="宋体" w:hAnsi="宋体" w:eastAsia="宋体" w:cs="宋体"/>
                <w:szCs w:val="24"/>
                <w:highlight w:val="none"/>
              </w:rPr>
            </w:pPr>
          </w:p>
        </w:tc>
        <w:tc>
          <w:tcPr>
            <w:tcW w:w="1757" w:type="dxa"/>
          </w:tcPr>
          <w:p w14:paraId="04CB6BC0">
            <w:pPr>
              <w:pStyle w:val="171"/>
              <w:spacing w:line="400" w:lineRule="exact"/>
              <w:ind w:firstLine="0"/>
              <w:jc w:val="center"/>
              <w:rPr>
                <w:rFonts w:ascii="宋体" w:hAnsi="宋体" w:eastAsia="宋体" w:cs="宋体"/>
                <w:szCs w:val="24"/>
                <w:highlight w:val="none"/>
              </w:rPr>
            </w:pPr>
          </w:p>
        </w:tc>
      </w:tr>
      <w:tr w14:paraId="52866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3EC7D0A2">
            <w:pPr>
              <w:pStyle w:val="171"/>
              <w:spacing w:line="400" w:lineRule="exact"/>
              <w:ind w:firstLine="0"/>
              <w:jc w:val="center"/>
              <w:rPr>
                <w:rFonts w:ascii="宋体" w:hAnsi="宋体" w:eastAsia="宋体" w:cs="宋体"/>
                <w:szCs w:val="24"/>
                <w:highlight w:val="none"/>
              </w:rPr>
            </w:pPr>
          </w:p>
        </w:tc>
        <w:tc>
          <w:tcPr>
            <w:tcW w:w="1292" w:type="dxa"/>
          </w:tcPr>
          <w:p w14:paraId="599C2F91">
            <w:pPr>
              <w:pStyle w:val="171"/>
              <w:spacing w:line="400" w:lineRule="exact"/>
              <w:ind w:firstLine="0"/>
              <w:jc w:val="center"/>
              <w:rPr>
                <w:rFonts w:ascii="宋体" w:hAnsi="宋体" w:eastAsia="宋体" w:cs="宋体"/>
                <w:szCs w:val="24"/>
                <w:highlight w:val="none"/>
              </w:rPr>
            </w:pPr>
          </w:p>
        </w:tc>
        <w:tc>
          <w:tcPr>
            <w:tcW w:w="1620" w:type="dxa"/>
          </w:tcPr>
          <w:p w14:paraId="4E497605">
            <w:pPr>
              <w:pStyle w:val="171"/>
              <w:spacing w:line="400" w:lineRule="exact"/>
              <w:ind w:firstLine="0"/>
              <w:jc w:val="center"/>
              <w:rPr>
                <w:rFonts w:ascii="宋体" w:hAnsi="宋体" w:eastAsia="宋体" w:cs="宋体"/>
                <w:szCs w:val="24"/>
                <w:highlight w:val="none"/>
              </w:rPr>
            </w:pPr>
          </w:p>
        </w:tc>
        <w:tc>
          <w:tcPr>
            <w:tcW w:w="1440" w:type="dxa"/>
          </w:tcPr>
          <w:p w14:paraId="4C1DB01F">
            <w:pPr>
              <w:pStyle w:val="171"/>
              <w:spacing w:line="400" w:lineRule="exact"/>
              <w:ind w:firstLine="0"/>
              <w:jc w:val="center"/>
              <w:rPr>
                <w:rFonts w:ascii="宋体" w:hAnsi="宋体" w:eastAsia="宋体" w:cs="宋体"/>
                <w:szCs w:val="24"/>
                <w:highlight w:val="none"/>
              </w:rPr>
            </w:pPr>
          </w:p>
        </w:tc>
        <w:tc>
          <w:tcPr>
            <w:tcW w:w="1699" w:type="dxa"/>
          </w:tcPr>
          <w:p w14:paraId="2B202829">
            <w:pPr>
              <w:pStyle w:val="171"/>
              <w:spacing w:line="400" w:lineRule="exact"/>
              <w:ind w:firstLine="0"/>
              <w:jc w:val="center"/>
              <w:rPr>
                <w:rFonts w:ascii="宋体" w:hAnsi="宋体" w:eastAsia="宋体" w:cs="宋体"/>
                <w:szCs w:val="24"/>
                <w:highlight w:val="none"/>
              </w:rPr>
            </w:pPr>
          </w:p>
        </w:tc>
        <w:tc>
          <w:tcPr>
            <w:tcW w:w="1757" w:type="dxa"/>
          </w:tcPr>
          <w:p w14:paraId="36DBCACB">
            <w:pPr>
              <w:pStyle w:val="171"/>
              <w:spacing w:line="400" w:lineRule="exact"/>
              <w:ind w:firstLine="0"/>
              <w:jc w:val="center"/>
              <w:rPr>
                <w:rFonts w:ascii="宋体" w:hAnsi="宋体" w:eastAsia="宋体" w:cs="宋体"/>
                <w:szCs w:val="24"/>
                <w:highlight w:val="none"/>
              </w:rPr>
            </w:pPr>
          </w:p>
        </w:tc>
      </w:tr>
      <w:tr w14:paraId="2D7FD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50A41428">
            <w:pPr>
              <w:pStyle w:val="171"/>
              <w:spacing w:line="400" w:lineRule="exact"/>
              <w:ind w:firstLine="0"/>
              <w:jc w:val="center"/>
              <w:rPr>
                <w:rFonts w:ascii="宋体" w:hAnsi="宋体" w:eastAsia="宋体" w:cs="宋体"/>
                <w:szCs w:val="24"/>
                <w:highlight w:val="none"/>
              </w:rPr>
            </w:pPr>
          </w:p>
        </w:tc>
        <w:tc>
          <w:tcPr>
            <w:tcW w:w="1292" w:type="dxa"/>
          </w:tcPr>
          <w:p w14:paraId="22580C06">
            <w:pPr>
              <w:pStyle w:val="171"/>
              <w:spacing w:line="400" w:lineRule="exact"/>
              <w:ind w:firstLine="0"/>
              <w:jc w:val="center"/>
              <w:rPr>
                <w:rFonts w:ascii="宋体" w:hAnsi="宋体" w:eastAsia="宋体" w:cs="宋体"/>
                <w:szCs w:val="24"/>
                <w:highlight w:val="none"/>
              </w:rPr>
            </w:pPr>
          </w:p>
        </w:tc>
        <w:tc>
          <w:tcPr>
            <w:tcW w:w="1620" w:type="dxa"/>
          </w:tcPr>
          <w:p w14:paraId="4EE21450">
            <w:pPr>
              <w:pStyle w:val="171"/>
              <w:spacing w:line="400" w:lineRule="exact"/>
              <w:ind w:firstLine="0"/>
              <w:jc w:val="center"/>
              <w:rPr>
                <w:rFonts w:ascii="宋体" w:hAnsi="宋体" w:eastAsia="宋体" w:cs="宋体"/>
                <w:szCs w:val="24"/>
                <w:highlight w:val="none"/>
              </w:rPr>
            </w:pPr>
          </w:p>
        </w:tc>
        <w:tc>
          <w:tcPr>
            <w:tcW w:w="1440" w:type="dxa"/>
          </w:tcPr>
          <w:p w14:paraId="06F41178">
            <w:pPr>
              <w:pStyle w:val="171"/>
              <w:spacing w:line="400" w:lineRule="exact"/>
              <w:ind w:firstLine="0"/>
              <w:jc w:val="center"/>
              <w:rPr>
                <w:rFonts w:ascii="宋体" w:hAnsi="宋体" w:eastAsia="宋体" w:cs="宋体"/>
                <w:szCs w:val="24"/>
                <w:highlight w:val="none"/>
              </w:rPr>
            </w:pPr>
          </w:p>
        </w:tc>
        <w:tc>
          <w:tcPr>
            <w:tcW w:w="1699" w:type="dxa"/>
          </w:tcPr>
          <w:p w14:paraId="4E23848F">
            <w:pPr>
              <w:pStyle w:val="171"/>
              <w:spacing w:line="400" w:lineRule="exact"/>
              <w:ind w:firstLine="0"/>
              <w:jc w:val="center"/>
              <w:rPr>
                <w:rFonts w:ascii="宋体" w:hAnsi="宋体" w:eastAsia="宋体" w:cs="宋体"/>
                <w:szCs w:val="24"/>
                <w:highlight w:val="none"/>
              </w:rPr>
            </w:pPr>
          </w:p>
        </w:tc>
        <w:tc>
          <w:tcPr>
            <w:tcW w:w="1757" w:type="dxa"/>
          </w:tcPr>
          <w:p w14:paraId="3AFA401C">
            <w:pPr>
              <w:pStyle w:val="171"/>
              <w:spacing w:line="400" w:lineRule="exact"/>
              <w:ind w:firstLine="0"/>
              <w:jc w:val="center"/>
              <w:rPr>
                <w:rFonts w:ascii="宋体" w:hAnsi="宋体" w:eastAsia="宋体" w:cs="宋体"/>
                <w:szCs w:val="24"/>
                <w:highlight w:val="none"/>
              </w:rPr>
            </w:pPr>
          </w:p>
        </w:tc>
      </w:tr>
      <w:tr w14:paraId="16315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828" w:type="dxa"/>
          </w:tcPr>
          <w:p w14:paraId="60BEA875">
            <w:pPr>
              <w:pStyle w:val="171"/>
              <w:spacing w:line="400" w:lineRule="exact"/>
              <w:ind w:firstLine="0"/>
              <w:jc w:val="center"/>
              <w:rPr>
                <w:rFonts w:ascii="宋体" w:hAnsi="宋体" w:eastAsia="宋体" w:cs="宋体"/>
                <w:szCs w:val="24"/>
                <w:highlight w:val="none"/>
              </w:rPr>
            </w:pPr>
          </w:p>
        </w:tc>
        <w:tc>
          <w:tcPr>
            <w:tcW w:w="1292" w:type="dxa"/>
          </w:tcPr>
          <w:p w14:paraId="28BE26E2">
            <w:pPr>
              <w:pStyle w:val="171"/>
              <w:spacing w:line="400" w:lineRule="exact"/>
              <w:ind w:firstLine="0"/>
              <w:jc w:val="center"/>
              <w:rPr>
                <w:rFonts w:ascii="宋体" w:hAnsi="宋体" w:eastAsia="宋体" w:cs="宋体"/>
                <w:szCs w:val="24"/>
                <w:highlight w:val="none"/>
              </w:rPr>
            </w:pPr>
          </w:p>
        </w:tc>
        <w:tc>
          <w:tcPr>
            <w:tcW w:w="1620" w:type="dxa"/>
          </w:tcPr>
          <w:p w14:paraId="4DF9C82E">
            <w:pPr>
              <w:pStyle w:val="171"/>
              <w:spacing w:line="400" w:lineRule="exact"/>
              <w:ind w:firstLine="0"/>
              <w:jc w:val="center"/>
              <w:rPr>
                <w:rFonts w:ascii="宋体" w:hAnsi="宋体" w:eastAsia="宋体" w:cs="宋体"/>
                <w:szCs w:val="24"/>
                <w:highlight w:val="none"/>
              </w:rPr>
            </w:pPr>
          </w:p>
        </w:tc>
        <w:tc>
          <w:tcPr>
            <w:tcW w:w="1440" w:type="dxa"/>
          </w:tcPr>
          <w:p w14:paraId="56B83B2F">
            <w:pPr>
              <w:pStyle w:val="171"/>
              <w:spacing w:line="400" w:lineRule="exact"/>
              <w:ind w:firstLine="0"/>
              <w:jc w:val="center"/>
              <w:rPr>
                <w:rFonts w:ascii="宋体" w:hAnsi="宋体" w:eastAsia="宋体" w:cs="宋体"/>
                <w:szCs w:val="24"/>
                <w:highlight w:val="none"/>
              </w:rPr>
            </w:pPr>
          </w:p>
        </w:tc>
        <w:tc>
          <w:tcPr>
            <w:tcW w:w="1699" w:type="dxa"/>
          </w:tcPr>
          <w:p w14:paraId="796ACC4C">
            <w:pPr>
              <w:pStyle w:val="171"/>
              <w:spacing w:line="400" w:lineRule="exact"/>
              <w:ind w:firstLine="0"/>
              <w:jc w:val="center"/>
              <w:rPr>
                <w:rFonts w:ascii="宋体" w:hAnsi="宋体" w:eastAsia="宋体" w:cs="宋体"/>
                <w:szCs w:val="24"/>
                <w:highlight w:val="none"/>
              </w:rPr>
            </w:pPr>
          </w:p>
        </w:tc>
        <w:tc>
          <w:tcPr>
            <w:tcW w:w="1757" w:type="dxa"/>
          </w:tcPr>
          <w:p w14:paraId="4A22841D">
            <w:pPr>
              <w:pStyle w:val="171"/>
              <w:spacing w:line="400" w:lineRule="exact"/>
              <w:ind w:firstLine="0"/>
              <w:jc w:val="center"/>
              <w:rPr>
                <w:rFonts w:ascii="宋体" w:hAnsi="宋体" w:eastAsia="宋体" w:cs="宋体"/>
                <w:szCs w:val="24"/>
                <w:highlight w:val="none"/>
              </w:rPr>
            </w:pPr>
          </w:p>
        </w:tc>
      </w:tr>
    </w:tbl>
    <w:p w14:paraId="414C86F5">
      <w:pPr>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注：</w:t>
      </w:r>
    </w:p>
    <w:p w14:paraId="120C0352">
      <w:pPr>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p>
    <w:p w14:paraId="105887FA">
      <w:pPr>
        <w:ind w:firstLine="482" w:firstLineChars="200"/>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2、本表不作为响应单位对所响应标的物商务条款详细描述和说明的替代。</w:t>
      </w:r>
    </w:p>
    <w:p w14:paraId="4B1D2069">
      <w:pPr>
        <w:spacing w:line="360" w:lineRule="auto"/>
        <w:ind w:right="105" w:firstLine="210"/>
        <w:jc w:val="right"/>
        <w:rPr>
          <w:rFonts w:ascii="宋体" w:hAnsi="宋体" w:eastAsia="宋体" w:cs="宋体"/>
          <w:sz w:val="24"/>
          <w:szCs w:val="24"/>
          <w:highlight w:val="none"/>
        </w:rPr>
      </w:pPr>
    </w:p>
    <w:p w14:paraId="03C4F12E">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2A9DED3B">
      <w:pPr>
        <w:spacing w:line="360" w:lineRule="auto"/>
        <w:ind w:right="420"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p w14:paraId="233546E2">
      <w:pPr>
        <w:rPr>
          <w:rFonts w:ascii="宋体" w:hAnsi="宋体" w:eastAsia="宋体" w:cs="宋体"/>
          <w:sz w:val="24"/>
          <w:szCs w:val="20"/>
          <w:highlight w:val="none"/>
        </w:rPr>
      </w:pPr>
      <w:r>
        <w:rPr>
          <w:rFonts w:hint="eastAsia" w:ascii="宋体" w:hAnsi="宋体" w:eastAsia="宋体" w:cs="宋体"/>
          <w:sz w:val="24"/>
          <w:szCs w:val="20"/>
          <w:highlight w:val="none"/>
        </w:rPr>
        <w:br w:type="page"/>
      </w:r>
    </w:p>
    <w:p w14:paraId="07BFCF6C">
      <w:pPr>
        <w:spacing w:line="360" w:lineRule="auto"/>
        <w:textAlignment w:val="baseline"/>
        <w:outlineLvl w:val="1"/>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8、拟投入本项目人员配备一览表</w:t>
      </w:r>
    </w:p>
    <w:p w14:paraId="3ABE559C">
      <w:pPr>
        <w:spacing w:line="360" w:lineRule="auto"/>
        <w:jc w:val="center"/>
        <w:textAlignment w:val="baseline"/>
        <w:rPr>
          <w:rFonts w:ascii="宋体" w:hAnsi="宋体" w:eastAsia="宋体" w:cs="宋体"/>
          <w:b/>
          <w:bCs/>
          <w:sz w:val="26"/>
          <w:szCs w:val="20"/>
          <w:highlight w:val="none"/>
        </w:rPr>
      </w:pPr>
      <w:r>
        <w:rPr>
          <w:rFonts w:hint="eastAsia" w:ascii="宋体" w:hAnsi="宋体" w:eastAsia="宋体" w:cs="宋体"/>
          <w:b/>
          <w:bCs/>
          <w:sz w:val="24"/>
          <w:szCs w:val="24"/>
          <w:highlight w:val="none"/>
        </w:rPr>
        <w:t>拟投入本项目人员配备一览表</w:t>
      </w:r>
    </w:p>
    <w:tbl>
      <w:tblPr>
        <w:tblStyle w:val="49"/>
        <w:tblpPr w:leftFromText="180" w:rightFromText="180" w:vertAnchor="text" w:horzAnchor="margin" w:tblpXSpec="center" w:tblpY="48"/>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1108"/>
        <w:gridCol w:w="1052"/>
        <w:gridCol w:w="817"/>
        <w:gridCol w:w="709"/>
        <w:gridCol w:w="850"/>
        <w:gridCol w:w="916"/>
        <w:gridCol w:w="1242"/>
        <w:gridCol w:w="1386"/>
        <w:gridCol w:w="992"/>
      </w:tblGrid>
      <w:tr w14:paraId="0E197C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195A14FB">
            <w:pPr>
              <w:jc w:val="center"/>
              <w:rPr>
                <w:rFonts w:ascii="宋体" w:hAnsi="宋体" w:eastAsia="宋体" w:cs="宋体"/>
                <w:szCs w:val="21"/>
                <w:highlight w:val="none"/>
              </w:rPr>
            </w:pPr>
            <w:r>
              <w:rPr>
                <w:rFonts w:hint="eastAsia" w:ascii="宋体" w:hAnsi="宋体" w:eastAsia="宋体" w:cs="宋体"/>
                <w:szCs w:val="21"/>
                <w:highlight w:val="none"/>
              </w:rPr>
              <w:t>序号</w:t>
            </w:r>
          </w:p>
        </w:tc>
        <w:tc>
          <w:tcPr>
            <w:tcW w:w="1108" w:type="dxa"/>
            <w:tcBorders>
              <w:top w:val="single" w:color="auto" w:sz="4" w:space="0"/>
              <w:left w:val="single" w:color="auto" w:sz="4" w:space="0"/>
              <w:bottom w:val="single" w:color="auto" w:sz="4" w:space="0"/>
              <w:right w:val="single" w:color="auto" w:sz="4" w:space="0"/>
            </w:tcBorders>
            <w:vAlign w:val="center"/>
          </w:tcPr>
          <w:p w14:paraId="2C508356">
            <w:pPr>
              <w:jc w:val="center"/>
              <w:rPr>
                <w:rFonts w:ascii="宋体" w:hAnsi="宋体" w:eastAsia="宋体" w:cs="宋体"/>
                <w:szCs w:val="21"/>
                <w:highlight w:val="none"/>
              </w:rPr>
            </w:pPr>
            <w:r>
              <w:rPr>
                <w:rFonts w:hint="eastAsia" w:ascii="宋体" w:hAnsi="宋体" w:eastAsia="宋体" w:cs="宋体"/>
                <w:szCs w:val="21"/>
                <w:highlight w:val="none"/>
              </w:rPr>
              <w:t>岗位</w:t>
            </w:r>
          </w:p>
        </w:tc>
        <w:tc>
          <w:tcPr>
            <w:tcW w:w="1052" w:type="dxa"/>
            <w:tcBorders>
              <w:top w:val="single" w:color="auto" w:sz="4" w:space="0"/>
              <w:left w:val="single" w:color="auto" w:sz="4" w:space="0"/>
              <w:bottom w:val="single" w:color="auto" w:sz="4" w:space="0"/>
              <w:right w:val="single" w:color="auto" w:sz="4" w:space="0"/>
            </w:tcBorders>
            <w:vAlign w:val="center"/>
          </w:tcPr>
          <w:p w14:paraId="461EB2F9">
            <w:pPr>
              <w:jc w:val="center"/>
              <w:rPr>
                <w:rFonts w:ascii="宋体" w:hAnsi="宋体" w:eastAsia="宋体" w:cs="宋体"/>
                <w:szCs w:val="21"/>
                <w:highlight w:val="none"/>
              </w:rPr>
            </w:pPr>
            <w:r>
              <w:rPr>
                <w:rFonts w:hint="eastAsia" w:ascii="宋体" w:hAnsi="宋体" w:eastAsia="宋体" w:cs="宋体"/>
                <w:szCs w:val="21"/>
                <w:highlight w:val="none"/>
              </w:rPr>
              <w:t>姓名</w:t>
            </w:r>
          </w:p>
        </w:tc>
        <w:tc>
          <w:tcPr>
            <w:tcW w:w="817" w:type="dxa"/>
            <w:tcBorders>
              <w:top w:val="single" w:color="auto" w:sz="4" w:space="0"/>
              <w:left w:val="single" w:color="auto" w:sz="4" w:space="0"/>
              <w:bottom w:val="single" w:color="auto" w:sz="4" w:space="0"/>
              <w:right w:val="single" w:color="auto" w:sz="4" w:space="0"/>
            </w:tcBorders>
            <w:vAlign w:val="center"/>
          </w:tcPr>
          <w:p w14:paraId="23A5E0C0">
            <w:pPr>
              <w:jc w:val="center"/>
              <w:rPr>
                <w:rFonts w:ascii="宋体" w:hAnsi="宋体" w:eastAsia="宋体" w:cs="宋体"/>
                <w:szCs w:val="21"/>
                <w:highlight w:val="none"/>
              </w:rPr>
            </w:pPr>
            <w:r>
              <w:rPr>
                <w:rFonts w:hint="eastAsia" w:ascii="宋体" w:hAnsi="宋体" w:eastAsia="宋体" w:cs="宋体"/>
                <w:szCs w:val="21"/>
                <w:highlight w:val="none"/>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2F2406D1">
            <w:pPr>
              <w:jc w:val="center"/>
              <w:rPr>
                <w:rFonts w:ascii="宋体" w:hAnsi="宋体" w:eastAsia="宋体" w:cs="宋体"/>
                <w:szCs w:val="21"/>
                <w:highlight w:val="none"/>
              </w:rPr>
            </w:pPr>
            <w:r>
              <w:rPr>
                <w:rFonts w:hint="eastAsia" w:ascii="宋体" w:hAnsi="宋体" w:eastAsia="宋体" w:cs="宋体"/>
                <w:szCs w:val="21"/>
                <w:highlight w:val="none"/>
              </w:rPr>
              <w:t>年龄</w:t>
            </w:r>
          </w:p>
        </w:tc>
        <w:tc>
          <w:tcPr>
            <w:tcW w:w="850" w:type="dxa"/>
            <w:tcBorders>
              <w:top w:val="single" w:color="auto" w:sz="4" w:space="0"/>
              <w:left w:val="single" w:color="auto" w:sz="4" w:space="0"/>
              <w:bottom w:val="single" w:color="auto" w:sz="4" w:space="0"/>
              <w:right w:val="single" w:color="auto" w:sz="4" w:space="0"/>
            </w:tcBorders>
            <w:vAlign w:val="center"/>
          </w:tcPr>
          <w:p w14:paraId="5FF8ADF8">
            <w:pPr>
              <w:jc w:val="center"/>
              <w:rPr>
                <w:rFonts w:ascii="宋体" w:hAnsi="宋体" w:eastAsia="宋体" w:cs="宋体"/>
                <w:szCs w:val="21"/>
                <w:highlight w:val="none"/>
              </w:rPr>
            </w:pPr>
            <w:r>
              <w:rPr>
                <w:rFonts w:hint="eastAsia" w:ascii="宋体" w:hAnsi="宋体" w:eastAsia="宋体" w:cs="宋体"/>
                <w:szCs w:val="21"/>
                <w:highlight w:val="none"/>
              </w:rPr>
              <w:t>学历</w:t>
            </w:r>
          </w:p>
        </w:tc>
        <w:tc>
          <w:tcPr>
            <w:tcW w:w="916" w:type="dxa"/>
            <w:tcBorders>
              <w:top w:val="single" w:color="auto" w:sz="4" w:space="0"/>
              <w:left w:val="single" w:color="auto" w:sz="4" w:space="0"/>
              <w:bottom w:val="single" w:color="auto" w:sz="4" w:space="0"/>
              <w:right w:val="single" w:color="auto" w:sz="4" w:space="0"/>
            </w:tcBorders>
            <w:vAlign w:val="center"/>
          </w:tcPr>
          <w:p w14:paraId="79FF110A">
            <w:pPr>
              <w:jc w:val="center"/>
              <w:rPr>
                <w:rFonts w:ascii="宋体" w:hAnsi="宋体" w:eastAsia="宋体" w:cs="宋体"/>
                <w:szCs w:val="21"/>
                <w:highlight w:val="none"/>
              </w:rPr>
            </w:pPr>
            <w:r>
              <w:rPr>
                <w:rFonts w:hint="eastAsia" w:ascii="宋体" w:hAnsi="宋体" w:eastAsia="宋体" w:cs="宋体"/>
                <w:szCs w:val="21"/>
                <w:highlight w:val="none"/>
              </w:rPr>
              <w:t>专业</w:t>
            </w:r>
          </w:p>
        </w:tc>
        <w:tc>
          <w:tcPr>
            <w:tcW w:w="1242" w:type="dxa"/>
            <w:tcBorders>
              <w:top w:val="single" w:color="auto" w:sz="4" w:space="0"/>
              <w:left w:val="single" w:color="auto" w:sz="4" w:space="0"/>
              <w:bottom w:val="single" w:color="auto" w:sz="4" w:space="0"/>
              <w:right w:val="single" w:color="auto" w:sz="4" w:space="0"/>
            </w:tcBorders>
            <w:vAlign w:val="center"/>
          </w:tcPr>
          <w:p w14:paraId="6C339DED">
            <w:pPr>
              <w:jc w:val="center"/>
              <w:rPr>
                <w:rFonts w:ascii="宋体" w:hAnsi="宋体" w:eastAsia="宋体" w:cs="宋体"/>
                <w:szCs w:val="21"/>
                <w:highlight w:val="none"/>
              </w:rPr>
            </w:pPr>
            <w:r>
              <w:rPr>
                <w:rFonts w:hint="eastAsia" w:ascii="宋体" w:hAnsi="宋体" w:eastAsia="宋体" w:cs="宋体"/>
                <w:szCs w:val="21"/>
                <w:highlight w:val="none"/>
              </w:rPr>
              <w:t>证书情况</w:t>
            </w:r>
          </w:p>
        </w:tc>
        <w:tc>
          <w:tcPr>
            <w:tcW w:w="1386" w:type="dxa"/>
            <w:tcBorders>
              <w:top w:val="single" w:color="auto" w:sz="4" w:space="0"/>
              <w:left w:val="single" w:color="auto" w:sz="4" w:space="0"/>
              <w:bottom w:val="single" w:color="auto" w:sz="4" w:space="0"/>
              <w:right w:val="single" w:color="auto" w:sz="4" w:space="0"/>
            </w:tcBorders>
            <w:vAlign w:val="center"/>
          </w:tcPr>
          <w:p w14:paraId="0FC22A33">
            <w:pPr>
              <w:jc w:val="center"/>
              <w:rPr>
                <w:rFonts w:ascii="宋体" w:hAnsi="宋体" w:eastAsia="宋体" w:cs="宋体"/>
                <w:szCs w:val="21"/>
                <w:highlight w:val="none"/>
              </w:rPr>
            </w:pPr>
            <w:r>
              <w:rPr>
                <w:rFonts w:hint="eastAsia" w:ascii="宋体" w:hAnsi="宋体" w:eastAsia="宋体" w:cs="宋体"/>
                <w:szCs w:val="21"/>
                <w:highlight w:val="none"/>
              </w:rPr>
              <w:t>从事本工作时间</w:t>
            </w:r>
          </w:p>
        </w:tc>
        <w:tc>
          <w:tcPr>
            <w:tcW w:w="992" w:type="dxa"/>
            <w:tcBorders>
              <w:top w:val="single" w:color="auto" w:sz="4" w:space="0"/>
              <w:left w:val="single" w:color="auto" w:sz="4" w:space="0"/>
              <w:bottom w:val="single" w:color="auto" w:sz="4" w:space="0"/>
              <w:right w:val="single" w:color="auto" w:sz="4" w:space="0"/>
            </w:tcBorders>
            <w:vAlign w:val="center"/>
          </w:tcPr>
          <w:p w14:paraId="05672D08">
            <w:pPr>
              <w:jc w:val="center"/>
              <w:rPr>
                <w:rFonts w:ascii="宋体" w:hAnsi="宋体" w:eastAsia="宋体" w:cs="宋体"/>
                <w:szCs w:val="21"/>
                <w:highlight w:val="none"/>
              </w:rPr>
            </w:pPr>
            <w:r>
              <w:rPr>
                <w:rFonts w:hint="eastAsia" w:ascii="宋体" w:hAnsi="宋体" w:eastAsia="宋体" w:cs="宋体"/>
                <w:szCs w:val="21"/>
                <w:highlight w:val="none"/>
              </w:rPr>
              <w:t>备注</w:t>
            </w:r>
          </w:p>
        </w:tc>
      </w:tr>
      <w:tr w14:paraId="421DB1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29D3B0F1">
            <w:pPr>
              <w:jc w:val="center"/>
              <w:rPr>
                <w:rFonts w:ascii="宋体" w:hAnsi="宋体" w:eastAsia="宋体" w:cs="宋体"/>
                <w:szCs w:val="21"/>
                <w:highlight w:val="none"/>
              </w:rPr>
            </w:pPr>
            <w:r>
              <w:rPr>
                <w:rFonts w:hint="eastAsia" w:ascii="宋体" w:hAnsi="宋体" w:eastAsia="宋体" w:cs="宋体"/>
                <w:szCs w:val="21"/>
                <w:highlight w:val="none"/>
              </w:rPr>
              <w:t>1</w:t>
            </w:r>
          </w:p>
        </w:tc>
        <w:tc>
          <w:tcPr>
            <w:tcW w:w="1108" w:type="dxa"/>
            <w:tcBorders>
              <w:top w:val="single" w:color="auto" w:sz="4" w:space="0"/>
              <w:left w:val="single" w:color="auto" w:sz="4" w:space="0"/>
              <w:bottom w:val="single" w:color="auto" w:sz="4" w:space="0"/>
              <w:right w:val="single" w:color="auto" w:sz="4" w:space="0"/>
            </w:tcBorders>
            <w:vAlign w:val="center"/>
          </w:tcPr>
          <w:p w14:paraId="0D5E49FD">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78B25EF7">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3C716161">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51553BB">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1218314">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6897873C">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1C080A70">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4238C5D8">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3D7FB817">
            <w:pPr>
              <w:jc w:val="center"/>
              <w:rPr>
                <w:rFonts w:ascii="宋体" w:hAnsi="宋体" w:eastAsia="宋体" w:cs="宋体"/>
                <w:szCs w:val="21"/>
                <w:highlight w:val="none"/>
              </w:rPr>
            </w:pPr>
          </w:p>
        </w:tc>
      </w:tr>
      <w:tr w14:paraId="730C77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1633ED52">
            <w:pPr>
              <w:jc w:val="center"/>
              <w:rPr>
                <w:rFonts w:ascii="宋体" w:hAnsi="宋体" w:eastAsia="宋体" w:cs="宋体"/>
                <w:szCs w:val="21"/>
                <w:highlight w:val="none"/>
              </w:rPr>
            </w:pPr>
            <w:r>
              <w:rPr>
                <w:rFonts w:hint="eastAsia" w:ascii="宋体" w:hAnsi="宋体" w:eastAsia="宋体" w:cs="宋体"/>
                <w:szCs w:val="21"/>
                <w:highlight w:val="none"/>
              </w:rPr>
              <w:t>2</w:t>
            </w:r>
          </w:p>
        </w:tc>
        <w:tc>
          <w:tcPr>
            <w:tcW w:w="1108" w:type="dxa"/>
            <w:tcBorders>
              <w:top w:val="single" w:color="auto" w:sz="4" w:space="0"/>
              <w:left w:val="single" w:color="auto" w:sz="4" w:space="0"/>
              <w:bottom w:val="single" w:color="auto" w:sz="4" w:space="0"/>
              <w:right w:val="single" w:color="auto" w:sz="4" w:space="0"/>
            </w:tcBorders>
            <w:vAlign w:val="center"/>
          </w:tcPr>
          <w:p w14:paraId="6AA0B153">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717A6517">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6CC3EB49">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3B810E8">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273655CB">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6B5B68E3">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098F8B73">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1FD82DA6">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1D0CBBD5">
            <w:pPr>
              <w:jc w:val="center"/>
              <w:rPr>
                <w:rFonts w:ascii="宋体" w:hAnsi="宋体" w:eastAsia="宋体" w:cs="宋体"/>
                <w:szCs w:val="21"/>
                <w:highlight w:val="none"/>
              </w:rPr>
            </w:pPr>
          </w:p>
        </w:tc>
      </w:tr>
      <w:tr w14:paraId="652D64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4F724834">
            <w:pPr>
              <w:jc w:val="center"/>
              <w:rPr>
                <w:rFonts w:ascii="宋体" w:hAnsi="宋体" w:eastAsia="宋体" w:cs="宋体"/>
                <w:szCs w:val="21"/>
                <w:highlight w:val="none"/>
              </w:rPr>
            </w:pPr>
            <w:r>
              <w:rPr>
                <w:rFonts w:hint="eastAsia" w:ascii="宋体" w:hAnsi="宋体" w:eastAsia="宋体" w:cs="宋体"/>
                <w:szCs w:val="21"/>
                <w:highlight w:val="none"/>
              </w:rPr>
              <w:t>3</w:t>
            </w:r>
          </w:p>
        </w:tc>
        <w:tc>
          <w:tcPr>
            <w:tcW w:w="1108" w:type="dxa"/>
            <w:tcBorders>
              <w:top w:val="single" w:color="auto" w:sz="4" w:space="0"/>
              <w:left w:val="single" w:color="auto" w:sz="4" w:space="0"/>
              <w:bottom w:val="single" w:color="auto" w:sz="4" w:space="0"/>
              <w:right w:val="single" w:color="auto" w:sz="4" w:space="0"/>
            </w:tcBorders>
            <w:vAlign w:val="center"/>
          </w:tcPr>
          <w:p w14:paraId="6985B075">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1427AD51">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453BCB8E">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10307A6">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362A8B58">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6FADEFBC">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6AB27B4A">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6B3DC180">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4265E19B">
            <w:pPr>
              <w:jc w:val="center"/>
              <w:rPr>
                <w:rFonts w:ascii="宋体" w:hAnsi="宋体" w:eastAsia="宋体" w:cs="宋体"/>
                <w:szCs w:val="21"/>
                <w:highlight w:val="none"/>
              </w:rPr>
            </w:pPr>
          </w:p>
        </w:tc>
      </w:tr>
      <w:tr w14:paraId="45D8B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2D218D6">
            <w:pPr>
              <w:jc w:val="center"/>
              <w:rPr>
                <w:rFonts w:ascii="宋体" w:hAnsi="宋体" w:eastAsia="宋体" w:cs="宋体"/>
                <w:szCs w:val="21"/>
                <w:highlight w:val="none"/>
              </w:rPr>
            </w:pPr>
            <w:r>
              <w:rPr>
                <w:rFonts w:hint="eastAsia" w:ascii="宋体" w:hAnsi="宋体" w:eastAsia="宋体" w:cs="宋体"/>
                <w:szCs w:val="21"/>
                <w:highlight w:val="none"/>
              </w:rPr>
              <w:t>4</w:t>
            </w:r>
          </w:p>
        </w:tc>
        <w:tc>
          <w:tcPr>
            <w:tcW w:w="1108" w:type="dxa"/>
            <w:tcBorders>
              <w:top w:val="single" w:color="auto" w:sz="4" w:space="0"/>
              <w:left w:val="single" w:color="auto" w:sz="4" w:space="0"/>
              <w:bottom w:val="single" w:color="auto" w:sz="4" w:space="0"/>
              <w:right w:val="single" w:color="auto" w:sz="4" w:space="0"/>
            </w:tcBorders>
            <w:vAlign w:val="center"/>
          </w:tcPr>
          <w:p w14:paraId="042528C7">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507DB2EC">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6E427D75">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39174A1">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2415E63F">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639D8E3E">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29AB70A4">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57BF8B84">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43F12408">
            <w:pPr>
              <w:jc w:val="center"/>
              <w:rPr>
                <w:rFonts w:ascii="宋体" w:hAnsi="宋体" w:eastAsia="宋体" w:cs="宋体"/>
                <w:szCs w:val="21"/>
                <w:highlight w:val="none"/>
              </w:rPr>
            </w:pPr>
          </w:p>
        </w:tc>
      </w:tr>
      <w:tr w14:paraId="15A3D9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5827BAE9">
            <w:pPr>
              <w:jc w:val="center"/>
              <w:rPr>
                <w:rFonts w:ascii="宋体" w:hAnsi="宋体" w:eastAsia="宋体" w:cs="宋体"/>
                <w:szCs w:val="21"/>
                <w:highlight w:val="none"/>
              </w:rPr>
            </w:pPr>
            <w:r>
              <w:rPr>
                <w:rFonts w:hint="eastAsia" w:ascii="宋体" w:hAnsi="宋体" w:eastAsia="宋体" w:cs="宋体"/>
                <w:szCs w:val="21"/>
                <w:highlight w:val="none"/>
              </w:rPr>
              <w:t>5</w:t>
            </w:r>
          </w:p>
        </w:tc>
        <w:tc>
          <w:tcPr>
            <w:tcW w:w="1108" w:type="dxa"/>
            <w:tcBorders>
              <w:top w:val="single" w:color="auto" w:sz="4" w:space="0"/>
              <w:left w:val="single" w:color="auto" w:sz="4" w:space="0"/>
              <w:bottom w:val="single" w:color="auto" w:sz="4" w:space="0"/>
              <w:right w:val="single" w:color="auto" w:sz="4" w:space="0"/>
            </w:tcBorders>
            <w:vAlign w:val="center"/>
          </w:tcPr>
          <w:p w14:paraId="6600982D">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0E74D5EC">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7AC20BA0">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709B22B">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5EFA7A92">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2EBD677D">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1287BB13">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4AD4E509">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3DC2B7EF">
            <w:pPr>
              <w:jc w:val="center"/>
              <w:rPr>
                <w:rFonts w:ascii="宋体" w:hAnsi="宋体" w:eastAsia="宋体" w:cs="宋体"/>
                <w:szCs w:val="21"/>
                <w:highlight w:val="none"/>
              </w:rPr>
            </w:pPr>
          </w:p>
        </w:tc>
      </w:tr>
      <w:tr w14:paraId="00D198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BB4F136">
            <w:pPr>
              <w:jc w:val="center"/>
              <w:rPr>
                <w:rFonts w:ascii="宋体" w:hAnsi="宋体" w:eastAsia="宋体" w:cs="宋体"/>
                <w:szCs w:val="21"/>
                <w:highlight w:val="none"/>
              </w:rPr>
            </w:pPr>
            <w:r>
              <w:rPr>
                <w:rFonts w:hint="eastAsia" w:ascii="宋体" w:hAnsi="宋体" w:eastAsia="宋体" w:cs="宋体"/>
                <w:szCs w:val="21"/>
                <w:highlight w:val="none"/>
              </w:rPr>
              <w:t>6</w:t>
            </w:r>
          </w:p>
        </w:tc>
        <w:tc>
          <w:tcPr>
            <w:tcW w:w="1108" w:type="dxa"/>
            <w:tcBorders>
              <w:top w:val="single" w:color="auto" w:sz="4" w:space="0"/>
              <w:left w:val="single" w:color="auto" w:sz="4" w:space="0"/>
              <w:bottom w:val="single" w:color="auto" w:sz="4" w:space="0"/>
              <w:right w:val="single" w:color="auto" w:sz="4" w:space="0"/>
            </w:tcBorders>
            <w:vAlign w:val="center"/>
          </w:tcPr>
          <w:p w14:paraId="0545C6C0">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09C7C298">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77906256">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1007CE3">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4578C5A9">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131EB19A">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6F5041CB">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26D478B7">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6AD41B90">
            <w:pPr>
              <w:jc w:val="center"/>
              <w:rPr>
                <w:rFonts w:ascii="宋体" w:hAnsi="宋体" w:eastAsia="宋体" w:cs="宋体"/>
                <w:szCs w:val="21"/>
                <w:highlight w:val="none"/>
              </w:rPr>
            </w:pPr>
          </w:p>
        </w:tc>
      </w:tr>
      <w:tr w14:paraId="67F2D5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4D2F8C3C">
            <w:pPr>
              <w:jc w:val="center"/>
              <w:rPr>
                <w:rFonts w:ascii="宋体" w:hAnsi="宋体" w:eastAsia="宋体" w:cs="宋体"/>
                <w:szCs w:val="21"/>
                <w:highlight w:val="none"/>
              </w:rPr>
            </w:pPr>
            <w:r>
              <w:rPr>
                <w:rFonts w:hint="eastAsia" w:ascii="宋体" w:hAnsi="宋体" w:eastAsia="宋体" w:cs="宋体"/>
                <w:szCs w:val="21"/>
                <w:highlight w:val="none"/>
              </w:rPr>
              <w:t>7</w:t>
            </w:r>
          </w:p>
        </w:tc>
        <w:tc>
          <w:tcPr>
            <w:tcW w:w="1108" w:type="dxa"/>
            <w:tcBorders>
              <w:top w:val="single" w:color="auto" w:sz="4" w:space="0"/>
              <w:left w:val="single" w:color="auto" w:sz="4" w:space="0"/>
              <w:bottom w:val="single" w:color="auto" w:sz="4" w:space="0"/>
              <w:right w:val="single" w:color="auto" w:sz="4" w:space="0"/>
            </w:tcBorders>
            <w:vAlign w:val="center"/>
          </w:tcPr>
          <w:p w14:paraId="56892CCB">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55FCEE4C">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06E0E715">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F177354">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018C9836">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7A50E757">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0605F5E1">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5BBABD43">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5CD846AC">
            <w:pPr>
              <w:jc w:val="center"/>
              <w:rPr>
                <w:rFonts w:ascii="宋体" w:hAnsi="宋体" w:eastAsia="宋体" w:cs="宋体"/>
                <w:szCs w:val="21"/>
                <w:highlight w:val="none"/>
              </w:rPr>
            </w:pPr>
          </w:p>
        </w:tc>
      </w:tr>
      <w:tr w14:paraId="120115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7770B873">
            <w:pPr>
              <w:jc w:val="center"/>
              <w:rPr>
                <w:rFonts w:ascii="宋体" w:hAnsi="宋体" w:eastAsia="宋体" w:cs="宋体"/>
                <w:szCs w:val="21"/>
                <w:highlight w:val="none"/>
              </w:rPr>
            </w:pPr>
            <w:r>
              <w:rPr>
                <w:rFonts w:hint="eastAsia" w:ascii="宋体" w:hAnsi="宋体" w:eastAsia="宋体" w:cs="宋体"/>
                <w:szCs w:val="21"/>
                <w:highlight w:val="none"/>
              </w:rPr>
              <w:t>8</w:t>
            </w:r>
          </w:p>
        </w:tc>
        <w:tc>
          <w:tcPr>
            <w:tcW w:w="1108" w:type="dxa"/>
            <w:tcBorders>
              <w:top w:val="single" w:color="auto" w:sz="4" w:space="0"/>
              <w:left w:val="single" w:color="auto" w:sz="4" w:space="0"/>
              <w:bottom w:val="single" w:color="auto" w:sz="4" w:space="0"/>
              <w:right w:val="single" w:color="auto" w:sz="4" w:space="0"/>
            </w:tcBorders>
            <w:vAlign w:val="center"/>
          </w:tcPr>
          <w:p w14:paraId="09E1217D">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0F288E49">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453F65C9">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C98F758">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13AA9C5F">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542C3E44">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1426B998">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5CB962E9">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167CBFA3">
            <w:pPr>
              <w:jc w:val="center"/>
              <w:rPr>
                <w:rFonts w:ascii="宋体" w:hAnsi="宋体" w:eastAsia="宋体" w:cs="宋体"/>
                <w:szCs w:val="21"/>
                <w:highlight w:val="none"/>
              </w:rPr>
            </w:pPr>
          </w:p>
        </w:tc>
      </w:tr>
      <w:tr w14:paraId="2878D3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3"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2C8AEFD8">
            <w:pPr>
              <w:jc w:val="center"/>
              <w:rPr>
                <w:rFonts w:ascii="宋体" w:hAnsi="宋体" w:eastAsia="宋体" w:cs="宋体"/>
                <w:szCs w:val="21"/>
                <w:highlight w:val="none"/>
              </w:rPr>
            </w:pPr>
            <w:r>
              <w:rPr>
                <w:rFonts w:hint="eastAsia" w:ascii="宋体" w:hAnsi="宋体" w:eastAsia="宋体" w:cs="宋体"/>
                <w:szCs w:val="21"/>
                <w:highlight w:val="none"/>
              </w:rPr>
              <w:t>9</w:t>
            </w:r>
          </w:p>
        </w:tc>
        <w:tc>
          <w:tcPr>
            <w:tcW w:w="1108" w:type="dxa"/>
            <w:tcBorders>
              <w:top w:val="single" w:color="auto" w:sz="4" w:space="0"/>
              <w:left w:val="single" w:color="auto" w:sz="4" w:space="0"/>
              <w:bottom w:val="single" w:color="auto" w:sz="4" w:space="0"/>
              <w:right w:val="single" w:color="auto" w:sz="4" w:space="0"/>
            </w:tcBorders>
            <w:vAlign w:val="center"/>
          </w:tcPr>
          <w:p w14:paraId="4A949B12">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2F3990EE">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09D243C0">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8BF14D8">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4A58E688">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5893628A">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2A182B0A">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5027127E">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330B09B5">
            <w:pPr>
              <w:jc w:val="center"/>
              <w:rPr>
                <w:rFonts w:ascii="宋体" w:hAnsi="宋体" w:eastAsia="宋体" w:cs="宋体"/>
                <w:szCs w:val="21"/>
                <w:highlight w:val="none"/>
              </w:rPr>
            </w:pPr>
          </w:p>
        </w:tc>
      </w:tr>
      <w:tr w14:paraId="4034B9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7AF8F3B">
            <w:pPr>
              <w:jc w:val="center"/>
              <w:rPr>
                <w:rFonts w:ascii="宋体" w:hAnsi="宋体" w:eastAsia="宋体" w:cs="宋体"/>
                <w:szCs w:val="21"/>
                <w:highlight w:val="none"/>
              </w:rPr>
            </w:pPr>
            <w:r>
              <w:rPr>
                <w:rFonts w:hint="eastAsia" w:ascii="宋体" w:hAnsi="宋体" w:eastAsia="宋体" w:cs="宋体"/>
                <w:szCs w:val="21"/>
                <w:highlight w:val="none"/>
              </w:rPr>
              <w:t>10</w:t>
            </w:r>
          </w:p>
        </w:tc>
        <w:tc>
          <w:tcPr>
            <w:tcW w:w="1108" w:type="dxa"/>
            <w:tcBorders>
              <w:top w:val="single" w:color="auto" w:sz="4" w:space="0"/>
              <w:left w:val="single" w:color="auto" w:sz="4" w:space="0"/>
              <w:bottom w:val="single" w:color="auto" w:sz="4" w:space="0"/>
              <w:right w:val="single" w:color="auto" w:sz="4" w:space="0"/>
            </w:tcBorders>
            <w:vAlign w:val="center"/>
          </w:tcPr>
          <w:p w14:paraId="1BB4C22D">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1D58DE3A">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681F6B24">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0EBA7C1">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4B991D9B">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275DB59A">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6CB0ABD9">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3F17842F">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131DB458">
            <w:pPr>
              <w:jc w:val="center"/>
              <w:rPr>
                <w:rFonts w:ascii="宋体" w:hAnsi="宋体" w:eastAsia="宋体" w:cs="宋体"/>
                <w:szCs w:val="21"/>
                <w:highlight w:val="none"/>
              </w:rPr>
            </w:pPr>
          </w:p>
        </w:tc>
      </w:tr>
      <w:tr w14:paraId="3F905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1"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1AA8C33D">
            <w:pPr>
              <w:jc w:val="center"/>
              <w:rPr>
                <w:rFonts w:ascii="宋体" w:hAnsi="宋体" w:eastAsia="宋体" w:cs="宋体"/>
                <w:szCs w:val="21"/>
                <w:highlight w:val="none"/>
              </w:rPr>
            </w:pPr>
            <w:r>
              <w:rPr>
                <w:rFonts w:hint="eastAsia" w:ascii="宋体" w:hAnsi="宋体" w:eastAsia="宋体" w:cs="宋体"/>
                <w:szCs w:val="21"/>
                <w:highlight w:val="none"/>
              </w:rPr>
              <w:t>11</w:t>
            </w:r>
          </w:p>
        </w:tc>
        <w:tc>
          <w:tcPr>
            <w:tcW w:w="1108" w:type="dxa"/>
            <w:tcBorders>
              <w:top w:val="single" w:color="auto" w:sz="4" w:space="0"/>
              <w:left w:val="single" w:color="auto" w:sz="4" w:space="0"/>
              <w:bottom w:val="single" w:color="auto" w:sz="4" w:space="0"/>
              <w:right w:val="single" w:color="auto" w:sz="4" w:space="0"/>
            </w:tcBorders>
            <w:vAlign w:val="center"/>
          </w:tcPr>
          <w:p w14:paraId="4DBCAEC6">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474D2EC3">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717636CB">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E56AE03">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5B10D254">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21E199DC">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203A9E27">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642D1521">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038DE04C">
            <w:pPr>
              <w:jc w:val="center"/>
              <w:rPr>
                <w:rFonts w:ascii="宋体" w:hAnsi="宋体" w:eastAsia="宋体" w:cs="宋体"/>
                <w:szCs w:val="21"/>
                <w:highlight w:val="none"/>
              </w:rPr>
            </w:pPr>
          </w:p>
        </w:tc>
      </w:tr>
      <w:tr w14:paraId="406A4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3D330CCF">
            <w:pPr>
              <w:jc w:val="center"/>
              <w:rPr>
                <w:rFonts w:ascii="宋体" w:hAnsi="宋体" w:eastAsia="宋体" w:cs="宋体"/>
                <w:szCs w:val="21"/>
                <w:highlight w:val="none"/>
              </w:rPr>
            </w:pPr>
            <w:r>
              <w:rPr>
                <w:rFonts w:hint="eastAsia" w:ascii="宋体" w:hAnsi="宋体" w:eastAsia="宋体" w:cs="宋体"/>
                <w:szCs w:val="21"/>
                <w:highlight w:val="none"/>
              </w:rPr>
              <w:t>12</w:t>
            </w:r>
          </w:p>
        </w:tc>
        <w:tc>
          <w:tcPr>
            <w:tcW w:w="1108" w:type="dxa"/>
            <w:tcBorders>
              <w:top w:val="single" w:color="auto" w:sz="4" w:space="0"/>
              <w:left w:val="single" w:color="auto" w:sz="4" w:space="0"/>
              <w:bottom w:val="single" w:color="auto" w:sz="4" w:space="0"/>
              <w:right w:val="single" w:color="auto" w:sz="4" w:space="0"/>
            </w:tcBorders>
            <w:vAlign w:val="center"/>
          </w:tcPr>
          <w:p w14:paraId="154B59B7">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2D50551D">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732F29E6">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26090C5">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1A5AF2D0">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76BC0756">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6D8EC1E3">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261A9560">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351A245F">
            <w:pPr>
              <w:jc w:val="center"/>
              <w:rPr>
                <w:rFonts w:ascii="宋体" w:hAnsi="宋体" w:eastAsia="宋体" w:cs="宋体"/>
                <w:szCs w:val="21"/>
                <w:highlight w:val="none"/>
              </w:rPr>
            </w:pPr>
          </w:p>
        </w:tc>
      </w:tr>
      <w:tr w14:paraId="26CF6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2723E581">
            <w:pPr>
              <w:jc w:val="center"/>
              <w:rPr>
                <w:rFonts w:ascii="宋体" w:hAnsi="宋体" w:eastAsia="宋体" w:cs="宋体"/>
                <w:szCs w:val="21"/>
                <w:highlight w:val="none"/>
              </w:rPr>
            </w:pPr>
            <w:r>
              <w:rPr>
                <w:rFonts w:hint="eastAsia" w:ascii="宋体" w:hAnsi="宋体" w:eastAsia="宋体" w:cs="宋体"/>
                <w:szCs w:val="21"/>
                <w:highlight w:val="none"/>
              </w:rPr>
              <w:t>13</w:t>
            </w:r>
          </w:p>
        </w:tc>
        <w:tc>
          <w:tcPr>
            <w:tcW w:w="1108" w:type="dxa"/>
            <w:tcBorders>
              <w:top w:val="single" w:color="auto" w:sz="4" w:space="0"/>
              <w:left w:val="single" w:color="auto" w:sz="4" w:space="0"/>
              <w:bottom w:val="single" w:color="auto" w:sz="4" w:space="0"/>
              <w:right w:val="single" w:color="auto" w:sz="4" w:space="0"/>
            </w:tcBorders>
            <w:vAlign w:val="center"/>
          </w:tcPr>
          <w:p w14:paraId="739E1B66">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6F3A71B5">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2E1C5111">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721DE4D">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1EAAF88C">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36A70028">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35692099">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1474D9CE">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47E9B48D">
            <w:pPr>
              <w:jc w:val="center"/>
              <w:rPr>
                <w:rFonts w:ascii="宋体" w:hAnsi="宋体" w:eastAsia="宋体" w:cs="宋体"/>
                <w:szCs w:val="21"/>
                <w:highlight w:val="none"/>
              </w:rPr>
            </w:pPr>
          </w:p>
        </w:tc>
      </w:tr>
      <w:tr w14:paraId="722E05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9BE25FD">
            <w:pPr>
              <w:jc w:val="center"/>
              <w:rPr>
                <w:rFonts w:ascii="宋体" w:hAnsi="宋体" w:eastAsia="宋体" w:cs="宋体"/>
                <w:szCs w:val="21"/>
                <w:highlight w:val="none"/>
              </w:rPr>
            </w:pPr>
            <w:r>
              <w:rPr>
                <w:rFonts w:hint="eastAsia" w:ascii="宋体" w:hAnsi="宋体" w:eastAsia="宋体" w:cs="宋体"/>
                <w:szCs w:val="21"/>
                <w:highlight w:val="none"/>
              </w:rPr>
              <w:t>14</w:t>
            </w:r>
          </w:p>
        </w:tc>
        <w:tc>
          <w:tcPr>
            <w:tcW w:w="1108" w:type="dxa"/>
            <w:tcBorders>
              <w:top w:val="single" w:color="auto" w:sz="4" w:space="0"/>
              <w:left w:val="single" w:color="auto" w:sz="4" w:space="0"/>
              <w:bottom w:val="single" w:color="auto" w:sz="4" w:space="0"/>
              <w:right w:val="single" w:color="auto" w:sz="4" w:space="0"/>
            </w:tcBorders>
            <w:vAlign w:val="center"/>
          </w:tcPr>
          <w:p w14:paraId="04829231">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2E5F4A74">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368C3620">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732649A">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76136B6C">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1C2C4D44">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2DB38F9F">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711FC071">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6814FE44">
            <w:pPr>
              <w:jc w:val="center"/>
              <w:rPr>
                <w:rFonts w:ascii="宋体" w:hAnsi="宋体" w:eastAsia="宋体" w:cs="宋体"/>
                <w:szCs w:val="21"/>
                <w:highlight w:val="none"/>
              </w:rPr>
            </w:pPr>
          </w:p>
        </w:tc>
      </w:tr>
      <w:tr w14:paraId="330976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5C1618B0">
            <w:pPr>
              <w:jc w:val="center"/>
              <w:rPr>
                <w:rFonts w:ascii="宋体" w:hAnsi="宋体" w:eastAsia="宋体" w:cs="宋体"/>
                <w:szCs w:val="21"/>
                <w:highlight w:val="none"/>
              </w:rPr>
            </w:pPr>
            <w:r>
              <w:rPr>
                <w:rFonts w:hint="eastAsia" w:ascii="宋体" w:hAnsi="宋体" w:eastAsia="宋体" w:cs="宋体"/>
                <w:szCs w:val="21"/>
                <w:highlight w:val="none"/>
              </w:rPr>
              <w:t>…</w:t>
            </w:r>
          </w:p>
        </w:tc>
        <w:tc>
          <w:tcPr>
            <w:tcW w:w="1108" w:type="dxa"/>
            <w:tcBorders>
              <w:top w:val="single" w:color="auto" w:sz="4" w:space="0"/>
              <w:left w:val="single" w:color="auto" w:sz="4" w:space="0"/>
              <w:bottom w:val="single" w:color="auto" w:sz="4" w:space="0"/>
              <w:right w:val="single" w:color="auto" w:sz="4" w:space="0"/>
            </w:tcBorders>
            <w:vAlign w:val="center"/>
          </w:tcPr>
          <w:p w14:paraId="64B6A029">
            <w:pPr>
              <w:jc w:val="center"/>
              <w:rPr>
                <w:rFonts w:ascii="宋体" w:hAnsi="宋体" w:eastAsia="宋体" w:cs="宋体"/>
                <w:szCs w:val="21"/>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5DE7E942">
            <w:pPr>
              <w:jc w:val="center"/>
              <w:rPr>
                <w:rFonts w:ascii="宋体" w:hAnsi="宋体" w:eastAsia="宋体" w:cs="宋体"/>
                <w:szCs w:val="21"/>
                <w:highlight w:val="none"/>
              </w:rPr>
            </w:pPr>
          </w:p>
        </w:tc>
        <w:tc>
          <w:tcPr>
            <w:tcW w:w="817" w:type="dxa"/>
            <w:tcBorders>
              <w:top w:val="single" w:color="auto" w:sz="4" w:space="0"/>
              <w:left w:val="single" w:color="auto" w:sz="4" w:space="0"/>
              <w:bottom w:val="single" w:color="auto" w:sz="4" w:space="0"/>
              <w:right w:val="single" w:color="auto" w:sz="4" w:space="0"/>
            </w:tcBorders>
            <w:vAlign w:val="center"/>
          </w:tcPr>
          <w:p w14:paraId="2FD48E80">
            <w:pPr>
              <w:jc w:val="center"/>
              <w:rPr>
                <w:rFonts w:ascii="宋体" w:hAnsi="宋体" w:eastAsia="宋体" w:cs="宋体"/>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C0C5DCB">
            <w:pPr>
              <w:jc w:val="center"/>
              <w:rPr>
                <w:rFonts w:ascii="宋体" w:hAnsi="宋体" w:eastAsia="宋体" w:cs="宋体"/>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28DD3D0">
            <w:pPr>
              <w:jc w:val="center"/>
              <w:rPr>
                <w:rFonts w:ascii="宋体" w:hAnsi="宋体" w:eastAsia="宋体" w:cs="宋体"/>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center"/>
          </w:tcPr>
          <w:p w14:paraId="11A2C99A">
            <w:pPr>
              <w:jc w:val="center"/>
              <w:rPr>
                <w:rFonts w:ascii="宋体" w:hAnsi="宋体" w:eastAsia="宋体" w:cs="宋体"/>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14:paraId="0E321778">
            <w:pPr>
              <w:jc w:val="center"/>
              <w:rPr>
                <w:rFonts w:ascii="宋体" w:hAnsi="宋体" w:eastAsia="宋体" w:cs="宋体"/>
                <w:szCs w:val="21"/>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13FB5ACE">
            <w:pPr>
              <w:jc w:val="center"/>
              <w:rPr>
                <w:rFonts w:ascii="宋体" w:hAnsi="宋体" w:eastAsia="宋体" w:cs="宋体"/>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0C6B71BB">
            <w:pPr>
              <w:jc w:val="center"/>
              <w:rPr>
                <w:rFonts w:ascii="宋体" w:hAnsi="宋体" w:eastAsia="宋体" w:cs="宋体"/>
                <w:szCs w:val="21"/>
                <w:highlight w:val="none"/>
              </w:rPr>
            </w:pPr>
          </w:p>
        </w:tc>
      </w:tr>
    </w:tbl>
    <w:p w14:paraId="241CBC71">
      <w:pPr>
        <w:spacing w:line="360" w:lineRule="auto"/>
        <w:rPr>
          <w:rFonts w:ascii="宋体" w:hAnsi="宋体" w:eastAsia="宋体" w:cs="宋体"/>
          <w:b/>
          <w:sz w:val="24"/>
          <w:szCs w:val="24"/>
          <w:highlight w:val="none"/>
        </w:rPr>
      </w:pPr>
    </w:p>
    <w:p w14:paraId="53010830">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693B2758">
      <w:pPr>
        <w:spacing w:line="360" w:lineRule="auto"/>
        <w:ind w:right="420" w:firstLine="210"/>
        <w:jc w:val="right"/>
        <w:rPr>
          <w:rFonts w:ascii="宋体" w:hAnsi="宋体" w:eastAsia="宋体" w:cs="宋体"/>
          <w:b/>
          <w:sz w:val="24"/>
          <w:szCs w:val="21"/>
          <w:highlight w:val="none"/>
        </w:rPr>
      </w:pPr>
      <w:r>
        <w:rPr>
          <w:rFonts w:hint="eastAsia" w:ascii="宋体" w:hAnsi="宋体" w:eastAsia="宋体" w:cs="宋体"/>
          <w:sz w:val="24"/>
          <w:szCs w:val="24"/>
          <w:highlight w:val="none"/>
        </w:rPr>
        <w:t>日期：　　　年　　月　　日</w:t>
      </w:r>
      <w:r>
        <w:rPr>
          <w:rFonts w:hint="eastAsia" w:ascii="宋体" w:hAnsi="宋体" w:eastAsia="宋体" w:cs="宋体"/>
          <w:b/>
          <w:sz w:val="24"/>
          <w:szCs w:val="21"/>
          <w:highlight w:val="none"/>
        </w:rPr>
        <w:br w:type="page"/>
      </w:r>
    </w:p>
    <w:p w14:paraId="5059579F">
      <w:pPr>
        <w:adjustRightInd w:val="0"/>
        <w:spacing w:line="360" w:lineRule="auto"/>
        <w:textAlignment w:val="baseline"/>
        <w:outlineLvl w:val="1"/>
        <w:rPr>
          <w:rFonts w:ascii="宋体" w:hAnsi="宋体" w:eastAsia="宋体" w:cs="宋体"/>
          <w:b/>
          <w:sz w:val="24"/>
          <w:szCs w:val="24"/>
          <w:highlight w:val="none"/>
        </w:rPr>
      </w:pPr>
      <w:r>
        <w:rPr>
          <w:rFonts w:hint="eastAsia" w:ascii="宋体" w:hAnsi="宋体" w:eastAsia="宋体" w:cs="宋体"/>
          <w:b/>
          <w:sz w:val="24"/>
          <w:szCs w:val="21"/>
          <w:highlight w:val="none"/>
        </w:rPr>
        <w:t>9、类似业绩情况表</w:t>
      </w:r>
    </w:p>
    <w:p w14:paraId="4265536B">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类似业绩情况表（如有）</w:t>
      </w:r>
    </w:p>
    <w:tbl>
      <w:tblPr>
        <w:tblStyle w:val="49"/>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27"/>
        <w:gridCol w:w="2500"/>
        <w:gridCol w:w="2702"/>
        <w:gridCol w:w="1930"/>
        <w:gridCol w:w="1987"/>
      </w:tblGrid>
      <w:tr w14:paraId="59EFA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827" w:type="dxa"/>
            <w:vAlign w:val="center"/>
          </w:tcPr>
          <w:p w14:paraId="2530A965">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序号</w:t>
            </w:r>
          </w:p>
        </w:tc>
        <w:tc>
          <w:tcPr>
            <w:tcW w:w="2500" w:type="dxa"/>
            <w:vAlign w:val="center"/>
          </w:tcPr>
          <w:p w14:paraId="5AA9F163">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项目名称</w:t>
            </w:r>
          </w:p>
        </w:tc>
        <w:tc>
          <w:tcPr>
            <w:tcW w:w="2702" w:type="dxa"/>
            <w:vAlign w:val="center"/>
          </w:tcPr>
          <w:p w14:paraId="03BB734B">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合同期</w:t>
            </w:r>
          </w:p>
        </w:tc>
        <w:tc>
          <w:tcPr>
            <w:tcW w:w="1930" w:type="dxa"/>
            <w:tcBorders>
              <w:right w:val="single" w:color="auto" w:sz="4" w:space="0"/>
            </w:tcBorders>
            <w:vAlign w:val="center"/>
          </w:tcPr>
          <w:p w14:paraId="7958AC0D">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合同金额（万元）</w:t>
            </w:r>
          </w:p>
        </w:tc>
        <w:tc>
          <w:tcPr>
            <w:tcW w:w="1987" w:type="dxa"/>
            <w:vAlign w:val="center"/>
          </w:tcPr>
          <w:p w14:paraId="6B5118C0">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备注</w:t>
            </w:r>
          </w:p>
        </w:tc>
      </w:tr>
      <w:tr w14:paraId="1A9CF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827" w:type="dxa"/>
            <w:vAlign w:val="center"/>
          </w:tcPr>
          <w:p w14:paraId="5BC6A591">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1</w:t>
            </w:r>
          </w:p>
        </w:tc>
        <w:tc>
          <w:tcPr>
            <w:tcW w:w="2500" w:type="dxa"/>
            <w:vAlign w:val="center"/>
          </w:tcPr>
          <w:p w14:paraId="5A47FDEC">
            <w:pPr>
              <w:spacing w:line="360" w:lineRule="auto"/>
              <w:jc w:val="center"/>
              <w:rPr>
                <w:rFonts w:ascii="宋体" w:hAnsi="宋体" w:eastAsia="宋体" w:cs="宋体"/>
                <w:szCs w:val="21"/>
                <w:highlight w:val="none"/>
              </w:rPr>
            </w:pPr>
          </w:p>
        </w:tc>
        <w:tc>
          <w:tcPr>
            <w:tcW w:w="2702" w:type="dxa"/>
            <w:vAlign w:val="center"/>
          </w:tcPr>
          <w:p w14:paraId="174D179F">
            <w:pPr>
              <w:spacing w:line="360" w:lineRule="auto"/>
              <w:jc w:val="center"/>
              <w:rPr>
                <w:rFonts w:ascii="宋体" w:hAnsi="宋体" w:eastAsia="宋体" w:cs="宋体"/>
                <w:szCs w:val="21"/>
                <w:highlight w:val="none"/>
              </w:rPr>
            </w:pPr>
          </w:p>
        </w:tc>
        <w:tc>
          <w:tcPr>
            <w:tcW w:w="1930" w:type="dxa"/>
            <w:tcBorders>
              <w:right w:val="single" w:color="auto" w:sz="4" w:space="0"/>
            </w:tcBorders>
            <w:vAlign w:val="center"/>
          </w:tcPr>
          <w:p w14:paraId="33E76E69">
            <w:pPr>
              <w:spacing w:line="360" w:lineRule="auto"/>
              <w:jc w:val="center"/>
              <w:rPr>
                <w:rFonts w:ascii="宋体" w:hAnsi="宋体" w:eastAsia="宋体" w:cs="宋体"/>
                <w:szCs w:val="21"/>
                <w:highlight w:val="none"/>
              </w:rPr>
            </w:pPr>
          </w:p>
        </w:tc>
        <w:tc>
          <w:tcPr>
            <w:tcW w:w="1987" w:type="dxa"/>
            <w:vAlign w:val="center"/>
          </w:tcPr>
          <w:p w14:paraId="556F3C57">
            <w:pPr>
              <w:spacing w:line="360" w:lineRule="auto"/>
              <w:jc w:val="center"/>
              <w:rPr>
                <w:rFonts w:ascii="宋体" w:hAnsi="宋体" w:eastAsia="宋体" w:cs="宋体"/>
                <w:szCs w:val="21"/>
                <w:highlight w:val="none"/>
              </w:rPr>
            </w:pPr>
          </w:p>
        </w:tc>
      </w:tr>
      <w:tr w14:paraId="58C5D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827" w:type="dxa"/>
            <w:vAlign w:val="center"/>
          </w:tcPr>
          <w:p w14:paraId="3404202E">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2</w:t>
            </w:r>
          </w:p>
        </w:tc>
        <w:tc>
          <w:tcPr>
            <w:tcW w:w="2500" w:type="dxa"/>
            <w:vAlign w:val="center"/>
          </w:tcPr>
          <w:p w14:paraId="10A84DD4">
            <w:pPr>
              <w:spacing w:line="360" w:lineRule="auto"/>
              <w:jc w:val="center"/>
              <w:rPr>
                <w:rFonts w:ascii="宋体" w:hAnsi="宋体" w:eastAsia="宋体" w:cs="宋体"/>
                <w:szCs w:val="21"/>
                <w:highlight w:val="none"/>
              </w:rPr>
            </w:pPr>
          </w:p>
        </w:tc>
        <w:tc>
          <w:tcPr>
            <w:tcW w:w="2702" w:type="dxa"/>
            <w:vAlign w:val="center"/>
          </w:tcPr>
          <w:p w14:paraId="0E28AB87">
            <w:pPr>
              <w:spacing w:line="360" w:lineRule="auto"/>
              <w:jc w:val="center"/>
              <w:rPr>
                <w:rFonts w:ascii="宋体" w:hAnsi="宋体" w:eastAsia="宋体" w:cs="宋体"/>
                <w:szCs w:val="21"/>
                <w:highlight w:val="none"/>
              </w:rPr>
            </w:pPr>
          </w:p>
        </w:tc>
        <w:tc>
          <w:tcPr>
            <w:tcW w:w="1930" w:type="dxa"/>
            <w:tcBorders>
              <w:right w:val="single" w:color="auto" w:sz="4" w:space="0"/>
            </w:tcBorders>
            <w:vAlign w:val="center"/>
          </w:tcPr>
          <w:p w14:paraId="1F2EF9C8">
            <w:pPr>
              <w:spacing w:line="360" w:lineRule="auto"/>
              <w:jc w:val="center"/>
              <w:rPr>
                <w:rFonts w:ascii="宋体" w:hAnsi="宋体" w:eastAsia="宋体" w:cs="宋体"/>
                <w:szCs w:val="21"/>
                <w:highlight w:val="none"/>
              </w:rPr>
            </w:pPr>
          </w:p>
        </w:tc>
        <w:tc>
          <w:tcPr>
            <w:tcW w:w="1987" w:type="dxa"/>
            <w:vAlign w:val="center"/>
          </w:tcPr>
          <w:p w14:paraId="5611DCC5">
            <w:pPr>
              <w:spacing w:line="360" w:lineRule="auto"/>
              <w:jc w:val="center"/>
              <w:rPr>
                <w:rFonts w:ascii="宋体" w:hAnsi="宋体" w:eastAsia="宋体" w:cs="宋体"/>
                <w:szCs w:val="21"/>
                <w:highlight w:val="none"/>
              </w:rPr>
            </w:pPr>
          </w:p>
        </w:tc>
      </w:tr>
      <w:tr w14:paraId="79837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827" w:type="dxa"/>
            <w:vAlign w:val="center"/>
          </w:tcPr>
          <w:p w14:paraId="1428AD52">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3</w:t>
            </w:r>
          </w:p>
        </w:tc>
        <w:tc>
          <w:tcPr>
            <w:tcW w:w="2500" w:type="dxa"/>
            <w:vAlign w:val="center"/>
          </w:tcPr>
          <w:p w14:paraId="5983B08D">
            <w:pPr>
              <w:spacing w:line="360" w:lineRule="auto"/>
              <w:jc w:val="center"/>
              <w:rPr>
                <w:rFonts w:ascii="宋体" w:hAnsi="宋体" w:eastAsia="宋体" w:cs="宋体"/>
                <w:szCs w:val="21"/>
                <w:highlight w:val="none"/>
              </w:rPr>
            </w:pPr>
          </w:p>
        </w:tc>
        <w:tc>
          <w:tcPr>
            <w:tcW w:w="2702" w:type="dxa"/>
            <w:vAlign w:val="center"/>
          </w:tcPr>
          <w:p w14:paraId="1D313BD7">
            <w:pPr>
              <w:spacing w:line="360" w:lineRule="auto"/>
              <w:jc w:val="center"/>
              <w:rPr>
                <w:rFonts w:ascii="宋体" w:hAnsi="宋体" w:eastAsia="宋体" w:cs="宋体"/>
                <w:szCs w:val="21"/>
                <w:highlight w:val="none"/>
              </w:rPr>
            </w:pPr>
          </w:p>
        </w:tc>
        <w:tc>
          <w:tcPr>
            <w:tcW w:w="1930" w:type="dxa"/>
            <w:tcBorders>
              <w:right w:val="single" w:color="auto" w:sz="4" w:space="0"/>
            </w:tcBorders>
            <w:vAlign w:val="center"/>
          </w:tcPr>
          <w:p w14:paraId="1DE65FC4">
            <w:pPr>
              <w:spacing w:line="360" w:lineRule="auto"/>
              <w:jc w:val="center"/>
              <w:rPr>
                <w:rFonts w:ascii="宋体" w:hAnsi="宋体" w:eastAsia="宋体" w:cs="宋体"/>
                <w:szCs w:val="21"/>
                <w:highlight w:val="none"/>
              </w:rPr>
            </w:pPr>
          </w:p>
        </w:tc>
        <w:tc>
          <w:tcPr>
            <w:tcW w:w="1987" w:type="dxa"/>
            <w:vAlign w:val="center"/>
          </w:tcPr>
          <w:p w14:paraId="783E11D9">
            <w:pPr>
              <w:spacing w:line="360" w:lineRule="auto"/>
              <w:jc w:val="center"/>
              <w:rPr>
                <w:rFonts w:ascii="宋体" w:hAnsi="宋体" w:eastAsia="宋体" w:cs="宋体"/>
                <w:szCs w:val="21"/>
                <w:highlight w:val="none"/>
              </w:rPr>
            </w:pPr>
          </w:p>
        </w:tc>
      </w:tr>
      <w:tr w14:paraId="4A460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827" w:type="dxa"/>
            <w:vAlign w:val="center"/>
          </w:tcPr>
          <w:p w14:paraId="230A686D">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4</w:t>
            </w:r>
          </w:p>
        </w:tc>
        <w:tc>
          <w:tcPr>
            <w:tcW w:w="2500" w:type="dxa"/>
            <w:vAlign w:val="center"/>
          </w:tcPr>
          <w:p w14:paraId="42FA5A6D">
            <w:pPr>
              <w:spacing w:line="360" w:lineRule="auto"/>
              <w:jc w:val="center"/>
              <w:rPr>
                <w:rFonts w:ascii="宋体" w:hAnsi="宋体" w:eastAsia="宋体" w:cs="宋体"/>
                <w:szCs w:val="21"/>
                <w:highlight w:val="none"/>
              </w:rPr>
            </w:pPr>
          </w:p>
        </w:tc>
        <w:tc>
          <w:tcPr>
            <w:tcW w:w="2702" w:type="dxa"/>
            <w:vAlign w:val="center"/>
          </w:tcPr>
          <w:p w14:paraId="5EC5AC41">
            <w:pPr>
              <w:spacing w:line="360" w:lineRule="auto"/>
              <w:jc w:val="center"/>
              <w:rPr>
                <w:rFonts w:ascii="宋体" w:hAnsi="宋体" w:eastAsia="宋体" w:cs="宋体"/>
                <w:szCs w:val="21"/>
                <w:highlight w:val="none"/>
              </w:rPr>
            </w:pPr>
          </w:p>
        </w:tc>
        <w:tc>
          <w:tcPr>
            <w:tcW w:w="1930" w:type="dxa"/>
            <w:tcBorders>
              <w:right w:val="single" w:color="auto" w:sz="4" w:space="0"/>
            </w:tcBorders>
            <w:vAlign w:val="center"/>
          </w:tcPr>
          <w:p w14:paraId="78B4437F">
            <w:pPr>
              <w:spacing w:line="360" w:lineRule="auto"/>
              <w:jc w:val="center"/>
              <w:rPr>
                <w:rFonts w:ascii="宋体" w:hAnsi="宋体" w:eastAsia="宋体" w:cs="宋体"/>
                <w:szCs w:val="21"/>
                <w:highlight w:val="none"/>
              </w:rPr>
            </w:pPr>
          </w:p>
        </w:tc>
        <w:tc>
          <w:tcPr>
            <w:tcW w:w="1987" w:type="dxa"/>
            <w:vAlign w:val="center"/>
          </w:tcPr>
          <w:p w14:paraId="0F905384">
            <w:pPr>
              <w:spacing w:line="360" w:lineRule="auto"/>
              <w:jc w:val="center"/>
              <w:rPr>
                <w:rFonts w:ascii="宋体" w:hAnsi="宋体" w:eastAsia="宋体" w:cs="宋体"/>
                <w:szCs w:val="21"/>
                <w:highlight w:val="none"/>
              </w:rPr>
            </w:pPr>
          </w:p>
        </w:tc>
      </w:tr>
      <w:tr w14:paraId="5DFD2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827" w:type="dxa"/>
            <w:vAlign w:val="center"/>
          </w:tcPr>
          <w:p w14:paraId="49EC7BE7">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5</w:t>
            </w:r>
          </w:p>
        </w:tc>
        <w:tc>
          <w:tcPr>
            <w:tcW w:w="2500" w:type="dxa"/>
            <w:vAlign w:val="center"/>
          </w:tcPr>
          <w:p w14:paraId="2BB0FEF6">
            <w:pPr>
              <w:spacing w:line="360" w:lineRule="auto"/>
              <w:jc w:val="center"/>
              <w:rPr>
                <w:rFonts w:ascii="宋体" w:hAnsi="宋体" w:eastAsia="宋体" w:cs="宋体"/>
                <w:szCs w:val="21"/>
                <w:highlight w:val="none"/>
              </w:rPr>
            </w:pPr>
          </w:p>
        </w:tc>
        <w:tc>
          <w:tcPr>
            <w:tcW w:w="2702" w:type="dxa"/>
            <w:vAlign w:val="center"/>
          </w:tcPr>
          <w:p w14:paraId="459B687A">
            <w:pPr>
              <w:spacing w:line="360" w:lineRule="auto"/>
              <w:jc w:val="center"/>
              <w:rPr>
                <w:rFonts w:ascii="宋体" w:hAnsi="宋体" w:eastAsia="宋体" w:cs="宋体"/>
                <w:szCs w:val="21"/>
                <w:highlight w:val="none"/>
              </w:rPr>
            </w:pPr>
          </w:p>
        </w:tc>
        <w:tc>
          <w:tcPr>
            <w:tcW w:w="1930" w:type="dxa"/>
            <w:tcBorders>
              <w:right w:val="single" w:color="auto" w:sz="4" w:space="0"/>
            </w:tcBorders>
            <w:vAlign w:val="center"/>
          </w:tcPr>
          <w:p w14:paraId="228B0E4B">
            <w:pPr>
              <w:spacing w:line="360" w:lineRule="auto"/>
              <w:jc w:val="center"/>
              <w:rPr>
                <w:rFonts w:ascii="宋体" w:hAnsi="宋体" w:eastAsia="宋体" w:cs="宋体"/>
                <w:szCs w:val="21"/>
                <w:highlight w:val="none"/>
              </w:rPr>
            </w:pPr>
          </w:p>
        </w:tc>
        <w:tc>
          <w:tcPr>
            <w:tcW w:w="1987" w:type="dxa"/>
            <w:vAlign w:val="center"/>
          </w:tcPr>
          <w:p w14:paraId="2BEFD735">
            <w:pPr>
              <w:spacing w:line="360" w:lineRule="auto"/>
              <w:jc w:val="center"/>
              <w:rPr>
                <w:rFonts w:ascii="宋体" w:hAnsi="宋体" w:eastAsia="宋体" w:cs="宋体"/>
                <w:szCs w:val="21"/>
                <w:highlight w:val="none"/>
              </w:rPr>
            </w:pPr>
          </w:p>
        </w:tc>
      </w:tr>
      <w:tr w14:paraId="22F26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827" w:type="dxa"/>
            <w:vAlign w:val="center"/>
          </w:tcPr>
          <w:p w14:paraId="4B9B9366">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w:t>
            </w:r>
          </w:p>
        </w:tc>
        <w:tc>
          <w:tcPr>
            <w:tcW w:w="2500" w:type="dxa"/>
            <w:vAlign w:val="center"/>
          </w:tcPr>
          <w:p w14:paraId="0BBAED94">
            <w:pPr>
              <w:spacing w:line="360" w:lineRule="auto"/>
              <w:jc w:val="center"/>
              <w:rPr>
                <w:rFonts w:ascii="宋体" w:hAnsi="宋体" w:eastAsia="宋体" w:cs="宋体"/>
                <w:szCs w:val="21"/>
                <w:highlight w:val="none"/>
              </w:rPr>
            </w:pPr>
          </w:p>
        </w:tc>
        <w:tc>
          <w:tcPr>
            <w:tcW w:w="2702" w:type="dxa"/>
            <w:vAlign w:val="center"/>
          </w:tcPr>
          <w:p w14:paraId="082A68F6">
            <w:pPr>
              <w:spacing w:line="360" w:lineRule="auto"/>
              <w:jc w:val="center"/>
              <w:rPr>
                <w:rFonts w:ascii="宋体" w:hAnsi="宋体" w:eastAsia="宋体" w:cs="宋体"/>
                <w:szCs w:val="21"/>
                <w:highlight w:val="none"/>
              </w:rPr>
            </w:pPr>
          </w:p>
        </w:tc>
        <w:tc>
          <w:tcPr>
            <w:tcW w:w="1930" w:type="dxa"/>
            <w:tcBorders>
              <w:right w:val="single" w:color="auto" w:sz="4" w:space="0"/>
            </w:tcBorders>
            <w:vAlign w:val="center"/>
          </w:tcPr>
          <w:p w14:paraId="6C6C9606">
            <w:pPr>
              <w:spacing w:line="360" w:lineRule="auto"/>
              <w:jc w:val="center"/>
              <w:rPr>
                <w:rFonts w:ascii="宋体" w:hAnsi="宋体" w:eastAsia="宋体" w:cs="宋体"/>
                <w:szCs w:val="21"/>
                <w:highlight w:val="none"/>
              </w:rPr>
            </w:pPr>
          </w:p>
        </w:tc>
        <w:tc>
          <w:tcPr>
            <w:tcW w:w="1987" w:type="dxa"/>
            <w:vAlign w:val="center"/>
          </w:tcPr>
          <w:p w14:paraId="04C83A35">
            <w:pPr>
              <w:spacing w:line="360" w:lineRule="auto"/>
              <w:jc w:val="center"/>
              <w:rPr>
                <w:rFonts w:ascii="宋体" w:hAnsi="宋体" w:eastAsia="宋体" w:cs="宋体"/>
                <w:szCs w:val="21"/>
                <w:highlight w:val="none"/>
              </w:rPr>
            </w:pPr>
          </w:p>
        </w:tc>
      </w:tr>
      <w:tr w14:paraId="74E96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827" w:type="dxa"/>
            <w:vAlign w:val="center"/>
          </w:tcPr>
          <w:p w14:paraId="1511C3FD">
            <w:pPr>
              <w:spacing w:line="360" w:lineRule="auto"/>
              <w:jc w:val="center"/>
              <w:rPr>
                <w:rFonts w:ascii="宋体" w:hAnsi="宋体" w:eastAsia="宋体" w:cs="宋体"/>
                <w:szCs w:val="21"/>
                <w:highlight w:val="none"/>
              </w:rPr>
            </w:pPr>
          </w:p>
        </w:tc>
        <w:tc>
          <w:tcPr>
            <w:tcW w:w="2500" w:type="dxa"/>
            <w:vAlign w:val="center"/>
          </w:tcPr>
          <w:p w14:paraId="3E35C368">
            <w:pPr>
              <w:spacing w:line="360" w:lineRule="auto"/>
              <w:jc w:val="center"/>
              <w:rPr>
                <w:rFonts w:ascii="宋体" w:hAnsi="宋体" w:eastAsia="宋体" w:cs="宋体"/>
                <w:szCs w:val="21"/>
                <w:highlight w:val="none"/>
              </w:rPr>
            </w:pPr>
          </w:p>
        </w:tc>
        <w:tc>
          <w:tcPr>
            <w:tcW w:w="2702" w:type="dxa"/>
            <w:vAlign w:val="center"/>
          </w:tcPr>
          <w:p w14:paraId="222B0BA8">
            <w:pPr>
              <w:spacing w:line="360" w:lineRule="auto"/>
              <w:jc w:val="center"/>
              <w:rPr>
                <w:rFonts w:ascii="宋体" w:hAnsi="宋体" w:eastAsia="宋体" w:cs="宋体"/>
                <w:szCs w:val="21"/>
                <w:highlight w:val="none"/>
              </w:rPr>
            </w:pPr>
          </w:p>
        </w:tc>
        <w:tc>
          <w:tcPr>
            <w:tcW w:w="1930" w:type="dxa"/>
            <w:tcBorders>
              <w:right w:val="single" w:color="auto" w:sz="4" w:space="0"/>
            </w:tcBorders>
            <w:vAlign w:val="center"/>
          </w:tcPr>
          <w:p w14:paraId="242B79D2">
            <w:pPr>
              <w:spacing w:line="360" w:lineRule="auto"/>
              <w:jc w:val="center"/>
              <w:rPr>
                <w:rFonts w:ascii="宋体" w:hAnsi="宋体" w:eastAsia="宋体" w:cs="宋体"/>
                <w:szCs w:val="21"/>
                <w:highlight w:val="none"/>
              </w:rPr>
            </w:pPr>
          </w:p>
        </w:tc>
        <w:tc>
          <w:tcPr>
            <w:tcW w:w="1987" w:type="dxa"/>
            <w:vAlign w:val="center"/>
          </w:tcPr>
          <w:p w14:paraId="78E3673E">
            <w:pPr>
              <w:spacing w:line="360" w:lineRule="auto"/>
              <w:jc w:val="center"/>
              <w:rPr>
                <w:rFonts w:ascii="宋体" w:hAnsi="宋体" w:eastAsia="宋体" w:cs="宋体"/>
                <w:szCs w:val="21"/>
                <w:highlight w:val="none"/>
              </w:rPr>
            </w:pPr>
          </w:p>
        </w:tc>
      </w:tr>
      <w:tr w14:paraId="5FB5A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827" w:type="dxa"/>
            <w:vAlign w:val="center"/>
          </w:tcPr>
          <w:p w14:paraId="767506E8">
            <w:pPr>
              <w:spacing w:line="360" w:lineRule="auto"/>
              <w:jc w:val="center"/>
              <w:rPr>
                <w:rFonts w:ascii="宋体" w:hAnsi="宋体" w:eastAsia="宋体" w:cs="宋体"/>
                <w:szCs w:val="21"/>
                <w:highlight w:val="none"/>
              </w:rPr>
            </w:pPr>
          </w:p>
        </w:tc>
        <w:tc>
          <w:tcPr>
            <w:tcW w:w="2500" w:type="dxa"/>
            <w:vAlign w:val="center"/>
          </w:tcPr>
          <w:p w14:paraId="34BADFD7">
            <w:pPr>
              <w:spacing w:line="360" w:lineRule="auto"/>
              <w:jc w:val="center"/>
              <w:rPr>
                <w:rFonts w:ascii="宋体" w:hAnsi="宋体" w:eastAsia="宋体" w:cs="宋体"/>
                <w:szCs w:val="21"/>
                <w:highlight w:val="none"/>
              </w:rPr>
            </w:pPr>
          </w:p>
        </w:tc>
        <w:tc>
          <w:tcPr>
            <w:tcW w:w="2702" w:type="dxa"/>
            <w:vAlign w:val="center"/>
          </w:tcPr>
          <w:p w14:paraId="20431BB3">
            <w:pPr>
              <w:spacing w:line="360" w:lineRule="auto"/>
              <w:jc w:val="center"/>
              <w:rPr>
                <w:rFonts w:ascii="宋体" w:hAnsi="宋体" w:eastAsia="宋体" w:cs="宋体"/>
                <w:szCs w:val="21"/>
                <w:highlight w:val="none"/>
              </w:rPr>
            </w:pPr>
          </w:p>
        </w:tc>
        <w:tc>
          <w:tcPr>
            <w:tcW w:w="1930" w:type="dxa"/>
            <w:tcBorders>
              <w:right w:val="single" w:color="auto" w:sz="4" w:space="0"/>
            </w:tcBorders>
            <w:vAlign w:val="center"/>
          </w:tcPr>
          <w:p w14:paraId="57A5313F">
            <w:pPr>
              <w:spacing w:line="360" w:lineRule="auto"/>
              <w:jc w:val="center"/>
              <w:rPr>
                <w:rFonts w:ascii="宋体" w:hAnsi="宋体" w:eastAsia="宋体" w:cs="宋体"/>
                <w:szCs w:val="21"/>
                <w:highlight w:val="none"/>
              </w:rPr>
            </w:pPr>
          </w:p>
        </w:tc>
        <w:tc>
          <w:tcPr>
            <w:tcW w:w="1987" w:type="dxa"/>
            <w:vAlign w:val="center"/>
          </w:tcPr>
          <w:p w14:paraId="33769D28">
            <w:pPr>
              <w:spacing w:line="360" w:lineRule="auto"/>
              <w:jc w:val="center"/>
              <w:rPr>
                <w:rFonts w:ascii="宋体" w:hAnsi="宋体" w:eastAsia="宋体" w:cs="宋体"/>
                <w:szCs w:val="21"/>
                <w:highlight w:val="none"/>
              </w:rPr>
            </w:pPr>
          </w:p>
        </w:tc>
      </w:tr>
    </w:tbl>
    <w:p w14:paraId="73E0E246">
      <w:pPr>
        <w:pStyle w:val="17"/>
        <w:rPr>
          <w:rFonts w:hint="default" w:ascii="宋体" w:hAnsi="宋体" w:eastAsia="宋体" w:cs="宋体"/>
          <w:highlight w:val="none"/>
        </w:rPr>
      </w:pPr>
    </w:p>
    <w:p w14:paraId="4341C9B0">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5EFD57CD">
      <w:pPr>
        <w:spacing w:line="360" w:lineRule="auto"/>
        <w:ind w:right="420"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p w14:paraId="2ED9C6AA">
      <w:pPr>
        <w:rPr>
          <w:rFonts w:ascii="宋体" w:hAnsi="宋体" w:eastAsia="宋体" w:cs="宋体"/>
          <w:b/>
          <w:sz w:val="24"/>
          <w:szCs w:val="21"/>
          <w:highlight w:val="none"/>
        </w:rPr>
      </w:pPr>
      <w:r>
        <w:rPr>
          <w:rFonts w:hint="eastAsia" w:ascii="宋体" w:hAnsi="宋体" w:eastAsia="宋体" w:cs="宋体"/>
          <w:b/>
          <w:sz w:val="24"/>
          <w:szCs w:val="21"/>
          <w:highlight w:val="none"/>
        </w:rPr>
        <w:br w:type="page"/>
      </w:r>
    </w:p>
    <w:p w14:paraId="28FE2EBB">
      <w:pPr>
        <w:adjustRightInd w:val="0"/>
        <w:spacing w:line="360" w:lineRule="auto"/>
        <w:textAlignment w:val="baseline"/>
        <w:outlineLvl w:val="1"/>
        <w:rPr>
          <w:rFonts w:ascii="宋体" w:hAnsi="宋体" w:eastAsia="宋体" w:cs="宋体"/>
          <w:b/>
          <w:sz w:val="24"/>
          <w:szCs w:val="20"/>
          <w:highlight w:val="none"/>
          <w:shd w:val="clear" w:color="auto" w:fill="FFFFFF"/>
        </w:rPr>
      </w:pPr>
      <w:r>
        <w:rPr>
          <w:rFonts w:hint="eastAsia" w:ascii="宋体" w:hAnsi="宋体" w:eastAsia="宋体" w:cs="宋体"/>
          <w:b/>
          <w:sz w:val="24"/>
          <w:szCs w:val="21"/>
          <w:highlight w:val="none"/>
        </w:rPr>
        <w:t>10、资格证明文件</w:t>
      </w:r>
    </w:p>
    <w:p w14:paraId="72D2B793">
      <w:pPr>
        <w:overflowPunct w:val="0"/>
        <w:spacing w:line="360" w:lineRule="auto"/>
        <w:textAlignment w:val="baseline"/>
        <w:rPr>
          <w:rFonts w:ascii="宋体" w:hAnsi="宋体" w:eastAsia="宋体" w:cs="宋体"/>
          <w:b/>
          <w:sz w:val="24"/>
          <w:szCs w:val="20"/>
          <w:highlight w:val="none"/>
          <w:shd w:val="clear" w:color="auto" w:fill="FFFFFF"/>
        </w:rPr>
      </w:pPr>
    </w:p>
    <w:p w14:paraId="25AC5D9C">
      <w:pPr>
        <w:overflowPunct w:val="0"/>
        <w:spacing w:line="360" w:lineRule="auto"/>
        <w:textAlignment w:val="baseline"/>
        <w:outlineLvl w:val="2"/>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t>（1）资格文件的声明函</w:t>
      </w:r>
    </w:p>
    <w:p w14:paraId="3BDF179F">
      <w:pPr>
        <w:overflowPunct w:val="0"/>
        <w:spacing w:line="360" w:lineRule="auto"/>
        <w:jc w:val="center"/>
        <w:textAlignment w:val="baseline"/>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资格文件的声明函</w:t>
      </w:r>
    </w:p>
    <w:p w14:paraId="3563A9EE">
      <w:pPr>
        <w:adjustRightInd w:val="0"/>
        <w:spacing w:line="360" w:lineRule="auto"/>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4"/>
          <w:highlight w:val="none"/>
          <w:u w:val="single"/>
          <w:shd w:val="clear" w:color="auto" w:fill="FFFFFF"/>
        </w:rPr>
        <w:t>苏州诚和招投标咨询有限公司</w:t>
      </w:r>
      <w:r>
        <w:rPr>
          <w:rFonts w:hint="eastAsia" w:ascii="宋体" w:hAnsi="宋体" w:eastAsia="宋体" w:cs="宋体"/>
          <w:sz w:val="24"/>
          <w:szCs w:val="24"/>
          <w:highlight w:val="none"/>
          <w:u w:val="single"/>
        </w:rPr>
        <w:t>：</w:t>
      </w:r>
    </w:p>
    <w:p w14:paraId="51ACB98D">
      <w:pPr>
        <w:overflowPunct w:val="0"/>
        <w:spacing w:line="360" w:lineRule="auto"/>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本公司愿就由贵司组织实施的编号为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号的招标活动进行投标（响应）。本公司所提交的投标（响应）文件中所有关于投标（响应）资格的文件、证明和陈述均是真实的、准确的。若与真实情况不符，本公司愿意承担由此而产生的一切后果。</w:t>
      </w:r>
    </w:p>
    <w:p w14:paraId="47734755">
      <w:pPr>
        <w:overflowPunct w:val="0"/>
        <w:spacing w:line="360" w:lineRule="auto"/>
        <w:ind w:firstLine="480" w:firstLineChars="200"/>
        <w:textAlignment w:val="baseline"/>
        <w:rPr>
          <w:rFonts w:ascii="宋体" w:hAnsi="宋体" w:eastAsia="宋体" w:cs="宋体"/>
          <w:sz w:val="24"/>
          <w:szCs w:val="20"/>
          <w:highlight w:val="none"/>
          <w:shd w:val="clear" w:color="auto" w:fill="FFFFFF"/>
        </w:rPr>
      </w:pPr>
    </w:p>
    <w:p w14:paraId="3AFDA91B">
      <w:pPr>
        <w:overflowPunct w:val="0"/>
        <w:spacing w:line="360" w:lineRule="auto"/>
        <w:ind w:firstLine="480" w:firstLineChars="200"/>
        <w:textAlignment w:val="baseline"/>
        <w:rPr>
          <w:rFonts w:ascii="宋体" w:hAnsi="宋体" w:eastAsia="宋体" w:cs="宋体"/>
          <w:sz w:val="24"/>
          <w:szCs w:val="20"/>
          <w:highlight w:val="none"/>
          <w:shd w:val="clear" w:color="auto" w:fill="FFFFFF"/>
        </w:rPr>
      </w:pPr>
    </w:p>
    <w:p w14:paraId="7FF91E85">
      <w:pPr>
        <w:spacing w:line="360" w:lineRule="auto"/>
        <w:ind w:firstLine="480" w:firstLineChars="200"/>
        <w:rPr>
          <w:rFonts w:ascii="宋体" w:hAnsi="宋体" w:eastAsia="宋体" w:cs="宋体"/>
          <w:sz w:val="24"/>
          <w:szCs w:val="24"/>
          <w:highlight w:val="none"/>
        </w:rPr>
      </w:pPr>
    </w:p>
    <w:p w14:paraId="2EF5630D">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60AD27F8">
      <w:pPr>
        <w:spacing w:line="360" w:lineRule="auto"/>
        <w:ind w:right="420"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p w14:paraId="3B857231">
      <w:pPr>
        <w:overflowPunct w:val="0"/>
        <w:spacing w:line="360" w:lineRule="auto"/>
        <w:textAlignment w:val="baseline"/>
        <w:rPr>
          <w:rFonts w:ascii="宋体" w:hAnsi="宋体" w:eastAsia="宋体" w:cs="宋体"/>
          <w:sz w:val="24"/>
          <w:szCs w:val="20"/>
          <w:highlight w:val="none"/>
        </w:rPr>
      </w:pPr>
    </w:p>
    <w:p w14:paraId="567C23E2">
      <w:pPr>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br w:type="page"/>
      </w:r>
    </w:p>
    <w:p w14:paraId="728E6810">
      <w:pPr>
        <w:overflowPunct w:val="0"/>
        <w:spacing w:line="360" w:lineRule="auto"/>
        <w:textAlignment w:val="baseline"/>
        <w:outlineLvl w:val="2"/>
        <w:rPr>
          <w:rFonts w:ascii="宋体" w:hAnsi="宋体" w:eastAsia="宋体" w:cs="宋体"/>
          <w:b/>
          <w:sz w:val="24"/>
          <w:szCs w:val="20"/>
          <w:highlight w:val="none"/>
          <w:shd w:val="clear" w:color="auto" w:fill="FFFFFF"/>
        </w:rPr>
      </w:pPr>
      <w:bookmarkStart w:id="57" w:name="_Hlk193378870"/>
      <w:r>
        <w:rPr>
          <w:rFonts w:hint="eastAsia" w:ascii="宋体" w:hAnsi="宋体" w:eastAsia="宋体" w:cs="宋体"/>
          <w:b/>
          <w:sz w:val="24"/>
          <w:szCs w:val="20"/>
          <w:highlight w:val="none"/>
          <w:shd w:val="clear" w:color="auto" w:fill="FFFFFF"/>
        </w:rPr>
        <w:t>（2）供应商基本情况表</w:t>
      </w:r>
    </w:p>
    <w:p w14:paraId="441F242A">
      <w:pPr>
        <w:overflowPunct w:val="0"/>
        <w:spacing w:line="360" w:lineRule="auto"/>
        <w:jc w:val="center"/>
        <w:textAlignment w:val="baseline"/>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供应商基本情况表</w:t>
      </w:r>
    </w:p>
    <w:p w14:paraId="5C031713">
      <w:pPr>
        <w:overflowPunct w:val="0"/>
        <w:spacing w:line="360" w:lineRule="auto"/>
        <w:ind w:firstLine="480" w:firstLineChars="200"/>
        <w:textAlignment w:val="baseline"/>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单位名称：</w:t>
      </w:r>
    </w:p>
    <w:tbl>
      <w:tblPr>
        <w:tblStyle w:val="4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870"/>
        <w:gridCol w:w="1920"/>
        <w:gridCol w:w="1470"/>
        <w:gridCol w:w="2030"/>
        <w:gridCol w:w="978"/>
      </w:tblGrid>
      <w:tr w14:paraId="53AEC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14890B27">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法定代表人</w:t>
            </w:r>
          </w:p>
        </w:tc>
        <w:tc>
          <w:tcPr>
            <w:tcW w:w="1920" w:type="dxa"/>
            <w:vAlign w:val="center"/>
          </w:tcPr>
          <w:p w14:paraId="38A1064F">
            <w:pPr>
              <w:overflowPunct w:val="0"/>
              <w:adjustRightInd w:val="0"/>
              <w:jc w:val="left"/>
              <w:textAlignment w:val="baseline"/>
              <w:rPr>
                <w:rFonts w:ascii="宋体" w:hAnsi="宋体" w:eastAsia="宋体" w:cs="宋体"/>
                <w:sz w:val="24"/>
                <w:szCs w:val="24"/>
                <w:highlight w:val="none"/>
                <w:shd w:val="clear" w:color="auto" w:fill="FFFFFF"/>
              </w:rPr>
            </w:pPr>
          </w:p>
        </w:tc>
        <w:tc>
          <w:tcPr>
            <w:tcW w:w="1470" w:type="dxa"/>
            <w:vAlign w:val="center"/>
          </w:tcPr>
          <w:p w14:paraId="1B094FEA">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成立日期</w:t>
            </w:r>
          </w:p>
        </w:tc>
        <w:tc>
          <w:tcPr>
            <w:tcW w:w="3008" w:type="dxa"/>
            <w:gridSpan w:val="2"/>
            <w:vAlign w:val="center"/>
          </w:tcPr>
          <w:p w14:paraId="5B1D9E05">
            <w:pPr>
              <w:overflowPunct w:val="0"/>
              <w:adjustRightInd w:val="0"/>
              <w:jc w:val="left"/>
              <w:textAlignment w:val="baseline"/>
              <w:rPr>
                <w:rFonts w:ascii="宋体" w:hAnsi="宋体" w:eastAsia="宋体" w:cs="宋体"/>
                <w:sz w:val="24"/>
                <w:szCs w:val="24"/>
                <w:highlight w:val="none"/>
                <w:shd w:val="clear" w:color="auto" w:fill="FFFFFF"/>
              </w:rPr>
            </w:pPr>
          </w:p>
        </w:tc>
      </w:tr>
      <w:tr w14:paraId="4EB01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6432AAF6">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企业地址</w:t>
            </w:r>
          </w:p>
        </w:tc>
        <w:tc>
          <w:tcPr>
            <w:tcW w:w="1920" w:type="dxa"/>
            <w:vAlign w:val="center"/>
          </w:tcPr>
          <w:p w14:paraId="6CFD2390">
            <w:pPr>
              <w:overflowPunct w:val="0"/>
              <w:adjustRightInd w:val="0"/>
              <w:jc w:val="left"/>
              <w:textAlignment w:val="baseline"/>
              <w:rPr>
                <w:rFonts w:ascii="宋体" w:hAnsi="宋体" w:eastAsia="宋体" w:cs="宋体"/>
                <w:sz w:val="24"/>
                <w:szCs w:val="24"/>
                <w:highlight w:val="none"/>
                <w:shd w:val="clear" w:color="auto" w:fill="FFFFFF"/>
              </w:rPr>
            </w:pPr>
          </w:p>
        </w:tc>
        <w:tc>
          <w:tcPr>
            <w:tcW w:w="1470" w:type="dxa"/>
            <w:vAlign w:val="center"/>
          </w:tcPr>
          <w:p w14:paraId="2F412690">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注册资本</w:t>
            </w:r>
          </w:p>
        </w:tc>
        <w:tc>
          <w:tcPr>
            <w:tcW w:w="3008" w:type="dxa"/>
            <w:gridSpan w:val="2"/>
            <w:vAlign w:val="center"/>
          </w:tcPr>
          <w:p w14:paraId="71979108">
            <w:pPr>
              <w:overflowPunct w:val="0"/>
              <w:adjustRightInd w:val="0"/>
              <w:ind w:firstLine="216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万元</w:t>
            </w:r>
          </w:p>
        </w:tc>
      </w:tr>
      <w:tr w14:paraId="40AC4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3FD19CB7">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经营范围</w:t>
            </w:r>
          </w:p>
        </w:tc>
        <w:tc>
          <w:tcPr>
            <w:tcW w:w="6398" w:type="dxa"/>
            <w:gridSpan w:val="4"/>
            <w:vAlign w:val="center"/>
          </w:tcPr>
          <w:p w14:paraId="52684B42">
            <w:pPr>
              <w:overflowPunct w:val="0"/>
              <w:adjustRightInd w:val="0"/>
              <w:jc w:val="left"/>
              <w:textAlignment w:val="baseline"/>
              <w:rPr>
                <w:rFonts w:ascii="宋体" w:hAnsi="宋体" w:eastAsia="宋体" w:cs="宋体"/>
                <w:sz w:val="24"/>
                <w:szCs w:val="24"/>
                <w:highlight w:val="none"/>
                <w:shd w:val="clear" w:color="auto" w:fill="FFFFFF"/>
              </w:rPr>
            </w:pPr>
          </w:p>
        </w:tc>
      </w:tr>
      <w:tr w14:paraId="338BB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00E33068">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职工人数</w:t>
            </w:r>
          </w:p>
        </w:tc>
        <w:tc>
          <w:tcPr>
            <w:tcW w:w="1920" w:type="dxa"/>
            <w:vAlign w:val="center"/>
          </w:tcPr>
          <w:p w14:paraId="53911EA7">
            <w:pPr>
              <w:overflowPunct w:val="0"/>
              <w:adjustRightInd w:val="0"/>
              <w:jc w:val="left"/>
              <w:textAlignment w:val="baseline"/>
              <w:rPr>
                <w:rFonts w:ascii="宋体" w:hAnsi="宋体" w:eastAsia="宋体" w:cs="宋体"/>
                <w:sz w:val="24"/>
                <w:szCs w:val="24"/>
                <w:highlight w:val="none"/>
                <w:shd w:val="clear" w:color="auto" w:fill="FFFFFF"/>
              </w:rPr>
            </w:pPr>
          </w:p>
        </w:tc>
        <w:tc>
          <w:tcPr>
            <w:tcW w:w="3500" w:type="dxa"/>
            <w:gridSpan w:val="2"/>
            <w:vAlign w:val="center"/>
          </w:tcPr>
          <w:p w14:paraId="7CA33E5B">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其中：有中高级以上职称的人数</w:t>
            </w:r>
          </w:p>
        </w:tc>
        <w:tc>
          <w:tcPr>
            <w:tcW w:w="978" w:type="dxa"/>
            <w:vAlign w:val="center"/>
          </w:tcPr>
          <w:p w14:paraId="7900EC37">
            <w:pPr>
              <w:overflowPunct w:val="0"/>
              <w:adjustRightInd w:val="0"/>
              <w:jc w:val="left"/>
              <w:textAlignment w:val="baseline"/>
              <w:rPr>
                <w:rFonts w:ascii="宋体" w:hAnsi="宋体" w:eastAsia="宋体" w:cs="宋体"/>
                <w:sz w:val="24"/>
                <w:szCs w:val="24"/>
                <w:highlight w:val="none"/>
                <w:shd w:val="clear" w:color="auto" w:fill="FFFFFF"/>
              </w:rPr>
            </w:pPr>
          </w:p>
        </w:tc>
      </w:tr>
      <w:tr w14:paraId="0ADFF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389D5588">
            <w:pPr>
              <w:overflowPunct w:val="0"/>
              <w:adjustRightInd w:val="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资产总计</w:t>
            </w:r>
          </w:p>
        </w:tc>
        <w:tc>
          <w:tcPr>
            <w:tcW w:w="1920" w:type="dxa"/>
            <w:vAlign w:val="center"/>
          </w:tcPr>
          <w:p w14:paraId="7B67B7E9">
            <w:pPr>
              <w:overflowPunct w:val="0"/>
              <w:adjustRightInd w:val="0"/>
              <w:jc w:val="center"/>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p>
        </w:tc>
        <w:tc>
          <w:tcPr>
            <w:tcW w:w="1470" w:type="dxa"/>
            <w:vAlign w:val="center"/>
          </w:tcPr>
          <w:p w14:paraId="1D70CC5E">
            <w:pPr>
              <w:overflowPunct w:val="0"/>
              <w:adjustRightInd w:val="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净资产</w:t>
            </w:r>
          </w:p>
        </w:tc>
        <w:tc>
          <w:tcPr>
            <w:tcW w:w="3008" w:type="dxa"/>
            <w:gridSpan w:val="2"/>
            <w:vAlign w:val="center"/>
          </w:tcPr>
          <w:p w14:paraId="00423A96">
            <w:pPr>
              <w:overflowPunct w:val="0"/>
              <w:adjustRightInd w:val="0"/>
              <w:ind w:firstLine="960" w:firstLineChars="4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p>
        </w:tc>
      </w:tr>
      <w:tr w14:paraId="4DE53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1740A6D8">
            <w:pPr>
              <w:overflowPunct w:val="0"/>
              <w:adjustRightInd w:val="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股东权益</w:t>
            </w:r>
          </w:p>
        </w:tc>
        <w:tc>
          <w:tcPr>
            <w:tcW w:w="1920" w:type="dxa"/>
            <w:vAlign w:val="center"/>
          </w:tcPr>
          <w:p w14:paraId="2E8EA98D">
            <w:pPr>
              <w:overflowPunct w:val="0"/>
              <w:adjustRightInd w:val="0"/>
              <w:jc w:val="center"/>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p>
        </w:tc>
        <w:tc>
          <w:tcPr>
            <w:tcW w:w="1470" w:type="dxa"/>
            <w:vAlign w:val="center"/>
          </w:tcPr>
          <w:p w14:paraId="28D1DC48">
            <w:pPr>
              <w:overflowPunct w:val="0"/>
              <w:adjustRightInd w:val="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销售收入</w:t>
            </w:r>
          </w:p>
        </w:tc>
        <w:tc>
          <w:tcPr>
            <w:tcW w:w="3008" w:type="dxa"/>
            <w:gridSpan w:val="2"/>
            <w:vAlign w:val="center"/>
          </w:tcPr>
          <w:p w14:paraId="4AFB275B">
            <w:pPr>
              <w:overflowPunct w:val="0"/>
              <w:adjustRightInd w:val="0"/>
              <w:jc w:val="center"/>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2025年    万元</w:t>
            </w:r>
          </w:p>
        </w:tc>
      </w:tr>
      <w:tr w14:paraId="6D5EC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228AA259">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实现利润</w:t>
            </w:r>
          </w:p>
        </w:tc>
        <w:tc>
          <w:tcPr>
            <w:tcW w:w="1920" w:type="dxa"/>
            <w:vAlign w:val="center"/>
          </w:tcPr>
          <w:p w14:paraId="77F5C653">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2025年  万元</w:t>
            </w:r>
          </w:p>
        </w:tc>
        <w:tc>
          <w:tcPr>
            <w:tcW w:w="1470" w:type="dxa"/>
            <w:vAlign w:val="center"/>
          </w:tcPr>
          <w:p w14:paraId="2C796329">
            <w:pPr>
              <w:overflowPunct w:val="0"/>
              <w:adjustRightInd w:val="0"/>
              <w:jc w:val="left"/>
              <w:textAlignment w:val="baseline"/>
              <w:rPr>
                <w:rFonts w:ascii="宋体" w:hAnsi="宋体" w:eastAsia="宋体" w:cs="宋体"/>
                <w:sz w:val="24"/>
                <w:szCs w:val="24"/>
                <w:highlight w:val="none"/>
                <w:shd w:val="clear" w:color="auto" w:fill="FFFFFF"/>
              </w:rPr>
            </w:pPr>
          </w:p>
        </w:tc>
        <w:tc>
          <w:tcPr>
            <w:tcW w:w="3008" w:type="dxa"/>
            <w:gridSpan w:val="2"/>
            <w:vAlign w:val="center"/>
          </w:tcPr>
          <w:p w14:paraId="3076640C">
            <w:pPr>
              <w:overflowPunct w:val="0"/>
              <w:adjustRightInd w:val="0"/>
              <w:jc w:val="left"/>
              <w:textAlignment w:val="baseline"/>
              <w:rPr>
                <w:rFonts w:ascii="宋体" w:hAnsi="宋体" w:eastAsia="宋体" w:cs="宋体"/>
                <w:sz w:val="24"/>
                <w:szCs w:val="24"/>
                <w:highlight w:val="none"/>
                <w:shd w:val="clear" w:color="auto" w:fill="FFFFFF"/>
              </w:rPr>
            </w:pPr>
          </w:p>
        </w:tc>
      </w:tr>
      <w:tr w14:paraId="53DFB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092D995A">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营业面积（含厂房面积）</w:t>
            </w:r>
          </w:p>
        </w:tc>
        <w:tc>
          <w:tcPr>
            <w:tcW w:w="1920" w:type="dxa"/>
            <w:vAlign w:val="center"/>
          </w:tcPr>
          <w:p w14:paraId="4344C210">
            <w:pPr>
              <w:overflowPunct w:val="0"/>
              <w:adjustRightInd w:val="0"/>
              <w:ind w:firstLine="960" w:firstLineChars="400"/>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平方米</w:t>
            </w:r>
          </w:p>
        </w:tc>
        <w:tc>
          <w:tcPr>
            <w:tcW w:w="1470" w:type="dxa"/>
            <w:vAlign w:val="center"/>
          </w:tcPr>
          <w:p w14:paraId="1BC351A6">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其中：</w:t>
            </w:r>
          </w:p>
        </w:tc>
        <w:tc>
          <w:tcPr>
            <w:tcW w:w="3008" w:type="dxa"/>
            <w:gridSpan w:val="2"/>
            <w:vAlign w:val="center"/>
          </w:tcPr>
          <w:p w14:paraId="2C0F342A">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自有面积      平方米</w:t>
            </w:r>
          </w:p>
          <w:p w14:paraId="5FAC2B47">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承租面积      平方米</w:t>
            </w:r>
          </w:p>
        </w:tc>
      </w:tr>
      <w:tr w14:paraId="69C58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126D6488">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单位简历及内设机构情况</w:t>
            </w:r>
          </w:p>
        </w:tc>
        <w:tc>
          <w:tcPr>
            <w:tcW w:w="6398" w:type="dxa"/>
            <w:gridSpan w:val="4"/>
            <w:vAlign w:val="center"/>
          </w:tcPr>
          <w:p w14:paraId="22F61DEE">
            <w:pPr>
              <w:overflowPunct w:val="0"/>
              <w:adjustRightInd w:val="0"/>
              <w:jc w:val="left"/>
              <w:textAlignment w:val="baseline"/>
              <w:rPr>
                <w:rFonts w:ascii="宋体" w:hAnsi="宋体" w:eastAsia="宋体" w:cs="宋体"/>
                <w:sz w:val="24"/>
                <w:szCs w:val="24"/>
                <w:highlight w:val="none"/>
                <w:shd w:val="clear" w:color="auto" w:fill="FFFFFF"/>
              </w:rPr>
            </w:pPr>
          </w:p>
        </w:tc>
      </w:tr>
      <w:tr w14:paraId="0B807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3" w:hRule="atLeast"/>
          <w:jc w:val="center"/>
        </w:trPr>
        <w:tc>
          <w:tcPr>
            <w:tcW w:w="2870" w:type="dxa"/>
            <w:vAlign w:val="center"/>
          </w:tcPr>
          <w:p w14:paraId="5964DB34">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单位优势及特长</w:t>
            </w:r>
          </w:p>
        </w:tc>
        <w:tc>
          <w:tcPr>
            <w:tcW w:w="6398" w:type="dxa"/>
            <w:gridSpan w:val="4"/>
            <w:vAlign w:val="center"/>
          </w:tcPr>
          <w:p w14:paraId="5A019055">
            <w:pPr>
              <w:overflowPunct w:val="0"/>
              <w:adjustRightInd w:val="0"/>
              <w:jc w:val="left"/>
              <w:textAlignment w:val="baseline"/>
              <w:rPr>
                <w:rFonts w:ascii="宋体" w:hAnsi="宋体" w:eastAsia="宋体" w:cs="宋体"/>
                <w:sz w:val="24"/>
                <w:szCs w:val="24"/>
                <w:highlight w:val="none"/>
                <w:shd w:val="clear" w:color="auto" w:fill="FFFFFF"/>
              </w:rPr>
            </w:pPr>
          </w:p>
        </w:tc>
      </w:tr>
      <w:tr w14:paraId="41231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870" w:type="dxa"/>
            <w:vAlign w:val="center"/>
          </w:tcPr>
          <w:p w14:paraId="1F2BDC6D">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是否处于被行政或司法机关责令停业或停止承接项目或停止投标（响应）资格</w:t>
            </w:r>
          </w:p>
        </w:tc>
        <w:tc>
          <w:tcPr>
            <w:tcW w:w="6398" w:type="dxa"/>
            <w:gridSpan w:val="4"/>
            <w:vAlign w:val="center"/>
          </w:tcPr>
          <w:p w14:paraId="74520298">
            <w:pPr>
              <w:overflowPunct w:val="0"/>
              <w:adjustRightInd w:val="0"/>
              <w:jc w:val="left"/>
              <w:textAlignment w:val="baseline"/>
              <w:rPr>
                <w:rFonts w:ascii="宋体" w:hAnsi="宋体" w:eastAsia="宋体" w:cs="宋体"/>
                <w:sz w:val="24"/>
                <w:szCs w:val="24"/>
                <w:highlight w:val="none"/>
                <w:shd w:val="clear" w:color="auto" w:fill="FFFFFF"/>
              </w:rPr>
            </w:pPr>
          </w:p>
        </w:tc>
      </w:tr>
      <w:tr w14:paraId="45939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870" w:type="dxa"/>
            <w:vAlign w:val="center"/>
          </w:tcPr>
          <w:p w14:paraId="064DFDDA">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最近2年内在经营过程中受到何种奖励或处分（包括情况和结果）</w:t>
            </w:r>
          </w:p>
        </w:tc>
        <w:tc>
          <w:tcPr>
            <w:tcW w:w="6398" w:type="dxa"/>
            <w:gridSpan w:val="4"/>
            <w:vAlign w:val="center"/>
          </w:tcPr>
          <w:p w14:paraId="0FA0E0A4">
            <w:pPr>
              <w:overflowPunct w:val="0"/>
              <w:adjustRightInd w:val="0"/>
              <w:jc w:val="left"/>
              <w:textAlignment w:val="baseline"/>
              <w:rPr>
                <w:rFonts w:ascii="宋体" w:hAnsi="宋体" w:eastAsia="宋体" w:cs="宋体"/>
                <w:sz w:val="24"/>
                <w:szCs w:val="24"/>
                <w:highlight w:val="none"/>
                <w:shd w:val="clear" w:color="auto" w:fill="FFFFFF"/>
              </w:rPr>
            </w:pPr>
          </w:p>
        </w:tc>
      </w:tr>
      <w:tr w14:paraId="1BD13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870" w:type="dxa"/>
            <w:vAlign w:val="center"/>
          </w:tcPr>
          <w:p w14:paraId="6756AF72">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最近3年内有无因售假、售劣或是其他原因被消费者投诉或起诉的情况及说明（包括解决方式和结果）</w:t>
            </w:r>
          </w:p>
        </w:tc>
        <w:tc>
          <w:tcPr>
            <w:tcW w:w="6398" w:type="dxa"/>
            <w:gridSpan w:val="4"/>
            <w:vAlign w:val="center"/>
          </w:tcPr>
          <w:p w14:paraId="02EB7BC9">
            <w:pPr>
              <w:overflowPunct w:val="0"/>
              <w:adjustRightInd w:val="0"/>
              <w:jc w:val="left"/>
              <w:textAlignment w:val="baseline"/>
              <w:rPr>
                <w:rFonts w:ascii="宋体" w:hAnsi="宋体" w:eastAsia="宋体" w:cs="宋体"/>
                <w:sz w:val="24"/>
                <w:szCs w:val="24"/>
                <w:highlight w:val="none"/>
                <w:shd w:val="clear" w:color="auto" w:fill="FFFFFF"/>
              </w:rPr>
            </w:pPr>
          </w:p>
        </w:tc>
      </w:tr>
      <w:tr w14:paraId="4D9D5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870" w:type="dxa"/>
            <w:vAlign w:val="center"/>
          </w:tcPr>
          <w:p w14:paraId="5BD407B9">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最近3年内主要负责人有无因经济犯罪被司法机关追究的情况及说明</w:t>
            </w:r>
          </w:p>
        </w:tc>
        <w:tc>
          <w:tcPr>
            <w:tcW w:w="6398" w:type="dxa"/>
            <w:gridSpan w:val="4"/>
            <w:vAlign w:val="center"/>
          </w:tcPr>
          <w:p w14:paraId="511E2135">
            <w:pPr>
              <w:overflowPunct w:val="0"/>
              <w:adjustRightInd w:val="0"/>
              <w:jc w:val="left"/>
              <w:textAlignment w:val="baseline"/>
              <w:rPr>
                <w:rFonts w:ascii="宋体" w:hAnsi="宋体" w:eastAsia="宋体" w:cs="宋体"/>
                <w:sz w:val="24"/>
                <w:szCs w:val="24"/>
                <w:highlight w:val="none"/>
                <w:shd w:val="clear" w:color="auto" w:fill="FFFFFF"/>
              </w:rPr>
            </w:pPr>
          </w:p>
        </w:tc>
      </w:tr>
      <w:tr w14:paraId="4D3E2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870" w:type="dxa"/>
            <w:vAlign w:val="center"/>
          </w:tcPr>
          <w:p w14:paraId="3A6650EB">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获得技术认证的工程师及简介</w:t>
            </w:r>
          </w:p>
        </w:tc>
        <w:tc>
          <w:tcPr>
            <w:tcW w:w="6398" w:type="dxa"/>
            <w:gridSpan w:val="4"/>
            <w:vAlign w:val="center"/>
          </w:tcPr>
          <w:p w14:paraId="30F5DB42">
            <w:pPr>
              <w:overflowPunct w:val="0"/>
              <w:adjustRightInd w:val="0"/>
              <w:jc w:val="left"/>
              <w:textAlignment w:val="baseline"/>
              <w:rPr>
                <w:rFonts w:ascii="宋体" w:hAnsi="宋体" w:eastAsia="宋体" w:cs="宋体"/>
                <w:sz w:val="24"/>
                <w:szCs w:val="24"/>
                <w:highlight w:val="none"/>
                <w:shd w:val="clear" w:color="auto" w:fill="FFFFFF"/>
              </w:rPr>
            </w:pPr>
          </w:p>
        </w:tc>
      </w:tr>
      <w:tr w14:paraId="40B3B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870" w:type="dxa"/>
            <w:vAlign w:val="center"/>
          </w:tcPr>
          <w:p w14:paraId="381A40FF">
            <w:pPr>
              <w:overflowPunct w:val="0"/>
              <w:adjustRightInd w:val="0"/>
              <w:jc w:val="left"/>
              <w:textAlignment w:val="baseline"/>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其他需要说明的情况</w:t>
            </w:r>
          </w:p>
        </w:tc>
        <w:tc>
          <w:tcPr>
            <w:tcW w:w="6398" w:type="dxa"/>
            <w:gridSpan w:val="4"/>
            <w:vAlign w:val="center"/>
          </w:tcPr>
          <w:p w14:paraId="5F173E99">
            <w:pPr>
              <w:overflowPunct w:val="0"/>
              <w:adjustRightInd w:val="0"/>
              <w:jc w:val="left"/>
              <w:textAlignment w:val="baseline"/>
              <w:rPr>
                <w:rFonts w:ascii="宋体" w:hAnsi="宋体" w:eastAsia="宋体" w:cs="宋体"/>
                <w:sz w:val="24"/>
                <w:szCs w:val="24"/>
                <w:highlight w:val="none"/>
                <w:shd w:val="clear" w:color="auto" w:fill="FFFFFF"/>
              </w:rPr>
            </w:pPr>
          </w:p>
        </w:tc>
      </w:tr>
    </w:tbl>
    <w:p w14:paraId="0365D877">
      <w:pPr>
        <w:spacing w:line="360" w:lineRule="auto"/>
        <w:ind w:right="105"/>
        <w:jc w:val="right"/>
        <w:rPr>
          <w:rFonts w:ascii="宋体" w:hAnsi="宋体" w:eastAsia="宋体" w:cs="宋体"/>
          <w:sz w:val="24"/>
          <w:szCs w:val="24"/>
          <w:highlight w:val="none"/>
        </w:rPr>
      </w:pPr>
    </w:p>
    <w:p w14:paraId="5AF9410E">
      <w:pPr>
        <w:spacing w:line="360" w:lineRule="auto"/>
        <w:ind w:right="105"/>
        <w:jc w:val="right"/>
        <w:rPr>
          <w:rFonts w:ascii="宋体" w:hAnsi="宋体" w:eastAsia="宋体" w:cs="宋体"/>
          <w:sz w:val="24"/>
          <w:szCs w:val="24"/>
          <w:highlight w:val="none"/>
        </w:rPr>
      </w:pPr>
    </w:p>
    <w:p w14:paraId="03876559">
      <w:pPr>
        <w:spacing w:line="360" w:lineRule="auto"/>
        <w:ind w:right="105"/>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33DF38B0">
      <w:pPr>
        <w:spacing w:line="360" w:lineRule="auto"/>
        <w:ind w:right="420"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bookmarkEnd w:id="57"/>
    <w:p w14:paraId="0BA09DA4">
      <w:pPr>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br w:type="page"/>
      </w:r>
    </w:p>
    <w:p w14:paraId="652542FD">
      <w:pPr>
        <w:overflowPunct w:val="0"/>
        <w:spacing w:line="360" w:lineRule="auto"/>
        <w:textAlignment w:val="baseline"/>
        <w:outlineLvl w:val="2"/>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t>（3）关于符合本国产品标准的声明函</w:t>
      </w:r>
    </w:p>
    <w:p w14:paraId="303EB374">
      <w:pPr>
        <w:spacing w:line="360" w:lineRule="auto"/>
        <w:ind w:firstLine="200"/>
        <w:rPr>
          <w:rFonts w:ascii="宋体" w:hAnsi="宋体" w:eastAsia="宋体" w:cs="宋体"/>
          <w:sz w:val="24"/>
          <w:szCs w:val="24"/>
          <w:highlight w:val="none"/>
        </w:rPr>
      </w:pPr>
      <w:bookmarkStart w:id="58" w:name="OLE_LINK5"/>
      <w:bookmarkStart w:id="59" w:name="OLE_LINK6"/>
    </w:p>
    <w:p w14:paraId="3970D212">
      <w:pPr>
        <w:jc w:val="center"/>
        <w:rPr>
          <w:rFonts w:ascii="宋体" w:hAnsi="宋体" w:eastAsia="宋体" w:cs="宋体"/>
          <w:sz w:val="24"/>
          <w:szCs w:val="24"/>
          <w:highlight w:val="none"/>
        </w:rPr>
      </w:pPr>
      <w:r>
        <w:rPr>
          <w:rFonts w:hint="eastAsia" w:ascii="宋体" w:hAnsi="宋体" w:eastAsia="宋体" w:cs="宋体"/>
          <w:sz w:val="24"/>
          <w:szCs w:val="24"/>
          <w:highlight w:val="none"/>
        </w:rPr>
        <w:t>关于符合本国产品标准的声明函</w:t>
      </w:r>
      <w:bookmarkEnd w:id="58"/>
      <w:bookmarkEnd w:id="59"/>
    </w:p>
    <w:p w14:paraId="666AD05F">
      <w:pPr>
        <w:rPr>
          <w:rFonts w:ascii="宋体" w:hAnsi="宋体" w:eastAsia="宋体" w:cs="宋体"/>
          <w:sz w:val="24"/>
          <w:szCs w:val="24"/>
          <w:highlight w:val="none"/>
        </w:rPr>
      </w:pPr>
    </w:p>
    <w:p w14:paraId="5242E752">
      <w:pPr>
        <w:pStyle w:val="44"/>
        <w:spacing w:beforeAutospacing="0" w:afterAutospacing="0" w:line="360" w:lineRule="auto"/>
        <w:ind w:firstLine="480" w:firstLineChars="200"/>
        <w:jc w:val="both"/>
        <w:rPr>
          <w:rFonts w:ascii="宋体" w:hAnsi="宋体" w:eastAsia="宋体" w:cs="宋体"/>
          <w:color w:val="000000" w:themeColor="text1"/>
          <w:szCs w:val="24"/>
          <w:highlight w:val="none"/>
          <w14:textFill>
            <w14:solidFill>
              <w14:schemeClr w14:val="tx1"/>
            </w14:solidFill>
          </w14:textFill>
        </w:rPr>
      </w:pPr>
      <w:bookmarkStart w:id="60" w:name="OLE_LINK12"/>
      <w:r>
        <w:rPr>
          <w:rFonts w:hint="eastAsia" w:ascii="宋体" w:hAnsi="宋体" w:eastAsia="宋体" w:cs="宋体"/>
          <w:color w:val="000000" w:themeColor="text1"/>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59528F08">
      <w:pPr>
        <w:pStyle w:val="44"/>
        <w:spacing w:beforeAutospacing="0" w:afterAutospacing="0" w:line="360" w:lineRule="auto"/>
        <w:ind w:firstLine="480" w:firstLineChars="200"/>
        <w:jc w:val="both"/>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16" name="直接箭头连接符 16"/>
                <wp:cNvGraphicFramePr/>
                <a:graphic xmlns:a="http://schemas.openxmlformats.org/drawingml/2006/main">
                  <a:graphicData uri="http://schemas.microsoft.com/office/word/2010/wordprocessingShape">
                    <wps:wsp>
                      <wps:cNvCnPr>
                        <a:cxnSpLocks noChangeShapeType="1"/>
                      </wps:cNvCnPr>
                      <wps:spPr bwMode="auto">
                        <a:xfrm flipV="1">
                          <a:off x="0" y="0"/>
                          <a:ext cx="788035" cy="1219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3.8pt;margin-top:49.2pt;height:9.6pt;width:62.05pt;z-index:251667456;mso-width-relative:page;mso-height-relative:page;" filled="f" stroked="t" coordsize="21600,21600" o:gfxdata="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mqGfU9YAAAAJAQAADwAAAAAAAAABACAAAAAiAAAAZHJzL2Rvd25y&#10;ZXYueG1sUEsBAhQAFAAAAAgAh07iQLAEm+kAAgAAzgMAAA4AAAAAAAAAAQAgAAAAJQEAAGRycy9l&#10;Mm9Eb2MueG1sUEsFBgAAAAAGAAYAWQEAAJcFAAAAAA==&#10;">
                <v:fill on="f" focussize="0,0"/>
                <v:stroke color="#000000" joinstyle="round"/>
                <v:imagedata o:title=""/>
                <o:lock v:ext="edit" aspectratio="f"/>
              </v:shape>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28.4pt;margin-top:49.9pt;height:9.45pt;width:69pt;z-index:251661312;mso-width-relative:page;mso-height-relative:page;" filled="f" stroked="t" coordsize="21600,21600" o:gfxdata="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rgoxKNgAAAAKAQAADwAAAAAAAAABACAAAAAiAAAAZHJzL2Rvd25y&#10;ZXYueG1sUEsBAhQAFAAAAAgAh07iQH3adrz+AQAAzAMAAA4AAAAAAAAAAQAgAAAAJwEAAGRycy9l&#10;Mm9Eb2MueG1sUEsFBgAAAAAGAAYAWQEAAJcFAAAAAA==&#10;">
                <v:fill on="f" focussize="0,0"/>
                <v:stroke color="#000000" joinstyle="round"/>
                <v:imagedata o:title=""/>
                <o:lock v:ext="edit" aspectratio="f"/>
              </v:shape>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5"/>
                <wp:wrapNone/>
                <wp:docPr id="1" name="直接箭头连接符 1"/>
                <wp:cNvGraphicFramePr/>
                <a:graphic xmlns:a="http://schemas.openxmlformats.org/drawingml/2006/main">
                  <a:graphicData uri="http://schemas.microsoft.com/office/word/2010/wordprocessingShape">
                    <wps:wsp>
                      <wps:cNvCnPr>
                        <a:cxnSpLocks noChangeShapeType="1"/>
                      </wps:cNvCnPr>
                      <wps:spPr bwMode="auto">
                        <a:xfrm flipV="1">
                          <a:off x="0" y="0"/>
                          <a:ext cx="742950" cy="1143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41.85pt;margin-top:26.7pt;height:9pt;width:58.5pt;z-index:251666432;mso-width-relative:page;mso-height-relative:page;" filled="f" stroked="t" coordsize="21600,21600" o:gfxdata="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kVV1jXAAAACQEAAA8AAAAAAAAAAQAgAAAAIgAAAGRycy9kb3du&#10;cmV2LnhtbFBLAQIUABQAAAAIAIdO4kB6pzApAAIAAMwDAAAOAAAAAAAAAAEAIAAAACYBAABkcnMv&#10;ZTJvRG9jLnhtbFBLBQYAAAAABgAGAFkBAACYBQAAAAA=&#10;">
                <v:fill on="f" focussize="0,0"/>
                <v:stroke color="#000000" joinstyle="round"/>
                <v:imagedata o:title=""/>
                <o:lock v:ext="edit" aspectratio="f"/>
              </v:shape>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3"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62.95pt;margin-top:28.45pt;height:8.15pt;width:64.3pt;z-index:251660288;mso-width-relative:page;mso-height-relative:page;" filled="f" stroked="t" coordsize="21600,21600" o:gfxdata="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GoUZ9gAAAAJAQAADwAAAAAAAAABACAAAAAiAAAAZHJzL2Rvd25y&#10;ZXYueG1sUEsBAhQAFAAAAAgAh07iQOy+r8f+AQAAzAMAAA4AAAAAAAAAAQAgAAAAJwEAAGRycy9l&#10;Mm9Eb2MueG1sUEsFBgAAAAAGAAYAWQEAAJcFAAAAAA==&#10;">
                <v:fill on="f" focussize="0,0"/>
                <v:stroke color="#000000" joinstyle="round"/>
                <v:imagedata o:title=""/>
                <o:lock v:ext="edit" aspectratio="f"/>
              </v:shape>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5"/>
                <wp:wrapNone/>
                <wp:docPr id="9"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64.5pt;margin-top:28.25pt;height:6pt;width:64.3pt;z-index:251659264;mso-width-relative:page;mso-height-relative:page;" filled="f" stroked="t" coordsize="21600,21600" o:gfxdata="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TGq/LYAAAACQEAAA8AAAAAAAAAAQAgAAAAIgAAAGRycy9kb3ducmV2&#10;LnhtbFBLAQIUABQAAAAIAIdO4kCLe58Y/AEAAMsDAAAOAAAAAAAAAAEAIAAAACcBAABkcnMvZTJv&#10;RG9jLnhtbFBLBQYAAAAABgAGAFkBAACVBQAAAAA=&#10;">
                <v:fill on="f" focussize="0,0"/>
                <v:stroke color="#000000" joinstyle="round"/>
                <v:imagedata o:title=""/>
                <o:lock v:ext="edit" aspectratio="f"/>
              </v:shape>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2"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91.85pt;margin-top:3.85pt;height:7.25pt;width:45.45pt;z-index:251665408;mso-width-relative:page;mso-height-relative:page;" filled="f" stroked="t" coordsize="21600,21600" o:gfxdata="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E5T2vXAAAACAEAAA8AAAAAAAAAAQAgAAAAIgAAAGRycy9kb3ducmV2&#10;LnhtbFBLAQIUABQAAAAIAIdO4kDxbiOu/QEAAM0DAAAOAAAAAAAAAAEAIAAAACYBAABkcnMvZTJv&#10;RG9jLnhtbFBLBQYAAAAABgAGAFkBAACVBQAAAAA=&#10;">
                <v:fill on="f" focussize="0,0"/>
                <v:stroke color="#000000" joinstyle="round"/>
                <v:imagedata o:title=""/>
                <o:lock v:ext="edit" aspectratio="f"/>
              </v:shape>
            </w:pict>
          </mc:Fallback>
        </mc:AlternateContent>
      </w:r>
      <w:r>
        <w:rPr>
          <w:rFonts w:hint="eastAsia" w:ascii="宋体" w:hAnsi="宋体" w:eastAsia="宋体" w:cs="宋体"/>
          <w:color w:val="000000" w:themeColor="text1"/>
          <w:szCs w:val="24"/>
          <w:highlight w:val="none"/>
          <w:shd w:val="clear" w:color="auto" w:fill="FFFFFF"/>
          <w14:textFill>
            <w14:solidFill>
              <w14:schemeClr w14:val="tx1"/>
            </w14:solidFill>
          </w14:textFill>
        </w:rPr>
        <w:t>1.</w:t>
      </w:r>
      <w:r>
        <w:rPr>
          <w:rStyle w:val="5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（产品名称1）</w:t>
      </w:r>
      <w:r>
        <w:rPr>
          <w:rStyle w:val="5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1</w:t>
      </w:r>
      <w:r>
        <w:rPr>
          <w:rFonts w:hint="eastAsia" w:ascii="宋体" w:hAnsi="宋体" w:eastAsia="宋体" w:cs="宋体"/>
          <w:color w:val="000000" w:themeColor="text1"/>
          <w:szCs w:val="24"/>
          <w:highlight w:val="none"/>
          <w:shd w:val="clear" w:color="auto" w:fill="FFFFFF"/>
          <w14:textFill>
            <w14:solidFill>
              <w14:schemeClr w14:val="tx1"/>
            </w14:solidFill>
          </w14:textFill>
        </w:rPr>
        <w:t>，生产厂为</w:t>
      </w:r>
      <w:r>
        <w:rPr>
          <w:rStyle w:val="5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（厂名）</w:t>
      </w:r>
      <w:r>
        <w:rPr>
          <w:rStyle w:val="5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2</w:t>
      </w:r>
      <w:r>
        <w:rPr>
          <w:rFonts w:hint="eastAsia" w:ascii="宋体" w:hAnsi="宋体" w:eastAsia="宋体" w:cs="宋体"/>
          <w:color w:val="000000" w:themeColor="text1"/>
          <w:szCs w:val="24"/>
          <w:highlight w:val="none"/>
          <w:shd w:val="clear" w:color="auto" w:fill="FFFFFF"/>
          <w14:textFill>
            <w14:solidFill>
              <w14:schemeClr w14:val="tx1"/>
            </w14:solidFill>
          </w14:textFill>
        </w:rPr>
        <w:t>，厂址为</w:t>
      </w:r>
      <w:r>
        <w:rPr>
          <w:rStyle w:val="5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（生产厂址）</w:t>
      </w:r>
      <w:r>
        <w:rPr>
          <w:rFonts w:hint="eastAsia" w:ascii="宋体" w:hAnsi="宋体" w:eastAsia="宋体" w:cs="宋体"/>
          <w:color w:val="000000" w:themeColor="text1"/>
          <w:szCs w:val="24"/>
          <w:highlight w:val="none"/>
          <w:shd w:val="clear" w:color="auto" w:fill="FFFFFF"/>
          <w14:textFill>
            <w14:solidFill>
              <w14:schemeClr w14:val="tx1"/>
            </w14:solidFill>
          </w14:textFill>
        </w:rPr>
        <w:t>。</w:t>
      </w:r>
      <w:r>
        <w:rPr>
          <w:rFonts w:hint="eastAsia" w:ascii="宋体" w:hAnsi="宋体" w:eastAsia="宋体" w:cs="宋体"/>
          <w:color w:val="000000" w:themeColor="text1"/>
          <w:szCs w:val="24"/>
          <w:highlight w:val="none"/>
          <w:u w:val="single"/>
          <w:shd w:val="clear" w:color="auto" w:fill="FFFFFF"/>
          <w14:textFill>
            <w14:solidFill>
              <w14:schemeClr w14:val="tx1"/>
            </w14:solidFill>
          </w14:textFill>
        </w:rPr>
        <w:t xml:space="preserve"> </w:t>
      </w:r>
      <w:r>
        <w:rPr>
          <w:rStyle w:val="5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highlight w:val="none"/>
          <w:shd w:val="clear" w:color="auto" w:fill="FFFFFF"/>
          <w14:textFill>
            <w14:solidFill>
              <w14:schemeClr w14:val="tx1"/>
            </w14:solidFill>
          </w14:textFill>
        </w:rPr>
        <w:t>的中国境内生产的组件成本占比≥</w:t>
      </w:r>
      <w:r>
        <w:rPr>
          <w:rStyle w:val="5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（规定比例）</w:t>
      </w:r>
      <w:r>
        <w:rPr>
          <w:rStyle w:val="5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3</w:t>
      </w:r>
      <w:r>
        <w:rPr>
          <w:rFonts w:hint="eastAsia" w:ascii="宋体" w:hAnsi="宋体" w:eastAsia="宋体" w:cs="宋体"/>
          <w:color w:val="000000" w:themeColor="text1"/>
          <w:szCs w:val="24"/>
          <w:highlight w:val="none"/>
          <w:shd w:val="clear" w:color="auto" w:fill="FFFFFF"/>
          <w14:textFill>
            <w14:solidFill>
              <w14:schemeClr w14:val="tx1"/>
            </w14:solidFill>
          </w14:textFill>
        </w:rPr>
        <w:t>。</w:t>
      </w:r>
      <w:r>
        <w:rPr>
          <w:rStyle w:val="5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的</w:t>
      </w:r>
      <w:r>
        <w:rPr>
          <w:rStyle w:val="5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（关键组件）</w:t>
      </w:r>
      <w:r>
        <w:rPr>
          <w:rStyle w:val="5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4</w:t>
      </w:r>
      <w:r>
        <w:rPr>
          <w:rFonts w:hint="eastAsia" w:ascii="宋体" w:hAnsi="宋体" w:eastAsia="宋体" w:cs="宋体"/>
          <w:color w:val="000000" w:themeColor="text1"/>
          <w:szCs w:val="24"/>
          <w:highlight w:val="none"/>
          <w:shd w:val="clear" w:color="auto" w:fill="FFFFFF"/>
          <w14:textFill>
            <w14:solidFill>
              <w14:schemeClr w14:val="tx1"/>
            </w14:solidFill>
          </w14:textFill>
        </w:rPr>
        <w:t>在中国境内生产。</w:t>
      </w:r>
      <w:r>
        <w:rPr>
          <w:rStyle w:val="5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的</w:t>
      </w:r>
      <w:r>
        <w:rPr>
          <w:rStyle w:val="5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（关键工序）</w:t>
      </w:r>
      <w:r>
        <w:rPr>
          <w:rStyle w:val="5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5</w:t>
      </w:r>
      <w:r>
        <w:rPr>
          <w:rFonts w:hint="eastAsia" w:ascii="宋体" w:hAnsi="宋体" w:eastAsia="宋体" w:cs="宋体"/>
          <w:color w:val="000000" w:themeColor="text1"/>
          <w:szCs w:val="24"/>
          <w:highlight w:val="none"/>
          <w:shd w:val="clear" w:color="auto" w:fill="FFFFFF"/>
          <w14:textFill>
            <w14:solidFill>
              <w14:schemeClr w14:val="tx1"/>
            </w14:solidFill>
          </w14:textFill>
        </w:rPr>
        <w:t>在中国境内完成。</w:t>
      </w:r>
    </w:p>
    <w:p w14:paraId="242442EA">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20" name="直接箭头连接符 20"/>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93.05pt;margin-top:49.15pt;height:11.1pt;width:71.55pt;z-index:251664384;mso-width-relative:page;mso-height-relative:page;" filled="f" stroked="t" coordsize="21600,21600" o:gfxdata="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1vNStcAAAAKAQAADwAAAAAAAAABACAAAAAiAAAAZHJzL2Rvd25y&#10;ZXYueG1sUEsBAhQAFAAAAAgAh07iQHd5Ftj/AQAAzgMAAA4AAAAAAAAAAQAgAAAAJgEAAGRycy9l&#10;Mm9Eb2MueG1sUEsFBgAAAAAGAAYAWQEAAJcFA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806450" cy="1073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9.1pt;margin-top:49.15pt;height:8.45pt;width:63.5pt;mso-position-horizontal-relative:margin;z-index:251670528;mso-width-relative:page;mso-height-relative:page;" filled="f" stroked="t" coordsize="21600,21600" o:gfxdata="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RIOQr1AAAAAkBAAAPAAAAAAAAAAEAIAAAACIAAABkcnMvZG93bnJldi54&#10;bWxQSwECFAAUAAAACACHTuJAsPshOP4BAADMAwAADgAAAAAAAAABACAAAAAjAQAAZHJzL2Uyb0Rv&#10;Yy54bWxQSwUGAAAAAAYABgBZAQAAkwU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7" name="直接箭头连接符 17"/>
                <wp:cNvGraphicFramePr/>
                <a:graphic xmlns:a="http://schemas.openxmlformats.org/drawingml/2006/main">
                  <a:graphicData uri="http://schemas.microsoft.com/office/word/2010/wordprocessingShape">
                    <wps:wsp>
                      <wps:cNvCnPr>
                        <a:cxnSpLocks noChangeShapeType="1"/>
                      </wps:cNvCnPr>
                      <wps:spPr bwMode="auto">
                        <a:xfrm flipV="1">
                          <a:off x="0" y="0"/>
                          <a:ext cx="751205"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18.7pt;margin-top:26.65pt;height:9.45pt;width:59.15pt;z-index:251669504;mso-width-relative:page;mso-height-relative:page;" filled="f" stroked="t" coordsize="21600,21600" o:gfxdata="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W6ord2AAAAAkBAAAPAAAAAAAAAAEAIAAAACIAAABkcnMvZG93bnJl&#10;di54bWxQSwECFAAUAAAACACHTuJAtG2Hef0BAADOAwAADgAAAAAAAAABACAAAAAnAQAAZHJzL2Uy&#10;b0RvYy54bWxQSwUGAAAAAAYABgBZAQAAlgU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8" name="直接箭头连接符 18"/>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5.3pt;margin-top:27.85pt;height:9.45pt;width:66.9pt;z-index:251663360;mso-width-relative:page;mso-height-relative:page;" filled="f" stroked="t" coordsize="21600,21600" o:gfxdata="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s2GDt1wAAAAkBAAAPAAAAAAAAAAEAIAAAACIAAABkcnMvZG93bnJl&#10;di54bWxQSwECFAAUAAAACACHTuJAdpNvHv4BAADOAwAADgAAAAAAAAABACAAAAAmAQAAZHJzL2Uy&#10;b0RvYy54bWxQSwUGAAAAAAYABgBZAQAAlgU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9" name="直接箭头连接符 19"/>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38.15pt;margin-top:26.75pt;height:9.9pt;width:66.45pt;z-index:251662336;mso-width-relative:page;mso-height-relative:page;" filled="f" stroked="t" coordsize="21600,21600" o:gfxdata="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5Y+/dgAAAAJAQAADwAAAAAAAAABACAAAAAiAAAAZHJzL2Rv&#10;d25yZXYueG1sUEsBAhQAFAAAAAgAh07iQAf+F50BAgAAzgMAAA4AAAAAAAAAAQAgAAAAJwEAAGRy&#10;cy9lMm9Eb2MueG1sUEsFBgAAAAAGAAYAWQEAAJoFA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21" name="直接箭头连接符 21"/>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5.95pt;margin-top:4.7pt;height:7.7pt;width:56.55pt;z-index:251668480;mso-width-relative:page;mso-height-relative:page;" filled="f" stroked="t" coordsize="21600,21600" o:gfxdata="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AOce3XAAAACAEAAA8AAAAAAAAAAQAgAAAAIgAAAGRycy9kb3du&#10;cmV2LnhtbFBLAQIUABQAAAAIAIdO4kCjUml6AAIAAM0DAAAOAAAAAAAAAAEAIAAAACYBAABkcnMv&#10;ZTJvRG9jLnhtbFBLBQYAAAAABgAGAFkBAACYBQAAAAA=&#10;">
                <v:fill on="f" focussize="0,0"/>
                <v:stroke color="#000000" joinstyle="round"/>
                <v:imagedata o:title=""/>
                <o:lock v:ext="edit" aspectratio="f"/>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2.</w:t>
      </w:r>
      <w:r>
        <w:rPr>
          <w:rStyle w:val="56"/>
          <w:rFonts w:hint="eastAsia" w:ascii="宋体" w:hAnsi="宋体" w:eastAsia="宋体" w:cs="宋体"/>
          <w:i w:val="0"/>
          <w:color w:val="000000" w:themeColor="text1"/>
          <w:sz w:val="24"/>
          <w:szCs w:val="24"/>
          <w:highlight w:val="none"/>
          <w:u w:val="single"/>
          <w14:textFill>
            <w14:solidFill>
              <w14:schemeClr w14:val="tx1"/>
            </w14:solidFill>
          </w14:textFill>
        </w:rPr>
        <w:t>（产品名称2）</w:t>
      </w:r>
      <w:r>
        <w:rPr>
          <w:rFonts w:hint="eastAsia" w:ascii="宋体" w:hAnsi="宋体" w:eastAsia="宋体" w:cs="宋体"/>
          <w:color w:val="000000" w:themeColor="text1"/>
          <w:sz w:val="24"/>
          <w:szCs w:val="24"/>
          <w:highlight w:val="none"/>
          <w14:textFill>
            <w14:solidFill>
              <w14:schemeClr w14:val="tx1"/>
            </w14:solidFill>
          </w14:textFill>
        </w:rPr>
        <w:t>，生产厂为</w:t>
      </w:r>
      <w:r>
        <w:rPr>
          <w:rStyle w:val="56"/>
          <w:rFonts w:hint="eastAsia" w:ascii="宋体" w:hAnsi="宋体" w:eastAsia="宋体" w:cs="宋体"/>
          <w:i w:val="0"/>
          <w:color w:val="000000" w:themeColor="text1"/>
          <w:sz w:val="24"/>
          <w:szCs w:val="24"/>
          <w:highlight w:val="none"/>
          <w:u w:val="single"/>
          <w14:textFill>
            <w14:solidFill>
              <w14:schemeClr w14:val="tx1"/>
            </w14:solidFill>
          </w14:textFill>
        </w:rPr>
        <w:t>（厂名）</w:t>
      </w:r>
      <w:r>
        <w:rPr>
          <w:rFonts w:hint="eastAsia" w:ascii="宋体" w:hAnsi="宋体" w:eastAsia="宋体" w:cs="宋体"/>
          <w:color w:val="000000" w:themeColor="text1"/>
          <w:sz w:val="24"/>
          <w:szCs w:val="24"/>
          <w:highlight w:val="none"/>
          <w14:textFill>
            <w14:solidFill>
              <w14:schemeClr w14:val="tx1"/>
            </w14:solidFill>
          </w14:textFill>
        </w:rPr>
        <w:t>，厂址为</w:t>
      </w:r>
      <w:r>
        <w:rPr>
          <w:rStyle w:val="56"/>
          <w:rFonts w:hint="eastAsia" w:ascii="宋体" w:hAnsi="宋体" w:eastAsia="宋体" w:cs="宋体"/>
          <w:i w:val="0"/>
          <w:color w:val="000000" w:themeColor="text1"/>
          <w:sz w:val="24"/>
          <w:szCs w:val="24"/>
          <w:highlight w:val="none"/>
          <w:u w:val="single"/>
          <w14:textFill>
            <w14:solidFill>
              <w14:schemeClr w14:val="tx1"/>
            </w14:solidFill>
          </w14:textFill>
        </w:rPr>
        <w:t>（生产厂址）</w:t>
      </w:r>
      <w:r>
        <w:rPr>
          <w:rFonts w:hint="eastAsia" w:ascii="宋体" w:hAnsi="宋体" w:eastAsia="宋体" w:cs="宋体"/>
          <w:color w:val="000000" w:themeColor="text1"/>
          <w:sz w:val="24"/>
          <w:szCs w:val="24"/>
          <w:highlight w:val="none"/>
          <w14:textFill>
            <w14:solidFill>
              <w14:schemeClr w14:val="tx1"/>
            </w14:solidFill>
          </w14:textFill>
        </w:rPr>
        <w:t>。</w:t>
      </w:r>
      <w:r>
        <w:rPr>
          <w:rStyle w:val="56"/>
          <w:rFonts w:hint="eastAsia" w:ascii="宋体" w:hAnsi="宋体" w:eastAsia="宋体" w:cs="宋体"/>
          <w:i w:val="0"/>
          <w:color w:val="000000" w:themeColor="text1"/>
          <w:sz w:val="24"/>
          <w:szCs w:val="24"/>
          <w:highlight w:val="none"/>
          <w:u w:val="single"/>
          <w14:textFill>
            <w14:solidFill>
              <w14:schemeClr w14:val="tx1"/>
            </w14:solidFill>
          </w14:textFill>
        </w:rPr>
        <w:t>（产品名称2）</w:t>
      </w:r>
      <w:r>
        <w:rPr>
          <w:rFonts w:hint="eastAsia" w:ascii="宋体" w:hAnsi="宋体" w:eastAsia="宋体" w:cs="宋体"/>
          <w:color w:val="000000" w:themeColor="text1"/>
          <w:sz w:val="24"/>
          <w:szCs w:val="24"/>
          <w:highlight w:val="none"/>
          <w14:textFill>
            <w14:solidFill>
              <w14:schemeClr w14:val="tx1"/>
            </w14:solidFill>
          </w14:textFill>
        </w:rPr>
        <w:t>的中国境内生产的组件成本占比≥</w:t>
      </w:r>
      <w:r>
        <w:rPr>
          <w:rStyle w:val="56"/>
          <w:rFonts w:hint="eastAsia" w:ascii="宋体" w:hAnsi="宋体" w:eastAsia="宋体" w:cs="宋体"/>
          <w:i w:val="0"/>
          <w:color w:val="000000" w:themeColor="text1"/>
          <w:sz w:val="24"/>
          <w:szCs w:val="24"/>
          <w:highlight w:val="none"/>
          <w:u w:val="single"/>
          <w14:textFill>
            <w14:solidFill>
              <w14:schemeClr w14:val="tx1"/>
            </w14:solidFill>
          </w14:textFill>
        </w:rPr>
        <w:t>（规定比例）</w:t>
      </w:r>
      <w:r>
        <w:rPr>
          <w:rFonts w:hint="eastAsia" w:ascii="宋体" w:hAnsi="宋体" w:eastAsia="宋体" w:cs="宋体"/>
          <w:color w:val="000000" w:themeColor="text1"/>
          <w:sz w:val="24"/>
          <w:szCs w:val="24"/>
          <w:highlight w:val="none"/>
          <w14:textFill>
            <w14:solidFill>
              <w14:schemeClr w14:val="tx1"/>
            </w14:solidFill>
          </w14:textFill>
        </w:rPr>
        <w:t>。</w:t>
      </w:r>
      <w:r>
        <w:rPr>
          <w:rStyle w:val="56"/>
          <w:rFonts w:hint="eastAsia" w:ascii="宋体" w:hAnsi="宋体" w:eastAsia="宋体" w:cs="宋体"/>
          <w:i w:val="0"/>
          <w:color w:val="000000" w:themeColor="text1"/>
          <w:sz w:val="24"/>
          <w:szCs w:val="24"/>
          <w:highlight w:val="none"/>
          <w:u w:val="single"/>
          <w14:textFill>
            <w14:solidFill>
              <w14:schemeClr w14:val="tx1"/>
            </w14:solidFill>
          </w14:textFill>
        </w:rPr>
        <w:t>（产品名称2）</w:t>
      </w:r>
      <w:r>
        <w:rPr>
          <w:rFonts w:hint="eastAsia" w:ascii="宋体" w:hAnsi="宋体" w:eastAsia="宋体" w:cs="宋体"/>
          <w:color w:val="000000" w:themeColor="text1"/>
          <w:sz w:val="24"/>
          <w:szCs w:val="24"/>
          <w:highlight w:val="none"/>
          <w14:textFill>
            <w14:solidFill>
              <w14:schemeClr w14:val="tx1"/>
            </w14:solidFill>
          </w14:textFill>
        </w:rPr>
        <w:t>的</w:t>
      </w:r>
      <w:r>
        <w:rPr>
          <w:rStyle w:val="56"/>
          <w:rFonts w:hint="eastAsia" w:ascii="宋体" w:hAnsi="宋体" w:eastAsia="宋体" w:cs="宋体"/>
          <w:i w:val="0"/>
          <w:color w:val="000000" w:themeColor="text1"/>
          <w:sz w:val="24"/>
          <w:szCs w:val="24"/>
          <w:highlight w:val="none"/>
          <w:u w:val="single"/>
          <w14:textFill>
            <w14:solidFill>
              <w14:schemeClr w14:val="tx1"/>
            </w14:solidFill>
          </w14:textFill>
        </w:rPr>
        <w:t>（关键组件）</w:t>
      </w:r>
      <w:r>
        <w:rPr>
          <w:rFonts w:hint="eastAsia" w:ascii="宋体" w:hAnsi="宋体" w:eastAsia="宋体" w:cs="宋体"/>
          <w:color w:val="000000" w:themeColor="text1"/>
          <w:sz w:val="24"/>
          <w:szCs w:val="24"/>
          <w:highlight w:val="none"/>
          <w14:textFill>
            <w14:solidFill>
              <w14:schemeClr w14:val="tx1"/>
            </w14:solidFill>
          </w14:textFill>
        </w:rPr>
        <w:t>在中国境内生产。</w:t>
      </w:r>
      <w:r>
        <w:rPr>
          <w:rStyle w:val="56"/>
          <w:rFonts w:hint="eastAsia" w:ascii="宋体" w:hAnsi="宋体" w:eastAsia="宋体" w:cs="宋体"/>
          <w:i w:val="0"/>
          <w:color w:val="000000" w:themeColor="text1"/>
          <w:sz w:val="24"/>
          <w:szCs w:val="24"/>
          <w:highlight w:val="none"/>
          <w:u w:val="single"/>
          <w14:textFill>
            <w14:solidFill>
              <w14:schemeClr w14:val="tx1"/>
            </w14:solidFill>
          </w14:textFill>
        </w:rPr>
        <w:t>（产品名称2）</w:t>
      </w:r>
      <w:r>
        <w:rPr>
          <w:rFonts w:hint="eastAsia" w:ascii="宋体" w:hAnsi="宋体" w:eastAsia="宋体" w:cs="宋体"/>
          <w:color w:val="000000" w:themeColor="text1"/>
          <w:sz w:val="24"/>
          <w:szCs w:val="24"/>
          <w:highlight w:val="none"/>
          <w14:textFill>
            <w14:solidFill>
              <w14:schemeClr w14:val="tx1"/>
            </w14:solidFill>
          </w14:textFill>
        </w:rPr>
        <w:t>的</w:t>
      </w:r>
      <w:r>
        <w:rPr>
          <w:rStyle w:val="56"/>
          <w:rFonts w:hint="eastAsia" w:ascii="宋体" w:hAnsi="宋体" w:eastAsia="宋体" w:cs="宋体"/>
          <w:i w:val="0"/>
          <w:color w:val="000000" w:themeColor="text1"/>
          <w:sz w:val="24"/>
          <w:szCs w:val="24"/>
          <w:highlight w:val="none"/>
          <w:u w:val="single"/>
          <w14:textFill>
            <w14:solidFill>
              <w14:schemeClr w14:val="tx1"/>
            </w14:solidFill>
          </w14:textFill>
        </w:rPr>
        <w:t>（关键工序）</w:t>
      </w:r>
      <w:r>
        <w:rPr>
          <w:rFonts w:hint="eastAsia" w:ascii="宋体" w:hAnsi="宋体" w:eastAsia="宋体" w:cs="宋体"/>
          <w:color w:val="000000" w:themeColor="text1"/>
          <w:sz w:val="24"/>
          <w:szCs w:val="24"/>
          <w:highlight w:val="none"/>
          <w14:textFill>
            <w14:solidFill>
              <w14:schemeClr w14:val="tx1"/>
            </w14:solidFill>
          </w14:textFill>
        </w:rPr>
        <w:t>在中国境内完成。</w:t>
      </w:r>
    </w:p>
    <w:p w14:paraId="50501CE4">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w:t>
      </w:r>
    </w:p>
    <w:p w14:paraId="09AFA5EC">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__________________</w:t>
      </w:r>
    </w:p>
    <w:p w14:paraId="47EB32D2">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1.产品如有型号，请在“产品名称”栏一并填写。</w:t>
      </w:r>
    </w:p>
    <w:p w14:paraId="75448BC5">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2.生产厂址应与生产厂营业执照载明的相关信息保持一致。</w:t>
      </w:r>
      <w:bookmarkStart w:id="61" w:name="OLE_LINK11"/>
    </w:p>
    <w:p w14:paraId="0ABDD928">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3.该产品的中国境内生产的组件成本占比相关要求实施前，“规定比例”栏可不填，下同</w:t>
      </w:r>
      <w:bookmarkEnd w:id="61"/>
      <w:r>
        <w:rPr>
          <w:rFonts w:hint="eastAsia" w:ascii="宋体" w:hAnsi="宋体" w:eastAsia="宋体" w:cs="宋体"/>
          <w:sz w:val="24"/>
          <w:szCs w:val="24"/>
          <w:highlight w:val="none"/>
          <w:lang w:val="zh-CN"/>
        </w:rPr>
        <w:t>。</w:t>
      </w:r>
    </w:p>
    <w:p w14:paraId="01F0E0A3">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4.该产品的关键组件要求实施前，“关键组件”栏可不填，下同。</w:t>
      </w:r>
    </w:p>
    <w:p w14:paraId="0E29F39F">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5.该产品的关键工序要求实施前，“关键工序”栏可不填，下同。</w:t>
      </w:r>
    </w:p>
    <w:p w14:paraId="4C2FFC0F">
      <w:pPr>
        <w:pStyle w:val="44"/>
        <w:spacing w:before="0" w:beforeAutospacing="0" w:after="0" w:afterAutospacing="0" w:line="360" w:lineRule="auto"/>
        <w:ind w:firstLine="480" w:firstLineChars="200"/>
        <w:jc w:val="both"/>
        <w:rPr>
          <w:rFonts w:ascii="宋体" w:hAnsi="宋体" w:eastAsia="宋体" w:cs="宋体"/>
          <w:color w:val="000000" w:themeColor="text1"/>
          <w:szCs w:val="24"/>
          <w:highlight w:val="none"/>
          <w:shd w:val="clear" w:color="auto" w:fill="FFFFFF"/>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6.用斜线划除的地方无需填写。</w:t>
      </w:r>
    </w:p>
    <w:p w14:paraId="6A0F9951">
      <w:pPr>
        <w:pStyle w:val="15"/>
        <w:rPr>
          <w:rFonts w:ascii="宋体" w:hAnsi="宋体" w:eastAsia="宋体" w:cs="宋体"/>
          <w:highlight w:val="none"/>
        </w:rPr>
      </w:pPr>
    </w:p>
    <w:p w14:paraId="1B5989FA">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本公司（单位）对上述声明内容的真实性负责。如有虚假，愿承担相应法律责任。</w:t>
      </w:r>
    </w:p>
    <w:p w14:paraId="76B803C0">
      <w:pPr>
        <w:spacing w:line="360" w:lineRule="auto"/>
        <w:ind w:firstLine="480" w:firstLineChars="200"/>
        <w:rPr>
          <w:rFonts w:ascii="宋体" w:hAnsi="宋体" w:eastAsia="宋体" w:cs="宋体"/>
          <w:sz w:val="24"/>
          <w:szCs w:val="24"/>
          <w:highlight w:val="none"/>
          <w:lang w:val="zh-CN"/>
        </w:rPr>
      </w:pPr>
    </w:p>
    <w:p w14:paraId="59D348EF">
      <w:pPr>
        <w:spacing w:line="360" w:lineRule="auto"/>
        <w:ind w:firstLine="4394" w:firstLineChars="1831"/>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公司（单位）名称（盖章）：</w:t>
      </w:r>
    </w:p>
    <w:p w14:paraId="3D28D388">
      <w:pPr>
        <w:spacing w:line="360" w:lineRule="auto"/>
        <w:ind w:firstLine="4394" w:firstLineChars="1831"/>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日 期：       年     月     日</w:t>
      </w:r>
      <w:bookmarkEnd w:id="60"/>
    </w:p>
    <w:p w14:paraId="425EDC45">
      <w:pPr>
        <w:pStyle w:val="15"/>
        <w:rPr>
          <w:rFonts w:ascii="宋体" w:hAnsi="宋体" w:eastAsia="宋体" w:cs="宋体"/>
          <w:sz w:val="24"/>
          <w:highlight w:val="none"/>
          <w:lang w:val="zh-CN"/>
        </w:rPr>
      </w:pPr>
      <w:r>
        <w:rPr>
          <w:rFonts w:hint="eastAsia" w:ascii="宋体" w:hAnsi="宋体" w:eastAsia="宋体" w:cs="宋体"/>
          <w:sz w:val="24"/>
          <w:highlight w:val="none"/>
          <w:lang w:val="zh-CN"/>
        </w:rPr>
        <w:br w:type="page"/>
      </w:r>
    </w:p>
    <w:p w14:paraId="69954E8C">
      <w:pPr>
        <w:overflowPunct w:val="0"/>
        <w:spacing w:line="360" w:lineRule="auto"/>
        <w:textAlignment w:val="baseline"/>
        <w:outlineLvl w:val="2"/>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t>（4）关于本国产品成本占比的声明函（采购项目含有多种产品时适用）</w:t>
      </w:r>
    </w:p>
    <w:p w14:paraId="41A06C24">
      <w:pPr>
        <w:spacing w:line="360" w:lineRule="auto"/>
        <w:ind w:firstLine="200"/>
        <w:rPr>
          <w:rFonts w:ascii="宋体" w:hAnsi="宋体" w:eastAsia="宋体" w:cs="宋体"/>
          <w:sz w:val="24"/>
          <w:szCs w:val="24"/>
          <w:highlight w:val="none"/>
        </w:rPr>
      </w:pPr>
    </w:p>
    <w:p w14:paraId="48C0EAA4">
      <w:pPr>
        <w:jc w:val="cente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关于本国产品成本占比的声明函</w:t>
      </w:r>
    </w:p>
    <w:p w14:paraId="6A9598C3">
      <w:pPr>
        <w:rPr>
          <w:rFonts w:ascii="宋体" w:hAnsi="宋体" w:eastAsia="宋体" w:cs="宋体"/>
          <w:sz w:val="24"/>
          <w:szCs w:val="24"/>
          <w:highlight w:val="none"/>
          <w:lang w:val="zh-CN"/>
        </w:rPr>
      </w:pPr>
    </w:p>
    <w:p w14:paraId="70801066">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本公司（</w:t>
      </w:r>
      <w:r>
        <w:rPr>
          <w:rFonts w:hint="eastAsia" w:ascii="宋体" w:hAnsi="宋体" w:eastAsia="宋体" w:cs="宋体"/>
          <w:sz w:val="24"/>
          <w:szCs w:val="24"/>
          <w:highlight w:val="none"/>
        </w:rPr>
        <w:t>单位</w:t>
      </w:r>
      <w:r>
        <w:rPr>
          <w:rFonts w:hint="eastAsia" w:ascii="宋体" w:hAnsi="宋体" w:eastAsia="宋体" w:cs="宋体"/>
          <w:sz w:val="24"/>
          <w:szCs w:val="24"/>
          <w:highlight w:val="none"/>
          <w:lang w:val="zh-CN"/>
        </w:rPr>
        <w:t>）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w:t>
      </w:r>
    </w:p>
    <w:p w14:paraId="1BCCC0A4">
      <w:pPr>
        <w:spacing w:line="360" w:lineRule="auto"/>
        <w:ind w:firstLine="480" w:firstLineChars="200"/>
        <w:rPr>
          <w:rFonts w:ascii="宋体" w:hAnsi="宋体" w:eastAsia="宋体" w:cs="宋体"/>
          <w:sz w:val="24"/>
          <w:szCs w:val="24"/>
          <w:highlight w:val="none"/>
        </w:rPr>
      </w:pPr>
    </w:p>
    <w:p w14:paraId="3FFCEDE3">
      <w:pPr>
        <w:spacing w:line="360" w:lineRule="auto"/>
        <w:ind w:firstLine="480" w:firstLineChars="200"/>
        <w:rPr>
          <w:rFonts w:ascii="宋体" w:hAnsi="宋体" w:eastAsia="宋体" w:cs="宋体"/>
          <w:sz w:val="24"/>
          <w:szCs w:val="24"/>
          <w:highlight w:val="none"/>
        </w:rPr>
      </w:pPr>
    </w:p>
    <w:p w14:paraId="0A43919F">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本公司（单位）对上表内容的真实性负责。如有虚假，愿承担相应法律责任。</w:t>
      </w:r>
    </w:p>
    <w:p w14:paraId="30FC4AB3">
      <w:pPr>
        <w:rPr>
          <w:rFonts w:ascii="宋体" w:hAnsi="宋体" w:eastAsia="宋体" w:cs="宋体"/>
          <w:sz w:val="24"/>
          <w:szCs w:val="24"/>
          <w:highlight w:val="none"/>
          <w:lang w:val="zh-CN"/>
        </w:rPr>
      </w:pPr>
    </w:p>
    <w:p w14:paraId="0C8333FD">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公司（单位）名称（盖章）：</w:t>
      </w:r>
    </w:p>
    <w:p w14:paraId="07903972">
      <w:pPr>
        <w:rPr>
          <w:rFonts w:ascii="宋体" w:hAnsi="宋体" w:eastAsia="宋体" w:cs="宋体"/>
          <w:sz w:val="24"/>
          <w:highlight w:val="none"/>
        </w:rPr>
      </w:pPr>
      <w:r>
        <w:rPr>
          <w:rFonts w:hint="eastAsia" w:ascii="宋体" w:hAnsi="宋体" w:eastAsia="宋体" w:cs="宋体"/>
          <w:sz w:val="24"/>
          <w:highlight w:val="none"/>
        </w:rPr>
        <w:t>日 期：       年     月     日</w:t>
      </w:r>
    </w:p>
    <w:p w14:paraId="3FC239E7">
      <w:pPr>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br w:type="page"/>
      </w:r>
    </w:p>
    <w:p w14:paraId="3AB1B6E5">
      <w:pPr>
        <w:overflowPunct w:val="0"/>
        <w:spacing w:line="360" w:lineRule="auto"/>
        <w:textAlignment w:val="baseline"/>
        <w:outlineLvl w:val="2"/>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t>（5）中小企业声明函</w:t>
      </w:r>
    </w:p>
    <w:p w14:paraId="21A921A7">
      <w:pPr>
        <w:autoSpaceDE w:val="0"/>
        <w:autoSpaceDN w:val="0"/>
        <w:spacing w:line="360" w:lineRule="auto"/>
        <w:jc w:val="center"/>
        <w:rPr>
          <w:rFonts w:ascii="宋体" w:hAnsi="宋体" w:eastAsia="宋体" w:cs="宋体"/>
          <w:sz w:val="24"/>
          <w:szCs w:val="24"/>
          <w:highlight w:val="none"/>
          <w:shd w:val="clear" w:color="auto" w:fill="FFFFFF"/>
        </w:rPr>
      </w:pPr>
    </w:p>
    <w:p w14:paraId="40CA769B">
      <w:pPr>
        <w:autoSpaceDE w:val="0"/>
        <w:autoSpaceDN w:val="0"/>
        <w:adjustRightInd w:val="0"/>
        <w:spacing w:line="360" w:lineRule="auto"/>
        <w:ind w:firstLine="482" w:firstLineChars="200"/>
        <w:jc w:val="center"/>
        <w:rPr>
          <w:rFonts w:ascii="宋体" w:hAnsi="宋体" w:eastAsia="宋体" w:cs="宋体"/>
          <w:b/>
          <w:kern w:val="0"/>
          <w:sz w:val="24"/>
          <w:szCs w:val="24"/>
          <w:highlight w:val="none"/>
          <w:shd w:val="clear" w:color="auto" w:fill="FFFFFF"/>
        </w:rPr>
      </w:pPr>
      <w:r>
        <w:rPr>
          <w:rFonts w:hint="eastAsia" w:ascii="宋体" w:hAnsi="宋体" w:eastAsia="宋体" w:cs="宋体"/>
          <w:b/>
          <w:kern w:val="0"/>
          <w:sz w:val="24"/>
          <w:szCs w:val="24"/>
          <w:highlight w:val="none"/>
          <w:shd w:val="clear" w:color="auto" w:fill="FFFFFF"/>
        </w:rPr>
        <w:t>中小企业声明函（服务）</w:t>
      </w:r>
    </w:p>
    <w:p w14:paraId="1F52688D">
      <w:pPr>
        <w:spacing w:line="360" w:lineRule="auto"/>
        <w:ind w:left="570"/>
        <w:rPr>
          <w:rFonts w:ascii="宋体" w:hAnsi="宋体" w:eastAsia="宋体" w:cs="宋体"/>
          <w:sz w:val="24"/>
          <w:szCs w:val="20"/>
          <w:highlight w:val="none"/>
          <w:shd w:val="clear" w:color="auto" w:fill="FFFFFF"/>
        </w:rPr>
      </w:pPr>
    </w:p>
    <w:p w14:paraId="66229ADA">
      <w:pPr>
        <w:autoSpaceDE w:val="0"/>
        <w:autoSpaceDN w:val="0"/>
        <w:adjustRightInd w:val="0"/>
        <w:spacing w:line="360" w:lineRule="auto"/>
        <w:ind w:firstLine="480" w:firstLineChars="200"/>
        <w:jc w:val="left"/>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本公司（联合体）郑重声明，根据《政府采购促进中小企业发展管理办法》（财库﹝2020﹞46号）的规定，本公司（联合体）参加</w:t>
      </w:r>
      <w:r>
        <w:rPr>
          <w:rFonts w:hint="eastAsia" w:ascii="宋体" w:hAnsi="宋体" w:eastAsia="宋体" w:cs="宋体"/>
          <w:sz w:val="24"/>
          <w:szCs w:val="20"/>
          <w:highlight w:val="none"/>
          <w:u w:val="single"/>
          <w:shd w:val="clear" w:color="auto" w:fill="FFFFFF"/>
        </w:rPr>
        <w:t>（单位名称）</w:t>
      </w:r>
      <w:r>
        <w:rPr>
          <w:rFonts w:hint="eastAsia" w:ascii="宋体" w:hAnsi="宋体" w:eastAsia="宋体" w:cs="宋体"/>
          <w:sz w:val="24"/>
          <w:szCs w:val="20"/>
          <w:highlight w:val="none"/>
          <w:shd w:val="clear" w:color="auto" w:fill="FFFFFF"/>
        </w:rPr>
        <w:t>的</w:t>
      </w:r>
      <w:r>
        <w:rPr>
          <w:rFonts w:hint="eastAsia" w:ascii="宋体" w:hAnsi="宋体" w:eastAsia="宋体" w:cs="宋体"/>
          <w:sz w:val="24"/>
          <w:szCs w:val="20"/>
          <w:highlight w:val="none"/>
          <w:u w:val="single"/>
          <w:shd w:val="clear" w:color="auto" w:fill="FFFFFF"/>
        </w:rPr>
        <w:t>（项目名称）</w:t>
      </w:r>
      <w:r>
        <w:rPr>
          <w:rFonts w:hint="eastAsia" w:ascii="宋体" w:hAnsi="宋体" w:eastAsia="宋体" w:cs="宋体"/>
          <w:sz w:val="24"/>
          <w:szCs w:val="20"/>
          <w:highlight w:val="none"/>
          <w:shd w:val="clear" w:color="auto" w:fill="FFFFFF"/>
        </w:rPr>
        <w:t>采购活动，服务全部由符合政策要求的中小企业承接。相关企业（含联合体中的中小企业、签订分包意向协议的中小企业）的具体情况如下：</w:t>
      </w:r>
    </w:p>
    <w:p w14:paraId="6325094B">
      <w:pPr>
        <w:numPr>
          <w:ilvl w:val="0"/>
          <w:numId w:val="3"/>
        </w:numPr>
        <w:autoSpaceDE w:val="0"/>
        <w:autoSpaceDN w:val="0"/>
        <w:adjustRightInd w:val="0"/>
        <w:spacing w:line="360" w:lineRule="auto"/>
        <w:ind w:firstLine="480" w:firstLineChars="200"/>
        <w:jc w:val="left"/>
        <w:rPr>
          <w:rFonts w:ascii="宋体" w:hAnsi="宋体" w:eastAsia="宋体" w:cs="宋体"/>
          <w:sz w:val="24"/>
          <w:szCs w:val="20"/>
          <w:highlight w:val="none"/>
          <w:shd w:val="clear" w:color="auto" w:fill="FFFFFF"/>
        </w:rPr>
      </w:pPr>
      <w:r>
        <w:rPr>
          <w:rFonts w:hint="eastAsia" w:ascii="宋体" w:hAnsi="宋体" w:eastAsia="宋体" w:cs="宋体"/>
          <w:sz w:val="24"/>
          <w:szCs w:val="24"/>
          <w:highlight w:val="none"/>
          <w:u w:val="single"/>
        </w:rPr>
        <w:t>标的名称</w:t>
      </w:r>
      <w:r>
        <w:rPr>
          <w:rFonts w:hint="eastAsia" w:ascii="宋体" w:hAnsi="宋体" w:eastAsia="宋体" w:cs="宋体"/>
          <w:b/>
          <w:sz w:val="24"/>
          <w:szCs w:val="20"/>
          <w:highlight w:val="none"/>
          <w:u w:val="single"/>
          <w:shd w:val="clear" w:color="auto" w:fill="FFFFFF"/>
        </w:rPr>
        <w:t>，</w:t>
      </w:r>
      <w:r>
        <w:rPr>
          <w:rFonts w:hint="eastAsia" w:ascii="宋体" w:hAnsi="宋体" w:eastAsia="宋体" w:cs="宋体"/>
          <w:sz w:val="24"/>
          <w:szCs w:val="20"/>
          <w:highlight w:val="none"/>
          <w:shd w:val="clear" w:color="auto" w:fill="FFFFFF"/>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0"/>
          <w:highlight w:val="none"/>
          <w:shd w:val="clear" w:color="auto" w:fill="FFFFFF"/>
        </w:rPr>
        <w:t>；承建（承接）企业为</w:t>
      </w:r>
      <w:r>
        <w:rPr>
          <w:rFonts w:hint="eastAsia" w:ascii="宋体" w:hAnsi="宋体" w:eastAsia="宋体" w:cs="宋体"/>
          <w:sz w:val="24"/>
          <w:szCs w:val="20"/>
          <w:highlight w:val="none"/>
          <w:u w:val="single"/>
          <w:shd w:val="clear" w:color="auto" w:fill="FFFFFF"/>
        </w:rPr>
        <w:t>（企业名称）</w:t>
      </w:r>
      <w:r>
        <w:rPr>
          <w:rFonts w:hint="eastAsia" w:ascii="宋体" w:hAnsi="宋体" w:eastAsia="宋体" w:cs="宋体"/>
          <w:sz w:val="24"/>
          <w:szCs w:val="20"/>
          <w:highlight w:val="none"/>
          <w:shd w:val="clear" w:color="auto" w:fill="FFFFFF"/>
        </w:rPr>
        <w:t>，从业人员</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人，营业收入为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万元，资产总额为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万元，属于</w:t>
      </w:r>
      <w:r>
        <w:rPr>
          <w:rFonts w:hint="eastAsia" w:ascii="宋体" w:hAnsi="宋体" w:eastAsia="宋体" w:cs="宋体"/>
          <w:sz w:val="24"/>
          <w:szCs w:val="20"/>
          <w:highlight w:val="none"/>
          <w:u w:val="single"/>
          <w:shd w:val="clear" w:color="auto" w:fill="FFFFFF"/>
        </w:rPr>
        <w:t xml:space="preserve">     （中型企业、小型企业、微型企业）</w:t>
      </w:r>
      <w:r>
        <w:rPr>
          <w:rFonts w:hint="eastAsia" w:ascii="宋体" w:hAnsi="宋体" w:eastAsia="宋体" w:cs="宋体"/>
          <w:sz w:val="24"/>
          <w:szCs w:val="20"/>
          <w:highlight w:val="none"/>
          <w:shd w:val="clear" w:color="auto" w:fill="FFFFFF"/>
        </w:rPr>
        <w:t>；</w:t>
      </w:r>
    </w:p>
    <w:p w14:paraId="713C8014">
      <w:pPr>
        <w:numPr>
          <w:ilvl w:val="0"/>
          <w:numId w:val="3"/>
        </w:numPr>
        <w:autoSpaceDE w:val="0"/>
        <w:autoSpaceDN w:val="0"/>
        <w:adjustRightInd w:val="0"/>
        <w:spacing w:line="360" w:lineRule="auto"/>
        <w:ind w:firstLine="480" w:firstLineChars="200"/>
        <w:jc w:val="left"/>
        <w:rPr>
          <w:rFonts w:ascii="宋体" w:hAnsi="宋体" w:eastAsia="宋体" w:cs="宋体"/>
          <w:sz w:val="24"/>
          <w:szCs w:val="20"/>
          <w:highlight w:val="none"/>
          <w:shd w:val="clear" w:color="auto" w:fill="FFFFFF"/>
        </w:rPr>
      </w:pPr>
      <w:r>
        <w:rPr>
          <w:rFonts w:hint="eastAsia" w:ascii="宋体" w:hAnsi="宋体" w:eastAsia="宋体" w:cs="宋体"/>
          <w:sz w:val="24"/>
          <w:szCs w:val="24"/>
          <w:highlight w:val="none"/>
          <w:u w:val="single"/>
        </w:rPr>
        <w:t>标的名称</w:t>
      </w:r>
      <w:r>
        <w:rPr>
          <w:rFonts w:hint="eastAsia" w:ascii="宋体" w:hAnsi="宋体" w:eastAsia="宋体" w:cs="宋体"/>
          <w:b/>
          <w:sz w:val="24"/>
          <w:szCs w:val="20"/>
          <w:highlight w:val="none"/>
          <w:u w:val="single"/>
          <w:shd w:val="clear" w:color="auto" w:fill="FFFFFF"/>
        </w:rPr>
        <w:t>，</w:t>
      </w:r>
      <w:r>
        <w:rPr>
          <w:rFonts w:hint="eastAsia" w:ascii="宋体" w:hAnsi="宋体" w:eastAsia="宋体" w:cs="宋体"/>
          <w:sz w:val="24"/>
          <w:szCs w:val="20"/>
          <w:highlight w:val="none"/>
          <w:shd w:val="clear" w:color="auto" w:fill="FFFFFF"/>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0"/>
          <w:highlight w:val="none"/>
          <w:shd w:val="clear" w:color="auto" w:fill="FFFFFF"/>
        </w:rPr>
        <w:t>；承建（承接）企业为</w:t>
      </w:r>
      <w:r>
        <w:rPr>
          <w:rFonts w:hint="eastAsia" w:ascii="宋体" w:hAnsi="宋体" w:eastAsia="宋体" w:cs="宋体"/>
          <w:sz w:val="24"/>
          <w:szCs w:val="20"/>
          <w:highlight w:val="none"/>
          <w:u w:val="single"/>
          <w:shd w:val="clear" w:color="auto" w:fill="FFFFFF"/>
        </w:rPr>
        <w:t>（企业名称）</w:t>
      </w:r>
      <w:r>
        <w:rPr>
          <w:rFonts w:hint="eastAsia" w:ascii="宋体" w:hAnsi="宋体" w:eastAsia="宋体" w:cs="宋体"/>
          <w:sz w:val="24"/>
          <w:szCs w:val="20"/>
          <w:highlight w:val="none"/>
          <w:shd w:val="clear" w:color="auto" w:fill="FFFFFF"/>
        </w:rPr>
        <w:t>，从业人员</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人，营业收入为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万元，资产总额为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万元，属于</w:t>
      </w:r>
      <w:r>
        <w:rPr>
          <w:rFonts w:hint="eastAsia" w:ascii="宋体" w:hAnsi="宋体" w:eastAsia="宋体" w:cs="宋体"/>
          <w:sz w:val="24"/>
          <w:szCs w:val="20"/>
          <w:highlight w:val="none"/>
          <w:u w:val="single"/>
          <w:shd w:val="clear" w:color="auto" w:fill="FFFFFF"/>
        </w:rPr>
        <w:t xml:space="preserve">     （中型企业、小型企业、微型企业）</w:t>
      </w:r>
      <w:r>
        <w:rPr>
          <w:rFonts w:hint="eastAsia" w:ascii="宋体" w:hAnsi="宋体" w:eastAsia="宋体" w:cs="宋体"/>
          <w:sz w:val="24"/>
          <w:szCs w:val="20"/>
          <w:highlight w:val="none"/>
          <w:shd w:val="clear" w:color="auto" w:fill="FFFFFF"/>
        </w:rPr>
        <w:t>；</w:t>
      </w:r>
    </w:p>
    <w:p w14:paraId="7C0C48E6">
      <w:pPr>
        <w:autoSpaceDE w:val="0"/>
        <w:autoSpaceDN w:val="0"/>
        <w:adjustRightInd w:val="0"/>
        <w:spacing w:line="360" w:lineRule="auto"/>
        <w:ind w:firstLine="480" w:firstLineChars="200"/>
        <w:jc w:val="left"/>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w:t>
      </w:r>
    </w:p>
    <w:p w14:paraId="73899365">
      <w:pPr>
        <w:autoSpaceDE w:val="0"/>
        <w:autoSpaceDN w:val="0"/>
        <w:adjustRightInd w:val="0"/>
        <w:spacing w:line="360" w:lineRule="auto"/>
        <w:ind w:firstLine="480" w:firstLineChars="200"/>
        <w:jc w:val="left"/>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以上企业，不属于大企业的分支机构，不存在控股股东</w:t>
      </w:r>
      <w:r>
        <w:rPr>
          <w:rFonts w:hint="eastAsia" w:ascii="宋体" w:hAnsi="宋体" w:eastAsia="宋体" w:cs="宋体"/>
          <w:kern w:val="0"/>
          <w:sz w:val="24"/>
          <w:szCs w:val="24"/>
          <w:highlight w:val="none"/>
          <w:shd w:val="clear" w:color="auto" w:fill="FFFFFF"/>
        </w:rPr>
        <w:t>为大企业的情形，也不存在与大企业的负责人为同一人的情形。</w:t>
      </w:r>
    </w:p>
    <w:p w14:paraId="55697A13">
      <w:pPr>
        <w:autoSpaceDE w:val="0"/>
        <w:autoSpaceDN w:val="0"/>
        <w:adjustRightInd w:val="0"/>
        <w:spacing w:line="360" w:lineRule="auto"/>
        <w:ind w:firstLine="480" w:firstLineChars="200"/>
        <w:jc w:val="left"/>
        <w:rPr>
          <w:rFonts w:ascii="宋体" w:hAnsi="宋体" w:eastAsia="宋体" w:cs="宋体"/>
          <w:kern w:val="0"/>
          <w:sz w:val="24"/>
          <w:szCs w:val="24"/>
          <w:highlight w:val="none"/>
          <w:shd w:val="clear" w:color="auto" w:fill="FFFFFF"/>
        </w:rPr>
      </w:pPr>
      <w:r>
        <w:rPr>
          <w:rFonts w:hint="eastAsia" w:ascii="宋体" w:hAnsi="宋体" w:eastAsia="宋体" w:cs="宋体"/>
          <w:kern w:val="0"/>
          <w:sz w:val="24"/>
          <w:szCs w:val="24"/>
          <w:highlight w:val="none"/>
          <w:shd w:val="clear" w:color="auto" w:fill="FFFFFF"/>
        </w:rPr>
        <w:t>本企业对上述声明内容的真实性负责。如有虚假，将依法承担相应责任。</w:t>
      </w:r>
    </w:p>
    <w:p w14:paraId="5A8B87AD">
      <w:pPr>
        <w:spacing w:line="360" w:lineRule="auto"/>
        <w:ind w:firstLine="480" w:firstLineChars="200"/>
        <w:jc w:val="left"/>
        <w:textAlignment w:val="baseline"/>
        <w:rPr>
          <w:rFonts w:ascii="宋体" w:hAnsi="宋体" w:eastAsia="宋体" w:cs="宋体"/>
          <w:sz w:val="24"/>
          <w:szCs w:val="20"/>
          <w:highlight w:val="none"/>
          <w:shd w:val="clear" w:color="auto" w:fill="FFFFFF"/>
        </w:rPr>
      </w:pPr>
    </w:p>
    <w:p w14:paraId="7061048A">
      <w:pPr>
        <w:widowControl/>
        <w:spacing w:before="100" w:after="100" w:line="360" w:lineRule="auto"/>
        <w:ind w:firstLine="5280" w:firstLineChars="2200"/>
        <w:jc w:val="left"/>
        <w:rPr>
          <w:rFonts w:ascii="宋体" w:hAnsi="宋体" w:eastAsia="宋体" w:cs="宋体"/>
          <w:kern w:val="0"/>
          <w:sz w:val="24"/>
          <w:highlight w:val="none"/>
          <w:shd w:val="clear" w:color="auto" w:fill="FFFFFF"/>
        </w:rPr>
      </w:pPr>
      <w:r>
        <w:rPr>
          <w:rFonts w:hint="eastAsia" w:ascii="宋体" w:hAnsi="宋体" w:eastAsia="宋体" w:cs="宋体"/>
          <w:kern w:val="0"/>
          <w:sz w:val="24"/>
          <w:highlight w:val="none"/>
          <w:shd w:val="clear" w:color="auto" w:fill="FFFFFF"/>
        </w:rPr>
        <w:t>企业名称（盖章）：</w:t>
      </w:r>
    </w:p>
    <w:p w14:paraId="550CAFC1">
      <w:pPr>
        <w:widowControl/>
        <w:spacing w:before="100" w:after="100" w:line="360" w:lineRule="auto"/>
        <w:ind w:firstLine="5280" w:firstLineChars="2200"/>
        <w:jc w:val="left"/>
        <w:rPr>
          <w:rFonts w:ascii="宋体" w:hAnsi="宋体" w:eastAsia="宋体" w:cs="宋体"/>
          <w:kern w:val="0"/>
          <w:sz w:val="24"/>
          <w:highlight w:val="none"/>
          <w:shd w:val="clear" w:color="auto" w:fill="FFFFFF"/>
        </w:rPr>
      </w:pPr>
      <w:r>
        <w:rPr>
          <w:rFonts w:hint="eastAsia" w:ascii="宋体" w:hAnsi="宋体" w:eastAsia="宋体" w:cs="宋体"/>
          <w:kern w:val="0"/>
          <w:sz w:val="24"/>
          <w:highlight w:val="none"/>
          <w:shd w:val="clear" w:color="auto" w:fill="FFFFFF"/>
        </w:rPr>
        <w:t>日期：</w:t>
      </w:r>
    </w:p>
    <w:p w14:paraId="3379F500">
      <w:pPr>
        <w:spacing w:line="380" w:lineRule="exact"/>
        <w:ind w:firstLine="422" w:firstLineChars="200"/>
        <w:rPr>
          <w:rFonts w:ascii="宋体" w:hAnsi="宋体" w:eastAsia="宋体" w:cs="宋体"/>
          <w:sz w:val="24"/>
          <w:szCs w:val="24"/>
          <w:highlight w:val="none"/>
          <w:shd w:val="clear" w:color="auto" w:fill="FFFFFF"/>
        </w:rPr>
      </w:pPr>
      <w:r>
        <w:rPr>
          <w:rFonts w:hint="eastAsia" w:ascii="宋体" w:hAnsi="宋体" w:eastAsia="宋体" w:cs="宋体"/>
          <w:b/>
          <w:szCs w:val="21"/>
          <w:highlight w:val="none"/>
        </w:rPr>
        <w:t>备注：</w:t>
      </w:r>
    </w:p>
    <w:p w14:paraId="2AF98D82">
      <w:pPr>
        <w:numPr>
          <w:ilvl w:val="255"/>
          <w:numId w:val="0"/>
        </w:numPr>
        <w:spacing w:line="380" w:lineRule="exact"/>
        <w:ind w:firstLine="420" w:firstLineChars="200"/>
        <w:rPr>
          <w:rFonts w:ascii="宋体" w:hAnsi="宋体" w:eastAsia="宋体" w:cs="宋体"/>
          <w:szCs w:val="21"/>
          <w:highlight w:val="none"/>
          <w:lang w:val="zh-CN"/>
        </w:rPr>
      </w:pPr>
      <w:r>
        <w:rPr>
          <w:rFonts w:hint="eastAsia" w:ascii="宋体" w:hAnsi="宋体" w:eastAsia="宋体" w:cs="宋体"/>
          <w:szCs w:val="21"/>
          <w:highlight w:val="none"/>
          <w:lang w:val="zh-CN"/>
        </w:rPr>
        <w:t>1、从业人员、营业收入、资产总额填报上一年度数据，无上一年度数据的新成立企业可不填报。</w:t>
      </w:r>
    </w:p>
    <w:p w14:paraId="18D10872">
      <w:pPr>
        <w:spacing w:line="380" w:lineRule="exact"/>
        <w:rPr>
          <w:rFonts w:ascii="宋体" w:hAnsi="宋体" w:eastAsia="宋体" w:cs="宋体"/>
          <w:szCs w:val="21"/>
          <w:highlight w:val="none"/>
          <w:lang w:val="zh-CN"/>
        </w:rPr>
      </w:pPr>
      <w:r>
        <w:rPr>
          <w:rFonts w:hint="eastAsia" w:ascii="宋体" w:hAnsi="宋体" w:eastAsia="宋体" w:cs="宋体"/>
          <w:szCs w:val="21"/>
          <w:highlight w:val="none"/>
          <w:lang w:val="zh-CN"/>
        </w:rPr>
        <w:br w:type="page"/>
      </w:r>
    </w:p>
    <w:p w14:paraId="456D0AD6">
      <w:pPr>
        <w:overflowPunct w:val="0"/>
        <w:spacing w:line="360" w:lineRule="auto"/>
        <w:textAlignment w:val="baseline"/>
        <w:outlineLvl w:val="2"/>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t>（6）残疾人福利性单位声明函</w:t>
      </w:r>
    </w:p>
    <w:p w14:paraId="6FD4EED8">
      <w:pPr>
        <w:widowControl/>
        <w:spacing w:before="100" w:after="100" w:line="360" w:lineRule="auto"/>
        <w:jc w:val="center"/>
        <w:rPr>
          <w:rFonts w:ascii="宋体" w:hAnsi="宋体" w:eastAsia="宋体" w:cs="宋体"/>
          <w:b/>
          <w:kern w:val="0"/>
          <w:sz w:val="24"/>
          <w:highlight w:val="none"/>
          <w:shd w:val="clear" w:color="auto" w:fill="FFFFFF"/>
        </w:rPr>
      </w:pPr>
      <w:r>
        <w:rPr>
          <w:rFonts w:hint="eastAsia" w:ascii="宋体" w:hAnsi="宋体" w:eastAsia="宋体" w:cs="宋体"/>
          <w:b/>
          <w:kern w:val="0"/>
          <w:sz w:val="24"/>
          <w:highlight w:val="none"/>
          <w:shd w:val="clear" w:color="auto" w:fill="FFFFFF"/>
        </w:rPr>
        <w:t>残疾人福利性单位声明函</w:t>
      </w:r>
    </w:p>
    <w:p w14:paraId="6C48F33C">
      <w:pPr>
        <w:widowControl/>
        <w:spacing w:before="100" w:after="100" w:line="360" w:lineRule="auto"/>
        <w:ind w:firstLine="480" w:firstLineChars="200"/>
        <w:jc w:val="left"/>
        <w:rPr>
          <w:rFonts w:ascii="宋体" w:hAnsi="宋体" w:eastAsia="宋体" w:cs="宋体"/>
          <w:kern w:val="0"/>
          <w:sz w:val="24"/>
          <w:highlight w:val="none"/>
          <w:shd w:val="clear" w:color="auto" w:fill="FFFFFF"/>
        </w:rPr>
      </w:pPr>
    </w:p>
    <w:p w14:paraId="34C1800B">
      <w:pPr>
        <w:widowControl/>
        <w:spacing w:before="100" w:after="100" w:line="360" w:lineRule="auto"/>
        <w:ind w:firstLine="480" w:firstLineChars="200"/>
        <w:jc w:val="left"/>
        <w:rPr>
          <w:rFonts w:ascii="宋体" w:hAnsi="宋体" w:eastAsia="宋体" w:cs="宋体"/>
          <w:kern w:val="0"/>
          <w:sz w:val="24"/>
          <w:highlight w:val="none"/>
          <w:shd w:val="clear" w:color="auto" w:fill="FFFFFF"/>
        </w:rPr>
      </w:pPr>
      <w:r>
        <w:rPr>
          <w:rFonts w:hint="eastAsia" w:ascii="宋体" w:hAnsi="宋体" w:eastAsia="宋体" w:cs="宋体"/>
          <w:kern w:val="0"/>
          <w:sz w:val="24"/>
          <w:highlight w:val="none"/>
          <w:shd w:val="clear" w:color="auto" w:fill="FFFFFF"/>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0BA773">
      <w:pPr>
        <w:widowControl/>
        <w:spacing w:before="100" w:after="100" w:line="360" w:lineRule="auto"/>
        <w:ind w:firstLine="480" w:firstLineChars="200"/>
        <w:jc w:val="left"/>
        <w:rPr>
          <w:rFonts w:ascii="宋体" w:hAnsi="宋体" w:eastAsia="宋体" w:cs="宋体"/>
          <w:kern w:val="0"/>
          <w:sz w:val="24"/>
          <w:highlight w:val="none"/>
          <w:shd w:val="clear" w:color="auto" w:fill="FFFFFF"/>
        </w:rPr>
      </w:pPr>
      <w:r>
        <w:rPr>
          <w:rFonts w:hint="eastAsia" w:ascii="宋体" w:hAnsi="宋体" w:eastAsia="宋体" w:cs="宋体"/>
          <w:kern w:val="0"/>
          <w:sz w:val="24"/>
          <w:highlight w:val="none"/>
          <w:shd w:val="clear" w:color="auto" w:fill="FFFFFF"/>
        </w:rPr>
        <w:t>本单位对上述声明的真实性负责。如有虚假，将依法承担相应责任。</w:t>
      </w:r>
    </w:p>
    <w:p w14:paraId="09159563">
      <w:pPr>
        <w:widowControl/>
        <w:spacing w:before="100" w:after="100" w:line="360" w:lineRule="auto"/>
        <w:ind w:firstLine="480" w:firstLineChars="200"/>
        <w:jc w:val="left"/>
        <w:rPr>
          <w:rFonts w:ascii="宋体" w:hAnsi="宋体" w:eastAsia="宋体" w:cs="宋体"/>
          <w:kern w:val="0"/>
          <w:sz w:val="24"/>
          <w:highlight w:val="none"/>
          <w:shd w:val="clear" w:color="auto" w:fill="FFFFFF"/>
        </w:rPr>
      </w:pPr>
    </w:p>
    <w:p w14:paraId="7BC1333A">
      <w:pPr>
        <w:widowControl/>
        <w:spacing w:before="100" w:after="100" w:line="360" w:lineRule="auto"/>
        <w:ind w:firstLine="480" w:firstLineChars="200"/>
        <w:jc w:val="left"/>
        <w:rPr>
          <w:rFonts w:ascii="宋体" w:hAnsi="宋体" w:eastAsia="宋体" w:cs="宋体"/>
          <w:kern w:val="0"/>
          <w:sz w:val="24"/>
          <w:highlight w:val="none"/>
          <w:shd w:val="clear" w:color="auto" w:fill="FFFFFF"/>
        </w:rPr>
      </w:pPr>
    </w:p>
    <w:p w14:paraId="120EABEB">
      <w:pPr>
        <w:widowControl/>
        <w:spacing w:before="100" w:after="100" w:line="360" w:lineRule="auto"/>
        <w:ind w:firstLine="5280" w:firstLineChars="2200"/>
        <w:jc w:val="left"/>
        <w:rPr>
          <w:rFonts w:ascii="宋体" w:hAnsi="宋体" w:eastAsia="宋体" w:cs="宋体"/>
          <w:kern w:val="0"/>
          <w:sz w:val="24"/>
          <w:highlight w:val="none"/>
          <w:shd w:val="clear" w:color="auto" w:fill="FFFFFF"/>
        </w:rPr>
      </w:pPr>
      <w:r>
        <w:rPr>
          <w:rFonts w:hint="eastAsia" w:ascii="宋体" w:hAnsi="宋体" w:eastAsia="宋体" w:cs="宋体"/>
          <w:kern w:val="0"/>
          <w:sz w:val="24"/>
          <w:highlight w:val="none"/>
          <w:shd w:val="clear" w:color="auto" w:fill="FFFFFF"/>
        </w:rPr>
        <w:t>单位名称（盖章）：</w:t>
      </w:r>
    </w:p>
    <w:p w14:paraId="3574576D">
      <w:pPr>
        <w:widowControl/>
        <w:spacing w:before="100" w:after="100" w:line="360" w:lineRule="auto"/>
        <w:ind w:firstLine="5280" w:firstLineChars="2200"/>
        <w:jc w:val="left"/>
        <w:rPr>
          <w:rFonts w:ascii="宋体" w:hAnsi="宋体" w:eastAsia="宋体" w:cs="宋体"/>
          <w:kern w:val="0"/>
          <w:sz w:val="24"/>
          <w:highlight w:val="none"/>
          <w:shd w:val="clear" w:color="auto" w:fill="FFFFFF"/>
        </w:rPr>
      </w:pPr>
      <w:r>
        <w:rPr>
          <w:rFonts w:hint="eastAsia" w:ascii="宋体" w:hAnsi="宋体" w:eastAsia="宋体" w:cs="宋体"/>
          <w:kern w:val="0"/>
          <w:sz w:val="24"/>
          <w:highlight w:val="none"/>
          <w:shd w:val="clear" w:color="auto" w:fill="FFFFFF"/>
        </w:rPr>
        <w:t>日期：</w:t>
      </w:r>
    </w:p>
    <w:p w14:paraId="462FE87D">
      <w:pPr>
        <w:ind w:firstLine="422" w:firstLineChars="200"/>
        <w:rPr>
          <w:rFonts w:ascii="宋体" w:hAnsi="宋体" w:eastAsia="宋体" w:cs="宋体"/>
          <w:b/>
          <w:szCs w:val="21"/>
          <w:highlight w:val="none"/>
        </w:rPr>
      </w:pPr>
      <w:r>
        <w:rPr>
          <w:rFonts w:hint="eastAsia" w:ascii="宋体" w:hAnsi="宋体" w:eastAsia="宋体" w:cs="宋体"/>
          <w:b/>
          <w:szCs w:val="21"/>
          <w:highlight w:val="none"/>
        </w:rPr>
        <w:t>注：</w:t>
      </w:r>
      <w:bookmarkStart w:id="62" w:name="_Hlk158140990"/>
      <w:r>
        <w:rPr>
          <w:rFonts w:hint="eastAsia" w:ascii="宋体" w:hAnsi="宋体" w:eastAsia="宋体" w:cs="宋体"/>
          <w:b/>
          <w:szCs w:val="21"/>
          <w:highlight w:val="none"/>
        </w:rPr>
        <w:t>投标文件中的电子签章视为供应商对本声明进行了签署盖章并承担相应责任</w:t>
      </w:r>
      <w:bookmarkEnd w:id="62"/>
      <w:r>
        <w:rPr>
          <w:rFonts w:hint="eastAsia" w:ascii="宋体" w:hAnsi="宋体" w:eastAsia="宋体" w:cs="宋体"/>
          <w:b/>
          <w:szCs w:val="21"/>
          <w:highlight w:val="none"/>
        </w:rPr>
        <w:t>。</w:t>
      </w:r>
    </w:p>
    <w:p w14:paraId="7F2FEAD3">
      <w:pPr>
        <w:rPr>
          <w:rFonts w:ascii="宋体" w:hAnsi="宋体" w:eastAsia="宋体" w:cs="宋体"/>
          <w:b/>
          <w:szCs w:val="21"/>
          <w:highlight w:val="none"/>
        </w:rPr>
      </w:pPr>
      <w:r>
        <w:rPr>
          <w:rFonts w:hint="eastAsia" w:ascii="宋体" w:hAnsi="宋体" w:eastAsia="宋体" w:cs="宋体"/>
          <w:b/>
          <w:szCs w:val="21"/>
          <w:highlight w:val="none"/>
        </w:rPr>
        <w:br w:type="page"/>
      </w:r>
    </w:p>
    <w:p w14:paraId="781795CD">
      <w:pPr>
        <w:spacing w:line="360" w:lineRule="auto"/>
        <w:jc w:val="left"/>
        <w:outlineLvl w:val="2"/>
        <w:rPr>
          <w:rFonts w:ascii="宋体" w:hAnsi="宋体" w:eastAsia="宋体" w:cs="宋体"/>
          <w:b/>
          <w:sz w:val="24"/>
          <w:highlight w:val="none"/>
          <w:shd w:val="clear" w:color="auto" w:fill="FFFFFF"/>
        </w:rPr>
      </w:pPr>
      <w:r>
        <w:rPr>
          <w:rFonts w:hint="eastAsia" w:ascii="宋体" w:hAnsi="宋体" w:eastAsia="宋体" w:cs="宋体"/>
          <w:b/>
          <w:sz w:val="24"/>
          <w:szCs w:val="20"/>
          <w:highlight w:val="none"/>
          <w:shd w:val="clear" w:color="auto" w:fill="FFFFFF"/>
        </w:rPr>
        <w:t>（7）</w:t>
      </w:r>
      <w:r>
        <w:rPr>
          <w:rFonts w:hint="eastAsia" w:ascii="宋体" w:hAnsi="宋体" w:eastAsia="宋体" w:cs="宋体"/>
          <w:b/>
          <w:bCs/>
          <w:sz w:val="24"/>
          <w:highlight w:val="none"/>
          <w:shd w:val="clear" w:color="auto" w:fill="FFFFFF"/>
        </w:rPr>
        <w:t>对投标人（供应商）有直接控股、管理关系的单位情况表</w:t>
      </w:r>
    </w:p>
    <w:p w14:paraId="296024B2">
      <w:pPr>
        <w:widowControl/>
        <w:spacing w:line="360" w:lineRule="auto"/>
        <w:jc w:val="center"/>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对投标人（供应商）有直接控股、管理关系的单位情况表</w:t>
      </w:r>
    </w:p>
    <w:p w14:paraId="1EB24FF9">
      <w:pPr>
        <w:ind w:firstLine="420" w:firstLineChars="200"/>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单位名称：</w:t>
      </w:r>
    </w:p>
    <w:tbl>
      <w:tblPr>
        <w:tblStyle w:val="49"/>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2310"/>
        <w:gridCol w:w="2025"/>
        <w:gridCol w:w="1470"/>
        <w:gridCol w:w="1980"/>
        <w:gridCol w:w="1610"/>
      </w:tblGrid>
      <w:tr w14:paraId="73BDA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5745" w:type="dxa"/>
            <w:gridSpan w:val="3"/>
            <w:vAlign w:val="center"/>
          </w:tcPr>
          <w:p w14:paraId="26EF0F0F">
            <w:pPr>
              <w:widowControl/>
              <w:jc w:val="center"/>
              <w:rPr>
                <w:rFonts w:ascii="宋体" w:hAnsi="宋体" w:eastAsia="宋体" w:cs="宋体"/>
                <w:b/>
                <w:kern w:val="0"/>
                <w:szCs w:val="21"/>
                <w:highlight w:val="none"/>
                <w:shd w:val="clear" w:color="auto" w:fill="FFFFFF"/>
              </w:rPr>
            </w:pPr>
            <w:r>
              <w:rPr>
                <w:rFonts w:hint="eastAsia" w:ascii="宋体" w:hAnsi="宋体" w:eastAsia="宋体" w:cs="宋体"/>
                <w:b/>
                <w:kern w:val="0"/>
                <w:szCs w:val="21"/>
                <w:highlight w:val="none"/>
                <w:shd w:val="clear" w:color="auto" w:fill="FFFFFF"/>
              </w:rPr>
              <w:t>对投标人（供应商）有直接控股关系的单位</w:t>
            </w:r>
          </w:p>
        </w:tc>
        <w:tc>
          <w:tcPr>
            <w:tcW w:w="5060" w:type="dxa"/>
            <w:gridSpan w:val="3"/>
            <w:vAlign w:val="center"/>
          </w:tcPr>
          <w:p w14:paraId="2320E5D2">
            <w:pPr>
              <w:widowControl/>
              <w:jc w:val="center"/>
              <w:rPr>
                <w:rFonts w:ascii="宋体" w:hAnsi="宋体" w:eastAsia="宋体" w:cs="宋体"/>
                <w:b/>
                <w:kern w:val="0"/>
                <w:szCs w:val="21"/>
                <w:highlight w:val="none"/>
                <w:shd w:val="clear" w:color="auto" w:fill="FFFFFF"/>
              </w:rPr>
            </w:pPr>
            <w:r>
              <w:rPr>
                <w:rFonts w:hint="eastAsia" w:ascii="宋体" w:hAnsi="宋体" w:eastAsia="宋体" w:cs="宋体"/>
                <w:b/>
                <w:kern w:val="0"/>
                <w:szCs w:val="21"/>
                <w:highlight w:val="none"/>
                <w:shd w:val="clear" w:color="auto" w:fill="FFFFFF"/>
              </w:rPr>
              <w:t>对投标人（供应商）有直接管理关系的单位</w:t>
            </w:r>
          </w:p>
        </w:tc>
      </w:tr>
      <w:tr w14:paraId="01A93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410" w:type="dxa"/>
            <w:vAlign w:val="center"/>
          </w:tcPr>
          <w:p w14:paraId="07ADD0CD">
            <w:pPr>
              <w:widowControl/>
              <w:jc w:val="center"/>
              <w:rPr>
                <w:rFonts w:ascii="宋体" w:hAnsi="宋体" w:eastAsia="宋体" w:cs="宋体"/>
                <w:b/>
                <w:kern w:val="0"/>
                <w:szCs w:val="21"/>
                <w:highlight w:val="none"/>
                <w:shd w:val="clear" w:color="auto" w:fill="FFFFFF"/>
              </w:rPr>
            </w:pPr>
            <w:r>
              <w:rPr>
                <w:rFonts w:hint="eastAsia" w:ascii="宋体" w:hAnsi="宋体" w:eastAsia="宋体" w:cs="宋体"/>
                <w:b/>
                <w:kern w:val="0"/>
                <w:szCs w:val="21"/>
                <w:highlight w:val="none"/>
                <w:shd w:val="clear" w:color="auto" w:fill="FFFFFF"/>
              </w:rPr>
              <w:t>单位名称</w:t>
            </w:r>
          </w:p>
        </w:tc>
        <w:tc>
          <w:tcPr>
            <w:tcW w:w="2310" w:type="dxa"/>
            <w:vAlign w:val="center"/>
          </w:tcPr>
          <w:p w14:paraId="4A47402A">
            <w:pPr>
              <w:widowControl/>
              <w:jc w:val="center"/>
              <w:rPr>
                <w:rFonts w:ascii="宋体" w:hAnsi="宋体" w:eastAsia="宋体" w:cs="宋体"/>
                <w:b/>
                <w:kern w:val="0"/>
                <w:szCs w:val="21"/>
                <w:highlight w:val="none"/>
                <w:shd w:val="clear" w:color="auto" w:fill="FFFFFF"/>
              </w:rPr>
            </w:pPr>
            <w:r>
              <w:rPr>
                <w:rFonts w:hint="eastAsia" w:ascii="宋体" w:hAnsi="宋体" w:eastAsia="宋体" w:cs="宋体"/>
                <w:b/>
                <w:kern w:val="0"/>
                <w:szCs w:val="21"/>
                <w:highlight w:val="none"/>
                <w:shd w:val="clear" w:color="auto" w:fill="FFFFFF"/>
              </w:rPr>
              <w:t>是否为大型企业</w:t>
            </w:r>
          </w:p>
          <w:p w14:paraId="730F46F5">
            <w:pPr>
              <w:widowControl/>
              <w:jc w:val="center"/>
              <w:rPr>
                <w:rFonts w:ascii="宋体" w:hAnsi="宋体" w:eastAsia="宋体" w:cs="宋体"/>
                <w:b/>
                <w:kern w:val="0"/>
                <w:sz w:val="18"/>
                <w:szCs w:val="18"/>
                <w:highlight w:val="none"/>
                <w:shd w:val="clear" w:color="auto" w:fill="FFFFFF"/>
              </w:rPr>
            </w:pPr>
            <w:r>
              <w:rPr>
                <w:rFonts w:hint="eastAsia" w:ascii="宋体" w:hAnsi="宋体" w:eastAsia="宋体" w:cs="宋体"/>
                <w:b/>
                <w:kern w:val="0"/>
                <w:sz w:val="18"/>
                <w:szCs w:val="18"/>
                <w:highlight w:val="none"/>
                <w:shd w:val="clear" w:color="auto" w:fill="FFFFFF"/>
              </w:rPr>
              <w:t>（填写“是”或 “否”）</w:t>
            </w:r>
          </w:p>
        </w:tc>
        <w:tc>
          <w:tcPr>
            <w:tcW w:w="2025" w:type="dxa"/>
          </w:tcPr>
          <w:p w14:paraId="2F37E552">
            <w:pPr>
              <w:widowControl/>
              <w:jc w:val="center"/>
              <w:rPr>
                <w:rFonts w:ascii="宋体" w:hAnsi="宋体" w:eastAsia="宋体" w:cs="宋体"/>
                <w:b/>
                <w:kern w:val="0"/>
                <w:szCs w:val="21"/>
                <w:highlight w:val="none"/>
                <w:shd w:val="clear" w:color="auto" w:fill="FFFFFF"/>
              </w:rPr>
            </w:pPr>
            <w:r>
              <w:rPr>
                <w:rFonts w:hint="eastAsia" w:ascii="宋体" w:hAnsi="宋体" w:eastAsia="宋体" w:cs="宋体"/>
                <w:b/>
                <w:kern w:val="0"/>
                <w:szCs w:val="21"/>
                <w:highlight w:val="none"/>
                <w:shd w:val="clear" w:color="auto" w:fill="FFFFFF"/>
              </w:rPr>
              <w:t>直接控股关系情况说明</w:t>
            </w:r>
            <w:r>
              <w:rPr>
                <w:rFonts w:hint="eastAsia" w:ascii="宋体" w:hAnsi="宋体" w:eastAsia="宋体" w:cs="宋体"/>
                <w:b/>
                <w:kern w:val="0"/>
                <w:sz w:val="18"/>
                <w:szCs w:val="18"/>
                <w:highlight w:val="none"/>
                <w:shd w:val="clear" w:color="auto" w:fill="FFFFFF"/>
              </w:rPr>
              <w:t>（持股比例等）</w:t>
            </w:r>
          </w:p>
        </w:tc>
        <w:tc>
          <w:tcPr>
            <w:tcW w:w="1470" w:type="dxa"/>
            <w:vAlign w:val="center"/>
          </w:tcPr>
          <w:p w14:paraId="2512CDEF">
            <w:pPr>
              <w:widowControl/>
              <w:jc w:val="center"/>
              <w:rPr>
                <w:rFonts w:ascii="宋体" w:hAnsi="宋体" w:eastAsia="宋体" w:cs="宋体"/>
                <w:b/>
                <w:kern w:val="0"/>
                <w:szCs w:val="21"/>
                <w:highlight w:val="none"/>
                <w:shd w:val="clear" w:color="auto" w:fill="FFFFFF"/>
              </w:rPr>
            </w:pPr>
            <w:r>
              <w:rPr>
                <w:rFonts w:hint="eastAsia" w:ascii="宋体" w:hAnsi="宋体" w:eastAsia="宋体" w:cs="宋体"/>
                <w:b/>
                <w:kern w:val="0"/>
                <w:szCs w:val="21"/>
                <w:highlight w:val="none"/>
                <w:shd w:val="clear" w:color="auto" w:fill="FFFFFF"/>
              </w:rPr>
              <w:t>单位名称</w:t>
            </w:r>
          </w:p>
        </w:tc>
        <w:tc>
          <w:tcPr>
            <w:tcW w:w="1980" w:type="dxa"/>
            <w:vAlign w:val="center"/>
          </w:tcPr>
          <w:p w14:paraId="514EA792">
            <w:pPr>
              <w:widowControl/>
              <w:jc w:val="center"/>
              <w:rPr>
                <w:rFonts w:ascii="宋体" w:hAnsi="宋体" w:eastAsia="宋体" w:cs="宋体"/>
                <w:b/>
                <w:kern w:val="0"/>
                <w:szCs w:val="21"/>
                <w:highlight w:val="none"/>
                <w:shd w:val="clear" w:color="auto" w:fill="FFFFFF"/>
              </w:rPr>
            </w:pPr>
            <w:r>
              <w:rPr>
                <w:rFonts w:hint="eastAsia" w:ascii="宋体" w:hAnsi="宋体" w:eastAsia="宋体" w:cs="宋体"/>
                <w:b/>
                <w:kern w:val="0"/>
                <w:szCs w:val="21"/>
                <w:highlight w:val="none"/>
                <w:shd w:val="clear" w:color="auto" w:fill="FFFFFF"/>
              </w:rPr>
              <w:t>是否为大型企业</w:t>
            </w:r>
          </w:p>
          <w:p w14:paraId="0CC691CE">
            <w:pPr>
              <w:widowControl/>
              <w:jc w:val="center"/>
              <w:rPr>
                <w:rFonts w:ascii="宋体" w:hAnsi="宋体" w:eastAsia="宋体" w:cs="宋体"/>
                <w:b/>
                <w:kern w:val="0"/>
                <w:sz w:val="18"/>
                <w:szCs w:val="18"/>
                <w:highlight w:val="none"/>
                <w:shd w:val="clear" w:color="auto" w:fill="FFFFFF"/>
              </w:rPr>
            </w:pPr>
            <w:r>
              <w:rPr>
                <w:rFonts w:hint="eastAsia" w:ascii="宋体" w:hAnsi="宋体" w:eastAsia="宋体" w:cs="宋体"/>
                <w:b/>
                <w:kern w:val="0"/>
                <w:sz w:val="18"/>
                <w:szCs w:val="18"/>
                <w:highlight w:val="none"/>
                <w:shd w:val="clear" w:color="auto" w:fill="FFFFFF"/>
              </w:rPr>
              <w:t>（填写“是”或 “否”）</w:t>
            </w:r>
          </w:p>
        </w:tc>
        <w:tc>
          <w:tcPr>
            <w:tcW w:w="1610" w:type="dxa"/>
            <w:vAlign w:val="center"/>
          </w:tcPr>
          <w:p w14:paraId="75A0A1ED">
            <w:pPr>
              <w:widowControl/>
              <w:jc w:val="center"/>
              <w:rPr>
                <w:rFonts w:ascii="宋体" w:hAnsi="宋体" w:eastAsia="宋体" w:cs="宋体"/>
                <w:b/>
                <w:kern w:val="0"/>
                <w:szCs w:val="21"/>
                <w:highlight w:val="none"/>
                <w:shd w:val="clear" w:color="auto" w:fill="FFFFFF"/>
              </w:rPr>
            </w:pPr>
            <w:r>
              <w:rPr>
                <w:rFonts w:hint="eastAsia" w:ascii="宋体" w:hAnsi="宋体" w:eastAsia="宋体" w:cs="宋体"/>
                <w:b/>
                <w:kern w:val="0"/>
                <w:szCs w:val="21"/>
                <w:highlight w:val="none"/>
                <w:shd w:val="clear" w:color="auto" w:fill="FFFFFF"/>
              </w:rPr>
              <w:t>直接管理关系情况说明</w:t>
            </w:r>
          </w:p>
        </w:tc>
      </w:tr>
      <w:tr w14:paraId="6C7A4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10" w:type="dxa"/>
            <w:vAlign w:val="center"/>
          </w:tcPr>
          <w:p w14:paraId="409F5E36">
            <w:pPr>
              <w:widowControl/>
              <w:jc w:val="center"/>
              <w:rPr>
                <w:rFonts w:ascii="宋体" w:hAnsi="宋体" w:eastAsia="宋体" w:cs="宋体"/>
                <w:b/>
                <w:kern w:val="0"/>
                <w:szCs w:val="21"/>
                <w:highlight w:val="none"/>
                <w:shd w:val="clear" w:color="auto" w:fill="FFFFFF"/>
              </w:rPr>
            </w:pPr>
          </w:p>
        </w:tc>
        <w:tc>
          <w:tcPr>
            <w:tcW w:w="2310" w:type="dxa"/>
            <w:vAlign w:val="center"/>
          </w:tcPr>
          <w:p w14:paraId="699A96C4">
            <w:pPr>
              <w:widowControl/>
              <w:jc w:val="center"/>
              <w:rPr>
                <w:rFonts w:ascii="宋体" w:hAnsi="宋体" w:eastAsia="宋体" w:cs="宋体"/>
                <w:b/>
                <w:kern w:val="0"/>
                <w:szCs w:val="21"/>
                <w:highlight w:val="none"/>
                <w:shd w:val="clear" w:color="auto" w:fill="FFFFFF"/>
              </w:rPr>
            </w:pPr>
          </w:p>
        </w:tc>
        <w:tc>
          <w:tcPr>
            <w:tcW w:w="2025" w:type="dxa"/>
            <w:vAlign w:val="center"/>
          </w:tcPr>
          <w:p w14:paraId="6408E7BF">
            <w:pPr>
              <w:widowControl/>
              <w:jc w:val="center"/>
              <w:rPr>
                <w:rFonts w:ascii="宋体" w:hAnsi="宋体" w:eastAsia="宋体" w:cs="宋体"/>
                <w:b/>
                <w:kern w:val="0"/>
                <w:szCs w:val="21"/>
                <w:highlight w:val="none"/>
                <w:shd w:val="clear" w:color="auto" w:fill="FFFFFF"/>
              </w:rPr>
            </w:pPr>
          </w:p>
        </w:tc>
        <w:tc>
          <w:tcPr>
            <w:tcW w:w="1470" w:type="dxa"/>
            <w:vAlign w:val="center"/>
          </w:tcPr>
          <w:p w14:paraId="74904803">
            <w:pPr>
              <w:widowControl/>
              <w:jc w:val="center"/>
              <w:rPr>
                <w:rFonts w:ascii="宋体" w:hAnsi="宋体" w:eastAsia="宋体" w:cs="宋体"/>
                <w:b/>
                <w:kern w:val="0"/>
                <w:szCs w:val="21"/>
                <w:highlight w:val="none"/>
                <w:shd w:val="clear" w:color="auto" w:fill="FFFFFF"/>
              </w:rPr>
            </w:pPr>
          </w:p>
        </w:tc>
        <w:tc>
          <w:tcPr>
            <w:tcW w:w="1980" w:type="dxa"/>
            <w:vAlign w:val="center"/>
          </w:tcPr>
          <w:p w14:paraId="7511B294">
            <w:pPr>
              <w:widowControl/>
              <w:jc w:val="center"/>
              <w:rPr>
                <w:rFonts w:ascii="宋体" w:hAnsi="宋体" w:eastAsia="宋体" w:cs="宋体"/>
                <w:b/>
                <w:kern w:val="0"/>
                <w:szCs w:val="21"/>
                <w:highlight w:val="none"/>
                <w:shd w:val="clear" w:color="auto" w:fill="FFFFFF"/>
              </w:rPr>
            </w:pPr>
          </w:p>
        </w:tc>
        <w:tc>
          <w:tcPr>
            <w:tcW w:w="1610" w:type="dxa"/>
            <w:vAlign w:val="center"/>
          </w:tcPr>
          <w:p w14:paraId="50F5571E">
            <w:pPr>
              <w:widowControl/>
              <w:jc w:val="center"/>
              <w:rPr>
                <w:rFonts w:ascii="宋体" w:hAnsi="宋体" w:eastAsia="宋体" w:cs="宋体"/>
                <w:b/>
                <w:kern w:val="0"/>
                <w:szCs w:val="21"/>
                <w:highlight w:val="none"/>
                <w:shd w:val="clear" w:color="auto" w:fill="FFFFFF"/>
              </w:rPr>
            </w:pPr>
          </w:p>
        </w:tc>
      </w:tr>
      <w:tr w14:paraId="408D4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10" w:type="dxa"/>
            <w:vAlign w:val="center"/>
          </w:tcPr>
          <w:p w14:paraId="44A163D9">
            <w:pPr>
              <w:widowControl/>
              <w:jc w:val="center"/>
              <w:rPr>
                <w:rFonts w:ascii="宋体" w:hAnsi="宋体" w:eastAsia="宋体" w:cs="宋体"/>
                <w:b/>
                <w:kern w:val="0"/>
                <w:szCs w:val="21"/>
                <w:highlight w:val="none"/>
                <w:shd w:val="clear" w:color="auto" w:fill="FFFFFF"/>
              </w:rPr>
            </w:pPr>
          </w:p>
        </w:tc>
        <w:tc>
          <w:tcPr>
            <w:tcW w:w="2310" w:type="dxa"/>
            <w:vAlign w:val="center"/>
          </w:tcPr>
          <w:p w14:paraId="428600B0">
            <w:pPr>
              <w:widowControl/>
              <w:jc w:val="center"/>
              <w:rPr>
                <w:rFonts w:ascii="宋体" w:hAnsi="宋体" w:eastAsia="宋体" w:cs="宋体"/>
                <w:b/>
                <w:kern w:val="0"/>
                <w:szCs w:val="21"/>
                <w:highlight w:val="none"/>
                <w:shd w:val="clear" w:color="auto" w:fill="FFFFFF"/>
              </w:rPr>
            </w:pPr>
          </w:p>
        </w:tc>
        <w:tc>
          <w:tcPr>
            <w:tcW w:w="2025" w:type="dxa"/>
            <w:vAlign w:val="center"/>
          </w:tcPr>
          <w:p w14:paraId="2C3386F1">
            <w:pPr>
              <w:widowControl/>
              <w:jc w:val="center"/>
              <w:rPr>
                <w:rFonts w:ascii="宋体" w:hAnsi="宋体" w:eastAsia="宋体" w:cs="宋体"/>
                <w:b/>
                <w:kern w:val="0"/>
                <w:szCs w:val="21"/>
                <w:highlight w:val="none"/>
                <w:shd w:val="clear" w:color="auto" w:fill="FFFFFF"/>
              </w:rPr>
            </w:pPr>
          </w:p>
        </w:tc>
        <w:tc>
          <w:tcPr>
            <w:tcW w:w="1470" w:type="dxa"/>
            <w:vAlign w:val="center"/>
          </w:tcPr>
          <w:p w14:paraId="25F29629">
            <w:pPr>
              <w:widowControl/>
              <w:jc w:val="center"/>
              <w:rPr>
                <w:rFonts w:ascii="宋体" w:hAnsi="宋体" w:eastAsia="宋体" w:cs="宋体"/>
                <w:b/>
                <w:kern w:val="0"/>
                <w:szCs w:val="21"/>
                <w:highlight w:val="none"/>
                <w:shd w:val="clear" w:color="auto" w:fill="FFFFFF"/>
              </w:rPr>
            </w:pPr>
          </w:p>
        </w:tc>
        <w:tc>
          <w:tcPr>
            <w:tcW w:w="1980" w:type="dxa"/>
            <w:vAlign w:val="center"/>
          </w:tcPr>
          <w:p w14:paraId="40E013F2">
            <w:pPr>
              <w:widowControl/>
              <w:jc w:val="center"/>
              <w:rPr>
                <w:rFonts w:ascii="宋体" w:hAnsi="宋体" w:eastAsia="宋体" w:cs="宋体"/>
                <w:b/>
                <w:kern w:val="0"/>
                <w:szCs w:val="21"/>
                <w:highlight w:val="none"/>
                <w:shd w:val="clear" w:color="auto" w:fill="FFFFFF"/>
              </w:rPr>
            </w:pPr>
          </w:p>
        </w:tc>
        <w:tc>
          <w:tcPr>
            <w:tcW w:w="1610" w:type="dxa"/>
            <w:vAlign w:val="center"/>
          </w:tcPr>
          <w:p w14:paraId="6DACEC4D">
            <w:pPr>
              <w:widowControl/>
              <w:jc w:val="center"/>
              <w:rPr>
                <w:rFonts w:ascii="宋体" w:hAnsi="宋体" w:eastAsia="宋体" w:cs="宋体"/>
                <w:b/>
                <w:kern w:val="0"/>
                <w:szCs w:val="21"/>
                <w:highlight w:val="none"/>
                <w:shd w:val="clear" w:color="auto" w:fill="FFFFFF"/>
              </w:rPr>
            </w:pPr>
          </w:p>
        </w:tc>
      </w:tr>
      <w:tr w14:paraId="55BE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10" w:type="dxa"/>
            <w:vAlign w:val="center"/>
          </w:tcPr>
          <w:p w14:paraId="73CDEAE5">
            <w:pPr>
              <w:widowControl/>
              <w:jc w:val="center"/>
              <w:rPr>
                <w:rFonts w:ascii="宋体" w:hAnsi="宋体" w:eastAsia="宋体" w:cs="宋体"/>
                <w:b/>
                <w:kern w:val="0"/>
                <w:szCs w:val="21"/>
                <w:highlight w:val="none"/>
                <w:shd w:val="clear" w:color="auto" w:fill="FFFFFF"/>
              </w:rPr>
            </w:pPr>
          </w:p>
        </w:tc>
        <w:tc>
          <w:tcPr>
            <w:tcW w:w="2310" w:type="dxa"/>
            <w:vAlign w:val="center"/>
          </w:tcPr>
          <w:p w14:paraId="1C7FF382">
            <w:pPr>
              <w:widowControl/>
              <w:jc w:val="center"/>
              <w:rPr>
                <w:rFonts w:ascii="宋体" w:hAnsi="宋体" w:eastAsia="宋体" w:cs="宋体"/>
                <w:b/>
                <w:kern w:val="0"/>
                <w:szCs w:val="21"/>
                <w:highlight w:val="none"/>
                <w:shd w:val="clear" w:color="auto" w:fill="FFFFFF"/>
              </w:rPr>
            </w:pPr>
          </w:p>
        </w:tc>
        <w:tc>
          <w:tcPr>
            <w:tcW w:w="2025" w:type="dxa"/>
            <w:vAlign w:val="center"/>
          </w:tcPr>
          <w:p w14:paraId="60E9BD30">
            <w:pPr>
              <w:widowControl/>
              <w:jc w:val="center"/>
              <w:rPr>
                <w:rFonts w:ascii="宋体" w:hAnsi="宋体" w:eastAsia="宋体" w:cs="宋体"/>
                <w:b/>
                <w:kern w:val="0"/>
                <w:szCs w:val="21"/>
                <w:highlight w:val="none"/>
                <w:shd w:val="clear" w:color="auto" w:fill="FFFFFF"/>
              </w:rPr>
            </w:pPr>
          </w:p>
        </w:tc>
        <w:tc>
          <w:tcPr>
            <w:tcW w:w="1470" w:type="dxa"/>
            <w:vAlign w:val="center"/>
          </w:tcPr>
          <w:p w14:paraId="6A520F27">
            <w:pPr>
              <w:widowControl/>
              <w:jc w:val="center"/>
              <w:rPr>
                <w:rFonts w:ascii="宋体" w:hAnsi="宋体" w:eastAsia="宋体" w:cs="宋体"/>
                <w:b/>
                <w:kern w:val="0"/>
                <w:szCs w:val="21"/>
                <w:highlight w:val="none"/>
                <w:shd w:val="clear" w:color="auto" w:fill="FFFFFF"/>
              </w:rPr>
            </w:pPr>
          </w:p>
        </w:tc>
        <w:tc>
          <w:tcPr>
            <w:tcW w:w="1980" w:type="dxa"/>
            <w:vAlign w:val="center"/>
          </w:tcPr>
          <w:p w14:paraId="574AE073">
            <w:pPr>
              <w:widowControl/>
              <w:jc w:val="center"/>
              <w:rPr>
                <w:rFonts w:ascii="宋体" w:hAnsi="宋体" w:eastAsia="宋体" w:cs="宋体"/>
                <w:b/>
                <w:kern w:val="0"/>
                <w:szCs w:val="21"/>
                <w:highlight w:val="none"/>
                <w:shd w:val="clear" w:color="auto" w:fill="FFFFFF"/>
              </w:rPr>
            </w:pPr>
          </w:p>
        </w:tc>
        <w:tc>
          <w:tcPr>
            <w:tcW w:w="1610" w:type="dxa"/>
            <w:vAlign w:val="center"/>
          </w:tcPr>
          <w:p w14:paraId="567BBA59">
            <w:pPr>
              <w:widowControl/>
              <w:jc w:val="center"/>
              <w:rPr>
                <w:rFonts w:ascii="宋体" w:hAnsi="宋体" w:eastAsia="宋体" w:cs="宋体"/>
                <w:b/>
                <w:kern w:val="0"/>
                <w:szCs w:val="21"/>
                <w:highlight w:val="none"/>
                <w:shd w:val="clear" w:color="auto" w:fill="FFFFFF"/>
              </w:rPr>
            </w:pPr>
          </w:p>
        </w:tc>
      </w:tr>
      <w:tr w14:paraId="32950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10" w:type="dxa"/>
            <w:vAlign w:val="center"/>
          </w:tcPr>
          <w:p w14:paraId="2079EAFE">
            <w:pPr>
              <w:widowControl/>
              <w:jc w:val="center"/>
              <w:rPr>
                <w:rFonts w:ascii="宋体" w:hAnsi="宋体" w:eastAsia="宋体" w:cs="宋体"/>
                <w:b/>
                <w:kern w:val="0"/>
                <w:szCs w:val="21"/>
                <w:highlight w:val="none"/>
                <w:shd w:val="clear" w:color="auto" w:fill="FFFFFF"/>
              </w:rPr>
            </w:pPr>
          </w:p>
        </w:tc>
        <w:tc>
          <w:tcPr>
            <w:tcW w:w="2310" w:type="dxa"/>
            <w:vAlign w:val="center"/>
          </w:tcPr>
          <w:p w14:paraId="7F6B0E78">
            <w:pPr>
              <w:widowControl/>
              <w:jc w:val="center"/>
              <w:rPr>
                <w:rFonts w:ascii="宋体" w:hAnsi="宋体" w:eastAsia="宋体" w:cs="宋体"/>
                <w:b/>
                <w:kern w:val="0"/>
                <w:szCs w:val="21"/>
                <w:highlight w:val="none"/>
                <w:shd w:val="clear" w:color="auto" w:fill="FFFFFF"/>
              </w:rPr>
            </w:pPr>
          </w:p>
        </w:tc>
        <w:tc>
          <w:tcPr>
            <w:tcW w:w="2025" w:type="dxa"/>
            <w:vAlign w:val="center"/>
          </w:tcPr>
          <w:p w14:paraId="103D6A80">
            <w:pPr>
              <w:widowControl/>
              <w:jc w:val="center"/>
              <w:rPr>
                <w:rFonts w:ascii="宋体" w:hAnsi="宋体" w:eastAsia="宋体" w:cs="宋体"/>
                <w:b/>
                <w:kern w:val="0"/>
                <w:szCs w:val="21"/>
                <w:highlight w:val="none"/>
                <w:shd w:val="clear" w:color="auto" w:fill="FFFFFF"/>
              </w:rPr>
            </w:pPr>
          </w:p>
        </w:tc>
        <w:tc>
          <w:tcPr>
            <w:tcW w:w="1470" w:type="dxa"/>
            <w:vAlign w:val="center"/>
          </w:tcPr>
          <w:p w14:paraId="3B2A4D0B">
            <w:pPr>
              <w:widowControl/>
              <w:jc w:val="center"/>
              <w:rPr>
                <w:rFonts w:ascii="宋体" w:hAnsi="宋体" w:eastAsia="宋体" w:cs="宋体"/>
                <w:b/>
                <w:kern w:val="0"/>
                <w:szCs w:val="21"/>
                <w:highlight w:val="none"/>
                <w:shd w:val="clear" w:color="auto" w:fill="FFFFFF"/>
              </w:rPr>
            </w:pPr>
          </w:p>
        </w:tc>
        <w:tc>
          <w:tcPr>
            <w:tcW w:w="1980" w:type="dxa"/>
            <w:vAlign w:val="center"/>
          </w:tcPr>
          <w:p w14:paraId="0228B63C">
            <w:pPr>
              <w:widowControl/>
              <w:jc w:val="center"/>
              <w:rPr>
                <w:rFonts w:ascii="宋体" w:hAnsi="宋体" w:eastAsia="宋体" w:cs="宋体"/>
                <w:b/>
                <w:kern w:val="0"/>
                <w:szCs w:val="21"/>
                <w:highlight w:val="none"/>
                <w:shd w:val="clear" w:color="auto" w:fill="FFFFFF"/>
              </w:rPr>
            </w:pPr>
          </w:p>
        </w:tc>
        <w:tc>
          <w:tcPr>
            <w:tcW w:w="1610" w:type="dxa"/>
            <w:vAlign w:val="center"/>
          </w:tcPr>
          <w:p w14:paraId="089F3887">
            <w:pPr>
              <w:widowControl/>
              <w:jc w:val="center"/>
              <w:rPr>
                <w:rFonts w:ascii="宋体" w:hAnsi="宋体" w:eastAsia="宋体" w:cs="宋体"/>
                <w:b/>
                <w:kern w:val="0"/>
                <w:szCs w:val="21"/>
                <w:highlight w:val="none"/>
                <w:shd w:val="clear" w:color="auto" w:fill="FFFFFF"/>
              </w:rPr>
            </w:pPr>
          </w:p>
        </w:tc>
      </w:tr>
      <w:tr w14:paraId="267C6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10" w:type="dxa"/>
            <w:vAlign w:val="center"/>
          </w:tcPr>
          <w:p w14:paraId="4FCBE7FF">
            <w:pPr>
              <w:widowControl/>
              <w:jc w:val="center"/>
              <w:rPr>
                <w:rFonts w:ascii="宋体" w:hAnsi="宋体" w:eastAsia="宋体" w:cs="宋体"/>
                <w:b/>
                <w:kern w:val="0"/>
                <w:szCs w:val="21"/>
                <w:highlight w:val="none"/>
                <w:shd w:val="clear" w:color="auto" w:fill="FFFFFF"/>
              </w:rPr>
            </w:pPr>
          </w:p>
        </w:tc>
        <w:tc>
          <w:tcPr>
            <w:tcW w:w="2310" w:type="dxa"/>
            <w:vAlign w:val="center"/>
          </w:tcPr>
          <w:p w14:paraId="4D384C2A">
            <w:pPr>
              <w:widowControl/>
              <w:jc w:val="center"/>
              <w:rPr>
                <w:rFonts w:ascii="宋体" w:hAnsi="宋体" w:eastAsia="宋体" w:cs="宋体"/>
                <w:b/>
                <w:kern w:val="0"/>
                <w:szCs w:val="21"/>
                <w:highlight w:val="none"/>
                <w:shd w:val="clear" w:color="auto" w:fill="FFFFFF"/>
              </w:rPr>
            </w:pPr>
          </w:p>
        </w:tc>
        <w:tc>
          <w:tcPr>
            <w:tcW w:w="2025" w:type="dxa"/>
            <w:vAlign w:val="center"/>
          </w:tcPr>
          <w:p w14:paraId="499FF4D6">
            <w:pPr>
              <w:widowControl/>
              <w:jc w:val="center"/>
              <w:rPr>
                <w:rFonts w:ascii="宋体" w:hAnsi="宋体" w:eastAsia="宋体" w:cs="宋体"/>
                <w:b/>
                <w:kern w:val="0"/>
                <w:szCs w:val="21"/>
                <w:highlight w:val="none"/>
                <w:shd w:val="clear" w:color="auto" w:fill="FFFFFF"/>
              </w:rPr>
            </w:pPr>
          </w:p>
        </w:tc>
        <w:tc>
          <w:tcPr>
            <w:tcW w:w="1470" w:type="dxa"/>
            <w:vAlign w:val="center"/>
          </w:tcPr>
          <w:p w14:paraId="275BA0F4">
            <w:pPr>
              <w:widowControl/>
              <w:jc w:val="center"/>
              <w:rPr>
                <w:rFonts w:ascii="宋体" w:hAnsi="宋体" w:eastAsia="宋体" w:cs="宋体"/>
                <w:b/>
                <w:kern w:val="0"/>
                <w:szCs w:val="21"/>
                <w:highlight w:val="none"/>
                <w:shd w:val="clear" w:color="auto" w:fill="FFFFFF"/>
              </w:rPr>
            </w:pPr>
          </w:p>
        </w:tc>
        <w:tc>
          <w:tcPr>
            <w:tcW w:w="1980" w:type="dxa"/>
            <w:vAlign w:val="center"/>
          </w:tcPr>
          <w:p w14:paraId="602BF3C6">
            <w:pPr>
              <w:widowControl/>
              <w:jc w:val="center"/>
              <w:rPr>
                <w:rFonts w:ascii="宋体" w:hAnsi="宋体" w:eastAsia="宋体" w:cs="宋体"/>
                <w:b/>
                <w:kern w:val="0"/>
                <w:szCs w:val="21"/>
                <w:highlight w:val="none"/>
                <w:shd w:val="clear" w:color="auto" w:fill="FFFFFF"/>
              </w:rPr>
            </w:pPr>
          </w:p>
        </w:tc>
        <w:tc>
          <w:tcPr>
            <w:tcW w:w="1610" w:type="dxa"/>
            <w:vAlign w:val="center"/>
          </w:tcPr>
          <w:p w14:paraId="7ACEE0B3">
            <w:pPr>
              <w:widowControl/>
              <w:jc w:val="center"/>
              <w:rPr>
                <w:rFonts w:ascii="宋体" w:hAnsi="宋体" w:eastAsia="宋体" w:cs="宋体"/>
                <w:b/>
                <w:kern w:val="0"/>
                <w:szCs w:val="21"/>
                <w:highlight w:val="none"/>
                <w:shd w:val="clear" w:color="auto" w:fill="FFFFFF"/>
              </w:rPr>
            </w:pPr>
          </w:p>
        </w:tc>
      </w:tr>
      <w:tr w14:paraId="7FC27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10" w:type="dxa"/>
            <w:vAlign w:val="center"/>
          </w:tcPr>
          <w:p w14:paraId="41EF28B1">
            <w:pPr>
              <w:widowControl/>
              <w:jc w:val="center"/>
              <w:rPr>
                <w:rFonts w:ascii="宋体" w:hAnsi="宋体" w:eastAsia="宋体" w:cs="宋体"/>
                <w:b/>
                <w:kern w:val="0"/>
                <w:szCs w:val="21"/>
                <w:highlight w:val="none"/>
                <w:shd w:val="clear" w:color="auto" w:fill="FFFFFF"/>
              </w:rPr>
            </w:pPr>
          </w:p>
        </w:tc>
        <w:tc>
          <w:tcPr>
            <w:tcW w:w="2310" w:type="dxa"/>
            <w:vAlign w:val="center"/>
          </w:tcPr>
          <w:p w14:paraId="237E3776">
            <w:pPr>
              <w:widowControl/>
              <w:jc w:val="center"/>
              <w:rPr>
                <w:rFonts w:ascii="宋体" w:hAnsi="宋体" w:eastAsia="宋体" w:cs="宋体"/>
                <w:b/>
                <w:kern w:val="0"/>
                <w:szCs w:val="21"/>
                <w:highlight w:val="none"/>
                <w:shd w:val="clear" w:color="auto" w:fill="FFFFFF"/>
              </w:rPr>
            </w:pPr>
          </w:p>
        </w:tc>
        <w:tc>
          <w:tcPr>
            <w:tcW w:w="2025" w:type="dxa"/>
            <w:vAlign w:val="center"/>
          </w:tcPr>
          <w:p w14:paraId="695E76E8">
            <w:pPr>
              <w:widowControl/>
              <w:jc w:val="center"/>
              <w:rPr>
                <w:rFonts w:ascii="宋体" w:hAnsi="宋体" w:eastAsia="宋体" w:cs="宋体"/>
                <w:b/>
                <w:kern w:val="0"/>
                <w:szCs w:val="21"/>
                <w:highlight w:val="none"/>
                <w:shd w:val="clear" w:color="auto" w:fill="FFFFFF"/>
              </w:rPr>
            </w:pPr>
          </w:p>
        </w:tc>
        <w:tc>
          <w:tcPr>
            <w:tcW w:w="1470" w:type="dxa"/>
            <w:vAlign w:val="center"/>
          </w:tcPr>
          <w:p w14:paraId="64BB4A61">
            <w:pPr>
              <w:widowControl/>
              <w:jc w:val="center"/>
              <w:rPr>
                <w:rFonts w:ascii="宋体" w:hAnsi="宋体" w:eastAsia="宋体" w:cs="宋体"/>
                <w:b/>
                <w:kern w:val="0"/>
                <w:szCs w:val="21"/>
                <w:highlight w:val="none"/>
                <w:shd w:val="clear" w:color="auto" w:fill="FFFFFF"/>
              </w:rPr>
            </w:pPr>
          </w:p>
        </w:tc>
        <w:tc>
          <w:tcPr>
            <w:tcW w:w="1980" w:type="dxa"/>
            <w:vAlign w:val="center"/>
          </w:tcPr>
          <w:p w14:paraId="3C740EC9">
            <w:pPr>
              <w:widowControl/>
              <w:jc w:val="center"/>
              <w:rPr>
                <w:rFonts w:ascii="宋体" w:hAnsi="宋体" w:eastAsia="宋体" w:cs="宋体"/>
                <w:b/>
                <w:kern w:val="0"/>
                <w:szCs w:val="21"/>
                <w:highlight w:val="none"/>
                <w:shd w:val="clear" w:color="auto" w:fill="FFFFFF"/>
              </w:rPr>
            </w:pPr>
          </w:p>
        </w:tc>
        <w:tc>
          <w:tcPr>
            <w:tcW w:w="1610" w:type="dxa"/>
            <w:vAlign w:val="center"/>
          </w:tcPr>
          <w:p w14:paraId="2560532D">
            <w:pPr>
              <w:widowControl/>
              <w:jc w:val="center"/>
              <w:rPr>
                <w:rFonts w:ascii="宋体" w:hAnsi="宋体" w:eastAsia="宋体" w:cs="宋体"/>
                <w:b/>
                <w:kern w:val="0"/>
                <w:szCs w:val="21"/>
                <w:highlight w:val="none"/>
                <w:shd w:val="clear" w:color="auto" w:fill="FFFFFF"/>
              </w:rPr>
            </w:pPr>
          </w:p>
        </w:tc>
      </w:tr>
    </w:tbl>
    <w:p w14:paraId="1BCC42CF">
      <w:pPr>
        <w:spacing w:line="360" w:lineRule="auto"/>
        <w:ind w:firstLine="482" w:firstLineChars="200"/>
        <w:jc w:val="left"/>
        <w:rPr>
          <w:rFonts w:ascii="宋体" w:hAnsi="宋体" w:eastAsia="宋体" w:cs="宋体"/>
          <w:b/>
          <w:kern w:val="0"/>
          <w:sz w:val="24"/>
          <w:szCs w:val="24"/>
          <w:highlight w:val="none"/>
          <w:shd w:val="clear" w:color="auto" w:fill="FFFFFF"/>
        </w:rPr>
      </w:pPr>
      <w:r>
        <w:rPr>
          <w:rFonts w:hint="eastAsia" w:ascii="宋体" w:hAnsi="宋体" w:eastAsia="宋体" w:cs="宋体"/>
          <w:b/>
          <w:kern w:val="0"/>
          <w:sz w:val="24"/>
          <w:szCs w:val="24"/>
          <w:highlight w:val="none"/>
          <w:shd w:val="clear" w:color="auto" w:fill="FFFFFF"/>
        </w:rPr>
        <w:t>注：1、本表仅需填写对投标人（供应商）有直接控股、管理关系的单位情况。投标人（供应商）应按上表要求据实填写</w:t>
      </w:r>
      <w:r>
        <w:rPr>
          <w:rFonts w:hint="eastAsia" w:ascii="宋体" w:hAnsi="宋体" w:eastAsia="宋体" w:cs="宋体"/>
          <w:b/>
          <w:sz w:val="24"/>
          <w:highlight w:val="none"/>
          <w:shd w:val="clear" w:color="auto" w:fill="FFFFFF"/>
        </w:rPr>
        <w:t>，</w:t>
      </w:r>
      <w:r>
        <w:rPr>
          <w:rFonts w:hint="eastAsia" w:ascii="宋体" w:hAnsi="宋体" w:eastAsia="宋体" w:cs="宋体"/>
          <w:b/>
          <w:kern w:val="0"/>
          <w:sz w:val="24"/>
          <w:szCs w:val="24"/>
          <w:highlight w:val="none"/>
          <w:shd w:val="clear" w:color="auto" w:fill="FFFFFF"/>
        </w:rPr>
        <w:t>如填写“无”或不填写，均视为投标人（供应商）声明不存在有关情形。</w:t>
      </w:r>
    </w:p>
    <w:p w14:paraId="46949ED8">
      <w:pPr>
        <w:pStyle w:val="16"/>
        <w:spacing w:line="360" w:lineRule="auto"/>
        <w:ind w:left="0" w:firstLine="482" w:firstLineChars="200"/>
        <w:jc w:val="left"/>
        <w:rPr>
          <w:rFonts w:ascii="宋体" w:hAnsi="宋体" w:eastAsia="宋体" w:cs="宋体"/>
          <w:highlight w:val="none"/>
        </w:rPr>
      </w:pPr>
      <w:r>
        <w:rPr>
          <w:rFonts w:hint="eastAsia" w:ascii="宋体" w:hAnsi="宋体" w:eastAsia="宋体" w:cs="宋体"/>
          <w:b/>
          <w:kern w:val="0"/>
          <w:szCs w:val="24"/>
          <w:highlight w:val="none"/>
          <w:shd w:val="clear" w:color="auto" w:fill="FFFFFF"/>
        </w:rPr>
        <w:t>2、其中“直接控股”是指投标人（供应商）与大型企业之间存在直接投资并控股（非普通持股）的关系。</w:t>
      </w:r>
    </w:p>
    <w:p w14:paraId="28ACC673">
      <w:pPr>
        <w:pStyle w:val="154"/>
        <w:adjustRightInd/>
        <w:spacing w:line="360" w:lineRule="auto"/>
        <w:ind w:firstLine="480" w:firstLineChars="200"/>
        <w:jc w:val="left"/>
        <w:rPr>
          <w:rFonts w:hAnsi="宋体" w:eastAsia="宋体" w:cs="宋体"/>
          <w:sz w:val="24"/>
          <w:szCs w:val="24"/>
          <w:highlight w:val="none"/>
        </w:rPr>
      </w:pPr>
    </w:p>
    <w:p w14:paraId="6AD80725">
      <w:pPr>
        <w:pStyle w:val="154"/>
        <w:adjustRightInd/>
        <w:spacing w:line="360" w:lineRule="auto"/>
        <w:ind w:firstLine="480" w:firstLineChars="200"/>
        <w:jc w:val="left"/>
        <w:rPr>
          <w:rFonts w:hAnsi="宋体" w:eastAsia="宋体" w:cs="宋体"/>
          <w:sz w:val="24"/>
          <w:szCs w:val="24"/>
          <w:highlight w:val="none"/>
        </w:rPr>
      </w:pPr>
    </w:p>
    <w:p w14:paraId="7DBD997F">
      <w:pPr>
        <w:spacing w:line="360" w:lineRule="auto"/>
        <w:ind w:right="105"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供应商名称：（加盖CA电子公章）</w:t>
      </w:r>
    </w:p>
    <w:p w14:paraId="357A9D4C">
      <w:pPr>
        <w:pStyle w:val="154"/>
        <w:adjustRightInd/>
        <w:spacing w:line="360" w:lineRule="exact"/>
        <w:ind w:firstLine="4440" w:firstLineChars="1850"/>
        <w:rPr>
          <w:rFonts w:hAnsi="宋体" w:eastAsia="宋体" w:cs="宋体"/>
          <w:sz w:val="24"/>
          <w:szCs w:val="24"/>
          <w:highlight w:val="none"/>
        </w:rPr>
      </w:pPr>
      <w:r>
        <w:rPr>
          <w:rFonts w:hint="eastAsia" w:hAnsi="宋体" w:eastAsia="宋体" w:cs="宋体"/>
          <w:sz w:val="24"/>
          <w:szCs w:val="24"/>
          <w:highlight w:val="none"/>
        </w:rPr>
        <w:t>日期：　　　年　　月　　日</w:t>
      </w:r>
    </w:p>
    <w:p w14:paraId="12A320F2">
      <w:pPr>
        <w:spacing w:line="360" w:lineRule="auto"/>
        <w:ind w:right="420" w:firstLine="210"/>
        <w:jc w:val="right"/>
        <w:rPr>
          <w:rFonts w:ascii="宋体" w:hAnsi="宋体" w:eastAsia="宋体" w:cs="宋体"/>
          <w:sz w:val="24"/>
          <w:szCs w:val="24"/>
          <w:highlight w:val="none"/>
        </w:rPr>
      </w:pPr>
    </w:p>
    <w:p w14:paraId="78D64723">
      <w:pPr>
        <w:rPr>
          <w:rFonts w:ascii="宋体" w:hAnsi="宋体" w:eastAsia="宋体" w:cs="宋体"/>
          <w:sz w:val="24"/>
          <w:szCs w:val="20"/>
          <w:highlight w:val="none"/>
        </w:rPr>
      </w:pPr>
      <w:r>
        <w:rPr>
          <w:rFonts w:hint="eastAsia" w:ascii="宋体" w:hAnsi="宋体" w:eastAsia="宋体" w:cs="宋体"/>
          <w:sz w:val="24"/>
          <w:szCs w:val="20"/>
          <w:highlight w:val="none"/>
        </w:rPr>
        <w:br w:type="page"/>
      </w:r>
    </w:p>
    <w:p w14:paraId="7A300034">
      <w:pPr>
        <w:overflowPunct w:val="0"/>
        <w:spacing w:line="360" w:lineRule="auto"/>
        <w:textAlignment w:val="baseline"/>
        <w:rPr>
          <w:rFonts w:ascii="宋体" w:hAnsi="宋体" w:eastAsia="宋体" w:cs="宋体"/>
          <w:sz w:val="30"/>
          <w:szCs w:val="30"/>
          <w:highlight w:val="none"/>
          <w:shd w:val="clear" w:color="auto" w:fill="FFFFFF"/>
        </w:rPr>
      </w:pPr>
    </w:p>
    <w:p w14:paraId="05E51870">
      <w:pPr>
        <w:overflowPunct w:val="0"/>
        <w:spacing w:line="360" w:lineRule="auto"/>
        <w:textAlignment w:val="baseline"/>
        <w:rPr>
          <w:rFonts w:ascii="宋体" w:hAnsi="宋体" w:eastAsia="宋体" w:cs="宋体"/>
          <w:sz w:val="30"/>
          <w:szCs w:val="30"/>
          <w:highlight w:val="none"/>
          <w:shd w:val="clear" w:color="auto" w:fill="FFFFFF"/>
        </w:rPr>
      </w:pPr>
    </w:p>
    <w:p w14:paraId="75A548BA">
      <w:pPr>
        <w:overflowPunct w:val="0"/>
        <w:spacing w:line="360" w:lineRule="auto"/>
        <w:textAlignment w:val="baseline"/>
        <w:rPr>
          <w:rFonts w:ascii="宋体" w:hAnsi="宋体" w:eastAsia="宋体" w:cs="宋体"/>
          <w:sz w:val="30"/>
          <w:szCs w:val="30"/>
          <w:highlight w:val="none"/>
          <w:shd w:val="clear" w:color="auto" w:fill="FFFFFF"/>
        </w:rPr>
      </w:pPr>
    </w:p>
    <w:p w14:paraId="57303BB1">
      <w:pPr>
        <w:overflowPunct w:val="0"/>
        <w:spacing w:line="360" w:lineRule="auto"/>
        <w:textAlignment w:val="baseline"/>
        <w:rPr>
          <w:rFonts w:ascii="宋体" w:hAnsi="宋体" w:eastAsia="宋体" w:cs="宋体"/>
          <w:sz w:val="30"/>
          <w:szCs w:val="30"/>
          <w:highlight w:val="none"/>
          <w:shd w:val="clear" w:color="auto" w:fill="FFFFFF"/>
        </w:rPr>
      </w:pPr>
    </w:p>
    <w:p w14:paraId="11369F8B">
      <w:pPr>
        <w:overflowPunct w:val="0"/>
        <w:spacing w:line="360" w:lineRule="auto"/>
        <w:textAlignment w:val="baseline"/>
        <w:rPr>
          <w:rFonts w:ascii="宋体" w:hAnsi="宋体" w:eastAsia="宋体" w:cs="宋体"/>
          <w:sz w:val="30"/>
          <w:szCs w:val="30"/>
          <w:highlight w:val="none"/>
          <w:shd w:val="clear" w:color="auto" w:fill="FFFFFF"/>
        </w:rPr>
      </w:pPr>
    </w:p>
    <w:p w14:paraId="6FFB445F">
      <w:pPr>
        <w:keepNext/>
        <w:keepLines/>
        <w:spacing w:before="340" w:after="330" w:line="360" w:lineRule="auto"/>
        <w:jc w:val="center"/>
        <w:outlineLvl w:val="0"/>
        <w:rPr>
          <w:rFonts w:ascii="宋体" w:hAnsi="宋体" w:eastAsia="宋体" w:cs="宋体"/>
          <w:b/>
          <w:kern w:val="44"/>
          <w:sz w:val="52"/>
          <w:szCs w:val="20"/>
          <w:highlight w:val="none"/>
          <w:shd w:val="clear" w:color="auto" w:fill="FFFFFF"/>
        </w:rPr>
      </w:pPr>
      <w:bookmarkStart w:id="63" w:name="_Toc13642115"/>
      <w:bookmarkStart w:id="64" w:name="_Toc105940240"/>
      <w:r>
        <w:rPr>
          <w:rFonts w:hint="eastAsia" w:ascii="宋体" w:hAnsi="宋体" w:eastAsia="宋体" w:cs="宋体"/>
          <w:b/>
          <w:kern w:val="44"/>
          <w:sz w:val="52"/>
          <w:szCs w:val="20"/>
          <w:highlight w:val="none"/>
          <w:shd w:val="clear" w:color="auto" w:fill="FFFFFF"/>
        </w:rPr>
        <w:t>第四章 招标书</w:t>
      </w:r>
      <w:bookmarkEnd w:id="63"/>
      <w:bookmarkEnd w:id="64"/>
    </w:p>
    <w:p w14:paraId="72CE83A6">
      <w:pPr>
        <w:spacing w:line="360" w:lineRule="auto"/>
        <w:jc w:val="center"/>
        <w:rPr>
          <w:rFonts w:ascii="宋体" w:hAnsi="宋体" w:eastAsia="宋体" w:cs="宋体"/>
          <w:b/>
          <w:sz w:val="32"/>
          <w:szCs w:val="32"/>
          <w:highlight w:val="none"/>
          <w:shd w:val="clear" w:color="auto" w:fill="FFFFFF"/>
        </w:rPr>
      </w:pPr>
      <w:bookmarkStart w:id="65" w:name="_Toc13543212"/>
      <w:r>
        <w:rPr>
          <w:rFonts w:hint="eastAsia" w:ascii="宋体" w:hAnsi="宋体" w:eastAsia="宋体" w:cs="宋体"/>
          <w:b/>
          <w:sz w:val="48"/>
          <w:szCs w:val="48"/>
          <w:highlight w:val="none"/>
          <w:shd w:val="clear" w:color="auto" w:fill="FFFFFF"/>
        </w:rPr>
        <w:br w:type="page"/>
      </w:r>
      <w:r>
        <w:rPr>
          <w:rFonts w:hint="eastAsia" w:ascii="宋体" w:hAnsi="宋体" w:eastAsia="宋体" w:cs="宋体"/>
          <w:b/>
          <w:sz w:val="32"/>
          <w:szCs w:val="32"/>
          <w:highlight w:val="none"/>
          <w:shd w:val="clear" w:color="auto" w:fill="FFFFFF"/>
        </w:rPr>
        <w:t>招标书</w:t>
      </w:r>
    </w:p>
    <w:bookmarkEnd w:id="65"/>
    <w:p w14:paraId="34E44DDE">
      <w:pPr>
        <w:spacing w:line="360" w:lineRule="auto"/>
        <w:ind w:firstLine="480" w:firstLineChars="20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苏州诚和招投标咨询有限公司受江苏省苏州市中级人民法院的委托，就其所需的苏州法院电子卷宗存储服务项目进行国内公开招标。</w:t>
      </w:r>
      <w:r>
        <w:rPr>
          <w:rFonts w:hint="eastAsia" w:ascii="宋体" w:hAnsi="宋体" w:eastAsia="宋体" w:cs="宋体"/>
          <w:sz w:val="24"/>
          <w:szCs w:val="24"/>
          <w:highlight w:val="none"/>
        </w:rPr>
        <w:t>欢迎符合条件的供应商</w:t>
      </w:r>
      <w:r>
        <w:rPr>
          <w:rFonts w:hint="eastAsia" w:ascii="宋体" w:hAnsi="宋体" w:eastAsia="宋体" w:cs="宋体"/>
          <w:sz w:val="24"/>
          <w:szCs w:val="24"/>
          <w:highlight w:val="none"/>
          <w:shd w:val="clear" w:color="auto" w:fill="FFFFFF"/>
        </w:rPr>
        <w:t>前来参加投标（响应）。</w:t>
      </w:r>
    </w:p>
    <w:p w14:paraId="343DB742">
      <w:pPr>
        <w:adjustRightInd w:val="0"/>
        <w:spacing w:line="360" w:lineRule="auto"/>
        <w:ind w:firstLine="482" w:firstLineChars="200"/>
        <w:jc w:val="left"/>
        <w:outlineLvl w:val="1"/>
        <w:rPr>
          <w:rFonts w:hint="eastAsia" w:ascii="宋体" w:hAnsi="宋体" w:eastAsia="宋体" w:cs="宋体"/>
          <w:b/>
          <w:sz w:val="24"/>
          <w:szCs w:val="24"/>
          <w:highlight w:val="none"/>
          <w:shd w:val="clear" w:color="auto" w:fill="FFFFFF"/>
          <w:lang w:eastAsia="zh-CN"/>
        </w:rPr>
      </w:pPr>
      <w:r>
        <w:rPr>
          <w:rFonts w:hint="eastAsia" w:ascii="宋体" w:hAnsi="宋体" w:eastAsia="宋体" w:cs="宋体"/>
          <w:b/>
          <w:sz w:val="24"/>
          <w:szCs w:val="24"/>
          <w:highlight w:val="none"/>
          <w:shd w:val="clear" w:color="auto" w:fill="FFFFFF"/>
        </w:rPr>
        <w:t>一、招标编号：</w:t>
      </w:r>
      <w:bookmarkStart w:id="66" w:name="OLE_LINK1"/>
      <w:r>
        <w:rPr>
          <w:rFonts w:hint="eastAsia" w:ascii="宋体" w:hAnsi="宋体" w:eastAsia="宋体" w:cs="宋体"/>
          <w:bCs/>
          <w:sz w:val="24"/>
          <w:szCs w:val="24"/>
          <w:highlight w:val="none"/>
          <w:shd w:val="clear" w:color="auto" w:fill="FFFFFF"/>
          <w:lang w:eastAsia="zh-CN"/>
        </w:rPr>
        <w:t>JSZC-320500-SZCH-G2026-0049</w:t>
      </w:r>
    </w:p>
    <w:p w14:paraId="38CFAB71">
      <w:pPr>
        <w:adjustRightInd w:val="0"/>
        <w:spacing w:line="360" w:lineRule="auto"/>
        <w:ind w:firstLine="482" w:firstLineChars="200"/>
        <w:jc w:val="left"/>
        <w:outlineLvl w:val="1"/>
        <w:rPr>
          <w:rFonts w:ascii="宋体" w:hAnsi="宋体" w:eastAsia="宋体" w:cs="宋体"/>
          <w:b/>
          <w:sz w:val="24"/>
          <w:szCs w:val="24"/>
          <w:highlight w:val="none"/>
        </w:rPr>
      </w:pPr>
      <w:r>
        <w:rPr>
          <w:rFonts w:hint="eastAsia" w:ascii="宋体" w:hAnsi="宋体" w:eastAsia="宋体" w:cs="宋体"/>
          <w:b/>
          <w:sz w:val="24"/>
          <w:szCs w:val="24"/>
          <w:highlight w:val="none"/>
        </w:rPr>
        <w:t>二、采购需求</w:t>
      </w:r>
    </w:p>
    <w:p w14:paraId="47A87E26">
      <w:pPr>
        <w:spacing w:line="360" w:lineRule="auto"/>
        <w:ind w:firstLine="480" w:firstLineChars="200"/>
        <w:jc w:val="left"/>
        <w:rPr>
          <w:rFonts w:ascii="宋体" w:hAnsi="宋体" w:eastAsia="宋体" w:cs="宋体"/>
          <w:sz w:val="24"/>
          <w:szCs w:val="24"/>
          <w:highlight w:val="none"/>
          <w:shd w:val="clear" w:color="auto" w:fill="FFFFFF"/>
        </w:rPr>
      </w:pPr>
      <w:bookmarkStart w:id="67" w:name="_Hlk117240744"/>
      <w:r>
        <w:rPr>
          <w:rFonts w:hint="eastAsia" w:ascii="宋体" w:hAnsi="宋体" w:eastAsia="宋体" w:cs="宋体"/>
          <w:sz w:val="24"/>
          <w:szCs w:val="24"/>
          <w:highlight w:val="none"/>
          <w:shd w:val="clear" w:color="auto" w:fill="FFFFFF"/>
        </w:rPr>
        <w:t>1、项目背景</w:t>
      </w:r>
    </w:p>
    <w:p w14:paraId="3C51F3E8">
      <w:pPr>
        <w:spacing w:line="360" w:lineRule="auto"/>
        <w:ind w:firstLine="480" w:firstLineChars="20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为落实省法院卷宗数据本地化部署要求，并支撑本地电子卷宗平台升级，需采购计算及存储服务，保障数据回迁平稳、平台性能提升。为满足上述要求，需要采购符合要求的计算及存储资源，以确保系统能够平稳过渡并实现性能提升。</w:t>
      </w:r>
    </w:p>
    <w:p w14:paraId="5A44F7E4">
      <w:pPr>
        <w:spacing w:line="360" w:lineRule="auto"/>
        <w:ind w:firstLine="480" w:firstLineChars="20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2、采购内容：</w:t>
      </w:r>
    </w:p>
    <w:p w14:paraId="478695EE">
      <w:pPr>
        <w:spacing w:line="360" w:lineRule="auto"/>
        <w:ind w:firstLine="480" w:firstLineChars="20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（1）中标人提供苏州法院电子卷宗存储服务，并提供运维服务；</w:t>
      </w:r>
    </w:p>
    <w:p w14:paraId="67F0816F">
      <w:pPr>
        <w:spacing w:line="360" w:lineRule="auto"/>
        <w:ind w:firstLine="480" w:firstLineChars="20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（2）中标人与采购人的合作模式：一次采购，租赁服务期限为1年；</w:t>
      </w:r>
    </w:p>
    <w:p w14:paraId="7E8DAA16">
      <w:pPr>
        <w:spacing w:line="360" w:lineRule="auto"/>
        <w:ind w:firstLine="480" w:firstLineChars="20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（3）中标人为本项目建设采购的硬件设备及软件，其拥有权属于中标人，使用权属于采购人。</w:t>
      </w:r>
    </w:p>
    <w:p w14:paraId="4A48B6BB">
      <w:pPr>
        <w:spacing w:line="360" w:lineRule="auto"/>
        <w:ind w:firstLine="480" w:firstLineChars="20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3、服务期限：自合同签订之日起一年。</w:t>
      </w:r>
    </w:p>
    <w:bookmarkEnd w:id="67"/>
    <w:p w14:paraId="1BC7BE42">
      <w:pPr>
        <w:adjustRightInd w:val="0"/>
        <w:spacing w:line="360" w:lineRule="auto"/>
        <w:ind w:firstLine="482" w:firstLineChars="200"/>
        <w:jc w:val="left"/>
        <w:outlineLvl w:val="1"/>
        <w:rPr>
          <w:rFonts w:ascii="宋体" w:hAnsi="宋体" w:eastAsia="宋体" w:cs="宋体"/>
          <w:b/>
          <w:sz w:val="24"/>
          <w:szCs w:val="24"/>
          <w:highlight w:val="none"/>
        </w:rPr>
      </w:pPr>
      <w:r>
        <w:rPr>
          <w:rFonts w:hint="eastAsia" w:ascii="宋体" w:hAnsi="宋体" w:eastAsia="宋体" w:cs="宋体"/>
          <w:b/>
          <w:sz w:val="24"/>
          <w:szCs w:val="24"/>
          <w:highlight w:val="none"/>
        </w:rPr>
        <w:t>三、服务（技术）要求</w:t>
      </w:r>
    </w:p>
    <w:p w14:paraId="23118718">
      <w:pPr>
        <w:spacing w:line="276" w:lineRule="auto"/>
        <w:ind w:firstLine="420"/>
        <w:rPr>
          <w:rFonts w:asciiTheme="minorEastAsia" w:hAnsiTheme="minorEastAsia"/>
          <w:szCs w:val="21"/>
          <w:highlight w:val="none"/>
        </w:rPr>
      </w:pPr>
      <w:r>
        <w:rPr>
          <w:rFonts w:hint="eastAsia" w:ascii="宋体" w:hAnsi="宋体" w:eastAsia="宋体" w:cs="宋体"/>
          <w:sz w:val="24"/>
          <w:szCs w:val="24"/>
          <w:highlight w:val="none"/>
          <w:shd w:val="clear" w:color="auto" w:fill="FFFFFF"/>
        </w:rPr>
        <w:t>为满足本项目资源量需求，苏州法院电子卷宗存储服务支撑基础设施需包括以下硬件和</w:t>
      </w:r>
      <w:r>
        <w:rPr>
          <w:rFonts w:hint="eastAsia" w:asciiTheme="minorEastAsia" w:hAnsiTheme="minorEastAsia"/>
          <w:sz w:val="24"/>
          <w:szCs w:val="24"/>
          <w:highlight w:val="none"/>
        </w:rPr>
        <w:t>软件设施：</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5201"/>
        <w:gridCol w:w="778"/>
        <w:gridCol w:w="778"/>
        <w:gridCol w:w="2319"/>
      </w:tblGrid>
      <w:tr w14:paraId="5B0B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tcBorders>
              <w:top w:val="single" w:color="auto" w:sz="4" w:space="0"/>
              <w:left w:val="single" w:color="auto" w:sz="4" w:space="0"/>
              <w:bottom w:val="single" w:color="auto" w:sz="4" w:space="0"/>
              <w:right w:val="single" w:color="auto" w:sz="4" w:space="0"/>
            </w:tcBorders>
            <w:vAlign w:val="center"/>
          </w:tcPr>
          <w:p w14:paraId="2845C11D">
            <w:pPr>
              <w:spacing w:line="276" w:lineRule="auto"/>
              <w:jc w:val="center"/>
              <w:rPr>
                <w:rFonts w:asciiTheme="minorEastAsia" w:hAnsiTheme="minorEastAsia"/>
                <w:b/>
                <w:szCs w:val="21"/>
                <w:highlight w:val="none"/>
              </w:rPr>
            </w:pPr>
            <w:r>
              <w:rPr>
                <w:rFonts w:hint="eastAsia" w:asciiTheme="minorEastAsia" w:hAnsiTheme="minorEastAsia"/>
                <w:b/>
                <w:szCs w:val="21"/>
                <w:highlight w:val="none"/>
              </w:rPr>
              <w:t>序号</w:t>
            </w:r>
          </w:p>
        </w:tc>
        <w:tc>
          <w:tcPr>
            <w:tcW w:w="2639" w:type="pct"/>
            <w:tcBorders>
              <w:top w:val="single" w:color="auto" w:sz="4" w:space="0"/>
              <w:left w:val="single" w:color="auto" w:sz="4" w:space="0"/>
              <w:bottom w:val="single" w:color="auto" w:sz="4" w:space="0"/>
              <w:right w:val="single" w:color="auto" w:sz="4" w:space="0"/>
            </w:tcBorders>
            <w:vAlign w:val="center"/>
          </w:tcPr>
          <w:p w14:paraId="78ADC120">
            <w:pPr>
              <w:spacing w:line="276" w:lineRule="auto"/>
              <w:jc w:val="center"/>
              <w:rPr>
                <w:rFonts w:asciiTheme="minorEastAsia" w:hAnsiTheme="minorEastAsia"/>
                <w:b/>
                <w:szCs w:val="21"/>
                <w:highlight w:val="none"/>
              </w:rPr>
            </w:pPr>
            <w:r>
              <w:rPr>
                <w:rFonts w:hint="eastAsia" w:asciiTheme="minorEastAsia" w:hAnsiTheme="minorEastAsia"/>
                <w:b/>
                <w:szCs w:val="21"/>
                <w:highlight w:val="none"/>
              </w:rPr>
              <w:t>资源要求</w:t>
            </w:r>
          </w:p>
        </w:tc>
        <w:tc>
          <w:tcPr>
            <w:tcW w:w="395" w:type="pct"/>
            <w:tcBorders>
              <w:top w:val="single" w:color="auto" w:sz="4" w:space="0"/>
              <w:left w:val="single" w:color="auto" w:sz="4" w:space="0"/>
              <w:bottom w:val="single" w:color="auto" w:sz="4" w:space="0"/>
              <w:right w:val="single" w:color="auto" w:sz="4" w:space="0"/>
            </w:tcBorders>
            <w:vAlign w:val="center"/>
          </w:tcPr>
          <w:p w14:paraId="4C3334CA">
            <w:pPr>
              <w:spacing w:line="276" w:lineRule="auto"/>
              <w:jc w:val="center"/>
              <w:rPr>
                <w:rFonts w:asciiTheme="minorEastAsia" w:hAnsiTheme="minorEastAsia"/>
                <w:b/>
                <w:szCs w:val="21"/>
                <w:highlight w:val="none"/>
              </w:rPr>
            </w:pPr>
            <w:r>
              <w:rPr>
                <w:rFonts w:hint="eastAsia" w:asciiTheme="minorEastAsia" w:hAnsiTheme="minorEastAsia"/>
                <w:b/>
                <w:szCs w:val="21"/>
                <w:highlight w:val="none"/>
              </w:rPr>
              <w:t>数量</w:t>
            </w:r>
          </w:p>
        </w:tc>
        <w:tc>
          <w:tcPr>
            <w:tcW w:w="395" w:type="pct"/>
            <w:tcBorders>
              <w:top w:val="single" w:color="auto" w:sz="4" w:space="0"/>
              <w:left w:val="single" w:color="auto" w:sz="4" w:space="0"/>
              <w:bottom w:val="single" w:color="auto" w:sz="4" w:space="0"/>
              <w:right w:val="single" w:color="auto" w:sz="4" w:space="0"/>
            </w:tcBorders>
            <w:vAlign w:val="center"/>
          </w:tcPr>
          <w:p w14:paraId="5614A6B6">
            <w:pPr>
              <w:spacing w:line="276" w:lineRule="auto"/>
              <w:jc w:val="center"/>
              <w:rPr>
                <w:rFonts w:asciiTheme="minorEastAsia" w:hAnsiTheme="minorEastAsia"/>
                <w:b/>
                <w:szCs w:val="21"/>
                <w:highlight w:val="none"/>
              </w:rPr>
            </w:pPr>
            <w:r>
              <w:rPr>
                <w:rFonts w:hint="eastAsia" w:asciiTheme="minorEastAsia" w:hAnsiTheme="minorEastAsia"/>
                <w:b/>
                <w:szCs w:val="21"/>
                <w:highlight w:val="none"/>
              </w:rPr>
              <w:t>单位</w:t>
            </w:r>
          </w:p>
        </w:tc>
        <w:tc>
          <w:tcPr>
            <w:tcW w:w="1176" w:type="pct"/>
            <w:tcBorders>
              <w:top w:val="single" w:color="auto" w:sz="4" w:space="0"/>
              <w:left w:val="single" w:color="auto" w:sz="4" w:space="0"/>
              <w:bottom w:val="single" w:color="auto" w:sz="4" w:space="0"/>
              <w:right w:val="single" w:color="auto" w:sz="4" w:space="0"/>
            </w:tcBorders>
            <w:vAlign w:val="center"/>
          </w:tcPr>
          <w:p w14:paraId="5C42E155">
            <w:pPr>
              <w:spacing w:line="276" w:lineRule="auto"/>
              <w:jc w:val="center"/>
              <w:rPr>
                <w:rFonts w:asciiTheme="minorEastAsia" w:hAnsiTheme="minorEastAsia"/>
                <w:b/>
                <w:szCs w:val="21"/>
                <w:highlight w:val="none"/>
              </w:rPr>
            </w:pPr>
            <w:r>
              <w:rPr>
                <w:rFonts w:hint="eastAsia" w:asciiTheme="minorEastAsia" w:hAnsiTheme="minorEastAsia"/>
                <w:b/>
                <w:szCs w:val="21"/>
                <w:highlight w:val="none"/>
              </w:rPr>
              <w:t>配置技术要求</w:t>
            </w:r>
          </w:p>
        </w:tc>
      </w:tr>
      <w:tr w14:paraId="1D999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5357B5D1">
            <w:pPr>
              <w:spacing w:line="276" w:lineRule="auto"/>
              <w:jc w:val="left"/>
              <w:rPr>
                <w:rFonts w:asciiTheme="minorEastAsia" w:hAnsiTheme="minorEastAsia"/>
                <w:b/>
                <w:szCs w:val="21"/>
                <w:highlight w:val="none"/>
              </w:rPr>
            </w:pPr>
            <w:r>
              <w:rPr>
                <w:rFonts w:hint="eastAsia" w:cs="仿宋_GB2312" w:asciiTheme="minorEastAsia" w:hAnsiTheme="minorEastAsia"/>
                <w:b/>
                <w:szCs w:val="21"/>
                <w:highlight w:val="none"/>
              </w:rPr>
              <w:t>云资源节点租赁服务</w:t>
            </w:r>
          </w:p>
        </w:tc>
      </w:tr>
      <w:tr w14:paraId="21D9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tcBorders>
              <w:top w:val="single" w:color="auto" w:sz="4" w:space="0"/>
              <w:left w:val="single" w:color="auto" w:sz="4" w:space="0"/>
              <w:bottom w:val="single" w:color="auto" w:sz="4" w:space="0"/>
              <w:right w:val="single" w:color="auto" w:sz="4" w:space="0"/>
            </w:tcBorders>
            <w:vAlign w:val="center"/>
          </w:tcPr>
          <w:p w14:paraId="5CA17A50">
            <w:pPr>
              <w:spacing w:line="276" w:lineRule="auto"/>
              <w:jc w:val="center"/>
              <w:rPr>
                <w:rFonts w:asciiTheme="minorEastAsia" w:hAnsiTheme="minorEastAsia"/>
                <w:szCs w:val="21"/>
                <w:highlight w:val="none"/>
              </w:rPr>
            </w:pPr>
            <w:r>
              <w:rPr>
                <w:rFonts w:hint="eastAsia" w:asciiTheme="minorEastAsia" w:hAnsiTheme="minorEastAsia"/>
                <w:szCs w:val="21"/>
                <w:highlight w:val="none"/>
              </w:rPr>
              <w:t>1</w:t>
            </w:r>
          </w:p>
        </w:tc>
        <w:tc>
          <w:tcPr>
            <w:tcW w:w="2639" w:type="pct"/>
            <w:tcBorders>
              <w:top w:val="single" w:color="auto" w:sz="4" w:space="0"/>
              <w:left w:val="single" w:color="auto" w:sz="4" w:space="0"/>
              <w:bottom w:val="single" w:color="auto" w:sz="4" w:space="0"/>
              <w:right w:val="single" w:color="auto" w:sz="4" w:space="0"/>
            </w:tcBorders>
            <w:vAlign w:val="center"/>
          </w:tcPr>
          <w:p w14:paraId="58E85CA5">
            <w:pPr>
              <w:spacing w:line="276" w:lineRule="auto"/>
              <w:jc w:val="left"/>
              <w:rPr>
                <w:rFonts w:asciiTheme="minorEastAsia" w:hAnsiTheme="minorEastAsia"/>
                <w:szCs w:val="21"/>
                <w:highlight w:val="none"/>
              </w:rPr>
            </w:pPr>
            <w:r>
              <w:rPr>
                <w:rFonts w:hint="eastAsia" w:ascii="宋体" w:hAnsi="宋体" w:eastAsia="宋体"/>
                <w:szCs w:val="21"/>
                <w:highlight w:val="none"/>
              </w:rPr>
              <w:t>电子卷宗系统构建服务</w:t>
            </w:r>
          </w:p>
        </w:tc>
        <w:tc>
          <w:tcPr>
            <w:tcW w:w="395" w:type="pct"/>
            <w:tcBorders>
              <w:top w:val="single" w:color="auto" w:sz="4" w:space="0"/>
              <w:left w:val="single" w:color="auto" w:sz="4" w:space="0"/>
              <w:bottom w:val="single" w:color="auto" w:sz="4" w:space="0"/>
              <w:right w:val="single" w:color="auto" w:sz="4" w:space="0"/>
            </w:tcBorders>
            <w:vAlign w:val="center"/>
          </w:tcPr>
          <w:p w14:paraId="139023FB">
            <w:pPr>
              <w:spacing w:line="276" w:lineRule="auto"/>
              <w:jc w:val="center"/>
              <w:rPr>
                <w:rFonts w:asciiTheme="minorEastAsia" w:hAnsiTheme="minorEastAsia"/>
                <w:szCs w:val="21"/>
                <w:highlight w:val="none"/>
              </w:rPr>
            </w:pPr>
            <w:r>
              <w:rPr>
                <w:rFonts w:hint="eastAsia" w:asciiTheme="minorEastAsia" w:hAnsiTheme="minorEastAsia"/>
                <w:szCs w:val="21"/>
                <w:highlight w:val="none"/>
              </w:rPr>
              <w:t>1</w:t>
            </w:r>
          </w:p>
        </w:tc>
        <w:tc>
          <w:tcPr>
            <w:tcW w:w="395" w:type="pct"/>
            <w:tcBorders>
              <w:top w:val="single" w:color="auto" w:sz="4" w:space="0"/>
              <w:left w:val="single" w:color="auto" w:sz="4" w:space="0"/>
              <w:bottom w:val="single" w:color="auto" w:sz="4" w:space="0"/>
              <w:right w:val="single" w:color="auto" w:sz="4" w:space="0"/>
            </w:tcBorders>
            <w:vAlign w:val="center"/>
          </w:tcPr>
          <w:p w14:paraId="1AA6A337">
            <w:pPr>
              <w:spacing w:line="276" w:lineRule="auto"/>
              <w:jc w:val="center"/>
              <w:rPr>
                <w:rFonts w:asciiTheme="minorEastAsia" w:hAnsiTheme="minorEastAsia"/>
                <w:szCs w:val="21"/>
                <w:highlight w:val="none"/>
              </w:rPr>
            </w:pPr>
            <w:r>
              <w:rPr>
                <w:rFonts w:hint="eastAsia" w:cs="仿宋_GB2312" w:asciiTheme="minorEastAsia" w:hAnsiTheme="minorEastAsia"/>
                <w:szCs w:val="21"/>
                <w:highlight w:val="none"/>
              </w:rPr>
              <w:t>项</w:t>
            </w:r>
          </w:p>
        </w:tc>
        <w:tc>
          <w:tcPr>
            <w:tcW w:w="1176" w:type="pct"/>
            <w:tcBorders>
              <w:top w:val="single" w:color="auto" w:sz="4" w:space="0"/>
              <w:left w:val="single" w:color="auto" w:sz="4" w:space="0"/>
              <w:bottom w:val="single" w:color="auto" w:sz="4" w:space="0"/>
              <w:right w:val="single" w:color="auto" w:sz="4" w:space="0"/>
            </w:tcBorders>
            <w:vAlign w:val="center"/>
          </w:tcPr>
          <w:p w14:paraId="22DCF8C8">
            <w:pPr>
              <w:spacing w:line="276" w:lineRule="auto"/>
              <w:jc w:val="center"/>
              <w:rPr>
                <w:rFonts w:asciiTheme="minorEastAsia" w:hAnsiTheme="minorEastAsia"/>
                <w:szCs w:val="21"/>
                <w:highlight w:val="none"/>
              </w:rPr>
            </w:pPr>
            <w:r>
              <w:rPr>
                <w:rFonts w:hint="eastAsia" w:asciiTheme="minorEastAsia" w:hAnsiTheme="minorEastAsia"/>
                <w:szCs w:val="21"/>
                <w:highlight w:val="none"/>
              </w:rPr>
              <w:t>详见详细技术要求</w:t>
            </w:r>
          </w:p>
        </w:tc>
      </w:tr>
      <w:tr w14:paraId="17A6B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tcBorders>
              <w:top w:val="single" w:color="auto" w:sz="4" w:space="0"/>
              <w:left w:val="single" w:color="auto" w:sz="4" w:space="0"/>
              <w:bottom w:val="single" w:color="auto" w:sz="4" w:space="0"/>
              <w:right w:val="single" w:color="auto" w:sz="4" w:space="0"/>
            </w:tcBorders>
            <w:vAlign w:val="center"/>
          </w:tcPr>
          <w:p w14:paraId="5F87ECF4">
            <w:pPr>
              <w:spacing w:line="276" w:lineRule="auto"/>
              <w:jc w:val="center"/>
              <w:rPr>
                <w:rFonts w:asciiTheme="minorEastAsia" w:hAnsiTheme="minorEastAsia"/>
                <w:szCs w:val="21"/>
                <w:highlight w:val="none"/>
              </w:rPr>
            </w:pPr>
            <w:r>
              <w:rPr>
                <w:rFonts w:hint="eastAsia" w:asciiTheme="minorEastAsia" w:hAnsiTheme="minorEastAsia"/>
                <w:szCs w:val="21"/>
                <w:highlight w:val="none"/>
              </w:rPr>
              <w:t>2</w:t>
            </w:r>
          </w:p>
        </w:tc>
        <w:tc>
          <w:tcPr>
            <w:tcW w:w="2639" w:type="pct"/>
            <w:tcBorders>
              <w:top w:val="single" w:color="auto" w:sz="4" w:space="0"/>
              <w:left w:val="single" w:color="auto" w:sz="4" w:space="0"/>
              <w:bottom w:val="single" w:color="auto" w:sz="4" w:space="0"/>
              <w:right w:val="single" w:color="auto" w:sz="4" w:space="0"/>
            </w:tcBorders>
            <w:vAlign w:val="center"/>
          </w:tcPr>
          <w:p w14:paraId="6858FDF8">
            <w:pPr>
              <w:spacing w:line="276" w:lineRule="auto"/>
              <w:jc w:val="left"/>
              <w:rPr>
                <w:rFonts w:asciiTheme="minorEastAsia" w:hAnsiTheme="minorEastAsia"/>
                <w:szCs w:val="21"/>
                <w:highlight w:val="none"/>
              </w:rPr>
            </w:pPr>
            <w:r>
              <w:rPr>
                <w:rFonts w:hint="eastAsia" w:ascii="宋体" w:hAnsi="宋体" w:eastAsia="宋体"/>
                <w:szCs w:val="21"/>
                <w:highlight w:val="none"/>
              </w:rPr>
              <w:t>电子卷宗系统计算服务</w:t>
            </w:r>
          </w:p>
        </w:tc>
        <w:tc>
          <w:tcPr>
            <w:tcW w:w="395" w:type="pct"/>
            <w:tcBorders>
              <w:top w:val="single" w:color="auto" w:sz="4" w:space="0"/>
              <w:left w:val="single" w:color="auto" w:sz="4" w:space="0"/>
              <w:bottom w:val="single" w:color="auto" w:sz="4" w:space="0"/>
              <w:right w:val="single" w:color="auto" w:sz="4" w:space="0"/>
            </w:tcBorders>
            <w:vAlign w:val="center"/>
          </w:tcPr>
          <w:p w14:paraId="3ACA3DA1">
            <w:pPr>
              <w:spacing w:line="276" w:lineRule="auto"/>
              <w:jc w:val="center"/>
              <w:rPr>
                <w:rFonts w:asciiTheme="minorEastAsia" w:hAnsiTheme="minorEastAsia"/>
                <w:szCs w:val="21"/>
                <w:highlight w:val="none"/>
              </w:rPr>
            </w:pPr>
            <w:r>
              <w:rPr>
                <w:rStyle w:val="166"/>
                <w:rFonts w:hint="default" w:asciiTheme="minorEastAsia" w:hAnsiTheme="minorEastAsia" w:eastAsiaTheme="minorEastAsia"/>
                <w:sz w:val="21"/>
                <w:szCs w:val="21"/>
                <w:highlight w:val="none"/>
                <w:lang w:bidi="ar"/>
              </w:rPr>
              <w:t>4</w:t>
            </w:r>
          </w:p>
        </w:tc>
        <w:tc>
          <w:tcPr>
            <w:tcW w:w="395" w:type="pct"/>
            <w:tcBorders>
              <w:top w:val="single" w:color="auto" w:sz="4" w:space="0"/>
              <w:left w:val="single" w:color="auto" w:sz="4" w:space="0"/>
              <w:bottom w:val="single" w:color="auto" w:sz="4" w:space="0"/>
              <w:right w:val="single" w:color="auto" w:sz="4" w:space="0"/>
            </w:tcBorders>
            <w:vAlign w:val="center"/>
          </w:tcPr>
          <w:p w14:paraId="36A9912E">
            <w:pPr>
              <w:spacing w:line="276" w:lineRule="auto"/>
              <w:jc w:val="center"/>
              <w:rPr>
                <w:rFonts w:asciiTheme="minorEastAsia" w:hAnsiTheme="minorEastAsia"/>
                <w:szCs w:val="21"/>
                <w:highlight w:val="none"/>
              </w:rPr>
            </w:pPr>
            <w:r>
              <w:rPr>
                <w:rFonts w:hint="eastAsia" w:cs="仿宋_GB2312" w:asciiTheme="minorEastAsia" w:hAnsiTheme="minorEastAsia"/>
                <w:szCs w:val="21"/>
                <w:highlight w:val="none"/>
              </w:rPr>
              <w:t>项</w:t>
            </w:r>
          </w:p>
        </w:tc>
        <w:tc>
          <w:tcPr>
            <w:tcW w:w="1176" w:type="pct"/>
            <w:tcBorders>
              <w:top w:val="single" w:color="auto" w:sz="4" w:space="0"/>
              <w:left w:val="single" w:color="auto" w:sz="4" w:space="0"/>
              <w:bottom w:val="single" w:color="auto" w:sz="4" w:space="0"/>
              <w:right w:val="single" w:color="auto" w:sz="4" w:space="0"/>
            </w:tcBorders>
            <w:vAlign w:val="center"/>
          </w:tcPr>
          <w:p w14:paraId="7B69FA84">
            <w:pPr>
              <w:spacing w:line="276" w:lineRule="auto"/>
              <w:jc w:val="center"/>
              <w:rPr>
                <w:rFonts w:asciiTheme="minorEastAsia" w:hAnsiTheme="minorEastAsia"/>
                <w:szCs w:val="21"/>
                <w:highlight w:val="none"/>
              </w:rPr>
            </w:pPr>
            <w:r>
              <w:rPr>
                <w:rFonts w:hint="eastAsia" w:asciiTheme="minorEastAsia" w:hAnsiTheme="minorEastAsia"/>
                <w:szCs w:val="21"/>
                <w:highlight w:val="none"/>
              </w:rPr>
              <w:t>详见详细技术要求</w:t>
            </w:r>
          </w:p>
        </w:tc>
      </w:tr>
      <w:tr w14:paraId="49CCB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tcBorders>
              <w:top w:val="single" w:color="auto" w:sz="4" w:space="0"/>
              <w:left w:val="single" w:color="auto" w:sz="4" w:space="0"/>
              <w:bottom w:val="single" w:color="auto" w:sz="4" w:space="0"/>
              <w:right w:val="single" w:color="auto" w:sz="4" w:space="0"/>
            </w:tcBorders>
            <w:vAlign w:val="center"/>
          </w:tcPr>
          <w:p w14:paraId="413C6B97">
            <w:pPr>
              <w:spacing w:line="276" w:lineRule="auto"/>
              <w:jc w:val="center"/>
              <w:rPr>
                <w:rFonts w:asciiTheme="minorEastAsia" w:hAnsiTheme="minorEastAsia"/>
                <w:szCs w:val="21"/>
                <w:highlight w:val="none"/>
              </w:rPr>
            </w:pPr>
            <w:r>
              <w:rPr>
                <w:rFonts w:hint="eastAsia" w:asciiTheme="minorEastAsia" w:hAnsiTheme="minorEastAsia"/>
                <w:szCs w:val="21"/>
                <w:highlight w:val="none"/>
              </w:rPr>
              <w:t>3</w:t>
            </w:r>
          </w:p>
        </w:tc>
        <w:tc>
          <w:tcPr>
            <w:tcW w:w="2639" w:type="pct"/>
            <w:tcBorders>
              <w:top w:val="single" w:color="auto" w:sz="4" w:space="0"/>
              <w:left w:val="single" w:color="auto" w:sz="4" w:space="0"/>
              <w:bottom w:val="single" w:color="auto" w:sz="4" w:space="0"/>
              <w:right w:val="single" w:color="auto" w:sz="4" w:space="0"/>
            </w:tcBorders>
            <w:vAlign w:val="center"/>
          </w:tcPr>
          <w:p w14:paraId="3807F95A">
            <w:pPr>
              <w:spacing w:line="276" w:lineRule="auto"/>
              <w:jc w:val="left"/>
              <w:rPr>
                <w:rFonts w:asciiTheme="minorEastAsia" w:hAnsiTheme="minorEastAsia"/>
                <w:szCs w:val="21"/>
                <w:highlight w:val="none"/>
              </w:rPr>
            </w:pPr>
            <w:r>
              <w:rPr>
                <w:rFonts w:hint="eastAsia" w:ascii="宋体" w:hAnsi="宋体" w:eastAsia="宋体"/>
                <w:szCs w:val="21"/>
                <w:highlight w:val="none"/>
              </w:rPr>
              <w:t>电子卷宗系统存储服务</w:t>
            </w:r>
          </w:p>
        </w:tc>
        <w:tc>
          <w:tcPr>
            <w:tcW w:w="395" w:type="pct"/>
            <w:tcBorders>
              <w:top w:val="single" w:color="auto" w:sz="4" w:space="0"/>
              <w:left w:val="single" w:color="auto" w:sz="4" w:space="0"/>
              <w:bottom w:val="single" w:color="auto" w:sz="4" w:space="0"/>
              <w:right w:val="single" w:color="auto" w:sz="4" w:space="0"/>
            </w:tcBorders>
            <w:vAlign w:val="center"/>
          </w:tcPr>
          <w:p w14:paraId="299F2592">
            <w:pPr>
              <w:spacing w:line="276" w:lineRule="auto"/>
              <w:jc w:val="center"/>
              <w:rPr>
                <w:rFonts w:asciiTheme="minorEastAsia" w:hAnsiTheme="minorEastAsia"/>
                <w:szCs w:val="21"/>
                <w:highlight w:val="none"/>
              </w:rPr>
            </w:pPr>
            <w:r>
              <w:rPr>
                <w:rStyle w:val="166"/>
                <w:rFonts w:hint="default" w:asciiTheme="minorEastAsia" w:hAnsiTheme="minorEastAsia" w:eastAsiaTheme="minorEastAsia"/>
                <w:sz w:val="21"/>
                <w:szCs w:val="21"/>
                <w:highlight w:val="none"/>
                <w:lang w:bidi="ar"/>
              </w:rPr>
              <w:t>4</w:t>
            </w:r>
          </w:p>
        </w:tc>
        <w:tc>
          <w:tcPr>
            <w:tcW w:w="395" w:type="pct"/>
            <w:tcBorders>
              <w:top w:val="single" w:color="auto" w:sz="4" w:space="0"/>
              <w:left w:val="single" w:color="auto" w:sz="4" w:space="0"/>
              <w:bottom w:val="single" w:color="auto" w:sz="4" w:space="0"/>
              <w:right w:val="single" w:color="auto" w:sz="4" w:space="0"/>
            </w:tcBorders>
            <w:vAlign w:val="center"/>
          </w:tcPr>
          <w:p w14:paraId="37309FF3">
            <w:pPr>
              <w:spacing w:line="276" w:lineRule="auto"/>
              <w:jc w:val="center"/>
              <w:rPr>
                <w:rFonts w:asciiTheme="minorEastAsia" w:hAnsiTheme="minorEastAsia"/>
                <w:szCs w:val="21"/>
                <w:highlight w:val="none"/>
              </w:rPr>
            </w:pPr>
            <w:r>
              <w:rPr>
                <w:rFonts w:hint="eastAsia" w:cs="仿宋_GB2312" w:asciiTheme="minorEastAsia" w:hAnsiTheme="minorEastAsia"/>
                <w:szCs w:val="21"/>
                <w:highlight w:val="none"/>
              </w:rPr>
              <w:t>项</w:t>
            </w:r>
          </w:p>
        </w:tc>
        <w:tc>
          <w:tcPr>
            <w:tcW w:w="1176" w:type="pct"/>
            <w:tcBorders>
              <w:top w:val="single" w:color="auto" w:sz="4" w:space="0"/>
              <w:left w:val="single" w:color="auto" w:sz="4" w:space="0"/>
              <w:bottom w:val="single" w:color="auto" w:sz="4" w:space="0"/>
              <w:right w:val="single" w:color="auto" w:sz="4" w:space="0"/>
            </w:tcBorders>
            <w:vAlign w:val="center"/>
          </w:tcPr>
          <w:p w14:paraId="0C385605">
            <w:pPr>
              <w:spacing w:line="276" w:lineRule="auto"/>
              <w:jc w:val="center"/>
              <w:rPr>
                <w:rFonts w:asciiTheme="minorEastAsia" w:hAnsiTheme="minorEastAsia"/>
                <w:szCs w:val="21"/>
                <w:highlight w:val="none"/>
              </w:rPr>
            </w:pPr>
            <w:r>
              <w:rPr>
                <w:rFonts w:hint="eastAsia" w:asciiTheme="minorEastAsia" w:hAnsiTheme="minorEastAsia"/>
                <w:szCs w:val="21"/>
                <w:highlight w:val="none"/>
              </w:rPr>
              <w:t>详见详细技术要求</w:t>
            </w:r>
          </w:p>
        </w:tc>
      </w:tr>
      <w:tr w14:paraId="59D81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tcBorders>
              <w:top w:val="single" w:color="auto" w:sz="4" w:space="0"/>
              <w:left w:val="single" w:color="auto" w:sz="4" w:space="0"/>
              <w:bottom w:val="single" w:color="auto" w:sz="4" w:space="0"/>
              <w:right w:val="single" w:color="auto" w:sz="4" w:space="0"/>
            </w:tcBorders>
            <w:vAlign w:val="center"/>
          </w:tcPr>
          <w:p w14:paraId="08746761">
            <w:pPr>
              <w:spacing w:line="276" w:lineRule="auto"/>
              <w:jc w:val="center"/>
              <w:rPr>
                <w:rFonts w:asciiTheme="minorEastAsia" w:hAnsiTheme="minorEastAsia"/>
                <w:szCs w:val="21"/>
                <w:highlight w:val="none"/>
              </w:rPr>
            </w:pPr>
            <w:r>
              <w:rPr>
                <w:rFonts w:hint="eastAsia" w:asciiTheme="minorEastAsia" w:hAnsiTheme="minorEastAsia"/>
                <w:szCs w:val="21"/>
                <w:highlight w:val="none"/>
              </w:rPr>
              <w:t>4</w:t>
            </w:r>
          </w:p>
        </w:tc>
        <w:tc>
          <w:tcPr>
            <w:tcW w:w="2639" w:type="pct"/>
            <w:tcBorders>
              <w:top w:val="single" w:color="auto" w:sz="4" w:space="0"/>
              <w:left w:val="single" w:color="auto" w:sz="4" w:space="0"/>
              <w:bottom w:val="single" w:color="auto" w:sz="4" w:space="0"/>
              <w:right w:val="single" w:color="auto" w:sz="4" w:space="0"/>
            </w:tcBorders>
            <w:vAlign w:val="center"/>
          </w:tcPr>
          <w:p w14:paraId="2F5BD3F9">
            <w:pPr>
              <w:spacing w:line="276" w:lineRule="auto"/>
              <w:jc w:val="left"/>
              <w:rPr>
                <w:rFonts w:asciiTheme="minorEastAsia" w:hAnsiTheme="minorEastAsia"/>
                <w:szCs w:val="21"/>
                <w:highlight w:val="none"/>
              </w:rPr>
            </w:pPr>
            <w:r>
              <w:rPr>
                <w:rFonts w:hint="eastAsia" w:ascii="宋体" w:hAnsi="宋体" w:eastAsia="宋体"/>
                <w:szCs w:val="21"/>
                <w:highlight w:val="none"/>
              </w:rPr>
              <w:t>管理服务</w:t>
            </w:r>
          </w:p>
        </w:tc>
        <w:tc>
          <w:tcPr>
            <w:tcW w:w="395" w:type="pct"/>
            <w:tcBorders>
              <w:top w:val="single" w:color="auto" w:sz="4" w:space="0"/>
              <w:left w:val="single" w:color="auto" w:sz="4" w:space="0"/>
              <w:bottom w:val="single" w:color="auto" w:sz="4" w:space="0"/>
              <w:right w:val="single" w:color="auto" w:sz="4" w:space="0"/>
            </w:tcBorders>
            <w:vAlign w:val="center"/>
          </w:tcPr>
          <w:p w14:paraId="19DF510A">
            <w:pPr>
              <w:spacing w:line="276" w:lineRule="auto"/>
              <w:jc w:val="center"/>
              <w:rPr>
                <w:rFonts w:asciiTheme="minorEastAsia" w:hAnsiTheme="minorEastAsia"/>
                <w:szCs w:val="21"/>
                <w:highlight w:val="none"/>
              </w:rPr>
            </w:pPr>
            <w:r>
              <w:rPr>
                <w:rStyle w:val="166"/>
                <w:rFonts w:hint="default" w:asciiTheme="minorEastAsia" w:hAnsiTheme="minorEastAsia" w:eastAsiaTheme="minorEastAsia"/>
                <w:sz w:val="21"/>
                <w:szCs w:val="21"/>
                <w:highlight w:val="none"/>
              </w:rPr>
              <w:t>2</w:t>
            </w:r>
          </w:p>
        </w:tc>
        <w:tc>
          <w:tcPr>
            <w:tcW w:w="395" w:type="pct"/>
            <w:tcBorders>
              <w:top w:val="single" w:color="auto" w:sz="4" w:space="0"/>
              <w:left w:val="single" w:color="auto" w:sz="4" w:space="0"/>
              <w:bottom w:val="single" w:color="auto" w:sz="4" w:space="0"/>
              <w:right w:val="single" w:color="auto" w:sz="4" w:space="0"/>
            </w:tcBorders>
            <w:vAlign w:val="center"/>
          </w:tcPr>
          <w:p w14:paraId="5AD41530">
            <w:pPr>
              <w:spacing w:line="276" w:lineRule="auto"/>
              <w:jc w:val="center"/>
              <w:rPr>
                <w:rFonts w:asciiTheme="minorEastAsia" w:hAnsiTheme="minorEastAsia"/>
                <w:szCs w:val="21"/>
                <w:highlight w:val="none"/>
              </w:rPr>
            </w:pPr>
            <w:r>
              <w:rPr>
                <w:rFonts w:hint="eastAsia" w:cs="仿宋_GB2312" w:asciiTheme="minorEastAsia" w:hAnsiTheme="minorEastAsia"/>
                <w:szCs w:val="21"/>
                <w:highlight w:val="none"/>
              </w:rPr>
              <w:t>项</w:t>
            </w:r>
          </w:p>
        </w:tc>
        <w:tc>
          <w:tcPr>
            <w:tcW w:w="1176" w:type="pct"/>
            <w:tcBorders>
              <w:top w:val="single" w:color="auto" w:sz="4" w:space="0"/>
              <w:left w:val="single" w:color="auto" w:sz="4" w:space="0"/>
              <w:bottom w:val="single" w:color="auto" w:sz="4" w:space="0"/>
              <w:right w:val="single" w:color="auto" w:sz="4" w:space="0"/>
            </w:tcBorders>
            <w:vAlign w:val="center"/>
          </w:tcPr>
          <w:p w14:paraId="16ED4CDC">
            <w:pPr>
              <w:spacing w:line="276" w:lineRule="auto"/>
              <w:jc w:val="center"/>
              <w:rPr>
                <w:rFonts w:asciiTheme="minorEastAsia" w:hAnsiTheme="minorEastAsia"/>
                <w:szCs w:val="21"/>
                <w:highlight w:val="none"/>
              </w:rPr>
            </w:pPr>
            <w:r>
              <w:rPr>
                <w:rFonts w:hint="eastAsia" w:asciiTheme="minorEastAsia" w:hAnsiTheme="minorEastAsia"/>
                <w:szCs w:val="21"/>
                <w:highlight w:val="none"/>
              </w:rPr>
              <w:t>详见详细技术要求</w:t>
            </w:r>
          </w:p>
        </w:tc>
      </w:tr>
      <w:tr w14:paraId="5A36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5" w:type="pct"/>
            <w:tcBorders>
              <w:top w:val="single" w:color="auto" w:sz="4" w:space="0"/>
              <w:left w:val="single" w:color="auto" w:sz="4" w:space="0"/>
              <w:bottom w:val="single" w:color="auto" w:sz="4" w:space="0"/>
              <w:right w:val="single" w:color="auto" w:sz="4" w:space="0"/>
            </w:tcBorders>
            <w:vAlign w:val="center"/>
          </w:tcPr>
          <w:p w14:paraId="6566CF96">
            <w:pPr>
              <w:spacing w:line="276" w:lineRule="auto"/>
              <w:jc w:val="center"/>
              <w:rPr>
                <w:rFonts w:asciiTheme="minorEastAsia" w:hAnsiTheme="minorEastAsia"/>
                <w:szCs w:val="21"/>
                <w:highlight w:val="none"/>
              </w:rPr>
            </w:pPr>
            <w:r>
              <w:rPr>
                <w:rFonts w:hint="eastAsia" w:asciiTheme="minorEastAsia" w:hAnsiTheme="minorEastAsia"/>
                <w:szCs w:val="21"/>
                <w:highlight w:val="none"/>
              </w:rPr>
              <w:t>5</w:t>
            </w:r>
          </w:p>
        </w:tc>
        <w:tc>
          <w:tcPr>
            <w:tcW w:w="2639" w:type="pct"/>
            <w:tcBorders>
              <w:top w:val="single" w:color="auto" w:sz="4" w:space="0"/>
              <w:left w:val="single" w:color="auto" w:sz="4" w:space="0"/>
              <w:bottom w:val="single" w:color="auto" w:sz="4" w:space="0"/>
              <w:right w:val="single" w:color="auto" w:sz="4" w:space="0"/>
            </w:tcBorders>
            <w:vAlign w:val="center"/>
          </w:tcPr>
          <w:p w14:paraId="30F8F4C2">
            <w:pPr>
              <w:spacing w:line="276" w:lineRule="auto"/>
              <w:jc w:val="left"/>
              <w:rPr>
                <w:rFonts w:asciiTheme="minorEastAsia" w:hAnsiTheme="minorEastAsia"/>
                <w:szCs w:val="21"/>
                <w:highlight w:val="none"/>
              </w:rPr>
            </w:pPr>
            <w:r>
              <w:rPr>
                <w:rFonts w:hint="eastAsia" w:ascii="宋体" w:hAnsi="宋体" w:eastAsia="宋体"/>
                <w:szCs w:val="21"/>
                <w:highlight w:val="none"/>
              </w:rPr>
              <w:t>数据传输服务</w:t>
            </w:r>
          </w:p>
        </w:tc>
        <w:tc>
          <w:tcPr>
            <w:tcW w:w="395" w:type="pct"/>
            <w:tcBorders>
              <w:top w:val="single" w:color="auto" w:sz="4" w:space="0"/>
              <w:left w:val="single" w:color="auto" w:sz="4" w:space="0"/>
              <w:bottom w:val="single" w:color="auto" w:sz="4" w:space="0"/>
              <w:right w:val="single" w:color="auto" w:sz="4" w:space="0"/>
            </w:tcBorders>
            <w:vAlign w:val="center"/>
          </w:tcPr>
          <w:p w14:paraId="333BE5C4">
            <w:pPr>
              <w:spacing w:line="276" w:lineRule="auto"/>
              <w:jc w:val="center"/>
              <w:rPr>
                <w:rFonts w:asciiTheme="minorEastAsia" w:hAnsiTheme="minorEastAsia"/>
                <w:szCs w:val="21"/>
                <w:highlight w:val="none"/>
              </w:rPr>
            </w:pPr>
            <w:r>
              <w:rPr>
                <w:rStyle w:val="166"/>
                <w:rFonts w:hint="default" w:asciiTheme="minorEastAsia" w:hAnsiTheme="minorEastAsia" w:eastAsiaTheme="minorEastAsia"/>
                <w:sz w:val="21"/>
                <w:szCs w:val="21"/>
                <w:highlight w:val="none"/>
              </w:rPr>
              <w:t>2</w:t>
            </w:r>
          </w:p>
        </w:tc>
        <w:tc>
          <w:tcPr>
            <w:tcW w:w="395" w:type="pct"/>
            <w:tcBorders>
              <w:top w:val="single" w:color="auto" w:sz="4" w:space="0"/>
              <w:left w:val="single" w:color="auto" w:sz="4" w:space="0"/>
              <w:bottom w:val="single" w:color="auto" w:sz="4" w:space="0"/>
              <w:right w:val="single" w:color="auto" w:sz="4" w:space="0"/>
            </w:tcBorders>
            <w:vAlign w:val="center"/>
          </w:tcPr>
          <w:p w14:paraId="6BFED02B">
            <w:pPr>
              <w:spacing w:line="276" w:lineRule="auto"/>
              <w:jc w:val="center"/>
              <w:rPr>
                <w:rFonts w:asciiTheme="minorEastAsia" w:hAnsiTheme="minorEastAsia"/>
                <w:szCs w:val="21"/>
                <w:highlight w:val="none"/>
              </w:rPr>
            </w:pPr>
            <w:r>
              <w:rPr>
                <w:rFonts w:hint="eastAsia" w:cs="仿宋_GB2312" w:asciiTheme="minorEastAsia" w:hAnsiTheme="minorEastAsia"/>
                <w:szCs w:val="21"/>
                <w:highlight w:val="none"/>
              </w:rPr>
              <w:t>项</w:t>
            </w:r>
          </w:p>
        </w:tc>
        <w:tc>
          <w:tcPr>
            <w:tcW w:w="1176" w:type="pct"/>
            <w:tcBorders>
              <w:top w:val="single" w:color="auto" w:sz="4" w:space="0"/>
              <w:left w:val="single" w:color="auto" w:sz="4" w:space="0"/>
              <w:bottom w:val="single" w:color="auto" w:sz="4" w:space="0"/>
              <w:right w:val="single" w:color="auto" w:sz="4" w:space="0"/>
            </w:tcBorders>
            <w:vAlign w:val="center"/>
          </w:tcPr>
          <w:p w14:paraId="4CBBC160">
            <w:pPr>
              <w:spacing w:line="276" w:lineRule="auto"/>
              <w:jc w:val="center"/>
              <w:rPr>
                <w:rFonts w:asciiTheme="minorEastAsia" w:hAnsiTheme="minorEastAsia"/>
                <w:szCs w:val="21"/>
                <w:highlight w:val="none"/>
              </w:rPr>
            </w:pPr>
            <w:r>
              <w:rPr>
                <w:rFonts w:hint="eastAsia" w:asciiTheme="minorEastAsia" w:hAnsiTheme="minorEastAsia"/>
                <w:szCs w:val="21"/>
                <w:highlight w:val="none"/>
              </w:rPr>
              <w:t>详见详细技术要求</w:t>
            </w:r>
          </w:p>
        </w:tc>
      </w:tr>
    </w:tbl>
    <w:p w14:paraId="11036745">
      <w:pPr>
        <w:spacing w:line="360" w:lineRule="auto"/>
        <w:ind w:left="211" w:firstLine="211"/>
        <w:outlineLvl w:val="2"/>
        <w:rPr>
          <w:rFonts w:asciiTheme="minorEastAsia" w:hAnsiTheme="minorEastAsia"/>
          <w:b/>
          <w:szCs w:val="21"/>
          <w:highlight w:val="none"/>
        </w:rPr>
      </w:pPr>
      <w:r>
        <w:rPr>
          <w:rFonts w:hint="eastAsia" w:asciiTheme="minorEastAsia" w:hAnsiTheme="minorEastAsia"/>
          <w:b/>
          <w:szCs w:val="21"/>
          <w:highlight w:val="none"/>
        </w:rPr>
        <w:t>云资源节点租赁服务技术要求</w:t>
      </w:r>
    </w:p>
    <w:p w14:paraId="54219559">
      <w:pPr>
        <w:spacing w:line="360" w:lineRule="auto"/>
        <w:ind w:firstLine="420"/>
        <w:jc w:val="left"/>
        <w:rPr>
          <w:rFonts w:asciiTheme="minorEastAsia" w:hAnsiTheme="minorEastAsia"/>
          <w:szCs w:val="21"/>
          <w:highlight w:val="none"/>
        </w:rPr>
      </w:pPr>
      <w:r>
        <w:rPr>
          <w:rFonts w:hint="eastAsia" w:asciiTheme="minorEastAsia" w:hAnsiTheme="minorEastAsia"/>
          <w:szCs w:val="21"/>
          <w:highlight w:val="none"/>
        </w:rPr>
        <w:t>1、</w:t>
      </w:r>
      <w:r>
        <w:rPr>
          <w:rFonts w:hint="eastAsia" w:ascii="宋体" w:hAnsi="宋体" w:eastAsia="宋体"/>
          <w:szCs w:val="21"/>
          <w:highlight w:val="none"/>
        </w:rPr>
        <w:t>电子卷宗系统构建服务</w:t>
      </w:r>
    </w:p>
    <w:tbl>
      <w:tblPr>
        <w:tblStyle w:val="4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3"/>
        <w:gridCol w:w="8711"/>
      </w:tblGrid>
      <w:tr w14:paraId="77D85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tcBorders>
              <w:top w:val="single" w:color="auto" w:sz="4" w:space="0"/>
              <w:left w:val="single" w:color="auto" w:sz="4" w:space="0"/>
              <w:bottom w:val="single" w:color="auto" w:sz="4" w:space="0"/>
              <w:right w:val="single" w:color="auto" w:sz="4" w:space="0"/>
            </w:tcBorders>
            <w:vAlign w:val="center"/>
          </w:tcPr>
          <w:p w14:paraId="0656AE19">
            <w:pPr>
              <w:spacing w:line="276" w:lineRule="auto"/>
              <w:jc w:val="center"/>
              <w:rPr>
                <w:rFonts w:cs="宋体" w:asciiTheme="minorEastAsia" w:hAnsiTheme="minorEastAsia"/>
                <w:szCs w:val="21"/>
                <w:highlight w:val="none"/>
              </w:rPr>
            </w:pPr>
            <w:r>
              <w:rPr>
                <w:rFonts w:hint="eastAsia" w:cs="宋体" w:asciiTheme="minorEastAsia" w:hAnsiTheme="minorEastAsia"/>
                <w:bCs/>
                <w:szCs w:val="21"/>
                <w:highlight w:val="none"/>
                <w14:ligatures w14:val="standardContextual"/>
              </w:rPr>
              <w:t>指标功能</w:t>
            </w:r>
          </w:p>
        </w:tc>
        <w:tc>
          <w:tcPr>
            <w:tcW w:w="4420" w:type="pct"/>
            <w:tcBorders>
              <w:top w:val="single" w:color="auto" w:sz="4" w:space="0"/>
              <w:left w:val="single" w:color="auto" w:sz="4" w:space="0"/>
              <w:bottom w:val="single" w:color="auto" w:sz="4" w:space="0"/>
              <w:right w:val="single" w:color="auto" w:sz="4" w:space="0"/>
            </w:tcBorders>
            <w:vAlign w:val="center"/>
          </w:tcPr>
          <w:p w14:paraId="39DBD34A">
            <w:pPr>
              <w:spacing w:line="276" w:lineRule="auto"/>
              <w:jc w:val="center"/>
              <w:rPr>
                <w:rFonts w:cs="宋体" w:asciiTheme="minorEastAsia" w:hAnsiTheme="minorEastAsia"/>
                <w:szCs w:val="21"/>
                <w:highlight w:val="none"/>
              </w:rPr>
            </w:pPr>
            <w:r>
              <w:rPr>
                <w:rFonts w:hint="eastAsia" w:cs="宋体" w:asciiTheme="minorEastAsia" w:hAnsiTheme="minorEastAsia"/>
                <w:bCs/>
                <w:color w:val="000000"/>
                <w:szCs w:val="21"/>
                <w:highlight w:val="none"/>
              </w:rPr>
              <w:t>技术指标、配置和功能要求</w:t>
            </w:r>
          </w:p>
        </w:tc>
      </w:tr>
      <w:tr w14:paraId="1AF3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vMerge w:val="restart"/>
            <w:tcBorders>
              <w:top w:val="single" w:color="auto" w:sz="4" w:space="0"/>
              <w:left w:val="single" w:color="auto" w:sz="4" w:space="0"/>
              <w:bottom w:val="single" w:color="auto" w:sz="4" w:space="0"/>
              <w:right w:val="single" w:color="auto" w:sz="4" w:space="0"/>
            </w:tcBorders>
            <w:vAlign w:val="center"/>
          </w:tcPr>
          <w:p w14:paraId="2DE704E0">
            <w:pPr>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总体要求</w:t>
            </w:r>
          </w:p>
        </w:tc>
        <w:tc>
          <w:tcPr>
            <w:tcW w:w="4420" w:type="pct"/>
            <w:tcBorders>
              <w:top w:val="single" w:color="auto" w:sz="4" w:space="0"/>
              <w:left w:val="single" w:color="auto" w:sz="4" w:space="0"/>
              <w:bottom w:val="single" w:color="auto" w:sz="4" w:space="0"/>
              <w:right w:val="single" w:color="auto" w:sz="4" w:space="0"/>
            </w:tcBorders>
            <w:vAlign w:val="center"/>
          </w:tcPr>
          <w:p w14:paraId="701D1533">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▲提供不低于8颗物理CPU授权许可，提供不低于700TB分布式存储裸容量授权许可。</w:t>
            </w:r>
          </w:p>
        </w:tc>
      </w:tr>
      <w:tr w14:paraId="0039D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D08552E">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5F9CDE7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采用管控面和数据面分离设计方式，管理节点宕机不能影响云主机业务的正常服务，管理节点仅剩一台的情况下管理UI也不会崩溃。</w:t>
            </w:r>
          </w:p>
        </w:tc>
      </w:tr>
      <w:tr w14:paraId="72A3D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80" w:type="pct"/>
            <w:vMerge w:val="restart"/>
            <w:tcBorders>
              <w:top w:val="single" w:color="auto" w:sz="4" w:space="0"/>
              <w:left w:val="single" w:color="auto" w:sz="4" w:space="0"/>
              <w:bottom w:val="single" w:color="auto" w:sz="4" w:space="0"/>
              <w:right w:val="single" w:color="auto" w:sz="4" w:space="0"/>
            </w:tcBorders>
            <w:vAlign w:val="center"/>
          </w:tcPr>
          <w:p w14:paraId="5B56B3C6">
            <w:pPr>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计算能力</w:t>
            </w:r>
          </w:p>
        </w:tc>
        <w:tc>
          <w:tcPr>
            <w:tcW w:w="4420" w:type="pct"/>
            <w:tcBorders>
              <w:top w:val="single" w:color="auto" w:sz="4" w:space="0"/>
              <w:left w:val="single" w:color="auto" w:sz="4" w:space="0"/>
              <w:bottom w:val="single" w:color="auto" w:sz="4" w:space="0"/>
              <w:right w:val="single" w:color="auto" w:sz="4" w:space="0"/>
            </w:tcBorders>
            <w:vAlign w:val="center"/>
          </w:tcPr>
          <w:p w14:paraId="0B7C6F20">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★支持一云多芯异构兼容管理，支持ARM、X86、MIPS等国产CPU芯片架构体系，同一管理平台下可同时管理ARM、X86、MIPS等异构计算集群资源。（提供功能截图）</w:t>
            </w:r>
          </w:p>
        </w:tc>
      </w:tr>
      <w:tr w14:paraId="675A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DC0D36C">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74641204">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★创建的虚拟机兼容适配现有市场上主流操作系统，包括CentOS、RedHat、SUSE、Ubuntu、FreeBSD、银河麒麟、统信、深度等（提供官网兼容性链接和功能截图）。</w:t>
            </w:r>
          </w:p>
        </w:tc>
      </w:tr>
      <w:tr w14:paraId="0BD97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83AB939">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15E1936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支持云主机生命周期管理，包括创建、启动、暂停、恢复、关闭电源、删除、更换和重置操作系统，支持在线修改云主机管理员密码，支持重置云主机管理密码，满足日常运维需求操作。</w:t>
            </w:r>
          </w:p>
        </w:tc>
      </w:tr>
      <w:tr w14:paraId="25A26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0412EC1">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52DB3F5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支持云主机热迁移，可以将云主机迁移到指定的物理服务器，迁移过程需支持自动收敛。</w:t>
            </w:r>
          </w:p>
        </w:tc>
      </w:tr>
      <w:tr w14:paraId="6110B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5B0618E">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0618B4D5">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支持通过全图形化界面操作将物理GPU设备或vGPU设备加载到云主机。</w:t>
            </w:r>
          </w:p>
        </w:tc>
      </w:tr>
      <w:tr w14:paraId="70EB7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2958657">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5B0458E2">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支持云主机弹性伸缩功能，根据对云主机CPU、内存的使用率进行监控，按照既定策略动态增加或减少云主机数量。</w:t>
            </w:r>
          </w:p>
        </w:tc>
      </w:tr>
      <w:tr w14:paraId="7BAFF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A152AEE">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3379AD0E">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支持虚拟机故障HA功能，当集群中的主机硬件或虚拟化软件发生故障时，该主机上的虚拟机可以在集群之内的其它主机上自动重启，保障业务连续性。</w:t>
            </w:r>
          </w:p>
        </w:tc>
      </w:tr>
      <w:tr w14:paraId="4103C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696B872">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27388C5A">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支持将USB设备映射到云主机中，并支持该已挂载USB设备的云主机在线迁移到其他计算节点位置。</w:t>
            </w:r>
          </w:p>
        </w:tc>
      </w:tr>
      <w:tr w14:paraId="27D9C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vMerge w:val="restart"/>
            <w:tcBorders>
              <w:top w:val="single" w:color="auto" w:sz="4" w:space="0"/>
              <w:left w:val="single" w:color="auto" w:sz="4" w:space="0"/>
              <w:bottom w:val="single" w:color="auto" w:sz="4" w:space="0"/>
              <w:right w:val="single" w:color="auto" w:sz="4" w:space="0"/>
            </w:tcBorders>
            <w:vAlign w:val="center"/>
          </w:tcPr>
          <w:p w14:paraId="05B9D8C7">
            <w:pPr>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网络能力</w:t>
            </w:r>
          </w:p>
        </w:tc>
        <w:tc>
          <w:tcPr>
            <w:tcW w:w="4420" w:type="pct"/>
            <w:tcBorders>
              <w:top w:val="single" w:color="auto" w:sz="4" w:space="0"/>
              <w:left w:val="single" w:color="auto" w:sz="4" w:space="0"/>
              <w:bottom w:val="single" w:color="auto" w:sz="4" w:space="0"/>
              <w:right w:val="single" w:color="auto" w:sz="4" w:space="0"/>
            </w:tcBorders>
            <w:vAlign w:val="center"/>
          </w:tcPr>
          <w:p w14:paraId="47270D23">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云主机可使用IPv4、IPv6或双栈（IPv4+IPv6）类型的网络，并可使用多种网络服务。</w:t>
            </w:r>
          </w:p>
        </w:tc>
      </w:tr>
      <w:tr w14:paraId="1BA5E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FD700B0">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4FC7E64C">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支持VPC路由器高可用功能，当主VPC路由器状态异常，秒级触发高可用切换，自动切换至备VPC路由器工作，保障业务持续稳定运行。</w:t>
            </w:r>
          </w:p>
        </w:tc>
      </w:tr>
      <w:tr w14:paraId="2C091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204EECB">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0553C444">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提供VXLAN和PVLAN功能，满足规模化和精细化的网络管理需求。</w:t>
            </w:r>
          </w:p>
        </w:tc>
      </w:tr>
      <w:tr w14:paraId="075F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3578C0E">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37C74085">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支持分布式DHCP网络服务，任意物理节点的宕机不会对全局网络产生影响，同时避免并发创建云主机产生的网络风暴。</w:t>
            </w:r>
          </w:p>
        </w:tc>
      </w:tr>
      <w:tr w14:paraId="43DE0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9664E9C">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3F5EBF4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提供不限规格和数量的防火墙及负载均衡服务，负载均衡支持轮询、最小连接、源地址哈希、加权轮询等算法，防火墙支持根据报文源目的IP、协议、源目的端口、TCP flag、ICMP Type进行过滤。</w:t>
            </w:r>
          </w:p>
        </w:tc>
      </w:tr>
      <w:tr w14:paraId="1A95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ABEDB89">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18A31BF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支持添加外部SDN控制器，可接管硬件交换机的SDN网络，以大幅提高VXLAN性能。</w:t>
            </w:r>
          </w:p>
        </w:tc>
      </w:tr>
      <w:tr w14:paraId="181EB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F9E5F05">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6156D068">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支持在VPC路由器配置NetFlow服务，支持通过Netflow（包括V5和V9两种数据流输出格式）对VPC路由器网卡的进出流量进行分析监控。</w:t>
            </w:r>
          </w:p>
        </w:tc>
      </w:tr>
      <w:tr w14:paraId="2B7E9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67A0C41">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12BFC326">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支持物理网卡SR-IOV配置，能够在UI界面将物理网卡虚拟化切割成多张VF类型的网卡直接给云主机使用。</w:t>
            </w:r>
          </w:p>
        </w:tc>
      </w:tr>
      <w:tr w14:paraId="2E30F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vMerge w:val="restart"/>
            <w:tcBorders>
              <w:top w:val="single" w:color="auto" w:sz="4" w:space="0"/>
              <w:left w:val="single" w:color="auto" w:sz="4" w:space="0"/>
              <w:bottom w:val="single" w:color="auto" w:sz="4" w:space="0"/>
              <w:right w:val="single" w:color="auto" w:sz="4" w:space="0"/>
            </w:tcBorders>
            <w:vAlign w:val="center"/>
          </w:tcPr>
          <w:p w14:paraId="29ABAB5A">
            <w:pPr>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存储能力</w:t>
            </w:r>
          </w:p>
        </w:tc>
        <w:tc>
          <w:tcPr>
            <w:tcW w:w="4420" w:type="pct"/>
            <w:tcBorders>
              <w:top w:val="single" w:color="auto" w:sz="4" w:space="0"/>
              <w:left w:val="single" w:color="auto" w:sz="4" w:space="0"/>
              <w:bottom w:val="single" w:color="auto" w:sz="4" w:space="0"/>
              <w:right w:val="single" w:color="auto" w:sz="4" w:space="0"/>
            </w:tcBorders>
            <w:vAlign w:val="center"/>
          </w:tcPr>
          <w:p w14:paraId="2EB0D457">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单集群支持同时对接SAN存储和Ceph主存储，针对SAN存储能够支持IP-SAN/FC-SAN 透传。</w:t>
            </w:r>
          </w:p>
        </w:tc>
      </w:tr>
      <w:tr w14:paraId="161F4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102A0ED">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4DC95B43">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系统全冗余架构，管控面、数据面服务须采用高可用架构，任何一个控制器出现故障，不影响数据的正常访问。支持管控节点与数据节点的融合部署，同时支持管控节点与数据节点的分离部署。</w:t>
            </w:r>
          </w:p>
        </w:tc>
      </w:tr>
      <w:tr w14:paraId="330DE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166AFD8">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49E7F1D5">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数据采用分布式保护机制，支持2-6副本策略。</w:t>
            </w:r>
          </w:p>
        </w:tc>
      </w:tr>
      <w:tr w14:paraId="7C36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EAD8B68">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310F0E9E">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为保证数据安全，分布式存储平台需支持对存储池的数据一致性检查，检查策略允许自定义。</w:t>
            </w:r>
          </w:p>
        </w:tc>
      </w:tr>
      <w:tr w14:paraId="146D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vMerge w:val="restart"/>
            <w:tcBorders>
              <w:top w:val="single" w:color="auto" w:sz="4" w:space="0"/>
              <w:left w:val="single" w:color="auto" w:sz="4" w:space="0"/>
              <w:bottom w:val="single" w:color="auto" w:sz="4" w:space="0"/>
              <w:right w:val="single" w:color="auto" w:sz="4" w:space="0"/>
            </w:tcBorders>
            <w:vAlign w:val="center"/>
          </w:tcPr>
          <w:p w14:paraId="68C94106">
            <w:pPr>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运维管理</w:t>
            </w:r>
          </w:p>
        </w:tc>
        <w:tc>
          <w:tcPr>
            <w:tcW w:w="4420" w:type="pct"/>
            <w:tcBorders>
              <w:top w:val="single" w:color="auto" w:sz="4" w:space="0"/>
              <w:left w:val="single" w:color="auto" w:sz="4" w:space="0"/>
              <w:bottom w:val="single" w:color="auto" w:sz="4" w:space="0"/>
              <w:right w:val="single" w:color="auto" w:sz="4" w:space="0"/>
            </w:tcBorders>
            <w:vAlign w:val="center"/>
          </w:tcPr>
          <w:p w14:paraId="08F53020">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支持多区域管理，单集群支持管理物理主机个数≥1000台。支持计算节点集群化管理，能够为指定集群针对性配置CPU超分、内存超分、集群大页开关等配置项。</w:t>
            </w:r>
          </w:p>
        </w:tc>
      </w:tr>
      <w:tr w14:paraId="5956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97AB443">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443A0A7F">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支持秒级计费，支持对CPU、GPU、内存、云盘、公网IP使用情况的计费功能，计费时间支持以秒、分、小时、天为单位。</w:t>
            </w:r>
          </w:p>
        </w:tc>
      </w:tr>
      <w:tr w14:paraId="338D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1B63921">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4A35BA12">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支持动态验证、双因子认证等安全登录方式，额外增加安全码身份验证，增强账号安全。</w:t>
            </w:r>
          </w:p>
        </w:tc>
      </w:tr>
      <w:tr w14:paraId="2DD8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224C5DB">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5F58208B">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支持第三方平台通过配置SNMP参数监控采集平台内虚拟机、物理机、网卡、磁盘等资源的运行情况。可将SNMP Trap接收端加为告警对象，用户可以自行决定推送条目。</w:t>
            </w:r>
          </w:p>
        </w:tc>
      </w:tr>
      <w:tr w14:paraId="7BB37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7F6318D">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7817DE6A">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支持所有资源的审计查询，能够对审计查看调用API名称、消耗时间、任务结果、操作员，任务创建/完成时间，以及API行为的消息详情，且支持CSV格式导出。</w:t>
            </w:r>
          </w:p>
        </w:tc>
      </w:tr>
      <w:tr w14:paraId="4FC3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45662BE">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7D3873CA">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支持在云主机、VPC路由器、负载均衡等实例的VNC控制台粘贴命令文本，无需返回资源列表即可进行停止、重启、恢复、暂停的操作，重启资源后自动重连，方便在非SSH的情况下对云主机的维护。</w:t>
            </w:r>
          </w:p>
        </w:tc>
      </w:tr>
      <w:tr w14:paraId="0F6F7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D975F0B">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180236E4">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监控大屏，可实时刷新云主机CPU和内存使用率最高的云主机、物理机；需实时刷新总体资源用量统计；需实时通过波浪图展示云主机总体CPU和内存负载。支持展示GPU/vGPU的使用量，方便用户实时掌握GPU/vGPU设备的使用情况。</w:t>
            </w:r>
          </w:p>
        </w:tc>
      </w:tr>
      <w:tr w14:paraId="657E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BB8ABD1">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0554448C">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支持分别展示KVM或vCenter大屏。</w:t>
            </w:r>
          </w:p>
        </w:tc>
      </w:tr>
      <w:tr w14:paraId="51CA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80" w:type="pct"/>
            <w:vMerge w:val="restart"/>
            <w:tcBorders>
              <w:top w:val="single" w:color="auto" w:sz="4" w:space="0"/>
              <w:left w:val="single" w:color="auto" w:sz="4" w:space="0"/>
              <w:bottom w:val="single" w:color="auto" w:sz="4" w:space="0"/>
              <w:right w:val="single" w:color="auto" w:sz="4" w:space="0"/>
            </w:tcBorders>
            <w:vAlign w:val="center"/>
          </w:tcPr>
          <w:p w14:paraId="054AAE8B">
            <w:pPr>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开放要求</w:t>
            </w:r>
          </w:p>
        </w:tc>
        <w:tc>
          <w:tcPr>
            <w:tcW w:w="4420" w:type="pct"/>
            <w:tcBorders>
              <w:top w:val="single" w:color="auto" w:sz="4" w:space="0"/>
              <w:left w:val="single" w:color="auto" w:sz="4" w:space="0"/>
              <w:bottom w:val="single" w:color="auto" w:sz="4" w:space="0"/>
              <w:right w:val="single" w:color="auto" w:sz="4" w:space="0"/>
            </w:tcBorders>
            <w:vAlign w:val="center"/>
          </w:tcPr>
          <w:p w14:paraId="064F1E88">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开放所有API接口，支持第三方平台对接，支持通过API密钥发送API指令来访问平台。</w:t>
            </w:r>
          </w:p>
        </w:tc>
      </w:tr>
      <w:tr w14:paraId="7BA02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241E776">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4E7469A4">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支持任意界面一键开启API调用请求实时查看功能，能够在产品页面直接显示调用的API，并可根据API请求类型进行分类查看，提高API对接开发效率。</w:t>
            </w:r>
          </w:p>
        </w:tc>
      </w:tr>
      <w:tr w14:paraId="66CD0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C942287">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034D791C">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★支持与三家及以上现有市场上信息安全厂商产品兼容互认。（提供功能截图）</w:t>
            </w:r>
          </w:p>
        </w:tc>
      </w:tr>
      <w:tr w14:paraId="2679E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B4B00AC">
            <w:pPr>
              <w:widowControl/>
              <w:jc w:val="left"/>
              <w:rPr>
                <w:rFonts w:cs="宋体" w:asciiTheme="minorEastAsia" w:hAnsiTheme="minorEastAsia"/>
                <w:szCs w:val="21"/>
                <w:highlight w:val="none"/>
              </w:rPr>
            </w:pPr>
          </w:p>
        </w:tc>
        <w:tc>
          <w:tcPr>
            <w:tcW w:w="4420" w:type="pct"/>
            <w:tcBorders>
              <w:top w:val="single" w:color="auto" w:sz="4" w:space="0"/>
              <w:left w:val="single" w:color="auto" w:sz="4" w:space="0"/>
              <w:bottom w:val="single" w:color="auto" w:sz="4" w:space="0"/>
              <w:right w:val="single" w:color="auto" w:sz="4" w:space="0"/>
            </w:tcBorders>
            <w:vAlign w:val="center"/>
          </w:tcPr>
          <w:p w14:paraId="240AAD27">
            <w:pPr>
              <w:spacing w:line="276" w:lineRule="auto"/>
              <w:rPr>
                <w:rFonts w:cs="宋体" w:asciiTheme="minorEastAsia" w:hAnsiTheme="minorEastAsia"/>
                <w:szCs w:val="21"/>
                <w:highlight w:val="none"/>
              </w:rPr>
            </w:pPr>
            <w:r>
              <w:rPr>
                <w:rFonts w:hint="eastAsia" w:asciiTheme="minorEastAsia" w:hAnsiTheme="minorEastAsia"/>
                <w:szCs w:val="21"/>
                <w:highlight w:val="none"/>
              </w:rPr>
              <w:t>支持与国产芯片适配。</w:t>
            </w:r>
          </w:p>
        </w:tc>
      </w:tr>
    </w:tbl>
    <w:p w14:paraId="2E8F1ED3">
      <w:pPr>
        <w:spacing w:line="360" w:lineRule="auto"/>
        <w:ind w:left="211" w:firstLine="211"/>
        <w:outlineLvl w:val="2"/>
        <w:rPr>
          <w:rFonts w:asciiTheme="minorEastAsia" w:hAnsiTheme="minorEastAsia"/>
          <w:bCs/>
          <w:szCs w:val="21"/>
          <w:highlight w:val="none"/>
        </w:rPr>
      </w:pPr>
      <w:r>
        <w:rPr>
          <w:rFonts w:hint="eastAsia" w:asciiTheme="minorEastAsia" w:hAnsiTheme="minorEastAsia"/>
          <w:bCs/>
          <w:szCs w:val="21"/>
          <w:highlight w:val="none"/>
        </w:rPr>
        <w:t>2、</w:t>
      </w:r>
      <w:r>
        <w:rPr>
          <w:rFonts w:hint="eastAsia" w:ascii="宋体" w:hAnsi="宋体" w:eastAsia="宋体"/>
          <w:szCs w:val="21"/>
          <w:highlight w:val="none"/>
        </w:rPr>
        <w:t>电子卷宗系统计算服务</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7"/>
        <w:gridCol w:w="8567"/>
      </w:tblGrid>
      <w:tr w14:paraId="4EF3D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1F82A1EA">
            <w:pPr>
              <w:widowControl/>
              <w:spacing w:line="276" w:lineRule="auto"/>
              <w:jc w:val="center"/>
              <w:rPr>
                <w:rFonts w:cs="宋体" w:asciiTheme="minorEastAsia" w:hAnsiTheme="minorEastAsia"/>
                <w:szCs w:val="21"/>
                <w:highlight w:val="none"/>
              </w:rPr>
            </w:pPr>
            <w:r>
              <w:rPr>
                <w:rFonts w:hint="eastAsia" w:cs="宋体" w:asciiTheme="minorEastAsia" w:hAnsiTheme="minorEastAsia"/>
                <w:bCs/>
                <w:szCs w:val="21"/>
                <w:highlight w:val="none"/>
                <w14:ligatures w14:val="standardContextual"/>
              </w:rPr>
              <w:t>指标功能</w:t>
            </w:r>
          </w:p>
        </w:tc>
        <w:tc>
          <w:tcPr>
            <w:tcW w:w="4347" w:type="pct"/>
            <w:tcBorders>
              <w:top w:val="single" w:color="auto" w:sz="4" w:space="0"/>
              <w:left w:val="single" w:color="auto" w:sz="4" w:space="0"/>
              <w:bottom w:val="single" w:color="auto" w:sz="4" w:space="0"/>
              <w:right w:val="single" w:color="auto" w:sz="4" w:space="0"/>
            </w:tcBorders>
            <w:vAlign w:val="center"/>
          </w:tcPr>
          <w:p w14:paraId="1A0A40BA">
            <w:pPr>
              <w:widowControl/>
              <w:spacing w:line="276" w:lineRule="auto"/>
              <w:jc w:val="center"/>
              <w:rPr>
                <w:rFonts w:cs="宋体" w:asciiTheme="minorEastAsia" w:hAnsiTheme="minorEastAsia"/>
                <w:szCs w:val="21"/>
                <w:highlight w:val="none"/>
              </w:rPr>
            </w:pPr>
            <w:r>
              <w:rPr>
                <w:rFonts w:hint="eastAsia" w:cs="宋体" w:asciiTheme="minorEastAsia" w:hAnsiTheme="minorEastAsia"/>
                <w:bCs/>
                <w:color w:val="000000"/>
                <w:szCs w:val="21"/>
                <w:highlight w:val="none"/>
              </w:rPr>
              <w:t>技术指标、配置和功能要求</w:t>
            </w:r>
          </w:p>
        </w:tc>
      </w:tr>
      <w:tr w14:paraId="5690D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04BF95EB">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总体要求</w:t>
            </w:r>
          </w:p>
        </w:tc>
        <w:tc>
          <w:tcPr>
            <w:tcW w:w="4347" w:type="pct"/>
            <w:tcBorders>
              <w:top w:val="single" w:color="auto" w:sz="4" w:space="0"/>
              <w:left w:val="single" w:color="auto" w:sz="4" w:space="0"/>
              <w:bottom w:val="single" w:color="auto" w:sz="4" w:space="0"/>
              <w:right w:val="single" w:color="auto" w:sz="4" w:space="0"/>
            </w:tcBorders>
            <w:vAlign w:val="center"/>
          </w:tcPr>
          <w:p w14:paraId="5A544E8C">
            <w:pPr>
              <w:widowControl/>
              <w:spacing w:line="276" w:lineRule="auto"/>
              <w:jc w:val="left"/>
              <w:rPr>
                <w:rFonts w:cs="宋体" w:asciiTheme="minorEastAsia" w:hAnsiTheme="minorEastAsia"/>
                <w:szCs w:val="21"/>
                <w:highlight w:val="none"/>
              </w:rPr>
            </w:pPr>
            <w:r>
              <w:rPr>
                <w:rFonts w:hint="eastAsia" w:asciiTheme="minorEastAsia" w:hAnsiTheme="minorEastAsia"/>
                <w:szCs w:val="21"/>
                <w:highlight w:val="none"/>
              </w:rPr>
              <w:t>▲</w:t>
            </w:r>
            <w:r>
              <w:rPr>
                <w:rFonts w:hint="eastAsia" w:cs="宋体" w:asciiTheme="minorEastAsia" w:hAnsiTheme="minorEastAsia"/>
                <w:szCs w:val="21"/>
                <w:highlight w:val="none"/>
              </w:rPr>
              <w:t>国产自主处理器品牌，采用arm架构</w:t>
            </w:r>
          </w:p>
        </w:tc>
      </w:tr>
      <w:tr w14:paraId="6DC0D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76A96662">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规格要求</w:t>
            </w:r>
          </w:p>
        </w:tc>
        <w:tc>
          <w:tcPr>
            <w:tcW w:w="4347" w:type="pct"/>
            <w:tcBorders>
              <w:top w:val="single" w:color="auto" w:sz="4" w:space="0"/>
              <w:left w:val="single" w:color="auto" w:sz="4" w:space="0"/>
              <w:bottom w:val="single" w:color="auto" w:sz="4" w:space="0"/>
              <w:right w:val="single" w:color="auto" w:sz="4" w:space="0"/>
            </w:tcBorders>
            <w:vAlign w:val="center"/>
          </w:tcPr>
          <w:p w14:paraId="16A5B8D9">
            <w:pPr>
              <w:widowControl/>
              <w:spacing w:line="276" w:lineRule="auto"/>
              <w:jc w:val="left"/>
              <w:rPr>
                <w:rFonts w:cs="宋体" w:asciiTheme="minorEastAsia" w:hAnsiTheme="minorEastAsia"/>
                <w:szCs w:val="21"/>
                <w:highlight w:val="none"/>
              </w:rPr>
            </w:pPr>
            <w:r>
              <w:rPr>
                <w:rFonts w:hint="eastAsia" w:cs="宋体" w:asciiTheme="minorEastAsia" w:hAnsiTheme="minorEastAsia"/>
                <w:szCs w:val="21"/>
                <w:highlight w:val="none"/>
              </w:rPr>
              <w:t>≥2U机架式</w:t>
            </w:r>
          </w:p>
        </w:tc>
      </w:tr>
      <w:tr w14:paraId="16BB5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676BF6BC">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处理器</w:t>
            </w:r>
          </w:p>
        </w:tc>
        <w:tc>
          <w:tcPr>
            <w:tcW w:w="4347" w:type="pct"/>
            <w:tcBorders>
              <w:top w:val="single" w:color="auto" w:sz="4" w:space="0"/>
              <w:left w:val="single" w:color="auto" w:sz="4" w:space="0"/>
              <w:bottom w:val="single" w:color="auto" w:sz="4" w:space="0"/>
              <w:right w:val="single" w:color="auto" w:sz="4" w:space="0"/>
            </w:tcBorders>
            <w:vAlign w:val="center"/>
          </w:tcPr>
          <w:p w14:paraId="631C8E84">
            <w:pPr>
              <w:widowControl/>
              <w:spacing w:line="276" w:lineRule="auto"/>
              <w:jc w:val="left"/>
              <w:rPr>
                <w:rFonts w:cs="宋体" w:asciiTheme="minorEastAsia" w:hAnsiTheme="minorEastAsia"/>
                <w:szCs w:val="21"/>
                <w:highlight w:val="none"/>
              </w:rPr>
            </w:pPr>
            <w:r>
              <w:rPr>
                <w:rFonts w:hint="eastAsia" w:asciiTheme="minorEastAsia" w:hAnsiTheme="minorEastAsia"/>
                <w:szCs w:val="21"/>
                <w:highlight w:val="none"/>
              </w:rPr>
              <w:t>▲</w:t>
            </w:r>
            <w:r>
              <w:rPr>
                <w:rFonts w:hint="eastAsia" w:cs="宋体" w:asciiTheme="minorEastAsia" w:hAnsiTheme="minorEastAsia"/>
                <w:szCs w:val="21"/>
                <w:highlight w:val="none"/>
              </w:rPr>
              <w:t>配置≥2颗处理器，单颗核心数≥64核，主频≥2.6GHz；</w:t>
            </w:r>
          </w:p>
        </w:tc>
      </w:tr>
      <w:tr w14:paraId="45FDC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2D7B6904">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内存</w:t>
            </w:r>
          </w:p>
        </w:tc>
        <w:tc>
          <w:tcPr>
            <w:tcW w:w="4347" w:type="pct"/>
            <w:tcBorders>
              <w:top w:val="single" w:color="auto" w:sz="4" w:space="0"/>
              <w:left w:val="single" w:color="auto" w:sz="4" w:space="0"/>
              <w:bottom w:val="single" w:color="auto" w:sz="4" w:space="0"/>
              <w:right w:val="single" w:color="auto" w:sz="4" w:space="0"/>
            </w:tcBorders>
            <w:vAlign w:val="center"/>
          </w:tcPr>
          <w:p w14:paraId="46477ED3">
            <w:pPr>
              <w:widowControl/>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采用ECC DDR4 内存，配置容量≥768GB，内存工作频率≥3200MHz，≥32个内存扩展插槽；</w:t>
            </w:r>
          </w:p>
        </w:tc>
      </w:tr>
      <w:tr w14:paraId="176E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44789504">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硬盘</w:t>
            </w:r>
          </w:p>
        </w:tc>
        <w:tc>
          <w:tcPr>
            <w:tcW w:w="4347" w:type="pct"/>
            <w:tcBorders>
              <w:top w:val="single" w:color="auto" w:sz="4" w:space="0"/>
              <w:left w:val="single" w:color="auto" w:sz="4" w:space="0"/>
              <w:bottom w:val="single" w:color="auto" w:sz="4" w:space="0"/>
              <w:right w:val="single" w:color="auto" w:sz="4" w:space="0"/>
            </w:tcBorders>
            <w:vAlign w:val="center"/>
          </w:tcPr>
          <w:p w14:paraId="6C2B1C07">
            <w:pPr>
              <w:widowControl/>
              <w:spacing w:line="276" w:lineRule="auto"/>
              <w:jc w:val="left"/>
              <w:rPr>
                <w:rFonts w:cs="宋体" w:asciiTheme="minorEastAsia" w:hAnsiTheme="minorEastAsia"/>
                <w:szCs w:val="21"/>
                <w:highlight w:val="none"/>
              </w:rPr>
            </w:pPr>
            <w:r>
              <w:rPr>
                <w:rFonts w:hint="eastAsia" w:cs="宋体" w:asciiTheme="minorEastAsia" w:hAnsiTheme="minorEastAsia"/>
                <w:szCs w:val="21"/>
                <w:highlight w:val="none"/>
              </w:rPr>
              <w:t>配置≥2*480GB SSD硬盘，≥10块3.84TB SSD硬盘。支持最多16个3.5英寸或27个2.5英寸SAS/SATA HDD硬盘、SAS/SATA SSD硬盘或16个2.5英寸NVMe SSD硬盘扩展；</w:t>
            </w:r>
          </w:p>
        </w:tc>
      </w:tr>
      <w:tr w14:paraId="7581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63E9E57D">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RAID卡</w:t>
            </w:r>
          </w:p>
        </w:tc>
        <w:tc>
          <w:tcPr>
            <w:tcW w:w="4347" w:type="pct"/>
            <w:tcBorders>
              <w:top w:val="single" w:color="auto" w:sz="4" w:space="0"/>
              <w:left w:val="single" w:color="auto" w:sz="4" w:space="0"/>
              <w:bottom w:val="single" w:color="auto" w:sz="4" w:space="0"/>
              <w:right w:val="single" w:color="auto" w:sz="4" w:space="0"/>
            </w:tcBorders>
            <w:vAlign w:val="center"/>
          </w:tcPr>
          <w:p w14:paraId="0B30D8E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配置≥1块独立磁盘阵列控制器，支持RAID0/1/10</w:t>
            </w:r>
          </w:p>
        </w:tc>
      </w:tr>
      <w:tr w14:paraId="03D9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7FCB18A0">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接口</w:t>
            </w:r>
          </w:p>
        </w:tc>
        <w:tc>
          <w:tcPr>
            <w:tcW w:w="4347" w:type="pct"/>
            <w:tcBorders>
              <w:top w:val="single" w:color="auto" w:sz="4" w:space="0"/>
              <w:left w:val="single" w:color="auto" w:sz="4" w:space="0"/>
              <w:bottom w:val="single" w:color="auto" w:sz="4" w:space="0"/>
              <w:right w:val="single" w:color="auto" w:sz="4" w:space="0"/>
            </w:tcBorders>
            <w:vAlign w:val="center"/>
          </w:tcPr>
          <w:p w14:paraId="5CB5796C">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配置≥4个USB 3.0接口，≥1个千兆网络管理端口，≥1个串口；≥1个VGA接口。</w:t>
            </w:r>
          </w:p>
        </w:tc>
      </w:tr>
      <w:tr w14:paraId="40C6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6A274DBD">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网络</w:t>
            </w:r>
          </w:p>
        </w:tc>
        <w:tc>
          <w:tcPr>
            <w:tcW w:w="4347" w:type="pct"/>
            <w:tcBorders>
              <w:top w:val="single" w:color="auto" w:sz="4" w:space="0"/>
              <w:left w:val="single" w:color="auto" w:sz="4" w:space="0"/>
              <w:bottom w:val="single" w:color="auto" w:sz="4" w:space="0"/>
              <w:right w:val="single" w:color="auto" w:sz="4" w:space="0"/>
            </w:tcBorders>
            <w:vAlign w:val="center"/>
          </w:tcPr>
          <w:p w14:paraId="34651DD3">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配置≥4个千兆电口，≥2张双口万兆光网卡，不低于10G多模光模块</w:t>
            </w:r>
          </w:p>
        </w:tc>
      </w:tr>
      <w:tr w14:paraId="2D15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41FE6B11">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PCI-E插槽</w:t>
            </w:r>
          </w:p>
        </w:tc>
        <w:tc>
          <w:tcPr>
            <w:tcW w:w="4347" w:type="pct"/>
            <w:tcBorders>
              <w:top w:val="single" w:color="auto" w:sz="4" w:space="0"/>
              <w:left w:val="single" w:color="auto" w:sz="4" w:space="0"/>
              <w:bottom w:val="single" w:color="auto" w:sz="4" w:space="0"/>
              <w:right w:val="single" w:color="auto" w:sz="4" w:space="0"/>
            </w:tcBorders>
            <w:vAlign w:val="center"/>
          </w:tcPr>
          <w:p w14:paraId="3DA52471">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支持≥9个PCIe4.0 PCIe接口，其中1个为RAID扣卡专用的PCIe扩展槽位，另外8个为标准的PCIe扩展槽位。</w:t>
            </w:r>
          </w:p>
        </w:tc>
      </w:tr>
      <w:tr w14:paraId="12F1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20921767">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电源</w:t>
            </w:r>
          </w:p>
        </w:tc>
        <w:tc>
          <w:tcPr>
            <w:tcW w:w="4347" w:type="pct"/>
            <w:tcBorders>
              <w:top w:val="single" w:color="auto" w:sz="4" w:space="0"/>
              <w:left w:val="single" w:color="auto" w:sz="4" w:space="0"/>
              <w:bottom w:val="single" w:color="auto" w:sz="4" w:space="0"/>
              <w:right w:val="single" w:color="auto" w:sz="4" w:space="0"/>
            </w:tcBorders>
            <w:vAlign w:val="center"/>
          </w:tcPr>
          <w:p w14:paraId="3FF7BE3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配置≥2个铂金超高效率电源，支持热插拔及1+1冗余，单电源功率≥900W，提供配套的电源连接线；</w:t>
            </w:r>
          </w:p>
        </w:tc>
      </w:tr>
      <w:tr w14:paraId="4A3BD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vMerge w:val="restart"/>
            <w:tcBorders>
              <w:top w:val="single" w:color="auto" w:sz="4" w:space="0"/>
              <w:left w:val="single" w:color="auto" w:sz="4" w:space="0"/>
              <w:bottom w:val="single" w:color="auto" w:sz="4" w:space="0"/>
              <w:right w:val="single" w:color="auto" w:sz="4" w:space="0"/>
            </w:tcBorders>
            <w:vAlign w:val="center"/>
          </w:tcPr>
          <w:p w14:paraId="00268109">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安全性要求</w:t>
            </w:r>
          </w:p>
        </w:tc>
        <w:tc>
          <w:tcPr>
            <w:tcW w:w="4347" w:type="pct"/>
            <w:tcBorders>
              <w:top w:val="single" w:color="auto" w:sz="4" w:space="0"/>
              <w:left w:val="single" w:color="auto" w:sz="4" w:space="0"/>
              <w:bottom w:val="single" w:color="auto" w:sz="4" w:space="0"/>
              <w:right w:val="single" w:color="auto" w:sz="4" w:space="0"/>
            </w:tcBorders>
            <w:vAlign w:val="center"/>
          </w:tcPr>
          <w:p w14:paraId="26B3E4A3">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★1.服务器管理系统支持国产自研管理芯片；（提供知识产权证明）</w:t>
            </w:r>
          </w:p>
        </w:tc>
      </w:tr>
      <w:tr w14:paraId="4DDE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E01404A">
            <w:pPr>
              <w:widowControl/>
              <w:jc w:val="left"/>
              <w:rPr>
                <w:rFonts w:cs="宋体" w:asciiTheme="minorEastAsia" w:hAnsiTheme="minorEastAsia"/>
                <w:szCs w:val="21"/>
                <w:highlight w:val="none"/>
              </w:rPr>
            </w:pPr>
          </w:p>
        </w:tc>
        <w:tc>
          <w:tcPr>
            <w:tcW w:w="4347" w:type="pct"/>
            <w:tcBorders>
              <w:top w:val="single" w:color="auto" w:sz="4" w:space="0"/>
              <w:left w:val="single" w:color="auto" w:sz="4" w:space="0"/>
              <w:bottom w:val="single" w:color="auto" w:sz="4" w:space="0"/>
              <w:right w:val="single" w:color="auto" w:sz="4" w:space="0"/>
            </w:tcBorders>
            <w:vAlign w:val="center"/>
          </w:tcPr>
          <w:p w14:paraId="22D1AA00">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★2.服务器管理软件通过完善的信息安全评估，包括保密性、完善性、抗抵赖性、可核查性测试；（提供测试证明）</w:t>
            </w:r>
          </w:p>
        </w:tc>
      </w:tr>
      <w:tr w14:paraId="5E87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A0A7539">
            <w:pPr>
              <w:widowControl/>
              <w:jc w:val="left"/>
              <w:rPr>
                <w:rFonts w:cs="宋体" w:asciiTheme="minorEastAsia" w:hAnsiTheme="minorEastAsia"/>
                <w:szCs w:val="21"/>
                <w:highlight w:val="none"/>
              </w:rPr>
            </w:pPr>
          </w:p>
        </w:tc>
        <w:tc>
          <w:tcPr>
            <w:tcW w:w="4347" w:type="pct"/>
            <w:tcBorders>
              <w:top w:val="single" w:color="auto" w:sz="4" w:space="0"/>
              <w:left w:val="single" w:color="auto" w:sz="4" w:space="0"/>
              <w:bottom w:val="single" w:color="auto" w:sz="4" w:space="0"/>
              <w:right w:val="single" w:color="auto" w:sz="4" w:space="0"/>
            </w:tcBorders>
            <w:vAlign w:val="center"/>
          </w:tcPr>
          <w:p w14:paraId="00DC598F">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★3.服务器管理软件通过安全渗透测试，包含认证安全、权限管理安全、会话安全、信息泄露安全、输入输出合法性安全性测试；（提供测试证明）</w:t>
            </w:r>
          </w:p>
        </w:tc>
      </w:tr>
      <w:tr w14:paraId="7F96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114BE8C6">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可管理性</w:t>
            </w:r>
          </w:p>
        </w:tc>
        <w:tc>
          <w:tcPr>
            <w:tcW w:w="4347" w:type="pct"/>
            <w:tcBorders>
              <w:top w:val="single" w:color="auto" w:sz="4" w:space="0"/>
              <w:left w:val="single" w:color="auto" w:sz="4" w:space="0"/>
              <w:bottom w:val="single" w:color="auto" w:sz="4" w:space="0"/>
              <w:right w:val="single" w:color="auto" w:sz="4" w:space="0"/>
            </w:tcBorders>
            <w:vAlign w:val="center"/>
          </w:tcPr>
          <w:p w14:paraId="20952153">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可管理和维护性：1.集成系统管理支持：电源启动和关闭、风扇监视和控制、电源监控、温度监控、本地固件更新、错误日志；2.具有图形管理界面及其他高级管理功能；3.配置独立的远程管理控制端口，支持远程监控图形界面，可实现与操作系统无关的远程对服务器的完全控制，包括远程的开机、关机、重启、虚拟软驱、虚拟光驱等操作。</w:t>
            </w:r>
          </w:p>
        </w:tc>
      </w:tr>
      <w:tr w14:paraId="3130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07DDDD93">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操作系统</w:t>
            </w:r>
          </w:p>
        </w:tc>
        <w:tc>
          <w:tcPr>
            <w:tcW w:w="4347" w:type="pct"/>
            <w:tcBorders>
              <w:top w:val="single" w:color="auto" w:sz="4" w:space="0"/>
              <w:left w:val="single" w:color="auto" w:sz="4" w:space="0"/>
              <w:bottom w:val="single" w:color="auto" w:sz="4" w:space="0"/>
              <w:right w:val="single" w:color="auto" w:sz="4" w:space="0"/>
            </w:tcBorders>
            <w:vAlign w:val="center"/>
          </w:tcPr>
          <w:p w14:paraId="33A0548A">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支持统信UOS、中标麒麟、银河麒麟等国产化操作系统。</w:t>
            </w:r>
          </w:p>
        </w:tc>
      </w:tr>
      <w:tr w14:paraId="1585E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vMerge w:val="restart"/>
            <w:tcBorders>
              <w:top w:val="single" w:color="auto" w:sz="4" w:space="0"/>
              <w:left w:val="single" w:color="auto" w:sz="4" w:space="0"/>
              <w:bottom w:val="single" w:color="auto" w:sz="4" w:space="0"/>
              <w:right w:val="single" w:color="auto" w:sz="4" w:space="0"/>
            </w:tcBorders>
            <w:vAlign w:val="center"/>
          </w:tcPr>
          <w:p w14:paraId="2FF02B85">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产品质量</w:t>
            </w:r>
          </w:p>
        </w:tc>
        <w:tc>
          <w:tcPr>
            <w:tcW w:w="4347" w:type="pct"/>
            <w:tcBorders>
              <w:top w:val="single" w:color="auto" w:sz="4" w:space="0"/>
              <w:left w:val="single" w:color="auto" w:sz="4" w:space="0"/>
              <w:bottom w:val="single" w:color="auto" w:sz="4" w:space="0"/>
              <w:right w:val="single" w:color="auto" w:sz="4" w:space="0"/>
            </w:tcBorders>
            <w:vAlign w:val="center"/>
          </w:tcPr>
          <w:p w14:paraId="7B685644">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★1.产品通过盐雾测试，保护等级达到10级；（提供检测报告）</w:t>
            </w:r>
          </w:p>
        </w:tc>
      </w:tr>
      <w:tr w14:paraId="6CE07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6AA85EB">
            <w:pPr>
              <w:widowControl/>
              <w:jc w:val="left"/>
              <w:rPr>
                <w:rFonts w:cs="宋体" w:asciiTheme="minorEastAsia" w:hAnsiTheme="minorEastAsia"/>
                <w:szCs w:val="21"/>
                <w:highlight w:val="none"/>
              </w:rPr>
            </w:pPr>
          </w:p>
        </w:tc>
        <w:tc>
          <w:tcPr>
            <w:tcW w:w="4347" w:type="pct"/>
            <w:tcBorders>
              <w:top w:val="single" w:color="auto" w:sz="4" w:space="0"/>
              <w:left w:val="single" w:color="auto" w:sz="4" w:space="0"/>
              <w:bottom w:val="single" w:color="auto" w:sz="4" w:space="0"/>
              <w:right w:val="single" w:color="auto" w:sz="4" w:space="0"/>
            </w:tcBorders>
            <w:vAlign w:val="center"/>
          </w:tcPr>
          <w:p w14:paraId="1164CE51">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★2.正常工作交流电源端口雷击抗扰度≥2.5kV；（提供检测报告）</w:t>
            </w:r>
          </w:p>
        </w:tc>
      </w:tr>
      <w:tr w14:paraId="7B625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66B35EA">
            <w:pPr>
              <w:widowControl/>
              <w:jc w:val="left"/>
              <w:rPr>
                <w:rFonts w:cs="宋体" w:asciiTheme="minorEastAsia" w:hAnsiTheme="minorEastAsia"/>
                <w:szCs w:val="21"/>
                <w:highlight w:val="none"/>
              </w:rPr>
            </w:pPr>
          </w:p>
        </w:tc>
        <w:tc>
          <w:tcPr>
            <w:tcW w:w="4347" w:type="pct"/>
            <w:tcBorders>
              <w:top w:val="single" w:color="auto" w:sz="4" w:space="0"/>
              <w:left w:val="single" w:color="auto" w:sz="4" w:space="0"/>
              <w:bottom w:val="single" w:color="auto" w:sz="4" w:space="0"/>
              <w:right w:val="single" w:color="auto" w:sz="4" w:space="0"/>
            </w:tcBorders>
            <w:vAlign w:val="center"/>
          </w:tcPr>
          <w:p w14:paraId="328664AE">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★3.产品通过振动、噪声测试，符合国家相关、行业相关标准；（提供检测报告）</w:t>
            </w:r>
          </w:p>
        </w:tc>
      </w:tr>
      <w:tr w14:paraId="6E87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145706E3">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集中管理</w:t>
            </w:r>
          </w:p>
        </w:tc>
        <w:tc>
          <w:tcPr>
            <w:tcW w:w="4347" w:type="pct"/>
            <w:tcBorders>
              <w:top w:val="single" w:color="auto" w:sz="4" w:space="0"/>
              <w:left w:val="single" w:color="auto" w:sz="4" w:space="0"/>
              <w:bottom w:val="single" w:color="auto" w:sz="4" w:space="0"/>
              <w:right w:val="single" w:color="auto" w:sz="4" w:space="0"/>
            </w:tcBorders>
            <w:vAlign w:val="center"/>
          </w:tcPr>
          <w:p w14:paraId="4281A5A8">
            <w:pPr>
              <w:widowControl/>
              <w:spacing w:line="276" w:lineRule="auto"/>
              <w:jc w:val="left"/>
              <w:rPr>
                <w:rFonts w:cs="宋体" w:asciiTheme="minorEastAsia" w:hAnsiTheme="minorEastAsia"/>
                <w:szCs w:val="21"/>
                <w:highlight w:val="none"/>
              </w:rPr>
            </w:pPr>
            <w:r>
              <w:rPr>
                <w:rFonts w:hint="eastAsia" w:cs="宋体" w:asciiTheme="minorEastAsia" w:hAnsiTheme="minorEastAsia"/>
                <w:szCs w:val="21"/>
                <w:highlight w:val="none"/>
              </w:rPr>
              <w:t>★支持自研集中管理系统，支持多台服务器集中管理，统一运维等功能；（提供知识产权证明）</w:t>
            </w:r>
          </w:p>
        </w:tc>
      </w:tr>
    </w:tbl>
    <w:p w14:paraId="2F2727B9">
      <w:pPr>
        <w:spacing w:line="360" w:lineRule="auto"/>
        <w:ind w:firstLine="420"/>
        <w:jc w:val="left"/>
        <w:rPr>
          <w:rFonts w:asciiTheme="minorEastAsia" w:hAnsiTheme="minorEastAsia"/>
          <w:szCs w:val="21"/>
          <w:highlight w:val="none"/>
        </w:rPr>
      </w:pPr>
      <w:r>
        <w:rPr>
          <w:rFonts w:hint="eastAsia" w:asciiTheme="minorEastAsia" w:hAnsiTheme="minorEastAsia"/>
          <w:szCs w:val="21"/>
          <w:highlight w:val="none"/>
        </w:rPr>
        <w:t>3、</w:t>
      </w:r>
      <w:r>
        <w:rPr>
          <w:rFonts w:hint="eastAsia" w:ascii="宋体" w:hAnsi="宋体" w:eastAsia="宋体"/>
          <w:szCs w:val="21"/>
          <w:highlight w:val="none"/>
        </w:rPr>
        <w:t>电子卷宗系统存储服务</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7"/>
        <w:gridCol w:w="8567"/>
      </w:tblGrid>
      <w:tr w14:paraId="7152B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40D5BABF">
            <w:pPr>
              <w:widowControl/>
              <w:spacing w:line="276" w:lineRule="auto"/>
              <w:jc w:val="center"/>
              <w:rPr>
                <w:rFonts w:cs="宋体" w:asciiTheme="minorEastAsia" w:hAnsiTheme="minorEastAsia"/>
                <w:szCs w:val="21"/>
                <w:highlight w:val="none"/>
              </w:rPr>
            </w:pPr>
            <w:r>
              <w:rPr>
                <w:rFonts w:hint="eastAsia" w:cs="宋体" w:asciiTheme="minorEastAsia" w:hAnsiTheme="minorEastAsia"/>
                <w:bCs/>
                <w:szCs w:val="21"/>
                <w:highlight w:val="none"/>
                <w14:ligatures w14:val="standardContextual"/>
              </w:rPr>
              <w:t>指标功能</w:t>
            </w:r>
          </w:p>
        </w:tc>
        <w:tc>
          <w:tcPr>
            <w:tcW w:w="4347" w:type="pct"/>
            <w:tcBorders>
              <w:top w:val="single" w:color="auto" w:sz="4" w:space="0"/>
              <w:left w:val="single" w:color="auto" w:sz="4" w:space="0"/>
              <w:bottom w:val="single" w:color="auto" w:sz="4" w:space="0"/>
              <w:right w:val="single" w:color="auto" w:sz="4" w:space="0"/>
            </w:tcBorders>
            <w:vAlign w:val="center"/>
          </w:tcPr>
          <w:p w14:paraId="4B1C8856">
            <w:pPr>
              <w:widowControl/>
              <w:spacing w:line="276" w:lineRule="auto"/>
              <w:jc w:val="center"/>
              <w:rPr>
                <w:rFonts w:cs="宋体" w:asciiTheme="minorEastAsia" w:hAnsiTheme="minorEastAsia"/>
                <w:szCs w:val="21"/>
                <w:highlight w:val="none"/>
              </w:rPr>
            </w:pPr>
            <w:r>
              <w:rPr>
                <w:rFonts w:hint="eastAsia" w:cs="宋体" w:asciiTheme="minorEastAsia" w:hAnsiTheme="minorEastAsia"/>
                <w:bCs/>
                <w:color w:val="000000"/>
                <w:szCs w:val="21"/>
                <w:highlight w:val="none"/>
              </w:rPr>
              <w:t>技术指标、配置和功能要求</w:t>
            </w:r>
          </w:p>
        </w:tc>
      </w:tr>
      <w:tr w14:paraId="2EC61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653" w:type="pct"/>
            <w:tcBorders>
              <w:top w:val="single" w:color="auto" w:sz="4" w:space="0"/>
              <w:left w:val="single" w:color="auto" w:sz="4" w:space="0"/>
              <w:bottom w:val="single" w:color="auto" w:sz="4" w:space="0"/>
              <w:right w:val="single" w:color="auto" w:sz="4" w:space="0"/>
            </w:tcBorders>
            <w:vAlign w:val="center"/>
          </w:tcPr>
          <w:p w14:paraId="1C6644B7">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总体要求</w:t>
            </w:r>
          </w:p>
        </w:tc>
        <w:tc>
          <w:tcPr>
            <w:tcW w:w="4347" w:type="pct"/>
            <w:tcBorders>
              <w:top w:val="single" w:color="auto" w:sz="4" w:space="0"/>
              <w:left w:val="single" w:color="auto" w:sz="4" w:space="0"/>
              <w:bottom w:val="single" w:color="auto" w:sz="4" w:space="0"/>
              <w:right w:val="single" w:color="auto" w:sz="4" w:space="0"/>
            </w:tcBorders>
            <w:vAlign w:val="center"/>
          </w:tcPr>
          <w:p w14:paraId="469C23FF">
            <w:pPr>
              <w:spacing w:line="276" w:lineRule="auto"/>
              <w:rPr>
                <w:rFonts w:cs="宋体" w:asciiTheme="minorEastAsia" w:hAnsiTheme="minorEastAsia"/>
                <w:szCs w:val="21"/>
                <w:highlight w:val="none"/>
              </w:rPr>
            </w:pPr>
            <w:r>
              <w:rPr>
                <w:rFonts w:hint="eastAsia" w:asciiTheme="minorEastAsia" w:hAnsiTheme="minorEastAsia"/>
                <w:szCs w:val="21"/>
                <w:highlight w:val="none"/>
              </w:rPr>
              <w:t>▲</w:t>
            </w:r>
            <w:r>
              <w:rPr>
                <w:rFonts w:hint="eastAsia" w:cs="宋体" w:asciiTheme="minorEastAsia" w:hAnsiTheme="minorEastAsia"/>
                <w:szCs w:val="21"/>
                <w:highlight w:val="none"/>
              </w:rPr>
              <w:t>国产自主处理器品牌，采用arm架构，</w:t>
            </w:r>
            <w:r>
              <w:rPr>
                <w:rFonts w:hint="eastAsia" w:asciiTheme="minorEastAsia" w:hAnsiTheme="minorEastAsia"/>
                <w:szCs w:val="21"/>
                <w:highlight w:val="none"/>
              </w:rPr>
              <w:t>要求设备需与</w:t>
            </w:r>
            <w:r>
              <w:rPr>
                <w:rFonts w:hint="eastAsia" w:cs="宋体" w:asciiTheme="minorEastAsia" w:hAnsiTheme="minorEastAsia"/>
                <w:szCs w:val="21"/>
                <w:highlight w:val="none"/>
              </w:rPr>
              <w:t>计算服务器</w:t>
            </w:r>
            <w:r>
              <w:rPr>
                <w:rFonts w:hint="eastAsia" w:asciiTheme="minorEastAsia" w:hAnsiTheme="minorEastAsia"/>
                <w:szCs w:val="21"/>
                <w:highlight w:val="none"/>
              </w:rPr>
              <w:t>配套使用，如非同一品牌，提供能够兼容性的检测报告。</w:t>
            </w:r>
          </w:p>
        </w:tc>
      </w:tr>
      <w:tr w14:paraId="386D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73CCFE49">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规格要求</w:t>
            </w:r>
          </w:p>
        </w:tc>
        <w:tc>
          <w:tcPr>
            <w:tcW w:w="4347" w:type="pct"/>
            <w:tcBorders>
              <w:top w:val="single" w:color="auto" w:sz="4" w:space="0"/>
              <w:left w:val="single" w:color="auto" w:sz="4" w:space="0"/>
              <w:bottom w:val="single" w:color="auto" w:sz="4" w:space="0"/>
              <w:right w:val="single" w:color="auto" w:sz="4" w:space="0"/>
            </w:tcBorders>
            <w:vAlign w:val="center"/>
          </w:tcPr>
          <w:p w14:paraId="08CE4687">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≥2U机架式</w:t>
            </w:r>
          </w:p>
        </w:tc>
      </w:tr>
      <w:tr w14:paraId="6F232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3" w:type="pct"/>
            <w:tcBorders>
              <w:top w:val="single" w:color="auto" w:sz="4" w:space="0"/>
              <w:left w:val="single" w:color="auto" w:sz="4" w:space="0"/>
              <w:bottom w:val="single" w:color="auto" w:sz="4" w:space="0"/>
              <w:right w:val="single" w:color="auto" w:sz="4" w:space="0"/>
            </w:tcBorders>
            <w:vAlign w:val="center"/>
          </w:tcPr>
          <w:p w14:paraId="1FD4813B">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处理器</w:t>
            </w:r>
          </w:p>
        </w:tc>
        <w:tc>
          <w:tcPr>
            <w:tcW w:w="4347" w:type="pct"/>
            <w:tcBorders>
              <w:top w:val="single" w:color="auto" w:sz="4" w:space="0"/>
              <w:left w:val="single" w:color="auto" w:sz="4" w:space="0"/>
              <w:bottom w:val="single" w:color="auto" w:sz="4" w:space="0"/>
              <w:right w:val="single" w:color="auto" w:sz="4" w:space="0"/>
            </w:tcBorders>
            <w:vAlign w:val="center"/>
          </w:tcPr>
          <w:p w14:paraId="63AAFD31">
            <w:pPr>
              <w:spacing w:line="276" w:lineRule="auto"/>
              <w:rPr>
                <w:rFonts w:cs="宋体" w:asciiTheme="minorEastAsia" w:hAnsiTheme="minorEastAsia"/>
                <w:szCs w:val="21"/>
                <w:highlight w:val="none"/>
              </w:rPr>
            </w:pPr>
            <w:r>
              <w:rPr>
                <w:rFonts w:hint="eastAsia" w:asciiTheme="minorEastAsia" w:hAnsiTheme="minorEastAsia"/>
                <w:szCs w:val="21"/>
                <w:highlight w:val="none"/>
              </w:rPr>
              <w:t>▲</w:t>
            </w:r>
            <w:r>
              <w:rPr>
                <w:rFonts w:hint="eastAsia" w:cs="宋体" w:asciiTheme="minorEastAsia" w:hAnsiTheme="minorEastAsia"/>
                <w:szCs w:val="21"/>
                <w:highlight w:val="none"/>
              </w:rPr>
              <w:t>配置≥2颗处理器，单颗核心数≥32核，主频≥2.6GHz；</w:t>
            </w:r>
          </w:p>
        </w:tc>
      </w:tr>
      <w:tr w14:paraId="15A5B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18455DAA">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内存</w:t>
            </w:r>
          </w:p>
        </w:tc>
        <w:tc>
          <w:tcPr>
            <w:tcW w:w="4347" w:type="pct"/>
            <w:tcBorders>
              <w:top w:val="single" w:color="auto" w:sz="4" w:space="0"/>
              <w:left w:val="single" w:color="auto" w:sz="4" w:space="0"/>
              <w:bottom w:val="single" w:color="auto" w:sz="4" w:space="0"/>
              <w:right w:val="single" w:color="auto" w:sz="4" w:space="0"/>
            </w:tcBorders>
            <w:vAlign w:val="center"/>
          </w:tcPr>
          <w:p w14:paraId="5FBA07BB">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采用ECC DDR4内存，配置容量≥256GB，内存工作频率≥3200MHz，≥16个内存扩展插槽；</w:t>
            </w:r>
          </w:p>
        </w:tc>
      </w:tr>
      <w:tr w14:paraId="6E586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7CD8743F">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硬盘</w:t>
            </w:r>
          </w:p>
        </w:tc>
        <w:tc>
          <w:tcPr>
            <w:tcW w:w="4347" w:type="pct"/>
            <w:tcBorders>
              <w:top w:val="single" w:color="auto" w:sz="4" w:space="0"/>
              <w:left w:val="single" w:color="auto" w:sz="4" w:space="0"/>
              <w:bottom w:val="single" w:color="auto" w:sz="4" w:space="0"/>
              <w:right w:val="single" w:color="auto" w:sz="4" w:space="0"/>
            </w:tcBorders>
            <w:vAlign w:val="center"/>
          </w:tcPr>
          <w:p w14:paraId="5E2B2FA5">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配置≥2*480GB SSD硬盘，≥9块16TB SATA硬盘,≥3块1.92TB读写混合型SSD；支持最多16个3.5英寸或27个2.5英寸SAS/SATA HDD硬盘、SAS/SATA SSD硬盘或16个2.5英寸NVMe SSD硬盘扩展；</w:t>
            </w:r>
          </w:p>
        </w:tc>
      </w:tr>
      <w:tr w14:paraId="36182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7324E76A">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RAID卡</w:t>
            </w:r>
          </w:p>
        </w:tc>
        <w:tc>
          <w:tcPr>
            <w:tcW w:w="4347" w:type="pct"/>
            <w:tcBorders>
              <w:top w:val="single" w:color="auto" w:sz="4" w:space="0"/>
              <w:left w:val="single" w:color="auto" w:sz="4" w:space="0"/>
              <w:bottom w:val="single" w:color="auto" w:sz="4" w:space="0"/>
              <w:right w:val="single" w:color="auto" w:sz="4" w:space="0"/>
            </w:tcBorders>
            <w:vAlign w:val="center"/>
          </w:tcPr>
          <w:p w14:paraId="4B59EBB7">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配置1块独立磁盘阵列控制器，支持RAID0/1/10；</w:t>
            </w:r>
          </w:p>
        </w:tc>
      </w:tr>
      <w:tr w14:paraId="12775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0ECB5C63">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接口</w:t>
            </w:r>
          </w:p>
        </w:tc>
        <w:tc>
          <w:tcPr>
            <w:tcW w:w="4347" w:type="pct"/>
            <w:tcBorders>
              <w:top w:val="single" w:color="auto" w:sz="4" w:space="0"/>
              <w:left w:val="single" w:color="auto" w:sz="4" w:space="0"/>
              <w:bottom w:val="single" w:color="auto" w:sz="4" w:space="0"/>
              <w:right w:val="single" w:color="auto" w:sz="4" w:space="0"/>
            </w:tcBorders>
            <w:vAlign w:val="center"/>
          </w:tcPr>
          <w:p w14:paraId="0C948F8C">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配置≥4个USB3.0接口，≥1个千兆网络管理端口，≥1个串口；≥1个VGA接口；</w:t>
            </w:r>
          </w:p>
        </w:tc>
      </w:tr>
      <w:tr w14:paraId="7706E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0F8572F9">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网络</w:t>
            </w:r>
          </w:p>
        </w:tc>
        <w:tc>
          <w:tcPr>
            <w:tcW w:w="4347" w:type="pct"/>
            <w:tcBorders>
              <w:top w:val="single" w:color="auto" w:sz="4" w:space="0"/>
              <w:left w:val="single" w:color="auto" w:sz="4" w:space="0"/>
              <w:bottom w:val="single" w:color="auto" w:sz="4" w:space="0"/>
              <w:right w:val="single" w:color="auto" w:sz="4" w:space="0"/>
            </w:tcBorders>
            <w:vAlign w:val="center"/>
          </w:tcPr>
          <w:p w14:paraId="375A85B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配置≥4个千兆电口，≥2张双口万兆光网卡，不低于10G多模光模块；</w:t>
            </w:r>
          </w:p>
        </w:tc>
      </w:tr>
      <w:tr w14:paraId="0F62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74B9391E">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PCI-E插槽</w:t>
            </w:r>
          </w:p>
        </w:tc>
        <w:tc>
          <w:tcPr>
            <w:tcW w:w="4347" w:type="pct"/>
            <w:tcBorders>
              <w:top w:val="single" w:color="auto" w:sz="4" w:space="0"/>
              <w:left w:val="single" w:color="auto" w:sz="4" w:space="0"/>
              <w:bottom w:val="single" w:color="auto" w:sz="4" w:space="0"/>
              <w:right w:val="single" w:color="auto" w:sz="4" w:space="0"/>
            </w:tcBorders>
            <w:vAlign w:val="center"/>
          </w:tcPr>
          <w:p w14:paraId="42972D66">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支持≥9个PCIe4.0 PCIe接口，其中1个为RAID扣卡专用的PCIe扩展槽位，另外8个为标准的PCIe扩展槽位；</w:t>
            </w:r>
          </w:p>
        </w:tc>
      </w:tr>
      <w:tr w14:paraId="5356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12947240">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电源</w:t>
            </w:r>
          </w:p>
        </w:tc>
        <w:tc>
          <w:tcPr>
            <w:tcW w:w="4347" w:type="pct"/>
            <w:tcBorders>
              <w:top w:val="single" w:color="auto" w:sz="4" w:space="0"/>
              <w:left w:val="single" w:color="auto" w:sz="4" w:space="0"/>
              <w:bottom w:val="single" w:color="auto" w:sz="4" w:space="0"/>
              <w:right w:val="single" w:color="auto" w:sz="4" w:space="0"/>
            </w:tcBorders>
            <w:vAlign w:val="center"/>
          </w:tcPr>
          <w:p w14:paraId="036AE2EB">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配置≥2个铂金超高效率电源，支持热插拔及1+1冗余，单电源功率≥900W，提供配套的电源连接线；</w:t>
            </w:r>
          </w:p>
        </w:tc>
      </w:tr>
      <w:tr w14:paraId="04BA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vMerge w:val="restart"/>
            <w:tcBorders>
              <w:top w:val="single" w:color="auto" w:sz="4" w:space="0"/>
              <w:left w:val="single" w:color="auto" w:sz="4" w:space="0"/>
              <w:bottom w:val="single" w:color="auto" w:sz="4" w:space="0"/>
              <w:right w:val="single" w:color="auto" w:sz="4" w:space="0"/>
            </w:tcBorders>
            <w:vAlign w:val="center"/>
          </w:tcPr>
          <w:p w14:paraId="50B031C4">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安全性要求</w:t>
            </w:r>
          </w:p>
        </w:tc>
        <w:tc>
          <w:tcPr>
            <w:tcW w:w="4347" w:type="pct"/>
            <w:tcBorders>
              <w:top w:val="single" w:color="auto" w:sz="4" w:space="0"/>
              <w:left w:val="single" w:color="auto" w:sz="4" w:space="0"/>
              <w:bottom w:val="single" w:color="auto" w:sz="4" w:space="0"/>
              <w:right w:val="single" w:color="auto" w:sz="4" w:space="0"/>
            </w:tcBorders>
            <w:vAlign w:val="center"/>
          </w:tcPr>
          <w:p w14:paraId="26900504">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1.服务器管理系统支持国产自研管理芯片；</w:t>
            </w:r>
          </w:p>
        </w:tc>
      </w:tr>
      <w:tr w14:paraId="0C0F9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341221C">
            <w:pPr>
              <w:widowControl/>
              <w:jc w:val="left"/>
              <w:rPr>
                <w:rFonts w:cs="宋体" w:asciiTheme="minorEastAsia" w:hAnsiTheme="minorEastAsia"/>
                <w:szCs w:val="21"/>
                <w:highlight w:val="none"/>
              </w:rPr>
            </w:pPr>
          </w:p>
        </w:tc>
        <w:tc>
          <w:tcPr>
            <w:tcW w:w="4347" w:type="pct"/>
            <w:tcBorders>
              <w:top w:val="single" w:color="auto" w:sz="4" w:space="0"/>
              <w:left w:val="single" w:color="auto" w:sz="4" w:space="0"/>
              <w:bottom w:val="single" w:color="auto" w:sz="4" w:space="0"/>
              <w:right w:val="single" w:color="auto" w:sz="4" w:space="0"/>
            </w:tcBorders>
            <w:vAlign w:val="center"/>
          </w:tcPr>
          <w:p w14:paraId="434C35F1">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2.服务器管理软件通过完善的信息安全评估，包括保密性、完善性、抗抵赖性、可核查性测试；</w:t>
            </w:r>
          </w:p>
        </w:tc>
      </w:tr>
      <w:tr w14:paraId="3996B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D5A45CB">
            <w:pPr>
              <w:widowControl/>
              <w:jc w:val="left"/>
              <w:rPr>
                <w:rFonts w:cs="宋体" w:asciiTheme="minorEastAsia" w:hAnsiTheme="minorEastAsia"/>
                <w:szCs w:val="21"/>
                <w:highlight w:val="none"/>
              </w:rPr>
            </w:pPr>
          </w:p>
        </w:tc>
        <w:tc>
          <w:tcPr>
            <w:tcW w:w="4347" w:type="pct"/>
            <w:tcBorders>
              <w:top w:val="single" w:color="auto" w:sz="4" w:space="0"/>
              <w:left w:val="single" w:color="auto" w:sz="4" w:space="0"/>
              <w:bottom w:val="single" w:color="auto" w:sz="4" w:space="0"/>
              <w:right w:val="single" w:color="auto" w:sz="4" w:space="0"/>
            </w:tcBorders>
            <w:vAlign w:val="center"/>
          </w:tcPr>
          <w:p w14:paraId="50800F92">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3.服务器管理软件通过安全渗透测试，包含认证安全、权限管理安全、会话安全、信息泄露安全、输入输出合法性安全性测试；</w:t>
            </w:r>
          </w:p>
        </w:tc>
      </w:tr>
      <w:tr w14:paraId="1C32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139DC842">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可管理性</w:t>
            </w:r>
          </w:p>
        </w:tc>
        <w:tc>
          <w:tcPr>
            <w:tcW w:w="4347" w:type="pct"/>
            <w:tcBorders>
              <w:top w:val="single" w:color="auto" w:sz="4" w:space="0"/>
              <w:left w:val="single" w:color="auto" w:sz="4" w:space="0"/>
              <w:bottom w:val="single" w:color="auto" w:sz="4" w:space="0"/>
              <w:right w:val="single" w:color="auto" w:sz="4" w:space="0"/>
            </w:tcBorders>
            <w:vAlign w:val="center"/>
          </w:tcPr>
          <w:p w14:paraId="7FDD6EB3">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可管理和维护性：1.集成系统管理支持：电源启动和关闭、风扇监视和控制、电源监控、温度监控、本地固件更新、错误日志；2.具有图形管理界面及其他高级管理功能；3.配置独立的远程管理控制端口，支持远程监控图形界面，可实现与操作系统无关的远程对服务器的完全控制，包括远程的开机、关机、重启、虚拟软驱、虚拟光驱等操作。</w:t>
            </w:r>
          </w:p>
        </w:tc>
      </w:tr>
      <w:tr w14:paraId="29767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5AF925FD">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操作系统</w:t>
            </w:r>
          </w:p>
        </w:tc>
        <w:tc>
          <w:tcPr>
            <w:tcW w:w="4347" w:type="pct"/>
            <w:tcBorders>
              <w:top w:val="single" w:color="auto" w:sz="4" w:space="0"/>
              <w:left w:val="single" w:color="auto" w:sz="4" w:space="0"/>
              <w:bottom w:val="single" w:color="auto" w:sz="4" w:space="0"/>
              <w:right w:val="single" w:color="auto" w:sz="4" w:space="0"/>
            </w:tcBorders>
            <w:vAlign w:val="center"/>
          </w:tcPr>
          <w:p w14:paraId="5294D315">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支持统信UOS、中标麒麟、银河麒麟等国产化操作系统。</w:t>
            </w:r>
          </w:p>
        </w:tc>
      </w:tr>
      <w:tr w14:paraId="6E056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vMerge w:val="restart"/>
            <w:tcBorders>
              <w:top w:val="single" w:color="auto" w:sz="4" w:space="0"/>
              <w:left w:val="single" w:color="auto" w:sz="4" w:space="0"/>
              <w:bottom w:val="single" w:color="auto" w:sz="4" w:space="0"/>
              <w:right w:val="single" w:color="auto" w:sz="4" w:space="0"/>
            </w:tcBorders>
            <w:vAlign w:val="center"/>
          </w:tcPr>
          <w:p w14:paraId="223C8EDE">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产品质量</w:t>
            </w:r>
          </w:p>
        </w:tc>
        <w:tc>
          <w:tcPr>
            <w:tcW w:w="4347" w:type="pct"/>
            <w:tcBorders>
              <w:top w:val="single" w:color="auto" w:sz="4" w:space="0"/>
              <w:left w:val="single" w:color="auto" w:sz="4" w:space="0"/>
              <w:bottom w:val="single" w:color="auto" w:sz="4" w:space="0"/>
              <w:right w:val="single" w:color="auto" w:sz="4" w:space="0"/>
            </w:tcBorders>
            <w:vAlign w:val="center"/>
          </w:tcPr>
          <w:p w14:paraId="370C9494">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1.产品通过盐雾测试，保护等级达到10级；</w:t>
            </w:r>
          </w:p>
        </w:tc>
      </w:tr>
      <w:tr w14:paraId="7FFF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04698CA">
            <w:pPr>
              <w:widowControl/>
              <w:jc w:val="left"/>
              <w:rPr>
                <w:rFonts w:cs="宋体" w:asciiTheme="minorEastAsia" w:hAnsiTheme="minorEastAsia"/>
                <w:szCs w:val="21"/>
                <w:highlight w:val="none"/>
              </w:rPr>
            </w:pPr>
          </w:p>
        </w:tc>
        <w:tc>
          <w:tcPr>
            <w:tcW w:w="4347" w:type="pct"/>
            <w:tcBorders>
              <w:top w:val="single" w:color="auto" w:sz="4" w:space="0"/>
              <w:left w:val="single" w:color="auto" w:sz="4" w:space="0"/>
              <w:bottom w:val="single" w:color="auto" w:sz="4" w:space="0"/>
              <w:right w:val="single" w:color="auto" w:sz="4" w:space="0"/>
            </w:tcBorders>
            <w:vAlign w:val="center"/>
          </w:tcPr>
          <w:p w14:paraId="22376121">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2.正常工作交流电源端口雷击抗扰度≥2.5kV；</w:t>
            </w:r>
          </w:p>
        </w:tc>
      </w:tr>
      <w:tr w14:paraId="6ACBA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2410352">
            <w:pPr>
              <w:widowControl/>
              <w:jc w:val="left"/>
              <w:rPr>
                <w:rFonts w:cs="宋体" w:asciiTheme="minorEastAsia" w:hAnsiTheme="minorEastAsia"/>
                <w:szCs w:val="21"/>
                <w:highlight w:val="none"/>
              </w:rPr>
            </w:pPr>
          </w:p>
        </w:tc>
        <w:tc>
          <w:tcPr>
            <w:tcW w:w="4347" w:type="pct"/>
            <w:tcBorders>
              <w:top w:val="single" w:color="auto" w:sz="4" w:space="0"/>
              <w:left w:val="single" w:color="auto" w:sz="4" w:space="0"/>
              <w:bottom w:val="single" w:color="auto" w:sz="4" w:space="0"/>
              <w:right w:val="single" w:color="auto" w:sz="4" w:space="0"/>
            </w:tcBorders>
            <w:vAlign w:val="center"/>
          </w:tcPr>
          <w:p w14:paraId="0D2E0C72">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3.产品通过振动、噪声测试，符合国家相关、行业相关标准；</w:t>
            </w:r>
          </w:p>
        </w:tc>
      </w:tr>
      <w:tr w14:paraId="20B1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3" w:type="pct"/>
            <w:tcBorders>
              <w:top w:val="single" w:color="auto" w:sz="4" w:space="0"/>
              <w:left w:val="single" w:color="auto" w:sz="4" w:space="0"/>
              <w:bottom w:val="single" w:color="auto" w:sz="4" w:space="0"/>
              <w:right w:val="single" w:color="auto" w:sz="4" w:space="0"/>
            </w:tcBorders>
            <w:vAlign w:val="center"/>
          </w:tcPr>
          <w:p w14:paraId="4F89E0F6">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集中管理</w:t>
            </w:r>
          </w:p>
        </w:tc>
        <w:tc>
          <w:tcPr>
            <w:tcW w:w="4347" w:type="pct"/>
            <w:tcBorders>
              <w:top w:val="single" w:color="auto" w:sz="4" w:space="0"/>
              <w:left w:val="single" w:color="auto" w:sz="4" w:space="0"/>
              <w:bottom w:val="single" w:color="auto" w:sz="4" w:space="0"/>
              <w:right w:val="single" w:color="auto" w:sz="4" w:space="0"/>
            </w:tcBorders>
            <w:vAlign w:val="center"/>
          </w:tcPr>
          <w:p w14:paraId="0C40A5C0">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支持自研集中管理系统，支持多台服务器集中管理，统一运维等功能。</w:t>
            </w:r>
          </w:p>
        </w:tc>
      </w:tr>
    </w:tbl>
    <w:p w14:paraId="2B31BCC7">
      <w:pPr>
        <w:spacing w:line="360" w:lineRule="auto"/>
        <w:ind w:firstLine="420"/>
        <w:jc w:val="left"/>
        <w:rPr>
          <w:rFonts w:asciiTheme="minorEastAsia" w:hAnsiTheme="minorEastAsia"/>
          <w:szCs w:val="21"/>
          <w:highlight w:val="none"/>
        </w:rPr>
      </w:pPr>
      <w:r>
        <w:rPr>
          <w:rFonts w:hint="eastAsia" w:asciiTheme="minorEastAsia" w:hAnsiTheme="minorEastAsia"/>
          <w:szCs w:val="21"/>
          <w:highlight w:val="none"/>
        </w:rPr>
        <w:t>4、管理服务</w:t>
      </w:r>
    </w:p>
    <w:tbl>
      <w:tblPr>
        <w:tblStyle w:val="49"/>
        <w:tblW w:w="5000" w:type="pct"/>
        <w:tblInd w:w="0" w:type="dxa"/>
        <w:tblLayout w:type="autofit"/>
        <w:tblCellMar>
          <w:top w:w="0" w:type="dxa"/>
          <w:left w:w="108" w:type="dxa"/>
          <w:bottom w:w="0" w:type="dxa"/>
          <w:right w:w="108" w:type="dxa"/>
        </w:tblCellMar>
      </w:tblPr>
      <w:tblGrid>
        <w:gridCol w:w="1496"/>
        <w:gridCol w:w="8358"/>
      </w:tblGrid>
      <w:tr w14:paraId="5A9159C9">
        <w:tblPrEx>
          <w:tblCellMar>
            <w:top w:w="0" w:type="dxa"/>
            <w:left w:w="108" w:type="dxa"/>
            <w:bottom w:w="0" w:type="dxa"/>
            <w:right w:w="108" w:type="dxa"/>
          </w:tblCellMar>
        </w:tblPrEx>
        <w:trPr>
          <w:trHeight w:val="20" w:hRule="atLeast"/>
        </w:trPr>
        <w:tc>
          <w:tcPr>
            <w:tcW w:w="759" w:type="pct"/>
            <w:tcBorders>
              <w:top w:val="single" w:color="auto" w:sz="4" w:space="0"/>
              <w:left w:val="single" w:color="auto" w:sz="4" w:space="0"/>
              <w:bottom w:val="single" w:color="auto" w:sz="4" w:space="0"/>
              <w:right w:val="single" w:color="auto" w:sz="4" w:space="0"/>
            </w:tcBorders>
            <w:vAlign w:val="center"/>
          </w:tcPr>
          <w:p w14:paraId="771F0E4F">
            <w:pPr>
              <w:widowControl/>
              <w:spacing w:line="276" w:lineRule="auto"/>
              <w:jc w:val="center"/>
              <w:rPr>
                <w:rFonts w:cs="宋体" w:asciiTheme="minorEastAsia" w:hAnsiTheme="minorEastAsia"/>
                <w:szCs w:val="21"/>
                <w:highlight w:val="none"/>
              </w:rPr>
            </w:pPr>
            <w:r>
              <w:rPr>
                <w:rFonts w:hint="eastAsia" w:cs="宋体" w:asciiTheme="minorEastAsia" w:hAnsiTheme="minorEastAsia"/>
                <w:bCs/>
                <w:szCs w:val="21"/>
                <w:highlight w:val="none"/>
                <w14:ligatures w14:val="standardContextual"/>
              </w:rPr>
              <w:t>指标功能</w:t>
            </w:r>
          </w:p>
        </w:tc>
        <w:tc>
          <w:tcPr>
            <w:tcW w:w="4241" w:type="pct"/>
            <w:tcBorders>
              <w:top w:val="single" w:color="auto" w:sz="4" w:space="0"/>
              <w:left w:val="nil"/>
              <w:bottom w:val="single" w:color="auto" w:sz="4" w:space="0"/>
              <w:right w:val="single" w:color="auto" w:sz="4" w:space="0"/>
            </w:tcBorders>
            <w:vAlign w:val="center"/>
          </w:tcPr>
          <w:p w14:paraId="389B93E1">
            <w:pPr>
              <w:spacing w:line="276" w:lineRule="auto"/>
              <w:jc w:val="center"/>
              <w:rPr>
                <w:rFonts w:cs="宋体" w:asciiTheme="minorEastAsia" w:hAnsiTheme="minorEastAsia"/>
                <w:szCs w:val="21"/>
                <w:highlight w:val="none"/>
              </w:rPr>
            </w:pPr>
            <w:r>
              <w:rPr>
                <w:rFonts w:hint="eastAsia" w:cs="宋体" w:asciiTheme="minorEastAsia" w:hAnsiTheme="minorEastAsia"/>
                <w:bCs/>
                <w:color w:val="000000"/>
                <w:szCs w:val="21"/>
                <w:highlight w:val="none"/>
              </w:rPr>
              <w:t>技术指标、配置和功能要求</w:t>
            </w:r>
          </w:p>
        </w:tc>
      </w:tr>
      <w:tr w14:paraId="6F2869CF">
        <w:tblPrEx>
          <w:tblCellMar>
            <w:top w:w="0" w:type="dxa"/>
            <w:left w:w="108" w:type="dxa"/>
            <w:bottom w:w="0" w:type="dxa"/>
            <w:right w:w="108" w:type="dxa"/>
          </w:tblCellMar>
        </w:tblPrEx>
        <w:trPr>
          <w:trHeight w:val="20" w:hRule="atLeast"/>
        </w:trPr>
        <w:tc>
          <w:tcPr>
            <w:tcW w:w="759" w:type="pct"/>
            <w:tcBorders>
              <w:top w:val="single" w:color="auto" w:sz="4" w:space="0"/>
              <w:left w:val="single" w:color="auto" w:sz="4" w:space="0"/>
              <w:bottom w:val="single" w:color="auto" w:sz="4" w:space="0"/>
              <w:right w:val="single" w:color="auto" w:sz="4" w:space="0"/>
            </w:tcBorders>
            <w:vAlign w:val="center"/>
          </w:tcPr>
          <w:p w14:paraId="7DA13DCA">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总体要求</w:t>
            </w:r>
          </w:p>
        </w:tc>
        <w:tc>
          <w:tcPr>
            <w:tcW w:w="4241" w:type="pct"/>
            <w:tcBorders>
              <w:top w:val="single" w:color="auto" w:sz="4" w:space="0"/>
              <w:left w:val="nil"/>
              <w:bottom w:val="single" w:color="auto" w:sz="4" w:space="0"/>
              <w:right w:val="single" w:color="auto" w:sz="4" w:space="0"/>
            </w:tcBorders>
            <w:vAlign w:val="center"/>
          </w:tcPr>
          <w:p w14:paraId="1BBB6454">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万兆以太网交换机；</w:t>
            </w:r>
          </w:p>
          <w:p w14:paraId="45604EF1">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Console口≥1个；</w:t>
            </w:r>
          </w:p>
          <w:p w14:paraId="0D822A0D">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带外管理以太网口≥2个；</w:t>
            </w:r>
          </w:p>
          <w:p w14:paraId="1396135A">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Mini USB Console口≥1个；</w:t>
            </w:r>
          </w:p>
          <w:p w14:paraId="23C89DBC">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背板带宽≥4.8Tbps；</w:t>
            </w:r>
          </w:p>
          <w:p w14:paraId="15E7268B">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包转发率≥2000Mpps；</w:t>
            </w:r>
          </w:p>
          <w:p w14:paraId="38C3E27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SFP Plus口≥48个；</w:t>
            </w:r>
          </w:p>
          <w:p w14:paraId="0A90FB2D">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QSFP+口≥6个；</w:t>
            </w:r>
          </w:p>
          <w:p w14:paraId="7E4B5AA8">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电源模块：不少于双模块化电源；</w:t>
            </w:r>
          </w:p>
          <w:p w14:paraId="31576D3D">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风扇模块：不少于3块可热插拔风扇模块，前后或后前通风；</w:t>
            </w:r>
          </w:p>
          <w:p w14:paraId="7595F9C5">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工作环境温度：0ºC～45ºC；</w:t>
            </w:r>
          </w:p>
          <w:p w14:paraId="145412AD">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工作环境相对湿度：5%～95%，非凝露；</w:t>
            </w:r>
          </w:p>
          <w:p w14:paraId="46958C93">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转发模式：支持store-forward模式和cut-through模式；</w:t>
            </w:r>
          </w:p>
          <w:p w14:paraId="4CC98BF5">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设备虚拟化：支持IRF2横向虚拟化，支持本地和远程堆叠；</w:t>
            </w:r>
          </w:p>
          <w:p w14:paraId="21C470BF">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支持IRF3.1纵向虚拟化；</w:t>
            </w:r>
          </w:p>
          <w:p w14:paraId="734BE15D">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支持分布式设备管理，分布式链路聚合，分布式弹性路由。</w:t>
            </w:r>
          </w:p>
        </w:tc>
      </w:tr>
    </w:tbl>
    <w:p w14:paraId="48B51828">
      <w:pPr>
        <w:spacing w:line="360" w:lineRule="auto"/>
        <w:ind w:firstLine="420"/>
        <w:jc w:val="left"/>
        <w:rPr>
          <w:rFonts w:asciiTheme="minorEastAsia" w:hAnsiTheme="minorEastAsia"/>
          <w:szCs w:val="21"/>
          <w:highlight w:val="none"/>
        </w:rPr>
      </w:pPr>
      <w:r>
        <w:rPr>
          <w:rFonts w:hint="eastAsia" w:asciiTheme="minorEastAsia" w:hAnsiTheme="minorEastAsia"/>
          <w:szCs w:val="21"/>
          <w:highlight w:val="none"/>
        </w:rPr>
        <w:t>5、数据传输服务</w:t>
      </w:r>
    </w:p>
    <w:tbl>
      <w:tblPr>
        <w:tblStyle w:val="49"/>
        <w:tblW w:w="5000" w:type="pct"/>
        <w:tblInd w:w="0" w:type="dxa"/>
        <w:tblLayout w:type="autofit"/>
        <w:tblCellMar>
          <w:top w:w="0" w:type="dxa"/>
          <w:left w:w="108" w:type="dxa"/>
          <w:bottom w:w="0" w:type="dxa"/>
          <w:right w:w="108" w:type="dxa"/>
        </w:tblCellMar>
      </w:tblPr>
      <w:tblGrid>
        <w:gridCol w:w="1575"/>
        <w:gridCol w:w="8279"/>
      </w:tblGrid>
      <w:tr w14:paraId="01620C92">
        <w:tblPrEx>
          <w:tblCellMar>
            <w:top w:w="0" w:type="dxa"/>
            <w:left w:w="108" w:type="dxa"/>
            <w:bottom w:w="0" w:type="dxa"/>
            <w:right w:w="108" w:type="dxa"/>
          </w:tblCellMar>
        </w:tblPrEx>
        <w:trPr>
          <w:trHeight w:val="20" w:hRule="atLeast"/>
        </w:trPr>
        <w:tc>
          <w:tcPr>
            <w:tcW w:w="799" w:type="pct"/>
            <w:tcBorders>
              <w:top w:val="single" w:color="auto" w:sz="4" w:space="0"/>
              <w:left w:val="single" w:color="auto" w:sz="4" w:space="0"/>
              <w:bottom w:val="single" w:color="auto" w:sz="4" w:space="0"/>
              <w:right w:val="single" w:color="auto" w:sz="4" w:space="0"/>
            </w:tcBorders>
            <w:vAlign w:val="center"/>
          </w:tcPr>
          <w:p w14:paraId="2BC82850">
            <w:pPr>
              <w:widowControl/>
              <w:spacing w:line="276" w:lineRule="auto"/>
              <w:jc w:val="center"/>
              <w:rPr>
                <w:rFonts w:cs="宋体" w:asciiTheme="minorEastAsia" w:hAnsiTheme="minorEastAsia"/>
                <w:szCs w:val="21"/>
                <w:highlight w:val="none"/>
              </w:rPr>
            </w:pPr>
            <w:r>
              <w:rPr>
                <w:rFonts w:hint="eastAsia" w:cs="宋体" w:asciiTheme="minorEastAsia" w:hAnsiTheme="minorEastAsia"/>
                <w:bCs/>
                <w:szCs w:val="21"/>
                <w:highlight w:val="none"/>
                <w14:ligatures w14:val="standardContextual"/>
              </w:rPr>
              <w:t>指标功能</w:t>
            </w:r>
          </w:p>
        </w:tc>
        <w:tc>
          <w:tcPr>
            <w:tcW w:w="4201" w:type="pct"/>
            <w:tcBorders>
              <w:top w:val="single" w:color="auto" w:sz="4" w:space="0"/>
              <w:left w:val="nil"/>
              <w:bottom w:val="single" w:color="auto" w:sz="4" w:space="0"/>
              <w:right w:val="single" w:color="auto" w:sz="4" w:space="0"/>
            </w:tcBorders>
            <w:vAlign w:val="center"/>
          </w:tcPr>
          <w:p w14:paraId="2DD2F02C">
            <w:pPr>
              <w:spacing w:line="276" w:lineRule="auto"/>
              <w:jc w:val="center"/>
              <w:rPr>
                <w:rFonts w:cs="宋体" w:asciiTheme="minorEastAsia" w:hAnsiTheme="minorEastAsia"/>
                <w:szCs w:val="21"/>
                <w:highlight w:val="none"/>
              </w:rPr>
            </w:pPr>
            <w:r>
              <w:rPr>
                <w:rFonts w:hint="eastAsia" w:cs="宋体" w:asciiTheme="minorEastAsia" w:hAnsiTheme="minorEastAsia"/>
                <w:bCs/>
                <w:color w:val="000000"/>
                <w:szCs w:val="21"/>
                <w:highlight w:val="none"/>
              </w:rPr>
              <w:t>技术指标、配置和功能要求</w:t>
            </w:r>
          </w:p>
        </w:tc>
      </w:tr>
      <w:tr w14:paraId="770E4395">
        <w:tblPrEx>
          <w:tblCellMar>
            <w:top w:w="0" w:type="dxa"/>
            <w:left w:w="108" w:type="dxa"/>
            <w:bottom w:w="0" w:type="dxa"/>
            <w:right w:w="108" w:type="dxa"/>
          </w:tblCellMar>
        </w:tblPrEx>
        <w:trPr>
          <w:trHeight w:val="20" w:hRule="atLeast"/>
        </w:trPr>
        <w:tc>
          <w:tcPr>
            <w:tcW w:w="799" w:type="pct"/>
            <w:tcBorders>
              <w:top w:val="single" w:color="auto" w:sz="4" w:space="0"/>
              <w:left w:val="single" w:color="auto" w:sz="4" w:space="0"/>
              <w:bottom w:val="single" w:color="auto" w:sz="4" w:space="0"/>
              <w:right w:val="single" w:color="auto" w:sz="4" w:space="0"/>
            </w:tcBorders>
            <w:vAlign w:val="center"/>
          </w:tcPr>
          <w:p w14:paraId="3F9B5643">
            <w:pPr>
              <w:widowControl/>
              <w:spacing w:line="276" w:lineRule="auto"/>
              <w:jc w:val="center"/>
              <w:rPr>
                <w:rFonts w:cs="宋体" w:asciiTheme="minorEastAsia" w:hAnsiTheme="minorEastAsia"/>
                <w:szCs w:val="21"/>
                <w:highlight w:val="none"/>
              </w:rPr>
            </w:pPr>
            <w:r>
              <w:rPr>
                <w:rFonts w:hint="eastAsia" w:cs="宋体" w:asciiTheme="minorEastAsia" w:hAnsiTheme="minorEastAsia"/>
                <w:szCs w:val="21"/>
                <w:highlight w:val="none"/>
              </w:rPr>
              <w:t>总体要求</w:t>
            </w:r>
          </w:p>
        </w:tc>
        <w:tc>
          <w:tcPr>
            <w:tcW w:w="4201" w:type="pct"/>
            <w:tcBorders>
              <w:top w:val="single" w:color="auto" w:sz="4" w:space="0"/>
              <w:left w:val="nil"/>
              <w:bottom w:val="single" w:color="auto" w:sz="4" w:space="0"/>
              <w:right w:val="single" w:color="auto" w:sz="4" w:space="0"/>
            </w:tcBorders>
            <w:vAlign w:val="center"/>
          </w:tcPr>
          <w:p w14:paraId="4C3AB9DF">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产品类型：千兆以太网，二层；</w:t>
            </w:r>
          </w:p>
          <w:p w14:paraId="18D1D5F9">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背板带宽≥3.6Tbps；</w:t>
            </w:r>
          </w:p>
          <w:p w14:paraId="3D6950FB">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包转发率≥162Mpps；</w:t>
            </w:r>
          </w:p>
          <w:p w14:paraId="3C6EB871">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接口类型：≥48个10/100/1000TX，≥4个SFP；</w:t>
            </w:r>
          </w:p>
          <w:p w14:paraId="606DAE9A">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传输速率：10M/100M/1000Mbps；</w:t>
            </w:r>
          </w:p>
          <w:p w14:paraId="59A63F1C">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管理端口≥1个Console口；</w:t>
            </w:r>
          </w:p>
          <w:p w14:paraId="2060FCEC">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MAC地址表：支持黑洞MAC地址，支持设置端口MAC地址学习最大个数；</w:t>
            </w:r>
          </w:p>
          <w:p w14:paraId="60ED653B">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电源电压：100V-240V,50/60Hz；</w:t>
            </w:r>
          </w:p>
          <w:p w14:paraId="031A8946">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最大功率≥130W；</w:t>
            </w:r>
          </w:p>
          <w:p w14:paraId="511F41B6">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工作环境温度：0℃-45℃；</w:t>
            </w:r>
          </w:p>
          <w:p w14:paraId="3489A761">
            <w:pPr>
              <w:spacing w:line="276" w:lineRule="auto"/>
              <w:rPr>
                <w:rFonts w:cs="宋体" w:asciiTheme="minorEastAsia" w:hAnsiTheme="minorEastAsia"/>
                <w:szCs w:val="21"/>
                <w:highlight w:val="none"/>
              </w:rPr>
            </w:pPr>
            <w:r>
              <w:rPr>
                <w:rFonts w:hint="eastAsia" w:cs="宋体" w:asciiTheme="minorEastAsia" w:hAnsiTheme="minorEastAsia"/>
                <w:szCs w:val="21"/>
                <w:highlight w:val="none"/>
              </w:rPr>
              <w:t>工作环境相对湿度（非凝露）：10%-90%。</w:t>
            </w:r>
          </w:p>
        </w:tc>
      </w:tr>
    </w:tbl>
    <w:p w14:paraId="46057BAD">
      <w:pPr>
        <w:tabs>
          <w:tab w:val="left" w:pos="6300"/>
        </w:tabs>
        <w:spacing w:line="360" w:lineRule="auto"/>
        <w:ind w:left="211" w:firstLine="211"/>
        <w:outlineLvl w:val="2"/>
        <w:rPr>
          <w:rFonts w:asciiTheme="minorEastAsia" w:hAnsiTheme="minorEastAsia"/>
          <w:b/>
          <w:sz w:val="24"/>
          <w:szCs w:val="24"/>
          <w:highlight w:val="none"/>
        </w:rPr>
      </w:pPr>
      <w:r>
        <w:rPr>
          <w:rFonts w:hint="eastAsia" w:asciiTheme="minorEastAsia" w:hAnsiTheme="minorEastAsia"/>
          <w:b/>
          <w:sz w:val="24"/>
          <w:szCs w:val="24"/>
          <w:highlight w:val="none"/>
        </w:rPr>
        <w:t>四、项目实施要求</w:t>
      </w:r>
    </w:p>
    <w:p w14:paraId="3F771977">
      <w:pPr>
        <w:tabs>
          <w:tab w:val="left" w:pos="6300"/>
        </w:tabs>
        <w:spacing w:line="360" w:lineRule="auto"/>
        <w:ind w:firstLine="422"/>
        <w:rPr>
          <w:rFonts w:asciiTheme="minorEastAsia" w:hAnsiTheme="minorEastAsia"/>
          <w:b/>
          <w:sz w:val="24"/>
          <w:szCs w:val="24"/>
          <w:highlight w:val="none"/>
        </w:rPr>
      </w:pPr>
      <w:r>
        <w:rPr>
          <w:rFonts w:hint="eastAsia" w:asciiTheme="minorEastAsia" w:hAnsiTheme="minorEastAsia"/>
          <w:b/>
          <w:sz w:val="24"/>
          <w:szCs w:val="24"/>
          <w:highlight w:val="none"/>
        </w:rPr>
        <w:t>1、集成实施要求</w:t>
      </w:r>
    </w:p>
    <w:p w14:paraId="3B861ADF">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中标人需提供机房设备布局及线路规划；提供硬件设备安装上架、加电、基础调试及线路连接；提供系统软件安装部署、调试；提供电子卷宗云平台性能测试，可靠性验证。</w:t>
      </w:r>
    </w:p>
    <w:p w14:paraId="0C738D98">
      <w:pPr>
        <w:tabs>
          <w:tab w:val="left" w:pos="6300"/>
        </w:tabs>
        <w:spacing w:line="360" w:lineRule="auto"/>
        <w:ind w:firstLine="422"/>
        <w:rPr>
          <w:rFonts w:asciiTheme="minorEastAsia" w:hAnsiTheme="minorEastAsia"/>
          <w:b/>
          <w:sz w:val="24"/>
          <w:szCs w:val="24"/>
          <w:highlight w:val="none"/>
        </w:rPr>
      </w:pPr>
      <w:r>
        <w:rPr>
          <w:rFonts w:hint="eastAsia" w:asciiTheme="minorEastAsia" w:hAnsiTheme="minorEastAsia"/>
          <w:b/>
          <w:sz w:val="24"/>
          <w:szCs w:val="24"/>
          <w:highlight w:val="none"/>
        </w:rPr>
        <w:t>2、对接及数据同步</w:t>
      </w:r>
    </w:p>
    <w:p w14:paraId="771A36D8">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中标人需实现苏州本地电子卷宗平台与省法院云平台相关系统对接，实现电子卷宗数据的同步，确保数据安全管控、风险管控、避免数据信息丢失，对接产生的相关费用由中标人承担。</w:t>
      </w:r>
    </w:p>
    <w:p w14:paraId="4F913A1C">
      <w:pPr>
        <w:tabs>
          <w:tab w:val="left" w:pos="6300"/>
        </w:tabs>
        <w:spacing w:line="360" w:lineRule="auto"/>
        <w:ind w:firstLine="422"/>
        <w:rPr>
          <w:rFonts w:asciiTheme="minorEastAsia" w:hAnsiTheme="minorEastAsia"/>
          <w:b/>
          <w:sz w:val="24"/>
          <w:szCs w:val="24"/>
          <w:highlight w:val="none"/>
          <w:u w:val="single"/>
        </w:rPr>
      </w:pPr>
      <w:r>
        <w:rPr>
          <w:rFonts w:hint="eastAsia" w:asciiTheme="minorEastAsia" w:hAnsiTheme="minorEastAsia"/>
          <w:b/>
          <w:sz w:val="24"/>
          <w:szCs w:val="24"/>
          <w:highlight w:val="none"/>
          <w:u w:val="single"/>
        </w:rPr>
        <w:t>注：投标人须针对以上集成实施、对接及数据同步内容提供承诺函，不提供视为非实质性响应招标文件要求。</w:t>
      </w:r>
    </w:p>
    <w:p w14:paraId="7A0492A8">
      <w:pPr>
        <w:tabs>
          <w:tab w:val="left" w:pos="6300"/>
        </w:tabs>
        <w:spacing w:line="360" w:lineRule="auto"/>
        <w:ind w:left="211" w:firstLine="211"/>
        <w:outlineLvl w:val="2"/>
        <w:rPr>
          <w:rFonts w:asciiTheme="minorEastAsia" w:hAnsiTheme="minorEastAsia"/>
          <w:b/>
          <w:sz w:val="24"/>
          <w:szCs w:val="24"/>
          <w:highlight w:val="none"/>
        </w:rPr>
      </w:pPr>
      <w:r>
        <w:rPr>
          <w:rFonts w:hint="eastAsia" w:asciiTheme="minorEastAsia" w:hAnsiTheme="minorEastAsia"/>
          <w:b/>
          <w:sz w:val="24"/>
          <w:szCs w:val="24"/>
          <w:highlight w:val="none"/>
        </w:rPr>
        <w:t>五、项目实施团队要求</w:t>
      </w:r>
    </w:p>
    <w:p w14:paraId="41712E71">
      <w:pPr>
        <w:tabs>
          <w:tab w:val="left" w:pos="6300"/>
        </w:tabs>
        <w:spacing w:line="360" w:lineRule="auto"/>
        <w:ind w:firstLine="420"/>
        <w:rPr>
          <w:rFonts w:asciiTheme="minorEastAsia" w:hAnsiTheme="minorEastAsia"/>
          <w:sz w:val="24"/>
          <w:szCs w:val="24"/>
          <w:highlight w:val="none"/>
        </w:rPr>
      </w:pPr>
      <w:bookmarkStart w:id="68" w:name="_Toc3794309"/>
      <w:r>
        <w:rPr>
          <w:rFonts w:hint="eastAsia" w:asciiTheme="minorEastAsia" w:hAnsiTheme="minorEastAsia"/>
          <w:sz w:val="24"/>
          <w:szCs w:val="24"/>
          <w:highlight w:val="none"/>
        </w:rPr>
        <w:t>为能保证在规定时间内完成项目实施工作，要求投标人针对本项目配备实施团队，具体要求如下：</w:t>
      </w:r>
    </w:p>
    <w:p w14:paraId="00A865A6">
      <w:pPr>
        <w:tabs>
          <w:tab w:val="left" w:pos="6300"/>
        </w:tabs>
        <w:spacing w:line="360" w:lineRule="auto"/>
        <w:ind w:firstLine="420"/>
        <w:rPr>
          <w:rFonts w:asciiTheme="minorEastAsia" w:hAnsiTheme="minorEastAsia"/>
          <w:sz w:val="24"/>
          <w:szCs w:val="24"/>
          <w:highlight w:val="none"/>
        </w:rPr>
      </w:pPr>
      <w:bookmarkStart w:id="69" w:name="OLE_LINK58"/>
      <w:r>
        <w:rPr>
          <w:rFonts w:hint="eastAsia" w:asciiTheme="minorEastAsia" w:hAnsiTheme="minorEastAsia"/>
          <w:sz w:val="24"/>
          <w:szCs w:val="24"/>
          <w:highlight w:val="none"/>
        </w:rPr>
        <w:t>项目经理1人，负责跟踪推进项目工作和问题的协调落实；要求具备信息系统、系统规划、信息安全、终端与业务相关等方面的技术专业，具有相关工作管理经验；</w:t>
      </w:r>
    </w:p>
    <w:p w14:paraId="3BB94D1A">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技术负责人1人，负责项目具体实施技术方面工作，要求具备网络工程、系统集成、信息系统、系统分析等方面的技术专业，具有相关工作经验；</w:t>
      </w:r>
    </w:p>
    <w:p w14:paraId="3A2BE811">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除项目经理和技术负责人外其他实施团队成员配备不少于3人，要求具备数据库、网络工程、信息安全保障等方面的专业技术，并根据需要配备相应人员现场保障等，能够顺利开展项目实施工作。</w:t>
      </w:r>
    </w:p>
    <w:p w14:paraId="18451AC8">
      <w:pPr>
        <w:spacing w:line="360" w:lineRule="auto"/>
        <w:ind w:firstLine="480" w:firstLineChars="200"/>
        <w:rPr>
          <w:rFonts w:hint="default" w:ascii="宋体" w:hAnsi="宋体" w:eastAsia="宋体" w:cs="宋体"/>
          <w:b/>
          <w:bCs w:val="0"/>
          <w:sz w:val="24"/>
          <w:szCs w:val="24"/>
          <w:highlight w:val="none"/>
          <w:u w:val="single"/>
          <w:lang w:val="en-US" w:eastAsia="zh-CN"/>
        </w:rPr>
      </w:pPr>
      <w:r>
        <w:rPr>
          <w:rFonts w:hint="eastAsia" w:asciiTheme="minorEastAsia" w:hAnsiTheme="minorEastAsia"/>
          <w:sz w:val="24"/>
          <w:szCs w:val="24"/>
          <w:highlight w:val="none"/>
        </w:rPr>
        <w:t>投标人应本着认真负责的态度组织项目团队，投标文件中的项目组主要成员名单，在成交后不经采购人允许不得随意更改。</w:t>
      </w:r>
      <w:bookmarkEnd w:id="68"/>
      <w:bookmarkEnd w:id="69"/>
      <w:r>
        <w:rPr>
          <w:rFonts w:hint="eastAsia" w:ascii="宋体" w:hAnsi="宋体" w:eastAsia="宋体" w:cs="宋体"/>
          <w:b/>
          <w:bCs w:val="0"/>
          <w:sz w:val="24"/>
          <w:szCs w:val="24"/>
          <w:highlight w:val="none"/>
          <w:u w:val="single"/>
          <w:lang w:val="en-US" w:eastAsia="zh-CN"/>
        </w:rPr>
        <w:t>投标文件中提供项目团队（要求5人及以上，至少包含</w:t>
      </w:r>
      <w:r>
        <w:rPr>
          <w:rFonts w:hint="default" w:ascii="宋体" w:hAnsi="宋体" w:eastAsia="宋体" w:cs="宋体"/>
          <w:b/>
          <w:bCs w:val="0"/>
          <w:sz w:val="24"/>
          <w:szCs w:val="24"/>
          <w:highlight w:val="none"/>
          <w:u w:val="single"/>
          <w:lang w:val="en-US" w:eastAsia="zh-CN"/>
        </w:rPr>
        <w:t>项目经理1人</w:t>
      </w:r>
      <w:r>
        <w:rPr>
          <w:rFonts w:hint="eastAsia" w:ascii="宋体" w:hAnsi="宋体" w:eastAsia="宋体" w:cs="宋体"/>
          <w:b/>
          <w:bCs w:val="0"/>
          <w:sz w:val="24"/>
          <w:szCs w:val="24"/>
          <w:highlight w:val="none"/>
          <w:u w:val="single"/>
          <w:lang w:val="en-US" w:eastAsia="zh-CN"/>
        </w:rPr>
        <w:t>、</w:t>
      </w:r>
      <w:r>
        <w:rPr>
          <w:rFonts w:hint="default" w:ascii="宋体" w:hAnsi="宋体" w:eastAsia="宋体" w:cs="宋体"/>
          <w:b/>
          <w:bCs w:val="0"/>
          <w:sz w:val="24"/>
          <w:szCs w:val="24"/>
          <w:highlight w:val="none"/>
          <w:u w:val="single"/>
          <w:lang w:val="en-US" w:eastAsia="zh-CN"/>
        </w:rPr>
        <w:t>技术负责人1人</w:t>
      </w:r>
      <w:r>
        <w:rPr>
          <w:rFonts w:hint="eastAsia" w:ascii="宋体" w:hAnsi="宋体" w:eastAsia="宋体" w:cs="宋体"/>
          <w:b/>
          <w:bCs w:val="0"/>
          <w:sz w:val="24"/>
          <w:szCs w:val="24"/>
          <w:highlight w:val="none"/>
          <w:u w:val="single"/>
          <w:lang w:val="en-US" w:eastAsia="zh-CN"/>
        </w:rPr>
        <w:t>、</w:t>
      </w:r>
      <w:r>
        <w:rPr>
          <w:rFonts w:hint="default" w:ascii="宋体" w:hAnsi="宋体" w:eastAsia="宋体" w:cs="宋体"/>
          <w:b/>
          <w:bCs w:val="0"/>
          <w:sz w:val="24"/>
          <w:szCs w:val="24"/>
          <w:highlight w:val="none"/>
          <w:u w:val="single"/>
          <w:lang w:val="en-US" w:eastAsia="zh-CN"/>
        </w:rPr>
        <w:t>其他实施团队成员</w:t>
      </w:r>
      <w:r>
        <w:rPr>
          <w:rFonts w:hint="eastAsia" w:ascii="宋体" w:hAnsi="宋体" w:eastAsia="宋体" w:cs="宋体"/>
          <w:b/>
          <w:bCs w:val="0"/>
          <w:sz w:val="24"/>
          <w:szCs w:val="24"/>
          <w:highlight w:val="none"/>
          <w:u w:val="single"/>
          <w:lang w:val="en-US" w:eastAsia="zh-CN"/>
        </w:rPr>
        <w:t>3人）名单，否则视为为非实质性响应招标文件要求。</w:t>
      </w:r>
    </w:p>
    <w:p w14:paraId="2AA514C1">
      <w:pPr>
        <w:tabs>
          <w:tab w:val="left" w:pos="6300"/>
        </w:tabs>
        <w:spacing w:line="360" w:lineRule="auto"/>
        <w:ind w:left="211" w:firstLine="211"/>
        <w:outlineLvl w:val="2"/>
        <w:rPr>
          <w:rFonts w:asciiTheme="minorEastAsia" w:hAnsiTheme="minorEastAsia"/>
          <w:b/>
          <w:sz w:val="24"/>
          <w:szCs w:val="24"/>
          <w:highlight w:val="none"/>
        </w:rPr>
      </w:pPr>
      <w:r>
        <w:rPr>
          <w:rFonts w:hint="eastAsia" w:asciiTheme="minorEastAsia" w:hAnsiTheme="minorEastAsia"/>
          <w:b/>
          <w:sz w:val="24"/>
          <w:szCs w:val="24"/>
          <w:highlight w:val="none"/>
        </w:rPr>
        <w:t>六、售后服务要求</w:t>
      </w:r>
    </w:p>
    <w:p w14:paraId="528D720F">
      <w:pPr>
        <w:pStyle w:val="30"/>
        <w:tabs>
          <w:tab w:val="left" w:pos="6300"/>
        </w:tabs>
        <w:spacing w:line="360" w:lineRule="auto"/>
        <w:ind w:firstLine="422"/>
        <w:jc w:val="both"/>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1、服务方式及期限</w:t>
      </w:r>
    </w:p>
    <w:p w14:paraId="70AA1893">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本项目为服务项目，中标人须提供符合招标文件要求的资源租赁服务支撑软硬件设备并在采购人指定位置搭建电子卷宗平台，交付成果为苏州法院电子卷宗存储服务，服务期限自合同签订之日起一年。</w:t>
      </w:r>
    </w:p>
    <w:p w14:paraId="1AFBD7FF">
      <w:pPr>
        <w:pStyle w:val="30"/>
        <w:tabs>
          <w:tab w:val="left" w:pos="6300"/>
        </w:tabs>
        <w:spacing w:line="360" w:lineRule="auto"/>
        <w:ind w:firstLine="422"/>
        <w:jc w:val="both"/>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2、服务要求</w:t>
      </w:r>
    </w:p>
    <w:p w14:paraId="7AA8E2B8">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（1）服务期内，本合同项目所有技术和服务发生任何非人为故障，根据采购人报障的故障级别，中标人采取必要的服务措施（包括调整），尽快修复故障，恢复系统的正常运行。</w:t>
      </w:r>
    </w:p>
    <w:p w14:paraId="33E2C48C">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疑难问题（不危及运行）在24小时内答复用户。</w:t>
      </w:r>
    </w:p>
    <w:p w14:paraId="629244EF">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重大问题（危及运行）在2小时内到现场处理或通过网络远程处理。</w:t>
      </w:r>
    </w:p>
    <w:p w14:paraId="36C90722">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特大问题（系统不能正常运行）在2小时内恢复系统运行，并在24小时内派技术人员到现场解决。</w:t>
      </w:r>
    </w:p>
    <w:p w14:paraId="28674205">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（2）中标人需提供定期回访服务，对采购人提出的合理优化建议应提供免费升级服务。</w:t>
      </w:r>
    </w:p>
    <w:p w14:paraId="01040CB0">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（3）所有的服务方式均为中标人上门保修，即由中标人派员到使用现场进行故障恢复，由此产生的一切费用均由中标人承担。</w:t>
      </w:r>
    </w:p>
    <w:p w14:paraId="4CE5CF04">
      <w:pPr>
        <w:pStyle w:val="30"/>
        <w:tabs>
          <w:tab w:val="left" w:pos="6300"/>
        </w:tabs>
        <w:spacing w:line="360" w:lineRule="auto"/>
        <w:ind w:firstLine="422"/>
        <w:jc w:val="both"/>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3、培训要求</w:t>
      </w:r>
    </w:p>
    <w:p w14:paraId="38FD7825">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（1）中标人提供完整的用户培训方案。</w:t>
      </w:r>
    </w:p>
    <w:p w14:paraId="3846CCBF">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（2）培训内容包括系统原理和故障检测等综合内容，以实际操作培训为主，确保培训人员能熟练地使用这些知识和技巧安全规范地操作。</w:t>
      </w:r>
    </w:p>
    <w:p w14:paraId="14C5455B">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（3）中标人选派具有一定资质和实践经验，且受过专门训练的专业技术人员负责技术培训工作。</w:t>
      </w:r>
    </w:p>
    <w:p w14:paraId="4FA300C8">
      <w:pPr>
        <w:pStyle w:val="30"/>
        <w:tabs>
          <w:tab w:val="left" w:pos="6300"/>
        </w:tabs>
        <w:spacing w:line="360" w:lineRule="auto"/>
        <w:ind w:firstLine="422"/>
        <w:jc w:val="both"/>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4、运维服务要求</w:t>
      </w:r>
    </w:p>
    <w:p w14:paraId="03B0D164">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（1）电话技术支持服务</w:t>
      </w:r>
    </w:p>
    <w:p w14:paraId="6A307C72">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设立7*24小时的技术支持热线，保证采购人获得日常维护的技术支持，保证采购人关于设备的技术性问题得到及时、有效的解答。</w:t>
      </w:r>
    </w:p>
    <w:p w14:paraId="59C576FF">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（2）巡检服务</w:t>
      </w:r>
    </w:p>
    <w:p w14:paraId="24613FDE">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为采购人此次维护保修服务范围内的设备进行定期检查，及时发现运行中存在的隐患，减少设备发生故障的概率，保证系统稳定、高效运行。</w:t>
      </w:r>
    </w:p>
    <w:p w14:paraId="08071F79">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（3）重点保障服务</w:t>
      </w:r>
    </w:p>
    <w:p w14:paraId="04B80602">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遇到活动或重大事件需要提供重点保障时，中标人根据采购人提出的重点保障服务要求，与采购人共同制定重点保障期间的保障方案。</w:t>
      </w:r>
    </w:p>
    <w:p w14:paraId="5584EF1F">
      <w:pPr>
        <w:tabs>
          <w:tab w:val="left" w:pos="6300"/>
        </w:tabs>
        <w:spacing w:line="360" w:lineRule="auto"/>
        <w:ind w:firstLine="422"/>
        <w:jc w:val="left"/>
        <w:rPr>
          <w:rFonts w:asciiTheme="minorEastAsia" w:hAnsiTheme="minorEastAsia"/>
          <w:b/>
          <w:sz w:val="24"/>
          <w:szCs w:val="24"/>
          <w:highlight w:val="none"/>
        </w:rPr>
      </w:pPr>
      <w:r>
        <w:rPr>
          <w:rFonts w:hint="eastAsia" w:asciiTheme="minorEastAsia" w:hAnsiTheme="minorEastAsia"/>
          <w:b/>
          <w:sz w:val="24"/>
          <w:szCs w:val="24"/>
          <w:highlight w:val="none"/>
        </w:rPr>
        <w:t>5、资料保密要求</w:t>
      </w:r>
    </w:p>
    <w:p w14:paraId="1B31DB89">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由于上述资料属保密资料，使用方必须承担保密责任，内容包括：</w:t>
      </w:r>
    </w:p>
    <w:p w14:paraId="1498763F">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（1）使用方应严格按照国家保密法规定的要求，采取有效措施，严防泄密，并承担相应法律责任。</w:t>
      </w:r>
    </w:p>
    <w:p w14:paraId="4C6BB77A">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（2）项目运行维护涉及的资料要制定专人保管，采取有效的保密措施，严防泄密。</w:t>
      </w:r>
    </w:p>
    <w:p w14:paraId="25627175">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（3）使用方可根据需要对资料进行数据处理和格式转换，但未经提供方许可，不得将处理、转换后的数据对外发布和提供。</w:t>
      </w:r>
    </w:p>
    <w:p w14:paraId="72416126">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（4）使用方不得将项目运行维护涉及的资料复制、转借、转让、传播、出版、翻译成外语等。</w:t>
      </w:r>
    </w:p>
    <w:p w14:paraId="036669E4">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（5）使用方对项目运行维护涉及的资料的使用违反国家法律法规或政府机关的决定，其使用权即无条件终止。</w:t>
      </w:r>
    </w:p>
    <w:p w14:paraId="723D153B">
      <w:pPr>
        <w:tabs>
          <w:tab w:val="left" w:pos="6300"/>
        </w:tabs>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（6）使用方应在资料使用后及时将资料归还给提供方。</w:t>
      </w:r>
    </w:p>
    <w:p w14:paraId="5313FEF2">
      <w:pPr>
        <w:tabs>
          <w:tab w:val="left" w:pos="6300"/>
        </w:tabs>
        <w:spacing w:line="360" w:lineRule="auto"/>
        <w:ind w:firstLine="422"/>
        <w:jc w:val="left"/>
        <w:rPr>
          <w:rFonts w:asciiTheme="minorEastAsia" w:hAnsiTheme="minorEastAsia"/>
          <w:b/>
          <w:sz w:val="24"/>
          <w:szCs w:val="24"/>
          <w:highlight w:val="none"/>
        </w:rPr>
      </w:pPr>
      <w:r>
        <w:rPr>
          <w:rFonts w:hint="eastAsia" w:asciiTheme="minorEastAsia" w:hAnsiTheme="minorEastAsia"/>
          <w:b/>
          <w:sz w:val="24"/>
          <w:szCs w:val="24"/>
          <w:highlight w:val="none"/>
        </w:rPr>
        <w:t>6、验收标准</w:t>
      </w:r>
    </w:p>
    <w:p w14:paraId="17ACBEC5">
      <w:pPr>
        <w:tabs>
          <w:tab w:val="left" w:pos="6300"/>
        </w:tabs>
        <w:spacing w:line="360" w:lineRule="auto"/>
        <w:ind w:firstLine="420"/>
        <w:rPr>
          <w:rFonts w:cs="宋体" w:asciiTheme="minorEastAsia" w:hAnsiTheme="minorEastAsia"/>
          <w:sz w:val="24"/>
          <w:szCs w:val="24"/>
          <w:highlight w:val="none"/>
        </w:rPr>
      </w:pPr>
      <w:r>
        <w:rPr>
          <w:rFonts w:hint="eastAsia" w:cs="宋体" w:asciiTheme="minorEastAsia" w:hAnsiTheme="minorEastAsia"/>
          <w:sz w:val="24"/>
          <w:szCs w:val="24"/>
          <w:highlight w:val="none"/>
        </w:rPr>
        <w:t>根据招标文件要求、投标人承诺及有关规定，由采购人按照中标人的投标文件及有关规定进行验收，相关验收费用由中标人承担，并在报价时综合考虑。</w:t>
      </w:r>
    </w:p>
    <w:p w14:paraId="4AABFEEE">
      <w:pPr>
        <w:tabs>
          <w:tab w:val="left" w:pos="6300"/>
        </w:tabs>
        <w:spacing w:line="360" w:lineRule="auto"/>
        <w:ind w:firstLine="420"/>
        <w:rPr>
          <w:rFonts w:ascii="宋体" w:hAnsi="宋体" w:eastAsia="宋体"/>
          <w:sz w:val="24"/>
          <w:szCs w:val="24"/>
          <w:highlight w:val="none"/>
        </w:rPr>
      </w:pPr>
      <w:r>
        <w:rPr>
          <w:rFonts w:hint="eastAsia" w:cs="宋体" w:asciiTheme="minorEastAsia" w:hAnsiTheme="minorEastAsia"/>
          <w:sz w:val="24"/>
          <w:szCs w:val="24"/>
          <w:highlight w:val="none"/>
        </w:rPr>
        <w:t>验收方法：采购人不定期抽查服务质量，服务期结束前中标人出具相关服务总结报告。</w:t>
      </w:r>
    </w:p>
    <w:p w14:paraId="1E36088D">
      <w:pPr>
        <w:tabs>
          <w:tab w:val="left" w:pos="6300"/>
        </w:tabs>
        <w:adjustRightInd w:val="0"/>
        <w:spacing w:line="360" w:lineRule="auto"/>
        <w:ind w:firstLine="482" w:firstLineChars="200"/>
        <w:jc w:val="left"/>
        <w:outlineLvl w:val="1"/>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七</w:t>
      </w:r>
      <w:r>
        <w:rPr>
          <w:rFonts w:hint="eastAsia" w:ascii="宋体" w:hAnsi="宋体" w:eastAsia="宋体" w:cs="宋体"/>
          <w:b/>
          <w:sz w:val="24"/>
          <w:szCs w:val="24"/>
          <w:highlight w:val="none"/>
        </w:rPr>
        <w:t>、综合说明及其他要求</w:t>
      </w:r>
    </w:p>
    <w:p w14:paraId="589E6E7A">
      <w:pPr>
        <w:tabs>
          <w:tab w:val="left" w:pos="6300"/>
        </w:tabs>
        <w:spacing w:line="360" w:lineRule="auto"/>
        <w:ind w:firstLine="480" w:firstLineChars="200"/>
        <w:rPr>
          <w:rFonts w:ascii="宋体" w:hAnsi="宋体" w:eastAsia="宋体" w:cs="宋体"/>
          <w:sz w:val="24"/>
          <w:szCs w:val="24"/>
          <w:highlight w:val="none"/>
        </w:rPr>
      </w:pPr>
      <w:bookmarkStart w:id="70" w:name="_Hlk193379214"/>
      <w:bookmarkStart w:id="71" w:name="_Hlk117243055"/>
      <w:r>
        <w:rPr>
          <w:rFonts w:hint="eastAsia" w:ascii="宋体" w:hAnsi="宋体" w:eastAsia="宋体" w:cs="宋体"/>
          <w:sz w:val="24"/>
          <w:szCs w:val="24"/>
          <w:highlight w:val="none"/>
        </w:rPr>
        <w:t>1、供应商</w:t>
      </w:r>
      <w:r>
        <w:rPr>
          <w:rFonts w:hint="eastAsia" w:ascii="宋体" w:hAnsi="宋体" w:eastAsia="宋体" w:cs="宋体"/>
          <w:sz w:val="24"/>
          <w:szCs w:val="24"/>
          <w:highlight w:val="none"/>
          <w:lang w:val="en-US" w:eastAsia="zh-CN"/>
        </w:rPr>
        <w:t>须</w:t>
      </w:r>
      <w:r>
        <w:rPr>
          <w:rFonts w:hint="eastAsia" w:ascii="宋体" w:hAnsi="宋体" w:eastAsia="宋体" w:cs="宋体"/>
          <w:sz w:val="24"/>
          <w:szCs w:val="24"/>
          <w:highlight w:val="none"/>
        </w:rPr>
        <w:t>明确详细的服务方案，并对所提供的全部资料的真实性承担法律责任。</w:t>
      </w:r>
    </w:p>
    <w:bookmarkEnd w:id="70"/>
    <w:p w14:paraId="56BAC0E2">
      <w:pPr>
        <w:tabs>
          <w:tab w:val="left" w:pos="6300"/>
        </w:tabs>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2、供应商必须承诺招标文件中提出的全部管理要求，如果其中某些条款不响应时，应在文件中逐条列出，未列出的视同响应。</w:t>
      </w:r>
    </w:p>
    <w:p w14:paraId="46D4D06E">
      <w:pPr>
        <w:tabs>
          <w:tab w:val="left" w:pos="6300"/>
        </w:tabs>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w:t>
      </w:r>
      <w:bookmarkStart w:id="72" w:name="_Hlk193379165"/>
      <w:r>
        <w:rPr>
          <w:rFonts w:hint="eastAsia" w:ascii="宋体" w:hAnsi="宋体" w:eastAsia="宋体" w:cs="宋体"/>
          <w:sz w:val="24"/>
          <w:szCs w:val="24"/>
          <w:highlight w:val="none"/>
        </w:rPr>
        <w:t>供应商应对所投采购包的全部内容进行报价，只投其中部分内容者，其投标（响应）文件将被拒绝。投标（响应）总报价一次报定，包括</w:t>
      </w:r>
      <w:bookmarkEnd w:id="72"/>
      <w:r>
        <w:rPr>
          <w:rFonts w:hint="eastAsia" w:ascii="宋体" w:hAnsi="宋体" w:eastAsia="宋体" w:cs="宋体"/>
          <w:sz w:val="24"/>
          <w:szCs w:val="24"/>
          <w:highlight w:val="none"/>
        </w:rPr>
        <w:t>完成本招标项目所需的项目运行管理、技术支撑、资源租赁费、支撑设备费用、试运行直到验收、质保、运维、利润、税金、保险、培训、技术支持、政策性文件规定及合同包含的所有风险、责任等各项应有费用。</w:t>
      </w:r>
    </w:p>
    <w:p w14:paraId="33A3E21F">
      <w:pPr>
        <w:tabs>
          <w:tab w:val="left" w:pos="6300"/>
        </w:tabs>
        <w:spacing w:line="360" w:lineRule="auto"/>
        <w:ind w:firstLine="480"/>
        <w:rPr>
          <w:rFonts w:ascii="宋体" w:hAnsi="宋体" w:eastAsia="宋体" w:cs="宋体"/>
          <w:highlight w:val="none"/>
        </w:rPr>
      </w:pPr>
      <w:r>
        <w:rPr>
          <w:rFonts w:hint="eastAsia" w:ascii="宋体" w:hAnsi="宋体" w:eastAsia="宋体" w:cs="宋体"/>
          <w:sz w:val="24"/>
          <w:szCs w:val="24"/>
          <w:highlight w:val="none"/>
        </w:rPr>
        <w:t>4、中标人将根据招标文件、投标（响应）文件的相关约定，承担合同责任，履行合同义务。</w:t>
      </w:r>
    </w:p>
    <w:bookmarkEnd w:id="71"/>
    <w:p w14:paraId="7D5CBEB9">
      <w:pPr>
        <w:tabs>
          <w:tab w:val="left" w:pos="6300"/>
        </w:tabs>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5、付款方式：见合同主要条款。</w:t>
      </w:r>
    </w:p>
    <w:p w14:paraId="7A9E6241">
      <w:pPr>
        <w:tabs>
          <w:tab w:val="left" w:pos="6300"/>
        </w:tabs>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6、凡涉及招标文件的补充说明和修改，均以苏州政府采购网发布的内容为准。</w:t>
      </w:r>
    </w:p>
    <w:p w14:paraId="0E1A3D55">
      <w:pPr>
        <w:tabs>
          <w:tab w:val="left" w:pos="6300"/>
        </w:tabs>
        <w:spacing w:line="360" w:lineRule="auto"/>
        <w:rPr>
          <w:rFonts w:ascii="宋体" w:hAnsi="宋体" w:eastAsia="宋体" w:cs="宋体"/>
          <w:highlight w:val="none"/>
        </w:rPr>
      </w:pPr>
      <w:r>
        <w:rPr>
          <w:rFonts w:hint="eastAsia" w:ascii="宋体" w:hAnsi="宋体" w:eastAsia="宋体" w:cs="宋体"/>
          <w:highlight w:val="none"/>
        </w:rPr>
        <w:br w:type="page"/>
      </w:r>
    </w:p>
    <w:p w14:paraId="3F2CE13C">
      <w:pPr>
        <w:jc w:val="left"/>
        <w:rPr>
          <w:rFonts w:ascii="宋体" w:hAnsi="宋体" w:eastAsia="宋体" w:cs="宋体"/>
          <w:highlight w:val="none"/>
        </w:rPr>
      </w:pPr>
      <w:bookmarkStart w:id="73" w:name="_Toc396747046"/>
      <w:bookmarkStart w:id="74" w:name="_Toc105940241"/>
    </w:p>
    <w:p w14:paraId="2401E256">
      <w:pPr>
        <w:pStyle w:val="48"/>
        <w:rPr>
          <w:rFonts w:ascii="宋体" w:hAnsi="宋体" w:eastAsia="宋体" w:cs="宋体"/>
          <w:sz w:val="21"/>
          <w:szCs w:val="22"/>
          <w:highlight w:val="none"/>
        </w:rPr>
      </w:pPr>
    </w:p>
    <w:p w14:paraId="4E321601">
      <w:pPr>
        <w:pStyle w:val="48"/>
        <w:rPr>
          <w:rFonts w:ascii="宋体" w:hAnsi="宋体" w:eastAsia="宋体" w:cs="宋体"/>
          <w:sz w:val="21"/>
          <w:szCs w:val="22"/>
          <w:highlight w:val="none"/>
        </w:rPr>
      </w:pPr>
    </w:p>
    <w:p w14:paraId="063340A5">
      <w:pPr>
        <w:pStyle w:val="48"/>
        <w:rPr>
          <w:rFonts w:ascii="宋体" w:hAnsi="宋体" w:eastAsia="宋体" w:cs="宋体"/>
          <w:sz w:val="21"/>
          <w:szCs w:val="22"/>
          <w:highlight w:val="none"/>
        </w:rPr>
      </w:pPr>
    </w:p>
    <w:p w14:paraId="270F9A19">
      <w:pPr>
        <w:pStyle w:val="48"/>
        <w:rPr>
          <w:rFonts w:ascii="宋体" w:hAnsi="宋体" w:eastAsia="宋体" w:cs="宋体"/>
          <w:sz w:val="21"/>
          <w:szCs w:val="22"/>
          <w:highlight w:val="none"/>
        </w:rPr>
      </w:pPr>
    </w:p>
    <w:p w14:paraId="1403FE0A">
      <w:pPr>
        <w:pStyle w:val="48"/>
        <w:rPr>
          <w:rFonts w:ascii="宋体" w:hAnsi="宋体" w:eastAsia="宋体" w:cs="宋体"/>
          <w:sz w:val="21"/>
          <w:szCs w:val="22"/>
          <w:highlight w:val="none"/>
        </w:rPr>
      </w:pPr>
    </w:p>
    <w:p w14:paraId="23FC2577">
      <w:pPr>
        <w:pStyle w:val="48"/>
        <w:rPr>
          <w:rFonts w:ascii="宋体" w:hAnsi="宋体" w:eastAsia="宋体" w:cs="宋体"/>
          <w:sz w:val="21"/>
          <w:szCs w:val="22"/>
          <w:highlight w:val="none"/>
        </w:rPr>
      </w:pPr>
    </w:p>
    <w:p w14:paraId="5ECEA693">
      <w:pPr>
        <w:pStyle w:val="48"/>
        <w:rPr>
          <w:rFonts w:ascii="宋体" w:hAnsi="宋体" w:eastAsia="宋体" w:cs="宋体"/>
          <w:sz w:val="21"/>
          <w:szCs w:val="22"/>
          <w:highlight w:val="none"/>
        </w:rPr>
      </w:pPr>
    </w:p>
    <w:p w14:paraId="7970B8CE">
      <w:pPr>
        <w:pStyle w:val="48"/>
        <w:rPr>
          <w:rFonts w:ascii="宋体" w:hAnsi="宋体" w:eastAsia="宋体" w:cs="宋体"/>
          <w:sz w:val="21"/>
          <w:szCs w:val="22"/>
          <w:highlight w:val="none"/>
        </w:rPr>
      </w:pPr>
    </w:p>
    <w:p w14:paraId="3F4A098D">
      <w:pPr>
        <w:pStyle w:val="48"/>
        <w:ind w:firstLine="964"/>
        <w:rPr>
          <w:rFonts w:ascii="宋体" w:hAnsi="宋体" w:eastAsia="宋体" w:cs="宋体"/>
          <w:b/>
          <w:kern w:val="44"/>
          <w:sz w:val="48"/>
          <w:szCs w:val="48"/>
          <w:highlight w:val="none"/>
          <w:shd w:val="clear" w:color="auto" w:fill="FFFFFF"/>
        </w:rPr>
      </w:pPr>
    </w:p>
    <w:p w14:paraId="5B77C335">
      <w:pPr>
        <w:keepNext/>
        <w:keepLines/>
        <w:spacing w:before="340" w:after="330" w:line="360" w:lineRule="auto"/>
        <w:jc w:val="center"/>
        <w:outlineLvl w:val="0"/>
        <w:rPr>
          <w:rFonts w:ascii="宋体" w:hAnsi="宋体" w:eastAsia="宋体" w:cs="宋体"/>
          <w:b/>
          <w:kern w:val="44"/>
          <w:sz w:val="48"/>
          <w:szCs w:val="48"/>
          <w:highlight w:val="none"/>
          <w:shd w:val="clear" w:color="auto" w:fill="FFFFFF"/>
        </w:rPr>
      </w:pPr>
      <w:r>
        <w:rPr>
          <w:rFonts w:hint="eastAsia" w:ascii="宋体" w:hAnsi="宋体" w:eastAsia="宋体" w:cs="宋体"/>
          <w:b/>
          <w:kern w:val="44"/>
          <w:sz w:val="48"/>
          <w:szCs w:val="48"/>
          <w:highlight w:val="none"/>
          <w:shd w:val="clear" w:color="auto" w:fill="FFFFFF"/>
        </w:rPr>
        <w:t>第五章 合同主要条款</w:t>
      </w:r>
      <w:bookmarkEnd w:id="73"/>
      <w:bookmarkEnd w:id="74"/>
    </w:p>
    <w:bookmarkEnd w:id="66"/>
    <w:p w14:paraId="265075D2">
      <w:pPr>
        <w:jc w:val="left"/>
        <w:rPr>
          <w:rFonts w:ascii="宋体" w:hAnsi="宋体" w:eastAsia="宋体" w:cs="宋体"/>
          <w:sz w:val="24"/>
          <w:szCs w:val="24"/>
          <w:highlight w:val="none"/>
        </w:rPr>
      </w:pPr>
      <w:bookmarkStart w:id="75" w:name="_Toc13642118"/>
      <w:bookmarkStart w:id="76" w:name="_Toc13889378"/>
      <w:r>
        <w:rPr>
          <w:rFonts w:hint="eastAsia" w:ascii="宋体" w:hAnsi="宋体" w:eastAsia="宋体" w:cs="宋体"/>
          <w:sz w:val="24"/>
          <w:szCs w:val="24"/>
          <w:highlight w:val="none"/>
        </w:rPr>
        <w:br w:type="page"/>
      </w:r>
    </w:p>
    <w:p w14:paraId="1C4EC35C">
      <w:pPr>
        <w:spacing w:line="360" w:lineRule="auto"/>
        <w:jc w:val="center"/>
        <w:rPr>
          <w:rFonts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t>合同主要条款</w:t>
      </w:r>
    </w:p>
    <w:p w14:paraId="6C3A1089">
      <w:pPr>
        <w:spacing w:line="360" w:lineRule="auto"/>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甲方（采购人）：</w:t>
      </w:r>
    </w:p>
    <w:p w14:paraId="6B635C45">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地址：</w:t>
      </w:r>
    </w:p>
    <w:p w14:paraId="49055555">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联系人：</w:t>
      </w:r>
    </w:p>
    <w:p w14:paraId="15F68BC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联系电话：</w:t>
      </w:r>
    </w:p>
    <w:p w14:paraId="345BED3A">
      <w:pPr>
        <w:spacing w:before="100" w:beforeAutospacing="1" w:line="360" w:lineRule="auto"/>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乙方（供应商）：</w:t>
      </w:r>
    </w:p>
    <w:p w14:paraId="2326FE44">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地址：                        邮政编码：</w:t>
      </w:r>
    </w:p>
    <w:p w14:paraId="74561F1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联系人：                      手机号码：</w:t>
      </w:r>
    </w:p>
    <w:p w14:paraId="539FFF3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办公电话：                    电子邮件:</w:t>
      </w:r>
    </w:p>
    <w:p w14:paraId="4BFC15E1">
      <w:pPr>
        <w:spacing w:line="360" w:lineRule="auto"/>
        <w:rPr>
          <w:rFonts w:ascii="宋体" w:hAnsi="宋体" w:eastAsia="宋体" w:cs="宋体"/>
          <w:b/>
          <w:sz w:val="24"/>
          <w:szCs w:val="24"/>
          <w:highlight w:val="none"/>
        </w:rPr>
      </w:pPr>
    </w:p>
    <w:p w14:paraId="273E47FC">
      <w:pPr>
        <w:spacing w:line="360" w:lineRule="auto"/>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采购代理机构：</w:t>
      </w:r>
    </w:p>
    <w:p w14:paraId="535FF592">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地址：</w:t>
      </w:r>
    </w:p>
    <w:p w14:paraId="7524BE54">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联系电话：</w:t>
      </w:r>
    </w:p>
    <w:p w14:paraId="6AE407BE">
      <w:pPr>
        <w:adjustRightInd w:val="0"/>
        <w:snapToGrid w:val="0"/>
        <w:spacing w:line="360" w:lineRule="auto"/>
        <w:ind w:firstLine="480" w:firstLineChars="200"/>
        <w:rPr>
          <w:rFonts w:ascii="宋体" w:hAnsi="宋体" w:eastAsia="宋体" w:cs="宋体"/>
          <w:sz w:val="24"/>
          <w:szCs w:val="24"/>
          <w:highlight w:val="none"/>
        </w:rPr>
      </w:pPr>
    </w:p>
    <w:p w14:paraId="2C90587E">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依据甲方委托</w:t>
      </w:r>
      <w:r>
        <w:rPr>
          <w:rStyle w:val="169"/>
          <w:rFonts w:hint="eastAsia" w:ascii="宋体" w:hAnsi="宋体" w:eastAsia="宋体" w:cs="宋体"/>
          <w:sz w:val="24"/>
          <w:szCs w:val="24"/>
          <w:highlight w:val="none"/>
          <w:u w:val="single"/>
        </w:rPr>
        <w:t>苏州诚和招投标咨询有限公司</w:t>
      </w:r>
      <w:r>
        <w:rPr>
          <w:rStyle w:val="169"/>
          <w:rFonts w:hint="eastAsia" w:ascii="宋体" w:hAnsi="宋体" w:eastAsia="宋体" w:cs="宋体"/>
          <w:sz w:val="24"/>
          <w:szCs w:val="24"/>
          <w:highlight w:val="none"/>
        </w:rPr>
        <w:t>进行本项目政府采购</w:t>
      </w:r>
      <w:r>
        <w:rPr>
          <w:rStyle w:val="169"/>
          <w:rFonts w:hint="eastAsia" w:ascii="宋体" w:hAnsi="宋体" w:eastAsia="宋体" w:cs="宋体"/>
          <w:sz w:val="24"/>
          <w:szCs w:val="24"/>
          <w:highlight w:val="none"/>
          <w:u w:val="single"/>
        </w:rPr>
        <w:t>（采购编号：        ）</w:t>
      </w:r>
      <w:r>
        <w:rPr>
          <w:rStyle w:val="169"/>
          <w:rFonts w:hint="eastAsia" w:ascii="宋体" w:hAnsi="宋体" w:eastAsia="宋体" w:cs="宋体"/>
          <w:sz w:val="24"/>
          <w:szCs w:val="24"/>
          <w:highlight w:val="none"/>
        </w:rPr>
        <w:t>的采购结果，确定乙方为本次中标供应商，现依照采购文件、乙方的响应文件及相关文件的内容，签订本合同书。</w:t>
      </w:r>
    </w:p>
    <w:p w14:paraId="3A6B96C1">
      <w:pPr>
        <w:spacing w:line="360" w:lineRule="auto"/>
        <w:ind w:firstLine="482" w:firstLineChars="200"/>
        <w:rPr>
          <w:rStyle w:val="169"/>
          <w:rFonts w:ascii="宋体" w:hAnsi="宋体" w:eastAsia="宋体" w:cs="宋体"/>
          <w:b/>
          <w:sz w:val="24"/>
          <w:szCs w:val="24"/>
          <w:highlight w:val="none"/>
        </w:rPr>
      </w:pPr>
      <w:r>
        <w:rPr>
          <w:rStyle w:val="169"/>
          <w:rFonts w:hint="eastAsia" w:ascii="宋体" w:hAnsi="宋体" w:eastAsia="宋体" w:cs="宋体"/>
          <w:b/>
          <w:sz w:val="24"/>
          <w:szCs w:val="24"/>
          <w:highlight w:val="none"/>
        </w:rPr>
        <w:t>一、合同标的物和合同价格组成</w:t>
      </w:r>
    </w:p>
    <w:p w14:paraId="47853CAA">
      <w:pPr>
        <w:pStyle w:val="170"/>
        <w:tabs>
          <w:tab w:val="left" w:pos="7560"/>
        </w:tabs>
        <w:spacing w:line="360" w:lineRule="auto"/>
        <w:ind w:firstLine="480" w:firstLineChars="200"/>
        <w:jc w:val="both"/>
        <w:rPr>
          <w:rStyle w:val="169"/>
          <w:rFonts w:ascii="宋体" w:hAnsi="宋体" w:eastAsia="宋体" w:cs="宋体"/>
          <w:szCs w:val="24"/>
          <w:highlight w:val="none"/>
        </w:rPr>
      </w:pPr>
      <w:r>
        <w:rPr>
          <w:rStyle w:val="169"/>
          <w:rFonts w:hint="eastAsia" w:ascii="宋体" w:hAnsi="宋体" w:eastAsia="宋体" w:cs="宋体"/>
          <w:szCs w:val="24"/>
          <w:highlight w:val="none"/>
        </w:rPr>
        <w:t>1、采购的服务内容概述：详见第四章</w:t>
      </w:r>
    </w:p>
    <w:p w14:paraId="64A65E63">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2、服务地点：详见第</w:t>
      </w:r>
      <w:r>
        <w:rPr>
          <w:rStyle w:val="169"/>
          <w:rFonts w:hint="eastAsia" w:ascii="宋体" w:hAnsi="宋体" w:eastAsia="宋体" w:cs="宋体"/>
          <w:szCs w:val="24"/>
          <w:highlight w:val="none"/>
        </w:rPr>
        <w:t>四</w:t>
      </w:r>
      <w:r>
        <w:rPr>
          <w:rStyle w:val="169"/>
          <w:rFonts w:hint="eastAsia" w:ascii="宋体" w:hAnsi="宋体" w:eastAsia="宋体" w:cs="宋体"/>
          <w:sz w:val="24"/>
          <w:szCs w:val="24"/>
          <w:highlight w:val="none"/>
        </w:rPr>
        <w:t>章</w:t>
      </w:r>
    </w:p>
    <w:p w14:paraId="5A0684D6">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3、服务期限：详见第</w:t>
      </w:r>
      <w:r>
        <w:rPr>
          <w:rStyle w:val="169"/>
          <w:rFonts w:hint="eastAsia" w:ascii="宋体" w:hAnsi="宋体" w:eastAsia="宋体" w:cs="宋体"/>
          <w:szCs w:val="24"/>
          <w:highlight w:val="none"/>
        </w:rPr>
        <w:t>四</w:t>
      </w:r>
      <w:r>
        <w:rPr>
          <w:rStyle w:val="169"/>
          <w:rFonts w:hint="eastAsia" w:ascii="宋体" w:hAnsi="宋体" w:eastAsia="宋体" w:cs="宋体"/>
          <w:sz w:val="24"/>
          <w:szCs w:val="24"/>
          <w:highlight w:val="none"/>
        </w:rPr>
        <w:t>章</w:t>
      </w:r>
    </w:p>
    <w:p w14:paraId="57F0D8BA">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4、合同价款的组成：</w:t>
      </w:r>
      <w:r>
        <w:rPr>
          <w:rFonts w:hint="eastAsia" w:ascii="宋体" w:hAnsi="宋体" w:eastAsia="宋体" w:cs="宋体"/>
          <w:sz w:val="24"/>
          <w:szCs w:val="24"/>
          <w:highlight w:val="none"/>
        </w:rPr>
        <w:t>合同总金额（含税）（大写）</w:t>
      </w:r>
      <w:r>
        <w:rPr>
          <w:rFonts w:hint="eastAsia" w:ascii="宋体" w:hAnsi="宋体" w:eastAsia="宋体" w:cs="宋体"/>
          <w:sz w:val="24"/>
          <w:szCs w:val="24"/>
          <w:highlight w:val="none"/>
          <w:u w:val="single"/>
        </w:rPr>
        <w:t>人民币                 元（￥                ）</w:t>
      </w:r>
      <w:r>
        <w:rPr>
          <w:rFonts w:hint="eastAsia" w:ascii="宋体" w:hAnsi="宋体" w:eastAsia="宋体" w:cs="宋体"/>
          <w:sz w:val="24"/>
          <w:szCs w:val="24"/>
          <w:highlight w:val="none"/>
        </w:rPr>
        <w:t>，包括完成本招标项目所需的项目运行管理、技术支撑、资源租赁费、支撑设备费用、试运行直到验收、质保、运维、利润、税金、保险、培训、技术支持、政策性文件规定及合同包含的所有风险、责任等各项应有费用。</w:t>
      </w:r>
    </w:p>
    <w:p w14:paraId="428B0DC0">
      <w:pPr>
        <w:spacing w:line="360" w:lineRule="auto"/>
        <w:ind w:firstLine="482" w:firstLineChars="200"/>
        <w:rPr>
          <w:rStyle w:val="169"/>
          <w:rFonts w:ascii="宋体" w:hAnsi="宋体" w:eastAsia="宋体" w:cs="宋体"/>
          <w:b/>
          <w:sz w:val="24"/>
          <w:szCs w:val="24"/>
          <w:highlight w:val="none"/>
        </w:rPr>
      </w:pPr>
      <w:r>
        <w:rPr>
          <w:rStyle w:val="169"/>
          <w:rFonts w:hint="eastAsia" w:ascii="宋体" w:hAnsi="宋体" w:eastAsia="宋体" w:cs="宋体"/>
          <w:b/>
          <w:sz w:val="24"/>
          <w:szCs w:val="24"/>
          <w:highlight w:val="none"/>
        </w:rPr>
        <w:t>二、下列文件为本合同不可分割部分</w:t>
      </w:r>
    </w:p>
    <w:p w14:paraId="0563A1E4">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1、中标（成交）通知书；</w:t>
      </w:r>
    </w:p>
    <w:p w14:paraId="464032DE">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2、乙方的响应文件；</w:t>
      </w:r>
    </w:p>
    <w:p w14:paraId="159A1BCB">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3、采购文件；</w:t>
      </w:r>
    </w:p>
    <w:p w14:paraId="7E31BA69">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4、乙方在采购过程中所做的其它承诺、声明、书面澄清等。</w:t>
      </w:r>
    </w:p>
    <w:p w14:paraId="47908A65">
      <w:pPr>
        <w:spacing w:line="360" w:lineRule="auto"/>
        <w:ind w:firstLine="482" w:firstLineChars="200"/>
        <w:rPr>
          <w:rStyle w:val="169"/>
          <w:rFonts w:ascii="宋体" w:hAnsi="宋体" w:eastAsia="宋体" w:cs="宋体"/>
          <w:sz w:val="24"/>
          <w:szCs w:val="24"/>
          <w:highlight w:val="none"/>
        </w:rPr>
      </w:pPr>
      <w:r>
        <w:rPr>
          <w:rStyle w:val="169"/>
          <w:rFonts w:hint="eastAsia" w:ascii="宋体" w:hAnsi="宋体" w:eastAsia="宋体" w:cs="宋体"/>
          <w:b/>
          <w:bCs/>
          <w:sz w:val="24"/>
          <w:szCs w:val="24"/>
          <w:highlight w:val="none"/>
        </w:rPr>
        <w:t>三、合同价格支付</w:t>
      </w:r>
    </w:p>
    <w:p w14:paraId="69168F86">
      <w:pPr>
        <w:spacing w:line="360" w:lineRule="auto"/>
        <w:ind w:firstLine="480" w:firstLineChars="200"/>
        <w:rPr>
          <w:highlight w:val="none"/>
        </w:rPr>
      </w:pPr>
      <w:r>
        <w:rPr>
          <w:rStyle w:val="169"/>
          <w:rFonts w:hint="eastAsia" w:ascii="宋体" w:hAnsi="宋体" w:eastAsia="宋体" w:cs="宋体"/>
          <w:sz w:val="24"/>
          <w:szCs w:val="24"/>
          <w:highlight w:val="none"/>
        </w:rPr>
        <w:t>1、支付步骤和比例：采购合同签订后，乙方在规定时间内完成项目实施并开始提供服务后，甲方一次性向乙方支付合同价款。</w:t>
      </w:r>
    </w:p>
    <w:p w14:paraId="751F7B6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2、甲方根据乙方在本合同中所提供银行开户信息转账支付。</w:t>
      </w:r>
    </w:p>
    <w:p w14:paraId="4DB01C63">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乙方开户名称：</w:t>
      </w:r>
    </w:p>
    <w:p w14:paraId="75AA9804">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开户银行：</w:t>
      </w:r>
    </w:p>
    <w:p w14:paraId="7ECD522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银行账号：</w:t>
      </w:r>
    </w:p>
    <w:p w14:paraId="45EEAE0F">
      <w:pPr>
        <w:spacing w:line="360" w:lineRule="auto"/>
        <w:ind w:firstLine="480" w:firstLineChars="200"/>
        <w:rPr>
          <w:rFonts w:ascii="宋体" w:hAnsi="宋体" w:eastAsia="宋体" w:cs="宋体"/>
          <w:sz w:val="24"/>
          <w:szCs w:val="24"/>
          <w:highlight w:val="none"/>
        </w:rPr>
      </w:pPr>
      <w:r>
        <w:rPr>
          <w:rStyle w:val="169"/>
          <w:rFonts w:hint="eastAsia" w:ascii="宋体" w:hAnsi="宋体" w:eastAsia="宋体" w:cs="宋体"/>
          <w:sz w:val="24"/>
          <w:szCs w:val="24"/>
          <w:highlight w:val="none"/>
        </w:rPr>
        <w:t>数字人民币</w:t>
      </w:r>
      <w:r>
        <w:rPr>
          <w:rFonts w:hint="eastAsia" w:ascii="宋体" w:hAnsi="宋体" w:eastAsia="宋体" w:cs="宋体"/>
          <w:sz w:val="24"/>
          <w:szCs w:val="24"/>
          <w:highlight w:val="none"/>
        </w:rPr>
        <w:t>账号：</w:t>
      </w:r>
    </w:p>
    <w:p w14:paraId="5CE27F9E">
      <w:pPr>
        <w:spacing w:line="360" w:lineRule="auto"/>
        <w:ind w:firstLine="480" w:firstLineChars="200"/>
        <w:rPr>
          <w:rStyle w:val="169"/>
          <w:rFonts w:ascii="宋体" w:hAnsi="宋体" w:eastAsia="宋体" w:cs="宋体"/>
          <w:i/>
          <w:iCs/>
          <w:sz w:val="24"/>
          <w:szCs w:val="24"/>
          <w:highlight w:val="none"/>
        </w:rPr>
      </w:pPr>
      <w:bookmarkStart w:id="77" w:name="_Hlk172100131"/>
      <w:r>
        <w:rPr>
          <w:rStyle w:val="169"/>
          <w:rFonts w:hint="eastAsia" w:ascii="宋体" w:hAnsi="宋体" w:eastAsia="宋体" w:cs="宋体"/>
          <w:sz w:val="24"/>
          <w:szCs w:val="24"/>
          <w:highlight w:val="none"/>
        </w:rPr>
        <w:t>3、根据现行税法对甲方征收的与本合同有关的一切税费均由甲方承担；根据现行税法对乙方征收的与本合同有关的一切税费均由乙方承担。</w:t>
      </w:r>
    </w:p>
    <w:p w14:paraId="149F8A79">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4、乙方要求付款应提供以下资料：</w:t>
      </w:r>
    </w:p>
    <w:p w14:paraId="1074F0EC">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（1）合格的发票</w:t>
      </w:r>
    </w:p>
    <w:p w14:paraId="144BDAE4">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（2）.........</w:t>
      </w:r>
    </w:p>
    <w:p w14:paraId="595AE75B">
      <w:pPr>
        <w:spacing w:line="360" w:lineRule="auto"/>
        <w:ind w:firstLine="480" w:firstLineChars="200"/>
        <w:rPr>
          <w:rStyle w:val="169"/>
          <w:rFonts w:ascii="宋体" w:hAnsi="宋体" w:eastAsia="宋体" w:cs="宋体"/>
          <w:sz w:val="24"/>
          <w:szCs w:val="24"/>
          <w:highlight w:val="none"/>
        </w:rPr>
      </w:pPr>
      <w:r>
        <w:rPr>
          <w:rStyle w:val="169"/>
          <w:rFonts w:hint="eastAsia" w:ascii="宋体" w:hAnsi="宋体" w:eastAsia="宋体" w:cs="宋体"/>
          <w:sz w:val="24"/>
          <w:szCs w:val="24"/>
          <w:highlight w:val="none"/>
        </w:rPr>
        <w:t>5、支付方式：数字人民币转账、银行转账、银行汇票或转账支票，具体支付方式甲方有权根据财务安排自主选择。</w:t>
      </w:r>
    </w:p>
    <w:bookmarkEnd w:id="77"/>
    <w:p w14:paraId="78BFE3FD">
      <w:pPr>
        <w:spacing w:line="360" w:lineRule="auto"/>
        <w:ind w:firstLine="482" w:firstLineChars="200"/>
        <w:rPr>
          <w:rFonts w:ascii="宋体" w:hAnsi="宋体" w:eastAsia="宋体" w:cs="宋体"/>
          <w:b/>
          <w:color w:val="auto"/>
          <w:sz w:val="24"/>
          <w:szCs w:val="24"/>
          <w:highlight w:val="none"/>
        </w:rPr>
      </w:pPr>
      <w:bookmarkStart w:id="78" w:name="_Hlk172100209"/>
      <w:r>
        <w:rPr>
          <w:rFonts w:hint="eastAsia" w:ascii="宋体" w:hAnsi="宋体" w:eastAsia="宋体" w:cs="宋体"/>
          <w:b/>
          <w:color w:val="auto"/>
          <w:sz w:val="24"/>
          <w:szCs w:val="24"/>
          <w:highlight w:val="none"/>
        </w:rPr>
        <w:t>四、甲方的权利和义务</w:t>
      </w:r>
    </w:p>
    <w:p w14:paraId="011A81C9">
      <w:pPr>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1、根据甲方服务要求及乙方投标文件中的承诺，要求乙方按照本合同约定提交技术服务，并对乙方提供的服务及履行本合同情况实行检查、监督、考核，要求乙方对其服务过程中存在的问题进行整改。</w:t>
      </w:r>
    </w:p>
    <w:p w14:paraId="55687FBC">
      <w:pPr>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2、按照招标文件要求和相关约定，及时支付服务费用。</w:t>
      </w:r>
    </w:p>
    <w:p w14:paraId="0F034153">
      <w:pPr>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3、要求乙方提供相关的技术资料和必要的技术指导，听取乙方提出的建议并给予答复。</w:t>
      </w:r>
    </w:p>
    <w:p w14:paraId="6C2C6DEC">
      <w:pPr>
        <w:spacing w:line="360" w:lineRule="auto"/>
        <w:ind w:firstLine="482" w:firstLineChars="20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五、乙方的权利与义务</w:t>
      </w:r>
    </w:p>
    <w:p w14:paraId="157F4A0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1、接受甲方提供的技术资料、数据等。</w:t>
      </w:r>
    </w:p>
    <w:p w14:paraId="354C3810">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2、交付符合本合同要求的工作成果并获得报酬。</w:t>
      </w:r>
    </w:p>
    <w:p w14:paraId="11114E0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3、根据甲方要求提供相关的技术资料和必要的技术指导，依据甲方提出的建议后并及时给予答复。</w:t>
      </w:r>
    </w:p>
    <w:p w14:paraId="36F7FC4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通用标准，如出现质量问题，乙方负责修缮，发生的费用由乙方负责。</w:t>
      </w:r>
    </w:p>
    <w:p w14:paraId="1647873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5、乙方除应做好职工的安全生产教育外，还应为服务人员提供必要的劳动保护条件，还应为服务办理人身安全保险和意外伤害险，一切安全责任事故均由乙方负责（保险种类由乙方自行选择）。</w:t>
      </w:r>
    </w:p>
    <w:p w14:paraId="6532DA2A">
      <w:pPr>
        <w:spacing w:line="360" w:lineRule="auto"/>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六、保密义务</w:t>
      </w:r>
    </w:p>
    <w:p w14:paraId="71B136CF">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1、甲方对其向乙方提供/披露的各类技术、信息数据、商业资料、规格说明、图纸、文件及专有技术等(统称“保密资料”)享有合法所有权。</w:t>
      </w:r>
    </w:p>
    <w:p w14:paraId="0A62A2DC">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2、乙方应将上述甲方保密资料作为商业秘密予以保护。如发生泄密，甲方有权追究乙方泄密责任。</w:t>
      </w:r>
    </w:p>
    <w:p w14:paraId="7253483F">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本合同授权实施的行为外，乙方不得将保密资料部分地或全部地对外披露，乙方可仅为本合同的目的向其确有知悉必要的雇员披露甲方提供的保密资料，但同时须指示其雇员遵守本条约定的保密及不披露义务。</w:t>
      </w:r>
    </w:p>
    <w:p w14:paraId="51583620">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乙方应当妥善保管保密资料，并对保密资料在乙方期间发生的被盗、泄露或其他有损保密资料保密性的事件承担全部责任。乙方仅得为履行本合同之目的对保密资料进行复制。乙方应当在本合同终止或解除时将保密资料原件全部返还甲方，并销毁所有复制件。</w:t>
      </w:r>
    </w:p>
    <w:p w14:paraId="6571741C">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（3）为保障甲方保密资料安全，甲方有权要求乙方及可能接触到保密资料的乙方雇员单独出具相应保密承诺。</w:t>
      </w:r>
    </w:p>
    <w:p w14:paraId="01EA3F08">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3、出现下述情况时，本条对保密资料的限制不适用。当保密资料：</w:t>
      </w:r>
    </w:p>
    <w:p w14:paraId="314B7E3D">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（1）并非乙方的过错而已经进入公有领域的。</w:t>
      </w:r>
    </w:p>
    <w:p w14:paraId="3EA3BD38">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（2）由乙方从没有违反对甲方的保密义务的人合法取得的。</w:t>
      </w:r>
    </w:p>
    <w:p w14:paraId="56BB9352">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（3）法律要求乙方披露的，但乙方应在合理的时间提前通知甲方，使其得以采取其认为必要的保护措施。</w:t>
      </w:r>
    </w:p>
    <w:p w14:paraId="410C21C2">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4、保密期限为自本协议签署之日起</w:t>
      </w:r>
      <w:r>
        <w:rPr>
          <w:rFonts w:hint="eastAsia" w:ascii="宋体" w:hAnsi="宋体" w:eastAsia="宋体" w:cs="宋体"/>
          <w:color w:val="auto"/>
          <w:kern w:val="0"/>
          <w:sz w:val="24"/>
          <w:szCs w:val="24"/>
          <w:highlight w:val="none"/>
          <w:u w:val="single"/>
        </w:rPr>
        <w:t xml:space="preserve"> 1 </w:t>
      </w:r>
      <w:r>
        <w:rPr>
          <w:rFonts w:hint="eastAsia" w:ascii="宋体" w:hAnsi="宋体" w:eastAsia="宋体" w:cs="宋体"/>
          <w:color w:val="auto"/>
          <w:kern w:val="0"/>
          <w:sz w:val="24"/>
          <w:szCs w:val="24"/>
          <w:highlight w:val="none"/>
        </w:rPr>
        <w:t>年有效。</w:t>
      </w:r>
    </w:p>
    <w:p w14:paraId="355C6F3E">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七、不可抗力</w:t>
      </w:r>
    </w:p>
    <w:p w14:paraId="00A8BB6F">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1、因不可抗力不能履行合同的，根据不可抗力的影响，部分或者全部免除责任。但合同一方延迟履行后发生不可抗力的，不能免除责任。</w:t>
      </w:r>
    </w:p>
    <w:p w14:paraId="587455D1">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2、合同一方因不可抗力不能履行合同的，应当及时通知对方，以减轻可能给对方造成的损失，并应当在合理期限内提供证明。</w:t>
      </w:r>
    </w:p>
    <w:p w14:paraId="76627023">
      <w:pPr>
        <w:spacing w:line="360" w:lineRule="auto"/>
        <w:ind w:firstLine="482" w:firstLineChars="200"/>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八、合同的解除和转让</w:t>
      </w:r>
    </w:p>
    <w:p w14:paraId="2DF20B6F">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1、有下列情形之一，合同一方可以解除合同：</w:t>
      </w:r>
    </w:p>
    <w:p w14:paraId="5858E9D9">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（1）因不可抗力致使不能实现合同目的，未受不可抗力影响的一方有权解除合同；</w:t>
      </w:r>
    </w:p>
    <w:p w14:paraId="1C06937B">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（2）因合同一方违约导致合同不能履行，另一方有权解除合同；</w:t>
      </w:r>
    </w:p>
    <w:p w14:paraId="5D8D3008">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（3）因乙方在履行合同过程中造成社会不良影响的，甲方有权解除合同。</w:t>
      </w:r>
    </w:p>
    <w:p w14:paraId="2B2F2BBB">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2、有权解除合同的一方，应当在违约事实或不可抗力发生之后三十天内书面通知对方以主张解除合同，合同在书面通知到达对方时解除。</w:t>
      </w:r>
    </w:p>
    <w:p w14:paraId="448557A8">
      <w:pPr>
        <w:widowControl/>
        <w:spacing w:line="360" w:lineRule="auto"/>
        <w:ind w:firstLine="480" w:firstLineChars="200"/>
        <w:rPr>
          <w:rFonts w:ascii="宋体" w:hAnsi="宋体" w:eastAsia="宋体" w:cs="宋体"/>
          <w:highlight w:val="none"/>
        </w:rPr>
      </w:pPr>
      <w:r>
        <w:rPr>
          <w:rFonts w:hint="eastAsia" w:ascii="宋体" w:hAnsi="宋体" w:eastAsia="宋体" w:cs="宋体"/>
          <w:sz w:val="24"/>
          <w:szCs w:val="24"/>
          <w:highlight w:val="none"/>
        </w:rPr>
        <w:t>3、合同的部分和全部都不得转让。</w:t>
      </w:r>
    </w:p>
    <w:p w14:paraId="35C42D30">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4、依据预留项目和价格扣除等优惠政策获取政府采购合同后，小型、微型企业不得分包或转包给大型、中型企业，中型企业不得分包或转包给大型企业。</w:t>
      </w:r>
    </w:p>
    <w:p w14:paraId="5B26F7AA">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5、本合同履行过程中出现危害国家利益和社会公共利益问题的，甲方有权立即终止合同。</w:t>
      </w:r>
    </w:p>
    <w:p w14:paraId="2BA214DA">
      <w:pPr>
        <w:spacing w:line="360" w:lineRule="auto"/>
        <w:ind w:firstLine="482" w:firstLineChars="200"/>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九、违约责任</w:t>
      </w:r>
    </w:p>
    <w:p w14:paraId="6A5C602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1、合同一方不履行合同义务或者履行合同义务不符合约定的，应当承担继续履行、采取补救措施或赔偿损失等违约责任。</w:t>
      </w:r>
    </w:p>
    <w:p w14:paraId="2F22FD4B">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2、甲方违约责任。</w:t>
      </w:r>
    </w:p>
    <w:p w14:paraId="237C284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（1）在合同生效后，甲方无理由要求的毁约，应向乙方偿付合同总价款的1%，作为违约金，违约金不足以补偿损失的，乙方有权要求甲方补足。</w:t>
      </w:r>
    </w:p>
    <w:p w14:paraId="21C2DF6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（2）甲方逾期付款的，每逾期一日，应按照逾期付款金额的万分之四支付逾期付款违约金。</w:t>
      </w:r>
    </w:p>
    <w:p w14:paraId="04F997F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（3）甲方违反合同约定，拒绝接受乙方交付的合格技术服务，应当承担乙方由此造成的损失。</w:t>
      </w:r>
    </w:p>
    <w:p w14:paraId="0A934451">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3、乙方违约责任。</w:t>
      </w:r>
    </w:p>
    <w:p w14:paraId="451BF288">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乙方不能按时提供服务，或服务不合格从而影响甲方按期正常使用的，应向甲方偿付合同总价款1%的违约金，违约金不足以补偿损失的甲方有权要求乙方补足。如乙方逾期超过15天未能提供服务的，视为根本违约，甲方有权解除合同并要求乙方赔偿合同总价款的1%作为违约金。</w:t>
      </w:r>
    </w:p>
    <w:p w14:paraId="7273E324">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（2）乙方逾期服务的，应在事前与甲方和政府采购管理部门协商，甲方仍需求的，乙方应立即提供服务并应按照逾期服务部分的款项的每天万分之四支付逾期违约金，同时承担甲方因此遭致的损失费用。</w:t>
      </w:r>
    </w:p>
    <w:p w14:paraId="6034592D">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（3）乙方在服务过程中，若有违反招标文件相关规定及内容的，甲方有权延迟付款或从未付款项中扣除甲方损失费用。</w:t>
      </w:r>
    </w:p>
    <w:p w14:paraId="4F32BC66">
      <w:pPr>
        <w:spacing w:line="360" w:lineRule="auto"/>
        <w:ind w:firstLine="482" w:firstLineChars="200"/>
        <w:rPr>
          <w:rFonts w:ascii="宋体" w:hAnsi="宋体" w:eastAsia="宋体" w:cs="宋体"/>
          <w:b/>
          <w:kern w:val="0"/>
          <w:sz w:val="24"/>
          <w:szCs w:val="24"/>
          <w:highlight w:val="none"/>
        </w:rPr>
      </w:pPr>
      <w:r>
        <w:rPr>
          <w:rFonts w:hint="eastAsia" w:ascii="宋体" w:hAnsi="宋体" w:eastAsia="宋体" w:cs="宋体"/>
          <w:b/>
          <w:bCs/>
          <w:kern w:val="0"/>
          <w:sz w:val="24"/>
          <w:szCs w:val="24"/>
          <w:highlight w:val="none"/>
        </w:rPr>
        <w:t>十、争议解决办法</w:t>
      </w:r>
    </w:p>
    <w:p w14:paraId="6755AB1F">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1、因本合同或与本合同有关的一切事项发生争议，由双方友好协商解决。协商不成的，任何一方均可以向甲方所在地人民法院起诉。</w:t>
      </w:r>
    </w:p>
    <w:p w14:paraId="67542571">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2、乙方保证以下通讯方式为本单位各类文书送达地址，如发生变化，乙方应提前3日书面加盖公章通知甲方。</w:t>
      </w:r>
    </w:p>
    <w:p w14:paraId="307827D7">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联系人：</w:t>
      </w:r>
    </w:p>
    <w:p w14:paraId="6B0D5BF9">
      <w:pPr>
        <w:spacing w:line="360" w:lineRule="auto"/>
        <w:ind w:firstLine="480" w:firstLineChars="200"/>
        <w:rPr>
          <w:rFonts w:ascii="宋体" w:hAnsi="宋体" w:eastAsia="宋体" w:cs="宋体"/>
          <w:kern w:val="0"/>
          <w:sz w:val="24"/>
          <w:szCs w:val="24"/>
          <w:highlight w:val="none"/>
          <w:u w:val="single"/>
        </w:rPr>
      </w:pPr>
      <w:r>
        <w:rPr>
          <w:rFonts w:hint="eastAsia" w:ascii="宋体" w:hAnsi="宋体" w:eastAsia="宋体" w:cs="宋体"/>
          <w:kern w:val="0"/>
          <w:sz w:val="24"/>
          <w:szCs w:val="24"/>
          <w:highlight w:val="none"/>
        </w:rPr>
        <w:t>地址：</w:t>
      </w:r>
    </w:p>
    <w:p w14:paraId="431E6835">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邮政编码：</w:t>
      </w:r>
    </w:p>
    <w:p w14:paraId="16014480">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联系电话号码：</w:t>
      </w:r>
    </w:p>
    <w:p w14:paraId="382D4A0E">
      <w:pPr>
        <w:spacing w:line="360" w:lineRule="auto"/>
        <w:ind w:firstLine="482" w:firstLineChars="200"/>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十一、合同生效</w:t>
      </w:r>
    </w:p>
    <w:p w14:paraId="09DC9E9B">
      <w:pPr>
        <w:spacing w:line="360" w:lineRule="auto"/>
        <w:ind w:firstLine="480" w:firstLineChars="200"/>
        <w:rPr>
          <w:rFonts w:ascii="宋体" w:hAnsi="宋体" w:eastAsia="宋体" w:cs="宋体"/>
          <w:sz w:val="24"/>
          <w:szCs w:val="24"/>
          <w:highlight w:val="none"/>
        </w:rPr>
      </w:pPr>
      <w:r>
        <w:rPr>
          <w:rFonts w:hint="eastAsia" w:ascii="宋体" w:hAnsi="宋体" w:eastAsia="宋体" w:cs="宋体"/>
          <w:kern w:val="0"/>
          <w:sz w:val="24"/>
          <w:szCs w:val="24"/>
          <w:highlight w:val="none"/>
        </w:rPr>
        <w:t>本合同在双方签字或盖章后生效。</w:t>
      </w:r>
    </w:p>
    <w:p w14:paraId="5B50AE0C">
      <w:pPr>
        <w:spacing w:line="360" w:lineRule="auto"/>
        <w:ind w:firstLine="482" w:firstLineChars="200"/>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十二、附则</w:t>
      </w:r>
    </w:p>
    <w:p w14:paraId="4F51886E">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1、本合同一式  份，甲方  份，乙方  份，采购代理机构  份。</w:t>
      </w:r>
    </w:p>
    <w:p w14:paraId="63CDEFF6">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2、本合同文件使用中文书写、解释和说明。</w:t>
      </w:r>
    </w:p>
    <w:p w14:paraId="710B6F3E">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3、本合同履行过程中产生的纪要、协议以及中标通知书、投标（响应）文件和采购文件为本合同的附件，与合同具有同等效力。</w:t>
      </w:r>
    </w:p>
    <w:p w14:paraId="6E26F7A1">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4、未尽事宜按</w:t>
      </w:r>
      <w:r>
        <w:rPr>
          <w:rFonts w:hint="eastAsia" w:ascii="宋体" w:hAnsi="宋体" w:eastAsia="宋体" w:cs="宋体"/>
          <w:sz w:val="24"/>
          <w:szCs w:val="24"/>
          <w:highlight w:val="none"/>
        </w:rPr>
        <w:t>《中华人民共和国民法典》、《中华人民共和国政府采购法》</w:t>
      </w:r>
      <w:r>
        <w:rPr>
          <w:rFonts w:hint="eastAsia" w:ascii="宋体" w:hAnsi="宋体" w:eastAsia="宋体" w:cs="宋体"/>
          <w:kern w:val="0"/>
          <w:sz w:val="24"/>
          <w:szCs w:val="24"/>
          <w:highlight w:val="none"/>
        </w:rPr>
        <w:t>及其他有关的法律法规的规定执行。</w:t>
      </w:r>
    </w:p>
    <w:p w14:paraId="3C2DC01C">
      <w:pPr>
        <w:spacing w:line="360" w:lineRule="auto"/>
        <w:ind w:firstLine="482" w:firstLineChars="200"/>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十三、合同附件：</w:t>
      </w:r>
    </w:p>
    <w:p w14:paraId="049316EA">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w:t>
      </w:r>
    </w:p>
    <w:p w14:paraId="51C8817D">
      <w:pPr>
        <w:spacing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w:t>
      </w:r>
    </w:p>
    <w:p w14:paraId="6F057E6D">
      <w:pPr>
        <w:spacing w:line="360" w:lineRule="auto"/>
        <w:rPr>
          <w:rFonts w:ascii="宋体" w:hAnsi="宋体" w:eastAsia="宋体" w:cs="宋体"/>
          <w:sz w:val="24"/>
          <w:szCs w:val="24"/>
          <w:highlight w:val="none"/>
          <w:shd w:val="clear" w:color="auto" w:fill="FFFFFF"/>
        </w:rPr>
      </w:pPr>
    </w:p>
    <w:p w14:paraId="2DD13992">
      <w:pPr>
        <w:spacing w:line="360" w:lineRule="auto"/>
        <w:ind w:firstLine="480" w:firstLineChars="200"/>
        <w:rPr>
          <w:rFonts w:ascii="宋体" w:hAnsi="宋体" w:eastAsia="宋体" w:cs="宋体"/>
          <w:sz w:val="24"/>
          <w:szCs w:val="24"/>
          <w:highlight w:val="none"/>
          <w:shd w:val="clear" w:color="auto" w:fill="FFFFFF"/>
          <w:lang w:val="zh-CN"/>
        </w:rPr>
      </w:pPr>
      <w:r>
        <w:rPr>
          <w:rFonts w:hint="eastAsia" w:ascii="宋体" w:hAnsi="宋体" w:eastAsia="宋体" w:cs="宋体"/>
          <w:sz w:val="24"/>
          <w:szCs w:val="24"/>
          <w:highlight w:val="none"/>
          <w:shd w:val="clear" w:color="auto" w:fill="FFFFFF"/>
          <w:lang w:val="zh-CN"/>
        </w:rPr>
        <w:t>甲方：</w:t>
      </w:r>
      <w:r>
        <w:rPr>
          <w:rFonts w:hint="eastAsia" w:ascii="宋体" w:hAnsi="宋体" w:eastAsia="宋体" w:cs="宋体"/>
          <w:sz w:val="24"/>
          <w:szCs w:val="24"/>
          <w:highlight w:val="none"/>
          <w:shd w:val="clear" w:color="auto" w:fill="FFFFFF"/>
        </w:rPr>
        <w:t xml:space="preserve">                               </w:t>
      </w:r>
      <w:r>
        <w:rPr>
          <w:rFonts w:hint="eastAsia" w:ascii="宋体" w:hAnsi="宋体" w:eastAsia="宋体" w:cs="宋体"/>
          <w:b/>
          <w:sz w:val="24"/>
          <w:szCs w:val="24"/>
          <w:highlight w:val="none"/>
          <w:shd w:val="clear" w:color="auto" w:fill="FFFFFF"/>
        </w:rPr>
        <w:t xml:space="preserve">       </w:t>
      </w:r>
      <w:r>
        <w:rPr>
          <w:rFonts w:hint="eastAsia" w:ascii="宋体" w:hAnsi="宋体" w:eastAsia="宋体" w:cs="宋体"/>
          <w:sz w:val="24"/>
          <w:szCs w:val="24"/>
          <w:highlight w:val="none"/>
          <w:shd w:val="clear" w:color="auto" w:fill="FFFFFF"/>
          <w:lang w:val="zh-CN"/>
        </w:rPr>
        <w:t xml:space="preserve">乙方： </w:t>
      </w:r>
    </w:p>
    <w:p w14:paraId="67CA0840">
      <w:pPr>
        <w:spacing w:line="360" w:lineRule="auto"/>
        <w:ind w:firstLine="480" w:firstLineChars="200"/>
        <w:rPr>
          <w:rFonts w:ascii="宋体" w:hAnsi="宋体" w:eastAsia="宋体" w:cs="宋体"/>
          <w:sz w:val="24"/>
          <w:szCs w:val="24"/>
          <w:highlight w:val="none"/>
          <w:shd w:val="clear" w:color="auto" w:fill="FFFFFF"/>
          <w:lang w:val="zh-CN"/>
        </w:rPr>
      </w:pPr>
      <w:r>
        <w:rPr>
          <w:rFonts w:hint="eastAsia" w:ascii="宋体" w:hAnsi="宋体" w:eastAsia="宋体" w:cs="宋体"/>
          <w:sz w:val="24"/>
          <w:szCs w:val="24"/>
          <w:highlight w:val="none"/>
          <w:shd w:val="clear" w:color="auto" w:fill="FFFFFF"/>
          <w:lang w:val="zh-CN"/>
        </w:rPr>
        <w:t>（加盖公章或合同专用章）                    （加盖公章或合同专用章）</w:t>
      </w:r>
    </w:p>
    <w:p w14:paraId="539BF0F3">
      <w:pPr>
        <w:spacing w:line="360" w:lineRule="auto"/>
        <w:ind w:firstLine="480" w:firstLineChars="200"/>
        <w:rPr>
          <w:rFonts w:ascii="宋体" w:hAnsi="宋体" w:eastAsia="宋体" w:cs="宋体"/>
          <w:sz w:val="24"/>
          <w:szCs w:val="24"/>
          <w:highlight w:val="none"/>
          <w:shd w:val="clear" w:color="auto" w:fill="FFFFFF"/>
          <w:lang w:val="zh-CN"/>
        </w:rPr>
      </w:pPr>
      <w:r>
        <w:rPr>
          <w:rFonts w:hint="eastAsia" w:ascii="宋体" w:hAnsi="宋体" w:eastAsia="宋体" w:cs="宋体"/>
          <w:sz w:val="24"/>
          <w:szCs w:val="24"/>
          <w:highlight w:val="none"/>
          <w:shd w:val="clear" w:color="auto" w:fill="FFFFFF"/>
          <w:lang w:val="zh-CN"/>
        </w:rPr>
        <w:t xml:space="preserve">法定代表人签字或签章：                      法定代表人签字或签章：  </w:t>
      </w:r>
    </w:p>
    <w:bookmarkEnd w:id="78"/>
    <w:p w14:paraId="48DA24E7">
      <w:pPr>
        <w:adjustRightInd w:val="0"/>
        <w:snapToGrid w:val="0"/>
        <w:spacing w:line="360" w:lineRule="auto"/>
        <w:ind w:firstLine="480" w:firstLineChars="200"/>
        <w:rPr>
          <w:rFonts w:ascii="宋体" w:hAnsi="宋体" w:eastAsia="宋体" w:cs="宋体"/>
          <w:sz w:val="24"/>
          <w:szCs w:val="24"/>
          <w:highlight w:val="none"/>
        </w:rPr>
      </w:pPr>
    </w:p>
    <w:p w14:paraId="689753FC">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 xml:space="preserve">签约日期：    年  月    日                               </w:t>
      </w:r>
    </w:p>
    <w:p w14:paraId="2FA28FAD">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合同签订地：苏州</w:t>
      </w:r>
    </w:p>
    <w:p w14:paraId="4A714D35">
      <w:pPr>
        <w:pStyle w:val="16"/>
        <w:spacing w:line="360" w:lineRule="auto"/>
        <w:rPr>
          <w:rFonts w:ascii="宋体" w:hAnsi="宋体" w:eastAsia="宋体" w:cs="宋体"/>
          <w:szCs w:val="24"/>
          <w:highlight w:val="none"/>
        </w:rPr>
      </w:pPr>
      <w:r>
        <w:rPr>
          <w:rFonts w:hint="eastAsia" w:ascii="宋体" w:hAnsi="宋体" w:eastAsia="宋体" w:cs="宋体"/>
          <w:szCs w:val="24"/>
          <w:highlight w:val="none"/>
        </w:rPr>
        <w:br w:type="page"/>
      </w:r>
    </w:p>
    <w:p w14:paraId="2418DB31">
      <w:pPr>
        <w:spacing w:line="360" w:lineRule="auto"/>
        <w:ind w:firstLine="520" w:firstLineChars="200"/>
        <w:jc w:val="left"/>
        <w:rPr>
          <w:rFonts w:ascii="宋体" w:hAnsi="宋体" w:eastAsia="宋体" w:cs="宋体"/>
          <w:sz w:val="26"/>
          <w:szCs w:val="20"/>
          <w:highlight w:val="none"/>
          <w:shd w:val="clear" w:color="auto" w:fill="FFFFFF"/>
        </w:rPr>
      </w:pPr>
      <w:bookmarkStart w:id="79" w:name="_Toc105940242"/>
    </w:p>
    <w:p w14:paraId="04AEE712">
      <w:pPr>
        <w:spacing w:line="360" w:lineRule="auto"/>
        <w:ind w:firstLine="520" w:firstLineChars="200"/>
        <w:jc w:val="left"/>
        <w:rPr>
          <w:rFonts w:ascii="宋体" w:hAnsi="宋体" w:eastAsia="宋体" w:cs="宋体"/>
          <w:sz w:val="26"/>
          <w:szCs w:val="20"/>
          <w:highlight w:val="none"/>
          <w:shd w:val="clear" w:color="auto" w:fill="FFFFFF"/>
        </w:rPr>
      </w:pPr>
    </w:p>
    <w:p w14:paraId="3A3D7B10">
      <w:pPr>
        <w:spacing w:line="360" w:lineRule="auto"/>
        <w:ind w:firstLine="520" w:firstLineChars="200"/>
        <w:jc w:val="left"/>
        <w:rPr>
          <w:rFonts w:ascii="宋体" w:hAnsi="宋体" w:eastAsia="宋体" w:cs="宋体"/>
          <w:sz w:val="26"/>
          <w:szCs w:val="20"/>
          <w:highlight w:val="none"/>
          <w:shd w:val="clear" w:color="auto" w:fill="FFFFFF"/>
        </w:rPr>
      </w:pPr>
    </w:p>
    <w:p w14:paraId="000B088E">
      <w:pPr>
        <w:spacing w:line="360" w:lineRule="auto"/>
        <w:ind w:firstLine="520" w:firstLineChars="200"/>
        <w:jc w:val="left"/>
        <w:rPr>
          <w:rFonts w:ascii="宋体" w:hAnsi="宋体" w:eastAsia="宋体" w:cs="宋体"/>
          <w:sz w:val="26"/>
          <w:szCs w:val="20"/>
          <w:highlight w:val="none"/>
          <w:shd w:val="clear" w:color="auto" w:fill="FFFFFF"/>
        </w:rPr>
      </w:pPr>
    </w:p>
    <w:p w14:paraId="658D7D91">
      <w:pPr>
        <w:spacing w:line="360" w:lineRule="auto"/>
        <w:ind w:firstLine="520" w:firstLineChars="200"/>
        <w:jc w:val="left"/>
        <w:rPr>
          <w:rFonts w:ascii="宋体" w:hAnsi="宋体" w:eastAsia="宋体" w:cs="宋体"/>
          <w:sz w:val="26"/>
          <w:szCs w:val="20"/>
          <w:highlight w:val="none"/>
          <w:shd w:val="clear" w:color="auto" w:fill="FFFFFF"/>
        </w:rPr>
      </w:pPr>
    </w:p>
    <w:p w14:paraId="68114F61">
      <w:pPr>
        <w:spacing w:line="360" w:lineRule="auto"/>
        <w:ind w:firstLine="520" w:firstLineChars="200"/>
        <w:jc w:val="left"/>
        <w:rPr>
          <w:rFonts w:ascii="宋体" w:hAnsi="宋体" w:eastAsia="宋体" w:cs="宋体"/>
          <w:sz w:val="26"/>
          <w:szCs w:val="20"/>
          <w:highlight w:val="none"/>
          <w:shd w:val="clear" w:color="auto" w:fill="FFFFFF"/>
        </w:rPr>
      </w:pPr>
    </w:p>
    <w:p w14:paraId="31C11735">
      <w:pPr>
        <w:spacing w:line="360" w:lineRule="auto"/>
        <w:ind w:firstLine="520" w:firstLineChars="200"/>
        <w:jc w:val="left"/>
        <w:rPr>
          <w:rFonts w:ascii="宋体" w:hAnsi="宋体" w:eastAsia="宋体" w:cs="宋体"/>
          <w:sz w:val="26"/>
          <w:szCs w:val="20"/>
          <w:highlight w:val="none"/>
          <w:shd w:val="clear" w:color="auto" w:fill="FFFFFF"/>
        </w:rPr>
      </w:pPr>
    </w:p>
    <w:p w14:paraId="18953979">
      <w:pPr>
        <w:spacing w:line="360" w:lineRule="auto"/>
        <w:ind w:firstLine="520" w:firstLineChars="200"/>
        <w:jc w:val="left"/>
        <w:rPr>
          <w:rFonts w:ascii="宋体" w:hAnsi="宋体" w:eastAsia="宋体" w:cs="宋体"/>
          <w:sz w:val="26"/>
          <w:szCs w:val="20"/>
          <w:highlight w:val="none"/>
          <w:shd w:val="clear" w:color="auto" w:fill="FFFFFF"/>
        </w:rPr>
      </w:pPr>
    </w:p>
    <w:p w14:paraId="78060D73">
      <w:pPr>
        <w:keepNext/>
        <w:keepLines/>
        <w:spacing w:before="340" w:after="330" w:line="360" w:lineRule="auto"/>
        <w:jc w:val="center"/>
        <w:outlineLvl w:val="0"/>
        <w:rPr>
          <w:rFonts w:ascii="宋体" w:hAnsi="宋体" w:eastAsia="宋体" w:cs="宋体"/>
          <w:b/>
          <w:kern w:val="44"/>
          <w:sz w:val="52"/>
          <w:szCs w:val="20"/>
          <w:highlight w:val="none"/>
          <w:shd w:val="clear" w:color="auto" w:fill="FFFFFF"/>
        </w:rPr>
      </w:pPr>
      <w:r>
        <w:rPr>
          <w:rFonts w:hint="eastAsia" w:ascii="宋体" w:hAnsi="宋体" w:eastAsia="宋体" w:cs="宋体"/>
          <w:b/>
          <w:kern w:val="44"/>
          <w:sz w:val="52"/>
          <w:szCs w:val="20"/>
          <w:highlight w:val="none"/>
          <w:shd w:val="clear" w:color="auto" w:fill="FFFFFF"/>
        </w:rPr>
        <w:t>第六章 评分</w:t>
      </w:r>
      <w:bookmarkEnd w:id="75"/>
      <w:bookmarkEnd w:id="76"/>
      <w:r>
        <w:rPr>
          <w:rFonts w:hint="eastAsia" w:ascii="宋体" w:hAnsi="宋体" w:eastAsia="宋体" w:cs="宋体"/>
          <w:b/>
          <w:kern w:val="44"/>
          <w:sz w:val="52"/>
          <w:szCs w:val="20"/>
          <w:highlight w:val="none"/>
          <w:shd w:val="clear" w:color="auto" w:fill="FFFFFF"/>
        </w:rPr>
        <w:t>标准</w:t>
      </w:r>
      <w:bookmarkEnd w:id="79"/>
    </w:p>
    <w:p w14:paraId="63E5BA39">
      <w:pPr>
        <w:spacing w:line="360" w:lineRule="auto"/>
        <w:ind w:firstLine="520" w:firstLineChars="200"/>
        <w:outlineLvl w:val="1"/>
        <w:rPr>
          <w:rFonts w:ascii="宋体" w:hAnsi="宋体" w:eastAsia="宋体" w:cs="宋体"/>
          <w:sz w:val="24"/>
          <w:szCs w:val="24"/>
          <w:highlight w:val="none"/>
        </w:rPr>
      </w:pPr>
      <w:bookmarkStart w:id="80" w:name="OLE_LINK2"/>
      <w:r>
        <w:rPr>
          <w:rFonts w:hint="eastAsia" w:ascii="宋体" w:hAnsi="宋体" w:eastAsia="宋体" w:cs="宋体"/>
          <w:sz w:val="26"/>
          <w:szCs w:val="20"/>
          <w:highlight w:val="none"/>
          <w:shd w:val="clear" w:color="auto" w:fill="FFFFFF"/>
        </w:rPr>
        <w:br w:type="page"/>
      </w:r>
      <w:bookmarkEnd w:id="80"/>
      <w:r>
        <w:rPr>
          <w:rFonts w:hint="eastAsia" w:ascii="宋体" w:hAnsi="宋体" w:eastAsia="宋体" w:cs="宋体"/>
          <w:b/>
          <w:bCs/>
          <w:sz w:val="24"/>
          <w:szCs w:val="24"/>
          <w:highlight w:val="none"/>
        </w:rPr>
        <w:t>一、评标办法</w:t>
      </w:r>
    </w:p>
    <w:p w14:paraId="4A7FA1DF">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1、评价和比较采用综合评分法，即指投标（响应）文件满足招标文件全部实质性要求，且按照评审因素的量化指标评审得分最高的供应商</w:t>
      </w:r>
      <w:r>
        <w:rPr>
          <w:rFonts w:hint="eastAsia" w:ascii="宋体" w:hAnsi="宋体" w:eastAsia="宋体" w:cs="宋体"/>
          <w:kern w:val="0"/>
          <w:sz w:val="24"/>
          <w:szCs w:val="24"/>
          <w:highlight w:val="none"/>
        </w:rPr>
        <w:t>为排名第一的</w:t>
      </w:r>
      <w:r>
        <w:rPr>
          <w:rFonts w:hint="eastAsia" w:ascii="宋体" w:hAnsi="宋体" w:eastAsia="宋体" w:cs="宋体"/>
          <w:sz w:val="24"/>
          <w:szCs w:val="24"/>
          <w:highlight w:val="none"/>
        </w:rPr>
        <w:t>中标候选人的评标方法。</w:t>
      </w:r>
    </w:p>
    <w:p w14:paraId="683C4E5E">
      <w:pPr>
        <w:spacing w:line="360" w:lineRule="auto"/>
        <w:ind w:firstLine="424" w:firstLineChars="177"/>
        <w:rPr>
          <w:rFonts w:ascii="宋体" w:hAnsi="宋体" w:eastAsia="宋体" w:cs="宋体"/>
          <w:sz w:val="24"/>
          <w:szCs w:val="24"/>
          <w:highlight w:val="none"/>
        </w:rPr>
      </w:pPr>
      <w:r>
        <w:rPr>
          <w:rFonts w:hint="eastAsia" w:ascii="宋体" w:hAnsi="宋体" w:eastAsia="宋体" w:cs="宋体"/>
          <w:sz w:val="24"/>
          <w:szCs w:val="24"/>
          <w:highlight w:val="none"/>
        </w:rPr>
        <w:t>2、根据财政部《关于推动解决政府采购异常低价问题的通知》（财库〔2026〕2号）规定，实施政府采购异常低价审查：</w:t>
      </w:r>
    </w:p>
    <w:p w14:paraId="0B0771B5">
      <w:pPr>
        <w:spacing w:line="360" w:lineRule="auto"/>
        <w:ind w:firstLine="424" w:firstLineChars="177"/>
        <w:rPr>
          <w:rFonts w:ascii="宋体" w:hAnsi="宋体" w:eastAsia="宋体" w:cs="宋体"/>
          <w:sz w:val="24"/>
          <w:szCs w:val="24"/>
          <w:highlight w:val="none"/>
        </w:rPr>
      </w:pPr>
      <w:r>
        <w:rPr>
          <w:rFonts w:hint="eastAsia" w:ascii="宋体" w:hAnsi="宋体" w:eastAsia="宋体" w:cs="宋体"/>
          <w:sz w:val="24"/>
          <w:szCs w:val="24"/>
          <w:highlight w:val="none"/>
        </w:rPr>
        <w:t>（1）评审过程中出现下列情形之一的，评审委员会应当启动异常低价投标(响应)审查程序：</w:t>
      </w:r>
    </w:p>
    <w:p w14:paraId="620894D7">
      <w:pPr>
        <w:spacing w:line="360" w:lineRule="auto"/>
        <w:ind w:firstLine="424" w:firstLineChars="177"/>
        <w:rPr>
          <w:rFonts w:ascii="宋体" w:hAnsi="宋体" w:eastAsia="宋体" w:cs="宋体"/>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color w:val="000000"/>
          <w:kern w:val="0"/>
          <w:sz w:val="24"/>
          <w:szCs w:val="24"/>
          <w:highlight w:val="none"/>
        </w:rPr>
        <w:t>投标（响应）报价低于全部通过符合性审查供应商投标（响应）报价平均值50%的，即投标（响应）报价&lt;全部通过符合性审查供应商投标（响应）报价平均值×50%；</w:t>
      </w:r>
    </w:p>
    <w:p w14:paraId="699A0C2A">
      <w:pPr>
        <w:spacing w:line="360" w:lineRule="auto"/>
        <w:ind w:firstLine="424" w:firstLineChars="177"/>
        <w:rPr>
          <w:rFonts w:ascii="宋体" w:hAnsi="宋体" w:eastAsia="宋体" w:cs="宋体"/>
          <w:sz w:val="24"/>
          <w:szCs w:val="24"/>
          <w:highlight w:val="none"/>
        </w:rPr>
      </w:pPr>
      <w:r>
        <w:rPr>
          <w:rFonts w:hint="eastAsia" w:ascii="宋体" w:hAnsi="宋体" w:eastAsia="宋体" w:cs="宋体"/>
          <w:sz w:val="24"/>
          <w:szCs w:val="24"/>
          <w:highlight w:val="none"/>
        </w:rPr>
        <w:t>②</w:t>
      </w:r>
      <w:r>
        <w:rPr>
          <w:rFonts w:hint="eastAsia" w:ascii="宋体" w:hAnsi="宋体" w:eastAsia="宋体" w:cs="宋体"/>
          <w:color w:val="000000"/>
          <w:kern w:val="0"/>
          <w:sz w:val="24"/>
          <w:szCs w:val="24"/>
          <w:highlight w:val="none"/>
        </w:rPr>
        <w:t>投标（响应）报价低于通过符合性审查的次低报价供应商投标（响应）报价50%的，即投标（响应）报价&lt;通过符合性审查的次低报价供应商投标（响应）报价×50%；</w:t>
      </w:r>
    </w:p>
    <w:p w14:paraId="327A2753">
      <w:pPr>
        <w:spacing w:line="360" w:lineRule="auto"/>
        <w:ind w:firstLine="424" w:firstLineChars="177"/>
        <w:rPr>
          <w:rFonts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color w:val="000000"/>
          <w:kern w:val="0"/>
          <w:sz w:val="24"/>
          <w:szCs w:val="24"/>
          <w:highlight w:val="none"/>
        </w:rPr>
        <w:t>投标（响应）报价低于采购项目最高限价45%的，即投标（响应）报价&lt;采购项目最高限价×45%；</w:t>
      </w:r>
    </w:p>
    <w:p w14:paraId="162A9DB3">
      <w:pPr>
        <w:spacing w:line="360" w:lineRule="auto"/>
        <w:ind w:firstLine="424" w:firstLineChars="177"/>
        <w:rPr>
          <w:rFonts w:ascii="宋体" w:hAnsi="宋体" w:eastAsia="宋体" w:cs="宋体"/>
          <w:sz w:val="24"/>
          <w:szCs w:val="24"/>
          <w:highlight w:val="none"/>
        </w:rPr>
      </w:pPr>
      <w:r>
        <w:rPr>
          <w:rFonts w:hint="eastAsia" w:ascii="宋体" w:hAnsi="宋体" w:eastAsia="宋体" w:cs="宋体"/>
          <w:sz w:val="24"/>
          <w:szCs w:val="24"/>
          <w:highlight w:val="none"/>
        </w:rPr>
        <w:t>④</w:t>
      </w:r>
      <w:r>
        <w:rPr>
          <w:rFonts w:hint="eastAsia" w:ascii="宋体" w:hAnsi="宋体" w:eastAsia="宋体" w:cs="宋体"/>
          <w:color w:val="000000"/>
          <w:kern w:val="0"/>
          <w:sz w:val="24"/>
          <w:szCs w:val="24"/>
          <w:highlight w:val="none"/>
        </w:rPr>
        <w:t>评审委员会基于专业判断，认为供应商报价过低，有可能影响产品质量或者不能诚信履约的其他情形。</w:t>
      </w:r>
    </w:p>
    <w:p w14:paraId="5CFE2EB2">
      <w:pPr>
        <w:spacing w:line="360" w:lineRule="auto"/>
        <w:ind w:firstLine="480" w:firstLineChars="200"/>
        <w:rPr>
          <w:rFonts w:ascii="宋体" w:hAnsi="宋体" w:eastAsia="宋体" w:cs="宋体"/>
          <w:color w:val="000000"/>
          <w:kern w:val="0"/>
          <w:sz w:val="24"/>
          <w:szCs w:val="24"/>
          <w:highlight w:val="none"/>
        </w:rPr>
      </w:pPr>
      <w:r>
        <w:rPr>
          <w:rFonts w:hint="eastAsia" w:ascii="宋体" w:hAnsi="宋体" w:eastAsia="宋体" w:cs="宋体"/>
          <w:sz w:val="24"/>
          <w:szCs w:val="24"/>
          <w:highlight w:val="none"/>
        </w:rPr>
        <w:t>（2）异常低价投标(响应)审查启动后，</w:t>
      </w:r>
      <w:r>
        <w:rPr>
          <w:rFonts w:hint="eastAsia" w:ascii="宋体" w:hAnsi="宋体" w:eastAsia="宋体" w:cs="宋体"/>
          <w:color w:val="000000"/>
          <w:kern w:val="0"/>
          <w:sz w:val="24"/>
          <w:szCs w:val="24"/>
          <w:highlight w:val="none"/>
        </w:rPr>
        <w:t>相关供应商应在评审现场合理的时间内对投标（响应）价格作出解释，提供项目具体成本测算等与报价合理性相关的书面说明及必要的证明材料，包括但不限于原材料成本、人工成本、制造费用等。</w:t>
      </w:r>
    </w:p>
    <w:p w14:paraId="08119E98">
      <w:pPr>
        <w:pStyle w:val="16"/>
        <w:spacing w:line="360" w:lineRule="auto"/>
        <w:ind w:left="0" w:firstLine="480" w:firstLineChars="200"/>
        <w:rPr>
          <w:rFonts w:ascii="宋体" w:hAnsi="宋体" w:eastAsia="宋体" w:cs="宋体"/>
          <w:highlight w:val="none"/>
        </w:rPr>
      </w:pPr>
      <w:r>
        <w:rPr>
          <w:rFonts w:hint="eastAsia" w:ascii="宋体" w:hAnsi="宋体" w:eastAsia="宋体" w:cs="宋体"/>
          <w:color w:val="000000"/>
          <w:kern w:val="0"/>
          <w:szCs w:val="24"/>
          <w:highlight w:val="none"/>
        </w:rPr>
        <w:t>其中，属于第</w:t>
      </w:r>
      <w:r>
        <w:rPr>
          <w:rFonts w:hint="eastAsia" w:ascii="宋体" w:hAnsi="宋体" w:eastAsia="宋体" w:cs="宋体"/>
          <w:szCs w:val="24"/>
          <w:highlight w:val="none"/>
        </w:rPr>
        <w:t>③</w:t>
      </w:r>
      <w:r>
        <w:rPr>
          <w:rFonts w:hint="eastAsia" w:ascii="宋体" w:hAnsi="宋体" w:eastAsia="宋体" w:cs="宋体"/>
          <w:color w:val="000000"/>
          <w:kern w:val="0"/>
          <w:szCs w:val="24"/>
          <w:highlight w:val="none"/>
        </w:rPr>
        <w:t>项情形，供应商已随投标（响应）文件一并提交相关书面说明及必要的证明材料的，在评审现场可不再重复提交。</w:t>
      </w:r>
    </w:p>
    <w:p w14:paraId="5800FAB5">
      <w:pPr>
        <w:spacing w:line="360" w:lineRule="auto"/>
        <w:ind w:firstLine="424" w:firstLineChars="177"/>
        <w:rPr>
          <w:rFonts w:ascii="宋体" w:hAnsi="宋体" w:eastAsia="宋体" w:cs="宋体"/>
          <w:sz w:val="24"/>
          <w:szCs w:val="24"/>
          <w:highlight w:val="none"/>
        </w:rPr>
      </w:pPr>
      <w:r>
        <w:rPr>
          <w:rFonts w:hint="eastAsia" w:ascii="宋体" w:hAnsi="宋体" w:eastAsia="宋体" w:cs="宋体"/>
          <w:color w:val="000000"/>
          <w:kern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B5399C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3、评标委员会各成员独立对每个进入打分程序的有效投标（响应）单位的标书技术和资质部分以打分的形式进行评审和评价。</w:t>
      </w:r>
    </w:p>
    <w:p w14:paraId="60B9C0FF">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p>
    <w:p w14:paraId="09EFADE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5、评标委员会根据采购人的授权，按照中标候选人的顺序在中标候选人中直接确定中标供应商。</w:t>
      </w:r>
    </w:p>
    <w:p w14:paraId="6C5E8559">
      <w:pPr>
        <w:spacing w:line="360" w:lineRule="auto"/>
        <w:ind w:firstLine="480" w:firstLineChars="200"/>
        <w:outlineLvl w:val="1"/>
        <w:rPr>
          <w:rFonts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b/>
          <w:bCs/>
          <w:sz w:val="24"/>
          <w:szCs w:val="24"/>
          <w:highlight w:val="none"/>
        </w:rPr>
        <w:t>评分标准</w:t>
      </w:r>
    </w:p>
    <w:p w14:paraId="10D35361">
      <w:pPr>
        <w:spacing w:line="360" w:lineRule="auto"/>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（一）价格分：</w:t>
      </w:r>
      <w:r>
        <w:rPr>
          <w:rFonts w:hint="eastAsia" w:ascii="宋体" w:hAnsi="宋体" w:eastAsia="宋体" w:cs="宋体"/>
          <w:b/>
          <w:sz w:val="24"/>
          <w:szCs w:val="24"/>
          <w:highlight w:val="none"/>
          <w:u w:val="single"/>
        </w:rPr>
        <w:t>1</w:t>
      </w:r>
      <w:r>
        <w:rPr>
          <w:rFonts w:hint="eastAsia" w:ascii="宋体" w:hAnsi="宋体" w:eastAsia="宋体" w:cs="宋体"/>
          <w:b/>
          <w:sz w:val="24"/>
          <w:szCs w:val="24"/>
          <w:highlight w:val="none"/>
          <w:u w:val="single"/>
          <w:lang w:val="en-US" w:eastAsia="zh-CN"/>
        </w:rPr>
        <w:t>5</w:t>
      </w:r>
      <w:r>
        <w:rPr>
          <w:rFonts w:hint="eastAsia" w:ascii="宋体" w:hAnsi="宋体" w:eastAsia="宋体" w:cs="宋体"/>
          <w:b/>
          <w:sz w:val="24"/>
          <w:szCs w:val="24"/>
          <w:highlight w:val="none"/>
        </w:rPr>
        <w:t>分</w:t>
      </w:r>
    </w:p>
    <w:p w14:paraId="46FEA980">
      <w:pPr>
        <w:spacing w:line="360" w:lineRule="auto"/>
        <w:ind w:firstLine="480" w:firstLineChars="200"/>
        <w:rPr>
          <w:rFonts w:ascii="宋体" w:hAnsi="宋体" w:eastAsia="宋体" w:cs="宋体"/>
          <w:sz w:val="24"/>
          <w:szCs w:val="24"/>
          <w:highlight w:val="none"/>
        </w:rPr>
      </w:pPr>
      <w:bookmarkStart w:id="81" w:name="_Hlk193379726"/>
      <w:r>
        <w:rPr>
          <w:rFonts w:hint="eastAsia" w:ascii="宋体" w:hAnsi="宋体" w:eastAsia="宋体" w:cs="宋体"/>
          <w:sz w:val="24"/>
          <w:szCs w:val="24"/>
          <w:highlight w:val="none"/>
        </w:rPr>
        <w:t>第一步：投标(响应)报价低于或等于财政预算(最高限价)且符合采购文件要求的，为有效投标(响应)报价。无效投标(响应)报价的投标(响应)文件不参与进一步评审。</w:t>
      </w:r>
    </w:p>
    <w:bookmarkEnd w:id="81"/>
    <w:p w14:paraId="1F2AD40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第二步：</w:t>
      </w:r>
      <w:bookmarkStart w:id="82" w:name="_Hlk193380191"/>
      <w:r>
        <w:rPr>
          <w:rFonts w:hint="eastAsia" w:ascii="宋体" w:hAnsi="宋体" w:eastAsia="宋体" w:cs="宋体"/>
          <w:sz w:val="24"/>
          <w:szCs w:val="24"/>
          <w:highlight w:val="none"/>
        </w:rPr>
        <w:t>满足招标文件要求，且投标（响应）价格最低的投标（响应）报价为评标基准价</w:t>
      </w:r>
      <w:bookmarkEnd w:id="82"/>
      <w:r>
        <w:rPr>
          <w:rFonts w:hint="eastAsia" w:ascii="宋体" w:hAnsi="宋体" w:eastAsia="宋体" w:cs="宋体"/>
          <w:sz w:val="24"/>
          <w:szCs w:val="24"/>
          <w:highlight w:val="none"/>
        </w:rPr>
        <w:t>，</w:t>
      </w:r>
      <w:bookmarkStart w:id="83" w:name="_Hlk193380219"/>
      <w:r>
        <w:rPr>
          <w:rFonts w:hint="eastAsia" w:ascii="宋体" w:hAnsi="宋体" w:eastAsia="宋体" w:cs="宋体"/>
          <w:sz w:val="24"/>
          <w:szCs w:val="24"/>
          <w:highlight w:val="none"/>
        </w:rPr>
        <w:t>其价格分为满分，即</w:t>
      </w:r>
      <w:r>
        <w:rPr>
          <w:rFonts w:hint="eastAsia" w:ascii="宋体" w:hAnsi="宋体" w:eastAsia="宋体" w:cs="宋体"/>
          <w:sz w:val="24"/>
          <w:szCs w:val="24"/>
          <w:highlight w:val="none"/>
          <w:u w:val="single"/>
        </w:rPr>
        <w:t>1</w:t>
      </w:r>
      <w:r>
        <w:rPr>
          <w:rFonts w:hint="eastAsia" w:ascii="宋体" w:hAnsi="宋体" w:eastAsia="宋体" w:cs="宋体"/>
          <w:sz w:val="24"/>
          <w:szCs w:val="24"/>
          <w:highlight w:val="none"/>
          <w:u w:val="single"/>
          <w:lang w:val="en-US" w:eastAsia="zh-CN"/>
        </w:rPr>
        <w:t>5</w:t>
      </w:r>
      <w:r>
        <w:rPr>
          <w:rFonts w:hint="eastAsia" w:ascii="宋体" w:hAnsi="宋体" w:eastAsia="宋体" w:cs="宋体"/>
          <w:sz w:val="24"/>
          <w:szCs w:val="24"/>
          <w:highlight w:val="none"/>
        </w:rPr>
        <w:t>分</w:t>
      </w:r>
      <w:bookmarkEnd w:id="83"/>
      <w:r>
        <w:rPr>
          <w:rFonts w:hint="eastAsia" w:ascii="宋体" w:hAnsi="宋体" w:eastAsia="宋体" w:cs="宋体"/>
          <w:sz w:val="24"/>
          <w:szCs w:val="24"/>
          <w:highlight w:val="none"/>
        </w:rPr>
        <w:t>。其他报价得分统一按照下列公式计算（计算结果四舍五入，保留两位小数）：</w:t>
      </w:r>
    </w:p>
    <w:p w14:paraId="5B2870FB">
      <w:pPr>
        <w:spacing w:line="360" w:lineRule="auto"/>
        <w:ind w:firstLine="480" w:firstLineChars="200"/>
        <w:rPr>
          <w:rFonts w:ascii="宋体" w:hAnsi="宋体" w:eastAsia="宋体" w:cs="宋体"/>
          <w:b/>
          <w:sz w:val="24"/>
          <w:szCs w:val="24"/>
          <w:highlight w:val="none"/>
        </w:rPr>
      </w:pPr>
      <w:r>
        <w:rPr>
          <w:rFonts w:hint="eastAsia" w:ascii="宋体" w:hAnsi="宋体" w:eastAsia="宋体" w:cs="宋体"/>
          <w:sz w:val="24"/>
          <w:szCs w:val="24"/>
          <w:highlight w:val="none"/>
        </w:rPr>
        <w:t>投标（响应）报价得分=（评标基准价/有效投标（响应）报价）×</w:t>
      </w:r>
      <w:r>
        <w:rPr>
          <w:rFonts w:hint="eastAsia" w:ascii="宋体" w:hAnsi="宋体" w:eastAsia="宋体" w:cs="宋体"/>
          <w:sz w:val="24"/>
          <w:szCs w:val="24"/>
          <w:highlight w:val="none"/>
          <w:u w:val="single"/>
        </w:rPr>
        <w:t>1</w:t>
      </w:r>
      <w:r>
        <w:rPr>
          <w:rFonts w:hint="eastAsia" w:ascii="宋体" w:hAnsi="宋体" w:eastAsia="宋体" w:cs="宋体"/>
          <w:sz w:val="24"/>
          <w:szCs w:val="24"/>
          <w:highlight w:val="none"/>
          <w:u w:val="single"/>
          <w:lang w:val="en-US" w:eastAsia="zh-CN"/>
        </w:rPr>
        <w:t>5</w:t>
      </w:r>
      <w:r>
        <w:rPr>
          <w:rFonts w:hint="eastAsia" w:ascii="宋体" w:hAnsi="宋体" w:eastAsia="宋体" w:cs="宋体"/>
          <w:sz w:val="24"/>
          <w:szCs w:val="24"/>
          <w:highlight w:val="none"/>
        </w:rPr>
        <w:t>%×100</w:t>
      </w:r>
    </w:p>
    <w:p w14:paraId="5522C82F">
      <w:pPr>
        <w:numPr>
          <w:ilvl w:val="0"/>
          <w:numId w:val="4"/>
        </w:numPr>
        <w:spacing w:line="360" w:lineRule="auto"/>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技术部分：</w:t>
      </w:r>
      <w:r>
        <w:rPr>
          <w:rFonts w:hint="eastAsia" w:ascii="宋体" w:hAnsi="宋体" w:eastAsia="宋体" w:cs="宋体"/>
          <w:b/>
          <w:sz w:val="24"/>
          <w:szCs w:val="24"/>
          <w:highlight w:val="none"/>
          <w:u w:val="single"/>
        </w:rPr>
        <w:t>6</w:t>
      </w:r>
      <w:r>
        <w:rPr>
          <w:rFonts w:hint="eastAsia" w:ascii="宋体" w:hAnsi="宋体" w:eastAsia="宋体" w:cs="宋体"/>
          <w:b/>
          <w:sz w:val="24"/>
          <w:szCs w:val="24"/>
          <w:highlight w:val="none"/>
          <w:u w:val="single"/>
          <w:lang w:val="en-US" w:eastAsia="zh-CN"/>
        </w:rPr>
        <w:t>7</w:t>
      </w:r>
      <w:r>
        <w:rPr>
          <w:rFonts w:hint="eastAsia" w:ascii="宋体" w:hAnsi="宋体" w:eastAsia="宋体" w:cs="宋体"/>
          <w:b/>
          <w:sz w:val="24"/>
          <w:szCs w:val="24"/>
          <w:highlight w:val="none"/>
        </w:rPr>
        <w:t>分</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0"/>
        <w:gridCol w:w="1527"/>
        <w:gridCol w:w="5717"/>
        <w:gridCol w:w="1430"/>
      </w:tblGrid>
      <w:tr w14:paraId="5DE3C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1F6C31B6">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1527" w:type="dxa"/>
            <w:vAlign w:val="center"/>
          </w:tcPr>
          <w:p w14:paraId="7CB4E8A1">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评分项名称</w:t>
            </w:r>
          </w:p>
        </w:tc>
        <w:tc>
          <w:tcPr>
            <w:tcW w:w="5717" w:type="dxa"/>
            <w:vAlign w:val="center"/>
          </w:tcPr>
          <w:p w14:paraId="053FEDD0">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1430" w:type="dxa"/>
          </w:tcPr>
          <w:p w14:paraId="1221A215">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分值</w:t>
            </w:r>
          </w:p>
        </w:tc>
      </w:tr>
      <w:tr w14:paraId="4D797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3217BEEF">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1</w:t>
            </w:r>
          </w:p>
        </w:tc>
        <w:tc>
          <w:tcPr>
            <w:tcW w:w="1527" w:type="dxa"/>
            <w:vAlign w:val="center"/>
          </w:tcPr>
          <w:p w14:paraId="173A4BEE">
            <w:pPr>
              <w:jc w:val="center"/>
              <w:rPr>
                <w:rFonts w:ascii="宋体" w:hAnsi="宋体" w:eastAsia="宋体" w:cs="宋体"/>
                <w:b/>
                <w:sz w:val="24"/>
                <w:szCs w:val="24"/>
                <w:highlight w:val="none"/>
              </w:rPr>
            </w:pPr>
            <w:r>
              <w:rPr>
                <w:rFonts w:hint="eastAsia" w:cs="宋体" w:asciiTheme="minorEastAsia" w:hAnsiTheme="minorEastAsia"/>
                <w:color w:val="000000"/>
                <w:szCs w:val="21"/>
                <w:highlight w:val="none"/>
              </w:rPr>
              <w:t>项目理解</w:t>
            </w:r>
          </w:p>
        </w:tc>
        <w:tc>
          <w:tcPr>
            <w:tcW w:w="5717" w:type="dxa"/>
            <w:shd w:val="clear" w:color="auto" w:fill="auto"/>
            <w:vAlign w:val="center"/>
          </w:tcPr>
          <w:p w14:paraId="161F253F">
            <w:pPr>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投标人基于对项目概况及实际情况的理解，阐述对项目需求的理解和分析</w:t>
            </w:r>
            <w:r>
              <w:rPr>
                <w:rFonts w:hint="eastAsia" w:asciiTheme="minorEastAsia" w:hAnsiTheme="minorEastAsia"/>
                <w:szCs w:val="21"/>
                <w:highlight w:val="none"/>
              </w:rPr>
              <w:t>，</w:t>
            </w:r>
            <w:r>
              <w:rPr>
                <w:rFonts w:hint="eastAsia" w:cs="宋体" w:asciiTheme="minorEastAsia" w:hAnsiTheme="minorEastAsia"/>
                <w:b/>
                <w:color w:val="000000"/>
                <w:szCs w:val="21"/>
                <w:highlight w:val="none"/>
              </w:rPr>
              <w:t>内容至少包括</w:t>
            </w:r>
            <w:r>
              <w:rPr>
                <w:rFonts w:hint="eastAsia" w:cs="宋体" w:asciiTheme="minorEastAsia" w:hAnsiTheme="minorEastAsia"/>
                <w:color w:val="000000"/>
                <w:szCs w:val="21"/>
                <w:highlight w:val="none"/>
              </w:rPr>
              <w:t>：</w:t>
            </w:r>
          </w:p>
          <w:p w14:paraId="51E72EC5">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①项目需求的理解和分析；</w:t>
            </w:r>
          </w:p>
          <w:p w14:paraId="6E806E75">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②资源需求；</w:t>
            </w:r>
          </w:p>
          <w:p w14:paraId="0E843FE9">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③业务需求；</w:t>
            </w:r>
          </w:p>
          <w:p w14:paraId="74004287">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④功能需求。</w:t>
            </w:r>
          </w:p>
          <w:p w14:paraId="566A8F58">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方案内容完整合理、符合本项目实际需求的，每项得</w:t>
            </w:r>
            <w:r>
              <w:rPr>
                <w:rFonts w:cs="宋体" w:asciiTheme="minorEastAsia" w:hAnsiTheme="minorEastAsia"/>
                <w:color w:val="000000"/>
                <w:szCs w:val="21"/>
                <w:highlight w:val="none"/>
              </w:rPr>
              <w:t>2</w:t>
            </w:r>
            <w:r>
              <w:rPr>
                <w:rFonts w:hint="eastAsia" w:cs="宋体" w:asciiTheme="minorEastAsia" w:hAnsiTheme="minorEastAsia"/>
                <w:color w:val="000000"/>
                <w:szCs w:val="21"/>
                <w:highlight w:val="none"/>
              </w:rPr>
              <w:t>分；每项方案内容出现一处不合理或错误的得1分；方案未论述或每项内容出现两处及以上不合理或错误的得0分；最高得</w:t>
            </w:r>
            <w:r>
              <w:rPr>
                <w:rFonts w:cs="宋体" w:asciiTheme="minorEastAsia" w:hAnsiTheme="minorEastAsia"/>
                <w:color w:val="000000"/>
                <w:szCs w:val="21"/>
                <w:highlight w:val="none"/>
              </w:rPr>
              <w:t>8</w:t>
            </w:r>
            <w:r>
              <w:rPr>
                <w:rFonts w:hint="eastAsia" w:cs="宋体" w:asciiTheme="minorEastAsia" w:hAnsiTheme="minorEastAsia"/>
                <w:color w:val="000000"/>
                <w:szCs w:val="21"/>
                <w:highlight w:val="none"/>
              </w:rPr>
              <w:t>分。</w:t>
            </w:r>
          </w:p>
        </w:tc>
        <w:tc>
          <w:tcPr>
            <w:tcW w:w="1430" w:type="dxa"/>
            <w:vAlign w:val="center"/>
          </w:tcPr>
          <w:p w14:paraId="73996881">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8</w:t>
            </w:r>
          </w:p>
        </w:tc>
      </w:tr>
      <w:tr w14:paraId="0D25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0197CEFC">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2</w:t>
            </w:r>
          </w:p>
        </w:tc>
        <w:tc>
          <w:tcPr>
            <w:tcW w:w="1527" w:type="dxa"/>
            <w:vAlign w:val="center"/>
          </w:tcPr>
          <w:p w14:paraId="7AAADE5F">
            <w:pPr>
              <w:jc w:val="center"/>
              <w:rPr>
                <w:rFonts w:ascii="宋体" w:hAnsi="宋体" w:eastAsia="宋体" w:cs="宋体"/>
                <w:b/>
                <w:sz w:val="24"/>
                <w:szCs w:val="24"/>
                <w:highlight w:val="none"/>
              </w:rPr>
            </w:pPr>
            <w:bookmarkStart w:id="84" w:name="OLE_LINK67"/>
            <w:bookmarkStart w:id="85" w:name="OLE_LINK68"/>
            <w:r>
              <w:rPr>
                <w:rFonts w:hint="eastAsia" w:cs="宋体" w:asciiTheme="minorEastAsia" w:hAnsiTheme="minorEastAsia"/>
                <w:color w:val="000000"/>
                <w:szCs w:val="21"/>
                <w:highlight w:val="none"/>
              </w:rPr>
              <w:t>总体设计方案</w:t>
            </w:r>
            <w:bookmarkEnd w:id="84"/>
            <w:bookmarkEnd w:id="85"/>
          </w:p>
        </w:tc>
        <w:tc>
          <w:tcPr>
            <w:tcW w:w="5717" w:type="dxa"/>
            <w:shd w:val="clear" w:color="auto" w:fill="auto"/>
            <w:vAlign w:val="center"/>
          </w:tcPr>
          <w:p w14:paraId="65DADB11">
            <w:pPr>
              <w:widowControl/>
              <w:rPr>
                <w:rFonts w:cs="宋体" w:asciiTheme="minorEastAsia" w:hAnsiTheme="minorEastAsia"/>
                <w:b/>
                <w:color w:val="000000"/>
                <w:szCs w:val="21"/>
                <w:highlight w:val="none"/>
              </w:rPr>
            </w:pPr>
            <w:r>
              <w:rPr>
                <w:rFonts w:hint="eastAsia" w:cs="宋体" w:asciiTheme="minorEastAsia" w:hAnsiTheme="minorEastAsia"/>
                <w:color w:val="000000"/>
                <w:szCs w:val="21"/>
                <w:highlight w:val="none"/>
              </w:rPr>
              <w:t>投标人针对本项目提供的总体设计方案满足项目建设要求及项目技术要求，</w:t>
            </w:r>
            <w:r>
              <w:rPr>
                <w:rFonts w:hint="eastAsia" w:cs="宋体" w:asciiTheme="minorEastAsia" w:hAnsiTheme="minorEastAsia"/>
                <w:b/>
                <w:color w:val="000000"/>
                <w:szCs w:val="21"/>
                <w:highlight w:val="none"/>
              </w:rPr>
              <w:t>内容至少包括：</w:t>
            </w:r>
          </w:p>
          <w:p w14:paraId="1722A180">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①整体设计；</w:t>
            </w:r>
          </w:p>
          <w:p w14:paraId="66361C7F">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②拓扑设计；</w:t>
            </w:r>
          </w:p>
          <w:p w14:paraId="0C238212">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③网络设计；</w:t>
            </w:r>
          </w:p>
          <w:p w14:paraId="06E62A8D">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④管理设计。</w:t>
            </w:r>
          </w:p>
          <w:p w14:paraId="779DA897">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方案内容完整合理、符合本项目实际需求的，每项得</w:t>
            </w:r>
            <w:r>
              <w:rPr>
                <w:rFonts w:cs="宋体" w:asciiTheme="minorEastAsia" w:hAnsiTheme="minorEastAsia"/>
                <w:color w:val="000000"/>
                <w:szCs w:val="21"/>
                <w:highlight w:val="none"/>
              </w:rPr>
              <w:t>2</w:t>
            </w:r>
            <w:r>
              <w:rPr>
                <w:rFonts w:hint="eastAsia" w:cs="宋体" w:asciiTheme="minorEastAsia" w:hAnsiTheme="minorEastAsia"/>
                <w:color w:val="000000"/>
                <w:szCs w:val="21"/>
                <w:highlight w:val="none"/>
              </w:rPr>
              <w:t>分；每项方案内容出现一处不合理或错误的得</w:t>
            </w:r>
            <w:r>
              <w:rPr>
                <w:rFonts w:cs="宋体" w:asciiTheme="minorEastAsia" w:hAnsiTheme="minorEastAsia"/>
                <w:color w:val="000000"/>
                <w:szCs w:val="21"/>
                <w:highlight w:val="none"/>
              </w:rPr>
              <w:t>1</w:t>
            </w:r>
            <w:r>
              <w:rPr>
                <w:rFonts w:hint="eastAsia" w:cs="宋体" w:asciiTheme="minorEastAsia" w:hAnsiTheme="minorEastAsia"/>
                <w:color w:val="000000"/>
                <w:szCs w:val="21"/>
                <w:highlight w:val="none"/>
              </w:rPr>
              <w:t>分；方案未论述或每项内容出现两处及以上不合理或错误的得0分；最高得</w:t>
            </w:r>
            <w:r>
              <w:rPr>
                <w:rFonts w:cs="宋体" w:asciiTheme="minorEastAsia" w:hAnsiTheme="minorEastAsia"/>
                <w:color w:val="000000"/>
                <w:szCs w:val="21"/>
                <w:highlight w:val="none"/>
              </w:rPr>
              <w:t>8</w:t>
            </w:r>
            <w:r>
              <w:rPr>
                <w:rFonts w:hint="eastAsia" w:cs="宋体" w:asciiTheme="minorEastAsia" w:hAnsiTheme="minorEastAsia"/>
                <w:color w:val="000000"/>
                <w:szCs w:val="21"/>
                <w:highlight w:val="none"/>
              </w:rPr>
              <w:t>分。</w:t>
            </w:r>
          </w:p>
        </w:tc>
        <w:tc>
          <w:tcPr>
            <w:tcW w:w="1430" w:type="dxa"/>
            <w:vAlign w:val="center"/>
          </w:tcPr>
          <w:p w14:paraId="730A1A90">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8</w:t>
            </w:r>
          </w:p>
        </w:tc>
      </w:tr>
      <w:tr w14:paraId="5056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6BDAF05F">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3</w:t>
            </w:r>
          </w:p>
        </w:tc>
        <w:tc>
          <w:tcPr>
            <w:tcW w:w="1527" w:type="dxa"/>
            <w:vAlign w:val="center"/>
          </w:tcPr>
          <w:p w14:paraId="10895D89">
            <w:pPr>
              <w:jc w:val="center"/>
              <w:rPr>
                <w:rFonts w:ascii="宋体" w:hAnsi="宋体" w:eastAsia="宋体" w:cs="宋体"/>
                <w:b/>
                <w:sz w:val="24"/>
                <w:szCs w:val="24"/>
                <w:highlight w:val="none"/>
              </w:rPr>
            </w:pPr>
            <w:bookmarkStart w:id="86" w:name="OLE_LINK72"/>
            <w:r>
              <w:rPr>
                <w:rFonts w:hint="eastAsia" w:cs="宋体" w:asciiTheme="minorEastAsia" w:hAnsiTheme="minorEastAsia"/>
                <w:color w:val="000000"/>
                <w:szCs w:val="21"/>
                <w:highlight w:val="none"/>
              </w:rPr>
              <w:t>功能设计方案</w:t>
            </w:r>
            <w:bookmarkEnd w:id="86"/>
          </w:p>
        </w:tc>
        <w:tc>
          <w:tcPr>
            <w:tcW w:w="5717" w:type="dxa"/>
            <w:vAlign w:val="center"/>
          </w:tcPr>
          <w:p w14:paraId="1E6E196A">
            <w:pPr>
              <w:widowControl/>
              <w:rPr>
                <w:rFonts w:cs="宋体" w:asciiTheme="minorEastAsia" w:hAnsiTheme="minorEastAsia"/>
                <w:b/>
                <w:color w:val="000000"/>
                <w:szCs w:val="21"/>
                <w:highlight w:val="none"/>
              </w:rPr>
            </w:pPr>
            <w:r>
              <w:rPr>
                <w:rFonts w:hint="eastAsia" w:cs="宋体" w:asciiTheme="minorEastAsia" w:hAnsiTheme="minorEastAsia"/>
                <w:color w:val="000000"/>
                <w:szCs w:val="21"/>
                <w:highlight w:val="none"/>
              </w:rPr>
              <w:t>投标人针对本项目提供的功能设计方案满足项目建设要求及项目技术要求</w:t>
            </w:r>
            <w:bookmarkStart w:id="87" w:name="OLE_LINK73"/>
            <w:bookmarkStart w:id="88" w:name="OLE_LINK74"/>
            <w:r>
              <w:rPr>
                <w:rFonts w:hint="eastAsia" w:cs="宋体" w:asciiTheme="minorEastAsia" w:hAnsiTheme="minorEastAsia"/>
                <w:color w:val="000000"/>
                <w:szCs w:val="21"/>
                <w:highlight w:val="none"/>
              </w:rPr>
              <w:t>，</w:t>
            </w:r>
            <w:r>
              <w:rPr>
                <w:rFonts w:hint="eastAsia" w:cs="宋体" w:asciiTheme="minorEastAsia" w:hAnsiTheme="minorEastAsia"/>
                <w:b/>
                <w:color w:val="000000"/>
                <w:szCs w:val="21"/>
                <w:highlight w:val="none"/>
              </w:rPr>
              <w:t>内容至少包括：</w:t>
            </w:r>
          </w:p>
          <w:bookmarkEnd w:id="87"/>
          <w:bookmarkEnd w:id="88"/>
          <w:p w14:paraId="61A17C6A">
            <w:pPr>
              <w:widowControl/>
              <w:rPr>
                <w:rFonts w:cs="宋体" w:asciiTheme="minorEastAsia" w:hAnsiTheme="minorEastAsia"/>
                <w:color w:val="000000"/>
                <w:szCs w:val="21"/>
                <w:highlight w:val="none"/>
              </w:rPr>
            </w:pPr>
            <w:bookmarkStart w:id="89" w:name="OLE_LINK75"/>
            <w:bookmarkStart w:id="90" w:name="OLE_LINK76"/>
            <w:r>
              <w:rPr>
                <w:rFonts w:hint="eastAsia" w:cs="宋体" w:asciiTheme="minorEastAsia" w:hAnsiTheme="minorEastAsia"/>
                <w:color w:val="000000"/>
                <w:szCs w:val="21"/>
                <w:highlight w:val="none"/>
              </w:rPr>
              <w:t>①计算节点设计；</w:t>
            </w:r>
          </w:p>
          <w:p w14:paraId="58504B49">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②存储节点设计；</w:t>
            </w:r>
          </w:p>
          <w:p w14:paraId="19980352">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③网络节点设计；</w:t>
            </w:r>
          </w:p>
          <w:p w14:paraId="1757C913">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④安全功能设计。</w:t>
            </w:r>
          </w:p>
          <w:p w14:paraId="318C739C">
            <w:pPr>
              <w:jc w:val="left"/>
              <w:rPr>
                <w:rFonts w:ascii="宋体" w:hAnsi="宋体" w:eastAsia="宋体" w:cs="宋体"/>
                <w:b/>
                <w:sz w:val="24"/>
                <w:szCs w:val="24"/>
                <w:highlight w:val="none"/>
              </w:rPr>
            </w:pPr>
            <w:r>
              <w:rPr>
                <w:rFonts w:hint="eastAsia" w:cs="宋体" w:asciiTheme="minorEastAsia" w:hAnsiTheme="minorEastAsia"/>
                <w:color w:val="000000"/>
                <w:szCs w:val="21"/>
                <w:highlight w:val="none"/>
              </w:rPr>
              <w:t>方案内容完整合理、符合本项目实际需求的，每项得</w:t>
            </w:r>
            <w:r>
              <w:rPr>
                <w:rFonts w:cs="宋体" w:asciiTheme="minorEastAsia" w:hAnsiTheme="minorEastAsia"/>
                <w:color w:val="000000"/>
                <w:szCs w:val="21"/>
                <w:highlight w:val="none"/>
              </w:rPr>
              <w:t>2</w:t>
            </w:r>
            <w:r>
              <w:rPr>
                <w:rFonts w:hint="eastAsia" w:cs="宋体" w:asciiTheme="minorEastAsia" w:hAnsiTheme="minorEastAsia"/>
                <w:color w:val="000000"/>
                <w:szCs w:val="21"/>
                <w:highlight w:val="none"/>
              </w:rPr>
              <w:t>分；每项方案内容出现一处不合理或错误的得</w:t>
            </w:r>
            <w:r>
              <w:rPr>
                <w:rFonts w:cs="宋体" w:asciiTheme="minorEastAsia" w:hAnsiTheme="minorEastAsia"/>
                <w:color w:val="000000"/>
                <w:szCs w:val="21"/>
                <w:highlight w:val="none"/>
              </w:rPr>
              <w:t>1</w:t>
            </w:r>
            <w:r>
              <w:rPr>
                <w:rFonts w:hint="eastAsia" w:cs="宋体" w:asciiTheme="minorEastAsia" w:hAnsiTheme="minorEastAsia"/>
                <w:color w:val="000000"/>
                <w:szCs w:val="21"/>
                <w:highlight w:val="none"/>
              </w:rPr>
              <w:t>分；方案未论述或每项内容出现两处及以上不合理或错误的得0分；最高得</w:t>
            </w:r>
            <w:r>
              <w:rPr>
                <w:rFonts w:cs="宋体" w:asciiTheme="minorEastAsia" w:hAnsiTheme="minorEastAsia"/>
                <w:color w:val="000000"/>
                <w:szCs w:val="21"/>
                <w:highlight w:val="none"/>
              </w:rPr>
              <w:t>8</w:t>
            </w:r>
            <w:r>
              <w:rPr>
                <w:rFonts w:hint="eastAsia" w:cs="宋体" w:asciiTheme="minorEastAsia" w:hAnsiTheme="minorEastAsia"/>
                <w:color w:val="000000"/>
                <w:szCs w:val="21"/>
                <w:highlight w:val="none"/>
              </w:rPr>
              <w:t>分。</w:t>
            </w:r>
            <w:bookmarkEnd w:id="89"/>
            <w:bookmarkEnd w:id="90"/>
          </w:p>
        </w:tc>
        <w:tc>
          <w:tcPr>
            <w:tcW w:w="1430" w:type="dxa"/>
            <w:vAlign w:val="center"/>
          </w:tcPr>
          <w:p w14:paraId="05495920">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8</w:t>
            </w:r>
          </w:p>
        </w:tc>
      </w:tr>
      <w:tr w14:paraId="6B52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4344388B">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4</w:t>
            </w:r>
          </w:p>
        </w:tc>
        <w:tc>
          <w:tcPr>
            <w:tcW w:w="1527" w:type="dxa"/>
            <w:vAlign w:val="center"/>
          </w:tcPr>
          <w:p w14:paraId="5567842B">
            <w:pPr>
              <w:jc w:val="center"/>
              <w:rPr>
                <w:rFonts w:ascii="宋体" w:hAnsi="宋体" w:eastAsia="宋体" w:cs="宋体"/>
                <w:b/>
                <w:sz w:val="24"/>
                <w:szCs w:val="24"/>
                <w:highlight w:val="none"/>
              </w:rPr>
            </w:pPr>
            <w:r>
              <w:rPr>
                <w:rFonts w:hint="eastAsia" w:cs="宋体" w:asciiTheme="minorEastAsia" w:hAnsiTheme="minorEastAsia"/>
                <w:color w:val="000000"/>
                <w:szCs w:val="21"/>
                <w:highlight w:val="none"/>
              </w:rPr>
              <w:t>对接及数据同步方案</w:t>
            </w:r>
          </w:p>
        </w:tc>
        <w:tc>
          <w:tcPr>
            <w:tcW w:w="5717" w:type="dxa"/>
            <w:vAlign w:val="center"/>
          </w:tcPr>
          <w:p w14:paraId="4E74E6A3">
            <w:pPr>
              <w:widowControl/>
              <w:rPr>
                <w:rFonts w:cs="宋体" w:asciiTheme="minorEastAsia" w:hAnsiTheme="minorEastAsia"/>
                <w:b/>
                <w:color w:val="000000"/>
                <w:szCs w:val="21"/>
                <w:highlight w:val="none"/>
              </w:rPr>
            </w:pPr>
            <w:r>
              <w:rPr>
                <w:rFonts w:hint="eastAsia" w:cs="宋体" w:asciiTheme="minorEastAsia" w:hAnsiTheme="minorEastAsia"/>
                <w:color w:val="000000"/>
                <w:szCs w:val="21"/>
                <w:highlight w:val="none"/>
              </w:rPr>
              <w:t>投标人针对本项目提出与省法院云平台对接及数据同步方案</w:t>
            </w:r>
            <w:bookmarkStart w:id="91" w:name="OLE_LINK81"/>
            <w:bookmarkStart w:id="92" w:name="OLE_LINK82"/>
            <w:r>
              <w:rPr>
                <w:rFonts w:hint="eastAsia" w:cs="宋体" w:asciiTheme="minorEastAsia" w:hAnsiTheme="minorEastAsia"/>
                <w:color w:val="000000"/>
                <w:szCs w:val="21"/>
                <w:highlight w:val="none"/>
              </w:rPr>
              <w:t>，</w:t>
            </w:r>
            <w:r>
              <w:rPr>
                <w:rFonts w:hint="eastAsia" w:cs="宋体" w:asciiTheme="minorEastAsia" w:hAnsiTheme="minorEastAsia"/>
                <w:b/>
                <w:color w:val="000000"/>
                <w:szCs w:val="21"/>
                <w:highlight w:val="none"/>
              </w:rPr>
              <w:t>内容至少包括：</w:t>
            </w:r>
            <w:bookmarkEnd w:id="91"/>
            <w:bookmarkEnd w:id="92"/>
          </w:p>
          <w:p w14:paraId="5A10FC02">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①对接内容；</w:t>
            </w:r>
          </w:p>
          <w:p w14:paraId="1C7D4B6D">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②具体数据同步；</w:t>
            </w:r>
          </w:p>
          <w:p w14:paraId="0247436A">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③数据安全管控；</w:t>
            </w:r>
          </w:p>
          <w:p w14:paraId="510ED8EC">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④风险管控。</w:t>
            </w:r>
          </w:p>
          <w:p w14:paraId="2C822342">
            <w:pPr>
              <w:jc w:val="left"/>
              <w:rPr>
                <w:rFonts w:ascii="宋体" w:hAnsi="宋体" w:eastAsia="宋体" w:cs="宋体"/>
                <w:b/>
                <w:sz w:val="24"/>
                <w:szCs w:val="24"/>
                <w:highlight w:val="none"/>
              </w:rPr>
            </w:pPr>
            <w:r>
              <w:rPr>
                <w:rFonts w:hint="eastAsia" w:cs="宋体" w:asciiTheme="minorEastAsia" w:hAnsiTheme="minorEastAsia"/>
                <w:color w:val="000000"/>
                <w:szCs w:val="21"/>
                <w:highlight w:val="none"/>
              </w:rPr>
              <w:t>方案内容完整合理、符合本项目实际需求的，每项得2分；每项方案内容出现一处不合理或错误的得1分；方案未论述或每项内容出现两处及以上不合理或错误的得0分；最高得8分。</w:t>
            </w:r>
          </w:p>
        </w:tc>
        <w:tc>
          <w:tcPr>
            <w:tcW w:w="1430" w:type="dxa"/>
            <w:vAlign w:val="center"/>
          </w:tcPr>
          <w:p w14:paraId="1FED5950">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8</w:t>
            </w:r>
          </w:p>
        </w:tc>
      </w:tr>
      <w:tr w14:paraId="6EBED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50CC2AA9">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5</w:t>
            </w:r>
          </w:p>
        </w:tc>
        <w:tc>
          <w:tcPr>
            <w:tcW w:w="1527" w:type="dxa"/>
            <w:vAlign w:val="center"/>
          </w:tcPr>
          <w:p w14:paraId="3DCFD504">
            <w:pPr>
              <w:jc w:val="center"/>
              <w:rPr>
                <w:rFonts w:ascii="宋体" w:hAnsi="宋体" w:eastAsia="宋体" w:cs="宋体"/>
                <w:b/>
                <w:sz w:val="24"/>
                <w:szCs w:val="24"/>
                <w:highlight w:val="none"/>
              </w:rPr>
            </w:pPr>
            <w:r>
              <w:rPr>
                <w:rFonts w:hint="eastAsia" w:cs="宋体" w:asciiTheme="minorEastAsia" w:hAnsiTheme="minorEastAsia"/>
                <w:color w:val="000000"/>
                <w:szCs w:val="21"/>
                <w:highlight w:val="none"/>
              </w:rPr>
              <w:t>项目实施方案</w:t>
            </w:r>
          </w:p>
        </w:tc>
        <w:tc>
          <w:tcPr>
            <w:tcW w:w="5717" w:type="dxa"/>
            <w:shd w:val="clear" w:color="auto" w:fill="auto"/>
            <w:vAlign w:val="center"/>
          </w:tcPr>
          <w:p w14:paraId="3B6C2D81">
            <w:pPr>
              <w:widowControl/>
              <w:rPr>
                <w:rFonts w:cs="宋体" w:asciiTheme="minorEastAsia" w:hAnsiTheme="minorEastAsia"/>
                <w:b/>
                <w:color w:val="000000"/>
                <w:szCs w:val="21"/>
                <w:highlight w:val="none"/>
              </w:rPr>
            </w:pPr>
            <w:r>
              <w:rPr>
                <w:rFonts w:hint="eastAsia" w:cs="宋体" w:asciiTheme="minorEastAsia" w:hAnsiTheme="minorEastAsia"/>
                <w:color w:val="000000"/>
                <w:szCs w:val="21"/>
                <w:highlight w:val="none"/>
              </w:rPr>
              <w:t>投标人针对本项目提出的具体实施方案，</w:t>
            </w:r>
            <w:r>
              <w:rPr>
                <w:rFonts w:hint="eastAsia" w:cs="宋体" w:asciiTheme="minorEastAsia" w:hAnsiTheme="minorEastAsia"/>
                <w:b/>
                <w:color w:val="000000"/>
                <w:szCs w:val="21"/>
                <w:highlight w:val="none"/>
              </w:rPr>
              <w:t>内容至少包括：</w:t>
            </w:r>
          </w:p>
          <w:p w14:paraId="69EF8C54">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①进度控制和质量保障措施；</w:t>
            </w:r>
          </w:p>
          <w:p w14:paraId="27CBEFF2">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②组织架构；</w:t>
            </w:r>
          </w:p>
          <w:p w14:paraId="3D822D91">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③工作机制；</w:t>
            </w:r>
          </w:p>
          <w:p w14:paraId="2F5DB529">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④资源投入计划。</w:t>
            </w:r>
          </w:p>
          <w:p w14:paraId="149A76AF">
            <w:pPr>
              <w:widowControl/>
              <w:rPr>
                <w:rFonts w:asciiTheme="minorEastAsia" w:hAnsiTheme="minorEastAsia"/>
                <w:szCs w:val="21"/>
                <w:highlight w:val="none"/>
              </w:rPr>
            </w:pPr>
            <w:r>
              <w:rPr>
                <w:rFonts w:hint="eastAsia" w:cs="宋体" w:asciiTheme="minorEastAsia" w:hAnsiTheme="minorEastAsia"/>
                <w:color w:val="000000"/>
                <w:szCs w:val="21"/>
                <w:highlight w:val="none"/>
              </w:rPr>
              <w:t>方案内容完整合理、符合本项目实际需求的，每项得</w:t>
            </w:r>
            <w:r>
              <w:rPr>
                <w:rFonts w:hint="eastAsia" w:cs="宋体" w:asciiTheme="minorEastAsia" w:hAnsiTheme="minorEastAsia"/>
                <w:color w:val="000000"/>
                <w:szCs w:val="21"/>
                <w:highlight w:val="none"/>
                <w:lang w:val="en-US" w:eastAsia="zh-CN"/>
              </w:rPr>
              <w:t>1</w:t>
            </w:r>
            <w:r>
              <w:rPr>
                <w:rFonts w:hint="eastAsia" w:cs="宋体" w:asciiTheme="minorEastAsia" w:hAnsiTheme="minorEastAsia"/>
                <w:color w:val="000000"/>
                <w:szCs w:val="21"/>
                <w:highlight w:val="none"/>
              </w:rPr>
              <w:t>分；每项方案内容出现一处不合理或错误的得</w:t>
            </w:r>
            <w:r>
              <w:rPr>
                <w:rFonts w:hint="eastAsia" w:cs="宋体" w:asciiTheme="minorEastAsia" w:hAnsiTheme="minorEastAsia"/>
                <w:color w:val="000000"/>
                <w:szCs w:val="21"/>
                <w:highlight w:val="none"/>
                <w:lang w:val="en-US" w:eastAsia="zh-CN"/>
              </w:rPr>
              <w:t>0.5</w:t>
            </w:r>
            <w:r>
              <w:rPr>
                <w:rFonts w:hint="eastAsia" w:cs="宋体" w:asciiTheme="minorEastAsia" w:hAnsiTheme="minorEastAsia"/>
                <w:color w:val="000000"/>
                <w:szCs w:val="21"/>
                <w:highlight w:val="none"/>
              </w:rPr>
              <w:t>分；方案未论述或每项内容出现两处及以上不合理或错误的得0分；最高得</w:t>
            </w:r>
            <w:r>
              <w:rPr>
                <w:rFonts w:hint="eastAsia" w:cs="宋体" w:asciiTheme="minorEastAsia" w:hAnsiTheme="minorEastAsia"/>
                <w:color w:val="000000"/>
                <w:szCs w:val="21"/>
                <w:highlight w:val="none"/>
                <w:lang w:val="en-US" w:eastAsia="zh-CN"/>
              </w:rPr>
              <w:t>4</w:t>
            </w:r>
            <w:r>
              <w:rPr>
                <w:rFonts w:hint="eastAsia" w:cs="宋体" w:asciiTheme="minorEastAsia" w:hAnsiTheme="minorEastAsia"/>
                <w:color w:val="000000"/>
                <w:szCs w:val="21"/>
                <w:highlight w:val="none"/>
              </w:rPr>
              <w:t>分。</w:t>
            </w:r>
          </w:p>
        </w:tc>
        <w:tc>
          <w:tcPr>
            <w:tcW w:w="1430" w:type="dxa"/>
            <w:vAlign w:val="center"/>
          </w:tcPr>
          <w:p w14:paraId="1D7BF7F0">
            <w:pPr>
              <w:spacing w:line="360" w:lineRule="auto"/>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4</w:t>
            </w:r>
          </w:p>
        </w:tc>
      </w:tr>
      <w:tr w14:paraId="30F8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0AD55960">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6</w:t>
            </w:r>
          </w:p>
        </w:tc>
        <w:tc>
          <w:tcPr>
            <w:tcW w:w="1527" w:type="dxa"/>
            <w:vAlign w:val="center"/>
          </w:tcPr>
          <w:p w14:paraId="47C53C8F">
            <w:pPr>
              <w:jc w:val="center"/>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售后服务及保障方案</w:t>
            </w:r>
          </w:p>
        </w:tc>
        <w:tc>
          <w:tcPr>
            <w:tcW w:w="5717" w:type="dxa"/>
            <w:shd w:val="clear" w:color="auto" w:fill="auto"/>
            <w:vAlign w:val="center"/>
          </w:tcPr>
          <w:p w14:paraId="71A69DF2">
            <w:pPr>
              <w:widowControl/>
              <w:rPr>
                <w:rFonts w:cs="宋体" w:asciiTheme="minorEastAsia" w:hAnsiTheme="minorEastAsia"/>
                <w:b/>
                <w:color w:val="000000"/>
                <w:szCs w:val="21"/>
                <w:highlight w:val="none"/>
              </w:rPr>
            </w:pPr>
            <w:r>
              <w:rPr>
                <w:rFonts w:hint="eastAsia" w:cs="宋体" w:asciiTheme="minorEastAsia" w:hAnsiTheme="minorEastAsia"/>
                <w:color w:val="000000"/>
                <w:szCs w:val="21"/>
                <w:highlight w:val="none"/>
              </w:rPr>
              <w:t>投标人针对本项目提供的售后服务及保障方案，</w:t>
            </w:r>
            <w:r>
              <w:rPr>
                <w:rFonts w:hint="eastAsia" w:cs="宋体" w:asciiTheme="minorEastAsia" w:hAnsiTheme="minorEastAsia"/>
                <w:b/>
                <w:color w:val="000000"/>
                <w:szCs w:val="21"/>
                <w:highlight w:val="none"/>
              </w:rPr>
              <w:t>内容至少包括：</w:t>
            </w:r>
          </w:p>
          <w:p w14:paraId="199F0F90">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①售后服务及售后服务承诺函；</w:t>
            </w:r>
          </w:p>
          <w:p w14:paraId="43744E8C">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②售后保障团队；</w:t>
            </w:r>
          </w:p>
          <w:p w14:paraId="68230333">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③保障内容（网络保障、系统保障、应急保障措施）。</w:t>
            </w:r>
          </w:p>
          <w:p w14:paraId="1D3686EC">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方案内容完整合理、符合本项目实际需求的，每项得</w:t>
            </w:r>
            <w:r>
              <w:rPr>
                <w:rFonts w:cs="宋体" w:asciiTheme="minorEastAsia" w:hAnsiTheme="minorEastAsia"/>
                <w:color w:val="000000"/>
                <w:szCs w:val="21"/>
                <w:highlight w:val="none"/>
              </w:rPr>
              <w:t>2</w:t>
            </w:r>
            <w:r>
              <w:rPr>
                <w:rFonts w:hint="eastAsia" w:cs="宋体" w:asciiTheme="minorEastAsia" w:hAnsiTheme="minorEastAsia"/>
                <w:color w:val="000000"/>
                <w:szCs w:val="21"/>
                <w:highlight w:val="none"/>
              </w:rPr>
              <w:t>分；每项方案内容出现一处不合理或错误的得</w:t>
            </w:r>
            <w:r>
              <w:rPr>
                <w:rFonts w:cs="宋体" w:asciiTheme="minorEastAsia" w:hAnsiTheme="minorEastAsia"/>
                <w:color w:val="000000"/>
                <w:szCs w:val="21"/>
                <w:highlight w:val="none"/>
              </w:rPr>
              <w:t>1</w:t>
            </w:r>
            <w:r>
              <w:rPr>
                <w:rFonts w:hint="eastAsia" w:cs="宋体" w:asciiTheme="minorEastAsia" w:hAnsiTheme="minorEastAsia"/>
                <w:color w:val="000000"/>
                <w:szCs w:val="21"/>
                <w:highlight w:val="none"/>
              </w:rPr>
              <w:t>分；方案未论述或每项内容出现两处及以上不合理或错误的得0分；最高得</w:t>
            </w:r>
            <w:r>
              <w:rPr>
                <w:rFonts w:cs="宋体" w:asciiTheme="minorEastAsia" w:hAnsiTheme="minorEastAsia"/>
                <w:color w:val="000000"/>
                <w:szCs w:val="21"/>
                <w:highlight w:val="none"/>
              </w:rPr>
              <w:t>6</w:t>
            </w:r>
            <w:r>
              <w:rPr>
                <w:rFonts w:hint="eastAsia" w:cs="宋体" w:asciiTheme="minorEastAsia" w:hAnsiTheme="minorEastAsia"/>
                <w:color w:val="000000"/>
                <w:szCs w:val="21"/>
                <w:highlight w:val="none"/>
              </w:rPr>
              <w:t>分。</w:t>
            </w:r>
          </w:p>
        </w:tc>
        <w:tc>
          <w:tcPr>
            <w:tcW w:w="1430" w:type="dxa"/>
            <w:vAlign w:val="center"/>
          </w:tcPr>
          <w:p w14:paraId="08868D40">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6</w:t>
            </w:r>
          </w:p>
        </w:tc>
      </w:tr>
      <w:tr w14:paraId="394AC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0" w:type="dxa"/>
            <w:vAlign w:val="center"/>
          </w:tcPr>
          <w:p w14:paraId="2270982B">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7</w:t>
            </w:r>
          </w:p>
        </w:tc>
        <w:tc>
          <w:tcPr>
            <w:tcW w:w="1527" w:type="dxa"/>
            <w:vAlign w:val="center"/>
          </w:tcPr>
          <w:p w14:paraId="059AD0A2">
            <w:pPr>
              <w:jc w:val="center"/>
              <w:rPr>
                <w:rFonts w:cs="宋体" w:asciiTheme="minorEastAsia" w:hAnsiTheme="minorEastAsia"/>
                <w:color w:val="000000"/>
                <w:szCs w:val="21"/>
                <w:highlight w:val="none"/>
              </w:rPr>
            </w:pPr>
            <w:r>
              <w:rPr>
                <w:rFonts w:hint="eastAsia" w:cs="宋体" w:asciiTheme="minorEastAsia" w:hAnsiTheme="minorEastAsia"/>
                <w:szCs w:val="21"/>
                <w:highlight w:val="none"/>
              </w:rPr>
              <w:t>安全保密制度措施</w:t>
            </w:r>
          </w:p>
        </w:tc>
        <w:tc>
          <w:tcPr>
            <w:tcW w:w="5717" w:type="dxa"/>
            <w:shd w:val="clear" w:color="auto" w:fill="auto"/>
            <w:vAlign w:val="center"/>
          </w:tcPr>
          <w:p w14:paraId="1A889C62">
            <w:pPr>
              <w:widowControl/>
              <w:rPr>
                <w:rFonts w:cs="宋体" w:asciiTheme="minorEastAsia" w:hAnsiTheme="minorEastAsia"/>
                <w:b/>
                <w:color w:val="000000"/>
                <w:szCs w:val="21"/>
                <w:highlight w:val="none"/>
              </w:rPr>
            </w:pPr>
            <w:r>
              <w:rPr>
                <w:rFonts w:hint="eastAsia" w:cs="宋体" w:asciiTheme="minorEastAsia" w:hAnsiTheme="minorEastAsia"/>
                <w:color w:val="000000"/>
                <w:szCs w:val="21"/>
                <w:highlight w:val="none"/>
              </w:rPr>
              <w:t>投标人针对本项目提供的安全保密制度措施，</w:t>
            </w:r>
            <w:r>
              <w:rPr>
                <w:rFonts w:hint="eastAsia" w:cs="宋体" w:asciiTheme="minorEastAsia" w:hAnsiTheme="minorEastAsia"/>
                <w:b/>
                <w:color w:val="000000"/>
                <w:szCs w:val="21"/>
                <w:highlight w:val="none"/>
              </w:rPr>
              <w:t>内容至少包括：</w:t>
            </w:r>
          </w:p>
          <w:p w14:paraId="72C9C088">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①项目安全的保密制度；</w:t>
            </w:r>
          </w:p>
          <w:p w14:paraId="45431EC4">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②培训机制；</w:t>
            </w:r>
          </w:p>
          <w:p w14:paraId="3BBA81BC">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③实操规则；</w:t>
            </w:r>
          </w:p>
          <w:p w14:paraId="0F391A59">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④安全档案。</w:t>
            </w:r>
          </w:p>
          <w:p w14:paraId="0466EA18">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方案内容完整合理、符合本项目实际需求的，每项得</w:t>
            </w:r>
            <w:r>
              <w:rPr>
                <w:rFonts w:cs="宋体" w:asciiTheme="minorEastAsia" w:hAnsiTheme="minorEastAsia"/>
                <w:color w:val="000000"/>
                <w:szCs w:val="21"/>
                <w:highlight w:val="none"/>
              </w:rPr>
              <w:t>1</w:t>
            </w:r>
            <w:r>
              <w:rPr>
                <w:rFonts w:hint="eastAsia" w:cs="宋体" w:asciiTheme="minorEastAsia" w:hAnsiTheme="minorEastAsia"/>
                <w:color w:val="000000"/>
                <w:szCs w:val="21"/>
                <w:highlight w:val="none"/>
              </w:rPr>
              <w:t>分；每项方案内容出现一处不合理或错误的得</w:t>
            </w:r>
            <w:r>
              <w:rPr>
                <w:rFonts w:cs="宋体" w:asciiTheme="minorEastAsia" w:hAnsiTheme="minorEastAsia"/>
                <w:color w:val="000000"/>
                <w:szCs w:val="21"/>
                <w:highlight w:val="none"/>
              </w:rPr>
              <w:t>0.5</w:t>
            </w:r>
            <w:r>
              <w:rPr>
                <w:rFonts w:hint="eastAsia" w:cs="宋体" w:asciiTheme="minorEastAsia" w:hAnsiTheme="minorEastAsia"/>
                <w:color w:val="000000"/>
                <w:szCs w:val="21"/>
                <w:highlight w:val="none"/>
              </w:rPr>
              <w:t>分；方案未论述或每项内容出现两处及以上不合理或错误的得0分；最高得</w:t>
            </w:r>
            <w:r>
              <w:rPr>
                <w:rFonts w:cs="宋体" w:asciiTheme="minorEastAsia" w:hAnsiTheme="minorEastAsia"/>
                <w:color w:val="000000"/>
                <w:szCs w:val="21"/>
                <w:highlight w:val="none"/>
              </w:rPr>
              <w:t>4</w:t>
            </w:r>
            <w:r>
              <w:rPr>
                <w:rFonts w:hint="eastAsia" w:cs="宋体" w:asciiTheme="minorEastAsia" w:hAnsiTheme="minorEastAsia"/>
                <w:color w:val="000000"/>
                <w:szCs w:val="21"/>
                <w:highlight w:val="none"/>
              </w:rPr>
              <w:t>分。</w:t>
            </w:r>
          </w:p>
        </w:tc>
        <w:tc>
          <w:tcPr>
            <w:tcW w:w="1430" w:type="dxa"/>
            <w:vAlign w:val="center"/>
          </w:tcPr>
          <w:p w14:paraId="2A1E8763">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4</w:t>
            </w:r>
          </w:p>
        </w:tc>
      </w:tr>
      <w:tr w14:paraId="3FB93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6FE75708">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8</w:t>
            </w:r>
          </w:p>
        </w:tc>
        <w:tc>
          <w:tcPr>
            <w:tcW w:w="1527" w:type="dxa"/>
            <w:vAlign w:val="center"/>
          </w:tcPr>
          <w:p w14:paraId="697EF20F">
            <w:pPr>
              <w:jc w:val="center"/>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巡检方案</w:t>
            </w:r>
          </w:p>
        </w:tc>
        <w:tc>
          <w:tcPr>
            <w:tcW w:w="5717" w:type="dxa"/>
            <w:vAlign w:val="center"/>
          </w:tcPr>
          <w:p w14:paraId="5F682BC4">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投标人提供针对本项目制定的巡检方案，</w:t>
            </w:r>
            <w:r>
              <w:rPr>
                <w:rFonts w:hint="eastAsia" w:cs="宋体" w:asciiTheme="minorEastAsia" w:hAnsiTheme="minorEastAsia"/>
                <w:b/>
                <w:color w:val="000000"/>
                <w:szCs w:val="21"/>
                <w:highlight w:val="none"/>
              </w:rPr>
              <w:t>内容至少包括：</w:t>
            </w:r>
          </w:p>
          <w:p w14:paraId="5C430559">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①职责划分；</w:t>
            </w:r>
          </w:p>
          <w:p w14:paraId="24F57BDA">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②定期巡检服务内容；</w:t>
            </w:r>
          </w:p>
          <w:p w14:paraId="524E628F">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③巡检维护；</w:t>
            </w:r>
          </w:p>
          <w:p w14:paraId="5D73D72E">
            <w:pPr>
              <w:widowControl/>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④巡检专用工具和专用车辆。</w:t>
            </w:r>
          </w:p>
          <w:p w14:paraId="294464AA">
            <w:pPr>
              <w:jc w:val="left"/>
              <w:rPr>
                <w:rFonts w:ascii="宋体" w:hAnsi="宋体" w:eastAsia="宋体" w:cs="宋体"/>
                <w:b/>
                <w:sz w:val="24"/>
                <w:szCs w:val="24"/>
                <w:highlight w:val="none"/>
              </w:rPr>
            </w:pPr>
            <w:r>
              <w:rPr>
                <w:rFonts w:hint="eastAsia" w:cs="宋体" w:asciiTheme="minorEastAsia" w:hAnsiTheme="minorEastAsia"/>
                <w:color w:val="000000"/>
                <w:szCs w:val="21"/>
                <w:highlight w:val="none"/>
              </w:rPr>
              <w:t>方案内容完整合理、符合本项目实际需求的，每项得1分；每项方案内容出现一处不合理或错误的得0.5分；方案未论述或每项内容出现两处及以上不合理或错误的得0分；最高得4分。</w:t>
            </w:r>
          </w:p>
        </w:tc>
        <w:tc>
          <w:tcPr>
            <w:tcW w:w="1430" w:type="dxa"/>
            <w:vAlign w:val="center"/>
          </w:tcPr>
          <w:p w14:paraId="43C1466C">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4</w:t>
            </w:r>
          </w:p>
        </w:tc>
      </w:tr>
      <w:tr w14:paraId="6DA7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48F3A47A">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9</w:t>
            </w:r>
          </w:p>
        </w:tc>
        <w:tc>
          <w:tcPr>
            <w:tcW w:w="1527" w:type="dxa"/>
            <w:vAlign w:val="center"/>
          </w:tcPr>
          <w:p w14:paraId="723D0E26">
            <w:pPr>
              <w:jc w:val="center"/>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服务支撑产品质量</w:t>
            </w:r>
          </w:p>
        </w:tc>
        <w:tc>
          <w:tcPr>
            <w:tcW w:w="5717" w:type="dxa"/>
            <w:vAlign w:val="center"/>
          </w:tcPr>
          <w:p w14:paraId="06425A08">
            <w:pPr>
              <w:rPr>
                <w:rFonts w:asciiTheme="minorEastAsia" w:hAnsiTheme="minorEastAsia"/>
                <w:szCs w:val="21"/>
                <w:highlight w:val="none"/>
              </w:rPr>
            </w:pPr>
            <w:r>
              <w:rPr>
                <w:rFonts w:hint="eastAsia" w:asciiTheme="minorEastAsia" w:hAnsiTheme="minorEastAsia"/>
                <w:szCs w:val="21"/>
                <w:highlight w:val="none"/>
              </w:rPr>
              <w:t>投标人提供的服务支撑产品技术指标全部满足或高于招标文件要求的得基准分1</w:t>
            </w:r>
            <w:r>
              <w:rPr>
                <w:rFonts w:asciiTheme="minorEastAsia" w:hAnsiTheme="minorEastAsia"/>
                <w:szCs w:val="21"/>
                <w:highlight w:val="none"/>
              </w:rPr>
              <w:t>3</w:t>
            </w:r>
            <w:r>
              <w:rPr>
                <w:rFonts w:hint="eastAsia" w:asciiTheme="minorEastAsia" w:hAnsiTheme="minorEastAsia"/>
                <w:szCs w:val="21"/>
                <w:highlight w:val="none"/>
              </w:rPr>
              <w:t>分，其中：标注“★”技术指标若出现负偏离每项扣</w:t>
            </w:r>
            <w:r>
              <w:rPr>
                <w:rFonts w:asciiTheme="minorEastAsia" w:hAnsiTheme="minorEastAsia"/>
                <w:szCs w:val="21"/>
                <w:highlight w:val="none"/>
              </w:rPr>
              <w:t>1</w:t>
            </w:r>
            <w:r>
              <w:rPr>
                <w:rFonts w:hint="eastAsia" w:asciiTheme="minorEastAsia" w:hAnsiTheme="minorEastAsia"/>
                <w:szCs w:val="21"/>
                <w:highlight w:val="none"/>
              </w:rPr>
              <w:t>分；标注“▲”技术指标若出现负偏离每项扣0.</w:t>
            </w:r>
            <w:r>
              <w:rPr>
                <w:rFonts w:asciiTheme="minorEastAsia" w:hAnsiTheme="minorEastAsia"/>
                <w:szCs w:val="21"/>
                <w:highlight w:val="none"/>
              </w:rPr>
              <w:t>5</w:t>
            </w:r>
            <w:r>
              <w:rPr>
                <w:rFonts w:hint="eastAsia" w:asciiTheme="minorEastAsia" w:hAnsiTheme="minorEastAsia"/>
                <w:szCs w:val="21"/>
                <w:highlight w:val="none"/>
              </w:rPr>
              <w:t>分；其他技术指标若出现负偏离每项扣0.</w:t>
            </w:r>
            <w:r>
              <w:rPr>
                <w:rFonts w:asciiTheme="minorEastAsia" w:hAnsiTheme="minorEastAsia"/>
                <w:szCs w:val="21"/>
                <w:highlight w:val="none"/>
              </w:rPr>
              <w:t>3</w:t>
            </w:r>
            <w:r>
              <w:rPr>
                <w:rFonts w:hint="eastAsia" w:asciiTheme="minorEastAsia" w:hAnsiTheme="minorEastAsia"/>
                <w:szCs w:val="21"/>
                <w:highlight w:val="none"/>
              </w:rPr>
              <w:t>分。</w:t>
            </w:r>
          </w:p>
          <w:p w14:paraId="428C9C48">
            <w:pPr>
              <w:jc w:val="left"/>
              <w:rPr>
                <w:rFonts w:ascii="宋体" w:hAnsi="宋体" w:eastAsia="宋体" w:cs="宋体"/>
                <w:b/>
                <w:sz w:val="24"/>
                <w:szCs w:val="24"/>
                <w:highlight w:val="none"/>
              </w:rPr>
            </w:pPr>
            <w:r>
              <w:rPr>
                <w:rFonts w:asciiTheme="minorEastAsia" w:hAnsiTheme="minorEastAsia"/>
                <w:szCs w:val="21"/>
                <w:highlight w:val="none"/>
              </w:rPr>
              <w:t>注：</w:t>
            </w:r>
            <w:r>
              <w:rPr>
                <w:rFonts w:hint="eastAsia" w:asciiTheme="minorEastAsia" w:hAnsiTheme="minorEastAsia"/>
                <w:szCs w:val="21"/>
                <w:highlight w:val="none"/>
              </w:rPr>
              <w:t>标注“★”、“▲”</w:t>
            </w:r>
            <w:r>
              <w:rPr>
                <w:rFonts w:asciiTheme="minorEastAsia" w:hAnsiTheme="minorEastAsia"/>
                <w:szCs w:val="21"/>
                <w:highlight w:val="none"/>
              </w:rPr>
              <w:t>技术指标</w:t>
            </w:r>
            <w:r>
              <w:rPr>
                <w:rFonts w:hint="eastAsia" w:asciiTheme="minorEastAsia" w:hAnsiTheme="minorEastAsia"/>
                <w:szCs w:val="21"/>
                <w:highlight w:val="none"/>
              </w:rPr>
              <w:t>按照招标文件</w:t>
            </w:r>
            <w:r>
              <w:rPr>
                <w:rFonts w:asciiTheme="minorEastAsia" w:hAnsiTheme="minorEastAsia"/>
                <w:szCs w:val="21"/>
                <w:highlight w:val="none"/>
              </w:rPr>
              <w:t>要求</w:t>
            </w:r>
            <w:r>
              <w:rPr>
                <w:rFonts w:hint="eastAsia" w:asciiTheme="minorEastAsia" w:hAnsiTheme="minorEastAsia"/>
                <w:szCs w:val="21"/>
                <w:highlight w:val="none"/>
              </w:rPr>
              <w:t>提供功能截图、证明、国家认可的第三方机构出具的检测报告扫描件等</w:t>
            </w:r>
            <w:r>
              <w:rPr>
                <w:rFonts w:asciiTheme="minorEastAsia" w:hAnsiTheme="minorEastAsia"/>
                <w:szCs w:val="21"/>
                <w:highlight w:val="none"/>
              </w:rPr>
              <w:t>证明材料</w:t>
            </w:r>
            <w:r>
              <w:rPr>
                <w:rFonts w:hint="eastAsia" w:asciiTheme="minorEastAsia" w:hAnsiTheme="minorEastAsia"/>
                <w:szCs w:val="21"/>
                <w:highlight w:val="none"/>
              </w:rPr>
              <w:t>，未按要求提供或提供不全不得分</w:t>
            </w:r>
            <w:r>
              <w:rPr>
                <w:rFonts w:asciiTheme="minorEastAsia" w:hAnsiTheme="minorEastAsia"/>
                <w:szCs w:val="21"/>
                <w:highlight w:val="none"/>
              </w:rPr>
              <w:t>。</w:t>
            </w:r>
          </w:p>
        </w:tc>
        <w:tc>
          <w:tcPr>
            <w:tcW w:w="1430" w:type="dxa"/>
            <w:vAlign w:val="center"/>
          </w:tcPr>
          <w:p w14:paraId="5B29D6E8">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13</w:t>
            </w:r>
          </w:p>
        </w:tc>
      </w:tr>
      <w:tr w14:paraId="78D8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0" w:type="dxa"/>
            <w:vAlign w:val="center"/>
          </w:tcPr>
          <w:p w14:paraId="3F05669F">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10</w:t>
            </w:r>
          </w:p>
        </w:tc>
        <w:tc>
          <w:tcPr>
            <w:tcW w:w="1527" w:type="dxa"/>
            <w:vAlign w:val="center"/>
          </w:tcPr>
          <w:p w14:paraId="48E80785">
            <w:pPr>
              <w:jc w:val="center"/>
              <w:rPr>
                <w:rFonts w:cs="宋体" w:asciiTheme="minorEastAsia" w:hAnsiTheme="minorEastAsia"/>
                <w:color w:val="000000"/>
                <w:szCs w:val="21"/>
                <w:highlight w:val="none"/>
              </w:rPr>
            </w:pPr>
            <w:r>
              <w:rPr>
                <w:rFonts w:hint="eastAsia" w:cs="宋体" w:asciiTheme="minorEastAsia" w:hAnsiTheme="minorEastAsia"/>
                <w:color w:val="000000"/>
                <w:szCs w:val="21"/>
                <w:highlight w:val="none"/>
              </w:rPr>
              <w:t>服务支撑产品技术</w:t>
            </w:r>
          </w:p>
        </w:tc>
        <w:tc>
          <w:tcPr>
            <w:tcW w:w="5717" w:type="dxa"/>
            <w:vAlign w:val="center"/>
          </w:tcPr>
          <w:p w14:paraId="3177C5C5">
            <w:pPr>
              <w:rPr>
                <w:rFonts w:asciiTheme="minorEastAsia" w:hAnsiTheme="minorEastAsia"/>
                <w:color w:val="auto"/>
                <w:szCs w:val="21"/>
                <w:highlight w:val="none"/>
              </w:rPr>
            </w:pPr>
            <w:r>
              <w:rPr>
                <w:rFonts w:hint="eastAsia" w:asciiTheme="minorEastAsia" w:hAnsiTheme="minorEastAsia"/>
                <w:szCs w:val="21"/>
                <w:highlight w:val="none"/>
              </w:rPr>
              <w:t>投标人提供</w:t>
            </w:r>
            <w:r>
              <w:rPr>
                <w:rFonts w:hint="eastAsia" w:asciiTheme="minorEastAsia" w:hAnsiTheme="minorEastAsia"/>
                <w:color w:val="auto"/>
                <w:szCs w:val="21"/>
                <w:highlight w:val="none"/>
              </w:rPr>
              <w:t>的租赁服务支撑基础设施</w:t>
            </w:r>
            <w:r>
              <w:rPr>
                <w:rFonts w:hint="eastAsia" w:asciiTheme="minorEastAsia" w:hAnsiTheme="minorEastAsia"/>
                <w:color w:val="auto"/>
                <w:szCs w:val="21"/>
                <w:highlight w:val="none"/>
                <w:lang w:eastAsia="zh-CN"/>
              </w:rPr>
              <w:t>——</w:t>
            </w:r>
            <w:r>
              <w:rPr>
                <w:rFonts w:hint="eastAsia" w:asciiTheme="minorEastAsia" w:hAnsiTheme="minorEastAsia"/>
                <w:color w:val="auto"/>
                <w:szCs w:val="21"/>
                <w:highlight w:val="none"/>
              </w:rPr>
              <w:t>系统软件支持与国产芯片适配，每提供一份适配证明的得1分；最高得4分。</w:t>
            </w:r>
          </w:p>
          <w:p w14:paraId="39A9BE46">
            <w:pPr>
              <w:jc w:val="left"/>
              <w:rPr>
                <w:rFonts w:ascii="宋体" w:hAnsi="宋体" w:eastAsia="宋体" w:cs="宋体"/>
                <w:b/>
                <w:sz w:val="24"/>
                <w:szCs w:val="24"/>
                <w:highlight w:val="none"/>
              </w:rPr>
            </w:pPr>
            <w:r>
              <w:rPr>
                <w:rFonts w:hint="eastAsia" w:asciiTheme="minorEastAsia" w:hAnsiTheme="minorEastAsia"/>
                <w:color w:val="auto"/>
                <w:szCs w:val="21"/>
                <w:highlight w:val="none"/>
              </w:rPr>
              <w:t>注：</w:t>
            </w:r>
            <w:r>
              <w:rPr>
                <w:rFonts w:asciiTheme="minorEastAsia" w:hAnsiTheme="minorEastAsia"/>
                <w:color w:val="auto"/>
                <w:szCs w:val="21"/>
                <w:highlight w:val="none"/>
              </w:rPr>
              <w:t>提供</w:t>
            </w:r>
            <w:r>
              <w:rPr>
                <w:rFonts w:hint="eastAsia" w:asciiTheme="minorEastAsia" w:hAnsiTheme="minorEastAsia"/>
                <w:color w:val="auto"/>
                <w:szCs w:val="21"/>
                <w:highlight w:val="none"/>
              </w:rPr>
              <w:t>证明材料</w:t>
            </w:r>
            <w:bookmarkStart w:id="93" w:name="OLE_LINK10"/>
            <w:r>
              <w:rPr>
                <w:rFonts w:hint="eastAsia" w:asciiTheme="minorEastAsia" w:hAnsiTheme="minorEastAsia"/>
                <w:color w:val="auto"/>
                <w:szCs w:val="21"/>
                <w:highlight w:val="none"/>
              </w:rPr>
              <w:t>扫描</w:t>
            </w:r>
            <w:bookmarkEnd w:id="93"/>
            <w:r>
              <w:rPr>
                <w:rFonts w:hint="eastAsia" w:asciiTheme="minorEastAsia" w:hAnsiTheme="minorEastAsia"/>
                <w:color w:val="auto"/>
                <w:szCs w:val="21"/>
                <w:highlight w:val="none"/>
              </w:rPr>
              <w:t>件并加盖投标人公章，未</w:t>
            </w:r>
            <w:r>
              <w:rPr>
                <w:rFonts w:hint="eastAsia" w:asciiTheme="minorEastAsia" w:hAnsiTheme="minorEastAsia"/>
                <w:szCs w:val="21"/>
                <w:highlight w:val="none"/>
              </w:rPr>
              <w:t>按要求提供或提供不全不得分。</w:t>
            </w:r>
          </w:p>
        </w:tc>
        <w:tc>
          <w:tcPr>
            <w:tcW w:w="1430" w:type="dxa"/>
            <w:vAlign w:val="center"/>
          </w:tcPr>
          <w:p w14:paraId="7748535F">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4</w:t>
            </w:r>
          </w:p>
        </w:tc>
      </w:tr>
    </w:tbl>
    <w:p w14:paraId="39268542">
      <w:pPr>
        <w:spacing w:line="360" w:lineRule="auto"/>
        <w:ind w:firstLine="482" w:firstLineChars="200"/>
        <w:rPr>
          <w:rFonts w:ascii="宋体" w:hAnsi="宋体" w:eastAsia="宋体" w:cs="宋体"/>
          <w:sz w:val="24"/>
          <w:szCs w:val="24"/>
          <w:highlight w:val="none"/>
        </w:rPr>
      </w:pPr>
      <w:r>
        <w:rPr>
          <w:rFonts w:hint="eastAsia" w:ascii="宋体" w:hAnsi="宋体" w:eastAsia="宋体" w:cs="宋体"/>
          <w:b/>
          <w:sz w:val="24"/>
          <w:szCs w:val="24"/>
          <w:highlight w:val="none"/>
        </w:rPr>
        <w:t>（三）商务部分：</w:t>
      </w:r>
      <w:r>
        <w:rPr>
          <w:rFonts w:hint="eastAsia" w:ascii="宋体" w:hAnsi="宋体" w:eastAsia="宋体" w:cs="宋体"/>
          <w:b/>
          <w:sz w:val="24"/>
          <w:szCs w:val="24"/>
          <w:highlight w:val="none"/>
          <w:u w:val="single"/>
          <w:lang w:val="en-US" w:eastAsia="zh-CN"/>
        </w:rPr>
        <w:t>18</w:t>
      </w:r>
      <w:r>
        <w:rPr>
          <w:rFonts w:hint="eastAsia" w:ascii="宋体" w:hAnsi="宋体" w:eastAsia="宋体" w:cs="宋体"/>
          <w:b/>
          <w:sz w:val="24"/>
          <w:szCs w:val="24"/>
          <w:highlight w:val="none"/>
        </w:rPr>
        <w:t>分</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0"/>
        <w:gridCol w:w="1567"/>
        <w:gridCol w:w="5743"/>
        <w:gridCol w:w="1404"/>
      </w:tblGrid>
      <w:tr w14:paraId="62242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vAlign w:val="center"/>
          </w:tcPr>
          <w:p w14:paraId="226CE64A">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1567" w:type="dxa"/>
            <w:vAlign w:val="center"/>
          </w:tcPr>
          <w:p w14:paraId="1FFB8A60">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评分项名称</w:t>
            </w:r>
          </w:p>
        </w:tc>
        <w:tc>
          <w:tcPr>
            <w:tcW w:w="5743" w:type="dxa"/>
            <w:vAlign w:val="center"/>
          </w:tcPr>
          <w:p w14:paraId="68D99249">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1404" w:type="dxa"/>
          </w:tcPr>
          <w:p w14:paraId="39119D55">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分值</w:t>
            </w:r>
          </w:p>
        </w:tc>
      </w:tr>
      <w:tr w14:paraId="3421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vAlign w:val="center"/>
          </w:tcPr>
          <w:p w14:paraId="30A03DE0">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1</w:t>
            </w:r>
          </w:p>
        </w:tc>
        <w:tc>
          <w:tcPr>
            <w:tcW w:w="1567" w:type="dxa"/>
            <w:vAlign w:val="center"/>
          </w:tcPr>
          <w:p w14:paraId="6F569FA4">
            <w:pPr>
              <w:spacing w:line="360" w:lineRule="auto"/>
              <w:jc w:val="center"/>
              <w:rPr>
                <w:rFonts w:ascii="宋体" w:hAnsi="宋体" w:cs="宋体"/>
                <w:b/>
                <w:sz w:val="24"/>
                <w:szCs w:val="24"/>
                <w:highlight w:val="none"/>
              </w:rPr>
            </w:pPr>
            <w:r>
              <w:rPr>
                <w:rFonts w:hint="eastAsia" w:cs="宋体" w:asciiTheme="minorEastAsia" w:hAnsiTheme="minorEastAsia"/>
                <w:szCs w:val="21"/>
                <w:highlight w:val="none"/>
              </w:rPr>
              <w:t>人员服务能力-项目经理</w:t>
            </w:r>
          </w:p>
        </w:tc>
        <w:tc>
          <w:tcPr>
            <w:tcW w:w="5743" w:type="dxa"/>
            <w:vAlign w:val="center"/>
          </w:tcPr>
          <w:p w14:paraId="2C83F10D">
            <w:pPr>
              <w:spacing w:line="276" w:lineRule="auto"/>
              <w:rPr>
                <w:rFonts w:asciiTheme="minorEastAsia" w:hAnsiTheme="minorEastAsia"/>
                <w:szCs w:val="21"/>
                <w:highlight w:val="none"/>
              </w:rPr>
            </w:pPr>
            <w:r>
              <w:rPr>
                <w:rFonts w:asciiTheme="minorEastAsia" w:hAnsiTheme="minorEastAsia"/>
                <w:szCs w:val="21"/>
                <w:highlight w:val="none"/>
              </w:rPr>
              <w:t>项目</w:t>
            </w:r>
            <w:r>
              <w:rPr>
                <w:rFonts w:hint="eastAsia" w:asciiTheme="minorEastAsia" w:hAnsiTheme="minorEastAsia"/>
                <w:szCs w:val="21"/>
                <w:highlight w:val="none"/>
              </w:rPr>
              <w:t>经理：</w:t>
            </w:r>
          </w:p>
          <w:p w14:paraId="6CB15987">
            <w:pPr>
              <w:spacing w:line="276" w:lineRule="auto"/>
              <w:rPr>
                <w:rFonts w:asciiTheme="minorEastAsia" w:hAnsiTheme="minorEastAsia"/>
                <w:szCs w:val="21"/>
                <w:highlight w:val="none"/>
              </w:rPr>
            </w:pPr>
            <w:r>
              <w:rPr>
                <w:rFonts w:asciiTheme="minorEastAsia" w:hAnsiTheme="minorEastAsia"/>
                <w:szCs w:val="21"/>
                <w:highlight w:val="none"/>
              </w:rPr>
              <w:t>1）具有信息系统项目管理师证书</w:t>
            </w:r>
            <w:r>
              <w:rPr>
                <w:rFonts w:hint="eastAsia" w:asciiTheme="minorEastAsia" w:hAnsiTheme="minorEastAsia"/>
                <w:szCs w:val="21"/>
                <w:highlight w:val="none"/>
              </w:rPr>
              <w:t>的</w:t>
            </w:r>
            <w:r>
              <w:rPr>
                <w:rFonts w:asciiTheme="minorEastAsia" w:hAnsiTheme="minorEastAsia"/>
                <w:szCs w:val="21"/>
                <w:highlight w:val="none"/>
              </w:rPr>
              <w:t>得1分；</w:t>
            </w:r>
          </w:p>
          <w:p w14:paraId="03CFCF64">
            <w:pPr>
              <w:spacing w:line="276" w:lineRule="auto"/>
              <w:rPr>
                <w:rFonts w:asciiTheme="minorEastAsia" w:hAnsiTheme="minorEastAsia"/>
                <w:szCs w:val="21"/>
                <w:highlight w:val="none"/>
              </w:rPr>
            </w:pPr>
            <w:r>
              <w:rPr>
                <w:rFonts w:asciiTheme="minorEastAsia" w:hAnsiTheme="minorEastAsia"/>
                <w:szCs w:val="21"/>
                <w:highlight w:val="none"/>
              </w:rPr>
              <w:t>2）具有系统规划与管理师证书</w:t>
            </w:r>
            <w:r>
              <w:rPr>
                <w:rFonts w:hint="eastAsia" w:asciiTheme="minorEastAsia" w:hAnsiTheme="minorEastAsia"/>
                <w:szCs w:val="21"/>
                <w:highlight w:val="none"/>
              </w:rPr>
              <w:t>的</w:t>
            </w:r>
            <w:r>
              <w:rPr>
                <w:rFonts w:asciiTheme="minorEastAsia" w:hAnsiTheme="minorEastAsia"/>
                <w:szCs w:val="21"/>
                <w:highlight w:val="none"/>
              </w:rPr>
              <w:t>得1分；</w:t>
            </w:r>
          </w:p>
          <w:p w14:paraId="456D6704">
            <w:pPr>
              <w:spacing w:line="276" w:lineRule="auto"/>
              <w:rPr>
                <w:rFonts w:asciiTheme="minorEastAsia" w:hAnsiTheme="minorEastAsia"/>
                <w:szCs w:val="21"/>
                <w:highlight w:val="none"/>
              </w:rPr>
            </w:pPr>
            <w:r>
              <w:rPr>
                <w:rFonts w:asciiTheme="minorEastAsia" w:hAnsiTheme="minorEastAsia"/>
                <w:szCs w:val="21"/>
                <w:highlight w:val="none"/>
              </w:rPr>
              <w:t>3）</w:t>
            </w:r>
            <w:r>
              <w:rPr>
                <w:rFonts w:hint="eastAsia" w:asciiTheme="minorEastAsia" w:hAnsiTheme="minorEastAsia"/>
                <w:szCs w:val="21"/>
                <w:highlight w:val="none"/>
              </w:rPr>
              <w:t>具有注册信息安全专业人员（CISP）证书的得1分；</w:t>
            </w:r>
          </w:p>
          <w:p w14:paraId="6BC2A7BC">
            <w:pPr>
              <w:spacing w:line="276" w:lineRule="auto"/>
              <w:rPr>
                <w:rFonts w:asciiTheme="minorEastAsia" w:hAnsiTheme="minorEastAsia"/>
                <w:szCs w:val="21"/>
                <w:highlight w:val="none"/>
              </w:rPr>
            </w:pPr>
            <w:r>
              <w:rPr>
                <w:rFonts w:asciiTheme="minorEastAsia" w:hAnsiTheme="minorEastAsia"/>
                <w:szCs w:val="21"/>
                <w:highlight w:val="none"/>
              </w:rPr>
              <w:t>4）具有通信专业技术人员职业水平证书（终端与业务专业相关）</w:t>
            </w:r>
            <w:r>
              <w:rPr>
                <w:rFonts w:hint="eastAsia" w:asciiTheme="minorEastAsia" w:hAnsiTheme="minorEastAsia"/>
                <w:szCs w:val="21"/>
                <w:highlight w:val="none"/>
              </w:rPr>
              <w:t>的</w:t>
            </w:r>
            <w:r>
              <w:rPr>
                <w:rFonts w:asciiTheme="minorEastAsia" w:hAnsiTheme="minorEastAsia"/>
                <w:szCs w:val="21"/>
                <w:highlight w:val="none"/>
              </w:rPr>
              <w:t>得1分</w:t>
            </w:r>
            <w:r>
              <w:rPr>
                <w:rFonts w:hint="eastAsia" w:asciiTheme="minorEastAsia" w:hAnsiTheme="minorEastAsia"/>
                <w:szCs w:val="21"/>
                <w:highlight w:val="none"/>
              </w:rPr>
              <w:t>。</w:t>
            </w:r>
          </w:p>
          <w:p w14:paraId="3429FB59">
            <w:pPr>
              <w:spacing w:line="276" w:lineRule="auto"/>
              <w:rPr>
                <w:rFonts w:asciiTheme="minorEastAsia" w:hAnsiTheme="minorEastAsia"/>
                <w:szCs w:val="21"/>
                <w:highlight w:val="none"/>
              </w:rPr>
            </w:pPr>
            <w:r>
              <w:rPr>
                <w:rFonts w:hint="eastAsia" w:asciiTheme="minorEastAsia" w:hAnsiTheme="minorEastAsia"/>
                <w:szCs w:val="21"/>
                <w:highlight w:val="none"/>
              </w:rPr>
              <w:t>提供有效证书扫描件、投标截止时间前3个月内任意一期投标人为其缴纳的社保证明，未按要求提供或提供不全不得分。</w:t>
            </w:r>
          </w:p>
        </w:tc>
        <w:tc>
          <w:tcPr>
            <w:tcW w:w="1404" w:type="dxa"/>
            <w:vAlign w:val="center"/>
          </w:tcPr>
          <w:p w14:paraId="1738EDEF">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4</w:t>
            </w:r>
          </w:p>
        </w:tc>
      </w:tr>
      <w:tr w14:paraId="25CDF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vAlign w:val="center"/>
          </w:tcPr>
          <w:p w14:paraId="48671CFD">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2</w:t>
            </w:r>
          </w:p>
        </w:tc>
        <w:tc>
          <w:tcPr>
            <w:tcW w:w="1567" w:type="dxa"/>
            <w:shd w:val="clear" w:color="auto" w:fill="auto"/>
            <w:vAlign w:val="center"/>
          </w:tcPr>
          <w:p w14:paraId="5B997CDB">
            <w:pPr>
              <w:spacing w:line="360" w:lineRule="auto"/>
              <w:jc w:val="center"/>
              <w:rPr>
                <w:rFonts w:ascii="宋体" w:hAnsi="宋体" w:cs="宋体"/>
                <w:b/>
                <w:sz w:val="24"/>
                <w:szCs w:val="24"/>
                <w:highlight w:val="none"/>
              </w:rPr>
            </w:pPr>
            <w:r>
              <w:rPr>
                <w:rFonts w:hint="eastAsia" w:cs="宋体" w:asciiTheme="minorEastAsia" w:hAnsiTheme="minorEastAsia"/>
                <w:szCs w:val="21"/>
                <w:highlight w:val="none"/>
              </w:rPr>
              <w:t>人员服务能力-</w:t>
            </w:r>
            <w:r>
              <w:rPr>
                <w:rFonts w:asciiTheme="minorEastAsia" w:hAnsiTheme="minorEastAsia"/>
                <w:szCs w:val="21"/>
                <w:highlight w:val="none"/>
              </w:rPr>
              <w:t>技术负责人</w:t>
            </w:r>
          </w:p>
        </w:tc>
        <w:tc>
          <w:tcPr>
            <w:tcW w:w="5743" w:type="dxa"/>
            <w:vAlign w:val="center"/>
          </w:tcPr>
          <w:p w14:paraId="259EE760">
            <w:pPr>
              <w:spacing w:line="276" w:lineRule="auto"/>
              <w:rPr>
                <w:rFonts w:asciiTheme="minorEastAsia" w:hAnsiTheme="minorEastAsia"/>
                <w:szCs w:val="21"/>
                <w:highlight w:val="none"/>
              </w:rPr>
            </w:pPr>
            <w:r>
              <w:rPr>
                <w:rFonts w:asciiTheme="minorEastAsia" w:hAnsiTheme="minorEastAsia"/>
                <w:szCs w:val="21"/>
                <w:highlight w:val="none"/>
              </w:rPr>
              <w:t>技术负责人</w:t>
            </w:r>
            <w:r>
              <w:rPr>
                <w:rFonts w:hint="eastAsia" w:asciiTheme="minorEastAsia" w:hAnsiTheme="minorEastAsia"/>
                <w:szCs w:val="21"/>
                <w:highlight w:val="none"/>
              </w:rPr>
              <w:t>：</w:t>
            </w:r>
          </w:p>
          <w:p w14:paraId="1C212239">
            <w:pPr>
              <w:spacing w:line="276" w:lineRule="auto"/>
              <w:rPr>
                <w:rFonts w:asciiTheme="minorEastAsia" w:hAnsiTheme="minorEastAsia"/>
                <w:szCs w:val="21"/>
                <w:highlight w:val="none"/>
              </w:rPr>
            </w:pPr>
            <w:r>
              <w:rPr>
                <w:rFonts w:asciiTheme="minorEastAsia" w:hAnsiTheme="minorEastAsia"/>
                <w:szCs w:val="21"/>
                <w:highlight w:val="none"/>
              </w:rPr>
              <w:t>1）具有</w:t>
            </w:r>
            <w:r>
              <w:rPr>
                <w:rFonts w:hint="eastAsia" w:asciiTheme="minorEastAsia" w:hAnsiTheme="minorEastAsia"/>
                <w:szCs w:val="21"/>
                <w:highlight w:val="none"/>
              </w:rPr>
              <w:t>网络</w:t>
            </w:r>
            <w:r>
              <w:rPr>
                <w:rFonts w:asciiTheme="minorEastAsia" w:hAnsiTheme="minorEastAsia"/>
                <w:szCs w:val="21"/>
                <w:highlight w:val="none"/>
              </w:rPr>
              <w:t>工程师证书的得1分</w:t>
            </w:r>
            <w:r>
              <w:rPr>
                <w:rFonts w:hint="eastAsia" w:asciiTheme="minorEastAsia" w:hAnsiTheme="minorEastAsia"/>
                <w:szCs w:val="21"/>
                <w:highlight w:val="none"/>
              </w:rPr>
              <w:t>；</w:t>
            </w:r>
          </w:p>
          <w:p w14:paraId="6E79A209">
            <w:pPr>
              <w:spacing w:line="276" w:lineRule="auto"/>
              <w:rPr>
                <w:rFonts w:asciiTheme="minorEastAsia" w:hAnsiTheme="minorEastAsia"/>
                <w:szCs w:val="21"/>
                <w:highlight w:val="none"/>
              </w:rPr>
            </w:pPr>
            <w:r>
              <w:rPr>
                <w:rFonts w:hint="eastAsia" w:asciiTheme="minorEastAsia" w:hAnsiTheme="minorEastAsia"/>
                <w:szCs w:val="21"/>
                <w:highlight w:val="none"/>
              </w:rPr>
              <w:t>2）具有系统集成项目管理工程师证书的得</w:t>
            </w:r>
            <w:r>
              <w:rPr>
                <w:rFonts w:asciiTheme="minorEastAsia" w:hAnsiTheme="minorEastAsia"/>
                <w:szCs w:val="21"/>
                <w:highlight w:val="none"/>
              </w:rPr>
              <w:t>1</w:t>
            </w:r>
            <w:r>
              <w:rPr>
                <w:rFonts w:hint="eastAsia" w:asciiTheme="minorEastAsia" w:hAnsiTheme="minorEastAsia"/>
                <w:szCs w:val="21"/>
                <w:highlight w:val="none"/>
              </w:rPr>
              <w:t>分；</w:t>
            </w:r>
          </w:p>
          <w:p w14:paraId="4B9DAB3B">
            <w:pPr>
              <w:spacing w:line="276" w:lineRule="auto"/>
              <w:rPr>
                <w:rFonts w:asciiTheme="minorEastAsia" w:hAnsiTheme="minorEastAsia"/>
                <w:szCs w:val="21"/>
                <w:highlight w:val="none"/>
              </w:rPr>
            </w:pPr>
            <w:r>
              <w:rPr>
                <w:rFonts w:asciiTheme="minorEastAsia" w:hAnsiTheme="minorEastAsia"/>
                <w:szCs w:val="21"/>
                <w:highlight w:val="none"/>
              </w:rPr>
              <w:t>3）具有</w:t>
            </w:r>
            <w:r>
              <w:rPr>
                <w:rFonts w:hint="eastAsia" w:asciiTheme="minorEastAsia" w:hAnsiTheme="minorEastAsia"/>
                <w:szCs w:val="21"/>
                <w:highlight w:val="none"/>
              </w:rPr>
              <w:t>信息系统项目管理师</w:t>
            </w:r>
            <w:r>
              <w:rPr>
                <w:rFonts w:asciiTheme="minorEastAsia" w:hAnsiTheme="minorEastAsia"/>
                <w:szCs w:val="21"/>
                <w:highlight w:val="none"/>
              </w:rPr>
              <w:t>证书的得1分</w:t>
            </w:r>
            <w:r>
              <w:rPr>
                <w:rFonts w:hint="eastAsia" w:asciiTheme="minorEastAsia" w:hAnsiTheme="minorEastAsia"/>
                <w:szCs w:val="21"/>
                <w:highlight w:val="none"/>
              </w:rPr>
              <w:t>；</w:t>
            </w:r>
          </w:p>
          <w:p w14:paraId="77392197">
            <w:pPr>
              <w:spacing w:line="276" w:lineRule="auto"/>
              <w:rPr>
                <w:rFonts w:asciiTheme="minorEastAsia" w:hAnsiTheme="minorEastAsia"/>
                <w:szCs w:val="21"/>
                <w:highlight w:val="none"/>
              </w:rPr>
            </w:pPr>
            <w:r>
              <w:rPr>
                <w:rFonts w:hint="eastAsia" w:asciiTheme="minorEastAsia" w:hAnsiTheme="minorEastAsia"/>
                <w:szCs w:val="21"/>
                <w:highlight w:val="none"/>
              </w:rPr>
              <w:t>4）具有系统分析师证书的得</w:t>
            </w:r>
            <w:r>
              <w:rPr>
                <w:rFonts w:asciiTheme="minorEastAsia" w:hAnsiTheme="minorEastAsia"/>
                <w:szCs w:val="21"/>
                <w:highlight w:val="none"/>
              </w:rPr>
              <w:t>1</w:t>
            </w:r>
            <w:r>
              <w:rPr>
                <w:rFonts w:hint="eastAsia" w:asciiTheme="minorEastAsia" w:hAnsiTheme="minorEastAsia"/>
                <w:szCs w:val="21"/>
                <w:highlight w:val="none"/>
              </w:rPr>
              <w:t>分。</w:t>
            </w:r>
          </w:p>
          <w:p w14:paraId="0A3558D2">
            <w:pPr>
              <w:jc w:val="left"/>
              <w:rPr>
                <w:rFonts w:ascii="宋体" w:hAnsi="宋体" w:eastAsia="宋体" w:cs="宋体"/>
                <w:b/>
                <w:sz w:val="24"/>
                <w:szCs w:val="24"/>
                <w:highlight w:val="none"/>
              </w:rPr>
            </w:pPr>
            <w:r>
              <w:rPr>
                <w:rFonts w:hint="eastAsia" w:asciiTheme="minorEastAsia" w:hAnsiTheme="minorEastAsia"/>
                <w:szCs w:val="21"/>
                <w:highlight w:val="none"/>
              </w:rPr>
              <w:t>提供有效证书扫描件、投标截止时间前3个月内任意一期投标人为其缴纳的社保证明，未按要求提供或提供不全不得分。</w:t>
            </w:r>
          </w:p>
        </w:tc>
        <w:tc>
          <w:tcPr>
            <w:tcW w:w="1404" w:type="dxa"/>
            <w:vAlign w:val="center"/>
          </w:tcPr>
          <w:p w14:paraId="049F7DF0">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4</w:t>
            </w:r>
          </w:p>
        </w:tc>
      </w:tr>
      <w:tr w14:paraId="4F821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vAlign w:val="center"/>
          </w:tcPr>
          <w:p w14:paraId="0196775D">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3</w:t>
            </w:r>
          </w:p>
        </w:tc>
        <w:tc>
          <w:tcPr>
            <w:tcW w:w="1567" w:type="dxa"/>
            <w:shd w:val="clear" w:color="auto" w:fill="auto"/>
            <w:vAlign w:val="center"/>
          </w:tcPr>
          <w:p w14:paraId="66153C77">
            <w:pPr>
              <w:spacing w:line="360" w:lineRule="auto"/>
              <w:jc w:val="center"/>
              <w:rPr>
                <w:rFonts w:ascii="宋体" w:hAnsi="宋体" w:cs="宋体"/>
                <w:b/>
                <w:sz w:val="24"/>
                <w:szCs w:val="24"/>
                <w:highlight w:val="none"/>
              </w:rPr>
            </w:pPr>
            <w:r>
              <w:rPr>
                <w:rFonts w:hint="eastAsia" w:cs="宋体" w:asciiTheme="minorEastAsia" w:hAnsiTheme="minorEastAsia"/>
                <w:szCs w:val="21"/>
                <w:highlight w:val="none"/>
              </w:rPr>
              <w:t>人员服务能力-</w:t>
            </w:r>
            <w:r>
              <w:rPr>
                <w:rFonts w:hint="eastAsia" w:asciiTheme="minorEastAsia" w:hAnsiTheme="minorEastAsia"/>
                <w:szCs w:val="21"/>
                <w:highlight w:val="none"/>
              </w:rPr>
              <w:t>其他项目实施成员</w:t>
            </w:r>
          </w:p>
        </w:tc>
        <w:tc>
          <w:tcPr>
            <w:tcW w:w="5743" w:type="dxa"/>
            <w:vAlign w:val="center"/>
          </w:tcPr>
          <w:p w14:paraId="1CDFF2BB">
            <w:pPr>
              <w:spacing w:line="276" w:lineRule="auto"/>
              <w:rPr>
                <w:rFonts w:asciiTheme="minorEastAsia" w:hAnsiTheme="minorEastAsia"/>
                <w:color w:val="auto"/>
                <w:szCs w:val="21"/>
                <w:highlight w:val="none"/>
              </w:rPr>
            </w:pPr>
            <w:r>
              <w:rPr>
                <w:rFonts w:hint="eastAsia" w:asciiTheme="minorEastAsia" w:hAnsiTheme="minorEastAsia"/>
                <w:color w:val="auto"/>
                <w:szCs w:val="21"/>
                <w:highlight w:val="none"/>
              </w:rPr>
              <w:t>其他项目实施成员</w:t>
            </w:r>
            <w:r>
              <w:rPr>
                <w:rFonts w:asciiTheme="minorEastAsia" w:hAnsiTheme="minorEastAsia"/>
                <w:color w:val="auto"/>
                <w:szCs w:val="21"/>
                <w:highlight w:val="none"/>
              </w:rPr>
              <w:t>（除项目</w:t>
            </w:r>
            <w:r>
              <w:rPr>
                <w:rFonts w:hint="eastAsia" w:asciiTheme="minorEastAsia" w:hAnsiTheme="minorEastAsia"/>
                <w:color w:val="auto"/>
                <w:szCs w:val="21"/>
                <w:highlight w:val="none"/>
              </w:rPr>
              <w:t>经理</w:t>
            </w:r>
            <w:r>
              <w:rPr>
                <w:rFonts w:asciiTheme="minorEastAsia" w:hAnsiTheme="minorEastAsia"/>
                <w:color w:val="auto"/>
                <w:szCs w:val="21"/>
                <w:highlight w:val="none"/>
              </w:rPr>
              <w:t>和技术负责人</w:t>
            </w:r>
            <w:r>
              <w:rPr>
                <w:rFonts w:hint="eastAsia" w:asciiTheme="minorEastAsia" w:hAnsiTheme="minorEastAsia"/>
                <w:color w:val="auto"/>
                <w:szCs w:val="21"/>
                <w:highlight w:val="none"/>
              </w:rPr>
              <w:t>外，如存在一人多证情形，不重复计分）：</w:t>
            </w:r>
          </w:p>
          <w:p w14:paraId="2C456EDC">
            <w:pPr>
              <w:spacing w:line="276" w:lineRule="auto"/>
              <w:rPr>
                <w:rFonts w:asciiTheme="minorEastAsia" w:hAnsiTheme="minorEastAsia"/>
                <w:color w:val="auto"/>
                <w:szCs w:val="21"/>
                <w:highlight w:val="none"/>
              </w:rPr>
            </w:pPr>
            <w:r>
              <w:rPr>
                <w:rFonts w:asciiTheme="minorEastAsia" w:hAnsiTheme="minorEastAsia"/>
                <w:color w:val="auto"/>
                <w:szCs w:val="21"/>
                <w:highlight w:val="none"/>
              </w:rPr>
              <w:t>1）具有</w:t>
            </w:r>
            <w:r>
              <w:rPr>
                <w:rFonts w:hint="eastAsia" w:asciiTheme="minorEastAsia" w:hAnsiTheme="minorEastAsia"/>
                <w:color w:val="auto"/>
                <w:szCs w:val="21"/>
                <w:highlight w:val="none"/>
              </w:rPr>
              <w:t>数据库系统工程</w:t>
            </w:r>
            <w:r>
              <w:rPr>
                <w:rFonts w:asciiTheme="minorEastAsia" w:hAnsiTheme="minorEastAsia"/>
                <w:color w:val="auto"/>
                <w:szCs w:val="21"/>
                <w:highlight w:val="none"/>
              </w:rPr>
              <w:t>师证书的得1分；</w:t>
            </w:r>
          </w:p>
          <w:p w14:paraId="3C685D48">
            <w:pPr>
              <w:spacing w:line="276" w:lineRule="auto"/>
              <w:rPr>
                <w:rFonts w:asciiTheme="minorEastAsia" w:hAnsiTheme="minorEastAsia"/>
                <w:color w:val="auto"/>
                <w:szCs w:val="21"/>
                <w:highlight w:val="none"/>
              </w:rPr>
            </w:pPr>
            <w:r>
              <w:rPr>
                <w:rFonts w:asciiTheme="minorEastAsia" w:hAnsiTheme="minorEastAsia"/>
                <w:color w:val="auto"/>
                <w:szCs w:val="21"/>
                <w:highlight w:val="none"/>
              </w:rPr>
              <w:t>2）具有网络工程师证书的得1分；</w:t>
            </w:r>
          </w:p>
          <w:p w14:paraId="5D9CF00D">
            <w:pPr>
              <w:spacing w:line="276" w:lineRule="auto"/>
              <w:rPr>
                <w:rFonts w:asciiTheme="minorEastAsia" w:hAnsiTheme="minorEastAsia"/>
                <w:color w:val="auto"/>
                <w:szCs w:val="21"/>
                <w:highlight w:val="none"/>
              </w:rPr>
            </w:pPr>
            <w:r>
              <w:rPr>
                <w:rFonts w:asciiTheme="minorEastAsia" w:hAnsiTheme="minorEastAsia"/>
                <w:color w:val="auto"/>
                <w:szCs w:val="21"/>
                <w:highlight w:val="none"/>
              </w:rPr>
              <w:t>3）具有</w:t>
            </w:r>
            <w:r>
              <w:rPr>
                <w:rFonts w:hint="eastAsia" w:asciiTheme="minorEastAsia" w:hAnsiTheme="minorEastAsia"/>
                <w:color w:val="auto"/>
                <w:szCs w:val="21"/>
                <w:highlight w:val="none"/>
              </w:rPr>
              <w:t>CISAW信息安全保障人员证书（安全运维）</w:t>
            </w:r>
            <w:r>
              <w:rPr>
                <w:rFonts w:asciiTheme="minorEastAsia" w:hAnsiTheme="minorEastAsia"/>
                <w:color w:val="auto"/>
                <w:szCs w:val="21"/>
                <w:highlight w:val="none"/>
              </w:rPr>
              <w:t>证书的</w:t>
            </w:r>
            <w:r>
              <w:rPr>
                <w:rFonts w:hint="eastAsia" w:asciiTheme="minorEastAsia" w:hAnsiTheme="minorEastAsia"/>
                <w:color w:val="auto"/>
                <w:szCs w:val="21"/>
                <w:highlight w:val="none"/>
              </w:rPr>
              <w:t>得1分。</w:t>
            </w:r>
          </w:p>
          <w:p w14:paraId="165FE462">
            <w:pPr>
              <w:spacing w:line="276" w:lineRule="auto"/>
              <w:rPr>
                <w:rFonts w:asciiTheme="minorEastAsia" w:hAnsiTheme="minorEastAsia"/>
                <w:color w:val="auto"/>
                <w:szCs w:val="21"/>
                <w:highlight w:val="none"/>
              </w:rPr>
            </w:pPr>
            <w:r>
              <w:rPr>
                <w:rFonts w:hint="eastAsia" w:asciiTheme="minorEastAsia" w:hAnsiTheme="minorEastAsia"/>
                <w:color w:val="auto"/>
                <w:szCs w:val="21"/>
                <w:highlight w:val="none"/>
              </w:rPr>
              <w:t>提供人员有效证书扫描件、投标截止时间前3个月内任意一期投标人为其缴纳的社保证明，未按要求提供或提供不全不得分。</w:t>
            </w:r>
          </w:p>
        </w:tc>
        <w:tc>
          <w:tcPr>
            <w:tcW w:w="1404" w:type="dxa"/>
            <w:vAlign w:val="center"/>
          </w:tcPr>
          <w:p w14:paraId="193BA2F4">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3</w:t>
            </w:r>
          </w:p>
        </w:tc>
      </w:tr>
      <w:tr w14:paraId="1FB79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vAlign w:val="center"/>
          </w:tcPr>
          <w:p w14:paraId="2B85D764">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4</w:t>
            </w:r>
          </w:p>
        </w:tc>
        <w:tc>
          <w:tcPr>
            <w:tcW w:w="1567" w:type="dxa"/>
            <w:vAlign w:val="center"/>
          </w:tcPr>
          <w:p w14:paraId="1DBEDBBB">
            <w:pPr>
              <w:spacing w:line="360" w:lineRule="auto"/>
              <w:jc w:val="center"/>
              <w:rPr>
                <w:rFonts w:cs="宋体" w:asciiTheme="minorEastAsia" w:hAnsiTheme="minorEastAsia"/>
                <w:szCs w:val="21"/>
                <w:highlight w:val="none"/>
              </w:rPr>
            </w:pPr>
            <w:r>
              <w:rPr>
                <w:rFonts w:hint="eastAsia" w:cs="宋体" w:asciiTheme="minorEastAsia" w:hAnsiTheme="minorEastAsia"/>
                <w:szCs w:val="21"/>
                <w:highlight w:val="none"/>
              </w:rPr>
              <w:t>管理体系认证</w:t>
            </w:r>
          </w:p>
        </w:tc>
        <w:tc>
          <w:tcPr>
            <w:tcW w:w="5743" w:type="dxa"/>
            <w:vAlign w:val="center"/>
          </w:tcPr>
          <w:p w14:paraId="2C312DB8">
            <w:pPr>
              <w:widowControl/>
              <w:jc w:val="lef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投标人具有信息技术服务管理体系认证证书和信息安全管理体系认证证书，每提供一份得</w:t>
            </w:r>
            <w:r>
              <w:rPr>
                <w:rFonts w:cs="宋体" w:asciiTheme="minorEastAsia" w:hAnsiTheme="minorEastAsia"/>
                <w:color w:val="auto"/>
                <w:szCs w:val="21"/>
                <w:highlight w:val="none"/>
              </w:rPr>
              <w:t>1</w:t>
            </w:r>
            <w:r>
              <w:rPr>
                <w:rFonts w:hint="eastAsia" w:cs="宋体" w:asciiTheme="minorEastAsia" w:hAnsiTheme="minorEastAsia"/>
                <w:color w:val="auto"/>
                <w:szCs w:val="21"/>
                <w:highlight w:val="none"/>
              </w:rPr>
              <w:t>分；最高得</w:t>
            </w:r>
            <w:r>
              <w:rPr>
                <w:rFonts w:hint="eastAsia" w:cs="宋体" w:asciiTheme="minorEastAsia" w:hAnsiTheme="minorEastAsia"/>
                <w:color w:val="auto"/>
                <w:szCs w:val="21"/>
                <w:highlight w:val="none"/>
                <w:lang w:val="en-US" w:eastAsia="zh-CN"/>
              </w:rPr>
              <w:t>2</w:t>
            </w:r>
            <w:r>
              <w:rPr>
                <w:rFonts w:hint="eastAsia" w:cs="宋体" w:asciiTheme="minorEastAsia" w:hAnsiTheme="minorEastAsia"/>
                <w:color w:val="auto"/>
                <w:szCs w:val="21"/>
                <w:highlight w:val="none"/>
              </w:rPr>
              <w:t>分。</w:t>
            </w:r>
          </w:p>
          <w:p w14:paraId="022BF852">
            <w:pPr>
              <w:jc w:val="left"/>
              <w:rPr>
                <w:rFonts w:ascii="宋体" w:hAnsi="宋体" w:eastAsia="宋体" w:cs="宋体"/>
                <w:b/>
                <w:color w:val="auto"/>
                <w:sz w:val="24"/>
                <w:szCs w:val="24"/>
                <w:highlight w:val="none"/>
              </w:rPr>
            </w:pPr>
            <w:r>
              <w:rPr>
                <w:rFonts w:hint="eastAsia" w:cs="宋体" w:asciiTheme="minorEastAsia" w:hAnsiTheme="minorEastAsia"/>
                <w:color w:val="auto"/>
                <w:szCs w:val="21"/>
                <w:highlight w:val="none"/>
              </w:rPr>
              <w:t>注：提供有效证书</w:t>
            </w:r>
            <w:r>
              <w:rPr>
                <w:rFonts w:hint="eastAsia" w:asciiTheme="minorEastAsia" w:hAnsiTheme="minorEastAsia"/>
                <w:color w:val="auto"/>
                <w:szCs w:val="21"/>
                <w:highlight w:val="none"/>
              </w:rPr>
              <w:t>扫描件</w:t>
            </w:r>
            <w:r>
              <w:rPr>
                <w:rFonts w:hint="eastAsia" w:cs="宋体" w:asciiTheme="minorEastAsia" w:hAnsiTheme="minorEastAsia"/>
                <w:color w:val="auto"/>
                <w:szCs w:val="21"/>
                <w:highlight w:val="none"/>
              </w:rPr>
              <w:t>并加盖投标人公章</w:t>
            </w:r>
            <w:r>
              <w:rPr>
                <w:rFonts w:hint="eastAsia" w:asciiTheme="minorEastAsia" w:hAnsiTheme="minorEastAsia"/>
                <w:color w:val="auto"/>
                <w:szCs w:val="21"/>
                <w:highlight w:val="none"/>
              </w:rPr>
              <w:t>，未按要求提供或提供不全不得分。</w:t>
            </w:r>
          </w:p>
        </w:tc>
        <w:tc>
          <w:tcPr>
            <w:tcW w:w="1404" w:type="dxa"/>
            <w:vAlign w:val="center"/>
          </w:tcPr>
          <w:p w14:paraId="41603B71">
            <w:pPr>
              <w:spacing w:line="360" w:lineRule="auto"/>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2</w:t>
            </w:r>
          </w:p>
        </w:tc>
      </w:tr>
      <w:tr w14:paraId="34642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0" w:type="dxa"/>
            <w:vAlign w:val="center"/>
          </w:tcPr>
          <w:p w14:paraId="6BB7F8BA">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5</w:t>
            </w:r>
          </w:p>
        </w:tc>
        <w:tc>
          <w:tcPr>
            <w:tcW w:w="1567" w:type="dxa"/>
            <w:vAlign w:val="center"/>
          </w:tcPr>
          <w:p w14:paraId="6A746F1F">
            <w:pPr>
              <w:spacing w:line="360" w:lineRule="auto"/>
              <w:jc w:val="center"/>
              <w:rPr>
                <w:rFonts w:cs="宋体" w:asciiTheme="minorEastAsia" w:hAnsiTheme="minorEastAsia"/>
                <w:szCs w:val="21"/>
                <w:highlight w:val="none"/>
              </w:rPr>
            </w:pPr>
            <w:r>
              <w:rPr>
                <w:rFonts w:hint="eastAsia" w:cs="宋体" w:asciiTheme="minorEastAsia" w:hAnsiTheme="minorEastAsia"/>
                <w:szCs w:val="21"/>
                <w:highlight w:val="none"/>
              </w:rPr>
              <w:t>投标人综合能力</w:t>
            </w:r>
          </w:p>
        </w:tc>
        <w:tc>
          <w:tcPr>
            <w:tcW w:w="5743" w:type="dxa"/>
            <w:vAlign w:val="center"/>
          </w:tcPr>
          <w:p w14:paraId="71605CCB">
            <w:pPr>
              <w:widowControl/>
              <w:jc w:val="left"/>
              <w:rPr>
                <w:rFonts w:cs="宋体" w:asciiTheme="minorEastAsia" w:hAnsiTheme="minorEastAsia"/>
                <w:color w:val="auto"/>
                <w:szCs w:val="21"/>
                <w:highlight w:val="none"/>
              </w:rPr>
            </w:pPr>
            <w:bookmarkStart w:id="94" w:name="OLE_LINK60"/>
            <w:bookmarkStart w:id="95" w:name="OLE_LINK57"/>
            <w:bookmarkStart w:id="96" w:name="OLE_LINK61"/>
            <w:r>
              <w:rPr>
                <w:rFonts w:hint="eastAsia" w:cs="宋体" w:asciiTheme="minorEastAsia" w:hAnsiTheme="minorEastAsia"/>
                <w:color w:val="auto"/>
                <w:szCs w:val="21"/>
                <w:highlight w:val="none"/>
              </w:rPr>
              <w:t>投标人具有ITSS信息技术服务运行维护标准符合性证书：一级的得3分；二级及以下的得1分；最高得</w:t>
            </w:r>
            <w:r>
              <w:rPr>
                <w:rFonts w:cs="宋体" w:asciiTheme="minorEastAsia" w:hAnsiTheme="minorEastAsia"/>
                <w:color w:val="auto"/>
                <w:szCs w:val="21"/>
                <w:highlight w:val="none"/>
              </w:rPr>
              <w:t>3</w:t>
            </w:r>
            <w:r>
              <w:rPr>
                <w:rFonts w:hint="eastAsia" w:cs="宋体" w:asciiTheme="minorEastAsia" w:hAnsiTheme="minorEastAsia"/>
                <w:color w:val="auto"/>
                <w:szCs w:val="21"/>
                <w:highlight w:val="none"/>
              </w:rPr>
              <w:t>分。</w:t>
            </w:r>
            <w:bookmarkEnd w:id="94"/>
            <w:bookmarkEnd w:id="95"/>
            <w:bookmarkEnd w:id="96"/>
          </w:p>
          <w:p w14:paraId="5B84B8F8">
            <w:pPr>
              <w:jc w:val="left"/>
              <w:rPr>
                <w:rFonts w:ascii="宋体" w:hAnsi="宋体" w:eastAsia="宋体" w:cs="宋体"/>
                <w:b/>
                <w:color w:val="auto"/>
                <w:sz w:val="24"/>
                <w:szCs w:val="24"/>
                <w:highlight w:val="none"/>
              </w:rPr>
            </w:pPr>
            <w:r>
              <w:rPr>
                <w:rFonts w:hint="eastAsia" w:cs="宋体" w:asciiTheme="minorEastAsia" w:hAnsiTheme="minorEastAsia"/>
                <w:color w:val="auto"/>
                <w:szCs w:val="21"/>
                <w:highlight w:val="none"/>
              </w:rPr>
              <w:t>注：提供有效证书扫描件并加盖投标人公章，未按要求提供或提供不全不得分。</w:t>
            </w:r>
          </w:p>
        </w:tc>
        <w:tc>
          <w:tcPr>
            <w:tcW w:w="1404" w:type="dxa"/>
            <w:vAlign w:val="center"/>
          </w:tcPr>
          <w:p w14:paraId="7C3E9316">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3</w:t>
            </w:r>
          </w:p>
        </w:tc>
      </w:tr>
      <w:tr w14:paraId="49FE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140" w:type="dxa"/>
            <w:vAlign w:val="center"/>
          </w:tcPr>
          <w:p w14:paraId="3EAF2E0F">
            <w:pPr>
              <w:spacing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6</w:t>
            </w:r>
          </w:p>
        </w:tc>
        <w:tc>
          <w:tcPr>
            <w:tcW w:w="1567" w:type="dxa"/>
            <w:vAlign w:val="center"/>
          </w:tcPr>
          <w:p w14:paraId="76350C64">
            <w:pPr>
              <w:spacing w:line="360" w:lineRule="auto"/>
              <w:jc w:val="center"/>
              <w:rPr>
                <w:rFonts w:cs="宋体" w:asciiTheme="minorEastAsia" w:hAnsiTheme="minorEastAsia"/>
                <w:szCs w:val="21"/>
                <w:highlight w:val="none"/>
              </w:rPr>
            </w:pPr>
            <w:r>
              <w:rPr>
                <w:rFonts w:hint="eastAsia" w:asciiTheme="minorEastAsia" w:hAnsiTheme="minorEastAsia"/>
                <w:szCs w:val="21"/>
                <w:highlight w:val="none"/>
              </w:rPr>
              <w:t>类似业绩</w:t>
            </w:r>
          </w:p>
        </w:tc>
        <w:tc>
          <w:tcPr>
            <w:tcW w:w="5743" w:type="dxa"/>
            <w:vAlign w:val="center"/>
          </w:tcPr>
          <w:p w14:paraId="45A79FA4">
            <w:pPr>
              <w:pStyle w:val="172"/>
              <w:widowControl/>
              <w:spacing w:line="276" w:lineRule="auto"/>
              <w:ind w:left="0" w:firstLine="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投标人提供自20</w:t>
            </w:r>
            <w:r>
              <w:rPr>
                <w:rFonts w:cs="宋体" w:asciiTheme="minorEastAsia" w:hAnsiTheme="minorEastAsia" w:eastAsiaTheme="minorEastAsia"/>
                <w:color w:val="auto"/>
                <w:sz w:val="21"/>
                <w:szCs w:val="21"/>
                <w:highlight w:val="none"/>
              </w:rPr>
              <w:t>2</w:t>
            </w:r>
            <w:r>
              <w:rPr>
                <w:rFonts w:hint="eastAsia" w:cs="宋体" w:asciiTheme="minorEastAsia" w:hAnsiTheme="minorEastAsia" w:eastAsiaTheme="minorEastAsia"/>
                <w:color w:val="auto"/>
                <w:sz w:val="21"/>
                <w:szCs w:val="21"/>
                <w:highlight w:val="none"/>
              </w:rPr>
              <w:t>3年1月1日（以合同签订时间为准）至今承担的类似项目业绩，每提供一份得</w:t>
            </w:r>
            <w:r>
              <w:rPr>
                <w:rFonts w:cs="宋体" w:asciiTheme="minorEastAsia" w:hAnsiTheme="minorEastAsia" w:eastAsiaTheme="minorEastAsia"/>
                <w:color w:val="auto"/>
                <w:sz w:val="21"/>
                <w:szCs w:val="21"/>
                <w:highlight w:val="none"/>
              </w:rPr>
              <w:t>1</w:t>
            </w:r>
            <w:r>
              <w:rPr>
                <w:rFonts w:hint="eastAsia" w:cs="宋体" w:asciiTheme="minorEastAsia" w:hAnsiTheme="minorEastAsia" w:eastAsiaTheme="minorEastAsia"/>
                <w:color w:val="auto"/>
                <w:sz w:val="21"/>
                <w:szCs w:val="21"/>
                <w:highlight w:val="none"/>
              </w:rPr>
              <w:t>分；最高得</w:t>
            </w:r>
            <w:r>
              <w:rPr>
                <w:rFonts w:hint="eastAsia" w:cs="宋体" w:asciiTheme="minorEastAsia" w:hAnsiTheme="minorEastAsia" w:eastAsiaTheme="minorEastAsia"/>
                <w:color w:val="auto"/>
                <w:sz w:val="21"/>
                <w:szCs w:val="21"/>
                <w:highlight w:val="none"/>
                <w:lang w:val="en-US" w:eastAsia="zh-CN"/>
              </w:rPr>
              <w:t>2</w:t>
            </w:r>
            <w:r>
              <w:rPr>
                <w:rFonts w:hint="eastAsia" w:cs="宋体" w:asciiTheme="minorEastAsia" w:hAnsiTheme="minorEastAsia" w:eastAsiaTheme="minorEastAsia"/>
                <w:color w:val="auto"/>
                <w:sz w:val="21"/>
                <w:szCs w:val="21"/>
                <w:highlight w:val="none"/>
              </w:rPr>
              <w:t>分。</w:t>
            </w:r>
          </w:p>
          <w:p w14:paraId="3F88E7FD">
            <w:pPr>
              <w:jc w:val="lef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注：提供合同</w:t>
            </w:r>
            <w:r>
              <w:rPr>
                <w:rFonts w:hint="eastAsia" w:asciiTheme="minorEastAsia" w:hAnsiTheme="minorEastAsia"/>
                <w:color w:val="auto"/>
                <w:szCs w:val="21"/>
                <w:highlight w:val="none"/>
              </w:rPr>
              <w:t>扫描件</w:t>
            </w:r>
            <w:r>
              <w:rPr>
                <w:rFonts w:hint="eastAsia" w:cs="宋体" w:asciiTheme="minorEastAsia" w:hAnsiTheme="minorEastAsia"/>
                <w:color w:val="auto"/>
                <w:szCs w:val="21"/>
                <w:highlight w:val="none"/>
              </w:rPr>
              <w:t>并加盖投标人公章</w:t>
            </w:r>
            <w:r>
              <w:rPr>
                <w:rFonts w:hint="eastAsia" w:asciiTheme="minorEastAsia" w:hAnsiTheme="minorEastAsia"/>
                <w:color w:val="auto"/>
                <w:szCs w:val="21"/>
                <w:highlight w:val="none"/>
              </w:rPr>
              <w:t>，未按要求提供或提供不全不得分。</w:t>
            </w:r>
          </w:p>
        </w:tc>
        <w:tc>
          <w:tcPr>
            <w:tcW w:w="1404" w:type="dxa"/>
            <w:vAlign w:val="center"/>
          </w:tcPr>
          <w:p w14:paraId="259A784C">
            <w:pPr>
              <w:spacing w:line="360" w:lineRule="auto"/>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2</w:t>
            </w:r>
          </w:p>
        </w:tc>
      </w:tr>
    </w:tbl>
    <w:p w14:paraId="559DF52E">
      <w:pPr>
        <w:spacing w:line="360" w:lineRule="auto"/>
        <w:ind w:firstLine="482" w:firstLineChars="200"/>
        <w:rPr>
          <w:rFonts w:ascii="宋体" w:hAnsi="宋体" w:eastAsia="宋体" w:cs="宋体"/>
          <w:b/>
          <w:sz w:val="24"/>
          <w:szCs w:val="24"/>
          <w:highlight w:val="none"/>
        </w:rPr>
      </w:pPr>
    </w:p>
    <w:p w14:paraId="1282D457">
      <w:pPr>
        <w:adjustRightInd w:val="0"/>
        <w:spacing w:line="360" w:lineRule="auto"/>
        <w:ind w:firstLine="482" w:firstLineChars="200"/>
        <w:textAlignment w:val="baseline"/>
        <w:rPr>
          <w:rFonts w:ascii="宋体" w:hAnsi="宋体" w:eastAsia="宋体" w:cs="宋体"/>
          <w:b/>
          <w:bCs/>
          <w:sz w:val="24"/>
          <w:szCs w:val="24"/>
          <w:highlight w:val="none"/>
        </w:rPr>
      </w:pPr>
      <w:r>
        <w:rPr>
          <w:rFonts w:hint="eastAsia" w:ascii="宋体" w:hAnsi="宋体" w:eastAsia="宋体" w:cs="宋体"/>
          <w:b/>
          <w:bCs/>
          <w:sz w:val="24"/>
          <w:szCs w:val="24"/>
          <w:highlight w:val="none"/>
        </w:rPr>
        <w:t>说明：</w:t>
      </w:r>
    </w:p>
    <w:p w14:paraId="01D27A47">
      <w:pPr>
        <w:adjustRightInd w:val="0"/>
        <w:spacing w:line="360" w:lineRule="auto"/>
        <w:ind w:firstLine="482" w:firstLineChars="200"/>
        <w:textAlignment w:val="baseline"/>
        <w:rPr>
          <w:rFonts w:ascii="宋体" w:hAnsi="宋体" w:eastAsia="宋体" w:cs="宋体"/>
          <w:b/>
          <w:bCs/>
          <w:sz w:val="24"/>
          <w:szCs w:val="24"/>
          <w:highlight w:val="none"/>
        </w:rPr>
      </w:pPr>
      <w:r>
        <w:rPr>
          <w:rFonts w:hint="eastAsia" w:ascii="宋体" w:hAnsi="宋体" w:eastAsia="宋体" w:cs="宋体"/>
          <w:b/>
          <w:bCs/>
          <w:sz w:val="24"/>
          <w:szCs w:val="24"/>
          <w:highlight w:val="none"/>
        </w:rPr>
        <w:t>针对评分标准中评分的每一条，供应商在投标（响应）文件中均应提供相关资料的清晰扫描件并作出相应说明供评委评判，未提供或提供不完整的视为不具备该项得分的条件。</w:t>
      </w:r>
    </w:p>
    <w:p w14:paraId="13A81FE2">
      <w:pPr>
        <w:adjustRightInd w:val="0"/>
        <w:spacing w:line="360" w:lineRule="auto"/>
        <w:ind w:firstLine="480" w:firstLineChars="200"/>
        <w:textAlignment w:val="baseline"/>
        <w:rPr>
          <w:rFonts w:ascii="宋体" w:hAnsi="宋体" w:eastAsia="宋体" w:cs="宋体"/>
          <w:sz w:val="24"/>
          <w:szCs w:val="24"/>
          <w:highlight w:val="none"/>
        </w:rPr>
      </w:pPr>
      <w:bookmarkStart w:id="97" w:name="_Toc105940243"/>
      <w:bookmarkStart w:id="98" w:name="_Toc48723925"/>
    </w:p>
    <w:p w14:paraId="652ED79D">
      <w:pPr>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r>
    </w:p>
    <w:p w14:paraId="55ECACF0">
      <w:pPr>
        <w:spacing w:line="360" w:lineRule="auto"/>
        <w:ind w:firstLine="482" w:firstLineChars="200"/>
        <w:outlineLvl w:val="1"/>
        <w:rPr>
          <w:rFonts w:ascii="宋体" w:hAnsi="宋体" w:eastAsia="宋体" w:cs="宋体"/>
          <w:b/>
          <w:szCs w:val="21"/>
          <w:highlight w:val="none"/>
        </w:rPr>
      </w:pPr>
      <w:r>
        <w:rPr>
          <w:rFonts w:hint="eastAsia" w:ascii="宋体" w:hAnsi="宋体" w:eastAsia="宋体" w:cs="宋体"/>
          <w:b/>
          <w:bCs/>
          <w:sz w:val="24"/>
          <w:szCs w:val="24"/>
          <w:highlight w:val="none"/>
        </w:rPr>
        <w:t>三、政府采购政策</w:t>
      </w:r>
    </w:p>
    <w:p w14:paraId="43402030">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（一）支持本国产品政策</w:t>
      </w:r>
    </w:p>
    <w:p w14:paraId="7C39957E">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1、根据</w:t>
      </w:r>
      <w:r>
        <w:rPr>
          <w:rFonts w:hint="eastAsia" w:ascii="宋体" w:hAnsi="宋体" w:eastAsia="宋体" w:cs="宋体"/>
          <w:sz w:val="24"/>
          <w:szCs w:val="24"/>
          <w:highlight w:val="none"/>
          <w:lang w:val="zh-CN"/>
        </w:rPr>
        <w:t>《国务院办公厅关于在政府采购中实施本国产品标准及相关政策的通知》</w:t>
      </w:r>
      <w:bookmarkStart w:id="99" w:name="OLE_LINK13"/>
      <w:r>
        <w:rPr>
          <w:rFonts w:hint="eastAsia" w:ascii="宋体" w:hAnsi="宋体" w:eastAsia="宋体" w:cs="宋体"/>
          <w:sz w:val="24"/>
          <w:szCs w:val="24"/>
          <w:highlight w:val="none"/>
          <w:lang w:val="zh-CN"/>
        </w:rPr>
        <w:t>（国办发［2025］34号）</w:t>
      </w:r>
      <w:bookmarkEnd w:id="99"/>
      <w:r>
        <w:rPr>
          <w:rFonts w:hint="eastAsia" w:ascii="宋体" w:hAnsi="宋体" w:eastAsia="宋体" w:cs="宋体"/>
          <w:sz w:val="24"/>
          <w:szCs w:val="24"/>
          <w:highlight w:val="none"/>
          <w:lang w:val="zh-CN"/>
        </w:rPr>
        <w:t>（以下简称“本国产品扶持政策”）的规定，</w:t>
      </w:r>
      <w:r>
        <w:rPr>
          <w:rFonts w:hint="eastAsia" w:ascii="宋体" w:hAnsi="宋体" w:eastAsia="宋体" w:cs="宋体"/>
          <w:sz w:val="24"/>
          <w:szCs w:val="24"/>
          <w:highlight w:val="none"/>
        </w:rPr>
        <w:t>既有本国产品又有非本国产品参与竞争的，依法对本国产品给予价格评审优惠，对本国产品的报价给予20%的价格扣除，用扣除后的价格参与评审。</w:t>
      </w:r>
    </w:p>
    <w:p w14:paraId="1126777B">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highlight w:val="none"/>
          <w:lang w:val="zh-CN"/>
        </w:rPr>
        <w:t>关于本国产品成本占比的声明函》，</w:t>
      </w:r>
      <w:r>
        <w:rPr>
          <w:rFonts w:hint="eastAsia" w:ascii="宋体" w:hAnsi="宋体" w:eastAsia="宋体" w:cs="宋体"/>
          <w:sz w:val="24"/>
          <w:szCs w:val="24"/>
          <w:highlight w:val="none"/>
        </w:rPr>
        <w:t>未填写比例数值，或比例数值未达到80%的，将不享受本国产品价格评审优惠。</w:t>
      </w:r>
    </w:p>
    <w:p w14:paraId="46238B7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3、本国产品标准的适用范围</w:t>
      </w:r>
    </w:p>
    <w:p w14:paraId="1273A489">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259CE92">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3A704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4、供应商应当提供符合</w:t>
      </w:r>
      <w:r>
        <w:rPr>
          <w:rFonts w:hint="eastAsia" w:ascii="宋体" w:hAnsi="宋体" w:eastAsia="宋体" w:cs="宋体"/>
          <w:sz w:val="24"/>
          <w:szCs w:val="24"/>
          <w:highlight w:val="none"/>
          <w:lang w:val="zh-CN"/>
        </w:rPr>
        <w:t>本国产品扶持政策</w:t>
      </w:r>
      <w:r>
        <w:rPr>
          <w:rFonts w:hint="eastAsia" w:ascii="宋体" w:hAnsi="宋体" w:eastAsia="宋体" w:cs="宋体"/>
          <w:sz w:val="24"/>
          <w:szCs w:val="24"/>
          <w:highlight w:val="none"/>
        </w:rPr>
        <w:t>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p>
    <w:p w14:paraId="5137ED46">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多种产品采购时，还应提供《</w:t>
      </w:r>
      <w:r>
        <w:rPr>
          <w:rFonts w:hint="eastAsia" w:ascii="宋体" w:hAnsi="宋体" w:eastAsia="宋体" w:cs="宋体"/>
          <w:sz w:val="24"/>
          <w:szCs w:val="24"/>
          <w:highlight w:val="none"/>
          <w:lang w:val="zh-CN"/>
        </w:rPr>
        <w:t>关于本国产品成本占比的声明函》</w:t>
      </w:r>
      <w:r>
        <w:rPr>
          <w:rFonts w:hint="eastAsia" w:ascii="宋体" w:hAnsi="宋体" w:eastAsia="宋体" w:cs="宋体"/>
          <w:sz w:val="24"/>
          <w:szCs w:val="24"/>
          <w:highlight w:val="none"/>
        </w:rPr>
        <w:t>（格式见第三章）。</w:t>
      </w:r>
    </w:p>
    <w:p w14:paraId="50E52293">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未按上述要求提供的，不享受本国产品扶持政策。</w:t>
      </w:r>
    </w:p>
    <w:p w14:paraId="44278576">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p>
    <w:p w14:paraId="24C6CF53">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6、若供应商提供虚假《关于符合本国产品标准的声明函》、《</w:t>
      </w:r>
      <w:r>
        <w:rPr>
          <w:rFonts w:hint="eastAsia" w:ascii="宋体" w:hAnsi="宋体" w:eastAsia="宋体" w:cs="宋体"/>
          <w:sz w:val="24"/>
          <w:szCs w:val="24"/>
          <w:highlight w:val="none"/>
          <w:lang w:val="zh-CN"/>
        </w:rPr>
        <w:t>关于本国产品成本占比的声明函》、</w:t>
      </w:r>
      <w:r>
        <w:rPr>
          <w:rFonts w:hint="eastAsia" w:ascii="宋体" w:hAnsi="宋体" w:eastAsia="宋体" w:cs="宋体"/>
          <w:sz w:val="24"/>
          <w:szCs w:val="24"/>
          <w:highlight w:val="none"/>
        </w:rPr>
        <w:t>虚假证明文件谋取中标、成交的，依照《中华人民共和国政府采购法》等法律法规规定追究相应责任。</w:t>
      </w:r>
    </w:p>
    <w:p w14:paraId="787ACFF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7、供应商提供的《关于符合本国产品标准的声明函》，或财政部会同有关部门规定的有关证明文件将随中标（成交）结果同时公告。</w:t>
      </w:r>
    </w:p>
    <w:p w14:paraId="5357397D">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（二）促进中小企业发展政策</w:t>
      </w:r>
    </w:p>
    <w:p w14:paraId="0A0E8041">
      <w:pPr>
        <w:spacing w:line="360" w:lineRule="auto"/>
        <w:ind w:firstLine="480" w:firstLineChars="200"/>
        <w:rPr>
          <w:rFonts w:ascii="宋体" w:hAnsi="宋体" w:eastAsia="宋体" w:cs="宋体"/>
          <w:sz w:val="24"/>
          <w:szCs w:val="24"/>
          <w:highlight w:val="none"/>
        </w:rPr>
      </w:pPr>
      <w:bookmarkStart w:id="100" w:name="_Hlk111647296"/>
      <w:r>
        <w:rPr>
          <w:rFonts w:hint="eastAsia" w:ascii="宋体" w:hAnsi="宋体" w:eastAsia="宋体" w:cs="宋体"/>
          <w:sz w:val="24"/>
          <w:szCs w:val="24"/>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等相关规定：</w:t>
      </w:r>
    </w:p>
    <w:p w14:paraId="7772E286">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1、在政府采购活动中，供应商提供的货物、工程或者服务符合下列情形的，享受本办法规定的中小企业扶持政策：</w:t>
      </w:r>
    </w:p>
    <w:p w14:paraId="1F2A9E3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（1）在货物采购项目中，货物由中小企业制造，即货物由中小企业生产且使用该中小企业商号或者注册商标；</w:t>
      </w:r>
    </w:p>
    <w:p w14:paraId="710785C1">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（2）在工程采购项目中，工程由中小企业承建，即工程施工单位为中小企业；</w:t>
      </w:r>
    </w:p>
    <w:p w14:paraId="0169EE7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（3）在服务采购项目中，服务由中小企业承接，即提供服务的人员为中小企业依照《中华人民共和国劳动合同法》订立劳动合同的从业人员。</w:t>
      </w:r>
    </w:p>
    <w:p w14:paraId="3AA7FD6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在货物采购项目中，供应商提供的货物既有中小企业制造货物，也有大型企业制造货物的，不享受本办法规定的中小企业扶持政策。</w:t>
      </w:r>
    </w:p>
    <w:p w14:paraId="6400D7FA">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以联合体形式参加政府采购活动，联合体各方均为中小企业的，联合体视同中小企业。其中，联合体各方均为小微企业的，联合体视同小微企业。</w:t>
      </w:r>
    </w:p>
    <w:bookmarkEnd w:id="100"/>
    <w:p w14:paraId="7653B36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2、本项目如属于</w:t>
      </w:r>
      <w:r>
        <w:rPr>
          <w:rFonts w:hint="eastAsia" w:ascii="宋体" w:hAnsi="宋体" w:eastAsia="宋体" w:cs="宋体"/>
          <w:b/>
          <w:sz w:val="24"/>
          <w:szCs w:val="24"/>
          <w:highlight w:val="none"/>
        </w:rPr>
        <w:t>非专门面向中小企业采购</w:t>
      </w:r>
      <w:r>
        <w:rPr>
          <w:rFonts w:hint="eastAsia" w:ascii="宋体" w:hAnsi="宋体" w:eastAsia="宋体" w:cs="宋体"/>
          <w:sz w:val="24"/>
          <w:szCs w:val="24"/>
          <w:highlight w:val="none"/>
        </w:rPr>
        <w:t>，对小微企业报价给予</w:t>
      </w:r>
      <w:r>
        <w:rPr>
          <w:rFonts w:hint="eastAsia" w:ascii="宋体" w:hAnsi="宋体" w:eastAsia="宋体" w:cs="宋体"/>
          <w:sz w:val="24"/>
          <w:szCs w:val="24"/>
          <w:highlight w:val="none"/>
          <w:u w:val="single"/>
          <w:lang w:val="en-US" w:eastAsia="zh-CN"/>
        </w:rPr>
        <w:t>10</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的扣除，用扣除后的价格参与评审。如扣除后的价格为最低价的，则作为评标基准价，中标（成交）金额则以实际投标（响应）报价为准。</w:t>
      </w:r>
    </w:p>
    <w:p w14:paraId="081053D1">
      <w:pPr>
        <w:pStyle w:val="16"/>
        <w:spacing w:line="360" w:lineRule="auto"/>
        <w:ind w:left="0" w:firstLine="480" w:firstLineChars="200"/>
        <w:rPr>
          <w:rFonts w:ascii="宋体" w:hAnsi="宋体" w:eastAsia="宋体" w:cs="宋体"/>
          <w:szCs w:val="24"/>
          <w:highlight w:val="none"/>
        </w:rPr>
      </w:pPr>
      <w:r>
        <w:rPr>
          <w:rFonts w:hint="eastAsia" w:ascii="宋体" w:hAnsi="宋体" w:eastAsia="宋体" w:cs="宋体"/>
          <w:szCs w:val="24"/>
          <w:highlight w:val="none"/>
        </w:rPr>
        <w:t>如</w:t>
      </w:r>
      <w:bookmarkStart w:id="101" w:name="OLE_LINK9"/>
      <w:bookmarkStart w:id="102" w:name="OLE_LINK8"/>
      <w:r>
        <w:rPr>
          <w:rFonts w:hint="eastAsia" w:ascii="宋体" w:hAnsi="宋体" w:eastAsia="宋体" w:cs="宋体"/>
          <w:szCs w:val="24"/>
          <w:highlight w:val="none"/>
        </w:rPr>
        <w:t>接受供应商为联合体投标（响应）</w:t>
      </w:r>
      <w:bookmarkEnd w:id="101"/>
      <w:bookmarkEnd w:id="102"/>
      <w:r>
        <w:rPr>
          <w:rFonts w:hint="eastAsia" w:ascii="宋体" w:hAnsi="宋体" w:eastAsia="宋体" w:cs="宋体"/>
          <w:szCs w:val="24"/>
          <w:highlight w:val="none"/>
        </w:rPr>
        <w:t>，联合体各方均为小微企业的，对联合体报价在评审时给予</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的扣除，用扣除后的价格参与评审。</w:t>
      </w:r>
    </w:p>
    <w:p w14:paraId="1B6310E3">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中小微企业划型标准根据《中小企业划型标准规定》（工信部联企业【2011】300号）</w:t>
      </w:r>
      <w:r>
        <w:rPr>
          <w:rFonts w:hint="eastAsia" w:ascii="宋体" w:hAnsi="宋体" w:eastAsia="宋体" w:cs="宋体"/>
          <w:sz w:val="24"/>
          <w:szCs w:val="24"/>
          <w:highlight w:val="none"/>
        </w:rPr>
        <w:t>。</w:t>
      </w:r>
    </w:p>
    <w:p w14:paraId="5061E59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4、依据《政府采购促进中小企业发展管理办法》规定享受扶持政策获得政府采购合同的，小微企业不得将合同分包给大中型企业，中型企业不得将合同分包给大型企业。</w:t>
      </w:r>
    </w:p>
    <w:p w14:paraId="0B3F1C2F">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5、供应商应当出具符合《政府采购促进中小企业发展管理办法》（财库〔2020〕46号）附件规定的《中小企业声明函》，否则不得享受相关中小企业扶持政策。</w:t>
      </w:r>
    </w:p>
    <w:p w14:paraId="13BEF12B">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6、若供应商提供的《中小企业声明函》内容不实的，属于提供虚假材料谋取中标、成交，按政府采购相关规定处理并报请政府监管部门给予行政处罚。</w:t>
      </w:r>
    </w:p>
    <w:p w14:paraId="63DF2065">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（三）残疾人福利性单位</w:t>
      </w:r>
    </w:p>
    <w:p w14:paraId="4176C3A4">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p>
    <w:p w14:paraId="5A585578">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（四）监狱企业</w:t>
      </w:r>
    </w:p>
    <w:p w14:paraId="1382BB0B">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p>
    <w:p w14:paraId="65A35088">
      <w:pPr>
        <w:spacing w:line="360" w:lineRule="auto"/>
        <w:ind w:left="420" w:leftChars="200"/>
        <w:rPr>
          <w:rFonts w:ascii="宋体" w:hAnsi="宋体" w:eastAsia="宋体" w:cs="宋体"/>
          <w:szCs w:val="24"/>
          <w:highlight w:val="none"/>
        </w:rPr>
      </w:pPr>
      <w:r>
        <w:rPr>
          <w:rFonts w:hint="eastAsia" w:ascii="宋体" w:hAnsi="宋体" w:eastAsia="宋体" w:cs="宋体"/>
          <w:b/>
          <w:bCs/>
          <w:sz w:val="24"/>
          <w:szCs w:val="24"/>
          <w:highlight w:val="none"/>
        </w:rPr>
        <w:t>（五）绿色采购</w:t>
      </w:r>
    </w:p>
    <w:p w14:paraId="46F684F4">
      <w:pPr>
        <w:autoSpaceDE w:val="0"/>
        <w:autoSpaceDN w:val="0"/>
        <w:adjustRightIn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1、根据苏财购【2019】10号文：</w:t>
      </w:r>
    </w:p>
    <w:p w14:paraId="0EEE418A">
      <w:pPr>
        <w:autoSpaceDE w:val="0"/>
        <w:autoSpaceDN w:val="0"/>
        <w:adjustRightIn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（1）本次采购产品中的</w:t>
      </w:r>
      <w:r>
        <w:rPr>
          <w:rFonts w:hint="eastAsia" w:ascii="宋体" w:hAnsi="宋体" w:eastAsia="宋体" w:cs="宋体"/>
          <w:sz w:val="24"/>
          <w:szCs w:val="24"/>
          <w:highlight w:val="none"/>
          <w:u w:val="single"/>
        </w:rPr>
        <w:t>XXXXXXXXXX</w:t>
      </w:r>
      <w:r>
        <w:rPr>
          <w:rFonts w:hint="eastAsia" w:ascii="宋体" w:hAnsi="宋体" w:eastAsia="宋体" w:cs="宋体"/>
          <w:sz w:val="24"/>
          <w:szCs w:val="24"/>
          <w:highlight w:val="none"/>
        </w:rPr>
        <w:t>属于《节能产品政府采购品目清单》范围内的强制采购产品，投标（响应）文件中须提供认证机构出具的、处于有效期之内的节能产品认证证书，未提供或提供不全的将视响应文件为未实质性响应采购要求。（本项目不涉及）</w:t>
      </w:r>
    </w:p>
    <w:p w14:paraId="0A51B4D6">
      <w:pPr>
        <w:autoSpaceDE w:val="0"/>
        <w:autoSpaceDN w:val="0"/>
        <w:adjustRightIn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（2）本次采购产品中的</w:t>
      </w:r>
      <w:r>
        <w:rPr>
          <w:rFonts w:hint="eastAsia" w:ascii="宋体" w:hAnsi="宋体" w:eastAsia="宋体" w:cs="宋体"/>
          <w:sz w:val="24"/>
          <w:szCs w:val="24"/>
          <w:highlight w:val="none"/>
          <w:u w:val="single"/>
        </w:rPr>
        <w:t>XXXXXXXXXX</w:t>
      </w:r>
      <w:r>
        <w:rPr>
          <w:rFonts w:hint="eastAsia" w:ascii="宋体" w:hAnsi="宋体" w:eastAsia="宋体" w:cs="宋体"/>
          <w:sz w:val="24"/>
          <w:szCs w:val="24"/>
          <w:highlight w:val="none"/>
        </w:rPr>
        <w:t>属于《节能产品政府采购品目清单》范围内优先采购的产品，本次采购产品中的</w:t>
      </w:r>
      <w:r>
        <w:rPr>
          <w:rFonts w:hint="eastAsia" w:ascii="宋体" w:hAnsi="宋体" w:eastAsia="宋体" w:cs="宋体"/>
          <w:sz w:val="24"/>
          <w:szCs w:val="24"/>
          <w:highlight w:val="none"/>
          <w:u w:val="single"/>
        </w:rPr>
        <w:t>XXXXXXXXXX</w:t>
      </w:r>
      <w:r>
        <w:rPr>
          <w:rFonts w:hint="eastAsia" w:ascii="宋体" w:hAnsi="宋体" w:eastAsia="宋体" w:cs="宋体"/>
          <w:sz w:val="24"/>
          <w:szCs w:val="24"/>
          <w:highlight w:val="none"/>
        </w:rPr>
        <w:t>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highlight w:val="none"/>
          <w:u w:val="single"/>
        </w:rPr>
        <w:t>XXXXXXXXXXXX</w:t>
      </w:r>
      <w:r>
        <w:rPr>
          <w:rFonts w:hint="eastAsia" w:ascii="宋体" w:hAnsi="宋体" w:eastAsia="宋体" w:cs="宋体"/>
          <w:sz w:val="24"/>
          <w:szCs w:val="24"/>
          <w:highlight w:val="none"/>
        </w:rPr>
        <w:t>（体现优先采购的措施）。（本项目不涉及）</w:t>
      </w:r>
    </w:p>
    <w:p w14:paraId="0A8FF9E7">
      <w:pPr>
        <w:autoSpaceDE w:val="0"/>
        <w:autoSpaceDN w:val="0"/>
        <w:adjustRightIn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2、绿色采购</w:t>
      </w:r>
    </w:p>
    <w:p w14:paraId="158E103B">
      <w:pPr>
        <w:autoSpaceDE w:val="0"/>
        <w:autoSpaceDN w:val="0"/>
        <w:adjustRightIn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2F31A7CC">
      <w:pPr>
        <w:autoSpaceDE w:val="0"/>
        <w:autoSpaceDN w:val="0"/>
        <w:adjustRightIn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199407DF">
      <w:pPr>
        <w:rPr>
          <w:rFonts w:ascii="宋体" w:hAnsi="宋体" w:eastAsia="宋体" w:cs="宋体"/>
          <w:b/>
          <w:bCs/>
          <w:highlight w:val="none"/>
        </w:rPr>
      </w:pPr>
      <w:r>
        <w:rPr>
          <w:rFonts w:hint="eastAsia" w:ascii="宋体" w:hAnsi="宋体" w:eastAsia="宋体" w:cs="宋体"/>
          <w:b/>
          <w:bCs/>
          <w:highlight w:val="none"/>
        </w:rPr>
        <w:br w:type="page"/>
      </w:r>
    </w:p>
    <w:p w14:paraId="723935E9">
      <w:pPr>
        <w:pStyle w:val="16"/>
        <w:rPr>
          <w:rFonts w:ascii="宋体" w:hAnsi="宋体" w:eastAsia="宋体" w:cs="宋体"/>
          <w:highlight w:val="none"/>
        </w:rPr>
      </w:pPr>
    </w:p>
    <w:p w14:paraId="3C552857">
      <w:pPr>
        <w:pStyle w:val="16"/>
        <w:rPr>
          <w:rFonts w:ascii="宋体" w:hAnsi="宋体" w:eastAsia="宋体" w:cs="宋体"/>
          <w:szCs w:val="24"/>
          <w:highlight w:val="none"/>
        </w:rPr>
      </w:pPr>
    </w:p>
    <w:p w14:paraId="4BD8DB84">
      <w:pPr>
        <w:jc w:val="left"/>
        <w:rPr>
          <w:rFonts w:ascii="宋体" w:hAnsi="宋体" w:eastAsia="宋体" w:cs="宋体"/>
          <w:sz w:val="24"/>
          <w:szCs w:val="24"/>
          <w:highlight w:val="none"/>
        </w:rPr>
      </w:pPr>
    </w:p>
    <w:p w14:paraId="7DF27B9B">
      <w:pPr>
        <w:pStyle w:val="16"/>
        <w:jc w:val="left"/>
        <w:rPr>
          <w:rFonts w:ascii="宋体" w:hAnsi="宋体" w:eastAsia="宋体" w:cs="宋体"/>
          <w:szCs w:val="24"/>
          <w:highlight w:val="none"/>
        </w:rPr>
      </w:pPr>
    </w:p>
    <w:p w14:paraId="6313F258">
      <w:pPr>
        <w:jc w:val="left"/>
        <w:rPr>
          <w:rFonts w:ascii="宋体" w:hAnsi="宋体" w:eastAsia="宋体" w:cs="宋体"/>
          <w:sz w:val="24"/>
          <w:szCs w:val="24"/>
          <w:highlight w:val="none"/>
        </w:rPr>
      </w:pPr>
    </w:p>
    <w:p w14:paraId="18917AA2">
      <w:pPr>
        <w:pStyle w:val="16"/>
        <w:jc w:val="left"/>
        <w:rPr>
          <w:rFonts w:ascii="宋体" w:hAnsi="宋体" w:eastAsia="宋体" w:cs="宋体"/>
          <w:szCs w:val="24"/>
          <w:highlight w:val="none"/>
        </w:rPr>
      </w:pPr>
    </w:p>
    <w:p w14:paraId="30735267">
      <w:pPr>
        <w:jc w:val="left"/>
        <w:rPr>
          <w:rFonts w:ascii="宋体" w:hAnsi="宋体" w:eastAsia="宋体" w:cs="宋体"/>
          <w:sz w:val="24"/>
          <w:szCs w:val="24"/>
          <w:highlight w:val="none"/>
        </w:rPr>
      </w:pPr>
    </w:p>
    <w:p w14:paraId="5CA5B39B">
      <w:pPr>
        <w:pStyle w:val="16"/>
        <w:jc w:val="left"/>
        <w:rPr>
          <w:rFonts w:ascii="宋体" w:hAnsi="宋体" w:eastAsia="宋体" w:cs="宋体"/>
          <w:szCs w:val="24"/>
          <w:highlight w:val="none"/>
        </w:rPr>
      </w:pPr>
    </w:p>
    <w:p w14:paraId="3C5DEFAC">
      <w:pPr>
        <w:jc w:val="left"/>
        <w:rPr>
          <w:rFonts w:ascii="宋体" w:hAnsi="宋体" w:eastAsia="宋体" w:cs="宋体"/>
          <w:highlight w:val="none"/>
        </w:rPr>
      </w:pPr>
    </w:p>
    <w:p w14:paraId="57E7FAB2">
      <w:pPr>
        <w:keepNext/>
        <w:keepLines/>
        <w:spacing w:before="340" w:after="330" w:line="360" w:lineRule="auto"/>
        <w:jc w:val="center"/>
        <w:outlineLvl w:val="0"/>
        <w:rPr>
          <w:rFonts w:ascii="宋体" w:hAnsi="宋体" w:eastAsia="宋体" w:cs="宋体"/>
          <w:highlight w:val="none"/>
        </w:rPr>
      </w:pPr>
      <w:r>
        <w:rPr>
          <w:rFonts w:hint="eastAsia" w:ascii="宋体" w:hAnsi="宋体" w:eastAsia="宋体" w:cs="宋体"/>
          <w:b/>
          <w:kern w:val="44"/>
          <w:sz w:val="52"/>
          <w:szCs w:val="20"/>
          <w:highlight w:val="none"/>
          <w:shd w:val="clear" w:color="auto" w:fill="FFFFFF"/>
        </w:rPr>
        <w:t>第七章 附件</w:t>
      </w:r>
      <w:bookmarkEnd w:id="97"/>
      <w:bookmarkEnd w:id="98"/>
    </w:p>
    <w:p w14:paraId="418F4A83">
      <w:pP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附件1：政府采购合同信用融资政策告知函</w:t>
      </w:r>
    </w:p>
    <w:p w14:paraId="1C9DA35F">
      <w:pP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附件2：中小企业相关要求</w:t>
      </w:r>
    </w:p>
    <w:p w14:paraId="7C9A9532">
      <w:pPr>
        <w:spacing w:line="360" w:lineRule="auto"/>
        <w:rPr>
          <w:rFonts w:ascii="宋体" w:hAnsi="宋体" w:eastAsia="宋体" w:cs="宋体"/>
          <w:b/>
          <w:sz w:val="24"/>
          <w:szCs w:val="24"/>
          <w:highlight w:val="none"/>
        </w:rPr>
      </w:pPr>
      <w:r>
        <w:rPr>
          <w:rFonts w:hint="eastAsia" w:ascii="宋体" w:hAnsi="宋体" w:eastAsia="宋体" w:cs="宋体"/>
          <w:b/>
          <w:bCs/>
          <w:sz w:val="24"/>
          <w:szCs w:val="24"/>
          <w:highlight w:val="none"/>
        </w:rPr>
        <w:t>附件3：中小企业划型标准规定</w:t>
      </w:r>
      <w:r>
        <w:rPr>
          <w:rFonts w:hint="eastAsia" w:ascii="宋体" w:hAnsi="宋体" w:eastAsia="宋体" w:cs="宋体"/>
          <w:b/>
          <w:sz w:val="24"/>
          <w:szCs w:val="24"/>
          <w:highlight w:val="none"/>
        </w:rPr>
        <w:t>（工信部联企业〔2011〕300号）</w:t>
      </w:r>
    </w:p>
    <w:p w14:paraId="088C58EC">
      <w:pPr>
        <w:rPr>
          <w:rFonts w:ascii="宋体" w:hAnsi="宋体" w:eastAsia="宋体" w:cs="宋体"/>
          <w:highlight w:val="none"/>
        </w:rPr>
      </w:pPr>
      <w:r>
        <w:rPr>
          <w:rFonts w:hint="eastAsia" w:ascii="宋体" w:hAnsi="宋体" w:eastAsia="宋体" w:cs="宋体"/>
          <w:highlight w:val="none"/>
        </w:rPr>
        <w:br w:type="page"/>
      </w:r>
    </w:p>
    <w:p w14:paraId="6AC934BB">
      <w:pPr>
        <w:widowControl/>
        <w:spacing w:line="360" w:lineRule="auto"/>
        <w:jc w:val="left"/>
        <w:rPr>
          <w:rFonts w:ascii="宋体" w:hAnsi="宋体" w:eastAsia="宋体" w:cs="宋体"/>
          <w:sz w:val="24"/>
          <w:szCs w:val="24"/>
          <w:highlight w:val="none"/>
        </w:rPr>
      </w:pPr>
      <w:r>
        <w:rPr>
          <w:rFonts w:hint="eastAsia" w:ascii="宋体" w:hAnsi="宋体" w:eastAsia="宋体" w:cs="宋体"/>
          <w:b/>
          <w:bCs/>
          <w:sz w:val="24"/>
          <w:szCs w:val="24"/>
          <w:highlight w:val="none"/>
        </w:rPr>
        <w:t>附件1：</w:t>
      </w:r>
    </w:p>
    <w:p w14:paraId="7A3DE69F">
      <w:pPr>
        <w:widowControl/>
        <w:spacing w:line="360" w:lineRule="auto"/>
        <w:jc w:val="center"/>
        <w:rPr>
          <w:rFonts w:ascii="宋体" w:hAnsi="宋体" w:eastAsia="宋体" w:cs="宋体"/>
          <w:b/>
          <w:sz w:val="24"/>
          <w:szCs w:val="24"/>
          <w:highlight w:val="none"/>
        </w:rPr>
      </w:pPr>
      <w:r>
        <w:rPr>
          <w:rFonts w:hint="eastAsia" w:ascii="宋体" w:hAnsi="宋体" w:eastAsia="宋体" w:cs="宋体"/>
          <w:b/>
          <w:sz w:val="28"/>
          <w:szCs w:val="24"/>
          <w:highlight w:val="none"/>
        </w:rPr>
        <w:t>政府采购合同信用融资政策告知函</w:t>
      </w:r>
    </w:p>
    <w:p w14:paraId="70DF3396">
      <w:pPr>
        <w:widowControl/>
        <w:spacing w:line="360" w:lineRule="auto"/>
        <w:ind w:firstLine="480" w:firstLineChars="200"/>
        <w:rPr>
          <w:rFonts w:ascii="宋体" w:hAnsi="宋体" w:eastAsia="宋体" w:cs="宋体"/>
          <w:sz w:val="24"/>
          <w:szCs w:val="24"/>
          <w:highlight w:val="none"/>
        </w:rPr>
      </w:pPr>
    </w:p>
    <w:p w14:paraId="753A9822">
      <w:pPr>
        <w:widowControl/>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各政府采购供应商：</w:t>
      </w:r>
    </w:p>
    <w:p w14:paraId="2E3E532C">
      <w:pPr>
        <w:widowControl/>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欢迎贵公司参加苏州市政府采购活动！</w:t>
      </w:r>
    </w:p>
    <w:p w14:paraId="2477ECD8">
      <w:pPr>
        <w:widowControl/>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p w14:paraId="064C5ABE">
      <w:pPr>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r>
    </w:p>
    <w:p w14:paraId="355C04B1">
      <w:pPr>
        <w:pStyle w:val="96"/>
        <w:ind w:firstLine="0" w:firstLineChars="0"/>
        <w:jc w:val="left"/>
        <w:rPr>
          <w:rFonts w:ascii="宋体" w:hAnsi="宋体" w:eastAsia="宋体" w:cs="宋体"/>
          <w:b/>
          <w:bCs/>
          <w:highlight w:val="none"/>
        </w:rPr>
      </w:pPr>
      <w:r>
        <w:rPr>
          <w:rFonts w:hint="eastAsia" w:ascii="宋体" w:hAnsi="宋体" w:eastAsia="宋体" w:cs="宋体"/>
          <w:b/>
          <w:bCs/>
          <w:highlight w:val="none"/>
        </w:rPr>
        <w:t>附件2：</w:t>
      </w:r>
    </w:p>
    <w:p w14:paraId="36E4CD74">
      <w:pPr>
        <w:spacing w:line="360" w:lineRule="auto"/>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中小企业相关要求</w:t>
      </w:r>
    </w:p>
    <w:p w14:paraId="760D69E6">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highlight w:val="none"/>
        </w:rPr>
        <w:t>服务类项目中供应商若使用退休人员，将不享受相应扶持政策。</w:t>
      </w:r>
    </w:p>
    <w:p w14:paraId="738A0B3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2.《中小企业声明函》中所填的行业应与本采购标的对应的中小企业划分标准所属行业一致，不一致的不可享受相应政策优惠。</w:t>
      </w:r>
      <w:r>
        <w:rPr>
          <w:rFonts w:hint="eastAsia" w:ascii="宋体" w:hAnsi="宋体" w:eastAsia="宋体" w:cs="宋体"/>
          <w:b/>
          <w:sz w:val="24"/>
          <w:szCs w:val="24"/>
          <w:highlight w:val="none"/>
        </w:rPr>
        <w:t>本采购标的对应的中小企业划分标准所属行业，以采购文件中具体规定为准。</w:t>
      </w:r>
    </w:p>
    <w:p w14:paraId="2A1DBCD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b/>
          <w:sz w:val="24"/>
          <w:szCs w:val="24"/>
          <w:highlight w:val="none"/>
        </w:rPr>
        <w:t>如未在</w:t>
      </w:r>
      <w:r>
        <w:rPr>
          <w:rFonts w:hint="eastAsia" w:ascii="宋体" w:hAnsi="宋体" w:eastAsia="宋体" w:cs="宋体"/>
          <w:sz w:val="24"/>
          <w:szCs w:val="24"/>
          <w:highlight w:val="none"/>
        </w:rPr>
        <w:t>《中小企业声明函》中填写注明具体企业类型</w:t>
      </w:r>
      <w:r>
        <w:rPr>
          <w:rFonts w:hint="eastAsia" w:ascii="宋体" w:hAnsi="宋体" w:eastAsia="宋体" w:cs="宋体"/>
          <w:b/>
          <w:sz w:val="24"/>
          <w:szCs w:val="24"/>
          <w:highlight w:val="none"/>
        </w:rPr>
        <w:t>（中型企业、小型企业或微型企业），不视为中小微企业，不享受相应扶持政策</w:t>
      </w:r>
      <w:r>
        <w:rPr>
          <w:rFonts w:hint="eastAsia" w:ascii="宋体" w:hAnsi="宋体" w:eastAsia="宋体" w:cs="宋体"/>
          <w:sz w:val="24"/>
          <w:szCs w:val="24"/>
          <w:highlight w:val="none"/>
        </w:rPr>
        <w:t>。</w:t>
      </w:r>
    </w:p>
    <w:p w14:paraId="3673DD89">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4.中标（成交）单位为中小企业的，《中小企业声明函》将随中标（成交）结果同时公告。</w:t>
      </w:r>
    </w:p>
    <w:p w14:paraId="46E71190">
      <w:pPr>
        <w:spacing w:line="360" w:lineRule="auto"/>
        <w:ind w:firstLine="422" w:firstLineChars="200"/>
        <w:rPr>
          <w:rFonts w:ascii="宋体" w:hAnsi="宋体" w:eastAsia="宋体" w:cs="宋体"/>
          <w:b/>
          <w:highlight w:val="none"/>
        </w:rPr>
      </w:pPr>
      <w:r>
        <w:rPr>
          <w:rFonts w:hint="eastAsia" w:ascii="宋体" w:hAnsi="宋体" w:eastAsia="宋体" w:cs="宋体"/>
          <w:b/>
          <w:highlight w:val="none"/>
        </w:rPr>
        <w:br w:type="page"/>
      </w:r>
    </w:p>
    <w:p w14:paraId="330D2DF3">
      <w:pPr>
        <w:pStyle w:val="96"/>
        <w:ind w:firstLine="0" w:firstLineChars="0"/>
        <w:jc w:val="left"/>
        <w:rPr>
          <w:rFonts w:ascii="宋体" w:hAnsi="宋体" w:eastAsia="宋体" w:cs="宋体"/>
          <w:b/>
          <w:bCs/>
          <w:highlight w:val="none"/>
        </w:rPr>
      </w:pPr>
      <w:r>
        <w:rPr>
          <w:rFonts w:hint="eastAsia" w:ascii="宋体" w:hAnsi="宋体" w:eastAsia="宋体" w:cs="宋体"/>
          <w:b/>
          <w:bCs/>
          <w:highlight w:val="none"/>
        </w:rPr>
        <w:t>附件3：</w:t>
      </w:r>
    </w:p>
    <w:p w14:paraId="3ADDF360">
      <w:pPr>
        <w:pStyle w:val="96"/>
        <w:ind w:firstLine="0" w:firstLineChars="0"/>
        <w:jc w:val="center"/>
        <w:rPr>
          <w:rFonts w:ascii="宋体" w:hAnsi="宋体" w:eastAsia="宋体" w:cs="宋体"/>
          <w:b/>
          <w:bCs/>
          <w:highlight w:val="none"/>
        </w:rPr>
      </w:pPr>
      <w:r>
        <w:rPr>
          <w:rFonts w:hint="eastAsia" w:ascii="宋体" w:hAnsi="宋体" w:eastAsia="宋体" w:cs="宋体"/>
          <w:b/>
          <w:bCs/>
          <w:highlight w:val="none"/>
        </w:rPr>
        <w:t>中小企业划型标准规定</w:t>
      </w:r>
      <w:r>
        <w:rPr>
          <w:rFonts w:hint="eastAsia" w:ascii="宋体" w:hAnsi="宋体" w:eastAsia="宋体" w:cs="宋体"/>
          <w:b/>
          <w:highlight w:val="none"/>
        </w:rPr>
        <w:t>（工信部联企业〔2011〕300号）</w:t>
      </w:r>
    </w:p>
    <w:p w14:paraId="59B274FF">
      <w:pPr>
        <w:spacing w:before="180" w:line="240" w:lineRule="exact"/>
        <w:ind w:firstLine="422"/>
        <w:rPr>
          <w:rFonts w:ascii="宋体" w:hAnsi="宋体" w:eastAsia="宋体" w:cs="宋体"/>
          <w:highlight w:val="none"/>
        </w:rPr>
      </w:pPr>
      <w:r>
        <w:rPr>
          <w:rFonts w:hint="eastAsia" w:ascii="宋体" w:hAnsi="宋体" w:eastAsia="宋体" w:cs="宋体"/>
          <w:b/>
          <w:highlight w:val="none"/>
        </w:rPr>
        <w:t>（一）农、林、牧、渔业。</w:t>
      </w:r>
      <w:r>
        <w:rPr>
          <w:rFonts w:hint="eastAsia" w:ascii="宋体" w:hAnsi="宋体" w:eastAsia="宋体" w:cs="宋体"/>
          <w:highlight w:val="none"/>
        </w:rPr>
        <w:t>营业收入20000万元以下的为中小微型企业。其中，营业收入500万元及以上的为中型企业，营业收入50万元及以上的为小型企业，营业收入50万元以下的为微型企业。</w:t>
      </w:r>
    </w:p>
    <w:p w14:paraId="7903049B">
      <w:pPr>
        <w:spacing w:before="180" w:line="240" w:lineRule="exact"/>
        <w:ind w:firstLine="422"/>
        <w:rPr>
          <w:rFonts w:ascii="宋体" w:hAnsi="宋体" w:eastAsia="宋体" w:cs="宋体"/>
          <w:highlight w:val="none"/>
        </w:rPr>
      </w:pPr>
      <w:r>
        <w:rPr>
          <w:rFonts w:hint="eastAsia" w:ascii="宋体" w:hAnsi="宋体" w:eastAsia="宋体" w:cs="宋体"/>
          <w:b/>
          <w:highlight w:val="none"/>
        </w:rPr>
        <w:t>（二）工业。</w:t>
      </w:r>
      <w:r>
        <w:rPr>
          <w:rFonts w:hint="eastAsia" w:ascii="宋体" w:hAnsi="宋体" w:eastAsia="宋体" w:cs="宋体"/>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FF818D7">
      <w:pPr>
        <w:spacing w:before="180" w:line="240" w:lineRule="exact"/>
        <w:ind w:firstLine="422"/>
        <w:rPr>
          <w:rFonts w:ascii="宋体" w:hAnsi="宋体" w:eastAsia="宋体" w:cs="宋体"/>
          <w:highlight w:val="none"/>
        </w:rPr>
      </w:pPr>
      <w:r>
        <w:rPr>
          <w:rFonts w:hint="eastAsia" w:ascii="宋体" w:hAnsi="宋体" w:eastAsia="宋体" w:cs="宋体"/>
          <w:b/>
          <w:highlight w:val="none"/>
        </w:rPr>
        <w:t>（三）建筑业。</w:t>
      </w:r>
      <w:r>
        <w:rPr>
          <w:rFonts w:hint="eastAsia" w:ascii="宋体" w:hAnsi="宋体" w:eastAsia="宋体" w:cs="宋体"/>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808C7A5">
      <w:pPr>
        <w:spacing w:before="180" w:line="240" w:lineRule="exact"/>
        <w:ind w:firstLine="422"/>
        <w:rPr>
          <w:rFonts w:ascii="宋体" w:hAnsi="宋体" w:eastAsia="宋体" w:cs="宋体"/>
          <w:highlight w:val="none"/>
        </w:rPr>
      </w:pPr>
      <w:r>
        <w:rPr>
          <w:rFonts w:hint="eastAsia" w:ascii="宋体" w:hAnsi="宋体" w:eastAsia="宋体" w:cs="宋体"/>
          <w:b/>
          <w:highlight w:val="none"/>
        </w:rPr>
        <w:t>（四）批发业。</w:t>
      </w:r>
      <w:r>
        <w:rPr>
          <w:rFonts w:hint="eastAsia" w:ascii="宋体" w:hAnsi="宋体" w:eastAsia="宋体" w:cs="宋体"/>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A543E83">
      <w:pPr>
        <w:spacing w:before="180" w:line="240" w:lineRule="exact"/>
        <w:ind w:firstLine="422"/>
        <w:rPr>
          <w:rFonts w:ascii="宋体" w:hAnsi="宋体" w:eastAsia="宋体" w:cs="宋体"/>
          <w:highlight w:val="none"/>
        </w:rPr>
      </w:pPr>
      <w:r>
        <w:rPr>
          <w:rFonts w:hint="eastAsia" w:ascii="宋体" w:hAnsi="宋体" w:eastAsia="宋体" w:cs="宋体"/>
          <w:b/>
          <w:highlight w:val="none"/>
        </w:rPr>
        <w:t>（五）零售业。</w:t>
      </w:r>
      <w:r>
        <w:rPr>
          <w:rFonts w:hint="eastAsia" w:ascii="宋体" w:hAnsi="宋体" w:eastAsia="宋体" w:cs="宋体"/>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A0C9038">
      <w:pPr>
        <w:spacing w:before="180" w:line="240" w:lineRule="exact"/>
        <w:ind w:firstLine="422"/>
        <w:rPr>
          <w:rFonts w:ascii="宋体" w:hAnsi="宋体" w:eastAsia="宋体" w:cs="宋体"/>
          <w:highlight w:val="none"/>
        </w:rPr>
      </w:pPr>
      <w:r>
        <w:rPr>
          <w:rFonts w:hint="eastAsia" w:ascii="宋体" w:hAnsi="宋体" w:eastAsia="宋体" w:cs="宋体"/>
          <w:b/>
          <w:highlight w:val="none"/>
        </w:rPr>
        <w:t>（六）交通运输业。</w:t>
      </w:r>
      <w:r>
        <w:rPr>
          <w:rFonts w:hint="eastAsia" w:ascii="宋体" w:hAnsi="宋体" w:eastAsia="宋体" w:cs="宋体"/>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571BD85">
      <w:pPr>
        <w:spacing w:before="180" w:line="240" w:lineRule="exact"/>
        <w:ind w:firstLine="422"/>
        <w:rPr>
          <w:rFonts w:ascii="宋体" w:hAnsi="宋体" w:eastAsia="宋体" w:cs="宋体"/>
          <w:highlight w:val="none"/>
        </w:rPr>
      </w:pPr>
      <w:r>
        <w:rPr>
          <w:rFonts w:hint="eastAsia" w:ascii="宋体" w:hAnsi="宋体" w:eastAsia="宋体" w:cs="宋体"/>
          <w:b/>
          <w:highlight w:val="none"/>
        </w:rPr>
        <w:t>（七）仓储业。</w:t>
      </w:r>
      <w:r>
        <w:rPr>
          <w:rFonts w:hint="eastAsia" w:ascii="宋体" w:hAnsi="宋体" w:eastAsia="宋体" w:cs="宋体"/>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8C75D0D">
      <w:pPr>
        <w:spacing w:before="180" w:line="240" w:lineRule="exact"/>
        <w:ind w:firstLine="422"/>
        <w:rPr>
          <w:rFonts w:ascii="宋体" w:hAnsi="宋体" w:eastAsia="宋体" w:cs="宋体"/>
          <w:highlight w:val="none"/>
        </w:rPr>
      </w:pPr>
      <w:r>
        <w:rPr>
          <w:rFonts w:hint="eastAsia" w:ascii="宋体" w:hAnsi="宋体" w:eastAsia="宋体" w:cs="宋体"/>
          <w:b/>
          <w:highlight w:val="none"/>
        </w:rPr>
        <w:t>（八）邮政业。</w:t>
      </w:r>
      <w:r>
        <w:rPr>
          <w:rFonts w:hint="eastAsia" w:ascii="宋体" w:hAnsi="宋体" w:eastAsia="宋体" w:cs="宋体"/>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5118D74">
      <w:pPr>
        <w:spacing w:before="180" w:line="240" w:lineRule="exact"/>
        <w:ind w:firstLine="422"/>
        <w:rPr>
          <w:rFonts w:ascii="宋体" w:hAnsi="宋体" w:eastAsia="宋体" w:cs="宋体"/>
          <w:highlight w:val="none"/>
        </w:rPr>
      </w:pPr>
      <w:r>
        <w:rPr>
          <w:rFonts w:hint="eastAsia" w:ascii="宋体" w:hAnsi="宋体" w:eastAsia="宋体" w:cs="宋体"/>
          <w:b/>
          <w:highlight w:val="none"/>
        </w:rPr>
        <w:t>（九）住宿业。</w:t>
      </w:r>
      <w:r>
        <w:rPr>
          <w:rFonts w:hint="eastAsia" w:ascii="宋体" w:hAnsi="宋体" w:eastAsia="宋体" w:cs="宋体"/>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35964B">
      <w:pPr>
        <w:spacing w:before="180" w:line="240" w:lineRule="exact"/>
        <w:ind w:firstLine="422"/>
        <w:rPr>
          <w:rFonts w:ascii="宋体" w:hAnsi="宋体" w:eastAsia="宋体" w:cs="宋体"/>
          <w:highlight w:val="none"/>
        </w:rPr>
      </w:pPr>
      <w:r>
        <w:rPr>
          <w:rFonts w:hint="eastAsia" w:ascii="宋体" w:hAnsi="宋体" w:eastAsia="宋体" w:cs="宋体"/>
          <w:b/>
          <w:highlight w:val="none"/>
        </w:rPr>
        <w:t>（十）餐饮业。</w:t>
      </w:r>
      <w:r>
        <w:rPr>
          <w:rFonts w:hint="eastAsia" w:ascii="宋体" w:hAnsi="宋体" w:eastAsia="宋体" w:cs="宋体"/>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B50F62">
      <w:pPr>
        <w:spacing w:before="180" w:line="240" w:lineRule="exact"/>
        <w:ind w:firstLine="422"/>
        <w:rPr>
          <w:rFonts w:ascii="宋体" w:hAnsi="宋体" w:eastAsia="宋体" w:cs="宋体"/>
          <w:highlight w:val="none"/>
        </w:rPr>
      </w:pPr>
      <w:r>
        <w:rPr>
          <w:rFonts w:hint="eastAsia" w:ascii="宋体" w:hAnsi="宋体" w:eastAsia="宋体" w:cs="宋体"/>
          <w:b/>
          <w:highlight w:val="none"/>
        </w:rPr>
        <w:t>（十一）信息传输业。</w:t>
      </w:r>
      <w:r>
        <w:rPr>
          <w:rFonts w:hint="eastAsia" w:ascii="宋体" w:hAnsi="宋体" w:eastAsia="宋体" w:cs="宋体"/>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3C54E9">
      <w:pPr>
        <w:spacing w:before="180" w:line="240" w:lineRule="exact"/>
        <w:ind w:firstLine="422"/>
        <w:rPr>
          <w:rFonts w:ascii="宋体" w:hAnsi="宋体" w:eastAsia="宋体" w:cs="宋体"/>
          <w:highlight w:val="none"/>
        </w:rPr>
      </w:pPr>
      <w:r>
        <w:rPr>
          <w:rFonts w:hint="eastAsia" w:ascii="宋体" w:hAnsi="宋体" w:eastAsia="宋体" w:cs="宋体"/>
          <w:b/>
          <w:highlight w:val="none"/>
        </w:rPr>
        <w:t>（十二）软件和信息技术服务业。</w:t>
      </w:r>
      <w:r>
        <w:rPr>
          <w:rFonts w:hint="eastAsia" w:ascii="宋体" w:hAnsi="宋体" w:eastAsia="宋体" w:cs="宋体"/>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34D85CD">
      <w:pPr>
        <w:spacing w:before="180" w:line="240" w:lineRule="exact"/>
        <w:ind w:firstLine="422"/>
        <w:rPr>
          <w:rFonts w:ascii="宋体" w:hAnsi="宋体" w:eastAsia="宋体" w:cs="宋体"/>
          <w:highlight w:val="none"/>
        </w:rPr>
      </w:pPr>
      <w:r>
        <w:rPr>
          <w:rFonts w:hint="eastAsia" w:ascii="宋体" w:hAnsi="宋体" w:eastAsia="宋体" w:cs="宋体"/>
          <w:b/>
          <w:highlight w:val="none"/>
        </w:rPr>
        <w:t>（十三）房地产开发经营。</w:t>
      </w:r>
      <w:r>
        <w:rPr>
          <w:rFonts w:hint="eastAsia" w:ascii="宋体" w:hAnsi="宋体" w:eastAsia="宋体" w:cs="宋体"/>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F1815DF">
      <w:pPr>
        <w:spacing w:before="180" w:line="240" w:lineRule="exact"/>
        <w:ind w:firstLine="422"/>
        <w:rPr>
          <w:rFonts w:ascii="宋体" w:hAnsi="宋体" w:eastAsia="宋体" w:cs="宋体"/>
          <w:highlight w:val="none"/>
        </w:rPr>
      </w:pPr>
      <w:r>
        <w:rPr>
          <w:rFonts w:hint="eastAsia" w:ascii="宋体" w:hAnsi="宋体" w:eastAsia="宋体" w:cs="宋体"/>
          <w:b/>
          <w:highlight w:val="none"/>
        </w:rPr>
        <w:t>（十四）物业管理。</w:t>
      </w:r>
      <w:r>
        <w:rPr>
          <w:rFonts w:hint="eastAsia" w:ascii="宋体" w:hAnsi="宋体" w:eastAsia="宋体" w:cs="宋体"/>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5037FFF">
      <w:pPr>
        <w:spacing w:before="180" w:line="240" w:lineRule="exact"/>
        <w:ind w:firstLine="422"/>
        <w:rPr>
          <w:rFonts w:ascii="宋体" w:hAnsi="宋体" w:eastAsia="宋体" w:cs="宋体"/>
          <w:highlight w:val="none"/>
        </w:rPr>
      </w:pPr>
      <w:r>
        <w:rPr>
          <w:rFonts w:hint="eastAsia" w:ascii="宋体" w:hAnsi="宋体" w:eastAsia="宋体" w:cs="宋体"/>
          <w:b/>
          <w:highlight w:val="none"/>
        </w:rPr>
        <w:t>（十五）租赁和商务服务业。</w:t>
      </w:r>
      <w:r>
        <w:rPr>
          <w:rFonts w:hint="eastAsia" w:ascii="宋体" w:hAnsi="宋体" w:eastAsia="宋体" w:cs="宋体"/>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B0C1A1E">
      <w:pPr>
        <w:spacing w:before="180" w:line="240" w:lineRule="exact"/>
        <w:ind w:firstLine="422"/>
        <w:rPr>
          <w:rFonts w:ascii="宋体" w:hAnsi="宋体" w:eastAsia="宋体" w:cs="宋体"/>
          <w:highlight w:val="none"/>
        </w:rPr>
      </w:pPr>
      <w:r>
        <w:rPr>
          <w:rFonts w:hint="eastAsia" w:ascii="宋体" w:hAnsi="宋体" w:eastAsia="宋体" w:cs="宋体"/>
          <w:b/>
          <w:highlight w:val="none"/>
        </w:rPr>
        <w:t>（十六）其他未列明行业。</w:t>
      </w:r>
      <w:r>
        <w:rPr>
          <w:rFonts w:hint="eastAsia" w:ascii="宋体" w:hAnsi="宋体" w:eastAsia="宋体" w:cs="宋体"/>
          <w:highlight w:val="none"/>
        </w:rPr>
        <w:t>从业人员300人以下的为中小微型企业。其中，从业人员100人及以上的为中型企业；从业人员10人及以上的为小型企业；从业人员10人以下的为微型企业。</w:t>
      </w:r>
    </w:p>
    <w:p w14:paraId="2654D029">
      <w:pPr>
        <w:rPr>
          <w:rFonts w:ascii="宋体" w:hAnsi="宋体" w:eastAsia="宋体" w:cs="宋体"/>
          <w:b/>
          <w:bCs/>
          <w:sz w:val="24"/>
          <w:szCs w:val="20"/>
          <w:highlight w:val="none"/>
          <w:shd w:val="clear" w:color="auto" w:fill="FFFFFF"/>
        </w:rPr>
      </w:pPr>
    </w:p>
    <w:p w14:paraId="5D717C81">
      <w:pPr>
        <w:jc w:val="right"/>
        <w:rPr>
          <w:rFonts w:ascii="宋体" w:hAnsi="宋体" w:eastAsia="宋体" w:cs="宋体"/>
          <w:b/>
          <w:bCs/>
          <w:highlight w:val="none"/>
        </w:rPr>
      </w:pPr>
      <w:r>
        <w:rPr>
          <w:rFonts w:hint="eastAsia" w:ascii="宋体" w:hAnsi="宋体" w:eastAsia="宋体" w:cs="宋体"/>
          <w:b/>
          <w:bCs/>
          <w:sz w:val="24"/>
          <w:szCs w:val="20"/>
          <w:highlight w:val="none"/>
          <w:shd w:val="clear" w:color="auto" w:fill="FFFFFF"/>
        </w:rPr>
        <w:t>（全文完）</w:t>
      </w:r>
    </w:p>
    <w:sectPr>
      <w:headerReference r:id="rId7" w:type="default"/>
      <w:footerReference r:id="rId8" w:type="default"/>
      <w:pgSz w:w="11906" w:h="16838"/>
      <w:pgMar w:top="1134" w:right="1134" w:bottom="1134" w:left="1134" w:header="851" w:footer="992" w:gutter="0"/>
      <w:pgNumType w:start="1"/>
      <w:cols w:space="0" w:num="1"/>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0000000000000000000"/>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ABF43">
    <w:pPr>
      <w:jc w:val="left"/>
      <w:rPr>
        <w:rFonts w:ascii="宋体" w:hAnsi="宋体" w:eastAsia="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B975711">
                          <w:pPr>
                            <w:jc w:val="left"/>
                          </w:pPr>
                        </w:p>
                        <w:p w14:paraId="55607447"/>
                      </w:txbxContent>
                    </wps:txbx>
                    <wps:bodyPr vert="horz" wrap="none" lIns="0" tIns="0" rIns="0" bIns="0" anchor="t" anchorCtr="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l1wfaN8BAAC8AwAADgAAAAAA&#10;AAABACAAAAAeAQAAZHJzL2Uyb0RvYy54bWxQSwUGAAAAAAYABgBZAQAAbwUAAAAA&#10;">
              <v:fill on="f" focussize="0,0"/>
              <v:stroke on="f"/>
              <v:imagedata o:title=""/>
              <o:lock v:ext="edit" aspectratio="f"/>
              <v:textbox inset="0mm,0mm,0mm,0mm" style="mso-fit-shape-to-text:t;">
                <w:txbxContent>
                  <w:p w14:paraId="6B975711">
                    <w:pPr>
                      <w:jc w:val="left"/>
                    </w:pPr>
                  </w:p>
                  <w:p w14:paraId="55607447"/>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3493B">
    <w:pPr>
      <w:pStyle w:val="28"/>
      <w:ind w:firstLine="360" w:firstLineChars="20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55B6622D">
                          <w:pPr>
                            <w:pStyle w:val="28"/>
                          </w:pPr>
                        </w:p>
                      </w:txbxContent>
                    </wps:txbx>
                    <wps:bodyPr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EJnKt3gAQAAvAMAAA4AAAAA&#10;AAAAAQAgAAAAHgEAAGRycy9lMm9Eb2MueG1sUEsFBgAAAAAGAAYAWQEAAHAFAAAAAA==&#10;">
              <v:fill on="f" focussize="0,0"/>
              <v:stroke on="f"/>
              <v:imagedata o:title=""/>
              <o:lock v:ext="edit" aspectratio="f"/>
              <v:textbox inset="0mm,0mm,0mm,0mm" style="mso-fit-shape-to-text:t;">
                <w:txbxContent>
                  <w:p w14:paraId="55B6622D">
                    <w:pPr>
                      <w:pStyle w:val="28"/>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6FA99">
    <w:pPr>
      <w:tabs>
        <w:tab w:val="left" w:pos="4013"/>
      </w:tabs>
      <w:jc w:val="left"/>
      <w:rPr>
        <w:rFonts w:ascii="宋体" w:hAnsi="宋体" w:eastAsia="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BCE937">
                          <w:pPr>
                            <w:pStyle w:val="28"/>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4CBCE937">
                    <w:pPr>
                      <w:pStyle w:val="28"/>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0251E941">
                          <w:pPr>
                            <w:jc w:val="left"/>
                          </w:pPr>
                        </w:p>
                        <w:p w14:paraId="55959093"/>
                      </w:txbxContent>
                    </wps:txbx>
                    <wps:bodyPr vert="horz" wrap="none" lIns="0" tIns="0" rIns="0" bIns="0" anchor="t" anchorCtr="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aASiHd8BAAC8AwAADgAAAAAA&#10;AAABACAAAAAeAQAAZHJzL2Uyb0RvYy54bWxQSwUGAAAAAAYABgBZAQAAbwUAAAAA&#10;">
              <v:fill on="f" focussize="0,0"/>
              <v:stroke on="f"/>
              <v:imagedata o:title=""/>
              <o:lock v:ext="edit" aspectratio="f"/>
              <v:textbox inset="0mm,0mm,0mm,0mm" style="mso-fit-shape-to-text:t;">
                <w:txbxContent>
                  <w:p w14:paraId="0251E941">
                    <w:pPr>
                      <w:jc w:val="left"/>
                    </w:pPr>
                  </w:p>
                  <w:p w14:paraId="55959093"/>
                </w:txbxContent>
              </v:textbox>
            </v:shape>
          </w:pict>
        </mc:Fallback>
      </mc:AlternateContent>
    </w:r>
    <w:r>
      <w:rPr>
        <w:rFonts w:hint="eastAsia" w:ascii="宋体" w:hAnsi="宋体" w:eastAsia="宋体"/>
        <w:sz w:val="18"/>
        <w:szCs w:val="18"/>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00A7B">
    <w:pPr>
      <w:pStyle w:val="29"/>
      <w:jc w:val="both"/>
      <w:rPr>
        <w:rFonts w:ascii="宋体" w:hAnsi="宋体" w:eastAsia="宋体"/>
      </w:rPr>
    </w:pPr>
    <w:r>
      <w:rPr>
        <w:rFonts w:hint="eastAsia" w:ascii="宋体" w:hAnsi="宋体" w:eastAsia="宋体"/>
      </w:rPr>
      <w:t>政府采购招标文件                                                                     标号：XXX-XXX-XXX-XXX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6E472">
    <w:pPr>
      <w:pStyle w:val="29"/>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3C394">
    <w:pPr>
      <w:pBdr>
        <w:bottom w:val="single" w:color="auto" w:sz="4" w:space="0"/>
      </w:pBdr>
      <w:rPr>
        <w:rFonts w:ascii="宋体" w:hAnsi="宋体" w:eastAsia="宋体"/>
        <w:highlight w:val="none"/>
      </w:rPr>
    </w:pPr>
    <w:r>
      <w:rPr>
        <w:rFonts w:hint="eastAsia" w:ascii="宋体" w:hAnsi="宋体" w:eastAsia="宋体"/>
        <w:highlight w:val="none"/>
      </w:rPr>
      <w:t>政府采购招标文件                                            标号</w:t>
    </w:r>
    <w:r>
      <w:rPr>
        <w:rFonts w:hint="eastAsia" w:ascii="宋体" w:hAnsi="宋体" w:eastAsia="宋体"/>
        <w:highlight w:val="none"/>
        <w:lang w:eastAsia="zh-CN"/>
      </w:rPr>
      <w:t>JSZC-320500-SZCH-G2026-0049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83DD9F"/>
    <w:multiLevelType w:val="singleLevel"/>
    <w:tmpl w:val="9883DD9F"/>
    <w:lvl w:ilvl="0" w:tentative="0">
      <w:start w:val="2"/>
      <w:numFmt w:val="chineseCounting"/>
      <w:suff w:val="nothing"/>
      <w:lvlText w:val="（%1）"/>
      <w:lvlJc w:val="left"/>
      <w:rPr>
        <w:rFonts w:hint="eastAsia"/>
      </w:rPr>
    </w:lvl>
  </w:abstractNum>
  <w:abstractNum w:abstractNumId="1">
    <w:nsid w:val="A40EB490"/>
    <w:multiLevelType w:val="singleLevel"/>
    <w:tmpl w:val="A40EB490"/>
    <w:lvl w:ilvl="0" w:tentative="0">
      <w:start w:val="1"/>
      <w:numFmt w:val="decimal"/>
      <w:suff w:val="space"/>
      <w:lvlText w:val="%1."/>
      <w:lvlJc w:val="left"/>
    </w:lvl>
  </w:abstractNum>
  <w:abstractNum w:abstractNumId="2">
    <w:nsid w:val="053E4EA5"/>
    <w:multiLevelType w:val="multilevel"/>
    <w:tmpl w:val="053E4EA5"/>
    <w:lvl w:ilvl="0" w:tentative="0">
      <w:start w:val="1"/>
      <w:numFmt w:val="decimal"/>
      <w:suff w:val="space"/>
      <w:lvlText w:val="%1"/>
      <w:lvlJc w:val="left"/>
      <w:pPr>
        <w:ind w:left="0" w:firstLine="0"/>
      </w:pPr>
      <w:rPr>
        <w:rFonts w:hint="eastAsia" w:ascii="宋体" w:hAnsi="宋体" w:eastAsia="宋体"/>
        <w:b/>
      </w:rPr>
    </w:lvl>
    <w:lvl w:ilvl="1" w:tentative="0">
      <w:start w:val="1"/>
      <w:numFmt w:val="decimal"/>
      <w:pStyle w:val="100"/>
      <w:suff w:val="space"/>
      <w:lvlText w:val="%1.%2"/>
      <w:lvlJc w:val="left"/>
      <w:pPr>
        <w:ind w:left="0" w:firstLine="510"/>
      </w:pPr>
      <w:rPr>
        <w:rFonts w:hint="eastAsia" w:ascii="宋体" w:hAnsi="宋体" w:eastAsia="宋体"/>
      </w:rPr>
    </w:lvl>
    <w:lvl w:ilvl="2" w:tentative="0">
      <w:start w:val="1"/>
      <w:numFmt w:val="decimal"/>
      <w:lvlText w:val="%1.%2.%3"/>
      <w:lvlJc w:val="left"/>
      <w:pPr>
        <w:ind w:left="0" w:firstLine="510"/>
      </w:pPr>
      <w:rPr>
        <w:rFonts w:hint="eastAsia"/>
      </w:rPr>
    </w:lvl>
    <w:lvl w:ilvl="3" w:tentative="0">
      <w:start w:val="1"/>
      <w:numFmt w:val="decimal"/>
      <w:lvlText w:val="%1.%2.%3.%4"/>
      <w:lvlJc w:val="left"/>
      <w:pPr>
        <w:ind w:left="0" w:firstLine="425"/>
      </w:pPr>
      <w:rPr>
        <w:rFonts w:hint="eastAsia" w:ascii="宋体" w:hAnsi="宋体" w:eastAsia="宋体"/>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382F1305"/>
    <w:multiLevelType w:val="multilevel"/>
    <w:tmpl w:val="382F1305"/>
    <w:lvl w:ilvl="0" w:tentative="0">
      <w:start w:val="12"/>
      <w:numFmt w:val="decimal"/>
      <w:pStyle w:val="125"/>
      <w:lvlText w:val=""/>
      <w:lvlJc w:val="left"/>
      <w:pPr>
        <w:tabs>
          <w:tab w:val="left" w:pos="360"/>
        </w:tabs>
        <w:ind w:left="360" w:hanging="360"/>
      </w:pPr>
      <w:rPr>
        <w:rFonts w:hint="default"/>
      </w:rPr>
    </w:lvl>
    <w:lvl w:ilvl="1" w:tentative="0">
      <w:start w:val="1"/>
      <w:numFmt w:val="decimal"/>
      <w:lvlText w:val="%1.%2"/>
      <w:lvlJc w:val="left"/>
      <w:pPr>
        <w:tabs>
          <w:tab w:val="left" w:pos="1012"/>
        </w:tabs>
        <w:ind w:left="1012" w:hanging="750"/>
      </w:pPr>
      <w:rPr>
        <w:rFonts w:hint="default"/>
      </w:rPr>
    </w:lvl>
    <w:lvl w:ilvl="2" w:tentative="0">
      <w:start w:val="1"/>
      <w:numFmt w:val="decimal"/>
      <w:lvlText w:val="%1.%2.%3"/>
      <w:lvlJc w:val="left"/>
      <w:pPr>
        <w:tabs>
          <w:tab w:val="left" w:pos="1274"/>
        </w:tabs>
        <w:ind w:left="1274" w:hanging="750"/>
      </w:pPr>
      <w:rPr>
        <w:rFonts w:hint="default"/>
      </w:rPr>
    </w:lvl>
    <w:lvl w:ilvl="3" w:tentative="0">
      <w:start w:val="1"/>
      <w:numFmt w:val="decimal"/>
      <w:lvlText w:val="%1.%2.%3.%4"/>
      <w:lvlJc w:val="left"/>
      <w:pPr>
        <w:tabs>
          <w:tab w:val="left" w:pos="1536"/>
        </w:tabs>
        <w:ind w:left="1536" w:hanging="750"/>
      </w:pPr>
      <w:rPr>
        <w:rFonts w:hint="default"/>
      </w:rPr>
    </w:lvl>
    <w:lvl w:ilvl="4" w:tentative="0">
      <w:start w:val="1"/>
      <w:numFmt w:val="decimal"/>
      <w:lvlText w:val="%1.%2.%3.%4.%5"/>
      <w:lvlJc w:val="left"/>
      <w:pPr>
        <w:tabs>
          <w:tab w:val="left" w:pos="1798"/>
        </w:tabs>
        <w:ind w:left="1798" w:hanging="750"/>
      </w:pPr>
      <w:rPr>
        <w:rFonts w:hint="default"/>
      </w:rPr>
    </w:lvl>
    <w:lvl w:ilvl="5" w:tentative="0">
      <w:start w:val="1"/>
      <w:numFmt w:val="decimal"/>
      <w:lvlText w:val="%1.%2.%3.%4.%5.%6"/>
      <w:lvlJc w:val="left"/>
      <w:pPr>
        <w:tabs>
          <w:tab w:val="left" w:pos="2060"/>
        </w:tabs>
        <w:ind w:left="2060" w:hanging="750"/>
      </w:pPr>
      <w:rPr>
        <w:rFonts w:hint="default"/>
      </w:rPr>
    </w:lvl>
    <w:lvl w:ilvl="6" w:tentative="0">
      <w:start w:val="1"/>
      <w:numFmt w:val="decimal"/>
      <w:lvlText w:val="%1.%2.%3.%4.%5.%6.%7"/>
      <w:lvlJc w:val="left"/>
      <w:pPr>
        <w:tabs>
          <w:tab w:val="left" w:pos="2322"/>
        </w:tabs>
        <w:ind w:left="2322" w:hanging="750"/>
      </w:pPr>
      <w:rPr>
        <w:rFonts w:hint="default"/>
      </w:rPr>
    </w:lvl>
    <w:lvl w:ilvl="7" w:tentative="0">
      <w:start w:val="1"/>
      <w:numFmt w:val="decimal"/>
      <w:lvlText w:val="%1.%2.%3.%4.%5.%6.%7.%8"/>
      <w:lvlJc w:val="left"/>
      <w:pPr>
        <w:tabs>
          <w:tab w:val="left" w:pos="2584"/>
        </w:tabs>
        <w:ind w:left="2584" w:hanging="750"/>
      </w:pPr>
      <w:rPr>
        <w:rFonts w:hint="default"/>
      </w:rPr>
    </w:lvl>
    <w:lvl w:ilvl="8" w:tentative="0">
      <w:start w:val="1"/>
      <w:numFmt w:val="decimal"/>
      <w:lvlText w:val="%1.%2.%3.%4.%5.%6.%7.%8.%9"/>
      <w:lvlJc w:val="left"/>
      <w:pPr>
        <w:tabs>
          <w:tab w:val="left" w:pos="2846"/>
        </w:tabs>
        <w:ind w:left="2846" w:hanging="75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hideSpellingErrors/>
  <w:documentProtection w:enforcement="0"/>
  <w:defaultTabStop w:val="420"/>
  <w:drawingGridHorizontalSpacing w:val="96"/>
  <w:drawingGridVerticalSpacing w:val="1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zZDE1MmQxNTIwNTczY2Y4YWJjNzFiMTM5ZjNlODYifQ=="/>
  </w:docVars>
  <w:rsids>
    <w:rsidRoot w:val="00725756"/>
    <w:rsid w:val="00003F16"/>
    <w:rsid w:val="000162A1"/>
    <w:rsid w:val="00020B4A"/>
    <w:rsid w:val="00023822"/>
    <w:rsid w:val="000312F0"/>
    <w:rsid w:val="000368CE"/>
    <w:rsid w:val="00040037"/>
    <w:rsid w:val="0004008F"/>
    <w:rsid w:val="00052620"/>
    <w:rsid w:val="000654C3"/>
    <w:rsid w:val="0009030D"/>
    <w:rsid w:val="000A14F3"/>
    <w:rsid w:val="000A6479"/>
    <w:rsid w:val="000B0F6E"/>
    <w:rsid w:val="000C5C82"/>
    <w:rsid w:val="000C6E76"/>
    <w:rsid w:val="000C7726"/>
    <w:rsid w:val="000C7E5E"/>
    <w:rsid w:val="00106E17"/>
    <w:rsid w:val="00131C99"/>
    <w:rsid w:val="001535E0"/>
    <w:rsid w:val="00155D12"/>
    <w:rsid w:val="001B7EFA"/>
    <w:rsid w:val="001C0595"/>
    <w:rsid w:val="001D7F9D"/>
    <w:rsid w:val="001F1E48"/>
    <w:rsid w:val="001F5420"/>
    <w:rsid w:val="0020000E"/>
    <w:rsid w:val="00204595"/>
    <w:rsid w:val="00212030"/>
    <w:rsid w:val="00217E48"/>
    <w:rsid w:val="00231BC8"/>
    <w:rsid w:val="00246DA4"/>
    <w:rsid w:val="00253F50"/>
    <w:rsid w:val="00277C1F"/>
    <w:rsid w:val="00281AE2"/>
    <w:rsid w:val="0028755B"/>
    <w:rsid w:val="0029413C"/>
    <w:rsid w:val="0029424C"/>
    <w:rsid w:val="00294AE0"/>
    <w:rsid w:val="002A3529"/>
    <w:rsid w:val="002A750E"/>
    <w:rsid w:val="002B07B8"/>
    <w:rsid w:val="002C097D"/>
    <w:rsid w:val="002C7473"/>
    <w:rsid w:val="002D0FBC"/>
    <w:rsid w:val="002D4588"/>
    <w:rsid w:val="002D587B"/>
    <w:rsid w:val="002D7A5A"/>
    <w:rsid w:val="002E47A0"/>
    <w:rsid w:val="002F2AFA"/>
    <w:rsid w:val="00305038"/>
    <w:rsid w:val="00317ADF"/>
    <w:rsid w:val="00331C1B"/>
    <w:rsid w:val="00335CD5"/>
    <w:rsid w:val="003440AD"/>
    <w:rsid w:val="00345914"/>
    <w:rsid w:val="00345EE3"/>
    <w:rsid w:val="00354868"/>
    <w:rsid w:val="00355C91"/>
    <w:rsid w:val="00363137"/>
    <w:rsid w:val="00366C85"/>
    <w:rsid w:val="003C2391"/>
    <w:rsid w:val="003D78CC"/>
    <w:rsid w:val="003E7E39"/>
    <w:rsid w:val="003F2FC1"/>
    <w:rsid w:val="00400A6C"/>
    <w:rsid w:val="00401AE6"/>
    <w:rsid w:val="004060F3"/>
    <w:rsid w:val="00411F78"/>
    <w:rsid w:val="00412204"/>
    <w:rsid w:val="00453FF8"/>
    <w:rsid w:val="004564F3"/>
    <w:rsid w:val="0046474F"/>
    <w:rsid w:val="00474500"/>
    <w:rsid w:val="004768A9"/>
    <w:rsid w:val="00480282"/>
    <w:rsid w:val="004A204A"/>
    <w:rsid w:val="004C0072"/>
    <w:rsid w:val="004C10B3"/>
    <w:rsid w:val="004C5086"/>
    <w:rsid w:val="004C6876"/>
    <w:rsid w:val="004C7F4A"/>
    <w:rsid w:val="004E3F2B"/>
    <w:rsid w:val="004E6C26"/>
    <w:rsid w:val="004F5CC4"/>
    <w:rsid w:val="00507935"/>
    <w:rsid w:val="00511E1C"/>
    <w:rsid w:val="00535A64"/>
    <w:rsid w:val="00535C2E"/>
    <w:rsid w:val="00541A7C"/>
    <w:rsid w:val="005423C9"/>
    <w:rsid w:val="00552C05"/>
    <w:rsid w:val="00553C63"/>
    <w:rsid w:val="00566041"/>
    <w:rsid w:val="0057243A"/>
    <w:rsid w:val="00595192"/>
    <w:rsid w:val="005A4533"/>
    <w:rsid w:val="005C4E8A"/>
    <w:rsid w:val="0060149C"/>
    <w:rsid w:val="006051D6"/>
    <w:rsid w:val="00607BCC"/>
    <w:rsid w:val="00625E02"/>
    <w:rsid w:val="00625FCC"/>
    <w:rsid w:val="006352A2"/>
    <w:rsid w:val="00641293"/>
    <w:rsid w:val="006521BE"/>
    <w:rsid w:val="0065301E"/>
    <w:rsid w:val="0065346F"/>
    <w:rsid w:val="00653714"/>
    <w:rsid w:val="0065459E"/>
    <w:rsid w:val="00655A7E"/>
    <w:rsid w:val="00665A5E"/>
    <w:rsid w:val="00671D1A"/>
    <w:rsid w:val="00671E5D"/>
    <w:rsid w:val="006908BF"/>
    <w:rsid w:val="00691AE4"/>
    <w:rsid w:val="006A6CA0"/>
    <w:rsid w:val="006C621A"/>
    <w:rsid w:val="006C7A5E"/>
    <w:rsid w:val="006D16A0"/>
    <w:rsid w:val="006D1840"/>
    <w:rsid w:val="006D4C76"/>
    <w:rsid w:val="006F09D0"/>
    <w:rsid w:val="007062E3"/>
    <w:rsid w:val="0071182A"/>
    <w:rsid w:val="007147B8"/>
    <w:rsid w:val="00716548"/>
    <w:rsid w:val="00725756"/>
    <w:rsid w:val="00727997"/>
    <w:rsid w:val="0073622E"/>
    <w:rsid w:val="00743D78"/>
    <w:rsid w:val="00744F22"/>
    <w:rsid w:val="00746FE2"/>
    <w:rsid w:val="00754C3A"/>
    <w:rsid w:val="00755198"/>
    <w:rsid w:val="007556AA"/>
    <w:rsid w:val="00755E3B"/>
    <w:rsid w:val="0077519C"/>
    <w:rsid w:val="00784C29"/>
    <w:rsid w:val="00796B02"/>
    <w:rsid w:val="00797ADD"/>
    <w:rsid w:val="007A1076"/>
    <w:rsid w:val="007B413F"/>
    <w:rsid w:val="007C2B6A"/>
    <w:rsid w:val="007D3DAB"/>
    <w:rsid w:val="007D5D5F"/>
    <w:rsid w:val="0080252D"/>
    <w:rsid w:val="008321E7"/>
    <w:rsid w:val="00835DE9"/>
    <w:rsid w:val="008365FE"/>
    <w:rsid w:val="00856AF0"/>
    <w:rsid w:val="008622EC"/>
    <w:rsid w:val="008642B2"/>
    <w:rsid w:val="00866338"/>
    <w:rsid w:val="0087262F"/>
    <w:rsid w:val="008742D6"/>
    <w:rsid w:val="00875117"/>
    <w:rsid w:val="0089017D"/>
    <w:rsid w:val="00891A00"/>
    <w:rsid w:val="00895F9B"/>
    <w:rsid w:val="00896E83"/>
    <w:rsid w:val="00897195"/>
    <w:rsid w:val="008A2BF1"/>
    <w:rsid w:val="008A5C22"/>
    <w:rsid w:val="008A75FB"/>
    <w:rsid w:val="008B3FB8"/>
    <w:rsid w:val="008C16AC"/>
    <w:rsid w:val="008E76F0"/>
    <w:rsid w:val="008F6CF8"/>
    <w:rsid w:val="00911CA8"/>
    <w:rsid w:val="00912DA2"/>
    <w:rsid w:val="0091541E"/>
    <w:rsid w:val="009154ED"/>
    <w:rsid w:val="00924B1F"/>
    <w:rsid w:val="00925E6C"/>
    <w:rsid w:val="00926292"/>
    <w:rsid w:val="00934D05"/>
    <w:rsid w:val="00981962"/>
    <w:rsid w:val="00984022"/>
    <w:rsid w:val="00996633"/>
    <w:rsid w:val="009A320C"/>
    <w:rsid w:val="009A4D07"/>
    <w:rsid w:val="009B5C70"/>
    <w:rsid w:val="009B676B"/>
    <w:rsid w:val="009F5E36"/>
    <w:rsid w:val="00A15DBC"/>
    <w:rsid w:val="00A279AD"/>
    <w:rsid w:val="00A4365B"/>
    <w:rsid w:val="00A51FBB"/>
    <w:rsid w:val="00A5656B"/>
    <w:rsid w:val="00A62EFC"/>
    <w:rsid w:val="00A70D69"/>
    <w:rsid w:val="00A809DB"/>
    <w:rsid w:val="00A84FD5"/>
    <w:rsid w:val="00A917AA"/>
    <w:rsid w:val="00A93658"/>
    <w:rsid w:val="00AA5D1C"/>
    <w:rsid w:val="00AB6578"/>
    <w:rsid w:val="00AB7C05"/>
    <w:rsid w:val="00AC0785"/>
    <w:rsid w:val="00AC4D36"/>
    <w:rsid w:val="00AC59F3"/>
    <w:rsid w:val="00AD06B5"/>
    <w:rsid w:val="00AE1543"/>
    <w:rsid w:val="00AE5802"/>
    <w:rsid w:val="00AF0979"/>
    <w:rsid w:val="00AF3D0F"/>
    <w:rsid w:val="00B2560A"/>
    <w:rsid w:val="00B40A1E"/>
    <w:rsid w:val="00B87DC0"/>
    <w:rsid w:val="00BA07E0"/>
    <w:rsid w:val="00BA14A8"/>
    <w:rsid w:val="00BB146A"/>
    <w:rsid w:val="00BB33EA"/>
    <w:rsid w:val="00BB34D1"/>
    <w:rsid w:val="00BC1BC0"/>
    <w:rsid w:val="00BD056D"/>
    <w:rsid w:val="00BD057D"/>
    <w:rsid w:val="00BD3C05"/>
    <w:rsid w:val="00BE0187"/>
    <w:rsid w:val="00BE488F"/>
    <w:rsid w:val="00BE607A"/>
    <w:rsid w:val="00BF1A1B"/>
    <w:rsid w:val="00C0495E"/>
    <w:rsid w:val="00C1149C"/>
    <w:rsid w:val="00C36F1A"/>
    <w:rsid w:val="00C5158A"/>
    <w:rsid w:val="00C573D6"/>
    <w:rsid w:val="00C574A2"/>
    <w:rsid w:val="00C61C30"/>
    <w:rsid w:val="00C67F4E"/>
    <w:rsid w:val="00C73805"/>
    <w:rsid w:val="00C75D3E"/>
    <w:rsid w:val="00C8063A"/>
    <w:rsid w:val="00C8217F"/>
    <w:rsid w:val="00C9503C"/>
    <w:rsid w:val="00C95182"/>
    <w:rsid w:val="00C97C05"/>
    <w:rsid w:val="00CB0C86"/>
    <w:rsid w:val="00CC2C1A"/>
    <w:rsid w:val="00CC4757"/>
    <w:rsid w:val="00CC582B"/>
    <w:rsid w:val="00CD34C8"/>
    <w:rsid w:val="00CE01D4"/>
    <w:rsid w:val="00D06CDB"/>
    <w:rsid w:val="00D10BDF"/>
    <w:rsid w:val="00D342DC"/>
    <w:rsid w:val="00D45DD4"/>
    <w:rsid w:val="00D5445F"/>
    <w:rsid w:val="00D64B25"/>
    <w:rsid w:val="00D819B5"/>
    <w:rsid w:val="00D92310"/>
    <w:rsid w:val="00D94FEE"/>
    <w:rsid w:val="00D96354"/>
    <w:rsid w:val="00DA27CA"/>
    <w:rsid w:val="00DB53D3"/>
    <w:rsid w:val="00DC3B45"/>
    <w:rsid w:val="00DC3D13"/>
    <w:rsid w:val="00DC656B"/>
    <w:rsid w:val="00DD172B"/>
    <w:rsid w:val="00DD347B"/>
    <w:rsid w:val="00DE08E0"/>
    <w:rsid w:val="00DE599C"/>
    <w:rsid w:val="00DE65F0"/>
    <w:rsid w:val="00E0607E"/>
    <w:rsid w:val="00E1174A"/>
    <w:rsid w:val="00E15D40"/>
    <w:rsid w:val="00E17FA8"/>
    <w:rsid w:val="00E3209F"/>
    <w:rsid w:val="00E3392C"/>
    <w:rsid w:val="00E3512D"/>
    <w:rsid w:val="00E4504E"/>
    <w:rsid w:val="00E4612A"/>
    <w:rsid w:val="00E55F48"/>
    <w:rsid w:val="00E57E3A"/>
    <w:rsid w:val="00E62BE7"/>
    <w:rsid w:val="00E77886"/>
    <w:rsid w:val="00E908CF"/>
    <w:rsid w:val="00E91645"/>
    <w:rsid w:val="00E9237B"/>
    <w:rsid w:val="00E926E1"/>
    <w:rsid w:val="00E94410"/>
    <w:rsid w:val="00EA0FCB"/>
    <w:rsid w:val="00EC066E"/>
    <w:rsid w:val="00EC22BC"/>
    <w:rsid w:val="00ED4D8F"/>
    <w:rsid w:val="00EE6EAA"/>
    <w:rsid w:val="00EE6FD5"/>
    <w:rsid w:val="00EE7119"/>
    <w:rsid w:val="00EF546B"/>
    <w:rsid w:val="00F129B7"/>
    <w:rsid w:val="00F1526D"/>
    <w:rsid w:val="00F15756"/>
    <w:rsid w:val="00F25057"/>
    <w:rsid w:val="00F2648B"/>
    <w:rsid w:val="00F3265D"/>
    <w:rsid w:val="00F32B80"/>
    <w:rsid w:val="00F426AE"/>
    <w:rsid w:val="00F71F95"/>
    <w:rsid w:val="00F74D44"/>
    <w:rsid w:val="00F9456D"/>
    <w:rsid w:val="00FA6D5E"/>
    <w:rsid w:val="00FB4B02"/>
    <w:rsid w:val="00FB74C4"/>
    <w:rsid w:val="00FC2911"/>
    <w:rsid w:val="00FC5500"/>
    <w:rsid w:val="00FC57E3"/>
    <w:rsid w:val="00FD5715"/>
    <w:rsid w:val="00FD6055"/>
    <w:rsid w:val="00FE3831"/>
    <w:rsid w:val="00FE3DB4"/>
    <w:rsid w:val="00FE44BE"/>
    <w:rsid w:val="00FF6AB6"/>
    <w:rsid w:val="01453F0A"/>
    <w:rsid w:val="01493C7B"/>
    <w:rsid w:val="0194674A"/>
    <w:rsid w:val="0223197D"/>
    <w:rsid w:val="022C33AA"/>
    <w:rsid w:val="02936B21"/>
    <w:rsid w:val="02A21FFA"/>
    <w:rsid w:val="02B727CF"/>
    <w:rsid w:val="02D14E3E"/>
    <w:rsid w:val="03171514"/>
    <w:rsid w:val="03321D76"/>
    <w:rsid w:val="03655EDC"/>
    <w:rsid w:val="03A86425"/>
    <w:rsid w:val="042F2923"/>
    <w:rsid w:val="049B05E5"/>
    <w:rsid w:val="04A413DA"/>
    <w:rsid w:val="04CC1D57"/>
    <w:rsid w:val="054A1B97"/>
    <w:rsid w:val="055B3806"/>
    <w:rsid w:val="057A2C6B"/>
    <w:rsid w:val="05976786"/>
    <w:rsid w:val="05B74F9E"/>
    <w:rsid w:val="05F62D49"/>
    <w:rsid w:val="064F49ED"/>
    <w:rsid w:val="0680769D"/>
    <w:rsid w:val="06B42E62"/>
    <w:rsid w:val="0725051F"/>
    <w:rsid w:val="072F6CD4"/>
    <w:rsid w:val="075C38E9"/>
    <w:rsid w:val="083B347B"/>
    <w:rsid w:val="086F0838"/>
    <w:rsid w:val="087E2F85"/>
    <w:rsid w:val="088773D0"/>
    <w:rsid w:val="08973851"/>
    <w:rsid w:val="08AE3CAB"/>
    <w:rsid w:val="08AF0B97"/>
    <w:rsid w:val="09C13E5F"/>
    <w:rsid w:val="0A1A286B"/>
    <w:rsid w:val="0A1E152C"/>
    <w:rsid w:val="0A4C75A9"/>
    <w:rsid w:val="0A694666"/>
    <w:rsid w:val="0A9426C4"/>
    <w:rsid w:val="0A9D4E80"/>
    <w:rsid w:val="0AB440FB"/>
    <w:rsid w:val="0ADE11DF"/>
    <w:rsid w:val="0B0E10E5"/>
    <w:rsid w:val="0B7D1118"/>
    <w:rsid w:val="0B7E4CEE"/>
    <w:rsid w:val="0B8D6DA6"/>
    <w:rsid w:val="0BF434E0"/>
    <w:rsid w:val="0BF65852"/>
    <w:rsid w:val="0C404922"/>
    <w:rsid w:val="0CB441C6"/>
    <w:rsid w:val="0CB47CA0"/>
    <w:rsid w:val="0D415B0B"/>
    <w:rsid w:val="0D5F19BA"/>
    <w:rsid w:val="0DBC2305"/>
    <w:rsid w:val="0DBC5AA9"/>
    <w:rsid w:val="0DDB053A"/>
    <w:rsid w:val="0DF55AB1"/>
    <w:rsid w:val="0E225C39"/>
    <w:rsid w:val="0F3C2778"/>
    <w:rsid w:val="0F586350"/>
    <w:rsid w:val="0F785804"/>
    <w:rsid w:val="0F7B31D4"/>
    <w:rsid w:val="0F887EC8"/>
    <w:rsid w:val="0FE2709E"/>
    <w:rsid w:val="0FFA2E60"/>
    <w:rsid w:val="101B2A2F"/>
    <w:rsid w:val="10EA2A6A"/>
    <w:rsid w:val="11186E24"/>
    <w:rsid w:val="112C08D5"/>
    <w:rsid w:val="112F4BDD"/>
    <w:rsid w:val="11586E4C"/>
    <w:rsid w:val="11800A80"/>
    <w:rsid w:val="11875983"/>
    <w:rsid w:val="11BF5D49"/>
    <w:rsid w:val="11E466CA"/>
    <w:rsid w:val="124E3C45"/>
    <w:rsid w:val="1297620A"/>
    <w:rsid w:val="12BB577E"/>
    <w:rsid w:val="12DF00BB"/>
    <w:rsid w:val="12E56F2A"/>
    <w:rsid w:val="139F3454"/>
    <w:rsid w:val="13BB7933"/>
    <w:rsid w:val="13EB0FC6"/>
    <w:rsid w:val="147A63A4"/>
    <w:rsid w:val="14E02718"/>
    <w:rsid w:val="153313A4"/>
    <w:rsid w:val="153907AB"/>
    <w:rsid w:val="159E42AC"/>
    <w:rsid w:val="15AE4DEC"/>
    <w:rsid w:val="15DA1C3D"/>
    <w:rsid w:val="15E526C5"/>
    <w:rsid w:val="15E57F5B"/>
    <w:rsid w:val="16564AE7"/>
    <w:rsid w:val="167230F2"/>
    <w:rsid w:val="168212FF"/>
    <w:rsid w:val="16A65C51"/>
    <w:rsid w:val="16C25AA7"/>
    <w:rsid w:val="16C65170"/>
    <w:rsid w:val="1723303D"/>
    <w:rsid w:val="172344DB"/>
    <w:rsid w:val="17637FB8"/>
    <w:rsid w:val="17AB738F"/>
    <w:rsid w:val="180F2CB1"/>
    <w:rsid w:val="18300227"/>
    <w:rsid w:val="18441ED8"/>
    <w:rsid w:val="186F4C6F"/>
    <w:rsid w:val="19A22058"/>
    <w:rsid w:val="19C44ECD"/>
    <w:rsid w:val="19CF75C4"/>
    <w:rsid w:val="1AF856F2"/>
    <w:rsid w:val="1B52166A"/>
    <w:rsid w:val="1B64768D"/>
    <w:rsid w:val="1B912A8E"/>
    <w:rsid w:val="1B99660A"/>
    <w:rsid w:val="1B9C39B9"/>
    <w:rsid w:val="1C163F7C"/>
    <w:rsid w:val="1C2E4F1A"/>
    <w:rsid w:val="1C457AEE"/>
    <w:rsid w:val="1C4A2EF6"/>
    <w:rsid w:val="1C8C02F2"/>
    <w:rsid w:val="1CC655B2"/>
    <w:rsid w:val="1D0F6000"/>
    <w:rsid w:val="1D392CB2"/>
    <w:rsid w:val="1D81772B"/>
    <w:rsid w:val="1D8A2A83"/>
    <w:rsid w:val="1D9610C8"/>
    <w:rsid w:val="1DAB2D11"/>
    <w:rsid w:val="1DCB7136"/>
    <w:rsid w:val="1DFE0E0E"/>
    <w:rsid w:val="1E110D88"/>
    <w:rsid w:val="1EDF1C02"/>
    <w:rsid w:val="1EE03469"/>
    <w:rsid w:val="1F0A5FEE"/>
    <w:rsid w:val="1F3B41FA"/>
    <w:rsid w:val="1F5044E7"/>
    <w:rsid w:val="1F844B14"/>
    <w:rsid w:val="1FAC1BCB"/>
    <w:rsid w:val="1FD26F47"/>
    <w:rsid w:val="1FE8724E"/>
    <w:rsid w:val="20110237"/>
    <w:rsid w:val="20301D33"/>
    <w:rsid w:val="20512A30"/>
    <w:rsid w:val="20C52024"/>
    <w:rsid w:val="21240BB3"/>
    <w:rsid w:val="219D68BF"/>
    <w:rsid w:val="21BE528F"/>
    <w:rsid w:val="21CE30F3"/>
    <w:rsid w:val="22563522"/>
    <w:rsid w:val="229D04DD"/>
    <w:rsid w:val="22AE2E75"/>
    <w:rsid w:val="22DB065A"/>
    <w:rsid w:val="22F6679D"/>
    <w:rsid w:val="22FC5184"/>
    <w:rsid w:val="2300352A"/>
    <w:rsid w:val="23321FDB"/>
    <w:rsid w:val="23717974"/>
    <w:rsid w:val="23867ECE"/>
    <w:rsid w:val="238E1C17"/>
    <w:rsid w:val="23CC4CE6"/>
    <w:rsid w:val="23F437C8"/>
    <w:rsid w:val="24B85AAD"/>
    <w:rsid w:val="24C627FE"/>
    <w:rsid w:val="24F3120A"/>
    <w:rsid w:val="252D309B"/>
    <w:rsid w:val="254C22C0"/>
    <w:rsid w:val="257749EB"/>
    <w:rsid w:val="259E53CA"/>
    <w:rsid w:val="25C15400"/>
    <w:rsid w:val="25E20F82"/>
    <w:rsid w:val="2602724B"/>
    <w:rsid w:val="26A457B5"/>
    <w:rsid w:val="270C6B58"/>
    <w:rsid w:val="27304943"/>
    <w:rsid w:val="276205CD"/>
    <w:rsid w:val="27AF7689"/>
    <w:rsid w:val="27C20754"/>
    <w:rsid w:val="280F408B"/>
    <w:rsid w:val="283F34B5"/>
    <w:rsid w:val="28677B81"/>
    <w:rsid w:val="28A013AD"/>
    <w:rsid w:val="28B2596D"/>
    <w:rsid w:val="28C51E4B"/>
    <w:rsid w:val="28C70049"/>
    <w:rsid w:val="28EC0062"/>
    <w:rsid w:val="28F50C20"/>
    <w:rsid w:val="28FB2A87"/>
    <w:rsid w:val="2906012E"/>
    <w:rsid w:val="290B6E95"/>
    <w:rsid w:val="291C4345"/>
    <w:rsid w:val="29786006"/>
    <w:rsid w:val="29804184"/>
    <w:rsid w:val="298962C2"/>
    <w:rsid w:val="29C05D3D"/>
    <w:rsid w:val="2A100EEF"/>
    <w:rsid w:val="2A4E3074"/>
    <w:rsid w:val="2A54189A"/>
    <w:rsid w:val="2A550CA1"/>
    <w:rsid w:val="2B2762B5"/>
    <w:rsid w:val="2B8B4F7A"/>
    <w:rsid w:val="2B9E0CA0"/>
    <w:rsid w:val="2BBC757E"/>
    <w:rsid w:val="2BD44E15"/>
    <w:rsid w:val="2C0F5D08"/>
    <w:rsid w:val="2C1254ED"/>
    <w:rsid w:val="2C1F4F0C"/>
    <w:rsid w:val="2C2474F0"/>
    <w:rsid w:val="2C3170D7"/>
    <w:rsid w:val="2C434CA1"/>
    <w:rsid w:val="2C5D5807"/>
    <w:rsid w:val="2C8E2FF8"/>
    <w:rsid w:val="2CBF1B9D"/>
    <w:rsid w:val="2D095281"/>
    <w:rsid w:val="2D0A14EA"/>
    <w:rsid w:val="2D161F22"/>
    <w:rsid w:val="2D5A1D7F"/>
    <w:rsid w:val="2D9B4DDC"/>
    <w:rsid w:val="2DD2751F"/>
    <w:rsid w:val="2E143D3C"/>
    <w:rsid w:val="2E224162"/>
    <w:rsid w:val="2ECA3049"/>
    <w:rsid w:val="2EE8585B"/>
    <w:rsid w:val="2EF81CDA"/>
    <w:rsid w:val="2F19494E"/>
    <w:rsid w:val="2F58246A"/>
    <w:rsid w:val="2F864D82"/>
    <w:rsid w:val="2FDB4900"/>
    <w:rsid w:val="30A22A03"/>
    <w:rsid w:val="30F840B7"/>
    <w:rsid w:val="31117788"/>
    <w:rsid w:val="31331707"/>
    <w:rsid w:val="31505331"/>
    <w:rsid w:val="31631ED4"/>
    <w:rsid w:val="31726692"/>
    <w:rsid w:val="323E39E4"/>
    <w:rsid w:val="325F076C"/>
    <w:rsid w:val="326C4E77"/>
    <w:rsid w:val="32772466"/>
    <w:rsid w:val="32E13C50"/>
    <w:rsid w:val="33532B2D"/>
    <w:rsid w:val="33A85232"/>
    <w:rsid w:val="33D0367F"/>
    <w:rsid w:val="33D267D7"/>
    <w:rsid w:val="33D95AC2"/>
    <w:rsid w:val="348F258D"/>
    <w:rsid w:val="349508FC"/>
    <w:rsid w:val="34C7361A"/>
    <w:rsid w:val="34DC44A4"/>
    <w:rsid w:val="34F00120"/>
    <w:rsid w:val="352126E6"/>
    <w:rsid w:val="35481763"/>
    <w:rsid w:val="354C6511"/>
    <w:rsid w:val="35624F8E"/>
    <w:rsid w:val="35626DD5"/>
    <w:rsid w:val="35B34EA1"/>
    <w:rsid w:val="35F76C7A"/>
    <w:rsid w:val="35FE3505"/>
    <w:rsid w:val="36013D27"/>
    <w:rsid w:val="37123528"/>
    <w:rsid w:val="37345381"/>
    <w:rsid w:val="373730A3"/>
    <w:rsid w:val="37600009"/>
    <w:rsid w:val="37963E7C"/>
    <w:rsid w:val="37AE2E68"/>
    <w:rsid w:val="37C553E9"/>
    <w:rsid w:val="381959CB"/>
    <w:rsid w:val="38820CC1"/>
    <w:rsid w:val="38AC16A8"/>
    <w:rsid w:val="38FE7C00"/>
    <w:rsid w:val="391A1B0F"/>
    <w:rsid w:val="39253208"/>
    <w:rsid w:val="392620ED"/>
    <w:rsid w:val="396B144C"/>
    <w:rsid w:val="39CA53D9"/>
    <w:rsid w:val="39DC2F26"/>
    <w:rsid w:val="39DF5AAD"/>
    <w:rsid w:val="3A357430"/>
    <w:rsid w:val="3A730C52"/>
    <w:rsid w:val="3A8C6A61"/>
    <w:rsid w:val="3AB339A7"/>
    <w:rsid w:val="3AB41EA7"/>
    <w:rsid w:val="3ABD1BE1"/>
    <w:rsid w:val="3AE6120E"/>
    <w:rsid w:val="3B1265DA"/>
    <w:rsid w:val="3B7101CF"/>
    <w:rsid w:val="3C0D4EF8"/>
    <w:rsid w:val="3C0F313B"/>
    <w:rsid w:val="3C9F088C"/>
    <w:rsid w:val="3CFB6F01"/>
    <w:rsid w:val="3D024FC5"/>
    <w:rsid w:val="3D086003"/>
    <w:rsid w:val="3D0C4E0B"/>
    <w:rsid w:val="3D273892"/>
    <w:rsid w:val="3D4B698B"/>
    <w:rsid w:val="3D7B668F"/>
    <w:rsid w:val="3D8010A2"/>
    <w:rsid w:val="3DC833B9"/>
    <w:rsid w:val="3E1D3FC3"/>
    <w:rsid w:val="3E473F20"/>
    <w:rsid w:val="3F150735"/>
    <w:rsid w:val="3F625C5A"/>
    <w:rsid w:val="3F6B43E2"/>
    <w:rsid w:val="3FA83853"/>
    <w:rsid w:val="3FAF54CC"/>
    <w:rsid w:val="3FC82081"/>
    <w:rsid w:val="3FF59EFB"/>
    <w:rsid w:val="401D5763"/>
    <w:rsid w:val="402045D7"/>
    <w:rsid w:val="406761F5"/>
    <w:rsid w:val="409606FA"/>
    <w:rsid w:val="40B978AA"/>
    <w:rsid w:val="40D93BA4"/>
    <w:rsid w:val="40E37B00"/>
    <w:rsid w:val="410D73A4"/>
    <w:rsid w:val="413016CA"/>
    <w:rsid w:val="418B27D3"/>
    <w:rsid w:val="41947FF7"/>
    <w:rsid w:val="41B2179F"/>
    <w:rsid w:val="41B31BDA"/>
    <w:rsid w:val="41D87AC8"/>
    <w:rsid w:val="423C1015"/>
    <w:rsid w:val="426F4617"/>
    <w:rsid w:val="42E15252"/>
    <w:rsid w:val="430D78DE"/>
    <w:rsid w:val="43217136"/>
    <w:rsid w:val="4336221C"/>
    <w:rsid w:val="434F605B"/>
    <w:rsid w:val="4356495E"/>
    <w:rsid w:val="436020EE"/>
    <w:rsid w:val="43A64ACA"/>
    <w:rsid w:val="43C26DC0"/>
    <w:rsid w:val="43C92860"/>
    <w:rsid w:val="43F72B79"/>
    <w:rsid w:val="44044567"/>
    <w:rsid w:val="44CC47FB"/>
    <w:rsid w:val="44EA5901"/>
    <w:rsid w:val="453125F6"/>
    <w:rsid w:val="45684DAA"/>
    <w:rsid w:val="456A0936"/>
    <w:rsid w:val="45BD0AA4"/>
    <w:rsid w:val="45E36965"/>
    <w:rsid w:val="46502EB7"/>
    <w:rsid w:val="46503D5A"/>
    <w:rsid w:val="46EB4FD7"/>
    <w:rsid w:val="47582B58"/>
    <w:rsid w:val="47A84271"/>
    <w:rsid w:val="47C431B9"/>
    <w:rsid w:val="48800863"/>
    <w:rsid w:val="48B46EC3"/>
    <w:rsid w:val="48D025EC"/>
    <w:rsid w:val="48D91A2B"/>
    <w:rsid w:val="48F21F41"/>
    <w:rsid w:val="48F41CF2"/>
    <w:rsid w:val="490C4C82"/>
    <w:rsid w:val="49A563CB"/>
    <w:rsid w:val="49A730D8"/>
    <w:rsid w:val="49EA07F0"/>
    <w:rsid w:val="4A2E0F61"/>
    <w:rsid w:val="4A361F60"/>
    <w:rsid w:val="4A5D0DDF"/>
    <w:rsid w:val="4A8A64BF"/>
    <w:rsid w:val="4AB83169"/>
    <w:rsid w:val="4AC54177"/>
    <w:rsid w:val="4B312F66"/>
    <w:rsid w:val="4B596751"/>
    <w:rsid w:val="4B702865"/>
    <w:rsid w:val="4BC14786"/>
    <w:rsid w:val="4BE97015"/>
    <w:rsid w:val="4C353C3E"/>
    <w:rsid w:val="4C574951"/>
    <w:rsid w:val="4C802037"/>
    <w:rsid w:val="4CC172E4"/>
    <w:rsid w:val="4CD17EEB"/>
    <w:rsid w:val="4D144FF1"/>
    <w:rsid w:val="4D523B49"/>
    <w:rsid w:val="4D8A7FD3"/>
    <w:rsid w:val="4E246901"/>
    <w:rsid w:val="4E483D35"/>
    <w:rsid w:val="4EA11969"/>
    <w:rsid w:val="4EA84268"/>
    <w:rsid w:val="4EA85EEE"/>
    <w:rsid w:val="4F010389"/>
    <w:rsid w:val="4F1E7CA7"/>
    <w:rsid w:val="4F524CFA"/>
    <w:rsid w:val="4F575246"/>
    <w:rsid w:val="4F6C381A"/>
    <w:rsid w:val="4F792566"/>
    <w:rsid w:val="4FA27888"/>
    <w:rsid w:val="4FD44CA2"/>
    <w:rsid w:val="4FF31C41"/>
    <w:rsid w:val="50364468"/>
    <w:rsid w:val="505007BC"/>
    <w:rsid w:val="5088689F"/>
    <w:rsid w:val="508D0926"/>
    <w:rsid w:val="50A65A7A"/>
    <w:rsid w:val="50BE7899"/>
    <w:rsid w:val="51163ECE"/>
    <w:rsid w:val="512A76B9"/>
    <w:rsid w:val="512E5F34"/>
    <w:rsid w:val="519D2D48"/>
    <w:rsid w:val="51C840AB"/>
    <w:rsid w:val="51CF7E36"/>
    <w:rsid w:val="51E95707"/>
    <w:rsid w:val="52254342"/>
    <w:rsid w:val="5234790D"/>
    <w:rsid w:val="529A2CB9"/>
    <w:rsid w:val="52A47596"/>
    <w:rsid w:val="52A6498C"/>
    <w:rsid w:val="53AA7A2F"/>
    <w:rsid w:val="53C11B6C"/>
    <w:rsid w:val="53D51A26"/>
    <w:rsid w:val="54757067"/>
    <w:rsid w:val="5484324F"/>
    <w:rsid w:val="54A70B6A"/>
    <w:rsid w:val="54BE2A37"/>
    <w:rsid w:val="54D447AD"/>
    <w:rsid w:val="54EF1BAE"/>
    <w:rsid w:val="55195483"/>
    <w:rsid w:val="55750B09"/>
    <w:rsid w:val="55795E6F"/>
    <w:rsid w:val="55F9015E"/>
    <w:rsid w:val="562B2486"/>
    <w:rsid w:val="564C5460"/>
    <w:rsid w:val="56631044"/>
    <w:rsid w:val="5664316A"/>
    <w:rsid w:val="567900B4"/>
    <w:rsid w:val="56BC471A"/>
    <w:rsid w:val="57087F99"/>
    <w:rsid w:val="57092BF3"/>
    <w:rsid w:val="572D5C52"/>
    <w:rsid w:val="577616A4"/>
    <w:rsid w:val="57A04676"/>
    <w:rsid w:val="57A877DE"/>
    <w:rsid w:val="58377A11"/>
    <w:rsid w:val="58E427AC"/>
    <w:rsid w:val="58F5563B"/>
    <w:rsid w:val="591A40D3"/>
    <w:rsid w:val="593B28A8"/>
    <w:rsid w:val="596E793B"/>
    <w:rsid w:val="597D6A45"/>
    <w:rsid w:val="598A68B0"/>
    <w:rsid w:val="599D30EA"/>
    <w:rsid w:val="59C926A9"/>
    <w:rsid w:val="59F051A3"/>
    <w:rsid w:val="5A444881"/>
    <w:rsid w:val="5A9424C4"/>
    <w:rsid w:val="5A9F29C3"/>
    <w:rsid w:val="5AA77499"/>
    <w:rsid w:val="5AFB6F41"/>
    <w:rsid w:val="5B646A46"/>
    <w:rsid w:val="5BBF5578"/>
    <w:rsid w:val="5BC11E7F"/>
    <w:rsid w:val="5C0D0798"/>
    <w:rsid w:val="5C3F124D"/>
    <w:rsid w:val="5C870501"/>
    <w:rsid w:val="5C91458D"/>
    <w:rsid w:val="5CC162ED"/>
    <w:rsid w:val="5CFD81C8"/>
    <w:rsid w:val="5D325D70"/>
    <w:rsid w:val="5D8365CC"/>
    <w:rsid w:val="5D96345B"/>
    <w:rsid w:val="5DC30B3D"/>
    <w:rsid w:val="5DCF2168"/>
    <w:rsid w:val="5DDC61CA"/>
    <w:rsid w:val="5DEB4634"/>
    <w:rsid w:val="5E6A3262"/>
    <w:rsid w:val="5EA27B85"/>
    <w:rsid w:val="5EAF1663"/>
    <w:rsid w:val="5EBD0132"/>
    <w:rsid w:val="5EF77271"/>
    <w:rsid w:val="5EFB3F79"/>
    <w:rsid w:val="5F235FDE"/>
    <w:rsid w:val="5F4F6A51"/>
    <w:rsid w:val="5F522414"/>
    <w:rsid w:val="5F641E1D"/>
    <w:rsid w:val="5F8623A3"/>
    <w:rsid w:val="5FA10F8B"/>
    <w:rsid w:val="5FF4544B"/>
    <w:rsid w:val="610B2F63"/>
    <w:rsid w:val="6143643E"/>
    <w:rsid w:val="6198253F"/>
    <w:rsid w:val="61A30375"/>
    <w:rsid w:val="6269454A"/>
    <w:rsid w:val="62835E45"/>
    <w:rsid w:val="629628FD"/>
    <w:rsid w:val="62D768DF"/>
    <w:rsid w:val="63052B21"/>
    <w:rsid w:val="63866E9D"/>
    <w:rsid w:val="639A39B3"/>
    <w:rsid w:val="63BA6ABF"/>
    <w:rsid w:val="63DA2B13"/>
    <w:rsid w:val="64011F43"/>
    <w:rsid w:val="642A0366"/>
    <w:rsid w:val="64492B97"/>
    <w:rsid w:val="647558EE"/>
    <w:rsid w:val="64893614"/>
    <w:rsid w:val="64CE1249"/>
    <w:rsid w:val="64DE2969"/>
    <w:rsid w:val="650B6D08"/>
    <w:rsid w:val="6595654B"/>
    <w:rsid w:val="659D43C6"/>
    <w:rsid w:val="65B81269"/>
    <w:rsid w:val="65B954DC"/>
    <w:rsid w:val="663026E5"/>
    <w:rsid w:val="663B72A9"/>
    <w:rsid w:val="664D3B44"/>
    <w:rsid w:val="666855CB"/>
    <w:rsid w:val="671F44D0"/>
    <w:rsid w:val="673A464E"/>
    <w:rsid w:val="67D143A4"/>
    <w:rsid w:val="67E36F4A"/>
    <w:rsid w:val="682D0698"/>
    <w:rsid w:val="68393545"/>
    <w:rsid w:val="683B336A"/>
    <w:rsid w:val="68CC7404"/>
    <w:rsid w:val="69654426"/>
    <w:rsid w:val="696B291B"/>
    <w:rsid w:val="699A58F2"/>
    <w:rsid w:val="69AB308C"/>
    <w:rsid w:val="69C760AB"/>
    <w:rsid w:val="69EE7F3A"/>
    <w:rsid w:val="6A652199"/>
    <w:rsid w:val="6A7E25F5"/>
    <w:rsid w:val="6B33540C"/>
    <w:rsid w:val="6B366EB6"/>
    <w:rsid w:val="6B547844"/>
    <w:rsid w:val="6B6B1487"/>
    <w:rsid w:val="6B777044"/>
    <w:rsid w:val="6B792B6E"/>
    <w:rsid w:val="6BCC5F09"/>
    <w:rsid w:val="6BDF66EA"/>
    <w:rsid w:val="6BE61338"/>
    <w:rsid w:val="6BE75F78"/>
    <w:rsid w:val="6C2773F9"/>
    <w:rsid w:val="6CC3252A"/>
    <w:rsid w:val="6DB74A19"/>
    <w:rsid w:val="6E1B085D"/>
    <w:rsid w:val="6E337961"/>
    <w:rsid w:val="6EB76226"/>
    <w:rsid w:val="6EF235B1"/>
    <w:rsid w:val="6F3B7851"/>
    <w:rsid w:val="6F4F5C67"/>
    <w:rsid w:val="6F5C72A0"/>
    <w:rsid w:val="6F9111EB"/>
    <w:rsid w:val="700C41FF"/>
    <w:rsid w:val="70A50A48"/>
    <w:rsid w:val="713F2011"/>
    <w:rsid w:val="716F713B"/>
    <w:rsid w:val="71C546DD"/>
    <w:rsid w:val="720135F1"/>
    <w:rsid w:val="722C0759"/>
    <w:rsid w:val="727A5210"/>
    <w:rsid w:val="72F27F0A"/>
    <w:rsid w:val="73610F93"/>
    <w:rsid w:val="739A372D"/>
    <w:rsid w:val="73F90F3E"/>
    <w:rsid w:val="744B32A0"/>
    <w:rsid w:val="74A0634E"/>
    <w:rsid w:val="74D54C0E"/>
    <w:rsid w:val="75103FEA"/>
    <w:rsid w:val="754B5951"/>
    <w:rsid w:val="757162B7"/>
    <w:rsid w:val="763829C7"/>
    <w:rsid w:val="76460794"/>
    <w:rsid w:val="769C5FC4"/>
    <w:rsid w:val="76A71EE5"/>
    <w:rsid w:val="771A67DA"/>
    <w:rsid w:val="772D2E23"/>
    <w:rsid w:val="773A41A8"/>
    <w:rsid w:val="77607977"/>
    <w:rsid w:val="778E1A8C"/>
    <w:rsid w:val="778F0A81"/>
    <w:rsid w:val="77C71BAD"/>
    <w:rsid w:val="7804114D"/>
    <w:rsid w:val="783D1FF1"/>
    <w:rsid w:val="785A16D2"/>
    <w:rsid w:val="787F384A"/>
    <w:rsid w:val="787F40D5"/>
    <w:rsid w:val="787F5929"/>
    <w:rsid w:val="78DE29FC"/>
    <w:rsid w:val="78E66695"/>
    <w:rsid w:val="79172E44"/>
    <w:rsid w:val="797449B3"/>
    <w:rsid w:val="79E278A7"/>
    <w:rsid w:val="7A166970"/>
    <w:rsid w:val="7A2134D3"/>
    <w:rsid w:val="7A353AEB"/>
    <w:rsid w:val="7AFC63F9"/>
    <w:rsid w:val="7B127F6E"/>
    <w:rsid w:val="7B287AB0"/>
    <w:rsid w:val="7B632B5D"/>
    <w:rsid w:val="7B964991"/>
    <w:rsid w:val="7B994984"/>
    <w:rsid w:val="7B9D2AF7"/>
    <w:rsid w:val="7BE81464"/>
    <w:rsid w:val="7BF12988"/>
    <w:rsid w:val="7C3E3712"/>
    <w:rsid w:val="7C5B24F1"/>
    <w:rsid w:val="7C6F094C"/>
    <w:rsid w:val="7CA35EEB"/>
    <w:rsid w:val="7CAB4321"/>
    <w:rsid w:val="7CB225D2"/>
    <w:rsid w:val="7CC87271"/>
    <w:rsid w:val="7CD90519"/>
    <w:rsid w:val="7D387D3F"/>
    <w:rsid w:val="7D600713"/>
    <w:rsid w:val="7D6B1ABB"/>
    <w:rsid w:val="7D811F58"/>
    <w:rsid w:val="7DA65A57"/>
    <w:rsid w:val="7E246996"/>
    <w:rsid w:val="7E473FAE"/>
    <w:rsid w:val="7E4D7787"/>
    <w:rsid w:val="7EFC18E2"/>
    <w:rsid w:val="7F2B3F40"/>
    <w:rsid w:val="7F325A83"/>
    <w:rsid w:val="7F41558E"/>
    <w:rsid w:val="7F8D7B8B"/>
    <w:rsid w:val="7FA53D28"/>
    <w:rsid w:val="7FCB161E"/>
    <w:rsid w:val="9FBF86E5"/>
    <w:rsid w:val="D5D3AA23"/>
    <w:rsid w:val="D5E3F12E"/>
    <w:rsid w:val="DB7655F3"/>
    <w:rsid w:val="DE6636C3"/>
    <w:rsid w:val="E4EEE0DC"/>
    <w:rsid w:val="FDF3EC8A"/>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2"/>
    <w:autoRedefine/>
    <w:qFormat/>
    <w:uiPriority w:val="0"/>
    <w:pPr>
      <w:keepNext/>
      <w:keepLines/>
      <w:spacing w:before="340" w:after="330" w:line="578" w:lineRule="auto"/>
      <w:outlineLvl w:val="0"/>
    </w:pPr>
    <w:rPr>
      <w:rFonts w:ascii="Calibri" w:hAnsi="Calibri" w:eastAsia="楷体_GB2312" w:cs="Times New Roman"/>
      <w:b/>
      <w:kern w:val="44"/>
      <w:sz w:val="44"/>
      <w:szCs w:val="20"/>
    </w:rPr>
  </w:style>
  <w:style w:type="paragraph" w:styleId="3">
    <w:name w:val="heading 2"/>
    <w:basedOn w:val="1"/>
    <w:next w:val="1"/>
    <w:link w:val="63"/>
    <w:autoRedefine/>
    <w:qFormat/>
    <w:uiPriority w:val="0"/>
    <w:pPr>
      <w:keepNext/>
      <w:keepLines/>
      <w:overflowPunct w:val="0"/>
      <w:adjustRightInd w:val="0"/>
      <w:jc w:val="left"/>
      <w:textAlignment w:val="baseline"/>
      <w:outlineLvl w:val="1"/>
    </w:pPr>
    <w:rPr>
      <w:rFonts w:ascii="宋体" w:hAnsi="宋体" w:eastAsia="楷体_GB2312" w:cs="Times New Roman"/>
      <w:b/>
      <w:sz w:val="26"/>
      <w:szCs w:val="20"/>
    </w:rPr>
  </w:style>
  <w:style w:type="paragraph" w:styleId="4">
    <w:name w:val="heading 3"/>
    <w:basedOn w:val="1"/>
    <w:next w:val="1"/>
    <w:link w:val="64"/>
    <w:autoRedefine/>
    <w:qFormat/>
    <w:uiPriority w:val="0"/>
    <w:pPr>
      <w:keepNext/>
      <w:keepLines/>
      <w:adjustRightInd w:val="0"/>
      <w:jc w:val="left"/>
      <w:textAlignment w:val="baseline"/>
      <w:outlineLvl w:val="2"/>
    </w:pPr>
    <w:rPr>
      <w:rFonts w:ascii="Calibri" w:hAnsi="Calibri" w:eastAsia="楷体_GB2312" w:cs="Times New Roman"/>
      <w:b/>
      <w:sz w:val="26"/>
      <w:szCs w:val="20"/>
    </w:rPr>
  </w:style>
  <w:style w:type="paragraph" w:styleId="5">
    <w:name w:val="heading 4"/>
    <w:basedOn w:val="1"/>
    <w:next w:val="1"/>
    <w:link w:val="65"/>
    <w:autoRedefine/>
    <w:qFormat/>
    <w:uiPriority w:val="0"/>
    <w:pPr>
      <w:keepNext/>
      <w:keepLines/>
      <w:spacing w:before="280" w:after="290" w:line="376" w:lineRule="auto"/>
      <w:outlineLvl w:val="3"/>
    </w:pPr>
    <w:rPr>
      <w:rFonts w:ascii="Arial" w:hAnsi="Arial" w:eastAsia="黑体" w:cs="Times New Roman"/>
      <w:b/>
      <w:bCs/>
      <w:sz w:val="28"/>
      <w:szCs w:val="28"/>
    </w:rPr>
  </w:style>
  <w:style w:type="paragraph" w:styleId="6">
    <w:name w:val="heading 5"/>
    <w:basedOn w:val="1"/>
    <w:next w:val="1"/>
    <w:link w:val="66"/>
    <w:autoRedefine/>
    <w:qFormat/>
    <w:uiPriority w:val="0"/>
    <w:pPr>
      <w:keepNext/>
      <w:outlineLvl w:val="4"/>
    </w:pPr>
    <w:rPr>
      <w:rFonts w:ascii="宋体" w:hAnsi="宋体" w:eastAsia="宋体" w:cs="Times New Roman"/>
      <w:color w:val="000000"/>
      <w:sz w:val="28"/>
      <w:szCs w:val="20"/>
    </w:rPr>
  </w:style>
  <w:style w:type="paragraph" w:styleId="7">
    <w:name w:val="heading 6"/>
    <w:basedOn w:val="1"/>
    <w:next w:val="1"/>
    <w:link w:val="67"/>
    <w:autoRedefine/>
    <w:qFormat/>
    <w:uiPriority w:val="0"/>
    <w:pPr>
      <w:keepNext/>
      <w:outlineLvl w:val="5"/>
    </w:pPr>
    <w:rPr>
      <w:rFonts w:ascii="宋体" w:hAnsi="宋体" w:eastAsia="宋体" w:cs="Times New Roman"/>
      <w:sz w:val="28"/>
      <w:szCs w:val="20"/>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autoRedefine/>
    <w:qFormat/>
    <w:uiPriority w:val="0"/>
    <w:pPr>
      <w:ind w:left="2520"/>
    </w:pPr>
    <w:rPr>
      <w:rFonts w:ascii="Calibri" w:hAnsi="Calibri" w:eastAsia="楷体_GB2312" w:cs="Times New Roman"/>
      <w:sz w:val="26"/>
      <w:szCs w:val="20"/>
    </w:rPr>
  </w:style>
  <w:style w:type="paragraph" w:styleId="9">
    <w:name w:val="index 8"/>
    <w:basedOn w:val="1"/>
    <w:next w:val="1"/>
    <w:autoRedefine/>
    <w:qFormat/>
    <w:uiPriority w:val="0"/>
    <w:pPr>
      <w:ind w:left="2940"/>
    </w:pPr>
    <w:rPr>
      <w:rFonts w:ascii="Calibri" w:hAnsi="Calibri" w:eastAsia="楷体_GB2312" w:cs="Times New Roman"/>
      <w:sz w:val="26"/>
      <w:szCs w:val="20"/>
    </w:rPr>
  </w:style>
  <w:style w:type="paragraph" w:styleId="10">
    <w:name w:val="Normal Indent"/>
    <w:basedOn w:val="1"/>
    <w:next w:val="1"/>
    <w:link w:val="68"/>
    <w:autoRedefine/>
    <w:qFormat/>
    <w:uiPriority w:val="0"/>
    <w:pPr>
      <w:adjustRightInd w:val="0"/>
      <w:ind w:firstLine="420"/>
      <w:jc w:val="left"/>
      <w:textAlignment w:val="baseline"/>
    </w:pPr>
    <w:rPr>
      <w:rFonts w:ascii="Calibri" w:hAnsi="Calibri" w:eastAsia="楷体_GB2312" w:cs="Times New Roman"/>
      <w:sz w:val="24"/>
      <w:szCs w:val="20"/>
    </w:rPr>
  </w:style>
  <w:style w:type="paragraph" w:styleId="11">
    <w:name w:val="index 5"/>
    <w:basedOn w:val="1"/>
    <w:next w:val="1"/>
    <w:autoRedefine/>
    <w:qFormat/>
    <w:uiPriority w:val="0"/>
    <w:pPr>
      <w:ind w:left="1680"/>
    </w:pPr>
    <w:rPr>
      <w:rFonts w:ascii="Calibri" w:hAnsi="Calibri" w:eastAsia="楷体_GB2312" w:cs="Times New Roman"/>
      <w:sz w:val="26"/>
      <w:szCs w:val="20"/>
    </w:rPr>
  </w:style>
  <w:style w:type="paragraph" w:styleId="12">
    <w:name w:val="Document Map"/>
    <w:basedOn w:val="1"/>
    <w:link w:val="69"/>
    <w:autoRedefine/>
    <w:qFormat/>
    <w:uiPriority w:val="0"/>
    <w:pPr>
      <w:shd w:val="clear" w:color="auto" w:fill="000080"/>
    </w:pPr>
    <w:rPr>
      <w:rFonts w:ascii="Calibri" w:hAnsi="Calibri" w:eastAsia="楷体_GB2312" w:cs="Times New Roman"/>
      <w:sz w:val="26"/>
      <w:szCs w:val="20"/>
    </w:rPr>
  </w:style>
  <w:style w:type="paragraph" w:styleId="13">
    <w:name w:val="annotation text"/>
    <w:basedOn w:val="1"/>
    <w:link w:val="70"/>
    <w:autoRedefine/>
    <w:qFormat/>
    <w:uiPriority w:val="0"/>
    <w:pPr>
      <w:jc w:val="left"/>
    </w:pPr>
    <w:rPr>
      <w:rFonts w:ascii="Calibri" w:hAnsi="Calibri" w:eastAsia="楷体_GB2312" w:cs="Times New Roman"/>
      <w:sz w:val="26"/>
      <w:szCs w:val="20"/>
    </w:rPr>
  </w:style>
  <w:style w:type="paragraph" w:styleId="14">
    <w:name w:val="index 6"/>
    <w:basedOn w:val="1"/>
    <w:next w:val="1"/>
    <w:autoRedefine/>
    <w:qFormat/>
    <w:uiPriority w:val="0"/>
    <w:pPr>
      <w:ind w:left="2100"/>
    </w:pPr>
    <w:rPr>
      <w:rFonts w:ascii="Calibri" w:hAnsi="Calibri" w:eastAsia="楷体_GB2312" w:cs="Times New Roman"/>
      <w:sz w:val="26"/>
      <w:szCs w:val="20"/>
    </w:rPr>
  </w:style>
  <w:style w:type="paragraph" w:styleId="15">
    <w:name w:val="Body Text"/>
    <w:basedOn w:val="1"/>
    <w:link w:val="71"/>
    <w:autoRedefine/>
    <w:qFormat/>
    <w:uiPriority w:val="0"/>
    <w:pPr>
      <w:spacing w:line="400" w:lineRule="exact"/>
    </w:pPr>
    <w:rPr>
      <w:rFonts w:ascii="楷体_GB2312" w:hAnsi="Calibri" w:eastAsia="楷体_GB2312" w:cs="Times New Roman"/>
      <w:sz w:val="28"/>
      <w:szCs w:val="20"/>
    </w:rPr>
  </w:style>
  <w:style w:type="paragraph" w:styleId="16">
    <w:name w:val="Body Text Indent"/>
    <w:basedOn w:val="1"/>
    <w:link w:val="72"/>
    <w:autoRedefine/>
    <w:qFormat/>
    <w:uiPriority w:val="99"/>
    <w:pPr>
      <w:spacing w:line="520" w:lineRule="exact"/>
      <w:ind w:left="570"/>
    </w:pPr>
    <w:rPr>
      <w:rFonts w:ascii="方正仿宋简体" w:hAnsi="创艺简仿宋" w:eastAsia="方正仿宋简体" w:cs="Times New Roman"/>
      <w:sz w:val="24"/>
      <w:szCs w:val="20"/>
    </w:rPr>
  </w:style>
  <w:style w:type="paragraph" w:styleId="17">
    <w:name w:val="Block Text"/>
    <w:basedOn w:val="1"/>
    <w:next w:val="1"/>
    <w:autoRedefine/>
    <w:qFormat/>
    <w:uiPriority w:val="0"/>
    <w:pPr>
      <w:adjustRightInd w:val="0"/>
      <w:spacing w:line="360" w:lineRule="auto"/>
      <w:ind w:left="630" w:right="-609" w:firstLine="420"/>
    </w:pPr>
    <w:rPr>
      <w:rFonts w:hint="eastAsia" w:ascii="仿宋_GB2312" w:hAnsi="Times New Roman" w:eastAsia="仿宋_GB2312" w:cs="Times New Roman"/>
      <w:kern w:val="0"/>
      <w:sz w:val="26"/>
      <w:szCs w:val="20"/>
    </w:rPr>
  </w:style>
  <w:style w:type="paragraph" w:styleId="18">
    <w:name w:val="index 4"/>
    <w:basedOn w:val="1"/>
    <w:next w:val="1"/>
    <w:autoRedefine/>
    <w:qFormat/>
    <w:uiPriority w:val="0"/>
    <w:pPr>
      <w:ind w:left="1260"/>
    </w:pPr>
    <w:rPr>
      <w:rFonts w:ascii="Calibri" w:hAnsi="Calibri" w:eastAsia="楷体_GB2312" w:cs="Times New Roman"/>
      <w:sz w:val="26"/>
      <w:szCs w:val="20"/>
    </w:rPr>
  </w:style>
  <w:style w:type="paragraph" w:styleId="19">
    <w:name w:val="toc 5"/>
    <w:basedOn w:val="1"/>
    <w:next w:val="1"/>
    <w:autoRedefine/>
    <w:qFormat/>
    <w:uiPriority w:val="0"/>
    <w:pPr>
      <w:ind w:left="1680"/>
    </w:pPr>
    <w:rPr>
      <w:rFonts w:ascii="Calibri" w:hAnsi="Calibri" w:eastAsia="楷体_GB2312" w:cs="Times New Roman"/>
      <w:sz w:val="26"/>
      <w:szCs w:val="20"/>
    </w:rPr>
  </w:style>
  <w:style w:type="paragraph" w:styleId="20">
    <w:name w:val="toc 3"/>
    <w:basedOn w:val="1"/>
    <w:next w:val="1"/>
    <w:autoRedefine/>
    <w:qFormat/>
    <w:uiPriority w:val="0"/>
    <w:pPr>
      <w:ind w:left="840"/>
    </w:pPr>
    <w:rPr>
      <w:rFonts w:ascii="Calibri" w:hAnsi="Calibri" w:eastAsia="楷体_GB2312" w:cs="Times New Roman"/>
      <w:sz w:val="26"/>
      <w:szCs w:val="20"/>
    </w:rPr>
  </w:style>
  <w:style w:type="paragraph" w:styleId="21">
    <w:name w:val="Plain Text"/>
    <w:basedOn w:val="1"/>
    <w:link w:val="73"/>
    <w:autoRedefine/>
    <w:qFormat/>
    <w:uiPriority w:val="0"/>
    <w:rPr>
      <w:rFonts w:ascii="宋体" w:hAnsi="Courier New" w:eastAsia="楷体_GB2312" w:cs="Times New Roman"/>
      <w:sz w:val="26"/>
      <w:szCs w:val="20"/>
    </w:rPr>
  </w:style>
  <w:style w:type="paragraph" w:styleId="22">
    <w:name w:val="toc 8"/>
    <w:basedOn w:val="1"/>
    <w:next w:val="1"/>
    <w:autoRedefine/>
    <w:qFormat/>
    <w:uiPriority w:val="0"/>
    <w:pPr>
      <w:ind w:left="2940"/>
    </w:pPr>
    <w:rPr>
      <w:rFonts w:ascii="Calibri" w:hAnsi="Calibri" w:eastAsia="楷体_GB2312" w:cs="Times New Roman"/>
      <w:sz w:val="26"/>
      <w:szCs w:val="20"/>
    </w:rPr>
  </w:style>
  <w:style w:type="paragraph" w:styleId="23">
    <w:name w:val="index 3"/>
    <w:basedOn w:val="1"/>
    <w:next w:val="1"/>
    <w:autoRedefine/>
    <w:qFormat/>
    <w:uiPriority w:val="0"/>
    <w:pPr>
      <w:ind w:left="840"/>
    </w:pPr>
    <w:rPr>
      <w:rFonts w:ascii="Calibri" w:hAnsi="Calibri" w:eastAsia="楷体_GB2312" w:cs="Times New Roman"/>
      <w:sz w:val="26"/>
      <w:szCs w:val="20"/>
    </w:rPr>
  </w:style>
  <w:style w:type="paragraph" w:styleId="24">
    <w:name w:val="Date"/>
    <w:basedOn w:val="1"/>
    <w:next w:val="1"/>
    <w:link w:val="74"/>
    <w:autoRedefine/>
    <w:qFormat/>
    <w:uiPriority w:val="0"/>
    <w:rPr>
      <w:rFonts w:ascii="宋体" w:hAnsi="宋体" w:eastAsia="楷体_GB2312" w:cs="Times New Roman"/>
      <w:sz w:val="24"/>
      <w:szCs w:val="20"/>
    </w:rPr>
  </w:style>
  <w:style w:type="paragraph" w:styleId="25">
    <w:name w:val="Body Text Indent 2"/>
    <w:basedOn w:val="1"/>
    <w:link w:val="75"/>
    <w:autoRedefine/>
    <w:qFormat/>
    <w:uiPriority w:val="0"/>
    <w:pPr>
      <w:tabs>
        <w:tab w:val="left" w:pos="0"/>
      </w:tabs>
      <w:spacing w:line="360" w:lineRule="auto"/>
      <w:ind w:firstLine="502" w:firstLineChars="209"/>
    </w:pPr>
    <w:rPr>
      <w:rFonts w:ascii="宋体" w:hAnsi="Calibri" w:eastAsia="宋体" w:cs="Times New Roman"/>
      <w:b/>
      <w:bCs/>
      <w:sz w:val="24"/>
      <w:szCs w:val="20"/>
    </w:rPr>
  </w:style>
  <w:style w:type="paragraph" w:styleId="26">
    <w:name w:val="endnote text"/>
    <w:basedOn w:val="1"/>
    <w:link w:val="76"/>
    <w:autoRedefine/>
    <w:qFormat/>
    <w:uiPriority w:val="0"/>
    <w:pPr>
      <w:snapToGrid w:val="0"/>
      <w:jc w:val="left"/>
    </w:pPr>
    <w:rPr>
      <w:rFonts w:ascii="Calibri" w:hAnsi="Calibri" w:eastAsia="楷体_GB2312" w:cs="Times New Roman"/>
      <w:sz w:val="26"/>
      <w:szCs w:val="20"/>
    </w:rPr>
  </w:style>
  <w:style w:type="paragraph" w:styleId="27">
    <w:name w:val="Balloon Text"/>
    <w:basedOn w:val="1"/>
    <w:link w:val="77"/>
    <w:autoRedefine/>
    <w:qFormat/>
    <w:uiPriority w:val="99"/>
    <w:rPr>
      <w:rFonts w:ascii="Calibri" w:hAnsi="Calibri" w:eastAsia="楷体_GB2312" w:cs="Times New Roman"/>
      <w:sz w:val="18"/>
      <w:szCs w:val="18"/>
    </w:rPr>
  </w:style>
  <w:style w:type="paragraph" w:styleId="28">
    <w:name w:val="footer"/>
    <w:basedOn w:val="1"/>
    <w:link w:val="78"/>
    <w:autoRedefine/>
    <w:qFormat/>
    <w:uiPriority w:val="99"/>
    <w:pPr>
      <w:tabs>
        <w:tab w:val="center" w:pos="4153"/>
        <w:tab w:val="right" w:pos="8306"/>
      </w:tabs>
      <w:snapToGrid w:val="0"/>
      <w:jc w:val="left"/>
    </w:pPr>
    <w:rPr>
      <w:rFonts w:ascii="Calibri" w:hAnsi="Calibri" w:eastAsia="楷体_GB2312" w:cs="Times New Roman"/>
      <w:sz w:val="18"/>
      <w:szCs w:val="20"/>
    </w:rPr>
  </w:style>
  <w:style w:type="paragraph" w:styleId="29">
    <w:name w:val="header"/>
    <w:basedOn w:val="1"/>
    <w:link w:val="79"/>
    <w:autoRedefine/>
    <w:qFormat/>
    <w:uiPriority w:val="99"/>
    <w:pPr>
      <w:pBdr>
        <w:bottom w:val="single" w:color="auto" w:sz="6" w:space="1"/>
      </w:pBdr>
      <w:tabs>
        <w:tab w:val="center" w:pos="4153"/>
        <w:tab w:val="right" w:pos="8306"/>
      </w:tabs>
      <w:snapToGrid w:val="0"/>
      <w:jc w:val="center"/>
    </w:pPr>
    <w:rPr>
      <w:rFonts w:ascii="Calibri" w:hAnsi="Calibri" w:eastAsia="楷体_GB2312" w:cs="Times New Roman"/>
      <w:sz w:val="18"/>
      <w:szCs w:val="20"/>
    </w:rPr>
  </w:style>
  <w:style w:type="paragraph" w:styleId="30">
    <w:name w:val="toc 1"/>
    <w:basedOn w:val="1"/>
    <w:next w:val="1"/>
    <w:autoRedefine/>
    <w:qFormat/>
    <w:uiPriority w:val="39"/>
    <w:pPr>
      <w:adjustRightInd w:val="0"/>
      <w:jc w:val="left"/>
      <w:textAlignment w:val="baseline"/>
    </w:pPr>
    <w:rPr>
      <w:rFonts w:ascii="Calibri" w:hAnsi="Calibri" w:eastAsia="楷体_GB2312" w:cs="Times New Roman"/>
      <w:sz w:val="24"/>
      <w:szCs w:val="20"/>
    </w:rPr>
  </w:style>
  <w:style w:type="paragraph" w:styleId="31">
    <w:name w:val="toc 4"/>
    <w:basedOn w:val="1"/>
    <w:next w:val="1"/>
    <w:autoRedefine/>
    <w:qFormat/>
    <w:uiPriority w:val="0"/>
    <w:pPr>
      <w:ind w:left="1260"/>
    </w:pPr>
    <w:rPr>
      <w:rFonts w:ascii="Calibri" w:hAnsi="Calibri" w:eastAsia="楷体_GB2312" w:cs="Times New Roman"/>
      <w:sz w:val="26"/>
      <w:szCs w:val="20"/>
    </w:rPr>
  </w:style>
  <w:style w:type="paragraph" w:styleId="32">
    <w:name w:val="index heading"/>
    <w:basedOn w:val="1"/>
    <w:next w:val="33"/>
    <w:autoRedefine/>
    <w:qFormat/>
    <w:uiPriority w:val="0"/>
    <w:rPr>
      <w:rFonts w:ascii="Calibri" w:hAnsi="Calibri" w:eastAsia="楷体_GB2312" w:cs="Times New Roman"/>
      <w:sz w:val="26"/>
      <w:szCs w:val="20"/>
    </w:rPr>
  </w:style>
  <w:style w:type="paragraph" w:styleId="33">
    <w:name w:val="index 1"/>
    <w:basedOn w:val="1"/>
    <w:next w:val="1"/>
    <w:autoRedefine/>
    <w:unhideWhenUsed/>
    <w:qFormat/>
    <w:uiPriority w:val="0"/>
  </w:style>
  <w:style w:type="paragraph" w:styleId="34">
    <w:name w:val="Subtitle"/>
    <w:basedOn w:val="1"/>
    <w:next w:val="1"/>
    <w:link w:val="80"/>
    <w:autoRedefine/>
    <w:qFormat/>
    <w:uiPriority w:val="0"/>
    <w:pPr>
      <w:spacing w:before="120"/>
      <w:jc w:val="left"/>
      <w:outlineLvl w:val="1"/>
    </w:pPr>
    <w:rPr>
      <w:rFonts w:ascii="Cambria" w:hAnsi="Cambria" w:eastAsia="宋体" w:cs="Times New Roman"/>
      <w:b/>
      <w:bCs/>
      <w:kern w:val="28"/>
      <w:sz w:val="24"/>
      <w:szCs w:val="32"/>
    </w:rPr>
  </w:style>
  <w:style w:type="paragraph" w:styleId="35">
    <w:name w:val="footnote text"/>
    <w:basedOn w:val="1"/>
    <w:link w:val="81"/>
    <w:autoRedefine/>
    <w:qFormat/>
    <w:uiPriority w:val="0"/>
    <w:pPr>
      <w:snapToGrid w:val="0"/>
      <w:jc w:val="left"/>
    </w:pPr>
    <w:rPr>
      <w:rFonts w:ascii="Calibri" w:hAnsi="Calibri" w:eastAsia="楷体_GB2312" w:cs="Times New Roman"/>
      <w:sz w:val="18"/>
      <w:szCs w:val="20"/>
    </w:rPr>
  </w:style>
  <w:style w:type="paragraph" w:styleId="36">
    <w:name w:val="toc 6"/>
    <w:basedOn w:val="1"/>
    <w:next w:val="1"/>
    <w:autoRedefine/>
    <w:qFormat/>
    <w:uiPriority w:val="0"/>
    <w:pPr>
      <w:ind w:left="2100"/>
    </w:pPr>
    <w:rPr>
      <w:rFonts w:ascii="Calibri" w:hAnsi="Calibri" w:eastAsia="楷体_GB2312" w:cs="Times New Roman"/>
      <w:sz w:val="26"/>
      <w:szCs w:val="20"/>
    </w:rPr>
  </w:style>
  <w:style w:type="paragraph" w:styleId="37">
    <w:name w:val="Body Text Indent 3"/>
    <w:basedOn w:val="1"/>
    <w:link w:val="82"/>
    <w:autoRedefine/>
    <w:qFormat/>
    <w:uiPriority w:val="0"/>
    <w:pPr>
      <w:spacing w:line="360" w:lineRule="auto"/>
      <w:ind w:firstLine="617" w:firstLineChars="257"/>
    </w:pPr>
    <w:rPr>
      <w:rFonts w:ascii="Calibri" w:hAnsi="Calibri" w:eastAsia="宋体" w:cs="Times New Roman"/>
      <w:sz w:val="24"/>
      <w:szCs w:val="24"/>
    </w:rPr>
  </w:style>
  <w:style w:type="paragraph" w:styleId="38">
    <w:name w:val="index 7"/>
    <w:basedOn w:val="1"/>
    <w:next w:val="1"/>
    <w:autoRedefine/>
    <w:qFormat/>
    <w:uiPriority w:val="0"/>
    <w:pPr>
      <w:ind w:left="2520"/>
    </w:pPr>
    <w:rPr>
      <w:rFonts w:ascii="Calibri" w:hAnsi="Calibri" w:eastAsia="楷体_GB2312" w:cs="Times New Roman"/>
      <w:sz w:val="26"/>
      <w:szCs w:val="20"/>
    </w:rPr>
  </w:style>
  <w:style w:type="paragraph" w:styleId="39">
    <w:name w:val="index 9"/>
    <w:basedOn w:val="1"/>
    <w:next w:val="1"/>
    <w:autoRedefine/>
    <w:qFormat/>
    <w:uiPriority w:val="0"/>
    <w:pPr>
      <w:ind w:left="3360"/>
    </w:pPr>
    <w:rPr>
      <w:rFonts w:ascii="Calibri" w:hAnsi="Calibri" w:eastAsia="楷体_GB2312" w:cs="Times New Roman"/>
      <w:sz w:val="26"/>
      <w:szCs w:val="20"/>
    </w:rPr>
  </w:style>
  <w:style w:type="paragraph" w:styleId="40">
    <w:name w:val="table of figures"/>
    <w:basedOn w:val="1"/>
    <w:next w:val="1"/>
    <w:autoRedefine/>
    <w:qFormat/>
    <w:uiPriority w:val="0"/>
    <w:pPr>
      <w:adjustRightInd w:val="0"/>
      <w:ind w:left="420" w:hanging="420"/>
      <w:jc w:val="left"/>
      <w:textAlignment w:val="baseline"/>
    </w:pPr>
    <w:rPr>
      <w:rFonts w:ascii="Calibri" w:hAnsi="Calibri" w:eastAsia="楷体_GB2312" w:cs="Times New Roman"/>
      <w:smallCaps/>
      <w:sz w:val="24"/>
      <w:szCs w:val="20"/>
    </w:rPr>
  </w:style>
  <w:style w:type="paragraph" w:styleId="41">
    <w:name w:val="toc 2"/>
    <w:basedOn w:val="1"/>
    <w:next w:val="1"/>
    <w:autoRedefine/>
    <w:qFormat/>
    <w:uiPriority w:val="0"/>
    <w:pPr>
      <w:ind w:left="420"/>
    </w:pPr>
    <w:rPr>
      <w:rFonts w:ascii="Calibri" w:hAnsi="Calibri" w:eastAsia="楷体_GB2312" w:cs="Times New Roman"/>
      <w:sz w:val="26"/>
      <w:szCs w:val="20"/>
    </w:rPr>
  </w:style>
  <w:style w:type="paragraph" w:styleId="42">
    <w:name w:val="toc 9"/>
    <w:basedOn w:val="1"/>
    <w:next w:val="1"/>
    <w:autoRedefine/>
    <w:qFormat/>
    <w:uiPriority w:val="0"/>
    <w:pPr>
      <w:ind w:left="3360"/>
    </w:pPr>
    <w:rPr>
      <w:rFonts w:ascii="Calibri" w:hAnsi="Calibri" w:eastAsia="楷体_GB2312" w:cs="Times New Roman"/>
      <w:sz w:val="26"/>
      <w:szCs w:val="20"/>
    </w:rPr>
  </w:style>
  <w:style w:type="paragraph" w:styleId="43">
    <w:name w:val="HTML Preformatted"/>
    <w:basedOn w:val="1"/>
    <w:link w:val="8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Times New Roman"/>
      <w:kern w:val="0"/>
      <w:sz w:val="20"/>
      <w:szCs w:val="20"/>
    </w:rPr>
  </w:style>
  <w:style w:type="paragraph" w:styleId="44">
    <w:name w:val="Normal (Web)"/>
    <w:basedOn w:val="1"/>
    <w:autoRedefine/>
    <w:qFormat/>
    <w:uiPriority w:val="0"/>
    <w:pPr>
      <w:spacing w:before="100" w:beforeAutospacing="1" w:after="100" w:afterAutospacing="1"/>
      <w:jc w:val="left"/>
    </w:pPr>
    <w:rPr>
      <w:rFonts w:ascii="Calibri" w:hAnsi="Calibri" w:eastAsia="楷体_GB2312" w:cs="Times New Roman"/>
      <w:kern w:val="0"/>
      <w:sz w:val="24"/>
    </w:rPr>
  </w:style>
  <w:style w:type="paragraph" w:styleId="45">
    <w:name w:val="index 2"/>
    <w:basedOn w:val="1"/>
    <w:next w:val="1"/>
    <w:autoRedefine/>
    <w:qFormat/>
    <w:uiPriority w:val="0"/>
    <w:pPr>
      <w:ind w:left="420"/>
    </w:pPr>
    <w:rPr>
      <w:rFonts w:ascii="Calibri" w:hAnsi="Calibri" w:eastAsia="楷体_GB2312" w:cs="Times New Roman"/>
      <w:sz w:val="26"/>
      <w:szCs w:val="20"/>
    </w:rPr>
  </w:style>
  <w:style w:type="paragraph" w:styleId="46">
    <w:name w:val="Title"/>
    <w:basedOn w:val="1"/>
    <w:next w:val="1"/>
    <w:link w:val="84"/>
    <w:autoRedefine/>
    <w:qFormat/>
    <w:uiPriority w:val="0"/>
    <w:pPr>
      <w:spacing w:before="240" w:after="60"/>
      <w:jc w:val="center"/>
      <w:outlineLvl w:val="0"/>
    </w:pPr>
    <w:rPr>
      <w:rFonts w:ascii="Cambria" w:hAnsi="Cambria" w:eastAsia="宋体" w:cs="Times New Roman"/>
      <w:b/>
      <w:bCs/>
      <w:sz w:val="32"/>
      <w:szCs w:val="32"/>
    </w:rPr>
  </w:style>
  <w:style w:type="paragraph" w:styleId="47">
    <w:name w:val="annotation subject"/>
    <w:basedOn w:val="13"/>
    <w:next w:val="13"/>
    <w:link w:val="85"/>
    <w:autoRedefine/>
    <w:qFormat/>
    <w:uiPriority w:val="99"/>
    <w:rPr>
      <w:b/>
      <w:bCs/>
    </w:rPr>
  </w:style>
  <w:style w:type="paragraph" w:styleId="48">
    <w:name w:val="Body Text First Indent 2"/>
    <w:basedOn w:val="16"/>
    <w:link w:val="86"/>
    <w:autoRedefine/>
    <w:qFormat/>
    <w:uiPriority w:val="0"/>
    <w:pPr>
      <w:spacing w:after="120" w:line="240" w:lineRule="auto"/>
      <w:ind w:left="420" w:leftChars="200" w:firstLine="420" w:firstLineChars="200"/>
    </w:pPr>
    <w:rPr>
      <w:rFonts w:ascii="Calibri" w:hAnsi="Calibri" w:eastAsia="楷体_GB2312"/>
      <w:sz w:val="26"/>
    </w:rPr>
  </w:style>
  <w:style w:type="table" w:styleId="50">
    <w:name w:val="Table Grid"/>
    <w:basedOn w:val="49"/>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2">
    <w:name w:val="Strong"/>
    <w:basedOn w:val="51"/>
    <w:autoRedefine/>
    <w:qFormat/>
    <w:uiPriority w:val="0"/>
    <w:rPr>
      <w:b/>
    </w:rPr>
  </w:style>
  <w:style w:type="character" w:styleId="53">
    <w:name w:val="endnote reference"/>
    <w:autoRedefine/>
    <w:qFormat/>
    <w:uiPriority w:val="0"/>
    <w:rPr>
      <w:vertAlign w:val="superscript"/>
    </w:rPr>
  </w:style>
  <w:style w:type="character" w:styleId="54">
    <w:name w:val="page number"/>
    <w:basedOn w:val="51"/>
    <w:autoRedefine/>
    <w:qFormat/>
    <w:uiPriority w:val="0"/>
  </w:style>
  <w:style w:type="character" w:styleId="55">
    <w:name w:val="FollowedHyperlink"/>
    <w:autoRedefine/>
    <w:unhideWhenUsed/>
    <w:qFormat/>
    <w:uiPriority w:val="99"/>
    <w:rPr>
      <w:color w:val="800080"/>
      <w:u w:val="single"/>
    </w:rPr>
  </w:style>
  <w:style w:type="character" w:styleId="56">
    <w:name w:val="Emphasis"/>
    <w:qFormat/>
    <w:uiPriority w:val="0"/>
    <w:rPr>
      <w:i/>
    </w:rPr>
  </w:style>
  <w:style w:type="character" w:styleId="57">
    <w:name w:val="Hyperlink"/>
    <w:autoRedefine/>
    <w:unhideWhenUsed/>
    <w:qFormat/>
    <w:uiPriority w:val="0"/>
    <w:rPr>
      <w:color w:val="0000FF"/>
      <w:u w:val="single"/>
    </w:rPr>
  </w:style>
  <w:style w:type="character" w:styleId="58">
    <w:name w:val="annotation reference"/>
    <w:basedOn w:val="51"/>
    <w:autoRedefine/>
    <w:qFormat/>
    <w:uiPriority w:val="99"/>
    <w:rPr>
      <w:sz w:val="21"/>
      <w:szCs w:val="21"/>
    </w:rPr>
  </w:style>
  <w:style w:type="character" w:styleId="59">
    <w:name w:val="footnote reference"/>
    <w:autoRedefine/>
    <w:qFormat/>
    <w:uiPriority w:val="0"/>
    <w:rPr>
      <w:vertAlign w:val="superscript"/>
    </w:rPr>
  </w:style>
  <w:style w:type="paragraph" w:customStyle="1" w:styleId="60">
    <w:name w:val="段"/>
    <w:next w:val="1"/>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61">
    <w:name w:val="首行缩进"/>
    <w:basedOn w:val="1"/>
    <w:autoRedefine/>
    <w:qFormat/>
    <w:uiPriority w:val="0"/>
    <w:pPr>
      <w:ind w:firstLine="480" w:firstLineChars="200"/>
    </w:pPr>
    <w:rPr>
      <w:rFonts w:ascii="Calibri" w:hAnsi="Calibri" w:eastAsia="宋体" w:cs="Times New Roman"/>
      <w:szCs w:val="20"/>
      <w:lang w:val="zh-CN"/>
    </w:rPr>
  </w:style>
  <w:style w:type="character" w:customStyle="1" w:styleId="62">
    <w:name w:val="标题 1 Char"/>
    <w:basedOn w:val="51"/>
    <w:link w:val="2"/>
    <w:autoRedefine/>
    <w:qFormat/>
    <w:uiPriority w:val="0"/>
    <w:rPr>
      <w:rFonts w:ascii="Calibri" w:hAnsi="Calibri" w:eastAsia="楷体_GB2312" w:cs="Times New Roman"/>
      <w:b/>
      <w:kern w:val="44"/>
      <w:sz w:val="44"/>
      <w:szCs w:val="20"/>
    </w:rPr>
  </w:style>
  <w:style w:type="character" w:customStyle="1" w:styleId="63">
    <w:name w:val="标题 2 Char"/>
    <w:basedOn w:val="51"/>
    <w:link w:val="3"/>
    <w:autoRedefine/>
    <w:qFormat/>
    <w:uiPriority w:val="0"/>
    <w:rPr>
      <w:rFonts w:ascii="宋体" w:hAnsi="宋体" w:eastAsia="楷体_GB2312" w:cs="Times New Roman"/>
      <w:b/>
      <w:sz w:val="26"/>
      <w:szCs w:val="20"/>
    </w:rPr>
  </w:style>
  <w:style w:type="character" w:customStyle="1" w:styleId="64">
    <w:name w:val="标题 3 Char"/>
    <w:basedOn w:val="51"/>
    <w:link w:val="4"/>
    <w:autoRedefine/>
    <w:qFormat/>
    <w:uiPriority w:val="0"/>
    <w:rPr>
      <w:rFonts w:ascii="Calibri" w:hAnsi="Calibri" w:eastAsia="楷体_GB2312" w:cs="Times New Roman"/>
      <w:b/>
      <w:sz w:val="26"/>
      <w:szCs w:val="20"/>
    </w:rPr>
  </w:style>
  <w:style w:type="character" w:customStyle="1" w:styleId="65">
    <w:name w:val="标题 4 Char"/>
    <w:basedOn w:val="51"/>
    <w:link w:val="5"/>
    <w:autoRedefine/>
    <w:qFormat/>
    <w:uiPriority w:val="0"/>
    <w:rPr>
      <w:rFonts w:ascii="Arial" w:hAnsi="Arial" w:eastAsia="黑体" w:cs="Times New Roman"/>
      <w:b/>
      <w:bCs/>
      <w:sz w:val="28"/>
      <w:szCs w:val="28"/>
    </w:rPr>
  </w:style>
  <w:style w:type="character" w:customStyle="1" w:styleId="66">
    <w:name w:val="标题 5 Char"/>
    <w:basedOn w:val="51"/>
    <w:link w:val="6"/>
    <w:autoRedefine/>
    <w:qFormat/>
    <w:uiPriority w:val="0"/>
    <w:rPr>
      <w:rFonts w:ascii="宋体" w:hAnsi="宋体" w:eastAsia="宋体" w:cs="Times New Roman"/>
      <w:color w:val="000000"/>
      <w:sz w:val="28"/>
      <w:szCs w:val="20"/>
    </w:rPr>
  </w:style>
  <w:style w:type="character" w:customStyle="1" w:styleId="67">
    <w:name w:val="标题 6 Char"/>
    <w:basedOn w:val="51"/>
    <w:link w:val="7"/>
    <w:autoRedefine/>
    <w:qFormat/>
    <w:uiPriority w:val="0"/>
    <w:rPr>
      <w:rFonts w:ascii="宋体" w:hAnsi="宋体" w:eastAsia="宋体" w:cs="Times New Roman"/>
      <w:sz w:val="28"/>
      <w:szCs w:val="20"/>
    </w:rPr>
  </w:style>
  <w:style w:type="character" w:customStyle="1" w:styleId="68">
    <w:name w:val="正文缩进 Char"/>
    <w:link w:val="10"/>
    <w:autoRedefine/>
    <w:qFormat/>
    <w:uiPriority w:val="0"/>
    <w:rPr>
      <w:rFonts w:ascii="Calibri" w:hAnsi="Calibri" w:eastAsia="楷体_GB2312" w:cs="Times New Roman"/>
      <w:sz w:val="24"/>
      <w:szCs w:val="20"/>
    </w:rPr>
  </w:style>
  <w:style w:type="character" w:customStyle="1" w:styleId="69">
    <w:name w:val="文档结构图 Char"/>
    <w:basedOn w:val="51"/>
    <w:link w:val="12"/>
    <w:autoRedefine/>
    <w:qFormat/>
    <w:uiPriority w:val="0"/>
    <w:rPr>
      <w:rFonts w:ascii="Calibri" w:hAnsi="Calibri" w:eastAsia="楷体_GB2312" w:cs="Times New Roman"/>
      <w:sz w:val="26"/>
      <w:szCs w:val="20"/>
      <w:shd w:val="clear" w:color="auto" w:fill="000080"/>
    </w:rPr>
  </w:style>
  <w:style w:type="character" w:customStyle="1" w:styleId="70">
    <w:name w:val="批注文字 Char"/>
    <w:basedOn w:val="51"/>
    <w:link w:val="13"/>
    <w:autoRedefine/>
    <w:qFormat/>
    <w:uiPriority w:val="0"/>
    <w:rPr>
      <w:rFonts w:ascii="Calibri" w:hAnsi="Calibri" w:eastAsia="楷体_GB2312" w:cs="Times New Roman"/>
      <w:sz w:val="26"/>
      <w:szCs w:val="20"/>
    </w:rPr>
  </w:style>
  <w:style w:type="character" w:customStyle="1" w:styleId="71">
    <w:name w:val="正文文本 Char"/>
    <w:basedOn w:val="51"/>
    <w:link w:val="15"/>
    <w:autoRedefine/>
    <w:qFormat/>
    <w:uiPriority w:val="0"/>
    <w:rPr>
      <w:rFonts w:ascii="楷体_GB2312" w:hAnsi="Calibri" w:eastAsia="楷体_GB2312" w:cs="Times New Roman"/>
      <w:sz w:val="28"/>
      <w:szCs w:val="20"/>
    </w:rPr>
  </w:style>
  <w:style w:type="character" w:customStyle="1" w:styleId="72">
    <w:name w:val="正文文本缩进 Char"/>
    <w:basedOn w:val="51"/>
    <w:link w:val="16"/>
    <w:autoRedefine/>
    <w:qFormat/>
    <w:uiPriority w:val="99"/>
    <w:rPr>
      <w:rFonts w:ascii="方正仿宋简体" w:hAnsi="创艺简仿宋" w:eastAsia="方正仿宋简体" w:cs="Times New Roman"/>
      <w:sz w:val="24"/>
      <w:szCs w:val="20"/>
    </w:rPr>
  </w:style>
  <w:style w:type="character" w:customStyle="1" w:styleId="73">
    <w:name w:val="纯文本 Char"/>
    <w:basedOn w:val="51"/>
    <w:link w:val="21"/>
    <w:autoRedefine/>
    <w:qFormat/>
    <w:uiPriority w:val="0"/>
    <w:rPr>
      <w:rFonts w:ascii="宋体" w:hAnsi="Courier New" w:eastAsia="楷体_GB2312" w:cs="Times New Roman"/>
      <w:sz w:val="26"/>
      <w:szCs w:val="20"/>
    </w:rPr>
  </w:style>
  <w:style w:type="character" w:customStyle="1" w:styleId="74">
    <w:name w:val="日期 Char"/>
    <w:basedOn w:val="51"/>
    <w:link w:val="24"/>
    <w:autoRedefine/>
    <w:qFormat/>
    <w:uiPriority w:val="0"/>
    <w:rPr>
      <w:rFonts w:ascii="宋体" w:hAnsi="宋体" w:eastAsia="楷体_GB2312" w:cs="Times New Roman"/>
      <w:sz w:val="24"/>
      <w:szCs w:val="20"/>
    </w:rPr>
  </w:style>
  <w:style w:type="character" w:customStyle="1" w:styleId="75">
    <w:name w:val="正文文本缩进 2 Char"/>
    <w:basedOn w:val="51"/>
    <w:link w:val="25"/>
    <w:autoRedefine/>
    <w:qFormat/>
    <w:uiPriority w:val="0"/>
    <w:rPr>
      <w:rFonts w:ascii="宋体" w:hAnsi="Calibri" w:eastAsia="宋体" w:cs="Times New Roman"/>
      <w:b/>
      <w:bCs/>
      <w:sz w:val="24"/>
      <w:szCs w:val="20"/>
    </w:rPr>
  </w:style>
  <w:style w:type="character" w:customStyle="1" w:styleId="76">
    <w:name w:val="尾注文本 Char"/>
    <w:basedOn w:val="51"/>
    <w:link w:val="26"/>
    <w:autoRedefine/>
    <w:qFormat/>
    <w:uiPriority w:val="0"/>
    <w:rPr>
      <w:rFonts w:ascii="Calibri" w:hAnsi="Calibri" w:eastAsia="楷体_GB2312" w:cs="Times New Roman"/>
      <w:sz w:val="26"/>
      <w:szCs w:val="20"/>
    </w:rPr>
  </w:style>
  <w:style w:type="character" w:customStyle="1" w:styleId="77">
    <w:name w:val="批注框文本 Char"/>
    <w:basedOn w:val="51"/>
    <w:link w:val="27"/>
    <w:autoRedefine/>
    <w:qFormat/>
    <w:uiPriority w:val="99"/>
    <w:rPr>
      <w:rFonts w:ascii="Calibri" w:hAnsi="Calibri" w:eastAsia="楷体_GB2312" w:cs="Times New Roman"/>
      <w:sz w:val="18"/>
      <w:szCs w:val="18"/>
    </w:rPr>
  </w:style>
  <w:style w:type="character" w:customStyle="1" w:styleId="78">
    <w:name w:val="页脚 Char"/>
    <w:basedOn w:val="51"/>
    <w:link w:val="28"/>
    <w:autoRedefine/>
    <w:qFormat/>
    <w:uiPriority w:val="99"/>
    <w:rPr>
      <w:rFonts w:ascii="Calibri" w:hAnsi="Calibri" w:eastAsia="楷体_GB2312" w:cs="Times New Roman"/>
      <w:sz w:val="18"/>
      <w:szCs w:val="20"/>
    </w:rPr>
  </w:style>
  <w:style w:type="character" w:customStyle="1" w:styleId="79">
    <w:name w:val="页眉 Char"/>
    <w:basedOn w:val="51"/>
    <w:link w:val="29"/>
    <w:autoRedefine/>
    <w:qFormat/>
    <w:uiPriority w:val="99"/>
    <w:rPr>
      <w:rFonts w:ascii="Calibri" w:hAnsi="Calibri" w:eastAsia="楷体_GB2312" w:cs="Times New Roman"/>
      <w:sz w:val="18"/>
      <w:szCs w:val="20"/>
    </w:rPr>
  </w:style>
  <w:style w:type="character" w:customStyle="1" w:styleId="80">
    <w:name w:val="副标题 Char"/>
    <w:basedOn w:val="51"/>
    <w:link w:val="34"/>
    <w:autoRedefine/>
    <w:qFormat/>
    <w:uiPriority w:val="0"/>
    <w:rPr>
      <w:rFonts w:ascii="Cambria" w:hAnsi="Cambria" w:eastAsia="宋体" w:cs="Times New Roman"/>
      <w:b/>
      <w:bCs/>
      <w:kern w:val="28"/>
      <w:sz w:val="24"/>
      <w:szCs w:val="32"/>
    </w:rPr>
  </w:style>
  <w:style w:type="character" w:customStyle="1" w:styleId="81">
    <w:name w:val="脚注文本 Char"/>
    <w:basedOn w:val="51"/>
    <w:link w:val="35"/>
    <w:autoRedefine/>
    <w:qFormat/>
    <w:uiPriority w:val="0"/>
    <w:rPr>
      <w:rFonts w:ascii="Calibri" w:hAnsi="Calibri" w:eastAsia="楷体_GB2312" w:cs="Times New Roman"/>
      <w:sz w:val="18"/>
      <w:szCs w:val="20"/>
    </w:rPr>
  </w:style>
  <w:style w:type="character" w:customStyle="1" w:styleId="82">
    <w:name w:val="正文文本缩进 3 Char"/>
    <w:basedOn w:val="51"/>
    <w:link w:val="37"/>
    <w:autoRedefine/>
    <w:qFormat/>
    <w:uiPriority w:val="0"/>
    <w:rPr>
      <w:rFonts w:ascii="Calibri" w:hAnsi="Calibri" w:eastAsia="宋体" w:cs="Times New Roman"/>
      <w:sz w:val="24"/>
      <w:szCs w:val="24"/>
    </w:rPr>
  </w:style>
  <w:style w:type="character" w:customStyle="1" w:styleId="83">
    <w:name w:val="HTML 预设格式 Char"/>
    <w:basedOn w:val="51"/>
    <w:link w:val="43"/>
    <w:autoRedefine/>
    <w:qFormat/>
    <w:uiPriority w:val="0"/>
    <w:rPr>
      <w:rFonts w:ascii="黑体" w:hAnsi="Courier New" w:eastAsia="黑体" w:cs="Times New Roman"/>
      <w:kern w:val="0"/>
      <w:sz w:val="20"/>
      <w:szCs w:val="20"/>
    </w:rPr>
  </w:style>
  <w:style w:type="character" w:customStyle="1" w:styleId="84">
    <w:name w:val="标题 Char"/>
    <w:basedOn w:val="51"/>
    <w:link w:val="46"/>
    <w:autoRedefine/>
    <w:qFormat/>
    <w:uiPriority w:val="0"/>
    <w:rPr>
      <w:rFonts w:ascii="Cambria" w:hAnsi="Cambria" w:eastAsia="宋体" w:cs="Times New Roman"/>
      <w:b/>
      <w:bCs/>
      <w:sz w:val="32"/>
      <w:szCs w:val="32"/>
    </w:rPr>
  </w:style>
  <w:style w:type="character" w:customStyle="1" w:styleId="85">
    <w:name w:val="批注主题 Char"/>
    <w:basedOn w:val="70"/>
    <w:link w:val="47"/>
    <w:autoRedefine/>
    <w:qFormat/>
    <w:uiPriority w:val="99"/>
    <w:rPr>
      <w:rFonts w:ascii="Calibri" w:hAnsi="Calibri" w:eastAsia="楷体_GB2312" w:cs="Times New Roman"/>
      <w:b/>
      <w:bCs/>
      <w:sz w:val="26"/>
      <w:szCs w:val="20"/>
    </w:rPr>
  </w:style>
  <w:style w:type="character" w:customStyle="1" w:styleId="86">
    <w:name w:val="正文首行缩进 2 Char"/>
    <w:basedOn w:val="72"/>
    <w:link w:val="48"/>
    <w:autoRedefine/>
    <w:qFormat/>
    <w:uiPriority w:val="0"/>
    <w:rPr>
      <w:rFonts w:ascii="Calibri" w:hAnsi="Calibri" w:eastAsia="楷体_GB2312" w:cs="Times New Roman"/>
      <w:sz w:val="26"/>
      <w:szCs w:val="20"/>
    </w:rPr>
  </w:style>
  <w:style w:type="character" w:customStyle="1" w:styleId="87">
    <w:name w:val="Plain Text Char Char"/>
    <w:link w:val="88"/>
    <w:autoRedefine/>
    <w:qFormat/>
    <w:uiPriority w:val="0"/>
    <w:rPr>
      <w:rFonts w:ascii="宋体" w:hAnsi="Courier New" w:eastAsia="楷体_GB2312"/>
      <w:sz w:val="26"/>
    </w:rPr>
  </w:style>
  <w:style w:type="paragraph" w:customStyle="1" w:styleId="88">
    <w:name w:val="纯文本3"/>
    <w:basedOn w:val="1"/>
    <w:link w:val="87"/>
    <w:autoRedefine/>
    <w:qFormat/>
    <w:uiPriority w:val="0"/>
    <w:pPr>
      <w:adjustRightInd w:val="0"/>
      <w:textAlignment w:val="baseline"/>
    </w:pPr>
    <w:rPr>
      <w:rFonts w:ascii="宋体" w:hAnsi="Courier New" w:eastAsia="楷体_GB2312"/>
      <w:sz w:val="26"/>
    </w:rPr>
  </w:style>
  <w:style w:type="character" w:customStyle="1" w:styleId="89">
    <w:name w:val="styl81"/>
    <w:autoRedefine/>
    <w:qFormat/>
    <w:uiPriority w:val="0"/>
    <w:rPr>
      <w:sz w:val="21"/>
    </w:rPr>
  </w:style>
  <w:style w:type="character" w:customStyle="1" w:styleId="90">
    <w:name w:val="Plain Text Char"/>
    <w:link w:val="91"/>
    <w:autoRedefine/>
    <w:qFormat/>
    <w:uiPriority w:val="0"/>
    <w:rPr>
      <w:rFonts w:ascii="宋体" w:hAnsi="Courier New" w:eastAsia="楷体_GB2312"/>
      <w:sz w:val="26"/>
    </w:rPr>
  </w:style>
  <w:style w:type="paragraph" w:customStyle="1" w:styleId="91">
    <w:name w:val="纯文本1"/>
    <w:basedOn w:val="1"/>
    <w:link w:val="90"/>
    <w:qFormat/>
    <w:uiPriority w:val="0"/>
    <w:pPr>
      <w:adjustRightInd w:val="0"/>
      <w:textAlignment w:val="baseline"/>
    </w:pPr>
    <w:rPr>
      <w:rFonts w:ascii="宋体" w:hAnsi="Courier New" w:eastAsia="楷体_GB2312"/>
      <w:sz w:val="26"/>
    </w:rPr>
  </w:style>
  <w:style w:type="character" w:customStyle="1" w:styleId="92">
    <w:name w:val="表正文 Char1"/>
    <w:autoRedefine/>
    <w:qFormat/>
    <w:uiPriority w:val="0"/>
    <w:rPr>
      <w:rFonts w:eastAsia="楷体_GB2312"/>
      <w:kern w:val="2"/>
      <w:sz w:val="24"/>
      <w:lang w:val="en-US" w:eastAsia="zh-CN" w:bidi="ar-SA"/>
    </w:rPr>
  </w:style>
  <w:style w:type="character" w:customStyle="1" w:styleId="93">
    <w:name w:val="_正文段落 Char"/>
    <w:link w:val="94"/>
    <w:autoRedefine/>
    <w:qFormat/>
    <w:uiPriority w:val="0"/>
    <w:rPr>
      <w:rFonts w:ascii="宋体" w:hAnsi="宋体"/>
      <w:sz w:val="24"/>
      <w:szCs w:val="24"/>
    </w:rPr>
  </w:style>
  <w:style w:type="paragraph" w:customStyle="1" w:styleId="94">
    <w:name w:val="_正文段落"/>
    <w:basedOn w:val="1"/>
    <w:link w:val="93"/>
    <w:autoRedefine/>
    <w:qFormat/>
    <w:uiPriority w:val="0"/>
    <w:pPr>
      <w:spacing w:beforeLines="15" w:afterLines="15" w:line="360" w:lineRule="auto"/>
      <w:ind w:firstLine="480" w:firstLineChars="200"/>
    </w:pPr>
    <w:rPr>
      <w:rFonts w:ascii="宋体" w:hAnsi="宋体"/>
      <w:sz w:val="24"/>
      <w:szCs w:val="24"/>
    </w:rPr>
  </w:style>
  <w:style w:type="character" w:customStyle="1" w:styleId="95">
    <w:name w:val="Andy_正文 Char"/>
    <w:link w:val="96"/>
    <w:autoRedefine/>
    <w:qFormat/>
    <w:uiPriority w:val="0"/>
    <w:rPr>
      <w:sz w:val="24"/>
      <w:szCs w:val="24"/>
    </w:rPr>
  </w:style>
  <w:style w:type="paragraph" w:customStyle="1" w:styleId="96">
    <w:name w:val="Andy_正文"/>
    <w:basedOn w:val="1"/>
    <w:link w:val="95"/>
    <w:autoRedefine/>
    <w:qFormat/>
    <w:uiPriority w:val="0"/>
    <w:pPr>
      <w:spacing w:line="360" w:lineRule="auto"/>
      <w:ind w:firstLine="480" w:firstLineChars="200"/>
    </w:pPr>
    <w:rPr>
      <w:sz w:val="24"/>
      <w:szCs w:val="24"/>
    </w:rPr>
  </w:style>
  <w:style w:type="character" w:customStyle="1" w:styleId="97">
    <w:name w:val="正文缩进 Char1"/>
    <w:autoRedefine/>
    <w:qFormat/>
    <w:uiPriority w:val="0"/>
    <w:rPr>
      <w:rFonts w:eastAsia="楷体_GB2312"/>
      <w:sz w:val="24"/>
    </w:rPr>
  </w:style>
  <w:style w:type="character" w:customStyle="1" w:styleId="98">
    <w:name w:val="副标题 Char1"/>
    <w:autoRedefine/>
    <w:qFormat/>
    <w:uiPriority w:val="11"/>
    <w:rPr>
      <w:rFonts w:ascii="Cambria" w:hAnsi="Cambria" w:cs="Times New Roman"/>
      <w:b/>
      <w:bCs/>
      <w:kern w:val="28"/>
      <w:sz w:val="32"/>
      <w:szCs w:val="32"/>
    </w:rPr>
  </w:style>
  <w:style w:type="character" w:customStyle="1" w:styleId="99">
    <w:name w:val="Andy_2级 Char"/>
    <w:link w:val="100"/>
    <w:autoRedefine/>
    <w:qFormat/>
    <w:uiPriority w:val="0"/>
    <w:rPr>
      <w:sz w:val="24"/>
    </w:rPr>
  </w:style>
  <w:style w:type="paragraph" w:customStyle="1" w:styleId="100">
    <w:name w:val="Andy_2级"/>
    <w:basedOn w:val="1"/>
    <w:link w:val="99"/>
    <w:autoRedefine/>
    <w:qFormat/>
    <w:uiPriority w:val="0"/>
    <w:pPr>
      <w:numPr>
        <w:ilvl w:val="1"/>
        <w:numId w:val="1"/>
      </w:numPr>
      <w:spacing w:line="360" w:lineRule="auto"/>
    </w:pPr>
    <w:rPr>
      <w:sz w:val="24"/>
    </w:rPr>
  </w:style>
  <w:style w:type="character" w:customStyle="1" w:styleId="101">
    <w:name w:val="副标题 Char2"/>
    <w:autoRedefine/>
    <w:qFormat/>
    <w:uiPriority w:val="0"/>
    <w:rPr>
      <w:rFonts w:ascii="Cambria" w:hAnsi="Cambria" w:cs="Times New Roman"/>
      <w:b/>
      <w:bCs/>
      <w:kern w:val="28"/>
      <w:sz w:val="32"/>
      <w:szCs w:val="32"/>
    </w:rPr>
  </w:style>
  <w:style w:type="character" w:customStyle="1" w:styleId="102">
    <w:name w:val="正文首行缩进 2 Char1"/>
    <w:autoRedefine/>
    <w:qFormat/>
    <w:uiPriority w:val="0"/>
    <w:rPr>
      <w:rFonts w:ascii="方正仿宋简体" w:hAnsi="创艺简仿宋" w:eastAsia="楷体_GB2312"/>
      <w:kern w:val="2"/>
      <w:sz w:val="26"/>
    </w:rPr>
  </w:style>
  <w:style w:type="character" w:customStyle="1" w:styleId="103">
    <w:name w:val="ca-221"/>
    <w:autoRedefine/>
    <w:qFormat/>
    <w:uiPriority w:val="0"/>
    <w:rPr>
      <w:rFonts w:hint="eastAsia" w:ascii="宋体" w:hAnsi="宋体" w:eastAsia="宋体"/>
      <w:color w:val="FF0000"/>
      <w:sz w:val="24"/>
      <w:szCs w:val="24"/>
    </w:rPr>
  </w:style>
  <w:style w:type="paragraph" w:customStyle="1" w:styleId="104">
    <w:name w:val="纯文本11"/>
    <w:basedOn w:val="1"/>
    <w:autoRedefine/>
    <w:qFormat/>
    <w:uiPriority w:val="0"/>
    <w:pPr>
      <w:adjustRightInd w:val="0"/>
      <w:textAlignment w:val="baseline"/>
    </w:pPr>
    <w:rPr>
      <w:rFonts w:ascii="宋体" w:hAnsi="Courier New" w:eastAsia="楷体_GB2312" w:cs="Times New Roman"/>
      <w:sz w:val="26"/>
      <w:szCs w:val="20"/>
    </w:rPr>
  </w:style>
  <w:style w:type="paragraph" w:customStyle="1" w:styleId="10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32"/>
      <w:szCs w:val="32"/>
    </w:rPr>
  </w:style>
  <w:style w:type="paragraph" w:customStyle="1" w:styleId="106">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szCs w:val="24"/>
    </w:rPr>
  </w:style>
  <w:style w:type="paragraph" w:customStyle="1" w:styleId="10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kern w:val="0"/>
      <w:sz w:val="20"/>
      <w:szCs w:val="20"/>
    </w:rPr>
  </w:style>
  <w:style w:type="paragraph" w:customStyle="1" w:styleId="108">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32"/>
      <w:szCs w:val="32"/>
    </w:rPr>
  </w:style>
  <w:style w:type="paragraph" w:customStyle="1" w:styleId="109">
    <w:name w:val="纯文本2"/>
    <w:basedOn w:val="1"/>
    <w:autoRedefine/>
    <w:qFormat/>
    <w:uiPriority w:val="0"/>
    <w:pPr>
      <w:adjustRightInd w:val="0"/>
      <w:textAlignment w:val="baseline"/>
    </w:pPr>
    <w:rPr>
      <w:rFonts w:ascii="宋体" w:hAnsi="Courier New" w:eastAsia="楷体_GB2312" w:cs="Times New Roman"/>
      <w:sz w:val="26"/>
      <w:szCs w:val="20"/>
    </w:rPr>
  </w:style>
  <w:style w:type="paragraph" w:customStyle="1" w:styleId="110">
    <w:name w:val="列出段落2"/>
    <w:basedOn w:val="1"/>
    <w:autoRedefine/>
    <w:qFormat/>
    <w:uiPriority w:val="0"/>
    <w:pPr>
      <w:ind w:firstLine="420" w:firstLineChars="200"/>
    </w:pPr>
    <w:rPr>
      <w:rFonts w:ascii="Calibri" w:hAnsi="Calibri" w:eastAsia="宋体" w:cs="Times New Roman"/>
    </w:rPr>
  </w:style>
  <w:style w:type="paragraph" w:customStyle="1" w:styleId="111">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kern w:val="0"/>
      <w:sz w:val="20"/>
      <w:szCs w:val="20"/>
    </w:rPr>
  </w:style>
  <w:style w:type="paragraph" w:customStyle="1" w:styleId="112">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kern w:val="0"/>
      <w:sz w:val="20"/>
      <w:szCs w:val="20"/>
    </w:rPr>
  </w:style>
  <w:style w:type="paragraph" w:customStyle="1" w:styleId="113">
    <w:name w:val="Char Char Char Char"/>
    <w:basedOn w:val="12"/>
    <w:autoRedefine/>
    <w:qFormat/>
    <w:uiPriority w:val="0"/>
    <w:pPr>
      <w:adjustRightInd w:val="0"/>
      <w:spacing w:line="436" w:lineRule="exact"/>
      <w:ind w:left="357"/>
      <w:jc w:val="left"/>
      <w:outlineLvl w:val="3"/>
    </w:pPr>
    <w:rPr>
      <w:rFonts w:ascii="Tahoma" w:hAnsi="Tahoma" w:eastAsia="宋体"/>
      <w:b/>
      <w:sz w:val="24"/>
      <w:szCs w:val="24"/>
    </w:rPr>
  </w:style>
  <w:style w:type="paragraph" w:customStyle="1" w:styleId="114">
    <w:name w:val="列出段落1"/>
    <w:basedOn w:val="1"/>
    <w:autoRedefine/>
    <w:qFormat/>
    <w:uiPriority w:val="0"/>
    <w:pPr>
      <w:ind w:firstLine="420" w:firstLineChars="200"/>
    </w:pPr>
    <w:rPr>
      <w:rFonts w:ascii="Calibri" w:hAnsi="Calibri" w:eastAsia="楷体_GB2312" w:cs="Times New Roman"/>
      <w:sz w:val="26"/>
      <w:szCs w:val="20"/>
    </w:rPr>
  </w:style>
  <w:style w:type="paragraph" w:customStyle="1" w:styleId="11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kern w:val="0"/>
      <w:sz w:val="20"/>
      <w:szCs w:val="20"/>
    </w:rPr>
  </w:style>
  <w:style w:type="paragraph" w:customStyle="1" w:styleId="116">
    <w:name w:val="纯文本4"/>
    <w:basedOn w:val="1"/>
    <w:autoRedefine/>
    <w:qFormat/>
    <w:uiPriority w:val="0"/>
    <w:pPr>
      <w:adjustRightInd w:val="0"/>
      <w:textAlignment w:val="baseline"/>
    </w:pPr>
    <w:rPr>
      <w:rFonts w:ascii="宋体" w:hAnsi="Courier New" w:eastAsia="楷体_GB2312" w:cs="Times New Roman"/>
      <w:sz w:val="26"/>
      <w:szCs w:val="20"/>
    </w:rPr>
  </w:style>
  <w:style w:type="paragraph" w:customStyle="1" w:styleId="11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8">
    <w:name w:val="xl66"/>
    <w:basedOn w:val="1"/>
    <w:autoRedefine/>
    <w:qFormat/>
    <w:uiPriority w:val="0"/>
    <w:pPr>
      <w:widowControl/>
      <w:spacing w:before="100" w:beforeAutospacing="1" w:after="100" w:afterAutospacing="1"/>
      <w:jc w:val="center"/>
    </w:pPr>
    <w:rPr>
      <w:rFonts w:ascii="仿宋_GB2312" w:hAnsi="宋体" w:eastAsia="仿宋_GB2312" w:cs="宋体"/>
      <w:kern w:val="0"/>
      <w:sz w:val="32"/>
      <w:szCs w:val="32"/>
    </w:rPr>
  </w:style>
  <w:style w:type="paragraph" w:customStyle="1" w:styleId="119">
    <w:name w:val="xl94"/>
    <w:basedOn w:val="1"/>
    <w:autoRedefine/>
    <w:qFormat/>
    <w:uiPriority w:val="0"/>
    <w:pPr>
      <w:widowControl/>
      <w:pBdr>
        <w:top w:val="single" w:color="auto" w:sz="4" w:space="0"/>
        <w:bottom w:val="single" w:color="auto" w:sz="4" w:space="0"/>
      </w:pBdr>
      <w:spacing w:before="100" w:beforeAutospacing="1" w:after="100" w:afterAutospacing="1"/>
      <w:jc w:val="left"/>
    </w:pPr>
    <w:rPr>
      <w:rFonts w:ascii="仿宋_GB2312" w:hAnsi="宋体" w:eastAsia="仿宋_GB2312" w:cs="宋体"/>
      <w:kern w:val="0"/>
      <w:sz w:val="32"/>
      <w:szCs w:val="32"/>
    </w:rPr>
  </w:style>
  <w:style w:type="paragraph" w:customStyle="1" w:styleId="120">
    <w:name w:val="Char Char3"/>
    <w:basedOn w:val="1"/>
    <w:autoRedefine/>
    <w:qFormat/>
    <w:uiPriority w:val="0"/>
    <w:pPr>
      <w:widowControl/>
      <w:spacing w:after="160" w:line="240" w:lineRule="exact"/>
      <w:jc w:val="left"/>
    </w:pPr>
    <w:rPr>
      <w:rFonts w:ascii="Calibri" w:hAnsi="Calibri" w:eastAsia="宋体" w:cs="Times New Roman"/>
      <w:sz w:val="24"/>
      <w:szCs w:val="24"/>
    </w:rPr>
  </w:style>
  <w:style w:type="paragraph" w:customStyle="1" w:styleId="121">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kern w:val="0"/>
      <w:sz w:val="28"/>
      <w:szCs w:val="28"/>
    </w:rPr>
  </w:style>
  <w:style w:type="paragraph" w:customStyle="1" w:styleId="122">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32"/>
      <w:szCs w:val="32"/>
    </w:rPr>
  </w:style>
  <w:style w:type="paragraph" w:customStyle="1" w:styleId="123">
    <w:name w:val="q3"/>
    <w:basedOn w:val="1"/>
    <w:autoRedefine/>
    <w:qFormat/>
    <w:uiPriority w:val="0"/>
    <w:pPr>
      <w:tabs>
        <w:tab w:val="left" w:pos="0"/>
        <w:tab w:val="left" w:pos="709"/>
      </w:tabs>
      <w:spacing w:before="156" w:after="156" w:line="300" w:lineRule="auto"/>
      <w:jc w:val="left"/>
    </w:pPr>
    <w:rPr>
      <w:rFonts w:ascii="Calibri" w:hAnsi="Calibri" w:eastAsia="宋体" w:cs="Times New Roman"/>
      <w:color w:val="FF0000"/>
      <w:kern w:val="0"/>
      <w:sz w:val="28"/>
      <w:szCs w:val="28"/>
    </w:rPr>
  </w:style>
  <w:style w:type="paragraph" w:customStyle="1" w:styleId="124">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32"/>
      <w:szCs w:val="32"/>
    </w:rPr>
  </w:style>
  <w:style w:type="paragraph" w:customStyle="1" w:styleId="125">
    <w:name w:val="Char Char Char"/>
    <w:basedOn w:val="1"/>
    <w:autoRedefine/>
    <w:qFormat/>
    <w:uiPriority w:val="0"/>
    <w:pPr>
      <w:numPr>
        <w:ilvl w:val="0"/>
        <w:numId w:val="2"/>
      </w:numPr>
    </w:pPr>
    <w:rPr>
      <w:rFonts w:ascii="Calibri" w:hAnsi="Calibri" w:eastAsia="宋体" w:cs="Times New Roman"/>
      <w:sz w:val="24"/>
      <w:szCs w:val="24"/>
    </w:rPr>
  </w:style>
  <w:style w:type="paragraph" w:customStyle="1" w:styleId="126">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32"/>
      <w:szCs w:val="32"/>
    </w:rPr>
  </w:style>
  <w:style w:type="paragraph" w:customStyle="1" w:styleId="127">
    <w:name w:val="修订1"/>
    <w:autoRedefine/>
    <w:unhideWhenUsed/>
    <w:qFormat/>
    <w:uiPriority w:val="99"/>
    <w:rPr>
      <w:rFonts w:ascii="Calibri" w:hAnsi="Calibri" w:eastAsia="楷体_GB2312" w:cs="Times New Roman"/>
      <w:kern w:val="2"/>
      <w:sz w:val="26"/>
      <w:lang w:val="en-US" w:eastAsia="zh-CN" w:bidi="ar-SA"/>
    </w:rPr>
  </w:style>
  <w:style w:type="paragraph" w:customStyle="1" w:styleId="128">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kern w:val="0"/>
      <w:sz w:val="20"/>
      <w:szCs w:val="20"/>
    </w:rPr>
  </w:style>
  <w:style w:type="paragraph" w:customStyle="1" w:styleId="129">
    <w:name w:val="正文 New New New New"/>
    <w:autoRedefine/>
    <w:qFormat/>
    <w:uiPriority w:val="0"/>
    <w:pPr>
      <w:widowControl w:val="0"/>
      <w:jc w:val="both"/>
    </w:pPr>
    <w:rPr>
      <w:rFonts w:ascii="Calibri" w:hAnsi="Calibri" w:eastAsia="宋体" w:cs="Times New Roman"/>
      <w:szCs w:val="24"/>
      <w:lang w:val="en-US" w:eastAsia="zh-CN" w:bidi="ar-SA"/>
    </w:rPr>
  </w:style>
  <w:style w:type="paragraph" w:customStyle="1" w:styleId="130">
    <w:name w:val="纯文本111"/>
    <w:basedOn w:val="1"/>
    <w:autoRedefine/>
    <w:qFormat/>
    <w:uiPriority w:val="0"/>
    <w:pPr>
      <w:adjustRightInd w:val="0"/>
      <w:textAlignment w:val="baseline"/>
    </w:pPr>
    <w:rPr>
      <w:rFonts w:ascii="宋体" w:hAnsi="Courier New" w:eastAsia="楷体_GB2312" w:cs="Times New Roman"/>
      <w:sz w:val="26"/>
      <w:szCs w:val="20"/>
    </w:rPr>
  </w:style>
  <w:style w:type="paragraph" w:customStyle="1" w:styleId="131">
    <w:name w:val="xl9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仿宋_GB2312" w:hAnsi="宋体" w:eastAsia="仿宋_GB2312" w:cs="宋体"/>
      <w:kern w:val="0"/>
      <w:sz w:val="32"/>
      <w:szCs w:val="32"/>
    </w:rPr>
  </w:style>
  <w:style w:type="paragraph" w:customStyle="1" w:styleId="132">
    <w:name w:val="_Style 84"/>
    <w:autoRedefine/>
    <w:unhideWhenUsed/>
    <w:qFormat/>
    <w:uiPriority w:val="99"/>
    <w:pPr>
      <w:widowControl w:val="0"/>
      <w:jc w:val="both"/>
    </w:pPr>
    <w:rPr>
      <w:rFonts w:ascii="Calibri" w:hAnsi="Calibri" w:eastAsia="楷体_GB2312" w:cs="Times New Roman"/>
      <w:kern w:val="2"/>
      <w:sz w:val="26"/>
      <w:lang w:val="en-US" w:eastAsia="zh-CN" w:bidi="ar-SA"/>
    </w:rPr>
  </w:style>
  <w:style w:type="paragraph" w:customStyle="1" w:styleId="133">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32"/>
      <w:szCs w:val="32"/>
    </w:rPr>
  </w:style>
  <w:style w:type="paragraph" w:customStyle="1" w:styleId="134">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FF0000"/>
      <w:kern w:val="0"/>
      <w:sz w:val="32"/>
      <w:szCs w:val="32"/>
    </w:rPr>
  </w:style>
  <w:style w:type="paragraph" w:customStyle="1" w:styleId="135">
    <w:name w:val="Char"/>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136">
    <w:name w:val="xl67"/>
    <w:basedOn w:val="1"/>
    <w:autoRedefine/>
    <w:qFormat/>
    <w:uiPriority w:val="0"/>
    <w:pPr>
      <w:widowControl/>
      <w:spacing w:before="100" w:beforeAutospacing="1" w:after="100" w:afterAutospacing="1"/>
      <w:jc w:val="left"/>
    </w:pPr>
    <w:rPr>
      <w:rFonts w:ascii="仿宋_GB2312" w:hAnsi="宋体" w:eastAsia="仿宋_GB2312" w:cs="宋体"/>
      <w:kern w:val="0"/>
      <w:sz w:val="20"/>
      <w:szCs w:val="20"/>
    </w:rPr>
  </w:style>
  <w:style w:type="paragraph" w:customStyle="1" w:styleId="137">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32"/>
      <w:szCs w:val="32"/>
    </w:rPr>
  </w:style>
  <w:style w:type="paragraph" w:customStyle="1" w:styleId="138">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139">
    <w:name w:val="xl68"/>
    <w:basedOn w:val="1"/>
    <w:autoRedefine/>
    <w:qFormat/>
    <w:uiPriority w:val="0"/>
    <w:pPr>
      <w:widowControl/>
      <w:spacing w:before="100" w:beforeAutospacing="1" w:after="100" w:afterAutospacing="1"/>
      <w:jc w:val="center"/>
    </w:pPr>
    <w:rPr>
      <w:rFonts w:ascii="仿宋_GB2312" w:hAnsi="宋体" w:eastAsia="仿宋_GB2312" w:cs="宋体"/>
      <w:kern w:val="0"/>
      <w:sz w:val="32"/>
      <w:szCs w:val="32"/>
    </w:rPr>
  </w:style>
  <w:style w:type="paragraph" w:customStyle="1" w:styleId="140">
    <w:name w:val="正文1"/>
    <w:basedOn w:val="1"/>
    <w:next w:val="1"/>
    <w:autoRedefine/>
    <w:qFormat/>
    <w:uiPriority w:val="0"/>
    <w:pPr>
      <w:spacing w:before="120" w:line="360" w:lineRule="auto"/>
      <w:ind w:left="420" w:firstLine="527"/>
    </w:pPr>
    <w:rPr>
      <w:rFonts w:ascii="宋体" w:hAnsi="宋体" w:eastAsia="宋体" w:cs="Times New Roman"/>
      <w:sz w:val="24"/>
      <w:szCs w:val="24"/>
    </w:rPr>
  </w:style>
  <w:style w:type="paragraph" w:customStyle="1" w:styleId="141">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42">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32"/>
      <w:szCs w:val="32"/>
    </w:rPr>
  </w:style>
  <w:style w:type="paragraph" w:customStyle="1" w:styleId="143">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32"/>
      <w:szCs w:val="32"/>
    </w:rPr>
  </w:style>
  <w:style w:type="paragraph" w:customStyle="1" w:styleId="144">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FF0000"/>
      <w:kern w:val="0"/>
      <w:sz w:val="32"/>
      <w:szCs w:val="32"/>
    </w:rPr>
  </w:style>
  <w:style w:type="paragraph" w:styleId="145">
    <w:name w:val="List Paragraph"/>
    <w:basedOn w:val="1"/>
    <w:autoRedefine/>
    <w:qFormat/>
    <w:uiPriority w:val="34"/>
    <w:pPr>
      <w:ind w:firstLine="420" w:firstLineChars="200"/>
    </w:pPr>
    <w:rPr>
      <w:rFonts w:ascii="Calibri" w:hAnsi="Calibri" w:eastAsia="楷体_GB2312" w:cs="Times New Roman"/>
      <w:sz w:val="26"/>
      <w:szCs w:val="20"/>
    </w:rPr>
  </w:style>
  <w:style w:type="paragraph" w:customStyle="1" w:styleId="146">
    <w:name w:val="纯文本5"/>
    <w:basedOn w:val="1"/>
    <w:autoRedefine/>
    <w:qFormat/>
    <w:uiPriority w:val="0"/>
    <w:pPr>
      <w:adjustRightInd w:val="0"/>
      <w:textAlignment w:val="baseline"/>
    </w:pPr>
    <w:rPr>
      <w:rFonts w:ascii="宋体" w:hAnsi="Courier New" w:eastAsia="楷体_GB2312" w:cs="Times New Roman"/>
      <w:sz w:val="26"/>
      <w:szCs w:val="20"/>
    </w:rPr>
  </w:style>
  <w:style w:type="paragraph" w:customStyle="1" w:styleId="147">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32"/>
      <w:szCs w:val="32"/>
    </w:rPr>
  </w:style>
  <w:style w:type="paragraph" w:customStyle="1" w:styleId="148">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b/>
      <w:bCs/>
      <w:kern w:val="0"/>
      <w:sz w:val="20"/>
      <w:szCs w:val="20"/>
    </w:rPr>
  </w:style>
  <w:style w:type="paragraph" w:customStyle="1" w:styleId="149">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32"/>
      <w:szCs w:val="32"/>
    </w:rPr>
  </w:style>
  <w:style w:type="paragraph" w:customStyle="1" w:styleId="150">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kern w:val="0"/>
      <w:sz w:val="28"/>
      <w:szCs w:val="28"/>
    </w:rPr>
  </w:style>
  <w:style w:type="paragraph" w:customStyle="1" w:styleId="151">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32"/>
      <w:szCs w:val="32"/>
    </w:rPr>
  </w:style>
  <w:style w:type="paragraph" w:customStyle="1" w:styleId="152">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32"/>
      <w:szCs w:val="32"/>
    </w:rPr>
  </w:style>
  <w:style w:type="table" w:customStyle="1" w:styleId="153">
    <w:name w:val="TableGrid"/>
    <w:autoRedefine/>
    <w:qFormat/>
    <w:uiPriority w:val="0"/>
    <w:rPr>
      <w:rFonts w:ascii="Calibri" w:hAnsi="Calibri"/>
    </w:rPr>
    <w:tblPr>
      <w:tblCellMar>
        <w:top w:w="0" w:type="dxa"/>
        <w:left w:w="0" w:type="dxa"/>
        <w:bottom w:w="0" w:type="dxa"/>
        <w:right w:w="0" w:type="dxa"/>
      </w:tblCellMar>
    </w:tblPr>
  </w:style>
  <w:style w:type="paragraph" w:customStyle="1" w:styleId="154">
    <w:name w:val="Plain Text1"/>
    <w:basedOn w:val="1"/>
    <w:autoRedefine/>
    <w:qFormat/>
    <w:uiPriority w:val="0"/>
    <w:pPr>
      <w:adjustRightInd w:val="0"/>
      <w:textAlignment w:val="baseline"/>
    </w:pPr>
    <w:rPr>
      <w:rFonts w:ascii="宋体" w:hAnsi="Courier New" w:eastAsia="楷体_GB2312" w:cs="Times New Roman"/>
      <w:sz w:val="26"/>
      <w:szCs w:val="20"/>
    </w:rPr>
  </w:style>
  <w:style w:type="table" w:customStyle="1" w:styleId="155">
    <w:name w:val="网格型1"/>
    <w:basedOn w:val="49"/>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56">
    <w:name w:val="正文3"/>
    <w:autoRedefine/>
    <w:qFormat/>
    <w:uiPriority w:val="0"/>
    <w:pPr>
      <w:widowControl w:val="0"/>
      <w:adjustRightInd w:val="0"/>
      <w:spacing w:line="315" w:lineRule="atLeast"/>
      <w:jc w:val="both"/>
      <w:textAlignment w:val="baseline"/>
    </w:pPr>
    <w:rPr>
      <w:rFonts w:ascii="宋体" w:hAnsi="Calibri" w:eastAsia="宋体" w:cs="Times New Roman"/>
      <w:sz w:val="24"/>
      <w:lang w:val="en-US" w:eastAsia="zh-CN" w:bidi="ar-SA"/>
    </w:rPr>
  </w:style>
  <w:style w:type="paragraph" w:customStyle="1" w:styleId="157">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58">
    <w:name w:val="修订3"/>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59">
    <w:name w:val="纯文本21"/>
    <w:autoRedefine/>
    <w:qFormat/>
    <w:uiPriority w:val="0"/>
    <w:pPr>
      <w:widowControl w:val="0"/>
      <w:adjustRightInd w:val="0"/>
      <w:jc w:val="both"/>
    </w:pPr>
    <w:rPr>
      <w:rFonts w:hint="eastAsia" w:ascii="宋体" w:hAnsi="Courier New" w:eastAsia="楷体_GB2312" w:cs="Times New Roman"/>
      <w:kern w:val="2"/>
      <w:sz w:val="26"/>
      <w:lang w:val="en-US" w:eastAsia="zh-CN" w:bidi="ar-SA"/>
    </w:rPr>
  </w:style>
  <w:style w:type="paragraph" w:customStyle="1" w:styleId="160">
    <w:name w:val="修订4"/>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61">
    <w:name w:val="修订5"/>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62">
    <w:name w:val="font81"/>
    <w:basedOn w:val="51"/>
    <w:autoRedefine/>
    <w:qFormat/>
    <w:uiPriority w:val="0"/>
    <w:rPr>
      <w:rFonts w:hint="eastAsia" w:ascii="宋体" w:hAnsi="宋体" w:eastAsia="宋体" w:cs="宋体"/>
      <w:color w:val="000000"/>
      <w:sz w:val="18"/>
      <w:szCs w:val="18"/>
      <w:u w:val="none"/>
    </w:rPr>
  </w:style>
  <w:style w:type="character" w:customStyle="1" w:styleId="163">
    <w:name w:val="font91"/>
    <w:basedOn w:val="51"/>
    <w:autoRedefine/>
    <w:qFormat/>
    <w:uiPriority w:val="0"/>
    <w:rPr>
      <w:rFonts w:hint="eastAsia" w:ascii="宋体" w:hAnsi="宋体" w:eastAsia="宋体" w:cs="宋体"/>
      <w:b/>
      <w:bCs/>
      <w:color w:val="FF0000"/>
      <w:sz w:val="18"/>
      <w:szCs w:val="18"/>
      <w:u w:val="none"/>
    </w:rPr>
  </w:style>
  <w:style w:type="character" w:customStyle="1" w:styleId="164">
    <w:name w:val="font21"/>
    <w:basedOn w:val="51"/>
    <w:autoRedefine/>
    <w:qFormat/>
    <w:uiPriority w:val="0"/>
    <w:rPr>
      <w:rFonts w:hint="eastAsia" w:ascii="宋体" w:hAnsi="宋体" w:eastAsia="宋体" w:cs="宋体"/>
      <w:b/>
      <w:bCs/>
      <w:color w:val="000000"/>
      <w:sz w:val="22"/>
      <w:szCs w:val="22"/>
      <w:u w:val="none"/>
    </w:rPr>
  </w:style>
  <w:style w:type="character" w:customStyle="1" w:styleId="165">
    <w:name w:val="font51"/>
    <w:basedOn w:val="51"/>
    <w:autoRedefine/>
    <w:qFormat/>
    <w:uiPriority w:val="0"/>
    <w:rPr>
      <w:rFonts w:hint="eastAsia" w:ascii="宋体" w:hAnsi="宋体" w:eastAsia="宋体" w:cs="宋体"/>
      <w:b/>
      <w:bCs/>
      <w:color w:val="FF0000"/>
      <w:sz w:val="22"/>
      <w:szCs w:val="22"/>
      <w:u w:val="none"/>
    </w:rPr>
  </w:style>
  <w:style w:type="character" w:customStyle="1" w:styleId="166">
    <w:name w:val="font31"/>
    <w:basedOn w:val="51"/>
    <w:autoRedefine/>
    <w:qFormat/>
    <w:uiPriority w:val="0"/>
    <w:rPr>
      <w:rFonts w:hint="eastAsia" w:ascii="宋体" w:hAnsi="宋体" w:eastAsia="宋体" w:cs="宋体"/>
      <w:color w:val="000000"/>
      <w:sz w:val="22"/>
      <w:szCs w:val="22"/>
      <w:u w:val="none"/>
    </w:rPr>
  </w:style>
  <w:style w:type="character" w:customStyle="1" w:styleId="167">
    <w:name w:val="font61"/>
    <w:basedOn w:val="51"/>
    <w:autoRedefine/>
    <w:qFormat/>
    <w:uiPriority w:val="0"/>
    <w:rPr>
      <w:rFonts w:hint="eastAsia" w:ascii="宋体" w:hAnsi="宋体" w:eastAsia="宋体" w:cs="宋体"/>
      <w:color w:val="FF0000"/>
      <w:sz w:val="22"/>
      <w:szCs w:val="22"/>
      <w:u w:val="none"/>
    </w:rPr>
  </w:style>
  <w:style w:type="table" w:customStyle="1" w:styleId="168">
    <w:name w:val="Table Normal"/>
    <w:autoRedefine/>
    <w:unhideWhenUsed/>
    <w:qFormat/>
    <w:uiPriority w:val="0"/>
    <w:tblPr>
      <w:tblCellMar>
        <w:top w:w="0" w:type="dxa"/>
        <w:left w:w="0" w:type="dxa"/>
        <w:bottom w:w="0" w:type="dxa"/>
        <w:right w:w="0" w:type="dxa"/>
      </w:tblCellMar>
    </w:tblPr>
  </w:style>
  <w:style w:type="character" w:customStyle="1" w:styleId="169">
    <w:name w:val="NormalCharacter"/>
    <w:semiHidden/>
    <w:qFormat/>
    <w:uiPriority w:val="0"/>
  </w:style>
  <w:style w:type="paragraph" w:customStyle="1" w:styleId="170">
    <w:name w:val="NormalIndent"/>
    <w:basedOn w:val="1"/>
    <w:qFormat/>
    <w:uiPriority w:val="0"/>
    <w:pPr>
      <w:widowControl/>
      <w:ind w:firstLine="420"/>
      <w:jc w:val="left"/>
      <w:textAlignment w:val="baseline"/>
    </w:pPr>
    <w:rPr>
      <w:kern w:val="0"/>
      <w:sz w:val="24"/>
    </w:rPr>
  </w:style>
  <w:style w:type="paragraph" w:customStyle="1" w:styleId="171">
    <w:name w:val="正文缩进1"/>
    <w:basedOn w:val="1"/>
    <w:qFormat/>
    <w:uiPriority w:val="0"/>
    <w:pPr>
      <w:ind w:firstLine="420"/>
      <w:jc w:val="left"/>
    </w:pPr>
    <w:rPr>
      <w:sz w:val="24"/>
    </w:rPr>
  </w:style>
  <w:style w:type="paragraph" w:customStyle="1" w:styleId="172">
    <w:name w:val="Char Char Char Char Char Char Char Char Char Char"/>
    <w:basedOn w:val="1"/>
    <w:qFormat/>
    <w:uiPriority w:val="0"/>
    <w:pPr>
      <w:tabs>
        <w:tab w:val="left" w:pos="960"/>
      </w:tabs>
      <w:ind w:left="840" w:hanging="420"/>
    </w:pPr>
    <w:rPr>
      <w:rFonts w:eastAsia="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StyleName="APA Fifth Edition"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1F220D-62EE-4A70-B1B4-EE1DD9751147}">
  <ds:schemaRefs/>
</ds:datastoreItem>
</file>

<file path=docProps/app.xml><?xml version="1.0" encoding="utf-8"?>
<Properties xmlns="http://schemas.openxmlformats.org/officeDocument/2006/extended-properties" xmlns:vt="http://schemas.openxmlformats.org/officeDocument/2006/docPropsVTypes">
  <Template>Normal</Template>
  <Pages>71</Pages>
  <Words>7623</Words>
  <Characters>8392</Characters>
  <Lines>320</Lines>
  <Paragraphs>90</Paragraphs>
  <TotalTime>0</TotalTime>
  <ScaleCrop>false</ScaleCrop>
  <LinksUpToDate>false</LinksUpToDate>
  <CharactersWithSpaces>8411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2022-06-13T16:19:00Z</dcterms:created>
  <dc:creator>苏州诚和招投标咨询有限公司</dc:creator>
  <cp:lastModifiedBy>zwx</cp:lastModifiedBy>
  <cp:lastPrinted>2023-03-02T17:01:00Z</cp:lastPrinted>
  <dcterms:modified xsi:type="dcterms:W3CDTF">2026-10-16T08:48:13Z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70EA3D9A84CD4816911434CF013F4C84_13</vt:lpwstr>
  </property>
  <property fmtid="{D5CDD505-2E9C-101B-9397-08002B2CF9AE}" pid="4" name="KSOTemplateDocerSaveRecord">
    <vt:lpwstr>eyJoZGlkIjoiMDZhMWQ5NGNmMWI3NjY0ZGNjMWUwNmY0YTY2Nzk0NmQiLCJ1c2VySWQiOiI2MjUzMjQ4ODEifQ==</vt:lpwstr>
  </property>
</Properties>
</file>