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Style w:val="1061"/>
          <w:color w:val="auto"/>
          <w:highlight w:val="none"/>
        </w:rPr>
      </w:pPr>
      <w:r>
        <w:rPr>
          <w:color w:val="auto"/>
          <w:highlight w:val="none"/>
        </w:rPr>
      </w:r>
      <w:r/>
    </w:p>
    <w:p>
      <w:pPr>
        <w:jc w:val="center"/>
        <w:spacing w:before="120" w:after="120" w:line="360" w:lineRule="auto"/>
        <w:rPr>
          <w:rFonts w:ascii="宋体" w:hAnsi="宋体" w:cs="Arial"/>
          <w:b/>
          <w:bCs/>
          <w:color w:val="auto"/>
          <w:sz w:val="84"/>
          <w:szCs w:val="84"/>
          <w:highlight w:val="none"/>
        </w:rPr>
      </w:pPr>
      <w:r/>
      <w:bookmarkStart w:id="0" w:name="_Toc6590"/>
      <w:r/>
      <w:bookmarkStart w:id="1" w:name="_Toc479757206"/>
      <w:r/>
      <w:bookmarkStart w:id="2" w:name="_Toc20823272"/>
      <w:r/>
      <w:bookmarkStart w:id="3" w:name="_Toc16938516"/>
      <w:r/>
      <w:bookmarkStart w:id="4" w:name="_Toc513029200"/>
      <w:r/>
      <w:bookmarkStart w:id="5" w:name="_Toc120614211"/>
      <w:r/>
      <w:bookmarkStart w:id="6" w:name="_Toc523127445"/>
      <w:r>
        <w:rPr>
          <w:rFonts w:hint="eastAsia" w:ascii="宋体" w:hAnsi="宋体" w:cs="Arial"/>
          <w:b/>
          <w:bCs/>
          <w:color w:val="auto"/>
          <w:sz w:val="84"/>
          <w:szCs w:val="84"/>
          <w:highlight w:val="none"/>
        </w:rPr>
        <w:t xml:space="preserve"> </w:t>
      </w:r>
      <w:r/>
    </w:p>
    <w:p>
      <w:pPr>
        <w:pStyle w:val="1094"/>
        <w:ind w:left="0" w:firstLine="0"/>
        <w:jc w:val="center"/>
        <w:rPr>
          <w:rFonts w:ascii="宋体" w:hAnsi="宋体"/>
          <w:b/>
          <w:bCs/>
          <w:color w:val="auto"/>
          <w:sz w:val="72"/>
          <w:szCs w:val="72"/>
          <w:highlight w:val="none"/>
        </w:rPr>
      </w:pPr>
      <w:r>
        <w:rPr>
          <w:rFonts w:hint="eastAsia" w:ascii="宋体" w:hAnsi="宋体"/>
          <w:b/>
          <w:bCs/>
          <w:color w:val="auto"/>
          <w:sz w:val="72"/>
          <w:szCs w:val="72"/>
          <w:highlight w:val="none"/>
        </w:rPr>
        <w:t xml:space="preserve">招　标　文　件</w:t>
      </w:r>
      <w:r/>
    </w:p>
    <w:p>
      <w:pPr>
        <w:ind w:left="0"/>
        <w:jc w:val="center"/>
        <w:rPr>
          <w:rFonts w:hint="eastAsia"/>
          <w:b/>
          <w:bCs/>
          <w:color w:val="auto"/>
          <w:sz w:val="32"/>
          <w:szCs w:val="36"/>
          <w:highlight w:val="none"/>
        </w:rPr>
      </w:pPr>
      <w:r>
        <w:rPr>
          <w:rFonts w:hint="eastAsia"/>
          <w:b/>
          <w:bCs/>
          <w:color w:val="auto"/>
          <w:sz w:val="32"/>
          <w:szCs w:val="36"/>
          <w:highlight w:val="none"/>
        </w:rPr>
      </w:r>
      <w:r/>
    </w:p>
    <w:p>
      <w:pPr>
        <w:ind w:left="0"/>
        <w:jc w:val="center"/>
        <w:rPr>
          <w:rFonts w:hint="eastAsia"/>
          <w:b/>
          <w:bCs/>
          <w:color w:val="auto"/>
          <w:sz w:val="32"/>
          <w:szCs w:val="36"/>
          <w:highlight w:val="none"/>
        </w:rPr>
      </w:pPr>
      <w:r>
        <w:rPr>
          <w:rFonts w:hint="eastAsia"/>
          <w:b/>
          <w:bCs/>
          <w:color w:val="auto"/>
          <w:sz w:val="32"/>
          <w:szCs w:val="36"/>
          <w:highlight w:val="none"/>
        </w:rPr>
      </w:r>
      <w:r/>
    </w:p>
    <w:p>
      <w:pPr>
        <w:ind w:left="0" w:firstLine="1905"/>
        <w:jc w:val="left"/>
        <w:rPr>
          <w:b/>
          <w:bCs/>
          <w:color w:val="auto"/>
          <w:sz w:val="32"/>
          <w:szCs w:val="36"/>
          <w:highlight w:val="none"/>
        </w:rPr>
      </w:pPr>
      <w:r>
        <w:rPr>
          <w:rFonts w:hint="eastAsia"/>
          <w:b/>
          <w:bCs/>
          <w:color w:val="auto"/>
          <w:sz w:val="32"/>
          <w:szCs w:val="36"/>
          <w:highlight w:val="none"/>
        </w:rPr>
        <w:t xml:space="preserve">项目名称：保税区路灯改造能源管理服务项目</w:t>
      </w:r>
      <w:r/>
    </w:p>
    <w:p>
      <w:pPr>
        <w:ind w:left="0" w:firstLine="1905"/>
        <w:jc w:val="both"/>
        <w:rPr>
          <w:b/>
          <w:bCs/>
          <w:color w:val="auto"/>
          <w:sz w:val="32"/>
          <w:szCs w:val="36"/>
          <w:highlight w:val="none"/>
        </w:rPr>
      </w:pPr>
      <w:r>
        <w:rPr>
          <w:rFonts w:hint="eastAsia"/>
          <w:b/>
          <w:bCs/>
          <w:color w:val="auto"/>
          <w:sz w:val="32"/>
          <w:szCs w:val="36"/>
          <w:highlight w:val="none"/>
        </w:rPr>
        <w:t xml:space="preserve">项目编号：JSZC-320582-HYJS-G2026-0013</w:t>
      </w:r>
      <w:r/>
    </w:p>
    <w:p>
      <w:pPr>
        <w:ind w:left="0" w:firstLine="1905"/>
        <w:jc w:val="both"/>
        <w:spacing w:before="0" w:after="0"/>
        <w:rPr>
          <w:b/>
          <w:bCs/>
          <w:color w:val="auto"/>
          <w:sz w:val="32"/>
          <w:szCs w:val="36"/>
          <w:highlight w:val="none"/>
        </w:rPr>
      </w:pPr>
      <w:r>
        <w:rPr>
          <w:rFonts w:hint="eastAsia"/>
          <w:b/>
          <w:bCs/>
          <w:color w:val="auto"/>
          <w:sz w:val="32"/>
          <w:szCs w:val="36"/>
          <w:highlight w:val="none"/>
        </w:rPr>
        <w:t xml:space="preserve">项目属性：服务</w:t>
      </w:r>
      <w:r/>
    </w:p>
    <w:p>
      <w:pPr>
        <w:jc w:val="center"/>
        <w:spacing w:before="0" w:after="0"/>
        <w:rPr>
          <w:color w:val="auto"/>
          <w:highlight w:val="none"/>
        </w:rPr>
      </w:pPr>
      <w:r>
        <w:rPr>
          <w:color w:val="auto"/>
          <w:highlight w:val="none"/>
        </w:rPr>
      </w:r>
      <w:r/>
    </w:p>
    <w:p>
      <w:pPr>
        <w:pStyle w:val="1094"/>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94"/>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94"/>
        <w:ind w:left="0" w:firstLine="0"/>
        <w:spacing w:before="0" w:after="0"/>
        <w:rPr>
          <w:rFonts w:hint="default" w:ascii="宋体" w:hAnsi="宋体" w:eastAsia="宋体"/>
          <w:color w:val="auto"/>
          <w:sz w:val="32"/>
          <w:szCs w:val="32"/>
          <w:highlight w:val="none"/>
          <w:lang w:val="en-US" w:eastAsia="zh-CN"/>
        </w:rPr>
      </w:pPr>
      <w:r>
        <w:rPr>
          <w:rFonts w:hint="eastAsia" w:ascii="宋体" w:hAnsi="宋体"/>
          <w:color w:val="auto"/>
          <w:sz w:val="32"/>
          <w:szCs w:val="32"/>
          <w:highlight w:val="none"/>
          <w:lang w:val="en-US" w:eastAsia="zh-CN"/>
        </w:rPr>
        <w:t xml:space="preserve">  </w:t>
      </w:r>
      <w:r/>
    </w:p>
    <w:p>
      <w:pPr>
        <w:pStyle w:val="1094"/>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94"/>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pStyle w:val="1094"/>
        <w:ind w:left="0" w:firstLine="0"/>
        <w:spacing w:before="0" w:after="0"/>
        <w:rPr>
          <w:rFonts w:ascii="宋体" w:hAnsi="宋体"/>
          <w:color w:val="auto"/>
          <w:sz w:val="32"/>
          <w:szCs w:val="32"/>
          <w:highlight w:val="none"/>
        </w:rPr>
      </w:pPr>
      <w:r>
        <w:rPr>
          <w:rFonts w:ascii="宋体" w:hAnsi="宋体"/>
          <w:color w:val="auto"/>
          <w:sz w:val="32"/>
          <w:szCs w:val="32"/>
          <w:highlight w:val="none"/>
        </w:rPr>
      </w:r>
      <w:r/>
    </w:p>
    <w:p>
      <w:pPr>
        <w:ind w:left="0" w:firstLine="0"/>
        <w:jc w:val="center"/>
        <w:spacing w:line="360" w:lineRule="auto"/>
        <w:rPr>
          <w:rFonts w:hint="eastAsia" w:ascii="Calibri" w:hAnsi="Calibri" w:eastAsia="宋体"/>
          <w:b/>
          <w:bCs/>
          <w:color w:val="auto"/>
          <w:sz w:val="32"/>
          <w:szCs w:val="36"/>
          <w:highlight w:val="none"/>
        </w:rPr>
      </w:pPr>
      <w:r>
        <w:rPr>
          <w:rFonts w:hint="eastAsia" w:ascii="Calibri" w:hAnsi="Calibri" w:eastAsia="宋体"/>
          <w:b/>
          <w:bCs/>
          <w:color w:val="auto"/>
          <w:sz w:val="32"/>
          <w:szCs w:val="36"/>
          <w:highlight w:val="none"/>
        </w:rPr>
        <w:t xml:space="preserve">张家港保税区宏宇建设咨询有限公司</w:t>
      </w:r>
      <w:r/>
    </w:p>
    <w:p>
      <w:pPr>
        <w:ind w:left="0" w:firstLine="0"/>
        <w:jc w:val="center"/>
        <w:rPr>
          <w:rFonts w:hint="eastAsia" w:ascii="Calibri" w:hAnsi="Calibri" w:eastAsia="宋体" w:cs="Times New Roman"/>
          <w:b/>
          <w:bCs/>
          <w:color w:val="auto"/>
          <w:sz w:val="32"/>
          <w:szCs w:val="36"/>
          <w:highlight w:val="none"/>
        </w:rPr>
      </w:pPr>
      <w:r/>
      <w:bookmarkStart w:id="7" w:name="EB52307051e0d04806912e5842f73c8551"/>
      <w:r>
        <w:rPr>
          <w:rFonts w:hint="eastAsia" w:ascii="Calibri" w:hAnsi="Calibri" w:eastAsia="宋体" w:cs="Times New Roman"/>
          <w:b/>
          <w:bCs/>
          <w:color w:val="auto"/>
          <w:sz w:val="32"/>
          <w:szCs w:val="36"/>
          <w:highlight w:val="none"/>
        </w:rPr>
        <w:t xml:space="preserve">2026年</w:t>
      </w:r>
      <w:r>
        <w:rPr>
          <w:rFonts w:hint="eastAsia" w:cs="Times New Roman"/>
          <w:b/>
          <w:bCs/>
          <w:color w:val="auto"/>
          <w:sz w:val="32"/>
          <w:szCs w:val="36"/>
          <w:highlight w:val="none"/>
          <w:lang w:val="en-US" w:eastAsia="zh-CN"/>
        </w:rPr>
        <w:t xml:space="preserve">9</w:t>
      </w:r>
      <w:r>
        <w:rPr>
          <w:rFonts w:hint="eastAsia" w:ascii="Calibri" w:hAnsi="Calibri" w:eastAsia="宋体" w:cs="Times New Roman"/>
          <w:b/>
          <w:bCs/>
          <w:color w:val="auto"/>
          <w:sz w:val="32"/>
          <w:szCs w:val="36"/>
          <w:highlight w:val="none"/>
        </w:rPr>
        <w:t xml:space="preserve">月</w:t>
      </w:r>
      <w:bookmarkEnd w:id="7"/>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before="120" w:after="120" w:line="360" w:lineRule="auto"/>
        <w:rPr>
          <w:rFonts w:ascii="宋体" w:hAnsi="宋体" w:cs="Arial"/>
          <w:color w:val="auto"/>
          <w:sz w:val="24"/>
          <w:highlight w:val="none"/>
        </w:rPr>
      </w:pPr>
      <w:r>
        <w:rPr>
          <w:rFonts w:hint="eastAsia" w:ascii="宋体" w:hAnsi="宋体" w:cs="Arial"/>
          <w:color w:val="auto"/>
          <w:sz w:val="24"/>
          <w:highlight w:val="none"/>
        </w:rPr>
        <w:t xml:space="preserve"> </w:t>
      </w:r>
      <w:r/>
    </w:p>
    <w:p>
      <w:pPr>
        <w:jc w:val="center"/>
        <w:spacing w:line="360" w:lineRule="auto"/>
        <w:rPr>
          <w:rFonts w:ascii="宋体" w:hAnsi="宋体"/>
          <w:b/>
          <w:bCs/>
          <w:color w:val="auto"/>
          <w:sz w:val="44"/>
          <w:szCs w:val="44"/>
          <w:highlight w:val="none"/>
        </w:rPr>
      </w:pPr>
      <w:r/>
      <w:bookmarkStart w:id="8" w:name="_Toc120614210"/>
      <w:r>
        <w:rPr>
          <w:rFonts w:hint="eastAsia" w:ascii="宋体" w:hAnsi="宋体"/>
          <w:b/>
          <w:bCs/>
          <w:color w:val="auto"/>
          <w:sz w:val="44"/>
          <w:szCs w:val="44"/>
          <w:highlight w:val="none"/>
        </w:rPr>
        <w:br w:type="page" w:clear="all"/>
      </w:r>
      <w:r>
        <w:rPr>
          <w:rFonts w:hint="eastAsia" w:ascii="宋体" w:hAnsi="宋体"/>
          <w:b/>
          <w:bCs/>
          <w:color w:val="auto"/>
          <w:sz w:val="44"/>
          <w:szCs w:val="44"/>
          <w:highlight w:val="none"/>
        </w:rPr>
        <w:t xml:space="preserve">总  目  录</w:t>
      </w:r>
      <w:r/>
    </w:p>
    <w:p>
      <w:pPr>
        <w:jc w:val="center"/>
        <w:rPr>
          <w:color w:val="auto"/>
          <w:sz w:val="24"/>
          <w:szCs w:val="24"/>
          <w:highlight w:val="none"/>
        </w:rPr>
      </w:pPr>
      <w:r>
        <w:rPr>
          <w:color w:val="auto"/>
          <w:sz w:val="24"/>
          <w:szCs w:val="24"/>
          <w:highlight w:val="none"/>
        </w:rPr>
      </w:r>
      <w:r/>
    </w:p>
    <w:p>
      <w:pPr>
        <w:pStyle w:val="773"/>
        <w:ind w:left="0" w:firstLine="0"/>
        <w:jc w:val="both"/>
        <w:tabs>
          <w:tab w:val="right" w:pos="10092" w:leader="dot"/>
        </w:tabs>
        <w:rPr>
          <w:b/>
          <w:bCs/>
          <w:color w:val="auto"/>
          <w:sz w:val="24"/>
          <w:szCs w:val="28"/>
          <w:highlight w:val="none"/>
        </w:rPr>
      </w:pPr>
      <w:r>
        <w:rPr>
          <w:rFonts w:ascii="宋体" w:hAnsi="宋体"/>
          <w:b/>
          <w:bCs/>
          <w:color w:val="auto"/>
          <w:sz w:val="32"/>
          <w:szCs w:val="32"/>
          <w:highlight w:val="none"/>
        </w:rPr>
        <w:fldChar w:fldCharType="begin"/>
      </w:r>
      <w:r>
        <w:rPr>
          <w:rFonts w:ascii="宋体" w:hAnsi="宋体"/>
          <w:b/>
          <w:bCs/>
          <w:color w:val="auto"/>
          <w:sz w:val="32"/>
          <w:szCs w:val="32"/>
          <w:highlight w:val="none"/>
        </w:rPr>
        <w:instrText xml:space="preserve">TOC \o "1-2" \h \u </w:instrText>
      </w:r>
      <w:r>
        <w:rPr>
          <w:rFonts w:ascii="宋体" w:hAnsi="宋体"/>
          <w:b/>
          <w:bCs/>
          <w:color w:val="auto"/>
          <w:sz w:val="32"/>
          <w:szCs w:val="32"/>
          <w:highlight w:val="none"/>
        </w:rPr>
        <w:fldChar w:fldCharType="separate"/>
      </w: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_Toc26885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第一章  投标邀请</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_Toc26885 \h </w:instrText>
      </w:r>
      <w:r>
        <w:rPr>
          <w:b/>
          <w:bCs/>
          <w:color w:val="auto"/>
          <w:sz w:val="24"/>
          <w:szCs w:val="28"/>
          <w:highlight w:val="none"/>
        </w:rPr>
        <w:fldChar w:fldCharType="separate"/>
      </w:r>
      <w:r>
        <w:rPr>
          <w:b/>
          <w:bCs/>
          <w:color w:val="auto"/>
          <w:sz w:val="24"/>
          <w:szCs w:val="28"/>
          <w:highlight w:val="none"/>
        </w:rPr>
        <w:t xml:space="preserve">2</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73"/>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_Toc14339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第二章  投标人须知</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_Toc14339 \h </w:instrText>
      </w:r>
      <w:r>
        <w:rPr>
          <w:b/>
          <w:bCs/>
          <w:color w:val="auto"/>
          <w:sz w:val="24"/>
          <w:szCs w:val="28"/>
          <w:highlight w:val="none"/>
        </w:rPr>
        <w:fldChar w:fldCharType="separate"/>
      </w:r>
      <w:r>
        <w:rPr>
          <w:b/>
          <w:bCs/>
          <w:color w:val="auto"/>
          <w:sz w:val="24"/>
          <w:szCs w:val="28"/>
          <w:highlight w:val="none"/>
        </w:rPr>
        <w:t xml:space="preserve">6</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73"/>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_Toc27569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第三章 合同条款及格式</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_Toc27569 \h </w:instrText>
      </w:r>
      <w:r>
        <w:rPr>
          <w:b/>
          <w:bCs/>
          <w:color w:val="auto"/>
          <w:sz w:val="24"/>
          <w:szCs w:val="28"/>
          <w:highlight w:val="none"/>
        </w:rPr>
        <w:fldChar w:fldCharType="separate"/>
      </w:r>
      <w:r>
        <w:rPr>
          <w:b/>
          <w:bCs/>
          <w:color w:val="auto"/>
          <w:sz w:val="24"/>
          <w:szCs w:val="28"/>
          <w:highlight w:val="none"/>
        </w:rPr>
        <w:t xml:space="preserve">16</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73"/>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_Toc1478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第四章 项目需求</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_Toc1478 \h </w:instrText>
      </w:r>
      <w:r>
        <w:rPr>
          <w:b/>
          <w:bCs/>
          <w:color w:val="auto"/>
          <w:sz w:val="24"/>
          <w:szCs w:val="28"/>
          <w:highlight w:val="none"/>
        </w:rPr>
        <w:fldChar w:fldCharType="separate"/>
      </w:r>
      <w:r>
        <w:rPr>
          <w:b/>
          <w:bCs/>
          <w:color w:val="auto"/>
          <w:sz w:val="24"/>
          <w:szCs w:val="28"/>
          <w:highlight w:val="none"/>
        </w:rPr>
        <w:t xml:space="preserve">25</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73"/>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_Toc27773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第五章 评标方法与评标标准</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_Toc27773 \h </w:instrText>
      </w:r>
      <w:r>
        <w:rPr>
          <w:b/>
          <w:bCs/>
          <w:color w:val="auto"/>
          <w:sz w:val="24"/>
          <w:szCs w:val="28"/>
          <w:highlight w:val="none"/>
        </w:rPr>
        <w:fldChar w:fldCharType="separate"/>
      </w:r>
      <w:r>
        <w:rPr>
          <w:b/>
          <w:bCs/>
          <w:color w:val="auto"/>
          <w:sz w:val="24"/>
          <w:szCs w:val="28"/>
          <w:highlight w:val="none"/>
        </w:rPr>
        <w:t xml:space="preserve">143</w:t>
      </w:r>
      <w:r>
        <w:rPr>
          <w:b/>
          <w:bCs/>
          <w:color w:val="auto"/>
          <w:sz w:val="24"/>
          <w:szCs w:val="28"/>
          <w:highlight w:val="none"/>
        </w:rPr>
        <w:fldChar w:fldCharType="end"/>
      </w:r>
      <w:r>
        <w:rPr>
          <w:rFonts w:ascii="宋体" w:hAnsi="宋体"/>
          <w:b/>
          <w:bCs/>
          <w:color w:val="auto"/>
          <w:sz w:val="24"/>
          <w:szCs w:val="32"/>
          <w:highlight w:val="none"/>
        </w:rPr>
        <w:fldChar w:fldCharType="end"/>
      </w:r>
      <w:r/>
    </w:p>
    <w:p>
      <w:pPr>
        <w:pStyle w:val="773"/>
        <w:ind w:left="0" w:firstLine="0"/>
        <w:jc w:val="both"/>
        <w:tabs>
          <w:tab w:val="right" w:pos="10092" w:leader="dot"/>
        </w:tabs>
        <w:rPr>
          <w:b/>
          <w:bCs/>
          <w:color w:val="auto"/>
          <w:sz w:val="24"/>
          <w:szCs w:val="28"/>
          <w:highlight w:val="none"/>
        </w:rPr>
      </w:pPr>
      <w:r>
        <w:rPr>
          <w:rFonts w:ascii="宋体" w:hAnsi="宋体"/>
          <w:b/>
          <w:bCs/>
          <w:color w:val="auto"/>
          <w:sz w:val="24"/>
          <w:szCs w:val="32"/>
          <w:highlight w:val="none"/>
        </w:rPr>
        <w:fldChar w:fldCharType="begin"/>
      </w:r>
      <w:r>
        <w:rPr>
          <w:rFonts w:ascii="宋体" w:hAnsi="宋体"/>
          <w:b/>
          <w:bCs/>
          <w:color w:val="auto"/>
          <w:sz w:val="24"/>
          <w:szCs w:val="32"/>
          <w:highlight w:val="none"/>
        </w:rPr>
        <w:instrText xml:space="preserve"> HYPERLINK \l _Toc695 </w:instrText>
      </w:r>
      <w:r>
        <w:rPr>
          <w:rFonts w:ascii="宋体" w:hAnsi="宋体"/>
          <w:b/>
          <w:bCs/>
          <w:color w:val="auto"/>
          <w:sz w:val="24"/>
          <w:szCs w:val="32"/>
          <w:highlight w:val="none"/>
        </w:rPr>
        <w:fldChar w:fldCharType="separate"/>
      </w:r>
      <w:r>
        <w:rPr>
          <w:rFonts w:hint="eastAsia"/>
          <w:b/>
          <w:bCs/>
          <w:color w:val="auto"/>
          <w:sz w:val="24"/>
          <w:szCs w:val="28"/>
          <w:highlight w:val="none"/>
        </w:rPr>
        <w:t xml:space="preserve">第六章 投标文件格式</w:t>
      </w:r>
      <w:r>
        <w:rPr>
          <w:b/>
          <w:bCs/>
          <w:color w:val="auto"/>
          <w:sz w:val="24"/>
          <w:szCs w:val="28"/>
          <w:highlight w:val="none"/>
        </w:rPr>
        <w:tab/>
      </w:r>
      <w:r>
        <w:rPr>
          <w:b/>
          <w:bCs/>
          <w:color w:val="auto"/>
          <w:sz w:val="24"/>
          <w:szCs w:val="28"/>
          <w:highlight w:val="none"/>
        </w:rPr>
        <w:fldChar w:fldCharType="begin"/>
      </w:r>
      <w:r>
        <w:rPr>
          <w:b/>
          <w:bCs/>
          <w:color w:val="auto"/>
          <w:sz w:val="24"/>
          <w:szCs w:val="28"/>
          <w:highlight w:val="none"/>
        </w:rPr>
        <w:instrText xml:space="preserve"> PAGEREF _Toc695 \h </w:instrText>
      </w:r>
      <w:r>
        <w:rPr>
          <w:b/>
          <w:bCs/>
          <w:color w:val="auto"/>
          <w:sz w:val="24"/>
          <w:szCs w:val="28"/>
          <w:highlight w:val="none"/>
        </w:rPr>
        <w:fldChar w:fldCharType="separate"/>
      </w:r>
      <w:r>
        <w:rPr>
          <w:b/>
          <w:bCs/>
          <w:color w:val="auto"/>
          <w:sz w:val="24"/>
          <w:szCs w:val="28"/>
          <w:highlight w:val="none"/>
        </w:rPr>
        <w:t xml:space="preserve">149</w:t>
      </w:r>
      <w:r>
        <w:rPr>
          <w:b/>
          <w:bCs/>
          <w:color w:val="auto"/>
          <w:sz w:val="24"/>
          <w:szCs w:val="28"/>
          <w:highlight w:val="none"/>
        </w:rPr>
        <w:fldChar w:fldCharType="end"/>
      </w:r>
      <w:r>
        <w:rPr>
          <w:rFonts w:ascii="宋体" w:hAnsi="宋体"/>
          <w:b/>
          <w:bCs/>
          <w:color w:val="auto"/>
          <w:sz w:val="24"/>
          <w:szCs w:val="32"/>
          <w:highlight w:val="none"/>
        </w:rPr>
        <w:fldChar w:fldCharType="end"/>
      </w:r>
      <w:r/>
    </w:p>
    <w:p>
      <w:pPr>
        <w:spacing w:line="360" w:lineRule="auto"/>
        <w:tabs>
          <w:tab w:val="left" w:pos="1440" w:leader="none"/>
        </w:tabs>
        <w:rPr>
          <w:rFonts w:ascii="宋体" w:hAnsi="宋体"/>
          <w:b/>
          <w:bCs/>
          <w:color w:val="auto"/>
          <w:sz w:val="24"/>
          <w:szCs w:val="24"/>
          <w:highlight w:val="none"/>
        </w:rPr>
      </w:pPr>
      <w:r>
        <w:rPr>
          <w:rFonts w:ascii="宋体" w:hAnsi="宋体"/>
          <w:b/>
          <w:bCs/>
          <w:color w:val="auto"/>
          <w:sz w:val="24"/>
          <w:szCs w:val="32"/>
          <w:highlight w:val="none"/>
        </w:rPr>
        <w:fldChar w:fldCharType="end"/>
      </w:r>
      <w:r/>
    </w:p>
    <w:p>
      <w:pPr>
        <w:pStyle w:val="1313"/>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color w:val="auto"/>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color w:val="auto"/>
          <w:highlight w:val="none"/>
        </w:rPr>
        <w:tab/>
      </w:r>
      <w:bookmarkEnd w:id="8"/>
      <w:r/>
      <w:r/>
    </w:p>
    <w:p>
      <w:pPr>
        <w:pStyle w:val="747"/>
        <w:ind w:firstLine="0"/>
        <w:jc w:val="center"/>
        <w:keepLines w:val="0"/>
        <w:keepNext w:val="0"/>
        <w:spacing w:before="0" w:after="0" w:line="240" w:lineRule="auto"/>
        <w:widowControl/>
        <w:rPr>
          <w:rFonts w:hint="eastAsia"/>
          <w:color w:val="auto"/>
          <w:highlight w:val="none"/>
        </w:rPr>
      </w:pPr>
      <w:r/>
      <w:bookmarkStart w:id="9" w:name="_Toc26885"/>
      <w:r>
        <w:rPr>
          <w:rFonts w:hint="eastAsia"/>
          <w:color w:val="auto"/>
          <w:highlight w:val="none"/>
        </w:rPr>
        <w:t xml:space="preserve">第一章  投标邀请</w:t>
      </w:r>
      <w:bookmarkEnd w:id="9"/>
      <w:r/>
      <w:r/>
    </w:p>
    <w:p>
      <w:pPr>
        <w:rPr>
          <w:rFonts w:hint="eastAsia"/>
          <w:color w:val="auto"/>
          <w:highlight w:val="none"/>
        </w:rPr>
      </w:pPr>
      <w:r>
        <w:rPr>
          <w:rFonts w:hint="eastAsia"/>
          <w:color w:val="auto"/>
          <w:highlight w:val="none"/>
        </w:rPr>
      </w:r>
      <w:r/>
    </w:p>
    <w:p>
      <w:pPr>
        <w:pStyle w:val="747"/>
        <w:ind w:firstLine="0"/>
        <w:jc w:val="center"/>
        <w:keepLines w:val="0"/>
        <w:keepNext w:val="0"/>
        <w:spacing w:before="0" w:after="0" w:line="240" w:lineRule="auto"/>
        <w:widowControl/>
        <w:rPr>
          <w:rFonts w:hint="eastAsia"/>
          <w:color w:val="auto"/>
          <w:highlight w:val="none"/>
        </w:rPr>
      </w:pPr>
      <w:r>
        <w:rPr>
          <w:rFonts w:hint="eastAsia"/>
          <w:color w:val="auto"/>
          <w:highlight w:val="none"/>
        </w:rPr>
      </w:r>
      <w:r/>
    </w:p>
    <w:p>
      <w:pPr>
        <w:keepLines w:val="0"/>
        <w:keepNext w:val="0"/>
        <w:pageBreakBefore w:val="0"/>
        <w:spacing w:beforeAutospacing="0" w:afterAutospacing="0"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江苏省张家港保税区规划建设局保税区路灯改造能源管理服务项目</w:t>
      </w:r>
      <w:r>
        <w:rPr>
          <w:rFonts w:hint="eastAsia" w:ascii="宋体" w:hAnsi="宋体" w:eastAsia="宋体" w:cs="宋体"/>
          <w:color w:val="auto"/>
          <w:spacing w:val="8"/>
          <w:sz w:val="21"/>
          <w:szCs w:val="21"/>
          <w:highlight w:val="none"/>
          <w:lang w:val="en-US" w:eastAsia="zh-CN"/>
        </w:rPr>
        <w:t xml:space="preserve">JSZC-320582-HYJS-G2026-0013</w:t>
      </w:r>
      <w:r>
        <w:rPr>
          <w:rFonts w:hint="eastAsia" w:ascii="宋体" w:hAnsi="宋体" w:eastAsia="宋体" w:cs="宋体"/>
          <w:color w:val="auto"/>
          <w:sz w:val="21"/>
          <w:szCs w:val="21"/>
          <w:highlight w:val="none"/>
        </w:rPr>
        <w:t xml:space="preserve">招标项目的潜在投标人应在苏州市政府采购一体化平台（网址：https://jszfcg.jsczt.cn/）获取招标文件，并于2026年</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日13时30分（北京时间）前递交投标文件。</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outlineLvl w:val="1"/>
      </w:pPr>
      <w:r/>
      <w:bookmarkStart w:id="10" w:name="_Toc28831"/>
      <w:r/>
      <w:bookmarkStart w:id="11" w:name="_Toc21684"/>
      <w:r>
        <w:rPr>
          <w:rFonts w:hint="eastAsia" w:ascii="宋体" w:hAnsi="宋体" w:eastAsia="宋体" w:cs="宋体"/>
          <w:b/>
          <w:bCs/>
          <w:color w:val="auto"/>
          <w:highlight w:val="none"/>
        </w:rPr>
        <w:t xml:space="preserve">一、项目基本情况</w:t>
      </w:r>
      <w:bookmarkEnd w:id="10"/>
      <w:r/>
      <w:bookmarkEnd w:id="11"/>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项目编号：JSZC-320582-HYJS-G2026-0013</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保税区路灯改造能源管理服务项目</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w:t>
      </w:r>
      <w:r>
        <w:rPr>
          <w:rFonts w:hint="eastAsia" w:ascii="宋体" w:hAnsi="宋体" w:eastAsia="宋体" w:cs="宋体"/>
          <w:color w:val="auto"/>
          <w:highlight w:val="none"/>
          <w:lang w:eastAsia="zh-CN"/>
        </w:rPr>
        <w:t xml:space="preserve">12000</w:t>
      </w:r>
      <w:r>
        <w:rPr>
          <w:rFonts w:hint="eastAsia" w:ascii="宋体" w:hAnsi="宋体" w:eastAsia="宋体" w:cs="宋体"/>
          <w:color w:val="auto"/>
          <w:highlight w:val="none"/>
        </w:rPr>
        <w:t xml:space="preserve">万元</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rPr>
          <w:rFonts w:hint="eastAsia" w:ascii="宋体" w:hAnsi="宋体" w:eastAsia="宋体" w:cs="宋体"/>
          <w:color w:val="auto"/>
          <w:highlight w:val="none"/>
          <w:lang w:eastAsia="zh-CN"/>
        </w:rPr>
        <w:t xml:space="preserve">12000</w:t>
      </w:r>
      <w:r>
        <w:rPr>
          <w:rFonts w:hint="eastAsia" w:ascii="宋体" w:hAnsi="宋体" w:eastAsia="宋体" w:cs="宋体"/>
          <w:color w:val="auto"/>
          <w:highlight w:val="none"/>
        </w:rPr>
        <w:t xml:space="preserve">万元</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采购方式：公开招标 </w:t>
      </w:r>
      <w:r/>
    </w:p>
    <w:p>
      <w:pPr>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采购需求：采用能源托管模式实施张家港保税区路灯提升改造，目前保税区以及三个街道共有</w:t>
      </w:r>
      <w:r>
        <w:rPr>
          <w:rFonts w:hint="eastAsia" w:ascii="宋体" w:hAnsi="宋体" w:eastAsia="宋体" w:cs="宋体"/>
          <w:color w:val="auto"/>
          <w:highlight w:val="none"/>
          <w:lang w:val="en-US" w:eastAsia="zh-CN"/>
        </w:rPr>
        <w:t xml:space="preserve">10228</w:t>
      </w:r>
      <w:r>
        <w:rPr>
          <w:rFonts w:hint="eastAsia" w:ascii="宋体" w:hAnsi="宋体" w:eastAsia="宋体" w:cs="宋体"/>
          <w:color w:val="auto"/>
          <w:highlight w:val="none"/>
        </w:rPr>
        <w:t xml:space="preserve">杆路灯，其中普通路灯</w:t>
      </w:r>
      <w:r>
        <w:rPr>
          <w:rFonts w:hint="eastAsia" w:ascii="宋体" w:hAnsi="宋体" w:eastAsia="宋体" w:cs="宋体"/>
          <w:color w:val="auto"/>
          <w:highlight w:val="none"/>
          <w:lang w:val="en-US" w:eastAsia="zh-CN"/>
        </w:rPr>
        <w:t xml:space="preserve">9516</w:t>
      </w:r>
      <w:r>
        <w:rPr>
          <w:rFonts w:hint="eastAsia" w:ascii="宋体" w:hAnsi="宋体" w:eastAsia="宋体" w:cs="宋体"/>
          <w:color w:val="auto"/>
          <w:highlight w:val="none"/>
        </w:rPr>
        <w:t xml:space="preserve">杆， 造型路灯712杆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造型路灯主要集中在镇山路、勤政路、兴港路、金港路、中港路、崇真路以及蟠港路。通过招标确定节能服务公司，节能服务公司按照能源费用托管模式对区街现有路灯进行节能改造、更换旧电缆及灯头，并增设路灯接地设施，建设路灯智慧化管理平台，对区街路灯灯杆、灯具及附属设施统一进行维护。</w:t>
      </w:r>
      <w:r/>
    </w:p>
    <w:p>
      <w:pPr>
        <w:ind w:firstLine="0"/>
        <w:jc w:val="left"/>
        <w:keepLines w:val="0"/>
        <w:keepNext w:val="0"/>
        <w:pageBreakBefore w:val="0"/>
        <w:spacing w:after="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财政每年支付托管电费作为托管基数；托管服务期内中标单位负责项目的节能诊断、设计、采购、安装、调试、检测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设备运营、后期维护</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电费代缴等工作；具体详见招标文件第四章项目需求。</w:t>
      </w:r>
      <w:r/>
    </w:p>
    <w:p>
      <w:pPr>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合同履行期限：建设周期半年，于202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rPr>
        <w:t xml:space="preserve">日前完成项目改造并通过竣工验收；竣工验收合格后进入</w:t>
      </w:r>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年能源托管服务期。</w:t>
      </w:r>
      <w:r/>
    </w:p>
    <w:p>
      <w:pPr>
        <w:ind w:firstLine="0"/>
        <w:keepLines w:val="0"/>
        <w:keepNext w:val="0"/>
        <w:pageBreakBefore w:val="0"/>
        <w:spacing w:after="0" w:line="400" w:lineRule="exact"/>
        <w:shd w:val="clear" w:color="auto" w:fill="auto"/>
        <w:widowControl/>
        <w:rPr>
          <w:rFonts w:hint="eastAsia" w:ascii="宋体" w:hAnsi="宋体" w:eastAsia="宋体" w:cs="宋体"/>
          <w:color w:val="auto"/>
          <w:highlight w:val="none"/>
          <w:lang w:eastAsia="zh-CN"/>
        </w:rPr>
      </w:pPr>
      <w:r/>
      <w:bookmarkStart w:id="12" w:name="_Hlk156940366"/>
      <w:r/>
      <w:bookmarkStart w:id="13" w:name="_Toc13118"/>
      <w:r>
        <w:rPr>
          <w:rFonts w:hint="eastAsia" w:ascii="宋体" w:hAnsi="宋体" w:eastAsia="宋体" w:cs="宋体"/>
          <w:color w:val="auto"/>
          <w:highlight w:val="none"/>
        </w:rPr>
        <w:t xml:space="preserve">本项目（是/否）接受联合体投标：是</w:t>
      </w:r>
      <w:r>
        <w:rPr>
          <w:rFonts w:hint="eastAsia" w:ascii="宋体" w:hAnsi="宋体" w:eastAsia="宋体" w:cs="宋体"/>
          <w:color w:val="auto"/>
          <w:highlight w:val="none"/>
          <w:lang w:eastAsia="zh-CN"/>
        </w:rPr>
        <w:t xml:space="preserve">。</w:t>
      </w:r>
      <w:bookmarkEnd w:id="12"/>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二、申请人的资格要求</w:t>
      </w:r>
      <w:bookmarkEnd w:id="13"/>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（一）满足《中华人民共和国政府采购法》第二十二条规定；</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法人或者其他组织的营业执照等证明文件，自然人的身份证明（注：若供应商为分公司，则还须供总公司同意其独立开展业务的授权，其中银行、保险、石油石化、电力、电信、邮政、铁路等特殊行业，可提供总公司有关文件或制度等能够证明总公司授权其独立开展业务的证明材料）；</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2.财务状况报告（成立不满一年不需提供）；</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3.依法缴纳税收和社会保障资金的相关材料（如依法享受缓缴、免缴税收、社会保障资金的，应提供相关证明材料）；</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4.具备履行合同所必需的设备和专业技术能力的书面声明；</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5.参加政府采购活动前3年内在经营活动中没有重大违法记录的书面声明；</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6.授权委托书（被授权人非法定代表人的，应提供授权委托书；被授权人是法定代表人的，应提供法定代表人身份证明书）；</w:t>
      </w:r>
      <w:r/>
    </w:p>
    <w:p>
      <w:pPr>
        <w:ind w:firstLine="48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7.关于资格证明文件的书面承诺；</w:t>
      </w:r>
      <w:r/>
    </w:p>
    <w:p>
      <w:pPr>
        <w:ind w:firstLine="48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未被“信用中国”网站（www.creditchina.gov.cn）列入失信被执行人、重大税收违法案件当事人名单、政府采购严重失信行为记录名单。</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本项目属于面向中小企业预留采购份额项目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本项目采购预算预留份额</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%面向中小企业采购</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供应商符合如下之一的，可参加本项目投标</w:t>
      </w:r>
      <w:r>
        <w:rPr>
          <w:rFonts w:hint="eastAsia" w:ascii="宋体" w:hAnsi="宋体" w:eastAsia="宋体" w:cs="宋体"/>
          <w:color w:val="auto"/>
          <w:highlight w:val="none"/>
          <w:lang w:eastAsia="zh-CN"/>
        </w:rPr>
        <w:t xml:space="preserve">：</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①符合《政府采购促进中小企业发展管理办法》（财库〔2020〕46号）规定的中小企业（监狱企业、残疾人福利性单位均视同小型、微型企业）；</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②本项目接受大型企业向一家或者多家中小企业分包，分包意向协议约定的由中小企业承担的合同份额应占到合同总金额的</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%以上（该</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%合同金额中，由小微企业承担为60%）；</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③本项目接受大型企业和中小企业联合体投标，且联合体协议约定</w:t>
      </w:r>
      <w:r>
        <w:rPr>
          <w:rFonts w:hint="eastAsia" w:ascii="宋体" w:hAnsi="宋体" w:eastAsia="宋体" w:cs="宋体"/>
          <w:color w:val="auto"/>
          <w:highlight w:val="none"/>
          <w:lang w:val="en-US" w:eastAsia="zh-CN"/>
        </w:rPr>
        <w:t xml:space="preserve">中</w:t>
      </w:r>
      <w:r>
        <w:rPr>
          <w:rFonts w:hint="eastAsia" w:ascii="宋体" w:hAnsi="宋体" w:eastAsia="宋体" w:cs="宋体"/>
          <w:color w:val="auto"/>
          <w:highlight w:val="none"/>
        </w:rPr>
        <w:t xml:space="preserve">小企业承担的的合同份额应占到合同总金额的</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%以上（该</w:t>
      </w:r>
      <w:r>
        <w:rPr>
          <w:rFonts w:hint="eastAsia" w:ascii="宋体" w:hAnsi="宋体" w:eastAsia="宋体" w:cs="宋体"/>
          <w:color w:val="auto"/>
          <w:highlight w:val="none"/>
          <w:lang w:val="en-US" w:eastAsia="zh-CN"/>
        </w:rPr>
        <w:t xml:space="preserve">40</w:t>
      </w:r>
      <w:r>
        <w:rPr>
          <w:rFonts w:hint="eastAsia" w:ascii="宋体" w:hAnsi="宋体" w:eastAsia="宋体" w:cs="宋体"/>
          <w:color w:val="auto"/>
          <w:highlight w:val="none"/>
        </w:rPr>
        <w:t xml:space="preserve">%合同金额中，由小微企业承担为60%）；也可以中小企业组成联合体投标。</w:t>
      </w:r>
      <w:r/>
    </w:p>
    <w:p>
      <w:pPr>
        <w:ind w:firstLine="420"/>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（组成联合体或者接受分包合同的中小企业与联合体内其他企业、分包企业之间不得存在直接控股、管理关系，小微企业不得将合同分包给大中型企业，中型企业不得将合同分包给大型企业</w:t>
      </w:r>
      <w:r>
        <w:rPr>
          <w:rFonts w:hint="eastAsia" w:ascii="宋体" w:hAnsi="宋体" w:eastAsia="宋体" w:cs="宋体"/>
          <w:color w:val="auto"/>
          <w:highlight w:val="none"/>
          <w:lang w:eastAsia="zh-CN"/>
        </w:rPr>
        <w:t xml:space="preserve">）</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（三）本项目的特定资格要求：无</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0"/>
      <w:r/>
      <w:r/>
    </w:p>
    <w:p>
      <w:pPr>
        <w:ind w:firstLine="0"/>
        <w:jc w:val="left"/>
        <w:keepLines w:val="0"/>
        <w:keepNext w:val="0"/>
        <w:pageBreakBefore w:val="0"/>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时间：自本公告发布之日起5个工作日</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地点：苏采云政府采购一体化平台（网址：https://jszfcg.jsczt.cn/）</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方式：登录江苏省政府采购一体化平台“苏采云”系统，确认参与项目后自行下载 </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售价：0.00元 </w:t>
      </w:r>
      <w:bookmarkStart w:id="14" w:name="_Toc13911"/>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四、提交投标文件截止时间、开标时间和地点</w:t>
      </w:r>
      <w:bookmarkEnd w:id="14"/>
      <w:r/>
      <w:r/>
    </w:p>
    <w:p>
      <w:pPr>
        <w:keepLines w:val="0"/>
        <w:keepNext w:val="0"/>
        <w:pageBreakBefore w:val="0"/>
        <w:spacing w:beforeAutospacing="0" w:afterAutospacing="0" w:line="400" w:lineRule="exact"/>
        <w:widowControl/>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截止时间：2026年11月02日13点30分</w:t>
      </w:r>
      <w:r>
        <w:rPr>
          <w:rFonts w:hint="eastAsia" w:ascii="宋体" w:hAnsi="宋体" w:cs="宋体"/>
          <w:b w:val="0"/>
          <w:bCs w:val="0"/>
          <w:color w:val="auto"/>
          <w:highlight w:val="none"/>
          <w:lang w:val="en-US" w:eastAsia="zh-CN"/>
        </w:rPr>
        <w:t xml:space="preserve"> </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地点：</w:t>
      </w:r>
      <w:bookmarkStart w:id="15" w:name="_Toc7858"/>
      <w:r>
        <w:rPr>
          <w:rFonts w:hint="eastAsia" w:ascii="宋体" w:hAnsi="宋体" w:eastAsia="宋体" w:cs="宋体"/>
          <w:color w:val="auto"/>
          <w:highlight w:val="none"/>
        </w:rPr>
        <w:t xml:space="preserve">苏采云政府采购一体化平台（网址：https://jszfcg.jsczt.cn/）</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bookmarkEnd w:id="15"/>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bookmarkStart w:id="16" w:name="_Toc24543"/>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16"/>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一）本项目接受联合体投标，</w:t>
      </w:r>
      <w:r>
        <w:rPr>
          <w:rFonts w:hint="eastAsia" w:ascii="宋体" w:hAnsi="宋体" w:eastAsia="宋体" w:cs="宋体"/>
          <w:color w:val="auto"/>
          <w:highlight w:val="none"/>
        </w:rPr>
        <w:t xml:space="preserve">若以联合体形式投标，须满足以下条件：</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（1）联合体组成单位不超过三家，且联合体牵头单位及成员必须满足本项目的一般资格条件（《中华人民共和国政府采购法》第二十二条规定）；</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（2）联合体各成员之间应签订《联合体协议书》，联合体牵头单位应被授权作为联合体各方的代表，承担责任和接受指令，并负责整个合同的全面履行。</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（3）联合体各成员之间应在《联合体协议书》中明确联合体牵头人和各成员单位的权利义务。</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（4）参加联合体的各成员不得再以自己名义单独投标，也不得同时参加其他联合体投标。</w:t>
      </w:r>
      <w:r/>
    </w:p>
    <w:p>
      <w:pPr>
        <w:keepLines w:val="0"/>
        <w:keepNext w:val="0"/>
        <w:pageBreakBefore w:val="0"/>
        <w:spacing w:beforeAutospacing="0" w:afterAutospacing="0" w:line="400" w:lineRule="exact"/>
        <w:widowControl/>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eastAsia="zh-CN"/>
        </w:rPr>
        <w:t xml:space="preserve">（</w:t>
      </w:r>
      <w:r>
        <w:rPr>
          <w:rFonts w:hint="eastAsia" w:ascii="宋体" w:hAnsi="宋体" w:eastAsia="宋体" w:cs="宋体"/>
          <w:i/>
          <w:iCs/>
          <w:color w:val="auto"/>
          <w:highlight w:val="none"/>
          <w:u w:val="single"/>
          <w:lang w:val="en-US" w:eastAsia="zh-CN"/>
        </w:rPr>
        <w:t xml:space="preserve">二）拒绝下述供应商参加本次采购活动： </w:t>
      </w:r>
      <w:r/>
    </w:p>
    <w:p>
      <w:pPr>
        <w:keepLines w:val="0"/>
        <w:keepNext w:val="0"/>
        <w:pageBreakBefore w:val="0"/>
        <w:spacing w:beforeAutospacing="0" w:afterAutospacing="0" w:line="400" w:lineRule="exact"/>
        <w:widowControl/>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1.供应商单位负责人为同一人或者存在直接控股、管理关系的不同供应商，不得参加同一合同项下的政府采购活动。 </w:t>
      </w:r>
      <w:r/>
    </w:p>
    <w:p>
      <w:pPr>
        <w:keepLines w:val="0"/>
        <w:keepNext w:val="0"/>
        <w:pageBreakBefore w:val="0"/>
        <w:spacing w:beforeAutospacing="0" w:afterAutospacing="0" w:line="400" w:lineRule="exact"/>
        <w:widowControl/>
        <w:rPr>
          <w:rFonts w:hint="eastAsia" w:ascii="宋体" w:hAnsi="宋体" w:eastAsia="宋体" w:cs="宋体"/>
          <w:i/>
          <w:iCs/>
          <w:color w:val="auto"/>
          <w:highlight w:val="none"/>
          <w:u w:val="single"/>
          <w:lang w:val="en-US" w:eastAsia="zh-CN"/>
        </w:rPr>
      </w:pPr>
      <w:r>
        <w:rPr>
          <w:rFonts w:hint="eastAsia" w:ascii="宋体" w:hAnsi="宋体" w:eastAsia="宋体" w:cs="宋体"/>
          <w:i/>
          <w:iCs/>
          <w:color w:val="auto"/>
          <w:highlight w:val="none"/>
          <w:u w:val="single"/>
          <w:lang w:val="en-US" w:eastAsia="zh-CN"/>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bookmarkStart w:id="17" w:name="_Toc20362"/>
      <w:r>
        <w:rPr>
          <w:rFonts w:hint="eastAsia" w:ascii="宋体" w:hAnsi="宋体" w:eastAsia="宋体" w:cs="宋体"/>
          <w:color w:val="auto"/>
          <w:highlight w:val="none"/>
        </w:rPr>
        <w:t xml:space="preserve">（三）其他注意事项：</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1.CA证书办理</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w:t>
      </w:r>
      <w:r>
        <w:rPr>
          <w:rFonts w:hint="eastAsia" w:ascii="宋体" w:hAnsi="宋体" w:eastAsia="宋体" w:cs="宋体"/>
          <w:color w:val="auto"/>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2.参与采购活动</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3.电子投标准备</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在系统操作过程中如有疑问，请按以下方式联系：</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注册咨询：18261002950；</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CA技术咨询电话：400-608-6099；</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签章使用问题：025-83633811、025-83633812、15380932027、15371015030；</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系统使用指导与咨询：18261002950、0512-69820854；QQ：3048755361、1315179389、895706745。</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请供应商确保电脑、系统及其他设备（视频输入输出设备等）无误，且开标直至项目结束始终保持系统在线状态。</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6.招标文件澄清或者修改内容的告知方式：招标文件的实质性变动或修改将在政府采购公告媒体网通知，投标人可自行下载。</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7.本次招标不收取投标保证金。</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8.本项目不允许进口产品投标。</w:t>
      </w:r>
      <w:r/>
    </w:p>
    <w:p>
      <w:pPr>
        <w:keepLines w:val="0"/>
        <w:keepNext w:val="0"/>
        <w:pageBreakBefore w:val="0"/>
        <w:spacing w:beforeAutospacing="0" w:afterAutospacing="0"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七、对本次招标提出询问，请按以下方式联系</w:t>
      </w:r>
      <w:bookmarkEnd w:id="17"/>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1.采购人信息 </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单位名称：</w:t>
      </w:r>
      <w:r>
        <w:rPr>
          <w:rFonts w:hint="eastAsia" w:ascii="宋体" w:hAnsi="宋体" w:eastAsia="宋体" w:cs="宋体"/>
          <w:color w:val="auto"/>
          <w:highlight w:val="none"/>
          <w:lang w:val="en-US" w:eastAsia="zh-CN"/>
        </w:rPr>
        <w:t xml:space="preserve">江苏省张家港保税区规划建设局</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lang w:val="en-US" w:eastAsia="zh-CN"/>
        </w:rPr>
        <w:t xml:space="preserve">张家港市滨江大厦</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顾超</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联系电话：58320278</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2.采购代理机构信息</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单位名称：张家港保税区宏宇建设咨询有限公司</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单位地址：张家港市国泰北路15号</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联系人：朱小燕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袁敏珠</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18556763136</w:t>
      </w:r>
      <w:r/>
    </w:p>
    <w:p>
      <w:pPr>
        <w:keepLines w:val="0"/>
        <w:keepNext w:val="0"/>
        <w:pageBreakBefore w:val="0"/>
        <w:spacing w:beforeAutospacing="0" w:afterAutospacing="0"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3.项目联系方式</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项目联系人：朱小燕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袁敏珠</w:t>
      </w:r>
      <w:r/>
    </w:p>
    <w:p>
      <w:pPr>
        <w:keepLines w:val="0"/>
        <w:keepNext w:val="0"/>
        <w:pageBreakBefore w:val="0"/>
        <w:spacing w:beforeAutospacing="0" w:afterAutospacing="0"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电话：</w:t>
      </w:r>
      <w:r>
        <w:rPr>
          <w:rFonts w:hint="eastAsia" w:ascii="宋体" w:hAnsi="宋体" w:eastAsia="宋体" w:cs="宋体"/>
          <w:color w:val="auto"/>
          <w:highlight w:val="none"/>
          <w:lang w:val="en-US" w:eastAsia="zh-CN"/>
        </w:rPr>
        <w:t xml:space="preserve">18556763136</w:t>
      </w:r>
      <w:r/>
    </w:p>
    <w:p>
      <w:pPr>
        <w:pStyle w:val="781"/>
        <w:ind w:firstLine="480"/>
        <w:spacing w:beforeAutospacing="0" w:afterAutospacing="0" w:line="400" w:lineRule="exact"/>
        <w:widowControl/>
        <w:rPr>
          <w:rFonts w:ascii="宋体" w:hAnsi="宋体" w:cs="宋体"/>
          <w:color w:val="auto"/>
          <w:szCs w:val="24"/>
          <w:highlight w:val="none"/>
        </w:rPr>
      </w:pPr>
      <w:r>
        <w:rPr>
          <w:rFonts w:ascii="宋体" w:hAnsi="宋体" w:cs="宋体"/>
          <w:color w:val="auto"/>
          <w:szCs w:val="24"/>
          <w:highlight w:val="none"/>
        </w:rPr>
      </w:r>
      <w:r/>
    </w:p>
    <w:p>
      <w:pPr>
        <w:spacing w:line="400" w:lineRule="exact"/>
        <w:rPr>
          <w:rStyle w:val="992"/>
          <w:rFonts w:ascii="宋体" w:hAnsi="宋体" w:cs="宋体"/>
          <w:color w:val="auto"/>
          <w:spacing w:val="7"/>
          <w:highlight w:val="none"/>
        </w:rPr>
      </w:pPr>
      <w:r>
        <w:rPr>
          <w:rStyle w:val="992"/>
          <w:rFonts w:ascii="宋体" w:hAnsi="宋体" w:cs="宋体"/>
          <w:color w:val="auto"/>
          <w:spacing w:val="7"/>
          <w:highlight w:val="none"/>
        </w:rPr>
        <w:br w:type="page" w:clear="all"/>
      </w:r>
      <w:r/>
    </w:p>
    <w:p>
      <w:pPr>
        <w:pStyle w:val="747"/>
        <w:pageBreakBefore/>
        <w:spacing w:line="360" w:lineRule="auto"/>
        <w:rPr>
          <w:color w:val="auto"/>
          <w:highlight w:val="none"/>
        </w:rPr>
      </w:pPr>
      <w:r/>
      <w:bookmarkStart w:id="18" w:name="_Toc35266019"/>
      <w:r/>
      <w:bookmarkStart w:id="19" w:name="_Toc14339"/>
      <w:r/>
      <w:bookmarkStart w:id="20" w:name="_Toc38368119"/>
      <w:r/>
      <w:bookmarkStart w:id="21" w:name="_Toc54615238"/>
      <w:r/>
      <w:bookmarkStart w:id="22" w:name="_Toc2329"/>
      <w:r/>
      <w:bookmarkStart w:id="23" w:name="_Toc29806"/>
      <w:r>
        <w:rPr>
          <w:rFonts w:hint="eastAsia"/>
          <w:color w:val="auto"/>
          <w:highlight w:val="none"/>
        </w:rPr>
        <w:t xml:space="preserve">第二章  </w:t>
      </w:r>
      <w:bookmarkEnd w:id="1"/>
      <w:r/>
      <w:bookmarkEnd w:id="2"/>
      <w:r/>
      <w:bookmarkEnd w:id="3"/>
      <w:r/>
      <w:bookmarkEnd w:id="4"/>
      <w:r/>
      <w:bookmarkEnd w:id="5"/>
      <w:r/>
      <w:bookmarkEnd w:id="6"/>
      <w:r/>
      <w:bookmarkStart w:id="24" w:name="_Toc513029202"/>
      <w:r/>
      <w:bookmarkStart w:id="25" w:name="_Toc16938518"/>
      <w:r/>
      <w:bookmarkStart w:id="26" w:name="_Toc120614213"/>
      <w:r/>
      <w:bookmarkStart w:id="27" w:name="_Toc20823274"/>
      <w:r>
        <w:rPr>
          <w:rFonts w:hint="eastAsia"/>
          <w:color w:val="auto"/>
          <w:highlight w:val="none"/>
        </w:rPr>
        <w:t xml:space="preserve">投标人须知</w:t>
      </w:r>
      <w:bookmarkEnd w:id="18"/>
      <w:r/>
      <w:bookmarkEnd w:id="19"/>
      <w:r/>
      <w:bookmarkEnd w:id="20"/>
      <w:r/>
      <w:bookmarkEnd w:id="21"/>
      <w:r/>
      <w:bookmarkEnd w:id="22"/>
      <w:r/>
      <w:bookmarkEnd w:id="23"/>
      <w:r/>
      <w:bookmarkEnd w:id="24"/>
      <w:r/>
      <w:bookmarkEnd w:id="25"/>
      <w:r/>
      <w:bookmarkEnd w:id="26"/>
      <w:r/>
      <w:bookmarkEnd w:id="27"/>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28" w:name="_Toc35266020"/>
      <w:r/>
      <w:bookmarkStart w:id="29" w:name="_Toc20823275"/>
      <w:r/>
      <w:bookmarkStart w:id="30" w:name="_Toc23527"/>
      <w:r/>
      <w:bookmarkStart w:id="31" w:name="_Toc54615239"/>
      <w:r/>
      <w:bookmarkStart w:id="32" w:name="_Toc38368120"/>
      <w:r/>
      <w:bookmarkStart w:id="33" w:name="_Toc513029203"/>
      <w:r/>
      <w:bookmarkStart w:id="34" w:name="_Toc16938519"/>
      <w:r/>
      <w:bookmarkStart w:id="35" w:name="_Toc29619"/>
      <w:r/>
      <w:bookmarkStart w:id="36" w:name="_Toc120614214"/>
      <w:r/>
      <w:bookmarkStart w:id="37" w:name="_Toc513029242"/>
      <w:r/>
      <w:bookmarkStart w:id="38" w:name="_Toc120614221"/>
      <w:r/>
      <w:bookmarkStart w:id="39" w:name="_Toc16938558"/>
      <w:r/>
      <w:bookmarkStart w:id="40" w:name="_Toc479757207"/>
      <w:r/>
      <w:bookmarkStart w:id="41" w:name="_Toc20823314"/>
      <w:r>
        <w:rPr>
          <w:rFonts w:hint="eastAsia" w:ascii="宋体" w:hAnsi="宋体" w:eastAsia="宋体" w:cs="宋体"/>
          <w:b/>
          <w:bCs/>
          <w:color w:val="auto"/>
          <w:highlight w:val="none"/>
        </w:rPr>
        <w:t xml:space="preserve">一、总则</w:t>
      </w:r>
      <w:bookmarkEnd w:id="28"/>
      <w:r/>
      <w:bookmarkEnd w:id="29"/>
      <w:r/>
      <w:bookmarkEnd w:id="30"/>
      <w:r/>
      <w:bookmarkEnd w:id="31"/>
      <w:r/>
      <w:bookmarkEnd w:id="32"/>
      <w:r/>
      <w:bookmarkEnd w:id="33"/>
      <w:r/>
      <w:bookmarkEnd w:id="34"/>
      <w:r/>
      <w:bookmarkEnd w:id="35"/>
      <w:r/>
      <w:bookmarkEnd w:id="36"/>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42" w:name="_Hlt16619475"/>
      <w:r/>
      <w:bookmarkEnd w:id="42"/>
      <w:r/>
      <w:bookmarkStart w:id="43" w:name="_Toc458694821"/>
      <w:r/>
      <w:bookmarkStart w:id="44" w:name="_Toc20823276"/>
      <w:r/>
      <w:bookmarkStart w:id="45" w:name="_Toc16938520"/>
      <w:r/>
      <w:bookmarkStart w:id="46" w:name="_Toc513029204"/>
      <w:r>
        <w:rPr>
          <w:rFonts w:hint="eastAsia" w:ascii="宋体" w:hAnsi="宋体" w:eastAsia="宋体" w:cs="宋体"/>
          <w:b/>
          <w:bCs/>
          <w:color w:val="auto"/>
          <w:highlight w:val="none"/>
        </w:rPr>
        <w:t xml:space="preserve">1</w:t>
      </w:r>
      <w:bookmarkEnd w:id="43"/>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招标方式</w:t>
      </w:r>
      <w:bookmarkEnd w:id="44"/>
      <w:r/>
      <w:bookmarkEnd w:id="45"/>
      <w:r/>
      <w:bookmarkEnd w:id="4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本次招标采取公开招标方式，本招标文件仅适用于招标公告中所述项目。</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47" w:name="_Toc20823277"/>
      <w:r/>
      <w:bookmarkStart w:id="48" w:name="_Toc16938521"/>
      <w:r/>
      <w:bookmarkStart w:id="49" w:name="_Toc513029205"/>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合格的投标人</w:t>
      </w:r>
      <w:bookmarkEnd w:id="47"/>
      <w:r/>
      <w:bookmarkEnd w:id="48"/>
      <w:r/>
      <w:bookmarkEnd w:id="49"/>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2.1满足招标公告中投标人的资格要求的规定。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 满足本文件实质性要求的规定（本招标文件中斜体且有下划线部分为实质性要求）。</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50" w:name="_Toc20823278"/>
      <w:r/>
      <w:bookmarkStart w:id="51" w:name="_Toc513029206"/>
      <w:r/>
      <w:bookmarkStart w:id="52" w:name="_Toc16938522"/>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适用法律</w:t>
      </w:r>
      <w:bookmarkEnd w:id="50"/>
      <w:r/>
      <w:bookmarkEnd w:id="51"/>
      <w:r/>
      <w:bookmarkEnd w:id="5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 本次招标及由此产生的合同受中华人民共和国有关的法律法规制约和保护。</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53" w:name="_Toc20823279"/>
      <w:r/>
      <w:bookmarkStart w:id="54" w:name="_Toc513029207"/>
      <w:r/>
      <w:bookmarkStart w:id="55" w:name="_Toc16938523"/>
      <w:r/>
      <w:bookmarkStart w:id="56" w:name="_Toc462564067"/>
      <w:r>
        <w:rPr>
          <w:rFonts w:hint="eastAsia" w:ascii="宋体" w:hAnsi="宋体" w:eastAsia="宋体" w:cs="宋体"/>
          <w:b/>
          <w:bCs/>
          <w:color w:val="auto"/>
          <w:highlight w:val="none"/>
        </w:rPr>
        <w:t xml:space="preserve">4</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投标费用</w:t>
      </w:r>
      <w:bookmarkEnd w:id="53"/>
      <w:r/>
      <w:bookmarkEnd w:id="54"/>
      <w:r/>
      <w:bookmarkEnd w:id="55"/>
      <w:r/>
      <w:bookmarkEnd w:id="5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4.1投标人应自行承担所有与参加投标有关的费用，无论投标过程中的做法和结果如何，张家港保税区宏宇建设咨询有限公司在任何情况下均无义务和责任承担这些费用。</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 本次招标采购代理机构收取代理服务费。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4.2.1 本项目采购代理服务费由中标（成交）供应商支付；</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4.2.2 代理费用收取方式：转账；</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4.2.3 代理费用收取标准：本次采购，预算金额包含采购代理服务费，采购代理服务费按苏州市政府采购网公示的《苏州市级政府采购代理服务收费公告信息表》收费标准的</w:t>
      </w:r>
      <w:r>
        <w:rPr>
          <w:rFonts w:hint="eastAsia" w:ascii="宋体" w:hAnsi="宋体" w:eastAsia="宋体" w:cs="宋体"/>
          <w:color w:val="auto"/>
          <w:highlight w:val="none"/>
          <w:lang w:val="en-US" w:eastAsia="zh-CN"/>
        </w:rPr>
        <w:t xml:space="preserve">15.323</w:t>
      </w:r>
      <w:r>
        <w:rPr>
          <w:rFonts w:hint="eastAsia" w:ascii="宋体" w:hAnsi="宋体" w:eastAsia="宋体" w:cs="宋体"/>
          <w:color w:val="auto"/>
          <w:highlight w:val="none"/>
        </w:rPr>
        <w:t xml:space="preserve">%计取，由中标（成交）供应商在领取中标通知书前向采购代理机构一次性付清。本项费用无需在投标报价表中单列。</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本次预算金额为</w:t>
      </w:r>
      <w:r>
        <w:rPr>
          <w:rFonts w:hint="eastAsia" w:ascii="宋体" w:hAnsi="宋体" w:eastAsia="宋体" w:cs="宋体"/>
          <w:color w:val="auto"/>
          <w:highlight w:val="none"/>
          <w:lang w:val="en-US" w:eastAsia="zh-CN"/>
        </w:rPr>
        <w:t xml:space="preserve">12000</w:t>
      </w:r>
      <w:r>
        <w:rPr>
          <w:rFonts w:hint="eastAsia" w:ascii="宋体" w:hAnsi="宋体" w:eastAsia="宋体" w:cs="宋体"/>
          <w:color w:val="auto"/>
          <w:highlight w:val="none"/>
        </w:rPr>
        <w:t xml:space="preserve">万元，则代理服务费＝（100×1.5%+400×1.1%+</w:t>
      </w:r>
      <w:r>
        <w:rPr>
          <w:rFonts w:hint="eastAsia" w:ascii="宋体" w:hAnsi="宋体" w:eastAsia="宋体" w:cs="宋体"/>
          <w:color w:val="auto"/>
          <w:highlight w:val="none"/>
          <w:lang w:val="en-US" w:eastAsia="zh-CN"/>
        </w:rPr>
        <w:t xml:space="preserve">500</w:t>
      </w:r>
      <w:r>
        <w:rPr>
          <w:rFonts w:hint="eastAsia" w:ascii="宋体" w:hAnsi="宋体" w:eastAsia="宋体" w:cs="宋体"/>
          <w:color w:val="auto"/>
          <w:highlight w:val="none"/>
        </w:rPr>
        <w:t xml:space="preserve">×0.8%</w:t>
      </w:r>
      <w:r>
        <w:rPr>
          <w:rFonts w:hint="eastAsia" w:ascii="宋体" w:hAnsi="宋体" w:eastAsia="宋体" w:cs="宋体"/>
          <w:color w:val="auto"/>
          <w:highlight w:val="none"/>
          <w:lang w:val="en-US" w:eastAsia="zh-CN"/>
        </w:rPr>
        <w:t xml:space="preserve">+4000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0.5%+5000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0.25%+2000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0.05%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15.323</w:t>
      </w:r>
      <w:r>
        <w:rPr>
          <w:rFonts w:hint="eastAsia" w:ascii="宋体" w:hAnsi="宋体" w:eastAsia="宋体" w:cs="宋体"/>
          <w:color w:val="auto"/>
          <w:highlight w:val="none"/>
        </w:rPr>
        <w:t xml:space="preserve">%；即6</w:t>
      </w:r>
      <w:r>
        <w:rPr>
          <w:rFonts w:hint="eastAsia" w:ascii="宋体" w:hAnsi="宋体" w:eastAsia="宋体" w:cs="宋体"/>
          <w:color w:val="auto"/>
          <w:highlight w:val="none"/>
          <w:lang w:val="en-US" w:eastAsia="zh-CN"/>
        </w:rPr>
        <w:t xml:space="preserve">6500</w:t>
      </w:r>
      <w:r>
        <w:rPr>
          <w:rFonts w:hint="eastAsia" w:ascii="宋体" w:hAnsi="宋体" w:eastAsia="宋体" w:cs="宋体"/>
          <w:color w:val="auto"/>
          <w:highlight w:val="none"/>
        </w:rPr>
        <w:t xml:space="preserve">元。</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中标服务费收款账号：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账户名：</w:t>
      </w:r>
      <w:r>
        <w:rPr>
          <w:rFonts w:hint="eastAsia" w:ascii="宋体" w:hAnsi="宋体" w:eastAsia="宋体" w:cs="宋体"/>
          <w:color w:val="auto"/>
          <w:highlight w:val="none"/>
        </w:rPr>
        <w:t xml:space="preserve">张家港保税区宏宇建设咨询有限公司</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账号：1052 5801 0400 1913 2 </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开户行：中国农业银行张家港分行</w:t>
      </w:r>
      <w:bookmarkStart w:id="302" w:name="_GoBack"/>
      <w:r/>
      <w:bookmarkEnd w:id="302"/>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招标文件的约束力</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投标人一旦在“苏采云”系统下载本招标文件决定参加投标，即被认为接受了本招标文件的规定和约束，并且视为已经知道或应当知道自身权益是否受到了损害。</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57" w:name="_Toc513029209"/>
      <w:r/>
      <w:bookmarkStart w:id="58" w:name="_Toc16938525"/>
      <w:r/>
      <w:bookmarkStart w:id="59" w:name="_Toc26767"/>
      <w:r/>
      <w:bookmarkStart w:id="60" w:name="_Toc54615240"/>
      <w:r/>
      <w:bookmarkStart w:id="61" w:name="_Toc38368121"/>
      <w:r/>
      <w:bookmarkStart w:id="62" w:name="_Toc120614215"/>
      <w:r/>
      <w:bookmarkStart w:id="63" w:name="_Toc20823281"/>
      <w:r/>
      <w:bookmarkStart w:id="64" w:name="_Toc12536"/>
      <w:r/>
      <w:bookmarkStart w:id="65" w:name="_Toc35266021"/>
      <w:r>
        <w:rPr>
          <w:rFonts w:hint="eastAsia" w:ascii="宋体" w:hAnsi="宋体" w:eastAsia="宋体" w:cs="宋体"/>
          <w:b/>
          <w:bCs/>
          <w:color w:val="auto"/>
          <w:highlight w:val="none"/>
        </w:rPr>
        <w:t xml:space="preserve">二、招标文件</w:t>
      </w:r>
      <w:bookmarkEnd w:id="57"/>
      <w:r/>
      <w:bookmarkEnd w:id="58"/>
      <w:r/>
      <w:bookmarkEnd w:id="59"/>
      <w:r/>
      <w:bookmarkEnd w:id="60"/>
      <w:r/>
      <w:bookmarkEnd w:id="61"/>
      <w:r/>
      <w:bookmarkEnd w:id="62"/>
      <w:r/>
      <w:bookmarkEnd w:id="63"/>
      <w:r/>
      <w:bookmarkEnd w:id="64"/>
      <w:r/>
      <w:bookmarkEnd w:id="65"/>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66" w:name="_Toc20823282"/>
      <w:r/>
      <w:bookmarkStart w:id="67" w:name="_Toc16938526"/>
      <w:r/>
      <w:bookmarkStart w:id="68" w:name="_Toc513029210"/>
      <w:r>
        <w:rPr>
          <w:rFonts w:hint="eastAsia" w:ascii="宋体" w:hAnsi="宋体" w:eastAsia="宋体" w:cs="宋体"/>
          <w:b/>
          <w:bCs/>
          <w:color w:val="auto"/>
          <w:highlight w:val="none"/>
        </w:rPr>
        <w:t xml:space="preserve">6</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招标文件构成</w:t>
      </w:r>
      <w:bookmarkEnd w:id="66"/>
      <w:r/>
      <w:bookmarkEnd w:id="67"/>
      <w:r/>
      <w:bookmarkEnd w:id="68"/>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招标文件有以下部分组成：</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（1）投标邀请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请仔细检查招标文件是否齐全，如有缺漏请立即与张家港保税区宏宇建设咨询有限公司联系解决。</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69" w:name="_Toc20823284"/>
      <w:r/>
      <w:bookmarkStart w:id="70" w:name="_Toc16938528"/>
      <w:r/>
      <w:bookmarkStart w:id="71" w:name="_Toc513029212"/>
      <w:r/>
      <w:bookmarkStart w:id="72" w:name="_Toc462564071"/>
      <w:r>
        <w:rPr>
          <w:rFonts w:hint="eastAsia" w:ascii="宋体" w:hAnsi="宋体" w:eastAsia="宋体" w:cs="宋体"/>
          <w:b/>
          <w:bCs/>
          <w:color w:val="auto"/>
          <w:highlight w:val="none"/>
        </w:rPr>
        <w:t xml:space="preserve">7</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招标文件的澄清或修改</w:t>
      </w:r>
      <w:bookmarkEnd w:id="69"/>
      <w:r/>
      <w:bookmarkEnd w:id="70"/>
      <w:r/>
      <w:bookmarkEnd w:id="71"/>
      <w:r/>
      <w:bookmarkEnd w:id="7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7.1在投标截止时间前。张家港保税区宏宇建设咨询有限公司可以对招标文件进行澄清或修改。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7.2张家港保税区宏宇建设咨询有限公司有权按照法定的要求推迟投标截止日期和开标日期。</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7.3招标文件的实质性变动或修改将在政府采购公告媒体网通知，投标人可自行下载。补充文件将作为招标文件的组成部分，并对投标人具有约束力。</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73" w:name="_Toc462564072"/>
      <w:r/>
      <w:bookmarkStart w:id="74" w:name="_Toc35266022"/>
      <w:r/>
      <w:bookmarkStart w:id="75" w:name="_Toc38368122"/>
      <w:r/>
      <w:bookmarkStart w:id="76" w:name="_Toc16938529"/>
      <w:r/>
      <w:bookmarkStart w:id="77" w:name="_Toc54615241"/>
      <w:r/>
      <w:bookmarkStart w:id="78" w:name="_Toc20823285"/>
      <w:r/>
      <w:bookmarkStart w:id="79" w:name="_Toc12827"/>
      <w:r/>
      <w:bookmarkStart w:id="80" w:name="_Toc513029213"/>
      <w:r/>
      <w:bookmarkStart w:id="81" w:name="_Toc26824"/>
      <w:r/>
      <w:bookmarkStart w:id="82" w:name="_Toc120614216"/>
      <w:r>
        <w:rPr>
          <w:rFonts w:hint="eastAsia" w:ascii="宋体" w:hAnsi="宋体" w:eastAsia="宋体" w:cs="宋体"/>
          <w:b/>
          <w:bCs/>
          <w:color w:val="auto"/>
          <w:highlight w:val="none"/>
        </w:rPr>
        <w:t xml:space="preserve">三、投标文件的编制</w:t>
      </w:r>
      <w:bookmarkEnd w:id="73"/>
      <w:r/>
      <w:bookmarkEnd w:id="74"/>
      <w:r/>
      <w:bookmarkEnd w:id="75"/>
      <w:r/>
      <w:bookmarkEnd w:id="76"/>
      <w:r/>
      <w:bookmarkEnd w:id="77"/>
      <w:r/>
      <w:bookmarkEnd w:id="78"/>
      <w:r/>
      <w:bookmarkEnd w:id="79"/>
      <w:r/>
      <w:bookmarkEnd w:id="80"/>
      <w:r/>
      <w:bookmarkEnd w:id="81"/>
      <w:r/>
      <w:bookmarkEnd w:id="82"/>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83" w:name="_Toc462564073"/>
      <w:r/>
      <w:bookmarkStart w:id="84" w:name="_Toc16938530"/>
      <w:r/>
      <w:bookmarkStart w:id="85" w:name="_Toc513029214"/>
      <w:r/>
      <w:bookmarkStart w:id="86" w:name="_Toc20823286"/>
      <w:r>
        <w:rPr>
          <w:rFonts w:hint="eastAsia" w:ascii="宋体" w:hAnsi="宋体" w:eastAsia="宋体" w:cs="宋体"/>
          <w:b/>
          <w:bCs/>
          <w:color w:val="auto"/>
          <w:highlight w:val="none"/>
        </w:rPr>
        <w:t xml:space="preserve">8</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投标文件的语言及度量衡单位</w:t>
      </w:r>
      <w:bookmarkEnd w:id="83"/>
      <w:r/>
      <w:bookmarkEnd w:id="84"/>
      <w:r/>
      <w:bookmarkEnd w:id="85"/>
      <w:r/>
      <w:bookmarkEnd w:id="8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 投标人提交的投标文件以及投标人与张家港保税区宏宇建设咨询有限公司就有关投标的所有来往通知、函件和文件均应使用简体中文。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 除技术性能另有规定外，投标文件所使用的度量衡单位，均须采用国家法定计量单位。</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87" w:name="_Toc462564074"/>
      <w:r/>
      <w:bookmarkStart w:id="88" w:name="_Toc16938531"/>
      <w:r/>
      <w:bookmarkStart w:id="89" w:name="_Toc513029215"/>
      <w:r/>
      <w:bookmarkStart w:id="90" w:name="_Toc20823287"/>
      <w:r>
        <w:rPr>
          <w:rFonts w:hint="eastAsia" w:ascii="宋体" w:hAnsi="宋体" w:eastAsia="宋体" w:cs="宋体"/>
          <w:b/>
          <w:bCs/>
          <w:color w:val="auto"/>
          <w:highlight w:val="none"/>
        </w:rPr>
        <w:t xml:space="preserve">9</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投标文件构成</w:t>
      </w:r>
      <w:bookmarkEnd w:id="87"/>
      <w:r/>
      <w:bookmarkEnd w:id="88"/>
      <w:r/>
      <w:bookmarkEnd w:id="89"/>
      <w:r/>
      <w:bookmarkEnd w:id="90"/>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 投标人编写的投标文件应包括投标函、开标一览表、资格证明文件、技术人员介绍、第四章项目需求中实质性要求响应对照表、技术及服务方案、投标人情况介绍等部分。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 特别提醒：投标人必须在投标文件接收截止时间之前在系统中提交所有与开评标相关的资料。开评标现场不接收任何资料。</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91" w:name="_Hlt26954838"/>
      <w:r/>
      <w:bookmarkEnd w:id="91"/>
      <w:r/>
      <w:bookmarkStart w:id="92" w:name="_Hlt26670360"/>
      <w:r/>
      <w:bookmarkEnd w:id="92"/>
      <w:r/>
      <w:bookmarkStart w:id="93" w:name="_Hlt26668975"/>
      <w:r/>
      <w:bookmarkEnd w:id="93"/>
      <w:r/>
      <w:bookmarkStart w:id="94" w:name="_Toc14577357"/>
      <w:r/>
      <w:bookmarkStart w:id="95" w:name="_Toc513029219"/>
      <w:r/>
      <w:bookmarkStart w:id="96" w:name="_Toc49090509"/>
      <w:r/>
      <w:bookmarkStart w:id="97" w:name="_Toc513029216"/>
      <w:r/>
      <w:bookmarkStart w:id="98" w:name="_Toc49090507"/>
      <w:r/>
      <w:bookmarkStart w:id="99" w:name="_Toc14577354"/>
      <w:r>
        <w:rPr>
          <w:rFonts w:hint="eastAsia" w:ascii="宋体" w:hAnsi="宋体" w:eastAsia="宋体" w:cs="宋体"/>
          <w:b/>
          <w:bCs/>
          <w:color w:val="auto"/>
          <w:highlight w:val="none"/>
        </w:rPr>
        <w:t xml:space="preserve">10</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投标函和开标一览表</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10.1 投标人应按照招标文件中提供的格式完整、正确填写投标函、开标一览表。</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10.2 开标一览表中的价格应与投标文件中投标配置与分项报价表（或经费测算表）中的价格一致，若出现价格不一致的情况，评标时一律按开标一览表中价格为准。</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11</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投标人资格证明文件</w:t>
      </w:r>
      <w:bookmarkEnd w:id="94"/>
      <w:r/>
      <w:bookmarkEnd w:id="95"/>
      <w:r/>
      <w:bookmarkEnd w:id="96"/>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11.1</w:t>
      </w:r>
      <w:bookmarkStart w:id="100" w:name="_Hlt26668999"/>
      <w:r/>
      <w:bookmarkEnd w:id="100"/>
      <w:r>
        <w:rPr>
          <w:rFonts w:hint="eastAsia" w:ascii="宋体" w:hAnsi="宋体" w:eastAsia="宋体" w:cs="宋体"/>
          <w:b w:val="0"/>
          <w:bCs w:val="0"/>
          <w:color w:val="auto"/>
          <w:highlight w:val="none"/>
        </w:rPr>
        <w:t xml:space="preserve">投标人应按招标文件的要求提交资格证明文件。</w:t>
      </w:r>
      <w:bookmarkEnd w:id="97"/>
      <w:r/>
      <w:bookmarkEnd w:id="98"/>
      <w:r/>
      <w:bookmarkEnd w:id="99"/>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01" w:name="_Toc14577355"/>
      <w:r/>
      <w:bookmarkStart w:id="102" w:name="_Toc49090508"/>
      <w:r/>
      <w:bookmarkStart w:id="103" w:name="_Toc49090510"/>
      <w:r/>
      <w:bookmarkStart w:id="104" w:name="_Toc14577359"/>
      <w:r>
        <w:rPr>
          <w:rFonts w:hint="eastAsia" w:ascii="宋体" w:hAnsi="宋体" w:eastAsia="宋体" w:cs="宋体"/>
          <w:b/>
          <w:bCs/>
          <w:color w:val="auto"/>
          <w:highlight w:val="none"/>
        </w:rPr>
        <w:t xml:space="preserve">12.投标配置与分项报价</w:t>
      </w:r>
      <w:bookmarkStart w:id="105" w:name="_Hlt26670373"/>
      <w:r/>
      <w:bookmarkEnd w:id="105"/>
      <w:r>
        <w:rPr>
          <w:rFonts w:hint="eastAsia" w:ascii="宋体" w:hAnsi="宋体" w:eastAsia="宋体" w:cs="宋体"/>
          <w:b/>
          <w:bCs/>
          <w:color w:val="auto"/>
          <w:highlight w:val="none"/>
        </w:rPr>
        <w:t xml:space="preserve">表</w:t>
      </w:r>
      <w:bookmarkEnd w:id="101"/>
      <w:r/>
      <w:bookmarkEnd w:id="102"/>
      <w:r>
        <w:rPr>
          <w:rFonts w:hint="eastAsia" w:ascii="宋体" w:hAnsi="宋体" w:eastAsia="宋体" w:cs="宋体"/>
          <w:b/>
          <w:bCs/>
          <w:color w:val="auto"/>
          <w:highlight w:val="none"/>
        </w:rPr>
        <w:t xml:space="preserve">（或经费测算表）</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12.1 投标人应按照招标文件规定格式填报。每项货物和服务等只允许有一个报价。</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12.2 标的物</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12.2.1采购人需求的有关服务等。</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20"/>
        <w:jc w:val="left"/>
        <w:keepLines w:val="0"/>
        <w:keepNext w:val="0"/>
        <w:pageBreakBefore w:val="0"/>
        <w:spacing w:line="40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12.3投标货币</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投标文件中的货物单价和总价无特殊规定的采用人民币报价，以元为单位标注。招标文件中另有规定的按规定执行。</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12.4 项目总价应包括但不限于人员费用（含工资、奖金、福利、培训、社会保险、住房公积金等，需满足本合同约定的人员配置要求）；道路路灯所有设施（含灯杆、LED灯具、单灯控制器、集中控制器、花灯、电缆等）的设计、采购、运输、安装、调试、检测、验收等费用；通信费、系统使用费、电费、耗材费、备品备件费等运行费用；后期维护、维修、设备更新等保障费用；管理费用、合理利润、各类税金，以及政策性文件规定、合同隐含的所有风险、责任、义务所涉及的费用。 </w:t>
      </w:r>
      <w:bookmarkStart w:id="106" w:name="EB8486dd9157984dc9aa62437fb6aa6f0f"/>
      <w:r/>
      <w:bookmarkEnd w:id="106"/>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12.5 本报价必须充分考虑所有可能影响到报价的价格因素，一旦投标结束最终成交，如发生漏、缺、少项，都将被认为是中标人的报价让利行为。</w:t>
      </w:r>
      <w:bookmarkStart w:id="107" w:name="_Hlt26670482"/>
      <w:r/>
      <w:bookmarkEnd w:id="107"/>
      <w:r/>
      <w:bookmarkStart w:id="108" w:name="_Hlt26954731"/>
      <w:r/>
      <w:bookmarkEnd w:id="108"/>
      <w:r/>
      <w:bookmarkStart w:id="109" w:name="_Hlt26954848"/>
      <w:r/>
      <w:bookmarkEnd w:id="109"/>
      <w:r/>
      <w:bookmarkStart w:id="110" w:name="_Hlt26954846"/>
      <w:r/>
      <w:bookmarkEnd w:id="110"/>
      <w:r/>
      <w:bookmarkStart w:id="111" w:name="_Hlt26670486"/>
      <w:r/>
      <w:bookmarkEnd w:id="111"/>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技术及服务方案</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13.1根据自己对需求的理解撰写需求分析和服务方案。</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14</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投标人情况介绍</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14.1 投标人的总体情况应在电子投标文件中作出说明。</w:t>
      </w:r>
      <w:bookmarkEnd w:id="103"/>
      <w:r/>
      <w:bookmarkEnd w:id="104"/>
      <w:r/>
      <w:bookmarkStart w:id="112" w:name="EBf6e5e332cb7245ab8f3a9801503c122b"/>
      <w:r/>
      <w:bookmarkEnd w:id="112"/>
      <w:r/>
      <w:bookmarkStart w:id="113" w:name="_Hlt26670489"/>
      <w:r/>
      <w:bookmarkEnd w:id="113"/>
      <w:r/>
      <w:bookmarkStart w:id="114" w:name="_Hlt26954850"/>
      <w:r/>
      <w:bookmarkEnd w:id="114"/>
      <w:r/>
      <w:bookmarkStart w:id="115" w:name="_Hlt26954734"/>
      <w:r/>
      <w:bookmarkEnd w:id="115"/>
      <w:r/>
      <w:bookmarkStart w:id="116" w:name="_Toc14577360"/>
      <w:r/>
      <w:bookmarkStart w:id="117" w:name="_Toc49090511"/>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投标保证金</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15.1本次招标不收取投标保证金。</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投标有效期</w:t>
      </w:r>
      <w:bookmarkEnd w:id="116"/>
      <w:r/>
      <w:bookmarkEnd w:id="117"/>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 投标有效期为张家港保税区宏宇建设咨询有限公司规定的开标之日后九十（90）天。投标有效期比规定短的将被视为非响应性投标而予以拒绝。</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张家港保税区宏宇建设咨询有限公司于原投标有效期满之前，可向投标人提出延长投标有效期的要求。这种要求与答复均应采用书面形式。投标人可以拒绝张家港保税区宏宇建设咨询有限公司的这一要求而放弃投标。同意延长投标有效期的投标人既不能要求也不允许修改其投标文件。</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17</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投标文件的签署</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本招标文件所表述（指定）的公章是指法定名称章，不包括合同专用章、业务专用章等印章。</w:t>
      </w:r>
      <w:bookmarkStart w:id="118" w:name="_Hlt26954739"/>
      <w:r/>
      <w:bookmarkEnd w:id="118"/>
      <w:r/>
      <w:bookmarkStart w:id="119" w:name="EBfdb2e00cf1ee477a9cdb47d13b603829"/>
      <w:r/>
      <w:bookmarkEnd w:id="119"/>
      <w:r/>
      <w:bookmarkStart w:id="120" w:name="_Hlt26954852"/>
      <w:r/>
      <w:bookmarkEnd w:id="120"/>
      <w:r/>
      <w:bookmarkStart w:id="121" w:name="_Toc38368123"/>
      <w:r/>
      <w:bookmarkStart w:id="122" w:name="_Toc35266023"/>
      <w:r/>
      <w:bookmarkStart w:id="123" w:name="_Toc1358"/>
      <w:r/>
      <w:bookmarkStart w:id="124" w:name="_Toc6389296"/>
      <w:r/>
      <w:bookmarkStart w:id="125" w:name="_Toc6388848"/>
      <w:r/>
      <w:bookmarkStart w:id="126" w:name="_Toc54615242"/>
      <w:r/>
      <w:bookmarkStart w:id="127" w:name="_Toc120614217"/>
      <w:r/>
      <w:bookmarkStart w:id="128" w:name="_Toc16938540"/>
      <w:r/>
      <w:bookmarkStart w:id="129" w:name="_Toc20823296"/>
      <w:r/>
      <w:bookmarkStart w:id="130" w:name="_Toc513029224"/>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31" w:name="_Toc32444"/>
      <w:r>
        <w:rPr>
          <w:rFonts w:hint="eastAsia" w:ascii="宋体" w:hAnsi="宋体" w:eastAsia="宋体" w:cs="宋体"/>
          <w:b/>
          <w:bCs/>
          <w:color w:val="auto"/>
          <w:highlight w:val="none"/>
        </w:rPr>
        <w:t xml:space="preserve">四、投标文件的制作、上传、递交</w:t>
      </w:r>
      <w:bookmarkEnd w:id="121"/>
      <w:r/>
      <w:bookmarkEnd w:id="122"/>
      <w:r/>
      <w:bookmarkEnd w:id="123"/>
      <w:r/>
      <w:bookmarkEnd w:id="124"/>
      <w:r/>
      <w:bookmarkEnd w:id="125"/>
      <w:r/>
      <w:bookmarkEnd w:id="126"/>
      <w:r/>
      <w:bookmarkEnd w:id="131"/>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18</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投标文件的递交</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18.1 电子投标文件的递交</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投标人应当按照《苏采云系统供应商操作手册》规定，在投标截止时间前制作并上传电子投标文件。</w:t>
      </w:r>
      <w:bookmarkStart w:id="132" w:name="EB5e78b12e89984a20ab881c475623475b"/>
      <w:r/>
      <w:bookmarkEnd w:id="132"/>
      <w:r/>
      <w:bookmarkStart w:id="133" w:name="_Toc6388850"/>
      <w:r/>
      <w:bookmarkStart w:id="134" w:name="_Toc6389298"/>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19</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投标截止日期</w:t>
      </w:r>
      <w:bookmarkEnd w:id="133"/>
      <w:r/>
      <w:bookmarkEnd w:id="134"/>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 投标人上传电子投标文件的时间不得迟于招标公告中规定的投标截止时间。</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投标人应充分考虑到网络环境、网络带宽等风险因素，如因投标人自身原因造成的电子投标文件上传不成功由投标人自行承担全部责任。</w:t>
      </w:r>
      <w:bookmarkStart w:id="135" w:name="EB4c6421107b4c4e38bf2769d0237905a7"/>
      <w:r/>
      <w:bookmarkEnd w:id="135"/>
      <w:r/>
      <w:bookmarkStart w:id="136" w:name="_Toc6388851"/>
      <w:r/>
      <w:bookmarkStart w:id="137" w:name="_Toc6389299"/>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20</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投标文件的递交</w:t>
      </w:r>
      <w:bookmarkEnd w:id="136"/>
      <w:r/>
      <w:bookmarkEnd w:id="137"/>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20.1张家港保税区宏宇建设咨询有限公司拒绝接收在其规定的投标截止时间后递交的任何投标文件。</w:t>
      </w:r>
      <w:bookmarkStart w:id="138" w:name="_Toc6389300"/>
      <w:r/>
      <w:bookmarkStart w:id="139" w:name="_Toc6388852"/>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21</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投标文件的修改和撤回</w:t>
      </w:r>
      <w:bookmarkEnd w:id="138"/>
      <w:r/>
      <w:bookmarkEnd w:id="139"/>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 投标人在递交投标文件后，可以修改或撤回其投标文件，但这种修改和撤回，必须在规定的投标截止时间前，具体操作方法见《苏采云系统供应商操作手册》。</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 投标人撤回电子投标文件，则认为其不再参与本项目投标活动。</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 在投标截止时间之后，投标人不得对其电子投标文件作任何修改。</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 在投标截止时间至招标文件中规定的投标有效期满之间的这段时间内，投标人不得撤销其投标。</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21.5 不论投标人中标与否，投标文件均不退回。</w:t>
      </w:r>
      <w:bookmarkEnd w:id="127"/>
      <w:r/>
      <w:bookmarkEnd w:id="128"/>
      <w:r/>
      <w:bookmarkEnd w:id="129"/>
      <w:r/>
      <w:bookmarkEnd w:id="130"/>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40" w:name="EB7c302f080cf342679641097daf23b42b"/>
      <w:r/>
      <w:bookmarkEnd w:id="140"/>
      <w:r/>
      <w:bookmarkStart w:id="141" w:name="_Toc7542"/>
      <w:r/>
      <w:bookmarkStart w:id="142" w:name="_Toc20823301"/>
      <w:r/>
      <w:bookmarkStart w:id="143" w:name="_Toc17299"/>
      <w:r/>
      <w:bookmarkStart w:id="144" w:name="_Toc513029229"/>
      <w:r/>
      <w:bookmarkStart w:id="145" w:name="_Toc120614218"/>
      <w:r/>
      <w:bookmarkStart w:id="146" w:name="_Toc54615243"/>
      <w:r/>
      <w:bookmarkStart w:id="147" w:name="_Toc35266024"/>
      <w:r/>
      <w:bookmarkStart w:id="148" w:name="_Toc16938545"/>
      <w:r/>
      <w:bookmarkStart w:id="149" w:name="_Toc38368124"/>
      <w:r>
        <w:rPr>
          <w:rFonts w:hint="eastAsia" w:ascii="宋体" w:hAnsi="宋体" w:eastAsia="宋体" w:cs="宋体"/>
          <w:b/>
          <w:bCs/>
          <w:color w:val="auto"/>
          <w:highlight w:val="none"/>
        </w:rPr>
        <w:t xml:space="preserve">五、开标与评标</w:t>
      </w:r>
      <w:bookmarkEnd w:id="141"/>
      <w:r/>
      <w:bookmarkEnd w:id="142"/>
      <w:r/>
      <w:bookmarkEnd w:id="143"/>
      <w:r/>
      <w:bookmarkEnd w:id="144"/>
      <w:r/>
      <w:bookmarkEnd w:id="145"/>
      <w:r/>
      <w:bookmarkEnd w:id="146"/>
      <w:r/>
      <w:bookmarkEnd w:id="147"/>
      <w:r/>
      <w:bookmarkEnd w:id="148"/>
      <w:r/>
      <w:bookmarkEnd w:id="149"/>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50" w:name="_Toc20823302"/>
      <w:r/>
      <w:bookmarkStart w:id="151" w:name="_Toc513029230"/>
      <w:r/>
      <w:bookmarkStart w:id="152" w:name="_Toc16938546"/>
      <w:r>
        <w:rPr>
          <w:rFonts w:hint="eastAsia" w:ascii="宋体" w:hAnsi="宋体" w:eastAsia="宋体" w:cs="宋体"/>
          <w:b/>
          <w:bCs/>
          <w:color w:val="auto"/>
          <w:highlight w:val="none"/>
        </w:rPr>
        <w:t xml:space="preserve">22</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开标</w:t>
      </w:r>
      <w:bookmarkEnd w:id="150"/>
      <w:r/>
      <w:bookmarkEnd w:id="151"/>
      <w:r/>
      <w:bookmarkEnd w:id="15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bookmarkStart w:id="153" w:name="EB45a41a7a147945c0bb92535f2d40058d"/>
      <w:r/>
      <w:bookmarkEnd w:id="153"/>
      <w:r/>
      <w:bookmarkStart w:id="154" w:name="_Toc20823303"/>
      <w:r/>
      <w:bookmarkStart w:id="155" w:name="_Toc16938547"/>
      <w:r/>
      <w:bookmarkStart w:id="156" w:name="_Toc513029231"/>
      <w:r>
        <w:rPr>
          <w:rFonts w:hint="eastAsia" w:ascii="宋体" w:hAnsi="宋体" w:eastAsia="宋体" w:cs="宋体"/>
          <w:color w:val="auto"/>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评标委员会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 开标后，张家港保税区宏宇建设咨询有限公司将立即组织评标委员会（以下简称评委会）进行评标。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 评委会由评审专家、采购人代表组成，且人员构成符合政府采购有关规定。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23.4评委会将对投标人的商业、技术秘密予以保密。</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24．评标过程的保密</w:t>
      </w:r>
      <w:bookmarkEnd w:id="154"/>
      <w:r/>
      <w:bookmarkEnd w:id="155"/>
      <w:r/>
      <w:bookmarkEnd w:id="156"/>
      <w:r>
        <w:rPr>
          <w:rFonts w:hint="eastAsia" w:ascii="宋体" w:hAnsi="宋体" w:eastAsia="宋体" w:cs="宋体"/>
          <w:b/>
          <w:bCs/>
          <w:color w:val="auto"/>
          <w:highlight w:val="none"/>
        </w:rPr>
        <w:t xml:space="preserve">与公正</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24.1公开开标后，直至向中标的投标人授予合同时止，凡是与审查、澄清、评价和比较投标的有关资料以及授标建议等，均不得向投标人或与评标无关的其他人员透露。</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24.2在评标过程中，如果投标人试图向张家港保税区宏宇建设咨询有限公司和参与评标的人员施加任何影响，都将会导致其投标被拒绝。</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57" w:name="_Toc20823304"/>
      <w:r/>
      <w:bookmarkStart w:id="158" w:name="_Toc513029232"/>
      <w:r/>
      <w:bookmarkStart w:id="159" w:name="_Toc16938548"/>
      <w:r>
        <w:rPr>
          <w:rFonts w:hint="eastAsia" w:ascii="宋体" w:hAnsi="宋体" w:eastAsia="宋体" w:cs="宋体"/>
          <w:b/>
          <w:bCs/>
          <w:color w:val="auto"/>
          <w:highlight w:val="none"/>
        </w:rPr>
        <w:t xml:space="preserve">25．投标的澄清</w:t>
      </w:r>
      <w:bookmarkEnd w:id="157"/>
      <w:r/>
      <w:bookmarkEnd w:id="158"/>
      <w:r/>
      <w:bookmarkEnd w:id="159"/>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25.1评标期间，为有助于对投标文件的审查、评价和比较，评委会有权要求投标人对其投标文件进行澄清，但并非对每个投标人都作澄清要求。</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bookmarkStart w:id="160" w:name="EB3164982f155e42e086cd4685f4d2aafa"/>
      <w:r/>
      <w:bookmarkEnd w:id="160"/>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25.3接到评委会澄清要求的投标人如未按规定做出澄清，其风险由投标人自行承担。</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61" w:name="_Toc513029233"/>
      <w:r/>
      <w:bookmarkStart w:id="162" w:name="_Toc20823305"/>
      <w:r/>
      <w:bookmarkStart w:id="163" w:name="_Toc16938549"/>
      <w:r>
        <w:rPr>
          <w:rFonts w:hint="eastAsia" w:ascii="宋体" w:hAnsi="宋体" w:eastAsia="宋体" w:cs="宋体"/>
          <w:b/>
          <w:bCs/>
          <w:color w:val="auto"/>
          <w:highlight w:val="none"/>
        </w:rPr>
        <w:t xml:space="preserve">26</w:t>
      </w:r>
      <w:r>
        <w:rPr>
          <w:rFonts w:hint="eastAsia" w:ascii="宋体" w:hAnsi="宋体" w:eastAsia="宋体" w:cs="宋体"/>
          <w:b/>
          <w:bCs/>
          <w:color w:val="auto"/>
          <w:highlight w:val="none"/>
          <w:lang w:val="en-US" w:eastAsia="zh-CN"/>
        </w:rPr>
        <w:t xml:space="preserve">.</w:t>
      </w:r>
      <w:bookmarkEnd w:id="161"/>
      <w:r/>
      <w:bookmarkEnd w:id="162"/>
      <w:r/>
      <w:bookmarkEnd w:id="163"/>
      <w:r>
        <w:rPr>
          <w:rFonts w:hint="eastAsia" w:ascii="宋体" w:hAnsi="宋体" w:eastAsia="宋体" w:cs="宋体"/>
          <w:b/>
          <w:bCs/>
          <w:color w:val="auto"/>
          <w:highlight w:val="none"/>
        </w:rPr>
        <w:t xml:space="preserve">对投标文件的初审</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26.1投标文件初审分为资格审查和符合性审查。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26.1.1资格性审查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采购人或者采购代理机构依法对投标人的资格进行审查。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zh-CN"/>
        </w:rPr>
        <w:t xml:space="preserve">关于信用查询：</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rPr>
        <w:t xml:space="preserve">1.1.2</w:t>
      </w:r>
      <w:r>
        <w:rPr>
          <w:rFonts w:hint="eastAsia" w:ascii="宋体" w:hAnsi="宋体" w:eastAsia="宋体" w:cs="宋体"/>
          <w:color w:val="auto"/>
          <w:highlight w:val="none"/>
          <w:lang w:val="zh-CN"/>
        </w:rPr>
        <w:t xml:space="preserve">查询时间：投标文件递交截止时间。</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rPr>
        <w:t xml:space="preserve">6</w:t>
      </w:r>
      <w:r>
        <w:rPr>
          <w:rFonts w:hint="eastAsia" w:ascii="宋体" w:hAnsi="宋体" w:eastAsia="宋体" w:cs="宋体"/>
          <w:color w:val="auto"/>
          <w:highlight w:val="none"/>
          <w:lang w:val="zh-CN"/>
        </w:rPr>
        <w:t xml:space="preserve">.1.1.1.</w:t>
      </w: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查询渠道：通过“信用中国”网站等渠道查询相关主体信用记录。</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26.1.2符合性审查：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依据招标文件的规定，由评委会对投标文件进行审查，以确定是否对招标文件的实质性要求作出响应。</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26.4 投标文件报价出现前后不一致的，按下列规定修正： </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（1）投标文件中开标一览表（报价表）内容与投标文件中相应内容不一致的，以开标一览表（报价表）为准；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同时出现两种以上不一致的，按照前款规定的顺序修正。修正后的报价按照财政部87号令第五十一条第二款的规定经投标人确认后产生约束力。</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26.5 评委会将允许修正投标文件中不构成重大偏离的、微小的、非正规的、不一致的或不规则的地方，但这些修改不能影响任何投标人相应的名次排列。</w:t>
      </w:r>
      <w:bookmarkStart w:id="164" w:name="EB8e3ec86c09a94dac9cc9034e6027ee19"/>
      <w:r/>
      <w:bookmarkEnd w:id="164"/>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26.6 异常低价投标审查</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bookmarkStart w:id="165" w:name="_Toc20823306"/>
      <w:r/>
      <w:bookmarkStart w:id="166" w:name="_Toc16938550"/>
      <w:r/>
      <w:bookmarkStart w:id="167" w:name="_Toc513029234"/>
      <w:r/>
      <w:bookmarkStart w:id="168" w:name="_Toc200451960"/>
      <w:r>
        <w:rPr>
          <w:rFonts w:hint="eastAsia" w:ascii="宋体" w:hAnsi="宋体" w:eastAsia="宋体" w:cs="宋体"/>
          <w:color w:val="auto"/>
          <w:highlight w:val="none"/>
        </w:rPr>
        <w:t xml:space="preserve">26.6.1评审过程中出现下列情形之一的，评审委员会应当启动异常低价投标审查程序：</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1.投标（响应）报价低于全部通过符合性审查供应商投标（响应）报价平均50%的，即投标（响应）报价&lt;全部通过符合性审查供应商投标（响应）报价平均值×50%；</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2.投标（响应）报价低于通过符合性审查的次低报价供应商投标（响应）报价50%的，即投标（响应）报价&lt;通过符合性审查的次低报价供应商投标（响应）报价×50%；</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3.投标（响应）报价低于采购项目最高限价45%的，即投标（响应）报价&lt;采购项目最高限价×45%；</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4.评审委员会基于专业判断，认为供应商报价过低，有可能影响产品质量或者不能诚信履约的其他情形。</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keepLines w:val="0"/>
        <w:keepNext w:val="0"/>
        <w:pageBreakBefore w:val="0"/>
        <w:spacing w:before="0" w:after="0"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27、</w:t>
      </w:r>
      <w:bookmarkEnd w:id="165"/>
      <w:r/>
      <w:bookmarkEnd w:id="166"/>
      <w:r/>
      <w:bookmarkEnd w:id="167"/>
      <w:r>
        <w:rPr>
          <w:rFonts w:hint="eastAsia" w:ascii="宋体" w:hAnsi="宋体" w:eastAsia="宋体" w:cs="宋体"/>
          <w:b/>
          <w:bCs/>
          <w:color w:val="auto"/>
          <w:highlight w:val="none"/>
        </w:rPr>
        <w:t xml:space="preserve">无效投标条款和废标条款</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 无效投标条款</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 投标人未按照招标文件要求上传电子投标文件的；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 投标人在规定时间内不解密投标文件或未成功解密投标文件的（因系统原因导致的除外)；</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27.1.3 投标文件中没有《开标一览表》或《开标一览表》未加盖投标人公章的；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27.1.4 投标文件中任何有选择的报价；</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27.1.5 投标文件报价出现前后不一致的，按招标文件规定修正后投标人不确认的；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27.1.6 不同投标人的投标文件由同一单位或者个人编制；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27.1.7 不同投标人委托同一单位或者个人办理投标事宜；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27.1.8不同投标人的投标文件制作机器码一致的；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27.1.9 不同投标人的投标文件载明的项目管理成员或者联系人员为同一人；</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27.1.10 不同投标人的投标文件异常一致或者投标报价呈规律性差异；</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27.1.14 不同供应商的单位负责人为同一人或者存在直接控股、管理关系的；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27.1.15 为采购项目提供整体设计、规范编制或者项目管理、监理、检测等服务的；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27.1.16 资格证明文件中要求加盖公章而未加盖公章的；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27.1.17 投标文件未按招标文件要求签署、盖章的；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27.1.18 不具备招标文件中规定的资格要求或未按招标文件规定的要求提供资格证明文件的；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27.1.19 报价超过招标文件中规定的预算金额或者最高限价的；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27.1.20 投标文件含有采购人不能接受的附加条件的；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27.1.21 不响应招标文件中规定的实质性要求的（本招标文件中斜体且有下划线部分为实质性要求）；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27.1.22 法律、法规和采购文件规定的其他无效情形;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 废标条款：</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(1)符合专业条件的供应商或者对招标文件作实质响应的供应商不足三家的； </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(2)出现影响采购公正的违法、违规行为的；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(3)投标人的报价均超过了采购预算，采购人不能支付的；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(4)因重大变故，采购任务取消的。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(5)因苏采云系统系统故障原因造成开标不成功的。</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 投标截止时间结束后参加投标的供应商不足三家的处理：</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27.3.1 如出现投标截止时间结束后参加投标的供应商或者在评标期间对招标文件做出实质响应的供应商不足三家情况，按财政部第87号令第四十三条的规定执行。</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bookmarkStart w:id="169" w:name="_Toc20823307"/>
      <w:r/>
      <w:bookmarkStart w:id="170" w:name="_Toc513029235"/>
      <w:r/>
      <w:bookmarkStart w:id="171" w:name="_Toc16938551"/>
      <w:r/>
      <w:bookmarkStart w:id="172" w:name="_Toc29240"/>
      <w:r/>
      <w:bookmarkStart w:id="173" w:name="_Toc28184"/>
      <w:r/>
      <w:bookmarkStart w:id="174" w:name="_Toc54615244"/>
      <w:r/>
      <w:bookmarkStart w:id="175" w:name="_Toc38368125"/>
      <w:r/>
      <w:bookmarkStart w:id="176" w:name="_Toc120614219"/>
      <w:r/>
      <w:bookmarkStart w:id="177" w:name="_Toc35266025"/>
      <w:r>
        <w:rPr>
          <w:rFonts w:hint="eastAsia" w:ascii="宋体" w:hAnsi="宋体" w:eastAsia="宋体" w:cs="宋体"/>
          <w:b/>
          <w:bCs/>
          <w:color w:val="auto"/>
          <w:highlight w:val="none"/>
        </w:rPr>
        <w:t xml:space="preserve">六、</w:t>
      </w:r>
      <w:bookmarkEnd w:id="169"/>
      <w:r/>
      <w:bookmarkEnd w:id="170"/>
      <w:r/>
      <w:bookmarkEnd w:id="171"/>
      <w:r>
        <w:rPr>
          <w:rFonts w:hint="eastAsia" w:ascii="宋体" w:hAnsi="宋体" w:eastAsia="宋体" w:cs="宋体"/>
          <w:b/>
          <w:bCs/>
          <w:color w:val="auto"/>
          <w:highlight w:val="none"/>
        </w:rPr>
        <w:t xml:space="preserve">定标</w:t>
      </w:r>
      <w:bookmarkEnd w:id="172"/>
      <w:r/>
      <w:bookmarkEnd w:id="173"/>
      <w:r/>
      <w:bookmarkEnd w:id="174"/>
      <w:r/>
      <w:bookmarkEnd w:id="175"/>
      <w:r/>
      <w:bookmarkEnd w:id="176"/>
      <w:r/>
      <w:bookmarkEnd w:id="177"/>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bookmarkStart w:id="178" w:name="_Toc513029238"/>
      <w:r/>
      <w:bookmarkStart w:id="179" w:name="_Toc20823310"/>
      <w:r/>
      <w:bookmarkStart w:id="180" w:name="_Toc16938554"/>
      <w:r>
        <w:rPr>
          <w:rFonts w:hint="eastAsia" w:ascii="宋体" w:hAnsi="宋体" w:eastAsia="宋体" w:cs="宋体"/>
          <w:b/>
          <w:bCs/>
          <w:color w:val="auto"/>
          <w:highlight w:val="none"/>
        </w:rPr>
        <w:t xml:space="preserve">28</w:t>
      </w:r>
      <w:r>
        <w:rPr>
          <w:rFonts w:hint="eastAsia" w:ascii="宋体" w:hAnsi="宋体" w:eastAsia="宋体" w:cs="宋体"/>
          <w:b/>
          <w:bCs/>
          <w:color w:val="auto"/>
          <w:highlight w:val="none"/>
          <w:lang w:val="en-US" w:eastAsia="zh-CN"/>
        </w:rPr>
        <w:t xml:space="preserve">.</w:t>
      </w:r>
      <w:bookmarkEnd w:id="178"/>
      <w:r>
        <w:rPr>
          <w:rFonts w:hint="eastAsia" w:ascii="宋体" w:hAnsi="宋体" w:eastAsia="宋体" w:cs="宋体"/>
          <w:b/>
          <w:bCs/>
          <w:color w:val="auto"/>
          <w:highlight w:val="none"/>
        </w:rPr>
        <w:t xml:space="preserve">确定</w:t>
      </w:r>
      <w:bookmarkEnd w:id="179"/>
      <w:r/>
      <w:bookmarkEnd w:id="180"/>
      <w:r>
        <w:rPr>
          <w:rFonts w:hint="eastAsia" w:ascii="宋体" w:hAnsi="宋体" w:eastAsia="宋体" w:cs="宋体"/>
          <w:b/>
          <w:bCs/>
          <w:color w:val="auto"/>
          <w:highlight w:val="none"/>
        </w:rPr>
        <w:t xml:space="preserve">中标人</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w:t>
      </w:r>
      <w:bookmarkEnd w:id="168"/>
      <w:r>
        <w:rPr>
          <w:rFonts w:hint="eastAsia" w:ascii="宋体" w:hAnsi="宋体" w:eastAsia="宋体" w:cs="宋体"/>
          <w:color w:val="auto"/>
          <w:highlight w:val="none"/>
        </w:rPr>
        <w:t xml:space="preserve">评委会根据本招标文件规定评标办法与评标标准向采购人推荐出3名中标候选人。</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28.2采购人应根据评委会推荐的中标候选人名单中按顺序确定中标供应商。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采购代理机构应当在评审结束后2个工作日内将完整的评审报告送采购人确认。采购人或者采购代理机构应当自中标供应商确定之日起2个工作日内，在政府采购信息媒体上发布中标公告。中标公告期限为1个工作日。</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28.4若有充分证据证明，中标人出现下列情况之一的，一经查实，中标无效：</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（1）提供虚假材料谋取中标的；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（2）采取不正当手段诋毁、排挤其他供应商的；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（3）与采购人、其他供应商或者采购代理机构恶意串通的；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（4）向采购人、采购代理机构行贿或者提供其他不正当利益的；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（5）在招标采购过程中与采购人进行协商谈判的；</w:t>
      </w:r>
      <w:r/>
    </w:p>
    <w:p>
      <w:pPr>
        <w:ind w:firstLine="420"/>
        <w:jc w:val="left"/>
        <w:keepLines w:val="0"/>
        <w:keepNext w:val="0"/>
        <w:pageBreakBefore w:val="0"/>
        <w:spacing w:line="400" w:lineRule="exact"/>
        <w:widowControl w:val="off"/>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（6）向评标委员会行贿或者提供其他不正当利益。</w:t>
      </w:r>
      <w:r/>
    </w:p>
    <w:p>
      <w:pPr>
        <w:ind w:firstLine="422"/>
        <w:jc w:val="left"/>
        <w:keepLines w:val="0"/>
        <w:keepNext w:val="0"/>
        <w:pageBreakBefore w:val="0"/>
        <w:spacing w:before="0" w:after="0" w:line="40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29</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质疑</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29.1质疑形式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29.1.1供应商认为采购文件、采购过程和采购结果使自己的权益受到损害的，可以在知道或应知其权益受到损害之日起七个工作日内，以书面形式提出质疑（涉及采购人式、采购需求、供应商资格条件、评标方法和评标标准、合同文本，向采购人提出；涉及采购程序问题的，向张家港保税区宏宇建设咨询有限公司提出）。非书面形式、七个工作日之外提交的质疑将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29.1.2质疑必须按《政府采购法》、《政府采购法实施条例》及财政部94号令的相关规定提交，未按上述要求提交的质疑函张家港保税区宏宇建设咨询有限公司有权不予受理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29.1.3质疑函应当包括下列内容：</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29.1.3.1供应商的姓名或者名称、地址、邮编、联系人及联系电话；</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29.1.3.2质疑项目的名称、编号；</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29.1.3.3具体、明确的质疑事项和与质疑事项相关的请求；</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29.1.3.4事实依据；</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29.1.3.5必要的法律依据；</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29.1.3.6提出质疑的日期。</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29.1.4质疑函应当由法定代表人、主要负责人，或者其授权代表签字或者盖章，并加盖公章。匿名提交的质疑将不予受理。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29.1.5质疑的送达方式</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29.1.5.1质疑函应采用邮寄送达或直接送达的方式递交，采用其他方式送达（含传真、电子邮件等）的，张家港保税区宏宇建设咨询有限公司有权不予受理。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29.2特别提示</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29.2.2供应商在法定质疑期内应一次性提出针对同一采购程序环节的质疑。</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29.2.3供应商提出质疑必须有理、有据，不得恶意质疑或提交虚假质疑。否则，一经查实，采购人或张家港保税区宏宇建设咨询有限公司有权依据政府采购的有关规定，报请政府采购监管部门对该投标人进行相应的行政处罚。</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29.3其他</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29.3.1采购人或张家港保税区宏宇建设咨询有限公司将在收到供应商的质疑后七个工作日内作出答复，答复的内容不涉及商业秘密。</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30</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中标通知书</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在中标结果确定后2个工作日内，张家港保税区宏宇建设咨询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bookmarkStart w:id="181" w:name="_Toc10512"/>
      <w:r>
        <w:rPr>
          <w:rFonts w:hint="eastAsia" w:ascii="宋体" w:hAnsi="宋体" w:eastAsia="宋体" w:cs="宋体"/>
          <w:b/>
          <w:bCs/>
          <w:color w:val="auto"/>
          <w:highlight w:val="none"/>
        </w:rPr>
        <w:t xml:space="preserve">七、授予合同</w:t>
      </w:r>
      <w:bookmarkEnd w:id="181"/>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31. 签订合同</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31.2 招标文件、中标人的投标文件及招标过程中有关澄清、承诺文件均应作为合同附件。</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highlight w:val="none"/>
        </w:rPr>
        <w:t xml:space="preserve">31.3 本合同约定的全部服务内容，原则上由</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自行组织实施并直接提供。未经</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书面同意，</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不得将本合同权利义务整体转让给任何第三方。</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确需分包本合同部分非主体、非关键性工作的，必须在分包意向协议中载明拟分包内容及分包对象，并事先经</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书面审核同意。</w:t>
      </w:r>
      <w:r>
        <w:rPr>
          <w:rFonts w:hint="eastAsia" w:ascii="宋体" w:hAnsi="宋体" w:eastAsia="宋体" w:cs="宋体"/>
          <w:color w:val="auto"/>
          <w:highlight w:val="none"/>
          <w:lang w:val="en-US" w:eastAsia="zh-CN"/>
        </w:rPr>
        <w:t xml:space="preserve">中标人</w:t>
      </w:r>
      <w:r>
        <w:rPr>
          <w:rFonts w:hint="eastAsia" w:ascii="宋体" w:hAnsi="宋体" w:eastAsia="宋体" w:cs="宋体"/>
          <w:color w:val="auto"/>
          <w:highlight w:val="none"/>
        </w:rPr>
        <w:t xml:space="preserve">就分包项目向</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rPr>
        <w:t xml:space="preserve">承担连带责任。</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32</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履约保证金</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 合同签订前，中标人向采购人交付的履约保证金为合同总价款2％。</w:t>
      </w:r>
      <w:bookmarkStart w:id="182" w:name="EB8c6891da72364e93a7598f4884fbe954"/>
      <w:r/>
      <w:bookmarkEnd w:id="182"/>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32.2 履约保证金必须是人民币。履约保证金应当以支票、汇票、本票或者金融机构、担保机构出具的保函等非现金形式提交。</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33</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货物和服务的追加、添购。</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22"/>
        <w:jc w:val="left"/>
        <w:keepLines w:val="0"/>
        <w:keepNext w:val="0"/>
        <w:pageBreakBefore w:val="0"/>
        <w:spacing w:line="400" w:lineRule="exact"/>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34</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监督</w:t>
      </w:r>
      <w:r/>
    </w:p>
    <w:p>
      <w:pPr>
        <w:ind w:firstLine="420"/>
        <w:jc w:val="left"/>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34.1政府有关监督部门将对投标全过程进行监督。</w:t>
      </w:r>
      <w:bookmarkEnd w:id="37"/>
      <w:r/>
      <w:bookmarkEnd w:id="38"/>
      <w:r/>
      <w:bookmarkEnd w:id="39"/>
      <w:r/>
      <w:bookmarkEnd w:id="40"/>
      <w:r/>
      <w:bookmarkEnd w:id="41"/>
      <w:r/>
      <w:bookmarkStart w:id="183" w:name="EB0f9f45dd5e234a13a81c333deb906690"/>
      <w:r/>
      <w:bookmarkEnd w:id="183"/>
      <w:r/>
      <w:r/>
    </w:p>
    <w:p>
      <w:pPr>
        <w:rPr>
          <w:rFonts w:ascii="Calibri" w:hAnsi="Calibri"/>
          <w:color w:val="auto"/>
          <w:highlight w:val="none"/>
        </w:rPr>
      </w:pPr>
      <w:r/>
      <w:bookmarkStart w:id="184" w:name="EB445c3bd035294764b52dfc379b7b9568"/>
      <w:r/>
      <w:bookmarkEnd w:id="184"/>
      <w:r>
        <w:rPr>
          <w:rFonts w:ascii="Calibri" w:hAnsi="Calibri"/>
          <w:color w:val="auto"/>
          <w:highlight w:val="none"/>
        </w:rPr>
        <w:br w:type="page" w:clear="all"/>
      </w:r>
      <w:r/>
    </w:p>
    <w:p>
      <w:pPr>
        <w:pStyle w:val="747"/>
        <w:jc w:val="center"/>
        <w:pageBreakBefore/>
        <w:spacing w:before="240" w:after="60" w:line="360" w:lineRule="auto"/>
        <w:rPr>
          <w:color w:val="auto"/>
          <w:highlight w:val="none"/>
        </w:rPr>
        <w:outlineLvl w:val="0"/>
      </w:pPr>
      <w:r/>
      <w:bookmarkStart w:id="185" w:name="_Toc27569"/>
      <w:r/>
      <w:bookmarkStart w:id="186" w:name="_Toc256000008"/>
      <w:r/>
      <w:bookmarkStart w:id="187" w:name="_Toc35266028"/>
      <w:r/>
      <w:bookmarkStart w:id="188" w:name="_Toc21415"/>
      <w:r/>
      <w:bookmarkStart w:id="189" w:name="_Hlt16619350"/>
      <w:r/>
      <w:bookmarkStart w:id="190" w:name="_Toc350255489"/>
      <w:r/>
      <w:bookmarkStart w:id="191" w:name="_Toc483515625"/>
      <w:r/>
      <w:bookmarkStart w:id="192" w:name="_Toc120614244"/>
      <w:r/>
      <w:bookmarkStart w:id="193" w:name="_Toc38368128"/>
      <w:r/>
      <w:bookmarkStart w:id="194" w:name="_Toc54615246"/>
      <w:r/>
      <w:bookmarkStart w:id="195" w:name="_Toc16938590"/>
      <w:r/>
      <w:bookmarkStart w:id="196" w:name="_Toc20823346"/>
      <w:r/>
      <w:bookmarkStart w:id="197" w:name="_Toc5729"/>
      <w:r>
        <w:rPr>
          <w:rFonts w:hint="eastAsia"/>
          <w:color w:val="auto"/>
          <w:highlight w:val="none"/>
        </w:rPr>
        <w:t xml:space="preserve">第三章 合同条款及格式</w:t>
      </w:r>
      <w:bookmarkEnd w:id="185"/>
      <w:r/>
      <w:r/>
    </w:p>
    <w:p>
      <w:pPr>
        <w:rPr>
          <w:rFonts w:ascii="宋体" w:hAnsi="宋体"/>
          <w:color w:val="auto"/>
          <w:highlight w:val="none"/>
        </w:rPr>
      </w:pPr>
      <w:r>
        <w:rPr>
          <w:rFonts w:ascii="宋体" w:hAnsi="宋体"/>
          <w:color w:val="auto"/>
          <w:highlight w:val="none"/>
        </w:rPr>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以下为中标(成交)后签定本项目合同的通用条款，中标(成交)供应商不得提出实质性的修改。</w:t>
      </w:r>
      <w:r/>
    </w:p>
    <w:p>
      <w:pPr>
        <w:ind w:firstLine="48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643"/>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张家港市政府采购合同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甲方：（买方）</w:t>
      </w:r>
      <w:r>
        <w:rPr>
          <w:rFonts w:hint="eastAsia" w:ascii="宋体" w:hAnsi="宋体" w:cs="宋体"/>
          <w:color w:val="auto"/>
          <w:sz w:val="21"/>
          <w:szCs w:val="21"/>
          <w:highlight w:val="none"/>
          <w:u w:val="single"/>
        </w:rPr>
        <w:t xml:space="preserve">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乙方：（卖方）</w:t>
      </w:r>
      <w:r>
        <w:rPr>
          <w:rFonts w:hint="eastAsia" w:ascii="宋体" w:hAnsi="宋体" w:cs="宋体"/>
          <w:color w:val="auto"/>
          <w:sz w:val="21"/>
          <w:szCs w:val="21"/>
          <w:highlight w:val="none"/>
          <w:u w:val="single"/>
        </w:rPr>
        <w:t xml:space="preserve">            </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甲、乙双方根据张家港保税区宏宇建设咨询有限公司</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项目公开招标的结果（项目编号：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），遵循平等、自愿、公平和诚实信用的原则，经友好协商，签署本合同。</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一、服务内容</w:t>
      </w:r>
      <w:r/>
    </w:p>
    <w:tbl>
      <w:tblPr>
        <w:tblStyle w:val="757"/>
        <w:tblW w:w="9126"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086"/>
        <w:gridCol w:w="2340"/>
        <w:gridCol w:w="2700"/>
      </w:tblGrid>
      <w:tr>
        <w:trPr>
          <w:cantSplit/>
          <w:trHeight w:val="747"/>
        </w:trPr>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ind w:firstLine="0"/>
              <w:jc w:val="center"/>
              <w:spacing w:line="240" w:lineRule="auto"/>
              <w:rPr>
                <w:rFonts w:hint="eastAsia" w:ascii="Calibri" w:hAnsi="Calibri" w:cs="Times New Roman"/>
                <w:color w:val="auto"/>
                <w:sz w:val="21"/>
                <w:szCs w:val="22"/>
                <w:highlight w:val="none"/>
              </w:rPr>
            </w:pPr>
            <w:r>
              <w:rPr>
                <w:rFonts w:hint="default" w:ascii="Calibri" w:hAnsi="Calibri" w:cs="Times New Roman"/>
                <w:color w:val="auto"/>
                <w:sz w:val="21"/>
                <w:szCs w:val="22"/>
                <w:highlight w:val="none"/>
              </w:rPr>
              <w:t xml:space="preserve">项目名称</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ind w:left="0" w:firstLine="0"/>
              <w:jc w:val="center"/>
              <w:rPr>
                <w:rFonts w:hint="eastAsia" w:ascii="Calibri" w:hAnsi="Calibri" w:cs="Times New Roman"/>
                <w:color w:val="auto"/>
                <w:sz w:val="21"/>
                <w:szCs w:val="22"/>
                <w:highlight w:val="none"/>
                <w:lang w:bidi="ar"/>
              </w:rPr>
            </w:pPr>
            <w:r>
              <w:rPr>
                <w:rFonts w:hint="eastAsia" w:ascii="Calibri" w:hAnsi="Calibri" w:cs="Times New Roman"/>
                <w:color w:val="auto"/>
                <w:sz w:val="21"/>
                <w:szCs w:val="22"/>
                <w:highlight w:val="none"/>
                <w:lang w:bidi="ar"/>
              </w:rPr>
              <w:t xml:space="preserve">每年支付的服务费</w:t>
            </w:r>
            <w:r/>
          </w:p>
          <w:p>
            <w:pPr>
              <w:ind w:left="0" w:firstLine="0"/>
              <w:jc w:val="center"/>
              <w:rPr>
                <w:rFonts w:hint="eastAsia" w:ascii="Calibri" w:hAnsi="Calibri" w:cs="Times New Roman"/>
                <w:color w:val="auto"/>
                <w:sz w:val="21"/>
                <w:szCs w:val="22"/>
                <w:highlight w:val="none"/>
              </w:rPr>
            </w:pPr>
            <w:r>
              <w:rPr>
                <w:rFonts w:hint="eastAsia" w:ascii="Calibri" w:hAnsi="Calibri" w:cs="Times New Roman"/>
                <w:color w:val="auto"/>
                <w:sz w:val="21"/>
                <w:szCs w:val="22"/>
                <w:highlight w:val="none"/>
                <w:lang w:bidi="ar"/>
              </w:rPr>
              <w:t xml:space="preserve">（万元/年）</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ind w:left="0" w:firstLine="0"/>
              <w:jc w:val="center"/>
              <w:rPr>
                <w:rFonts w:hint="eastAsia" w:ascii="Calibri" w:hAnsi="Calibri" w:cs="Times New Roman"/>
                <w:color w:val="auto"/>
                <w:sz w:val="21"/>
                <w:szCs w:val="22"/>
                <w:highlight w:val="none"/>
              </w:rPr>
            </w:pPr>
            <w:r>
              <w:rPr>
                <w:rFonts w:hint="eastAsia" w:cs="Times New Roman"/>
                <w:color w:val="auto"/>
                <w:sz w:val="21"/>
                <w:szCs w:val="22"/>
                <w:highlight w:val="none"/>
                <w:lang w:eastAsia="zh-CN" w:bidi="ar"/>
              </w:rPr>
              <w:t xml:space="preserve">10</w:t>
            </w:r>
            <w:r>
              <w:rPr>
                <w:rFonts w:hint="eastAsia" w:ascii="Calibri" w:hAnsi="Calibri" w:cs="Times New Roman"/>
                <w:color w:val="auto"/>
                <w:sz w:val="21"/>
                <w:szCs w:val="22"/>
                <w:highlight w:val="none"/>
                <w:lang w:bidi="ar"/>
              </w:rPr>
              <w:t xml:space="preserve">年总计支付的服务费（万元）</w:t>
            </w:r>
            <w:r/>
          </w:p>
        </w:tc>
      </w:tr>
      <w:tr>
        <w:trPr>
          <w:cantSplit/>
          <w:trHeight w:val="932"/>
        </w:trPr>
        <w:tc>
          <w:tcPr>
            <w:tcBorders>
              <w:top w:val="single" w:color="auto" w:sz="4" w:space="0"/>
              <w:left w:val="single" w:color="auto" w:sz="4" w:space="0"/>
              <w:bottom w:val="single" w:color="auto" w:sz="4" w:space="0"/>
              <w:right w:val="single" w:color="auto" w:sz="4" w:space="0"/>
            </w:tcBorders>
            <w:tcW w:w="4086"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保税区路灯改造能源管理服务项目</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二、合同金额</w:t>
      </w:r>
      <w:r/>
    </w:p>
    <w:p>
      <w:pPr>
        <w:ind w:firstLine="480"/>
        <w:spacing w:line="360" w:lineRule="auto"/>
        <w:rPr>
          <w:rFonts w:hint="eastAsia" w:ascii="宋体" w:hAnsi="宋体" w:cs="宋体"/>
          <w:b w:val="0"/>
          <w:bCs w:val="0"/>
          <w:color w:val="auto"/>
          <w:sz w:val="21"/>
          <w:szCs w:val="21"/>
          <w:highlight w:val="none"/>
        </w:rPr>
      </w:pPr>
      <w:r>
        <w:rPr>
          <w:rFonts w:hint="eastAsia" w:ascii="宋体" w:hAnsi="宋体" w:cs="宋体"/>
          <w:color w:val="auto"/>
          <w:sz w:val="21"/>
          <w:szCs w:val="21"/>
          <w:highlight w:val="none"/>
        </w:rPr>
        <w:t xml:space="preserve">2.1 本合同金额为（大写）：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元）人民币。</w:t>
      </w:r>
      <w:r/>
    </w:p>
    <w:p>
      <w:pPr>
        <w:ind w:firstLine="480"/>
        <w:jc w:val="lef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本项目总价为综合报价，应包括但不限于以下所有费用：人员费用（含工资、奖金、福利、培训、社会保险、住房公积金等，</w:t>
      </w:r>
      <w:r>
        <w:rPr>
          <w:rFonts w:hint="eastAsia" w:ascii="宋体" w:hAnsi="宋体" w:cs="宋体"/>
          <w:color w:val="auto"/>
          <w:sz w:val="21"/>
          <w:szCs w:val="21"/>
          <w:highlight w:val="none"/>
          <w:lang w:bidi="ar"/>
        </w:rPr>
        <w:t xml:space="preserve">需满足本合同约定的人员配置要求</w:t>
      </w:r>
      <w:r>
        <w:rPr>
          <w:rFonts w:hint="eastAsia" w:ascii="宋体" w:hAnsi="宋体" w:cs="宋体"/>
          <w:color w:val="auto"/>
          <w:sz w:val="21"/>
          <w:szCs w:val="21"/>
          <w:highlight w:val="none"/>
        </w:rPr>
        <w:t xml:space="preserve">）；道路路灯所有设施（</w:t>
      </w:r>
      <w:r>
        <w:rPr>
          <w:rFonts w:hint="eastAsia" w:ascii="宋体" w:hAnsi="宋体" w:cs="宋体"/>
          <w:color w:val="auto"/>
          <w:sz w:val="21"/>
          <w:szCs w:val="21"/>
          <w:highlight w:val="none"/>
          <w:lang w:bidi="ar"/>
        </w:rPr>
        <w:t xml:space="preserve">含灯杆、LED灯具、单灯控制器、集中控制器、路灯控制箱、花灯、电缆等</w:t>
      </w:r>
      <w:r>
        <w:rPr>
          <w:rFonts w:hint="eastAsia" w:ascii="宋体" w:hAnsi="宋体" w:cs="宋体"/>
          <w:color w:val="auto"/>
          <w:sz w:val="21"/>
          <w:szCs w:val="21"/>
          <w:highlight w:val="none"/>
        </w:rPr>
        <w:t xml:space="preserve">）的设计、采购、运输、安装、调试、检测、验收等费用；通信费、系统使用费、电费、耗材费、</w:t>
      </w:r>
      <w:r>
        <w:rPr>
          <w:rFonts w:hint="eastAsia" w:ascii="宋体" w:hAnsi="宋体" w:cs="宋体"/>
          <w:color w:val="auto"/>
          <w:sz w:val="21"/>
          <w:szCs w:val="21"/>
          <w:highlight w:val="none"/>
          <w:lang w:bidi="ar"/>
        </w:rPr>
        <w:t xml:space="preserve">备品备件费等运行费用</w:t>
      </w:r>
      <w:r>
        <w:rPr>
          <w:rFonts w:hint="eastAsia" w:ascii="宋体" w:hAnsi="宋体" w:cs="宋体"/>
          <w:color w:val="auto"/>
          <w:sz w:val="21"/>
          <w:szCs w:val="21"/>
          <w:highlight w:val="none"/>
        </w:rPr>
        <w:t xml:space="preserve">；后期维护、维修、设备更新等保障费用；管理费用、合理利润、各类税金，以及政策性文件规定、合同隐含的所有风险、责任、义务所涉及的费用。</w:t>
      </w:r>
      <w:r/>
    </w:p>
    <w:p>
      <w:pPr>
        <w:ind w:firstLine="482"/>
        <w:spacing w:line="360" w:lineRule="auto"/>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三、履约保证金</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合同签订前，乙方向采购人交纳人民币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元（大写：_______元整）作为本合同的履约保证金。履约保证金应当以支票、汇票、本票或者金融机构、担保机构出具的保函等非现金形式提交。</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甲方付清全部合同金额的同时返还履约保证金。逾期退还的，应当支付逾期利息，且逾期利息的利率不得低于合同订立时1年期贷款市场报价利率。</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乙方存在不履行本合同主要义务、履行义务不符合约定且拒不整改等违约情形的，履约保证金不予退还。</w:t>
      </w:r>
      <w:r/>
    </w:p>
    <w:p>
      <w:pPr>
        <w:ind w:firstLine="472"/>
        <w:jc w:val="left"/>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四、转包或分包</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本合同约定的全部服务内容，应由乙方自行组织实施并直接提供，未经甲方书面同意，乙方不得将本合同权利义务转让给任何第三方，不得将服务内容整体或部分转包给他人。</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4.2</w:t>
      </w:r>
      <w:r>
        <w:rPr>
          <w:rFonts w:hint="eastAsia" w:ascii="宋体" w:hAnsi="宋体" w:cs="宋体"/>
          <w:color w:val="auto"/>
          <w:sz w:val="21"/>
          <w:szCs w:val="21"/>
          <w:highlight w:val="none"/>
        </w:rPr>
        <w:t xml:space="preserve">乙方确需分包本合同部分非主体、非关键性工作的，必须在分包意向协议中载明拟分包内容及分包对象，并事先经甲方书面审核同意。乙方就分包项目向甲方承担连带责任。</w:t>
      </w:r>
      <w:r/>
    </w:p>
    <w:p>
      <w:pPr>
        <w:ind w:firstLine="48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3 </w:t>
      </w:r>
      <w:r>
        <w:rPr>
          <w:rFonts w:hint="eastAsia" w:ascii="宋体" w:hAnsi="宋体" w:cs="宋体"/>
          <w:color w:val="auto"/>
          <w:sz w:val="21"/>
          <w:szCs w:val="21"/>
          <w:highlight w:val="none"/>
        </w:rPr>
        <w:t xml:space="preserve">若乙方违反本条约定进行转包或分包，甲方有权立即终止本合同，没收履约保证金，并要求乙方承担由此造成的一切损失。</w:t>
      </w:r>
      <w:r/>
    </w:p>
    <w:p>
      <w:pPr>
        <w:ind w:firstLine="472"/>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五、服务期限：</w:t>
      </w:r>
      <w:r/>
    </w:p>
    <w:p>
      <w:pPr>
        <w:ind w:firstLine="420"/>
        <w:jc w:val="left"/>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rPr>
        <w:t xml:space="preserve">本合同服务期限为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bidi="ar"/>
        </w:rPr>
        <w:t xml:space="preserve">（含建设期）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bidi="ar"/>
        </w:rPr>
        <w:t xml:space="preserve">其中，建设期自合同生效之日起_____个月，且最迟不晚于202</w:t>
      </w:r>
      <w:r>
        <w:rPr>
          <w:rFonts w:hint="eastAsia" w:ascii="宋体" w:hAnsi="宋体" w:cs="宋体"/>
          <w:color w:val="auto"/>
          <w:sz w:val="21"/>
          <w:szCs w:val="21"/>
          <w:highlight w:val="none"/>
          <w:lang w:val="en-US" w:eastAsia="zh-CN" w:bidi="ar"/>
        </w:rPr>
        <w:t xml:space="preserve">7</w:t>
      </w:r>
      <w:r>
        <w:rPr>
          <w:rFonts w:hint="eastAsia" w:ascii="宋体" w:hAnsi="宋体" w:cs="宋体"/>
          <w:color w:val="auto"/>
          <w:sz w:val="21"/>
          <w:szCs w:val="21"/>
          <w:highlight w:val="none"/>
          <w:lang w:bidi="ar"/>
        </w:rPr>
        <w:t xml:space="preserve">年____月____日前完成项目改造并通过竣工验收，每延误1日乙方支付违约金0.5万元，从履约保证金中扣除；服务期自项目验收合格次日起计算，为期</w:t>
      </w:r>
      <w:r>
        <w:rPr>
          <w:rFonts w:hint="eastAsia" w:ascii="宋体" w:hAnsi="宋体" w:cs="宋体"/>
          <w:color w:val="auto"/>
          <w:sz w:val="21"/>
          <w:szCs w:val="21"/>
          <w:highlight w:val="none"/>
          <w:lang w:eastAsia="zh-CN" w:bidi="ar"/>
        </w:rPr>
        <w:t xml:space="preserve">10</w:t>
      </w:r>
      <w:r>
        <w:rPr>
          <w:rFonts w:hint="eastAsia" w:ascii="宋体" w:hAnsi="宋体" w:cs="宋体"/>
          <w:color w:val="auto"/>
          <w:sz w:val="21"/>
          <w:szCs w:val="21"/>
          <w:highlight w:val="none"/>
          <w:lang w:bidi="ar"/>
        </w:rPr>
        <w:t xml:space="preserve">年能源托管服务期，即自____年____月____日至____年____月____日止。</w:t>
      </w:r>
      <w:r/>
    </w:p>
    <w:p>
      <w:pPr>
        <w:ind w:firstLine="472"/>
        <w:jc w:val="left"/>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六、货款支付</w:t>
      </w:r>
      <w:r/>
    </w:p>
    <w:p>
      <w:pPr>
        <w:ind w:firstLine="48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6.1</w:t>
      </w:r>
      <w:r>
        <w:rPr>
          <w:rFonts w:hint="eastAsia" w:ascii="宋体" w:hAnsi="宋体" w:cs="宋体"/>
          <w:bCs/>
          <w:color w:val="auto"/>
          <w:sz w:val="21"/>
          <w:szCs w:val="21"/>
          <w:highlight w:val="none"/>
          <w:lang w:val="en-US" w:eastAsia="zh-CN"/>
        </w:rPr>
        <w:t xml:space="preserve"> </w:t>
      </w:r>
      <w:r>
        <w:rPr>
          <w:rFonts w:hint="eastAsia" w:ascii="宋体" w:hAnsi="宋体" w:cs="宋体"/>
          <w:color w:val="auto"/>
          <w:sz w:val="21"/>
          <w:szCs w:val="21"/>
          <w:highlight w:val="none"/>
        </w:rPr>
        <w:t xml:space="preserve">结付程序：</w:t>
      </w:r>
      <w:r>
        <w:rPr>
          <w:rFonts w:hint="eastAsia" w:ascii="宋体" w:hAnsi="宋体" w:cs="宋体"/>
          <w:bCs/>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855"/>
        <w:spacing w:after="181"/>
        <w:rPr>
          <w:rFonts w:hint="eastAsia" w:ascii="宋体" w:hAnsi="宋体" w:cs="宋体"/>
          <w:bCs/>
          <w:i w:val="0"/>
          <w:iCs w:val="0"/>
          <w:color w:val="auto"/>
          <w:sz w:val="21"/>
          <w:szCs w:val="21"/>
          <w:highlight w:val="none"/>
        </w:rPr>
      </w:pPr>
      <w:r>
        <w:rPr>
          <w:rFonts w:hint="eastAsia" w:ascii="宋体" w:hAnsi="宋体" w:cs="宋体"/>
          <w:color w:val="auto"/>
          <w:sz w:val="21"/>
          <w:szCs w:val="21"/>
          <w:highlight w:val="none"/>
        </w:rPr>
        <w:t xml:space="preserve">6.2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结付期限：</w:t>
      </w:r>
      <w:r>
        <w:rPr>
          <w:rFonts w:hint="eastAsia" w:cs="宋体"/>
          <w:i w:val="0"/>
          <w:iCs w:val="0"/>
          <w:color w:val="auto"/>
          <w:sz w:val="21"/>
          <w:szCs w:val="21"/>
          <w:highlight w:val="none"/>
          <w:u w:val="single"/>
        </w:rPr>
        <w:t xml:space="preserve">合同签订后，采购单位预付中标单位年</w:t>
      </w:r>
      <w:r>
        <w:rPr>
          <w:rFonts w:hint="eastAsia" w:cs="宋体"/>
          <w:i w:val="0"/>
          <w:iCs w:val="0"/>
          <w:color w:val="auto"/>
          <w:sz w:val="21"/>
          <w:szCs w:val="21"/>
          <w:highlight w:val="none"/>
          <w:u w:val="single"/>
          <w:lang w:val="en-US" w:eastAsia="zh-CN"/>
        </w:rPr>
        <w:t xml:space="preserve">合同价</w:t>
      </w:r>
      <w:r>
        <w:rPr>
          <w:rFonts w:hint="eastAsia" w:cs="宋体"/>
          <w:i w:val="0"/>
          <w:iCs w:val="0"/>
          <w:color w:val="auto"/>
          <w:sz w:val="21"/>
          <w:szCs w:val="21"/>
          <w:highlight w:val="none"/>
          <w:u w:val="single"/>
        </w:rPr>
        <w:t xml:space="preserve">的10%作为预付款</w:t>
      </w:r>
      <w:r>
        <w:rPr>
          <w:rFonts w:hint="eastAsia" w:cs="宋体"/>
          <w:i w:val="0"/>
          <w:iCs w:val="0"/>
          <w:color w:val="auto"/>
          <w:sz w:val="21"/>
          <w:szCs w:val="21"/>
          <w:highlight w:val="none"/>
          <w:u w:val="single"/>
          <w:lang w:eastAsia="zh-CN"/>
        </w:rPr>
        <w:t xml:space="preserve">（</w:t>
      </w:r>
      <w:r>
        <w:rPr>
          <w:rFonts w:hint="eastAsia" w:cs="宋体"/>
          <w:i w:val="0"/>
          <w:iCs w:val="0"/>
          <w:color w:val="auto"/>
          <w:sz w:val="21"/>
          <w:szCs w:val="21"/>
          <w:highlight w:val="none"/>
          <w:u w:val="single"/>
        </w:rPr>
        <w:t xml:space="preserve">在签订合同时，供应商明确表示无需预付款或者主动要求降低预付款比例的，采购单位可不适用前述</w:t>
      </w:r>
      <w:r>
        <w:rPr>
          <w:rFonts w:hint="eastAsia" w:cs="宋体"/>
          <w:i w:val="0"/>
          <w:iCs w:val="0"/>
          <w:color w:val="auto"/>
          <w:sz w:val="21"/>
          <w:szCs w:val="21"/>
          <w:highlight w:val="none"/>
          <w:u w:val="single"/>
          <w:lang w:val="en-US" w:eastAsia="zh-CN"/>
        </w:rPr>
        <w:t xml:space="preserve">预付款</w:t>
      </w:r>
      <w:r>
        <w:rPr>
          <w:rFonts w:hint="eastAsia" w:cs="宋体"/>
          <w:i w:val="0"/>
          <w:iCs w:val="0"/>
          <w:color w:val="auto"/>
          <w:sz w:val="21"/>
          <w:szCs w:val="21"/>
          <w:highlight w:val="none"/>
          <w:u w:val="single"/>
        </w:rPr>
        <w:t xml:space="preserve">规定</w:t>
      </w:r>
      <w:r>
        <w:rPr>
          <w:rFonts w:hint="eastAsia" w:cs="宋体"/>
          <w:i w:val="0"/>
          <w:iCs w:val="0"/>
          <w:color w:val="auto"/>
          <w:sz w:val="21"/>
          <w:szCs w:val="21"/>
          <w:highlight w:val="none"/>
          <w:u w:val="single"/>
          <w:lang w:val="en-US" w:eastAsia="zh-CN"/>
        </w:rPr>
        <w:t xml:space="preserve">）</w:t>
      </w:r>
      <w:r>
        <w:rPr>
          <w:rFonts w:hint="eastAsia" w:cs="宋体"/>
          <w:i w:val="0"/>
          <w:iCs w:val="0"/>
          <w:color w:val="auto"/>
          <w:sz w:val="21"/>
          <w:szCs w:val="21"/>
          <w:highlight w:val="none"/>
          <w:u w:val="single"/>
        </w:rPr>
        <w:t xml:space="preserve">，</w:t>
      </w:r>
      <w:r>
        <w:rPr>
          <w:rFonts w:hint="eastAsia" w:cs="宋体"/>
          <w:i w:val="0"/>
          <w:iCs w:val="0"/>
          <w:color w:val="auto"/>
          <w:sz w:val="21"/>
          <w:szCs w:val="21"/>
          <w:highlight w:val="none"/>
          <w:u w:val="single"/>
          <w:lang w:val="en-US" w:eastAsia="zh-CN"/>
        </w:rPr>
        <w:t xml:space="preserve">所有改造路灯全部</w:t>
      </w:r>
      <w:r>
        <w:rPr>
          <w:rFonts w:hint="eastAsia" w:cs="宋体"/>
          <w:i w:val="0"/>
          <w:iCs w:val="0"/>
          <w:color w:val="auto"/>
          <w:sz w:val="21"/>
          <w:szCs w:val="21"/>
          <w:highlight w:val="none"/>
          <w:u w:val="single"/>
        </w:rPr>
        <w:t xml:space="preserve">竣工验收合格之日起采购单位每三个月支付一次服务费用。实际电费由中标单位支付</w:t>
      </w:r>
      <w:r>
        <w:rPr>
          <w:rFonts w:hint="eastAsia" w:cs="宋体"/>
          <w:i w:val="0"/>
          <w:iCs w:val="0"/>
          <w:color w:val="auto"/>
          <w:sz w:val="21"/>
          <w:szCs w:val="21"/>
          <w:highlight w:val="none"/>
          <w:u w:val="single"/>
          <w:lang w:eastAsia="zh-CN"/>
        </w:rPr>
        <w:t xml:space="preserve">。</w:t>
      </w:r>
      <w:r>
        <w:rPr>
          <w:rFonts w:hint="eastAsia" w:cs="宋体"/>
          <w:i w:val="0"/>
          <w:iCs w:val="0"/>
          <w:color w:val="auto"/>
          <w:sz w:val="21"/>
          <w:szCs w:val="21"/>
          <w:highlight w:val="none"/>
          <w:u w:val="single"/>
        </w:rPr>
        <w:t xml:space="preserve">每三个月采购单位支付结算一次服务费用</w:t>
      </w:r>
      <w:r>
        <w:rPr>
          <w:rFonts w:hint="eastAsia" w:cs="宋体"/>
          <w:i w:val="0"/>
          <w:iCs w:val="0"/>
          <w:color w:val="auto"/>
          <w:sz w:val="21"/>
          <w:szCs w:val="21"/>
          <w:highlight w:val="none"/>
          <w:u w:val="single"/>
          <w:lang w:eastAsia="zh-CN"/>
        </w:rPr>
        <w:t xml:space="preserve">，</w:t>
      </w:r>
      <w:r>
        <w:rPr>
          <w:rFonts w:hint="eastAsia" w:cs="宋体"/>
          <w:i w:val="0"/>
          <w:iCs w:val="0"/>
          <w:color w:val="auto"/>
          <w:sz w:val="21"/>
          <w:szCs w:val="21"/>
          <w:highlight w:val="none"/>
          <w:u w:val="single"/>
          <w:lang w:val="en-US" w:eastAsia="zh-CN"/>
        </w:rPr>
        <w:t xml:space="preserve">每月按总中标价/10年/12月计算。</w:t>
      </w:r>
      <w:r>
        <w:rPr>
          <w:rFonts w:hint="eastAsia" w:cs="宋体"/>
          <w:i w:val="0"/>
          <w:iCs w:val="0"/>
          <w:color w:val="auto"/>
          <w:sz w:val="21"/>
          <w:szCs w:val="21"/>
          <w:highlight w:val="none"/>
          <w:u w:val="single"/>
        </w:rPr>
        <w:t xml:space="preserve">电费调差、考核扣款、代缴外接电</w:t>
      </w:r>
      <w:r>
        <w:rPr>
          <w:rFonts w:hint="eastAsia" w:cs="宋体"/>
          <w:i w:val="0"/>
          <w:iCs w:val="0"/>
          <w:color w:val="auto"/>
          <w:sz w:val="21"/>
          <w:szCs w:val="21"/>
          <w:highlight w:val="none"/>
          <w:u w:val="single"/>
          <w:lang w:val="en-US" w:eastAsia="zh-CN"/>
        </w:rPr>
        <w:t xml:space="preserve">在每年年终结算时计算</w:t>
      </w:r>
      <w:r>
        <w:rPr>
          <w:rFonts w:hint="eastAsia" w:cs="宋体"/>
          <w:i w:val="0"/>
          <w:iCs w:val="0"/>
          <w:color w:val="auto"/>
          <w:sz w:val="21"/>
          <w:szCs w:val="21"/>
          <w:highlight w:val="none"/>
          <w:u w:val="single"/>
        </w:rPr>
        <w:t xml:space="preserve">。</w:t>
      </w:r>
      <w:r/>
    </w:p>
    <w:p>
      <w:pPr>
        <w:ind w:firstLine="47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乙方收款账户信息：</w:t>
      </w:r>
      <w:r/>
    </w:p>
    <w:p>
      <w:pPr>
        <w:ind w:firstLine="47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账户名称：</w:t>
      </w:r>
      <w:r>
        <w:rPr>
          <w:rFonts w:hint="eastAsia" w:ascii="宋体" w:hAnsi="宋体" w:cs="宋体"/>
          <w:color w:val="auto"/>
          <w:sz w:val="21"/>
          <w:szCs w:val="21"/>
          <w:highlight w:val="none"/>
          <w:u w:val="single"/>
        </w:rPr>
        <w:t xml:space="preserve">                             </w:t>
      </w:r>
      <w:r/>
    </w:p>
    <w:p>
      <w:pPr>
        <w:ind w:firstLine="47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开户银行：</w:t>
      </w:r>
      <w:r>
        <w:rPr>
          <w:rFonts w:hint="eastAsia" w:ascii="宋体" w:hAnsi="宋体" w:cs="宋体"/>
          <w:color w:val="auto"/>
          <w:sz w:val="21"/>
          <w:szCs w:val="21"/>
          <w:highlight w:val="none"/>
          <w:u w:val="single"/>
        </w:rPr>
        <w:t xml:space="preserve">                              </w:t>
      </w:r>
      <w:r/>
    </w:p>
    <w:p>
      <w:pPr>
        <w:ind w:firstLine="47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银行账号：</w:t>
      </w:r>
      <w:r>
        <w:rPr>
          <w:rFonts w:hint="eastAsia" w:ascii="宋体" w:hAnsi="宋体" w:cs="宋体"/>
          <w:color w:val="auto"/>
          <w:sz w:val="21"/>
          <w:szCs w:val="21"/>
          <w:highlight w:val="none"/>
          <w:u w:val="single"/>
        </w:rPr>
        <w:t xml:space="preserve">                                 </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甲方合同款支付方式：</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（若乙方为中小企业，甲方不得强制其接受非现金支付方式）。</w:t>
      </w:r>
      <w:r/>
    </w:p>
    <w:p>
      <w:pPr>
        <w:ind w:firstLine="482"/>
        <w:spacing w:line="360" w:lineRule="auto"/>
        <w:tabs>
          <w:tab w:val="center" w:pos="5131"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七、税</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 本合同履行过程中所涉及的一切税费均由乙方负担。</w:t>
      </w:r>
      <w:r/>
    </w:p>
    <w:p>
      <w:pPr>
        <w:ind w:firstLine="48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八、</w:t>
      </w:r>
      <w:r>
        <w:rPr>
          <w:rFonts w:hint="eastAsia" w:ascii="宋体" w:hAnsi="宋体" w:cs="宋体"/>
          <w:b/>
          <w:color w:val="auto"/>
          <w:sz w:val="21"/>
          <w:szCs w:val="21"/>
          <w:highlight w:val="none"/>
        </w:rPr>
        <w:t xml:space="preserve">管理事项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乙方应严格按照本项目招标文件要求、乙方投标文件承诺及本合同约定，制定详细的服务实施方案、人员管理规范、安全作业制度、应急处置流程等</w:t>
      </w:r>
      <w:r>
        <w:rPr>
          <w:rFonts w:hint="eastAsia" w:ascii="宋体" w:hAnsi="宋体" w:cs="宋体"/>
          <w:color w:val="auto"/>
          <w:sz w:val="21"/>
          <w:szCs w:val="21"/>
          <w:highlight w:val="none"/>
          <w:lang w:val="en-US" w:eastAsia="zh-CN"/>
        </w:rPr>
        <w:t xml:space="preserve">相关规范、制度</w:t>
      </w:r>
      <w:r>
        <w:rPr>
          <w:rFonts w:hint="eastAsia" w:ascii="宋体" w:hAnsi="宋体" w:cs="宋体"/>
          <w:color w:val="auto"/>
          <w:sz w:val="21"/>
          <w:szCs w:val="21"/>
          <w:highlight w:val="none"/>
        </w:rPr>
        <w:t xml:space="preserve">。</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甲方有权根据张家港市城市管理相关规定及项目实际需求，对乙方的服务实施过程进行全过程监督管理，乙方应积极配合，接受甲方的检查、考核及合理指令。</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8.3</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改造路灯拆下来的旧材料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按合同能源管理的要求，由乙方规范处理。材料</w:t>
      </w:r>
      <w:r>
        <w:rPr>
          <w:rFonts w:hint="eastAsia" w:ascii="宋体" w:hAnsi="宋体" w:cs="宋体"/>
          <w:color w:val="auto"/>
          <w:sz w:val="21"/>
          <w:szCs w:val="21"/>
          <w:highlight w:val="none"/>
        </w:rPr>
        <w:t xml:space="preserve">归乙方，</w:t>
      </w:r>
      <w:r>
        <w:rPr>
          <w:rFonts w:hint="eastAsia" w:ascii="宋体" w:hAnsi="宋体" w:cs="宋体"/>
          <w:color w:val="auto"/>
          <w:sz w:val="21"/>
          <w:szCs w:val="21"/>
          <w:highlight w:val="none"/>
          <w:lang w:val="en-US" w:eastAsia="zh-CN"/>
        </w:rPr>
        <w:t xml:space="preserve">其残值和无害化处理的费用包含在合同价内。</w:t>
      </w:r>
      <w:r/>
    </w:p>
    <w:p>
      <w:pPr>
        <w:ind w:firstLine="48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九、双方权利义务</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9.1 甲方的权利和义务</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（1）负责审定乙方拟定的路灯安装、维护、维修等管理制度及服务方案，提出修改意见并监督实施。</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（2）有权对乙方的服务实施过程、制度执行情况进行定期或不定期检查、监督，并依据双方确认的考核细则进行月度、年度考核，考核结果作为服务费支付的重要依据。</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（3）负责审定乙方提交的路灯维修维护管理服务年度计划、资金使用计划及重大设备更新方案。</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（4）负责审核乙方提供的设备材料质量合格证、检测报告、验收报告等相关文件资料，对不符合合同约定的有权要求乙方整改。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（5）若乙方存在严重违约行为（如服务质量严重不达标、擅自转包、拒不履行整改义务等），甲方有权单方解除合同，没收履约保证金，并要求乙方赔偿损失。</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（6）有权在服务期内根据张家港市城市发展、政策调整及项目实际需求，提出考核细则修改意见，经与乙方协商一致后，以补充协议形式确定，新的考核细则自双方签字盖章之日起生效。</w:t>
      </w:r>
      <w:r/>
    </w:p>
    <w:p>
      <w:pPr>
        <w:ind w:firstLine="48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运维期内</w:t>
      </w:r>
      <w:r>
        <w:rPr>
          <w:rFonts w:hint="eastAsia" w:ascii="宋体" w:hAnsi="宋体" w:cs="宋体"/>
          <w:color w:val="auto"/>
          <w:sz w:val="21"/>
          <w:szCs w:val="21"/>
          <w:highlight w:val="none"/>
        </w:rPr>
        <w:t xml:space="preserve">负责委托国家</w:t>
      </w:r>
      <w:r>
        <w:rPr>
          <w:rFonts w:hint="eastAsia" w:ascii="宋体" w:hAnsi="宋体" w:cs="宋体"/>
          <w:color w:val="auto"/>
          <w:sz w:val="21"/>
          <w:szCs w:val="21"/>
          <w:highlight w:val="none"/>
          <w:lang w:val="en-US" w:eastAsia="zh-CN"/>
        </w:rPr>
        <w:t xml:space="preserve">级</w:t>
      </w:r>
      <w:r>
        <w:rPr>
          <w:rFonts w:hint="eastAsia" w:ascii="宋体" w:hAnsi="宋体" w:cs="宋体"/>
          <w:color w:val="auto"/>
          <w:sz w:val="21"/>
          <w:szCs w:val="21"/>
          <w:highlight w:val="none"/>
        </w:rPr>
        <w:t xml:space="preserve">电光源质量检验检测中心对各路段路灯照度参数进行定期或不定期复检抽查，</w:t>
      </w:r>
      <w:r>
        <w:rPr>
          <w:rFonts w:hint="eastAsia" w:ascii="宋体" w:hAnsi="宋体" w:cs="宋体"/>
          <w:color w:val="auto"/>
          <w:sz w:val="21"/>
          <w:szCs w:val="21"/>
          <w:highlight w:val="none"/>
          <w:lang w:bidi="ar"/>
        </w:rPr>
        <w:t xml:space="preserve">检测费用由</w:t>
      </w:r>
      <w:r>
        <w:rPr>
          <w:rFonts w:hint="eastAsia" w:ascii="宋体" w:hAnsi="宋体" w:cs="宋体"/>
          <w:color w:val="auto"/>
          <w:sz w:val="21"/>
          <w:szCs w:val="21"/>
          <w:highlight w:val="none"/>
          <w:lang w:val="en-US" w:eastAsia="zh-CN" w:bidi="ar"/>
        </w:rPr>
        <w:t xml:space="preserve">甲</w:t>
      </w:r>
      <w:r>
        <w:rPr>
          <w:rFonts w:hint="eastAsia" w:ascii="宋体" w:hAnsi="宋体" w:cs="宋体"/>
          <w:color w:val="auto"/>
          <w:sz w:val="21"/>
          <w:szCs w:val="21"/>
          <w:highlight w:val="none"/>
          <w:lang w:bidi="ar"/>
        </w:rPr>
        <w:t xml:space="preserve">方承担</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rPr>
        <w:t xml:space="preserve">若检测不合格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多次复检费用均由乙方支付。</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（8）按照本合同约定及时审核乙方提交的结算资料，并按时支付服务费。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（9）向乙方提供开展服务所需的基础资料（如路灯设施原有图纸、路段分布信息等），并协调相关部门为乙方开展工作提供必要便利；负责协调第三方系统对接事宜，确保第三方系统接口免费开放。</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9.2 乙方的权利和义务</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严格遵守国家法律法规、行业标准及张家港市地方相关规定，依据本合同约定及项目技术要求，制定完善的路灯安装及维修维护管理制度、安全作业规范，并严格执行。所供LED灯具、控制器、电源等设备需符合本合同约定的技术参数及相关国家标准，其中LED灯具需具备CQC认证证书，且所有设备需接入张家港</w:t>
      </w:r>
      <w:r>
        <w:rPr>
          <w:rFonts w:hint="eastAsia" w:ascii="宋体" w:hAnsi="宋体" w:cs="宋体"/>
          <w:color w:val="auto"/>
          <w:sz w:val="21"/>
          <w:szCs w:val="21"/>
          <w:highlight w:val="none"/>
          <w:lang w:val="en-US" w:eastAsia="zh-CN"/>
        </w:rPr>
        <w:t xml:space="preserve">保税区</w:t>
      </w:r>
      <w:r>
        <w:rPr>
          <w:rFonts w:hint="eastAsia" w:ascii="宋体" w:hAnsi="宋体" w:cs="宋体"/>
          <w:color w:val="auto"/>
          <w:sz w:val="21"/>
          <w:szCs w:val="21"/>
          <w:highlight w:val="none"/>
        </w:rPr>
        <w:t xml:space="preserve">智慧照明管理平台，满足平台对接及信创安全要求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相关数据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至少包括灯具运行参数及控制器的运行参数）通过保税区智慧路灯管理平台传送到张家港市</w:t>
      </w:r>
      <w:r>
        <w:rPr>
          <w:rFonts w:hint="eastAsia" w:ascii="宋体" w:hAnsi="宋体" w:cs="宋体"/>
          <w:color w:val="auto"/>
          <w:sz w:val="21"/>
          <w:szCs w:val="21"/>
          <w:highlight w:val="none"/>
          <w:lang w:val="en-US" w:eastAsia="zh-CN"/>
        </w:rPr>
        <w:t xml:space="preserve">平台。</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（2）按照合同约定及考核细则要求，全面履行路灯的维修维护管理服务职责，确保路灯设施完好率、亮灯率达到招标文件及投标文件</w:t>
      </w:r>
      <w:r>
        <w:rPr>
          <w:rFonts w:hint="eastAsia" w:ascii="宋体" w:hAnsi="宋体" w:cs="宋体"/>
          <w:color w:val="auto"/>
          <w:sz w:val="21"/>
          <w:szCs w:val="21"/>
          <w:highlight w:val="none"/>
          <w:lang w:val="en-US" w:eastAsia="zh-CN"/>
        </w:rPr>
        <w:t xml:space="preserve">要求</w:t>
      </w:r>
      <w:r>
        <w:rPr>
          <w:rFonts w:hint="eastAsia" w:ascii="宋体" w:hAnsi="宋体" w:cs="宋体"/>
          <w:color w:val="auto"/>
          <w:sz w:val="21"/>
          <w:szCs w:val="21"/>
          <w:highlight w:val="none"/>
        </w:rPr>
        <w:t xml:space="preserve">标准。</w:t>
      </w:r>
      <w:r>
        <w:rPr>
          <w:rFonts w:hint="eastAsia" w:ascii="宋体" w:hAnsi="宋体" w:cs="宋体"/>
          <w:color w:val="auto"/>
          <w:sz w:val="21"/>
          <w:szCs w:val="21"/>
          <w:highlight w:val="none"/>
          <w:lang w:val="en-US" w:eastAsia="zh-CN"/>
        </w:rPr>
        <w:t xml:space="preserve">维护期内</w:t>
      </w:r>
      <w:r>
        <w:rPr>
          <w:rFonts w:hint="eastAsia" w:ascii="宋体" w:hAnsi="宋体" w:cs="宋体"/>
          <w:color w:val="auto"/>
          <w:sz w:val="21"/>
          <w:szCs w:val="21"/>
          <w:highlight w:val="none"/>
        </w:rPr>
        <w:t xml:space="preserve">甲方抽查灯具的国家</w:t>
      </w:r>
      <w:r>
        <w:rPr>
          <w:rFonts w:hint="eastAsia" w:ascii="宋体" w:hAnsi="宋体" w:cs="宋体"/>
          <w:color w:val="auto"/>
          <w:sz w:val="21"/>
          <w:szCs w:val="21"/>
          <w:highlight w:val="none"/>
          <w:lang w:val="en-US" w:eastAsia="zh-CN"/>
        </w:rPr>
        <w:t xml:space="preserve">级</w:t>
      </w:r>
      <w:r>
        <w:rPr>
          <w:rFonts w:hint="eastAsia" w:ascii="宋体" w:hAnsi="宋体" w:cs="宋体"/>
          <w:color w:val="auto"/>
          <w:sz w:val="21"/>
          <w:szCs w:val="21"/>
          <w:highlight w:val="none"/>
        </w:rPr>
        <w:t xml:space="preserve">电光源质量检验检测中心检测</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费用</w:t>
      </w:r>
      <w:r>
        <w:rPr>
          <w:rFonts w:hint="eastAsia" w:ascii="宋体" w:hAnsi="宋体" w:cs="宋体"/>
          <w:color w:val="auto"/>
          <w:sz w:val="21"/>
          <w:szCs w:val="21"/>
          <w:highlight w:val="none"/>
          <w:lang w:val="en-US" w:eastAsia="zh-CN"/>
        </w:rPr>
        <w:t xml:space="preserve">由甲方支付</w:t>
      </w:r>
      <w:r>
        <w:rPr>
          <w:rFonts w:hint="eastAsia" w:ascii="宋体" w:hAnsi="宋体" w:cs="宋体"/>
          <w:color w:val="auto"/>
          <w:sz w:val="21"/>
          <w:szCs w:val="21"/>
          <w:highlight w:val="none"/>
        </w:rPr>
        <w:t xml:space="preserve">，若检测不合格，乙方应在甲方规定期限内免费更换为合格灯具，</w:t>
      </w:r>
      <w:r>
        <w:rPr>
          <w:rFonts w:hint="eastAsia" w:ascii="宋体" w:hAnsi="宋体" w:cs="宋体"/>
          <w:color w:val="auto"/>
          <w:sz w:val="21"/>
          <w:szCs w:val="21"/>
          <w:highlight w:val="none"/>
          <w:lang w:val="en-US" w:eastAsia="zh-CN"/>
        </w:rPr>
        <w:t xml:space="preserve">不合格复检的多次检测</w:t>
      </w:r>
      <w:r>
        <w:rPr>
          <w:rFonts w:hint="eastAsia" w:ascii="宋体" w:hAnsi="宋体" w:cs="宋体"/>
          <w:color w:val="auto"/>
          <w:sz w:val="21"/>
          <w:szCs w:val="21"/>
          <w:highlight w:val="none"/>
        </w:rPr>
        <w:t xml:space="preserve">费用均包含在合同总价内，</w:t>
      </w:r>
      <w:r>
        <w:rPr>
          <w:rFonts w:hint="eastAsia" w:ascii="宋体" w:hAnsi="宋体" w:cs="宋体"/>
          <w:color w:val="auto"/>
          <w:sz w:val="21"/>
          <w:szCs w:val="21"/>
          <w:highlight w:val="none"/>
          <w:lang w:val="en-US" w:eastAsia="zh-CN"/>
        </w:rPr>
        <w:t xml:space="preserve">由乙方支付</w:t>
      </w:r>
      <w:r>
        <w:rPr>
          <w:rFonts w:hint="eastAsia" w:ascii="宋体" w:hAnsi="宋体" w:cs="宋体"/>
          <w:color w:val="auto"/>
          <w:sz w:val="21"/>
          <w:szCs w:val="21"/>
          <w:highlight w:val="none"/>
        </w:rPr>
        <w:t xml:space="preserve">。</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（3）负责编制路灯维修维护年度管理计划、季度</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月度工作</w:t>
      </w:r>
      <w:r>
        <w:rPr>
          <w:rFonts w:hint="eastAsia" w:ascii="宋体" w:hAnsi="宋体" w:cs="宋体"/>
          <w:color w:val="auto"/>
          <w:sz w:val="21"/>
          <w:szCs w:val="21"/>
          <w:highlight w:val="none"/>
          <w:lang w:val="en-US" w:eastAsia="zh-CN"/>
        </w:rPr>
        <w:t xml:space="preserve">安排</w:t>
      </w:r>
      <w:r>
        <w:rPr>
          <w:rFonts w:hint="eastAsia" w:ascii="宋体" w:hAnsi="宋体" w:cs="宋体"/>
          <w:color w:val="auto"/>
          <w:sz w:val="21"/>
          <w:szCs w:val="21"/>
          <w:highlight w:val="none"/>
        </w:rPr>
        <w:t xml:space="preserve">，经甲方审定后组织实施，并定期向甲方汇报计划执行情况。</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严格执行安全生产相关规定，负责做好服务过程中的劳动安全防护工作，为作业人员配备合格的安全防护用品，制定安全事故应急预案。服务过程中发生的人身伤亡、财产损失等安全事故，其责任及费用均由乙方承担。</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路灯设施</w:t>
      </w:r>
      <w:r>
        <w:rPr>
          <w:rFonts w:hint="eastAsia" w:ascii="宋体" w:hAnsi="宋体" w:cs="宋体"/>
          <w:color w:val="auto"/>
          <w:sz w:val="21"/>
          <w:szCs w:val="21"/>
          <w:highlight w:val="none"/>
          <w:lang w:val="en-US" w:eastAsia="zh-CN"/>
        </w:rPr>
        <w:t xml:space="preserve">改造、</w:t>
      </w:r>
      <w:r>
        <w:rPr>
          <w:rFonts w:hint="eastAsia" w:ascii="宋体" w:hAnsi="宋体" w:eastAsia="宋体" w:cs="宋体"/>
          <w:color w:val="auto"/>
          <w:sz w:val="21"/>
          <w:szCs w:val="21"/>
          <w:highlight w:val="none"/>
        </w:rPr>
        <w:t xml:space="preserve">日常运维、检修、安全巡查工作由乙方负责。</w:t>
      </w:r>
      <w:r>
        <w:rPr>
          <w:rStyle w:val="785"/>
          <w:rFonts w:hint="eastAsia" w:ascii="宋体" w:hAnsi="宋体" w:eastAsia="宋体" w:cs="宋体"/>
          <w:b w:val="0"/>
          <w:bCs/>
          <w:color w:val="auto"/>
          <w:sz w:val="21"/>
          <w:szCs w:val="21"/>
          <w:highlight w:val="none"/>
        </w:rPr>
        <w:t xml:space="preserve">因乙方</w:t>
      </w:r>
      <w:r>
        <w:rPr>
          <w:rStyle w:val="785"/>
          <w:rFonts w:hint="eastAsia" w:ascii="宋体" w:hAnsi="宋体" w:cs="宋体"/>
          <w:b w:val="0"/>
          <w:bCs/>
          <w:color w:val="auto"/>
          <w:sz w:val="21"/>
          <w:szCs w:val="21"/>
          <w:highlight w:val="none"/>
          <w:lang w:val="en-US" w:eastAsia="zh-CN"/>
        </w:rPr>
        <w:t xml:space="preserve">施工质量问题或</w:t>
      </w:r>
      <w:r>
        <w:rPr>
          <w:rStyle w:val="785"/>
          <w:rFonts w:hint="eastAsia" w:ascii="宋体" w:hAnsi="宋体" w:eastAsia="宋体" w:cs="宋体"/>
          <w:b w:val="0"/>
          <w:bCs/>
          <w:color w:val="auto"/>
          <w:sz w:val="21"/>
          <w:szCs w:val="21"/>
          <w:highlight w:val="none"/>
        </w:rPr>
        <w:t xml:space="preserve">未尽维护检修义务、操作不当、管理疏漏等乙方过错</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导致路灯设施故障引发第三方人身、财产损害的，全部赔偿责任及相关费用由乙方承担； 如事故系甲方提供设备先天质量缺陷、甲方指令违规、第三方故意破坏、不可抗力等非乙方原因造成，由对应过错方承担责任；双方均存在过错的，按各自过错比例分担损失。</w:t>
      </w:r>
      <w:r>
        <w:rPr>
          <w:rFonts w:hint="eastAsia" w:ascii="宋体" w:hAnsi="宋体" w:cs="宋体"/>
          <w:color w:val="auto"/>
          <w:sz w:val="21"/>
          <w:szCs w:val="21"/>
          <w:highlight w:val="none"/>
          <w:lang w:val="en-US" w:eastAsia="zh-CN"/>
        </w:rPr>
        <w:t xml:space="preserve"> </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乙方须自行投保足额公众责任险（覆盖第三方人身、财产损害赔偿）、雇主责任险 / 建筑工程团体意外伤害保险（覆盖全部在岗员工工作意外、工伤风险），全部保险费用由乙方承担；保险有效期须覆盖本项目全部服务周期，出险后所有赔偿、诉讼费用由乙方自行承担。</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7</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不得在路灯设施管理范围内擅自搭建临时性建筑、堆放杂物或从事其他影响设施安全及城市市容的活动，确因工作需要临时占用场地的，需提前报甲方及相关主管部门审批。</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8</w:t>
      </w:r>
      <w:r>
        <w:rPr>
          <w:rFonts w:hint="eastAsia" w:ascii="宋体" w:hAnsi="宋体" w:cs="宋体"/>
          <w:color w:val="auto"/>
          <w:sz w:val="21"/>
          <w:szCs w:val="21"/>
          <w:highlight w:val="none"/>
        </w:rPr>
        <w:t xml:space="preserve">）如遇张家港市重大活动、参观接待、应急抢险等任务，乙方应在甲方通知后1小时内组织人员到位，全力配合完成各项突击任务，确保路灯设施正常运行及周边环境整洁。</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必须规范用工管理，按约定配置足额合格人员并保持稳定，与所有服务人员签订合法的劳动合同，按时足额支付工资，依法缴纳社会保险及住房公积金，保障员工合法权益。如因用工问题引发劳动争议、纠纷或行政处罚，由乙方自行承担全部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本合同终止或解除后，乙方须在30个工作日内，向甲方或政府相关部门完整移交全部资产（含新增及更新的路灯设施）、档案资料（含设计图纸、维修记录、检测报告等），确保移交资料的完整性、准确性；移交时需满足亮灯率100%、设备完好率99%，相关光照参数符合标准要求。</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本合同生效后15日内</w:t>
      </w:r>
      <w:r>
        <w:rPr>
          <w:rFonts w:hint="eastAsia" w:ascii="宋体" w:hAnsi="宋体" w:cs="宋体"/>
          <w:color w:val="auto"/>
          <w:sz w:val="21"/>
          <w:szCs w:val="21"/>
          <w:highlight w:val="none"/>
        </w:rPr>
        <w:t xml:space="preserve">，乙方</w:t>
      </w:r>
      <w:r>
        <w:rPr>
          <w:rFonts w:hint="eastAsia" w:ascii="宋体" w:hAnsi="宋体" w:cs="宋体"/>
          <w:color w:val="auto"/>
          <w:sz w:val="21"/>
          <w:szCs w:val="21"/>
          <w:highlight w:val="none"/>
          <w:lang w:val="en-US" w:eastAsia="zh-CN"/>
        </w:rPr>
        <w:t xml:space="preserve">必须</w:t>
      </w:r>
      <w:r>
        <w:rPr>
          <w:rFonts w:hint="eastAsia" w:ascii="宋体" w:hAnsi="宋体" w:cs="宋体"/>
          <w:color w:val="auto"/>
          <w:sz w:val="21"/>
          <w:szCs w:val="21"/>
          <w:highlight w:val="none"/>
        </w:rPr>
        <w:t xml:space="preserve">落实应急驻场条件，配备相应的抢修车辆停放场地、备品备件存放场所及值班值守人员，确保在接到故障报修后 30分钟内 抵达现场实施抢修</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并将相关材料证明报采购人备案。乙方在合同履约期限内若无法持续满足上述应急响应时效要求的，视为违约，采购人有权依据合同违约条款追究中标人责任。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承担本项目全部改造施工费用，负责更换下的</w:t>
      </w:r>
      <w:r>
        <w:rPr>
          <w:rStyle w:val="992"/>
          <w:rFonts w:hint="eastAsia" w:ascii="宋体" w:hAnsi="宋体" w:cs="宋体"/>
          <w:iCs/>
          <w:color w:val="auto"/>
          <w:sz w:val="21"/>
          <w:szCs w:val="21"/>
          <w:highlight w:val="none"/>
        </w:rPr>
        <w:t xml:space="preserve">原有路灯灯头无害化处理</w:t>
      </w:r>
      <w:r>
        <w:rPr>
          <w:rFonts w:hint="eastAsia" w:ascii="宋体" w:hAnsi="宋体" w:cs="宋体"/>
          <w:color w:val="auto"/>
          <w:sz w:val="21"/>
          <w:szCs w:val="21"/>
          <w:highlight w:val="none"/>
        </w:rPr>
        <w:t xml:space="preserve">；配合甲方在竣工前完成现有电表过户</w:t>
      </w:r>
      <w:r>
        <w:rPr>
          <w:rFonts w:hint="eastAsia" w:ascii="宋体" w:hAnsi="宋体" w:cs="宋体"/>
          <w:color w:val="auto"/>
          <w:sz w:val="21"/>
          <w:szCs w:val="21"/>
          <w:highlight w:val="none"/>
          <w:lang w:val="en-US" w:eastAsia="zh-CN"/>
        </w:rPr>
        <w:t xml:space="preserve">或电费缴纳手续办理</w:t>
      </w:r>
      <w:r>
        <w:rPr>
          <w:rFonts w:hint="eastAsia" w:ascii="宋体" w:hAnsi="宋体" w:cs="宋体"/>
          <w:color w:val="auto"/>
          <w:sz w:val="21"/>
          <w:szCs w:val="21"/>
          <w:highlight w:val="none"/>
        </w:rPr>
        <w:t xml:space="preserve">，承担招标范围内路灯电费缴纳义务，若因未按时缴纳电费导致路灯不亮，引发的交通事故索赔、行政处罚等一切责任及费用由乙方全额承担。</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）安装施工中如果涉及国家规范规定需有资质的单位施工的</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，必须由有资质单位实施。</w:t>
      </w:r>
      <w:r/>
    </w:p>
    <w:p>
      <w:pPr>
        <w:ind w:firstLine="48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14）合同期内，乙方应定期巡查整个项目的建设和运行情况，发现有影响照明质量的问题，应主动整改。如甲方巡查发现问题，要求整改的，乙方在接到整改通知书后，应按整改通知书规定的时间和要求整改完成。如在规定时间内未按要求完成整改或整改后仍不合格的，甲方有权委托第三方进行整改（乙方仍对第三方整改的质量及内容负责），乙方须无条件配合提供备品备件，整改的费用按市场价审计后由乙方承担，同时乙方须按审计后整改费用的50%向甲方支付违约金，整改费用及违约金由甲方在当期能源费结算时扣除。</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）路灯改造要按市政工程施工规范实施。</w:t>
      </w:r>
      <w:r/>
    </w:p>
    <w:p>
      <w:pPr>
        <w:ind w:firstLine="48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十、服务质量</w:t>
      </w:r>
      <w:r/>
    </w:p>
    <w:p>
      <w:pPr>
        <w:ind w:firstLine="482"/>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10.1 甲方有权委托第三方管理单位对乙方建设期内的施工过程进行监督管理，乙方须无条件接受第三方的监督管理。</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2 </w:t>
      </w:r>
      <w:r>
        <w:rPr>
          <w:rFonts w:hint="eastAsia" w:ascii="宋体" w:hAnsi="宋体" w:cs="宋体"/>
          <w:color w:val="auto"/>
          <w:sz w:val="21"/>
          <w:szCs w:val="21"/>
          <w:highlight w:val="none"/>
        </w:rPr>
        <w:t xml:space="preserve">乙方提供的能源管理服务及路灯设施运行质量，应达到乙方投标文件所承诺的目标及本项目技术要求，具体标准包括但不限于：路灯设施完好率不低于99%，亮灯率不低于99%，应急故障修复及时率100%；LED灯具光衰、道路照度</w:t>
      </w:r>
      <w:r>
        <w:rPr>
          <w:rFonts w:hint="eastAsia" w:ascii="宋体" w:hAnsi="宋体" w:cs="宋体"/>
          <w:color w:val="auto"/>
          <w:sz w:val="21"/>
          <w:szCs w:val="21"/>
          <w:highlight w:val="none"/>
          <w:u w:val="single"/>
          <w:lang w:val="en-US" w:eastAsia="zh-CN"/>
        </w:rPr>
        <w:t xml:space="preserve">等</w:t>
      </w:r>
      <w:r>
        <w:rPr>
          <w:rFonts w:hint="eastAsia" w:ascii="宋体" w:hAnsi="宋体" w:cs="宋体"/>
          <w:color w:val="auto"/>
          <w:sz w:val="21"/>
          <w:szCs w:val="21"/>
          <w:highlight w:val="none"/>
        </w:rPr>
        <w:t xml:space="preserve">需持续满足招标文件、投标承诺及国家/省规范；服务期内若政策有相应调整，按最新政策执行。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项目建设期结束后，竣工验收以国家</w:t>
      </w:r>
      <w:r>
        <w:rPr>
          <w:rFonts w:hint="eastAsia" w:ascii="宋体" w:hAnsi="宋体" w:cs="宋体"/>
          <w:color w:val="auto"/>
          <w:sz w:val="21"/>
          <w:szCs w:val="21"/>
          <w:highlight w:val="none"/>
          <w:lang w:val="en-US" w:eastAsia="zh-CN"/>
        </w:rPr>
        <w:t xml:space="preserve">级</w:t>
      </w:r>
      <w:r>
        <w:rPr>
          <w:rFonts w:hint="eastAsia" w:ascii="宋体" w:hAnsi="宋体" w:cs="宋体"/>
          <w:color w:val="auto"/>
          <w:sz w:val="21"/>
          <w:szCs w:val="21"/>
          <w:highlight w:val="none"/>
        </w:rPr>
        <w:t xml:space="preserve">电光源质量检验检测中心现场实测后出具的《道路照明检测报告》合格为准；服务运维期内，服</w:t>
      </w:r>
      <w:r>
        <w:rPr>
          <w:rFonts w:hint="eastAsia" w:ascii="宋体" w:hAnsi="宋体" w:cs="宋体"/>
          <w:color w:val="auto"/>
          <w:sz w:val="21"/>
          <w:szCs w:val="21"/>
          <w:highlight w:val="none"/>
          <w:u w:val="none"/>
        </w:rPr>
        <w:t xml:space="preserve">务质量以</w:t>
      </w:r>
      <w:r>
        <w:rPr>
          <w:rFonts w:hint="eastAsia" w:ascii="宋体" w:hAnsi="宋体" w:cs="宋体"/>
          <w:color w:val="auto"/>
          <w:sz w:val="21"/>
          <w:szCs w:val="21"/>
          <w:highlight w:val="none"/>
          <w:u w:val="none"/>
          <w:lang w:val="en-US" w:eastAsia="zh-CN"/>
        </w:rPr>
        <w:t xml:space="preserve">甲方委托的</w:t>
      </w:r>
      <w:r>
        <w:rPr>
          <w:rFonts w:hint="eastAsia" w:ascii="宋体" w:hAnsi="宋体" w:cs="宋体"/>
          <w:color w:val="auto"/>
          <w:sz w:val="21"/>
          <w:szCs w:val="21"/>
          <w:highlight w:val="none"/>
          <w:u w:val="none"/>
        </w:rPr>
        <w:t xml:space="preserve">第三方检测机构定期或不定期抽查检测合格的报告及甲方月度、年度考核结果为准，</w:t>
      </w:r>
      <w:r>
        <w:rPr>
          <w:rFonts w:hint="eastAsia" w:ascii="宋体" w:hAnsi="宋体" w:cs="宋体"/>
          <w:color w:val="auto"/>
          <w:sz w:val="21"/>
          <w:szCs w:val="21"/>
          <w:highlight w:val="none"/>
          <w:u w:val="none"/>
          <w:lang w:val="en-US" w:eastAsia="zh-CN"/>
        </w:rPr>
        <w:t xml:space="preserve">竣工验收及施工阶段的</w:t>
      </w:r>
      <w:r>
        <w:rPr>
          <w:rFonts w:hint="eastAsia" w:ascii="宋体" w:hAnsi="宋体" w:cs="宋体"/>
          <w:color w:val="auto"/>
          <w:sz w:val="21"/>
          <w:szCs w:val="21"/>
          <w:highlight w:val="none"/>
          <w:u w:val="none"/>
        </w:rPr>
        <w:t xml:space="preserve">检测</w:t>
      </w:r>
      <w:r>
        <w:rPr>
          <w:rFonts w:hint="eastAsia" w:ascii="宋体" w:hAnsi="宋体" w:cs="宋体"/>
          <w:color w:val="auto"/>
          <w:sz w:val="21"/>
          <w:szCs w:val="21"/>
          <w:highlight w:val="none"/>
        </w:rPr>
        <w:t xml:space="preserve">费用由乙方承担</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服务运维期内的抽检的检测费由甲方承担，不合格造成重复检测的检测费由乙方承担</w:t>
      </w:r>
      <w:r>
        <w:rPr>
          <w:rFonts w:hint="eastAsia" w:ascii="宋体" w:hAnsi="宋体" w:cs="宋体"/>
          <w:color w:val="auto"/>
          <w:sz w:val="21"/>
          <w:szCs w:val="21"/>
          <w:highlight w:val="none"/>
        </w:rPr>
        <w:t xml:space="preserve">。</w:t>
      </w:r>
      <w:r/>
    </w:p>
    <w:p>
      <w:pPr>
        <w:ind w:firstLine="48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10.</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 若服务质量未达到约定标准，乙方应在甲方提出的整改通知规定期限内完成整改，整改费用由乙方自行承担；逾期未整改或整改后仍不合格的，甲方有权按照考核细则进行处罚，直至终止合同。</w:t>
      </w:r>
      <w:r/>
    </w:p>
    <w:p>
      <w:pPr>
        <w:ind w:firstLine="48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十一、</w:t>
      </w:r>
      <w:r>
        <w:rPr>
          <w:rFonts w:hint="eastAsia" w:ascii="宋体" w:hAnsi="宋体" w:cs="宋体"/>
          <w:b/>
          <w:color w:val="auto"/>
          <w:sz w:val="21"/>
          <w:szCs w:val="21"/>
          <w:highlight w:val="none"/>
        </w:rPr>
        <w:t xml:space="preserve">违约责任</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甲方</w:t>
      </w:r>
      <w:r>
        <w:rPr>
          <w:rFonts w:hint="eastAsia" w:ascii="宋体" w:hAnsi="宋体" w:cs="宋体"/>
          <w:color w:val="auto"/>
          <w:sz w:val="21"/>
          <w:szCs w:val="21"/>
          <w:highlight w:val="none"/>
          <w:lang w:val="en-US" w:eastAsia="zh-CN"/>
        </w:rPr>
        <w:t xml:space="preserve">应</w:t>
      </w:r>
      <w:r>
        <w:rPr>
          <w:rFonts w:hint="eastAsia" w:ascii="宋体" w:hAnsi="宋体" w:cs="宋体"/>
          <w:color w:val="auto"/>
          <w:sz w:val="21"/>
          <w:szCs w:val="21"/>
          <w:highlight w:val="none"/>
        </w:rPr>
        <w:t xml:space="preserve">向乙方提供必要的工作条件</w:t>
      </w:r>
      <w:r>
        <w:rPr>
          <w:rFonts w:hint="eastAsia" w:ascii="宋体" w:hAnsi="宋体" w:cs="宋体"/>
          <w:color w:val="auto"/>
          <w:sz w:val="21"/>
          <w:szCs w:val="21"/>
          <w:highlight w:val="none"/>
          <w:lang w:val="en-US" w:eastAsia="zh-CN"/>
        </w:rPr>
        <w:t xml:space="preserve">并</w:t>
      </w:r>
      <w:r>
        <w:rPr>
          <w:rFonts w:hint="eastAsia" w:ascii="宋体" w:hAnsi="宋体" w:cs="宋体"/>
          <w:color w:val="auto"/>
          <w:sz w:val="21"/>
          <w:szCs w:val="21"/>
          <w:highlight w:val="none"/>
        </w:rPr>
        <w:t xml:space="preserve">协调相关部门配合</w:t>
      </w:r>
      <w:r>
        <w:rPr>
          <w:rFonts w:hint="eastAsia" w:ascii="宋体" w:hAnsi="宋体" w:cs="宋体"/>
          <w:color w:val="auto"/>
          <w:sz w:val="21"/>
          <w:szCs w:val="21"/>
          <w:highlight w:val="none"/>
          <w:lang w:eastAsia="zh-CN"/>
        </w:rPr>
        <w:t xml:space="preserve">。</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 甲方无故逾期验收或办理合同款支付手续的，每逾期一日，应按逾期付款总额的万分之</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rPr>
        <w:t xml:space="preserve">向乙方支付违约金；</w:t>
      </w:r>
      <w:r/>
    </w:p>
    <w:p>
      <w:pPr>
        <w:ind w:firstLine="480"/>
        <w:spacing w:line="360" w:lineRule="auto"/>
        <w:rPr>
          <w:rFonts w:hint="eastAsia" w:ascii="宋体" w:hAnsi="宋体" w:cs="宋体"/>
          <w:color w:val="auto"/>
          <w:sz w:val="21"/>
          <w:szCs w:val="21"/>
          <w:highlight w:val="none"/>
          <w:u w:val="none"/>
        </w:rPr>
      </w:pPr>
      <w:r>
        <w:rPr>
          <w:rFonts w:hint="eastAsia" w:ascii="宋体" w:hAnsi="宋体" w:cs="宋体"/>
          <w:color w:val="auto"/>
          <w:sz w:val="21"/>
          <w:szCs w:val="21"/>
          <w:highlight w:val="none"/>
        </w:rPr>
        <w:t xml:space="preserve">11.3 </w:t>
      </w:r>
      <w:r>
        <w:rPr>
          <w:rFonts w:hint="eastAsia" w:ascii="宋体" w:hAnsi="宋体" w:eastAsia="宋体" w:cs="宋体"/>
          <w:color w:val="auto"/>
          <w:sz w:val="21"/>
          <w:szCs w:val="21"/>
          <w:highlight w:val="none"/>
          <w:lang w:val="en-US" w:eastAsia="zh-CN" w:bidi="ar"/>
        </w:rPr>
        <w:t xml:space="preserve">乙方未能按照招标投标文件内容或者本合同所列其他文件或标准的要求履行义务的，甲方有权要求乙方限期整改</w:t>
      </w:r>
      <w:r>
        <w:rPr>
          <w:rFonts w:hint="eastAsia" w:ascii="宋体" w:hAnsi="宋体" w:cs="宋体"/>
          <w:color w:val="auto"/>
          <w:sz w:val="21"/>
          <w:szCs w:val="21"/>
          <w:highlight w:val="none"/>
          <w:lang w:val="en-US" w:eastAsia="zh-CN" w:bidi="ar"/>
        </w:rPr>
        <w:t xml:space="preserve">，并且</w:t>
      </w:r>
      <w:r>
        <w:rPr>
          <w:rFonts w:hint="eastAsia" w:ascii="宋体" w:hAnsi="宋体" w:cs="宋体"/>
          <w:color w:val="auto"/>
          <w:sz w:val="21"/>
          <w:szCs w:val="21"/>
          <w:highlight w:val="none"/>
          <w:u w:val="none"/>
        </w:rPr>
        <w:t xml:space="preserve">甲方有权依据《</w:t>
      </w:r>
      <w:r>
        <w:rPr>
          <w:rFonts w:hint="eastAsia" w:ascii="宋体" w:hAnsi="宋体" w:cs="宋体"/>
          <w:color w:val="auto"/>
          <w:sz w:val="21"/>
          <w:szCs w:val="21"/>
          <w:highlight w:val="none"/>
          <w:u w:val="none"/>
          <w:lang w:val="en-US" w:eastAsia="zh-CN"/>
        </w:rPr>
        <w:t xml:space="preserve">张家港保税区</w:t>
      </w:r>
      <w:r>
        <w:rPr>
          <w:rFonts w:hint="eastAsia" w:ascii="宋体" w:hAnsi="宋体" w:cs="宋体"/>
          <w:color w:val="auto"/>
          <w:sz w:val="21"/>
          <w:szCs w:val="21"/>
          <w:highlight w:val="none"/>
          <w:u w:val="none"/>
        </w:rPr>
        <w:t xml:space="preserve">道路照明设施考核细则》扣除相应比例的服务费；造成甲方或第三方损失的，乙方应承担赔偿责任。</w:t>
      </w:r>
      <w:r>
        <w:rPr>
          <w:rFonts w:hint="eastAsia" w:ascii="宋体" w:hAnsi="宋体" w:eastAsia="宋体" w:cs="宋体"/>
          <w:color w:val="auto"/>
          <w:sz w:val="21"/>
          <w:szCs w:val="21"/>
          <w:highlight w:val="none"/>
          <w:lang w:val="en-US" w:eastAsia="zh-CN" w:bidi="ar"/>
        </w:rPr>
        <w:t xml:space="preserve">乙方未能按照前述文件或标准的要求在</w:t>
      </w:r>
      <w:r>
        <w:rPr>
          <w:rFonts w:hint="eastAsia" w:ascii="宋体" w:hAnsi="宋体" w:cs="宋体"/>
          <w:color w:val="auto"/>
          <w:sz w:val="21"/>
          <w:szCs w:val="21"/>
          <w:highlight w:val="none"/>
          <w:lang w:val="en-US" w:eastAsia="zh-CN" w:bidi="ar"/>
        </w:rPr>
        <w:t xml:space="preserve">规定</w:t>
      </w:r>
      <w:r>
        <w:rPr>
          <w:rFonts w:hint="eastAsia" w:ascii="宋体" w:hAnsi="宋体" w:eastAsia="宋体" w:cs="宋体"/>
          <w:color w:val="auto"/>
          <w:sz w:val="21"/>
          <w:szCs w:val="21"/>
          <w:highlight w:val="none"/>
          <w:lang w:val="en-US" w:eastAsia="zh-CN" w:bidi="ar"/>
        </w:rPr>
        <w:t xml:space="preserve">期限内整改到位的，甲方有权解除合同</w:t>
      </w:r>
      <w:r>
        <w:rPr>
          <w:rFonts w:hint="eastAsia" w:ascii="宋体" w:hAnsi="宋体" w:cs="宋体"/>
          <w:color w:val="auto"/>
          <w:sz w:val="21"/>
          <w:szCs w:val="21"/>
          <w:highlight w:val="none"/>
          <w:lang w:val="en-US" w:eastAsia="zh-CN" w:bidi="ar"/>
        </w:rPr>
        <w:t xml:space="preserve">。</w:t>
      </w:r>
      <w:r/>
    </w:p>
    <w:p>
      <w:pPr>
        <w:ind w:firstLine="48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11.4 乙方中标后一个月内未设立符合本合同约定条件的固定办事处，或办事处无法满足30分钟内到达故障现场要求的，甲方有权每月扣除合同年度服务费的5%作为违约金；逾期超过3个月仍未达标，甲方有权单方终止合同，没收全部履约保证金，并要求乙方赔偿损失。</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11.5 乙方未按甲方要求及投标承诺配置备品备件，或未在中标后30个工作日内将备品备件存入指定仓库的，</w:t>
      </w:r>
      <w:r>
        <w:rPr>
          <w:rFonts w:hint="eastAsia" w:ascii="宋体" w:hAnsi="宋体" w:cs="宋体"/>
          <w:color w:val="auto"/>
          <w:sz w:val="21"/>
          <w:szCs w:val="21"/>
          <w:highlight w:val="none"/>
          <w:lang w:val="en-US" w:eastAsia="zh-CN"/>
        </w:rPr>
        <w:t xml:space="preserve">或仓库取用后未及时补足，</w:t>
      </w:r>
      <w:r>
        <w:rPr>
          <w:rFonts w:hint="eastAsia" w:ascii="宋体" w:hAnsi="宋体" w:cs="宋体"/>
          <w:color w:val="auto"/>
          <w:sz w:val="21"/>
          <w:szCs w:val="21"/>
          <w:highlight w:val="none"/>
        </w:rPr>
        <w:t xml:space="preserve">甲方有权要求乙方在15个工作日内整改；逾期未整改的，甲方有权单方终止合同，没收全部履约保证金，由此导致的路灯故障无法及时修复的损失，由乙方承担。</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11.6 乙方未根据当地政府部门规定及甲方要求提前做好人员安排、路灯设备采购等准备工作，导致项目建设期延误或服务期内无法正常提供服务的，每延误</w:t>
      </w:r>
      <w:r>
        <w:rPr>
          <w:rFonts w:hint="eastAsia" w:ascii="宋体" w:hAnsi="宋体" w:cs="宋体"/>
          <w:color w:val="auto"/>
          <w:sz w:val="21"/>
          <w:szCs w:val="21"/>
          <w:highlight w:val="none"/>
          <w:lang w:val="en-US" w:eastAsia="zh-CN"/>
        </w:rPr>
        <w:t xml:space="preserve">或提供服务</w:t>
      </w:r>
      <w:r>
        <w:rPr>
          <w:rFonts w:hint="eastAsia" w:ascii="宋体" w:hAnsi="宋体" w:cs="宋体"/>
          <w:color w:val="auto"/>
          <w:sz w:val="21"/>
          <w:szCs w:val="21"/>
          <w:highlight w:val="none"/>
        </w:rPr>
        <w:t xml:space="preserve">一日，应向甲方支付合同总金额0.1%的违约金；</w:t>
      </w:r>
      <w:r>
        <w:rPr>
          <w:rFonts w:hint="eastAsia" w:ascii="宋体" w:hAnsi="宋体" w:cs="宋体"/>
          <w:color w:val="auto"/>
          <w:sz w:val="21"/>
          <w:szCs w:val="21"/>
          <w:highlight w:val="none"/>
          <w:lang w:val="en-US" w:eastAsia="zh-CN"/>
        </w:rPr>
        <w:t xml:space="preserve">乙方</w:t>
      </w:r>
      <w:r>
        <w:rPr>
          <w:rFonts w:hint="eastAsia" w:ascii="宋体" w:hAnsi="宋体" w:cs="宋体"/>
          <w:color w:val="auto"/>
          <w:sz w:val="21"/>
          <w:szCs w:val="21"/>
          <w:highlight w:val="none"/>
        </w:rPr>
        <w:t xml:space="preserve">延误</w:t>
      </w:r>
      <w:r>
        <w:rPr>
          <w:rFonts w:hint="eastAsia" w:ascii="宋体" w:hAnsi="宋体" w:cs="宋体"/>
          <w:color w:val="auto"/>
          <w:sz w:val="21"/>
          <w:szCs w:val="21"/>
          <w:highlight w:val="none"/>
          <w:lang w:val="en-US" w:eastAsia="zh-CN"/>
        </w:rPr>
        <w:t xml:space="preserve">或无法提供服务</w:t>
      </w:r>
      <w:r>
        <w:rPr>
          <w:rFonts w:hint="eastAsia" w:ascii="宋体" w:hAnsi="宋体" w:cs="宋体"/>
          <w:color w:val="auto"/>
          <w:sz w:val="21"/>
          <w:szCs w:val="21"/>
          <w:highlight w:val="none"/>
        </w:rPr>
        <w:t xml:space="preserve">超过30日的，甲方有权终止合同、没收履约保证金，并要求乙方赔偿由此造成的一切损失。</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11.7 乙方存在擅自转包分包、擅自停止服务、提供虚假检测报告或验收资料、泄露甲方商业秘密等严重违反合同约定或不服从甲方合理管理的行为，甲方有权立即终止合同，没收履约保证金，并要求乙方支付合同总金额10%的违约金，违约金不足以弥补甲方损失的，乙方仍需补足。</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11.8 本合同生效后，甲乙双方任何一方无正当理由要求终止合同的，除双方协商一致签订补充协议外，责任方须向对方支付合同总金额10%的违约金，并赔偿对方因此遭受的直接经济损失（包括但不限于前期投入、重新采购成本等）。</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11.9 合同终止情形及后续处理：</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（1）乙方存在本合同约定的终止合同违约情形的，甲方有权发出终止合同通知书，合同自通知书送达乙方之日起终止。</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能源托管期间，经检测发现路灯设施或服务质量不合格的，乙方应在甲方规定的整改期限内完成整改，整改期间甲方停止支付相应能源托管费用；检测合格后，甲方一次性补付停付的费用。若乙方拒不整改或整改后仍不合格，甲方有权终止合同，终止后不再支付任何托管费用。</w:t>
      </w:r>
      <w:r/>
    </w:p>
    <w:p>
      <w:pPr>
        <w:ind w:firstLine="420"/>
        <w:spacing w:after="181" w:line="440" w:lineRule="exact"/>
        <w:rPr>
          <w:rFonts w:hint="eastAsia" w:ascii="宋体" w:hAnsi="宋体" w:eastAsia="宋体" w:cs="宋体"/>
          <w:color w:val="auto"/>
          <w:szCs w:val="21"/>
          <w:highlight w:val="none"/>
          <w:u w:val="none"/>
        </w:rPr>
      </w:pPr>
      <w:r>
        <w:rPr>
          <w:rFonts w:hint="eastAsia" w:ascii="宋体" w:hAnsi="宋体" w:cs="宋体"/>
          <w:color w:val="auto"/>
          <w:szCs w:val="21"/>
          <w:highlight w:val="none"/>
          <w:u w:val="none"/>
        </w:rPr>
        <w:t xml:space="preserve">（3）</w:t>
      </w:r>
      <w:r>
        <w:rPr>
          <w:rFonts w:hint="eastAsia" w:ascii="宋体" w:hAnsi="宋体" w:cs="宋体"/>
          <w:color w:val="auto"/>
          <w:szCs w:val="21"/>
          <w:highlight w:val="none"/>
          <w:u w:val="none"/>
          <w:lang w:val="en-US" w:eastAsia="zh-CN"/>
        </w:rPr>
        <w:t xml:space="preserve">建设期结束，验收合格后，</w:t>
      </w:r>
      <w:r>
        <w:rPr>
          <w:rFonts w:hint="eastAsia" w:ascii="宋体" w:hAnsi="宋体" w:eastAsia="宋体" w:cs="宋体"/>
          <w:color w:val="auto"/>
          <w:szCs w:val="21"/>
          <w:highlight w:val="none"/>
          <w:u w:val="none"/>
        </w:rPr>
        <w:t xml:space="preserve">合同终止后，不再支付</w:t>
      </w:r>
      <w:r>
        <w:rPr>
          <w:rFonts w:hint="eastAsia" w:ascii="宋体" w:hAnsi="宋体" w:cs="宋体"/>
          <w:color w:val="auto"/>
          <w:szCs w:val="21"/>
          <w:highlight w:val="none"/>
          <w:u w:val="none"/>
          <w:lang w:val="en-US" w:eastAsia="zh-CN"/>
        </w:rPr>
        <w:t xml:space="preserve">能源</w:t>
      </w:r>
      <w:r>
        <w:rPr>
          <w:rFonts w:hint="eastAsia" w:ascii="宋体" w:hAnsi="宋体" w:eastAsia="宋体" w:cs="宋体"/>
          <w:color w:val="auto"/>
          <w:szCs w:val="21"/>
          <w:highlight w:val="none"/>
          <w:u w:val="none"/>
        </w:rPr>
        <w:t xml:space="preserve">托管费用，甲方另行采购。乙方应确保路灯设施正常运行至甲方另行采购的服务单位就位，然后根据甲方计划拆除已有灯头。所有的损失（包括再招标的费用）全部由乙方负责。乙方安装的路灯设施（灯头除外）甲方有权折价后留下使用，甲方按折旧后残值支付给乙方（不同的年份折旧后残值计算方法：验收后</w:t>
      </w:r>
      <w:r>
        <w:rPr>
          <w:rFonts w:hint="eastAsia" w:ascii="宋体" w:hAnsi="宋体" w:cs="宋体"/>
          <w:color w:val="auto"/>
          <w:szCs w:val="21"/>
          <w:highlight w:val="none"/>
          <w:u w:val="none"/>
          <w:lang w:val="en-US" w:eastAsia="zh-CN"/>
        </w:rPr>
        <w:t xml:space="preserve">甲方委托造价咨询机构</w:t>
      </w:r>
      <w:r>
        <w:rPr>
          <w:rFonts w:hint="eastAsia" w:ascii="宋体" w:hAnsi="宋体" w:eastAsia="宋体" w:cs="宋体"/>
          <w:color w:val="auto"/>
          <w:szCs w:val="21"/>
          <w:highlight w:val="none"/>
          <w:u w:val="none"/>
        </w:rPr>
        <w:t xml:space="preserve">对乙方安装的路灯设施（灯头除外）进行审计，合同终止时间在运维期开始后2年以内的，按造价咨询机构审定价的60%确定残值；以后每增加1年（不足一年的按1年取整计算），在审定价60%基础上减少10%，直至残值为零。如在第四年解除合同的则残值为审定价的60%-2*10%=40%。），支付后对应的路灯设施产权归甲方所有。在新的单位就位前，乙方要确保路灯正常亮灯，如果未交电费、设备损坏等问题造成路灯不亮，在此期间引起的交通事故索赔</w:t>
      </w:r>
      <w:r>
        <w:rPr>
          <w:rFonts w:hint="eastAsia" w:ascii="宋体" w:hAnsi="宋体" w:cs="宋体"/>
          <w:color w:val="auto"/>
          <w:szCs w:val="21"/>
          <w:highlight w:val="none"/>
          <w:u w:val="none"/>
          <w:lang w:eastAsia="zh-CN"/>
        </w:rPr>
        <w:t xml:space="preserve">、</w:t>
      </w:r>
      <w:r>
        <w:rPr>
          <w:rFonts w:hint="eastAsia" w:ascii="宋体" w:hAnsi="宋体" w:cs="宋体"/>
          <w:color w:val="auto"/>
          <w:szCs w:val="21"/>
          <w:highlight w:val="none"/>
          <w:u w:val="none"/>
          <w:lang w:val="en-US" w:eastAsia="zh-CN"/>
        </w:rPr>
        <w:t xml:space="preserve">行政处罚</w:t>
      </w:r>
      <w:r>
        <w:rPr>
          <w:rFonts w:hint="eastAsia" w:ascii="宋体" w:hAnsi="宋体" w:eastAsia="宋体" w:cs="宋体"/>
          <w:color w:val="auto"/>
          <w:szCs w:val="21"/>
          <w:highlight w:val="none"/>
          <w:u w:val="none"/>
        </w:rPr>
        <w:t xml:space="preserve">等相关责任</w:t>
      </w:r>
      <w:r>
        <w:rPr>
          <w:rFonts w:hint="eastAsia" w:ascii="宋体" w:hAnsi="宋体" w:cs="宋体"/>
          <w:color w:val="auto"/>
          <w:szCs w:val="21"/>
          <w:highlight w:val="none"/>
          <w:u w:val="none"/>
          <w:lang w:val="en-US" w:eastAsia="zh-CN"/>
        </w:rPr>
        <w:t xml:space="preserve">及</w:t>
      </w:r>
      <w:r>
        <w:rPr>
          <w:rFonts w:hint="eastAsia" w:ascii="宋体" w:hAnsi="宋体" w:eastAsia="宋体" w:cs="宋体"/>
          <w:color w:val="auto"/>
          <w:szCs w:val="21"/>
          <w:highlight w:val="none"/>
          <w:u w:val="none"/>
        </w:rPr>
        <w:t xml:space="preserve">费用</w:t>
      </w:r>
      <w:r>
        <w:rPr>
          <w:rFonts w:hint="eastAsia" w:ascii="宋体" w:hAnsi="宋体" w:cs="宋体"/>
          <w:color w:val="auto"/>
          <w:szCs w:val="21"/>
          <w:highlight w:val="none"/>
          <w:u w:val="none"/>
          <w:lang w:val="en-US" w:eastAsia="zh-CN"/>
        </w:rPr>
        <w:t xml:space="preserve">均</w:t>
      </w:r>
      <w:r>
        <w:rPr>
          <w:rFonts w:hint="eastAsia" w:ascii="宋体" w:hAnsi="宋体" w:eastAsia="宋体" w:cs="宋体"/>
          <w:color w:val="auto"/>
          <w:szCs w:val="21"/>
          <w:highlight w:val="none"/>
          <w:u w:val="none"/>
        </w:rPr>
        <w:t xml:space="preserve">由乙方承担，后期拆除路灯设施后，乙方需</w:t>
      </w:r>
      <w:r>
        <w:rPr>
          <w:rFonts w:hint="eastAsia" w:ascii="宋体" w:hAnsi="宋体" w:cs="宋体"/>
          <w:color w:val="auto"/>
          <w:szCs w:val="21"/>
          <w:highlight w:val="none"/>
          <w:u w:val="none"/>
          <w:lang w:val="en-US" w:eastAsia="zh-CN"/>
        </w:rPr>
        <w:t xml:space="preserve">负责</w:t>
      </w:r>
      <w:r>
        <w:rPr>
          <w:rFonts w:hint="eastAsia" w:ascii="宋体" w:hAnsi="宋体" w:eastAsia="宋体" w:cs="宋体"/>
          <w:color w:val="auto"/>
          <w:szCs w:val="21"/>
          <w:highlight w:val="none"/>
          <w:u w:val="none"/>
        </w:rPr>
        <w:t xml:space="preserve">拆除过程中</w:t>
      </w:r>
      <w:r>
        <w:rPr>
          <w:rFonts w:hint="eastAsia" w:ascii="宋体" w:hAnsi="宋体" w:cs="宋体"/>
          <w:color w:val="auto"/>
          <w:szCs w:val="21"/>
          <w:highlight w:val="none"/>
          <w:u w:val="none"/>
          <w:lang w:val="en-US" w:eastAsia="zh-CN"/>
        </w:rPr>
        <w:t xml:space="preserve">涉及</w:t>
      </w:r>
      <w:r>
        <w:rPr>
          <w:rFonts w:hint="eastAsia" w:ascii="宋体" w:hAnsi="宋体" w:eastAsia="宋体" w:cs="宋体"/>
          <w:color w:val="auto"/>
          <w:szCs w:val="21"/>
          <w:highlight w:val="none"/>
          <w:u w:val="none"/>
        </w:rPr>
        <w:t xml:space="preserve">的绿地开挖、路面修复等审批及费用。</w:t>
      </w:r>
      <w:r/>
    </w:p>
    <w:p>
      <w:pPr>
        <w:ind w:firstLine="420"/>
        <w:spacing w:after="181" w:line="44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合同终止后，乙方应配合甲方办理电费缴纳变更事宜。</w:t>
      </w:r>
      <w:r/>
    </w:p>
    <w:p>
      <w:pPr>
        <w:ind w:firstLine="420"/>
        <w:spacing w:after="181" w:line="440" w:lineRule="exac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 xml:space="preserve">合同终止后甲方发出拆除灯头通知书，乙方未在规定期限内拆除的，则灯头由甲方自行处置，不补偿乙方任何费用，</w:t>
      </w:r>
      <w:r>
        <w:rPr>
          <w:rFonts w:hint="eastAsia" w:ascii="宋体" w:hAnsi="宋体" w:cs="宋体"/>
          <w:color w:val="auto"/>
          <w:szCs w:val="21"/>
          <w:highlight w:val="none"/>
          <w:u w:val="none"/>
          <w:lang w:val="en-US" w:eastAsia="zh-CN"/>
        </w:rPr>
        <w:t xml:space="preserve">并没收全部</w:t>
      </w:r>
      <w:r>
        <w:rPr>
          <w:rFonts w:hint="eastAsia" w:ascii="宋体" w:hAnsi="宋体" w:eastAsia="宋体" w:cs="宋体"/>
          <w:color w:val="auto"/>
          <w:szCs w:val="21"/>
          <w:highlight w:val="none"/>
          <w:u w:val="none"/>
        </w:rPr>
        <w:t xml:space="preserve">履约保证金。</w:t>
      </w:r>
      <w:r/>
    </w:p>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w:t>
      </w:r>
      <w:r>
        <w:rPr>
          <w:rFonts w:hint="eastAsia" w:ascii="宋体" w:hAnsi="宋体" w:eastAsia="宋体" w:cs="宋体"/>
          <w:color w:val="auto"/>
          <w:sz w:val="21"/>
          <w:szCs w:val="21"/>
          <w:highlight w:val="none"/>
          <w:lang w:val="en-US" w:eastAsia="zh-CN" w:bidi="ar"/>
        </w:rPr>
        <w:t xml:space="preserve">退出机制</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rPr>
        <w:t xml:space="preserve">乙方存在下列行为之一的，甲方有权单方终止合同并没收全部履约保证金：</w:t>
      </w:r>
      <w:r/>
    </w:p>
    <w:p>
      <w:pPr>
        <w:ind w:firstLine="420"/>
        <w:jc w:val="left"/>
        <w:spacing w:line="360" w:lineRule="auto"/>
        <w:widowControl/>
        <w:rPr>
          <w:rFonts w:hint="eastAsia" w:ascii="宋体" w:hAnsi="宋体" w:cs="宋体"/>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w:t>
      </w:r>
      <w:r>
        <w:rPr>
          <w:rStyle w:val="785"/>
          <w:rFonts w:hint="eastAsia" w:ascii="宋体" w:hAnsi="宋体" w:cs="宋体"/>
          <w:b w:val="0"/>
          <w:bCs/>
          <w:color w:val="auto"/>
          <w:sz w:val="21"/>
          <w:szCs w:val="21"/>
          <w:highlight w:val="none"/>
        </w:rPr>
        <w:t xml:space="preserve">建设期</w:t>
      </w:r>
      <w:r>
        <w:rPr>
          <w:rStyle w:val="785"/>
          <w:rFonts w:hint="eastAsia" w:ascii="宋体" w:hAnsi="宋体" w:cs="宋体"/>
          <w:b w:val="0"/>
          <w:bCs/>
          <w:color w:val="auto"/>
          <w:sz w:val="21"/>
          <w:szCs w:val="21"/>
          <w:highlight w:val="none"/>
          <w:lang w:val="en-US" w:eastAsia="zh-CN"/>
        </w:rPr>
        <w:t xml:space="preserve">内</w:t>
      </w:r>
      <w:r>
        <w:rPr>
          <w:rFonts w:hint="eastAsia" w:ascii="宋体" w:hAnsi="宋体" w:cs="宋体"/>
          <w:bCs/>
          <w:color w:val="auto"/>
          <w:sz w:val="21"/>
          <w:szCs w:val="21"/>
          <w:highlight w:val="none"/>
          <w:lang w:val="en-US" w:eastAsia="zh-CN"/>
        </w:rPr>
        <w:t xml:space="preserve">违约情形：</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A.乙方</w:t>
      </w:r>
      <w:r>
        <w:rPr>
          <w:rFonts w:hint="eastAsia" w:ascii="宋体" w:hAnsi="宋体" w:cs="宋体"/>
          <w:color w:val="auto"/>
          <w:sz w:val="21"/>
          <w:szCs w:val="21"/>
          <w:highlight w:val="none"/>
        </w:rPr>
        <w:t xml:space="preserve">违反合同约定进行转包或违法分包的；</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B.乙方</w:t>
      </w:r>
      <w:r>
        <w:rPr>
          <w:rFonts w:hint="eastAsia" w:ascii="宋体" w:hAnsi="宋体" w:cs="宋体"/>
          <w:color w:val="auto"/>
          <w:sz w:val="21"/>
          <w:szCs w:val="21"/>
          <w:highlight w:val="none"/>
        </w:rPr>
        <w:t xml:space="preserve">违反合同约定采购和使用不合格的材料和工程设备的；</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C.</w:t>
      </w: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原因导致工程质量不符合合同要求的； </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D.</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未能按施工进度计划及时完成合同约定的工作，造成工期延误的；</w:t>
      </w:r>
      <w:r/>
    </w:p>
    <w:p>
      <w:pPr>
        <w:ind w:firstLine="63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E.</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明确表示或者以其行为表明不履行合同主要义务的；</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发生</w:t>
      </w:r>
      <w:r>
        <w:rPr>
          <w:rFonts w:hint="eastAsia" w:ascii="宋体" w:hAnsi="宋体" w:cs="宋体"/>
          <w:color w:val="auto"/>
          <w:sz w:val="21"/>
          <w:szCs w:val="21"/>
          <w:highlight w:val="none"/>
          <w:lang w:val="en-US" w:eastAsia="zh-CN"/>
        </w:rPr>
        <w:t xml:space="preserve">上述</w:t>
      </w:r>
      <w:r>
        <w:rPr>
          <w:rFonts w:hint="eastAsia" w:ascii="宋体" w:hAnsi="宋体" w:cs="宋体"/>
          <w:color w:val="auto"/>
          <w:sz w:val="21"/>
          <w:szCs w:val="21"/>
          <w:highlight w:val="none"/>
        </w:rPr>
        <w:t xml:space="preserve">违约情况时，</w:t>
      </w:r>
      <w:r>
        <w:rPr>
          <w:rFonts w:hint="eastAsia" w:ascii="宋体" w:hAnsi="宋体" w:cs="宋体"/>
          <w:color w:val="auto"/>
          <w:sz w:val="21"/>
          <w:szCs w:val="21"/>
          <w:highlight w:val="none"/>
          <w:lang w:val="en-US" w:eastAsia="zh-CN"/>
        </w:rPr>
        <w:t xml:space="preserve">甲方或其委托的第三方管理人员</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发出整改通知，要求其在指定的期限内改正。</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整改通知书</w:t>
      </w:r>
      <w:r>
        <w:rPr>
          <w:rFonts w:hint="eastAsia" w:ascii="宋体" w:hAnsi="宋体" w:cs="宋体"/>
          <w:color w:val="auto"/>
          <w:sz w:val="21"/>
          <w:szCs w:val="21"/>
          <w:highlight w:val="none"/>
        </w:rPr>
        <w:t xml:space="preserve">指定的合理期限内仍不纠正违约行为并致使合同目的不能实现的，</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有权解除合同。合同解除后，因继续完成工程的需要，</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有权使用</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在施工现场的材料、设备、临时工程、</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文件和由</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或以其名义编制的其他文件</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继续使用的行为不免除或减轻</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应承担的违约责任。</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合同解除后，</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应按照</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的指示完成现场的清理和撤离；</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应支付因解除合同给</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造成的损失</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违约金；</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应在合同解除后进行清算，</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实际完成</w:t>
      </w:r>
      <w:r>
        <w:rPr>
          <w:rFonts w:hint="eastAsia" w:ascii="宋体" w:hAnsi="宋体" w:cs="宋体"/>
          <w:color w:val="auto"/>
          <w:sz w:val="21"/>
          <w:szCs w:val="21"/>
          <w:highlight w:val="none"/>
          <w:lang w:val="en-US" w:eastAsia="zh-CN"/>
        </w:rPr>
        <w:t xml:space="preserve">的合格</w:t>
      </w:r>
      <w:r>
        <w:rPr>
          <w:rFonts w:hint="eastAsia" w:ascii="宋体" w:hAnsi="宋体" w:cs="宋体"/>
          <w:color w:val="auto"/>
          <w:sz w:val="21"/>
          <w:szCs w:val="21"/>
          <w:highlight w:val="none"/>
        </w:rPr>
        <w:t xml:space="preserve">工作对应的合同价款</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已提供的</w:t>
      </w:r>
      <w:r>
        <w:rPr>
          <w:rFonts w:hint="eastAsia" w:ascii="宋体" w:hAnsi="宋体" w:cs="宋体"/>
          <w:color w:val="auto"/>
          <w:sz w:val="21"/>
          <w:szCs w:val="21"/>
          <w:highlight w:val="none"/>
          <w:lang w:val="en-US" w:eastAsia="zh-CN"/>
        </w:rPr>
        <w:t xml:space="preserve">合格</w:t>
      </w:r>
      <w:r>
        <w:rPr>
          <w:rFonts w:hint="eastAsia" w:ascii="宋体" w:hAnsi="宋体" w:cs="宋体"/>
          <w:color w:val="auto"/>
          <w:sz w:val="21"/>
          <w:szCs w:val="21"/>
          <w:highlight w:val="none"/>
        </w:rPr>
        <w:t xml:space="preserve">材料、工程设备、施工设备和临时工程等的价值</w:t>
      </w:r>
      <w:r>
        <w:rPr>
          <w:rFonts w:hint="eastAsia" w:ascii="宋体" w:hAnsi="宋体" w:cs="宋体"/>
          <w:color w:val="auto"/>
          <w:sz w:val="21"/>
          <w:szCs w:val="21"/>
          <w:highlight w:val="none"/>
          <w:lang w:val="en-US" w:eastAsia="zh-CN"/>
        </w:rPr>
        <w:t xml:space="preserve">由甲方委托造价咨询单位进行估价，估价后按估价价值的70%进行清算。甲方</w:t>
      </w:r>
      <w:r>
        <w:rPr>
          <w:rFonts w:hint="eastAsia" w:ascii="宋体" w:hAnsi="宋体" w:cs="宋体"/>
          <w:color w:val="auto"/>
          <w:sz w:val="21"/>
          <w:szCs w:val="21"/>
          <w:highlight w:val="none"/>
        </w:rPr>
        <w:t xml:space="preserve">出具最终结清付款证书，结清全部款项。</w:t>
      </w:r>
      <w:r/>
    </w:p>
    <w:p>
      <w:pPr>
        <w:jc w:val="left"/>
        <w:keepLines w:val="0"/>
        <w:keepNext w:val="0"/>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违约解除合同的，</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有权暂停对</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的付款，查清各项付款和已扣款项。</w:t>
      </w:r>
      <w:r>
        <w:rPr>
          <w:rFonts w:hint="eastAsia" w:ascii="宋体" w:hAnsi="宋体" w:cs="宋体"/>
          <w:color w:val="auto"/>
          <w:sz w:val="21"/>
          <w:szCs w:val="21"/>
          <w:highlight w:val="none"/>
          <w:lang w:val="en-US" w:eastAsia="zh-CN"/>
        </w:rPr>
        <w:t xml:space="preserve">甲方</w:t>
      </w:r>
      <w:r>
        <w:rPr>
          <w:rFonts w:hint="eastAsia" w:ascii="宋体" w:hAnsi="宋体" w:cs="宋体"/>
          <w:color w:val="auto"/>
          <w:sz w:val="21"/>
          <w:szCs w:val="21"/>
          <w:highlight w:val="none"/>
        </w:rPr>
        <w:t xml:space="preserve">和</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未能就合同解除后的清算和款项支付达成一致的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可以</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张家港市</w:t>
      </w:r>
      <w:r>
        <w:rPr>
          <w:rFonts w:hint="eastAsia" w:ascii="宋体" w:hAnsi="宋体" w:cs="宋体"/>
          <w:color w:val="auto"/>
          <w:sz w:val="21"/>
          <w:szCs w:val="21"/>
          <w:highlight w:val="none"/>
        </w:rPr>
        <w:t xml:space="preserve">人民法院起诉</w:t>
      </w:r>
      <w:r>
        <w:rPr>
          <w:rFonts w:hint="eastAsia" w:ascii="宋体" w:hAnsi="宋体" w:cs="宋体"/>
          <w:color w:val="auto"/>
          <w:sz w:val="21"/>
          <w:szCs w:val="21"/>
          <w:highlight w:val="none"/>
          <w:lang w:val="en-US" w:eastAsia="zh-CN"/>
        </w:rPr>
        <w:t xml:space="preserve">解决</w:t>
      </w:r>
      <w:r>
        <w:rPr>
          <w:rFonts w:hint="eastAsia" w:ascii="宋体" w:hAnsi="宋体" w:cs="宋体"/>
          <w:color w:val="auto"/>
          <w:sz w:val="21"/>
          <w:szCs w:val="21"/>
          <w:highlight w:val="none"/>
        </w:rPr>
        <w:t xml:space="preserve">。</w:t>
      </w:r>
      <w:r/>
    </w:p>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rPr>
        <w:t xml:space="preserve">②</w:t>
      </w:r>
      <w:r>
        <w:rPr>
          <w:rFonts w:hint="eastAsia" w:ascii="宋体" w:hAnsi="宋体" w:cs="宋体"/>
          <w:color w:val="auto"/>
          <w:sz w:val="21"/>
          <w:szCs w:val="21"/>
          <w:highlight w:val="none"/>
          <w:lang w:val="en-US" w:eastAsia="zh-CN"/>
        </w:rPr>
        <w:t xml:space="preserve">能源托管服务期违约情形：</w:t>
      </w:r>
      <w:r/>
    </w:p>
    <w:p>
      <w:pPr>
        <w:pStyle w:val="855"/>
        <w:ind w:firstLine="0"/>
        <w:rPr>
          <w:rFonts w:hint="eastAsia" w:ascii="宋体" w:hAnsi="宋体" w:cs="宋体"/>
          <w:color w:val="auto"/>
          <w:sz w:val="21"/>
          <w:szCs w:val="21"/>
          <w:highlight w:val="none"/>
        </w:rPr>
      </w:pPr>
      <w:r>
        <w:rPr>
          <w:rFonts w:hint="eastAsia" w:cs="宋体"/>
          <w:color w:val="auto"/>
          <w:sz w:val="21"/>
          <w:szCs w:val="21"/>
          <w:highlight w:val="none"/>
          <w:lang w:val="en-US" w:eastAsia="zh-CN"/>
        </w:rPr>
        <w:t xml:space="preserve">A</w:t>
      </w:r>
      <w:r>
        <w:rPr>
          <w:rFonts w:hint="eastAsia" w:ascii="宋体" w:hAnsi="宋体" w:cs="宋体"/>
          <w:color w:val="auto"/>
          <w:sz w:val="21"/>
          <w:szCs w:val="21"/>
          <w:highlight w:val="none"/>
        </w:rPr>
        <w:t xml:space="preserve">月度考核扣款超出月能源托管费用的40%及以上（二次及以上）；</w:t>
      </w:r>
      <w:r/>
    </w:p>
    <w:p>
      <w:pPr>
        <w:pStyle w:val="855"/>
        <w:ind w:firstLine="420"/>
        <w:rPr>
          <w:rFonts w:hint="eastAsia" w:ascii="宋体" w:hAnsi="宋体" w:cs="宋体"/>
          <w:color w:val="auto"/>
          <w:sz w:val="21"/>
          <w:szCs w:val="21"/>
          <w:highlight w:val="none"/>
          <w:u w:val="none"/>
        </w:rPr>
      </w:pPr>
      <w:r>
        <w:rPr>
          <w:rFonts w:hint="eastAsia" w:cs="宋体"/>
          <w:color w:val="auto"/>
          <w:sz w:val="21"/>
          <w:szCs w:val="21"/>
          <w:highlight w:val="none"/>
          <w:lang w:eastAsia="zh-CN"/>
        </w:rPr>
        <w:t xml:space="preserve">B</w:t>
      </w:r>
      <w:r>
        <w:rPr>
          <w:rFonts w:hint="eastAsia" w:ascii="宋体" w:hAnsi="宋体" w:cs="宋体"/>
          <w:color w:val="auto"/>
          <w:sz w:val="21"/>
          <w:szCs w:val="21"/>
          <w:highlight w:val="none"/>
        </w:rPr>
        <w:t xml:space="preserve">未提供合格服务，受到社会媒体曝光、群众投诉、上级部门批评</w:t>
      </w:r>
      <w:r>
        <w:rPr>
          <w:rFonts w:hint="eastAsia" w:ascii="宋体" w:hAnsi="宋体" w:cs="宋体"/>
          <w:color w:val="auto"/>
          <w:sz w:val="21"/>
          <w:szCs w:val="21"/>
          <w:highlight w:val="none"/>
          <w:u w:val="none"/>
          <w:lang w:val="en-US" w:eastAsia="zh-CN"/>
        </w:rPr>
        <w:t xml:space="preserve">造成一定影响的</w:t>
      </w:r>
      <w:r>
        <w:rPr>
          <w:rFonts w:hint="eastAsia" w:ascii="宋体" w:hAnsi="宋体" w:cs="宋体"/>
          <w:color w:val="auto"/>
          <w:sz w:val="21"/>
          <w:szCs w:val="21"/>
          <w:highlight w:val="none"/>
        </w:rPr>
        <w:t xml:space="preserve">达三次</w:t>
      </w:r>
      <w:r>
        <w:rPr>
          <w:rFonts w:hint="eastAsia" w:cs="宋体"/>
          <w:color w:val="auto"/>
          <w:sz w:val="21"/>
          <w:szCs w:val="21"/>
          <w:highlight w:val="none"/>
          <w:u w:val="none"/>
        </w:rPr>
        <w:t xml:space="preserve">；</w:t>
      </w:r>
      <w:r/>
    </w:p>
    <w:p>
      <w:pPr>
        <w:pStyle w:val="855"/>
        <w:ind w:firstLine="420"/>
        <w:jc w:val="left"/>
        <w:keepLines w:val="0"/>
        <w:keepNext w:val="0"/>
        <w:widowControl/>
        <w:rPr>
          <w:rFonts w:hint="eastAsia" w:ascii="宋体" w:hAnsi="宋体" w:cs="宋体"/>
          <w:color w:val="auto"/>
          <w:sz w:val="21"/>
          <w:szCs w:val="21"/>
          <w:highlight w:val="none"/>
        </w:rPr>
        <w:suppressLineNumbers w:val="0"/>
      </w:pPr>
      <w:r>
        <w:rPr>
          <w:rFonts w:hint="eastAsia" w:cs="宋体"/>
          <w:color w:val="auto"/>
          <w:sz w:val="21"/>
          <w:szCs w:val="21"/>
          <w:highlight w:val="none"/>
          <w:lang w:val="en-US" w:eastAsia="zh-CN"/>
        </w:rPr>
        <w:t xml:space="preserve">C</w:t>
      </w:r>
      <w:r>
        <w:rPr>
          <w:rFonts w:hint="eastAsia" w:ascii="宋体" w:hAnsi="宋体" w:cs="宋体"/>
          <w:color w:val="auto"/>
          <w:sz w:val="21"/>
          <w:szCs w:val="21"/>
          <w:highlight w:val="none"/>
        </w:rPr>
        <w:t xml:space="preserve">亮灯率考核连续两个月低于98%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设备完好率连续两个月低于95%；</w:t>
      </w:r>
      <w:r/>
    </w:p>
    <w:p>
      <w:pPr>
        <w:pStyle w:val="855"/>
        <w:ind w:firstLine="420"/>
        <w:jc w:val="left"/>
        <w:keepLines w:val="0"/>
        <w:keepNext w:val="0"/>
        <w:widowControl/>
        <w:rPr>
          <w:rFonts w:hint="eastAsia" w:ascii="宋体" w:hAnsi="宋体" w:cs="宋体"/>
          <w:color w:val="auto"/>
          <w:sz w:val="21"/>
          <w:szCs w:val="21"/>
          <w:highlight w:val="none"/>
        </w:rPr>
        <w:suppressLineNumbers w:val="0"/>
      </w:pPr>
      <w:r>
        <w:rPr>
          <w:rFonts w:hint="eastAsia" w:cs="宋体"/>
          <w:color w:val="auto"/>
          <w:sz w:val="21"/>
          <w:szCs w:val="21"/>
          <w:highlight w:val="none"/>
          <w:lang w:eastAsia="zh-CN"/>
        </w:rPr>
        <w:t xml:space="preserve">D</w:t>
      </w:r>
      <w:r>
        <w:rPr>
          <w:rFonts w:hint="eastAsia" w:ascii="宋体" w:hAnsi="宋体" w:eastAsia="宋体" w:cs="宋体"/>
          <w:color w:val="auto"/>
          <w:sz w:val="21"/>
          <w:szCs w:val="21"/>
          <w:highlight w:val="none"/>
          <w:lang w:val="en-US" w:eastAsia="zh-CN" w:bidi="ar"/>
        </w:rPr>
        <w:t xml:space="preserve">甲方将养护中发现和存在的问题以限期整改意见书形式通知乙方</w:t>
      </w:r>
      <w:r>
        <w:rPr>
          <w:rFonts w:hint="eastAsia" w:ascii="宋体" w:hAnsi="宋体" w:cs="宋体"/>
          <w:color w:val="auto"/>
          <w:sz w:val="21"/>
          <w:szCs w:val="21"/>
          <w:highlight w:val="none"/>
          <w:lang w:val="en-US" w:eastAsia="zh-CN" w:bidi="ar"/>
        </w:rPr>
        <w:t xml:space="preserve">，</w:t>
      </w:r>
      <w:r>
        <w:rPr>
          <w:rFonts w:hint="eastAsia" w:ascii="宋体" w:hAnsi="宋体" w:cs="宋体"/>
          <w:color w:val="auto"/>
          <w:sz w:val="21"/>
          <w:szCs w:val="21"/>
          <w:highlight w:val="none"/>
        </w:rPr>
        <w:t xml:space="preserve">收到限期整改意见书后，超过三周整改或拒不整改；</w:t>
      </w:r>
      <w:r/>
    </w:p>
    <w:p>
      <w:pPr>
        <w:pStyle w:val="855"/>
        <w:ind w:firstLine="420"/>
        <w:jc w:val="left"/>
        <w:keepLines w:val="0"/>
        <w:keepNext w:val="0"/>
        <w:widowControl/>
        <w:rPr>
          <w:rFonts w:hint="eastAsia" w:ascii="宋体" w:hAnsi="宋体" w:cs="宋体"/>
          <w:color w:val="auto"/>
          <w:sz w:val="21"/>
          <w:szCs w:val="21"/>
          <w:highlight w:val="none"/>
        </w:rPr>
        <w:suppressLineNumbers w:val="0"/>
      </w:pPr>
      <w:r>
        <w:rPr>
          <w:rFonts w:hint="eastAsia" w:cs="宋体"/>
          <w:color w:val="auto"/>
          <w:sz w:val="21"/>
          <w:szCs w:val="21"/>
          <w:highlight w:val="none"/>
          <w:lang w:eastAsia="zh-CN"/>
        </w:rPr>
        <w:t xml:space="preserve">E</w:t>
      </w:r>
      <w:r>
        <w:rPr>
          <w:rFonts w:hint="eastAsia" w:ascii="宋体" w:hAnsi="宋体" w:eastAsia="宋体" w:cs="宋体"/>
          <w:color w:val="auto"/>
          <w:sz w:val="21"/>
          <w:szCs w:val="21"/>
          <w:highlight w:val="none"/>
          <w:lang w:val="en-US" w:eastAsia="zh-CN" w:bidi="ar"/>
        </w:rPr>
        <w:t xml:space="preserve">乙方应按规定做好</w:t>
      </w:r>
      <w:r>
        <w:rPr>
          <w:rFonts w:hint="eastAsia" w:ascii="宋体" w:hAnsi="宋体" w:cs="宋体"/>
          <w:color w:val="auto"/>
          <w:sz w:val="21"/>
          <w:szCs w:val="21"/>
          <w:highlight w:val="none"/>
          <w:lang w:val="en-US" w:eastAsia="zh-CN" w:bidi="ar"/>
        </w:rPr>
        <w:t xml:space="preserve">保税区</w:t>
      </w:r>
      <w:r>
        <w:rPr>
          <w:rFonts w:hint="eastAsia" w:ascii="宋体" w:hAnsi="宋体" w:eastAsia="宋体" w:cs="宋体"/>
          <w:color w:val="auto"/>
          <w:sz w:val="21"/>
          <w:szCs w:val="21"/>
          <w:highlight w:val="none"/>
          <w:lang w:val="en-US" w:eastAsia="zh-CN" w:bidi="ar"/>
        </w:rPr>
        <w:t xml:space="preserve">举办的各类国际国内及大型节庆活动保障，确保路灯照明设施正常运行。活动前一周乙方应反复检查养护区域内设施，及时排除各类故障，要求亮灯情况、设施完好情况达到规定要求，活动当天应安排工作人员现场保障</w:t>
      </w:r>
      <w:r>
        <w:rPr>
          <w:rFonts w:hint="eastAsia"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在接到甲方的书面通知后未响应的</w:t>
      </w:r>
      <w:r>
        <w:rPr>
          <w:rFonts w:hint="eastAsia" w:cs="宋体"/>
          <w:color w:val="auto"/>
          <w:sz w:val="21"/>
          <w:szCs w:val="21"/>
          <w:highlight w:val="none"/>
          <w:lang w:val="en-US" w:eastAsia="zh-CN" w:bidi="ar"/>
        </w:rPr>
        <w:t xml:space="preserve">，</w:t>
      </w:r>
      <w:r>
        <w:rPr>
          <w:rFonts w:hint="eastAsia" w:ascii="宋体" w:hAnsi="宋体" w:cs="宋体"/>
          <w:color w:val="auto"/>
          <w:sz w:val="21"/>
          <w:szCs w:val="21"/>
          <w:highlight w:val="none"/>
        </w:rPr>
        <w:t xml:space="preserve">未按要求保障大型节庆活动照明设施正常运行，或接到书面通知后未响应现场保障需求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w:t>
      </w:r>
      <w:r/>
    </w:p>
    <w:p>
      <w:pPr>
        <w:pStyle w:val="855"/>
        <w:ind w:firstLine="420"/>
        <w:jc w:val="left"/>
        <w:keepLines w:val="0"/>
        <w:keepNext w:val="0"/>
        <w:widowControl/>
        <w:rPr>
          <w:rFonts w:hint="eastAsia" w:cs="宋体"/>
          <w:color w:val="auto"/>
          <w:sz w:val="21"/>
          <w:szCs w:val="21"/>
          <w:highlight w:val="none"/>
          <w:lang w:val="en-US" w:eastAsia="zh-CN" w:bidi="ar"/>
        </w:rPr>
        <w:suppressLineNumbers w:val="0"/>
      </w:pPr>
      <w:r>
        <w:rPr>
          <w:rFonts w:hint="eastAsia" w:cs="宋体"/>
          <w:color w:val="auto"/>
          <w:sz w:val="21"/>
          <w:szCs w:val="21"/>
          <w:highlight w:val="none"/>
          <w:lang w:eastAsia="zh-CN"/>
        </w:rPr>
        <w:t xml:space="preserve">F</w:t>
      </w:r>
      <w:r>
        <w:rPr>
          <w:rFonts w:hint="eastAsia" w:ascii="宋体" w:hAnsi="宋体" w:cs="宋体"/>
          <w:color w:val="auto"/>
          <w:sz w:val="21"/>
          <w:szCs w:val="21"/>
          <w:highlight w:val="none"/>
        </w:rPr>
        <w:t xml:space="preserve">未按甲方要求提供备品备件（按</w:t>
      </w:r>
      <w:r>
        <w:rPr>
          <w:rFonts w:hint="eastAsia" w:ascii="宋体" w:hAnsi="宋体" w:cs="宋体"/>
          <w:color w:val="auto"/>
          <w:sz w:val="21"/>
          <w:szCs w:val="21"/>
          <w:highlight w:val="none"/>
          <w:lang w:val="en-US" w:eastAsia="zh-CN"/>
        </w:rPr>
        <w:t xml:space="preserve">招标文件</w:t>
      </w:r>
      <w:r>
        <w:rPr>
          <w:rFonts w:hint="eastAsia" w:ascii="宋体" w:hAnsi="宋体" w:cs="宋体"/>
          <w:color w:val="auto"/>
          <w:sz w:val="21"/>
          <w:szCs w:val="21"/>
          <w:highlight w:val="none"/>
        </w:rPr>
        <w:t xml:space="preserve">清单配置</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none"/>
          <w:lang w:val="en-US" w:eastAsia="zh-CN"/>
        </w:rPr>
        <w:t xml:space="preserve">或未按招标文件落实应急驻场条件</w:t>
      </w:r>
      <w:r>
        <w:rPr>
          <w:rFonts w:hint="eastAsia" w:cs="宋体"/>
          <w:color w:val="auto"/>
          <w:sz w:val="21"/>
          <w:szCs w:val="21"/>
          <w:highlight w:val="none"/>
          <w:u w:val="none"/>
          <w:lang w:val="en-US" w:eastAsia="zh-CN"/>
        </w:rPr>
        <w:t xml:space="preserve">以及配</w:t>
      </w:r>
      <w:r>
        <w:rPr>
          <w:rFonts w:hint="eastAsia" w:ascii="宋体" w:hAnsi="宋体" w:cs="宋体"/>
          <w:color w:val="auto"/>
          <w:sz w:val="21"/>
          <w:szCs w:val="21"/>
          <w:highlight w:val="none"/>
        </w:rPr>
        <w:t xml:space="preserve">备相应的抢修车辆停放场地、备品备件存放场所及值班值守人员，确保在接到故障报修后 30分钟内 抵达现场实施抢修</w:t>
      </w:r>
      <w:r>
        <w:rPr>
          <w:rFonts w:hint="eastAsia" w:cs="宋体"/>
          <w:color w:val="auto"/>
          <w:sz w:val="21"/>
          <w:szCs w:val="21"/>
          <w:highlight w:val="none"/>
          <w:lang w:val="en-US" w:eastAsia="zh-CN" w:bidi="ar"/>
        </w:rPr>
        <w:t xml:space="preserve">；</w:t>
      </w:r>
      <w:r/>
    </w:p>
    <w:p>
      <w:pPr>
        <w:pStyle w:val="855"/>
        <w:ind w:firstLine="422"/>
        <w:spacing w:line="440" w:lineRule="exact"/>
        <w:rPr>
          <w:rFonts w:hint="eastAsia" w:ascii="宋体" w:hAnsi="宋体" w:eastAsia="宋体" w:cs="宋体"/>
          <w:color w:val="auto"/>
          <w:sz w:val="21"/>
          <w:szCs w:val="21"/>
          <w:highlight w:val="none"/>
          <w:lang w:val="en-US" w:eastAsia="zh-CN" w:bidi="ar"/>
        </w:rPr>
      </w:pPr>
      <w:r>
        <w:rPr>
          <w:rFonts w:hint="eastAsia" w:cs="宋体"/>
          <w:b/>
          <w:bCs/>
          <w:color w:val="auto"/>
          <w:sz w:val="21"/>
          <w:szCs w:val="21"/>
          <w:highlight w:val="none"/>
          <w:lang w:val="en-US" w:eastAsia="zh-CN"/>
        </w:rPr>
        <w:t xml:space="preserve">G</w:t>
      </w:r>
      <w:r>
        <w:rPr>
          <w:rFonts w:hint="eastAsia" w:ascii="宋体" w:hAnsi="宋体" w:eastAsia="宋体" w:cs="宋体"/>
          <w:color w:val="auto"/>
          <w:sz w:val="21"/>
          <w:szCs w:val="21"/>
          <w:highlight w:val="none"/>
          <w:lang w:val="en-US" w:eastAsia="zh-CN" w:bidi="ar"/>
        </w:rPr>
        <w:t xml:space="preserve">乙方未在规定期限内（中标后 15 日内）主动提供人员清单及相应证明（身份证、相关证书、 驾驶证等复印件），车辆行驶证、产权证、车辆外观图片及车辆相关高度参数等相关证明材料（租赁的同时提供租赁协议复印件）的，或未经甲方确认后开展项目的，或经甲方确认后不满足要求的；</w:t>
      </w:r>
      <w:r/>
    </w:p>
    <w:p>
      <w:pPr>
        <w:pStyle w:val="855"/>
        <w:ind w:firstLine="420"/>
        <w:spacing w:line="440" w:lineRule="exact"/>
        <w:rPr>
          <w:rFonts w:hint="eastAsia" w:ascii="宋体" w:hAnsi="宋体" w:cs="宋体"/>
          <w:color w:val="auto"/>
          <w:sz w:val="21"/>
          <w:szCs w:val="21"/>
          <w:highlight w:val="none"/>
        </w:rPr>
      </w:pPr>
      <w:r>
        <w:rPr>
          <w:rFonts w:hint="eastAsia" w:cs="宋体"/>
          <w:color w:val="auto"/>
          <w:sz w:val="21"/>
          <w:szCs w:val="21"/>
          <w:highlight w:val="none"/>
          <w:lang w:val="en-US" w:eastAsia="zh-CN"/>
        </w:rPr>
        <w:t xml:space="preserve">H</w:t>
      </w:r>
      <w:r>
        <w:rPr>
          <w:rFonts w:hint="eastAsia" w:ascii="宋体" w:hAnsi="宋体" w:cs="宋体"/>
          <w:color w:val="auto"/>
          <w:sz w:val="21"/>
          <w:szCs w:val="21"/>
          <w:highlight w:val="none"/>
        </w:rPr>
        <w:t xml:space="preserve">其他严重不遵守合同约定事项或不服从采购人管理的行为。</w:t>
      </w:r>
      <w:r/>
    </w:p>
    <w:p>
      <w:pPr>
        <w:pStyle w:val="855"/>
        <w:ind w:firstLine="422"/>
        <w:jc w:val="left"/>
        <w:keepLines w:val="0"/>
        <w:keepNext w:val="0"/>
        <w:widowControl/>
        <w:rPr>
          <w:rFonts w:hint="eastAsia" w:ascii="宋体" w:hAnsi="宋体" w:cs="宋体"/>
          <w:color w:val="auto"/>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如解除合同，除甲方根据情况另行书面决定外，乙方须继续执行本项目相关要求直至甲方完成接管或找到新的接替服务企业，在此期间乙方仍应承担全部合同责任，否则造成的影响和损失全部由</w:t>
      </w:r>
      <w:r>
        <w:rPr>
          <w:rFonts w:hint="eastAsia" w:ascii="宋体" w:hAnsi="宋体" w:cs="宋体"/>
          <w:b/>
          <w:bCs/>
          <w:color w:val="auto"/>
          <w:sz w:val="21"/>
          <w:szCs w:val="21"/>
          <w:highlight w:val="none"/>
          <w:lang w:val="en-US" w:eastAsia="zh-CN" w:bidi="ar"/>
        </w:rPr>
        <w:t xml:space="preserve">乙</w:t>
      </w:r>
      <w:r>
        <w:rPr>
          <w:rFonts w:hint="eastAsia" w:ascii="宋体" w:hAnsi="宋体" w:eastAsia="宋体" w:cs="宋体"/>
          <w:b/>
          <w:bCs/>
          <w:color w:val="auto"/>
          <w:sz w:val="21"/>
          <w:szCs w:val="21"/>
          <w:highlight w:val="none"/>
          <w:lang w:val="en-US" w:eastAsia="zh-CN" w:bidi="ar"/>
        </w:rPr>
        <w:t xml:space="preserve">方承担。 </w:t>
      </w:r>
      <w:r/>
    </w:p>
    <w:p>
      <w:pPr>
        <w:ind w:right="69"/>
        <w:jc w:val="both"/>
        <w:keepLines w:val="0"/>
        <w:keepNext w:val="0"/>
        <w:pageBreakBefore w:val="0"/>
        <w:spacing w:before="156" w:line="440" w:lineRule="exact"/>
        <w:widowControl w:val="off"/>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11.10本合同项下</w:t>
      </w:r>
      <w:r>
        <w:rPr>
          <w:rFonts w:hint="default" w:ascii="宋体" w:hAnsi="宋体" w:eastAsia="宋体" w:cs="宋体"/>
          <w:color w:val="auto"/>
          <w:sz w:val="21"/>
          <w:szCs w:val="21"/>
          <w:highlight w:val="none"/>
          <w:lang w:val="en-US" w:eastAsia="zh-CN" w:bidi="ar"/>
        </w:rPr>
        <w:t xml:space="preserve">的履约保证金</w:t>
      </w:r>
      <w:r>
        <w:rPr>
          <w:rFonts w:hint="eastAsia" w:ascii="宋体" w:hAnsi="宋体" w:eastAsia="宋体" w:cs="宋体"/>
          <w:color w:val="auto"/>
          <w:sz w:val="21"/>
          <w:szCs w:val="21"/>
          <w:highlight w:val="none"/>
          <w:lang w:val="en-US" w:eastAsia="zh-CN" w:bidi="ar"/>
        </w:rPr>
        <w:t xml:space="preserve">，当乙方发生违约行为并因此对甲方负有金钱支付义务 </w:t>
      </w:r>
      <w:r>
        <w:rPr>
          <w:rFonts w:hint="default" w:ascii="宋体" w:hAnsi="宋体" w:eastAsia="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时，甲方</w:t>
      </w:r>
      <w:r>
        <w:rPr>
          <w:rFonts w:hint="default" w:ascii="宋体" w:hAnsi="宋体" w:eastAsia="宋体" w:cs="宋体"/>
          <w:color w:val="auto"/>
          <w:sz w:val="21"/>
          <w:szCs w:val="21"/>
          <w:highlight w:val="none"/>
          <w:lang w:val="en-US" w:eastAsia="zh-CN" w:bidi="ar"/>
        </w:rPr>
        <w:t xml:space="preserve">首先</w:t>
      </w:r>
      <w:r>
        <w:rPr>
          <w:rFonts w:hint="eastAsia" w:ascii="宋体" w:hAnsi="宋体" w:eastAsia="宋体" w:cs="宋体"/>
          <w:color w:val="auto"/>
          <w:sz w:val="21"/>
          <w:szCs w:val="21"/>
          <w:highlight w:val="none"/>
          <w:lang w:val="en-US" w:eastAsia="zh-CN" w:bidi="ar"/>
        </w:rPr>
        <w:t xml:space="preserve">有权从应付给乙方的任何到期款项中直接抵销相等金额</w:t>
      </w:r>
      <w:r>
        <w:rPr>
          <w:rFonts w:hint="default" w:ascii="宋体" w:hAnsi="宋体" w:eastAsia="宋体" w:cs="宋体"/>
          <w:color w:val="auto"/>
          <w:sz w:val="21"/>
          <w:szCs w:val="21"/>
          <w:highlight w:val="none"/>
          <w:lang w:val="en-US" w:eastAsia="zh-CN" w:bidi="ar"/>
        </w:rPr>
        <w:t xml:space="preserve">，不够部分从履约保证金中出，仍不足的乙方应继续支付。</w:t>
      </w:r>
      <w:r>
        <w:rPr>
          <w:rFonts w:hint="eastAsia" w:ascii="宋体" w:hAnsi="宋体" w:eastAsia="宋体" w:cs="宋体"/>
          <w:color w:val="auto"/>
          <w:sz w:val="21"/>
          <w:szCs w:val="21"/>
          <w:highlight w:val="none"/>
          <w:lang w:val="en-US" w:eastAsia="zh-CN" w:bidi="ar"/>
        </w:rPr>
        <w:t xml:space="preserve">甲方行使抵销权后，应书面通知乙方。抵销不影响甲方就未获清偿的部分继续向乙方或履约担保单位追偿。</w:t>
      </w:r>
      <w:r>
        <w:rPr>
          <w:rFonts w:hint="default" w:ascii="宋体" w:hAnsi="宋体" w:eastAsia="宋体" w:cs="宋体"/>
          <w:color w:val="auto"/>
          <w:sz w:val="21"/>
          <w:szCs w:val="21"/>
          <w:highlight w:val="none"/>
          <w:lang w:val="en-US" w:eastAsia="zh-CN" w:bidi="ar"/>
        </w:rPr>
        <w:t xml:space="preserve">履约保证金中扣除违约金后，乙方应马上补足到原金额。</w:t>
      </w:r>
      <w:r/>
    </w:p>
    <w:p>
      <w:pPr>
        <w:ind w:right="69"/>
        <w:jc w:val="both"/>
        <w:keepLines w:val="0"/>
        <w:keepNext w:val="0"/>
        <w:pageBreakBefore w:val="0"/>
        <w:spacing w:before="156" w:line="440" w:lineRule="exact"/>
        <w:widowControl w:val="off"/>
        <w:rPr>
          <w:rFonts w:hint="eastAsia" w:ascii="宋体" w:hAnsi="宋体" w:eastAsia="宋体" w:cs="宋体"/>
          <w:color w:val="auto"/>
          <w:spacing w:val="0"/>
          <w:sz w:val="21"/>
          <w:szCs w:val="21"/>
          <w:highlight w:val="none"/>
          <w:u w:val="none"/>
          <w:lang w:eastAsia="zh-CN" w:bidi="ar"/>
        </w:rPr>
      </w:pPr>
      <w:r>
        <w:rPr>
          <w:rFonts w:hint="eastAsia" w:ascii="宋体" w:hAnsi="宋体" w:eastAsia="宋体" w:cs="宋体"/>
          <w:color w:val="auto"/>
          <w:spacing w:val="0"/>
          <w:sz w:val="21"/>
          <w:szCs w:val="21"/>
          <w:highlight w:val="none"/>
          <w:u w:val="none"/>
          <w:lang w:eastAsia="zh-CN" w:bidi="ar"/>
        </w:rPr>
        <w:t xml:space="preserve">因</w:t>
      </w:r>
      <w:r>
        <w:rPr>
          <w:rFonts w:hint="eastAsia" w:ascii="宋体" w:hAnsi="宋体" w:eastAsia="宋体" w:cs="宋体"/>
          <w:color w:val="auto"/>
          <w:spacing w:val="0"/>
          <w:sz w:val="21"/>
          <w:szCs w:val="21"/>
          <w:highlight w:val="none"/>
          <w:u w:val="none"/>
          <w:lang w:val="en-US" w:eastAsia="zh-CN" w:bidi="ar"/>
        </w:rPr>
        <w:t xml:space="preserve">乙方</w:t>
      </w:r>
      <w:r>
        <w:rPr>
          <w:rFonts w:hint="eastAsia" w:ascii="宋体" w:hAnsi="宋体" w:eastAsia="宋体" w:cs="宋体"/>
          <w:color w:val="auto"/>
          <w:spacing w:val="0"/>
          <w:sz w:val="21"/>
          <w:szCs w:val="21"/>
          <w:highlight w:val="none"/>
          <w:u w:val="none"/>
          <w:lang w:eastAsia="zh-CN" w:bidi="ar"/>
        </w:rPr>
        <w:t xml:space="preserve">原因导致保函被银行冻结、止付、撤销、宣告无效的，</w:t>
      </w:r>
      <w:r>
        <w:rPr>
          <w:rFonts w:hint="eastAsia" w:ascii="宋体" w:hAnsi="宋体" w:eastAsia="宋体" w:cs="宋体"/>
          <w:color w:val="auto"/>
          <w:spacing w:val="0"/>
          <w:sz w:val="21"/>
          <w:szCs w:val="21"/>
          <w:highlight w:val="none"/>
          <w:u w:val="none"/>
          <w:lang w:val="en-US" w:eastAsia="zh-CN" w:bidi="ar"/>
        </w:rPr>
        <w:t xml:space="preserve">甲方</w:t>
      </w:r>
      <w:r>
        <w:rPr>
          <w:rFonts w:hint="eastAsia" w:ascii="宋体" w:hAnsi="宋体" w:eastAsia="宋体" w:cs="宋体"/>
          <w:color w:val="auto"/>
          <w:spacing w:val="0"/>
          <w:sz w:val="21"/>
          <w:szCs w:val="21"/>
          <w:highlight w:val="none"/>
          <w:u w:val="none"/>
          <w:lang w:eastAsia="zh-CN" w:bidi="ar"/>
        </w:rPr>
        <w:t xml:space="preserve">有权立即向银行主张全部保函担保金额的索赔，同时有权中止本合同并不予支付全部费用或单方解除本合同，</w:t>
      </w:r>
      <w:r>
        <w:rPr>
          <w:rFonts w:hint="eastAsia" w:ascii="宋体" w:hAnsi="宋体" w:eastAsia="宋体" w:cs="宋体"/>
          <w:color w:val="auto"/>
          <w:spacing w:val="0"/>
          <w:sz w:val="21"/>
          <w:szCs w:val="21"/>
          <w:highlight w:val="none"/>
          <w:u w:val="none"/>
          <w:lang w:val="en-US" w:eastAsia="zh-CN" w:bidi="ar"/>
        </w:rPr>
        <w:t xml:space="preserve">乙方</w:t>
      </w:r>
      <w:r>
        <w:rPr>
          <w:rFonts w:hint="eastAsia" w:ascii="宋体" w:hAnsi="宋体" w:eastAsia="宋体" w:cs="宋体"/>
          <w:color w:val="auto"/>
          <w:spacing w:val="0"/>
          <w:sz w:val="21"/>
          <w:szCs w:val="21"/>
          <w:highlight w:val="none"/>
          <w:u w:val="none"/>
          <w:lang w:eastAsia="zh-CN" w:bidi="ar"/>
        </w:rPr>
        <w:t xml:space="preserve">应承担由此给</w:t>
      </w:r>
      <w:r>
        <w:rPr>
          <w:rFonts w:hint="eastAsia" w:ascii="宋体" w:hAnsi="宋体" w:eastAsia="宋体" w:cs="宋体"/>
          <w:color w:val="auto"/>
          <w:spacing w:val="0"/>
          <w:sz w:val="21"/>
          <w:szCs w:val="21"/>
          <w:highlight w:val="none"/>
          <w:u w:val="none"/>
          <w:lang w:val="en-US" w:eastAsia="zh-CN" w:bidi="ar"/>
        </w:rPr>
        <w:t xml:space="preserve">甲方</w:t>
      </w:r>
      <w:r>
        <w:rPr>
          <w:rFonts w:hint="eastAsia" w:ascii="宋体" w:hAnsi="宋体" w:eastAsia="宋体" w:cs="宋体"/>
          <w:color w:val="auto"/>
          <w:spacing w:val="0"/>
          <w:sz w:val="21"/>
          <w:szCs w:val="21"/>
          <w:highlight w:val="none"/>
          <w:u w:val="none"/>
          <w:lang w:eastAsia="zh-CN" w:bidi="ar"/>
        </w:rPr>
        <w:t xml:space="preserve">造成的全部损失。</w:t>
      </w:r>
      <w:r/>
    </w:p>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十二、不可抗力事件处理</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 本合同所称不可抗力，是指不能预见、不能避免并不能克服的客观情况，包括但不限于地震、台风、洪水、火灾、战争、政策调整等。</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 在合同有效期内，任何一方因不可抗力事件导致不能履行或不能完全履行本合同义务的，应在不可抗力事件发生后48小时内书面通知对方，并在事件发生后15个工作日内，向对方提交有关权威机构出具的证明文件（如气象部门证明、政府公告等）。</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12.3 因不可抗力导致合同履行延误的，合同履行期可相应延长，延长期限与不可抗力影响期限一致，双方互不承担违约责任。不可抗力影响消除后，受影响方应立即通知对方，并积极采取措施恢复合同履行。</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12.4 若不可抗力事件持续120天以上，双方应在事件发生后通过友好协商，确定是否继续履行本合同。</w:t>
      </w:r>
      <w:r/>
    </w:p>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十三、诉讼</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 本合同履行过程中，双方如发生争议，应首先通过友好协商解决；协商不成的，任何一方均有权向本合同签订地有管辖权的人民法院提起诉讼。</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 本合同签订地约定为：江苏省张家港市。</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13.3 争议解决期间，除争议事项外，双方应继续履行本合同其他义务。</w:t>
      </w:r>
      <w:r/>
    </w:p>
    <w:p>
      <w:pPr>
        <w:ind w:firstLine="47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十四、合同其他文件</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14.1下列文件为本合同不可分割部份，与本合同具有同等效力。</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(1)中标通知书；</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(2)乙方中标的投标文件；</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(3)本项目招标文件；</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(4)乙方在招投标过程中所作的其他承诺、声明、书面澄清等。</w:t>
      </w:r>
      <w:r/>
    </w:p>
    <w:p>
      <w:pPr>
        <w:ind w:firstLine="47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十五、合同生效及其它</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15.1合同经双方法定代表人（或负责人）或授权委托代表人签字，并加盖双方公章后生效,生效后报送张家港市政府采购管理中心备案。</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15.2 本合同未尽事宜，双方应遵照《中华人民共和国民法典》合同编及相关政府采购法律法规，经甲乙双方协商一致后签订补充协议。补充协议与本合同具有同等法律效力。</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15.3本合同正本一式六份，具有同等法律效力，其中甲方执三份，乙方、张家港市政府采购管理中心、张家港保税区宏宇建设咨询有限公司各执一份。</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甲方：                                 乙方：</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地址：                                 地址：</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法定代表人或授权代表：                 法定代表人或授权代表：</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联系电话：                             联系电话：</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签订日期：      年    月  日      </w:t>
      </w:r>
      <w:r/>
    </w:p>
    <w:p>
      <w:pPr>
        <w:pStyle w:val="1378"/>
        <w:spacing w:line="360" w:lineRule="auto"/>
        <w:rPr>
          <w:rStyle w:val="141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采购代理机构：张家港保税区宏宇建设咨询有限公司</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地址：张家港市杨舍镇国泰北路15号</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经办人：</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联系电话：0512-58358805</w:t>
      </w:r>
      <w:r/>
    </w:p>
    <w:p>
      <w:pPr>
        <w:pStyle w:val="1378"/>
        <w:ind w:firstLine="480"/>
        <w:spacing w:line="360" w:lineRule="auto"/>
        <w:rPr>
          <w:rStyle w:val="1414"/>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378"/>
        <w:ind w:firstLine="480"/>
        <w:spacing w:line="360" w:lineRule="auto"/>
        <w:rPr>
          <w:rStyle w:val="1414"/>
          <w:rFonts w:hint="eastAsia" w:ascii="宋体" w:hAnsi="宋体" w:eastAsia="宋体" w:cs="宋体"/>
          <w:color w:val="auto"/>
          <w:sz w:val="21"/>
          <w:szCs w:val="21"/>
          <w:highlight w:val="none"/>
          <w:lang w:val="en-US" w:eastAsia="zh-CN"/>
        </w:rPr>
      </w:pPr>
      <w:r>
        <w:rPr>
          <w:rStyle w:val="1414"/>
          <w:rFonts w:hint="eastAsia" w:ascii="宋体" w:hAnsi="宋体" w:eastAsia="宋体" w:cs="宋体"/>
          <w:color w:val="auto"/>
          <w:sz w:val="21"/>
          <w:szCs w:val="21"/>
          <w:highlight w:val="none"/>
        </w:rPr>
        <w:t xml:space="preserve">备案方：张家港市政府采购管理</w:t>
      </w:r>
      <w:r>
        <w:rPr>
          <w:rStyle w:val="1414"/>
          <w:rFonts w:hint="eastAsia" w:ascii="宋体" w:hAnsi="宋体" w:eastAsia="宋体" w:cs="宋体"/>
          <w:color w:val="auto"/>
          <w:sz w:val="21"/>
          <w:szCs w:val="21"/>
          <w:highlight w:val="none"/>
          <w:lang w:val="en-US" w:eastAsia="zh-CN"/>
        </w:rPr>
        <w:t xml:space="preserve">中心</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联系人：</w:t>
      </w:r>
      <w:r/>
    </w:p>
    <w:p>
      <w:pPr>
        <w:pStyle w:val="1378"/>
        <w:ind w:firstLine="480"/>
        <w:spacing w:line="360" w:lineRule="auto"/>
        <w:rPr>
          <w:rStyle w:val="1414"/>
          <w:rFonts w:hint="eastAsia" w:ascii="宋体" w:hAnsi="宋体" w:eastAsia="宋体" w:cs="宋体"/>
          <w:color w:val="auto"/>
          <w:sz w:val="21"/>
          <w:szCs w:val="21"/>
          <w:highlight w:val="none"/>
        </w:rPr>
      </w:pPr>
      <w:r>
        <w:rPr>
          <w:rStyle w:val="1414"/>
          <w:rFonts w:hint="eastAsia" w:ascii="宋体" w:hAnsi="宋体" w:eastAsia="宋体" w:cs="宋体"/>
          <w:color w:val="auto"/>
          <w:sz w:val="21"/>
          <w:szCs w:val="21"/>
          <w:highlight w:val="none"/>
        </w:rPr>
        <w:t xml:space="preserve">联系电话：</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186"/>
      <w:r/>
      <w:r/>
    </w:p>
    <w:p>
      <w:pPr>
        <w:pStyle w:val="747"/>
        <w:pageBreakBefore/>
        <w:spacing w:line="360" w:lineRule="auto"/>
        <w:rPr>
          <w:color w:val="auto"/>
          <w:highlight w:val="none"/>
        </w:rPr>
      </w:pPr>
      <w:r/>
      <w:bookmarkStart w:id="198" w:name="_Toc1478"/>
      <w:r>
        <w:rPr>
          <w:rFonts w:hint="eastAsia"/>
          <w:color w:val="auto"/>
          <w:highlight w:val="none"/>
        </w:rPr>
        <w:t xml:space="preserve">第四章 项目需求</w:t>
      </w:r>
      <w:bookmarkEnd w:id="198"/>
      <w:r/>
      <w:r/>
    </w:p>
    <w:p>
      <w:pPr>
        <w:spacing w:line="360" w:lineRule="auto"/>
        <w:rPr>
          <w:rFonts w:hint="eastAsia" w:ascii="宋体" w:hAnsi="宋体" w:cs="宋体"/>
          <w:b/>
          <w:color w:val="auto"/>
          <w:sz w:val="21"/>
          <w:szCs w:val="21"/>
          <w:highlight w:val="none"/>
        </w:rPr>
        <w:outlineLvl w:val="1"/>
      </w:pPr>
      <w:r/>
      <w:bookmarkStart w:id="199" w:name="_Toc28248"/>
      <w:r>
        <w:rPr>
          <w:rFonts w:hint="eastAsia" w:ascii="宋体" w:hAnsi="宋体" w:cs="宋体"/>
          <w:b/>
          <w:color w:val="auto"/>
          <w:sz w:val="21"/>
          <w:szCs w:val="21"/>
          <w:highlight w:val="none"/>
        </w:rPr>
        <w:t xml:space="preserve">一、清单</w:t>
      </w:r>
      <w:bookmarkEnd w:id="199"/>
      <w:r/>
      <w:r/>
    </w:p>
    <w:p>
      <w:pPr>
        <w:pStyle w:val="1342"/>
        <w:ind w:firstLine="499"/>
        <w:spacing w:before="120" w:line="360" w:lineRule="auto"/>
        <w:rPr>
          <w:rStyle w:val="1108"/>
          <w:rFonts w:hint="eastAsia" w:ascii="宋体" w:hAnsi="宋体" w:eastAsia="宋体" w:cs="宋体"/>
          <w:color w:val="auto"/>
          <w:sz w:val="21"/>
          <w:szCs w:val="21"/>
          <w:highlight w:val="none"/>
        </w:rPr>
      </w:pPr>
      <w:r>
        <w:rPr>
          <w:rStyle w:val="992"/>
          <w:rFonts w:hint="eastAsia" w:ascii="宋体" w:hAnsi="宋体" w:cs="宋体"/>
          <w:b/>
          <w:bCs/>
          <w:color w:val="auto"/>
          <w:spacing w:val="7"/>
          <w:szCs w:val="21"/>
          <w:highlight w:val="none"/>
        </w:rPr>
        <w:t xml:space="preserve">1.清单</w:t>
      </w:r>
      <w:r/>
    </w:p>
    <w:tbl>
      <w:tblPr>
        <w:tblStyle w:val="757"/>
        <w:tblW w:w="8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1"/>
        <w:gridCol w:w="1728"/>
        <w:gridCol w:w="770"/>
        <w:gridCol w:w="770"/>
        <w:gridCol w:w="770"/>
        <w:gridCol w:w="1878"/>
        <w:gridCol w:w="1178"/>
        <w:gridCol w:w="1179"/>
      </w:tblGrid>
      <w:tr>
        <w:trPr>
          <w:jc w:val="center"/>
          <w:trHeight w:val="567"/>
        </w:trPr>
        <w:tc>
          <w:tcPr>
            <w:tcMar>
              <w:top w:w="100" w:type="dxa"/>
              <w:bottom w:w="100" w:type="dxa"/>
            </w:tcMar>
            <w:tcW w:w="571"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序号</w:t>
            </w:r>
            <w:r/>
          </w:p>
        </w:tc>
        <w:tc>
          <w:tcPr>
            <w:tcMar>
              <w:top w:w="100" w:type="dxa"/>
              <w:bottom w:w="100" w:type="dxa"/>
            </w:tcMar>
            <w:tcW w:w="1728"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名称</w:t>
            </w:r>
            <w:r/>
          </w:p>
        </w:tc>
        <w:tc>
          <w:tcPr>
            <w:tcMar>
              <w:top w:w="100" w:type="dxa"/>
              <w:bottom w:w="100" w:type="dxa"/>
            </w:tcMar>
            <w:tcW w:w="770"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数量</w:t>
            </w:r>
            <w:r/>
          </w:p>
        </w:tc>
        <w:tc>
          <w:tcPr>
            <w:tcMar>
              <w:top w:w="100" w:type="dxa"/>
              <w:bottom w:w="100" w:type="dxa"/>
            </w:tcMar>
            <w:tcW w:w="770"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单位</w:t>
            </w:r>
            <w:r/>
          </w:p>
        </w:tc>
        <w:tc>
          <w:tcPr>
            <w:tcMar>
              <w:top w:w="100" w:type="dxa"/>
              <w:bottom w:w="100" w:type="dxa"/>
            </w:tcMar>
            <w:tcW w:w="770"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图片</w:t>
            </w:r>
            <w:r/>
          </w:p>
        </w:tc>
        <w:tc>
          <w:tcPr>
            <w:tcMar>
              <w:top w:w="100" w:type="dxa"/>
              <w:bottom w:w="100" w:type="dxa"/>
            </w:tcMar>
            <w:tcW w:w="1878"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所属行业</w:t>
            </w:r>
            <w:r/>
          </w:p>
        </w:tc>
        <w:tc>
          <w:tcPr>
            <w:tcMar>
              <w:top w:w="100" w:type="dxa"/>
              <w:bottom w:w="100" w:type="dxa"/>
            </w:tcMar>
            <w:tcW w:w="1178"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标的类型</w:t>
            </w:r>
            <w:r/>
          </w:p>
        </w:tc>
        <w:tc>
          <w:tcPr>
            <w:tcMar>
              <w:top w:w="100" w:type="dxa"/>
              <w:bottom w:w="100" w:type="dxa"/>
            </w:tcMar>
            <w:tcW w:w="1179" w:type="dxa"/>
            <w:vAlign w:val="center"/>
            <w:textDirection w:val="lrTb"/>
            <w:noWrap/>
          </w:tcPr>
          <w:p>
            <w:pPr>
              <w:pStyle w:val="1213"/>
              <w:jc w:val="center"/>
              <w:spacing w:line="360" w:lineRule="auto"/>
              <w:rPr>
                <w:rStyle w:val="1108"/>
                <w:rFonts w:hint="eastAsia" w:ascii="宋体" w:hAnsi="宋体" w:eastAsia="宋体" w:cs="宋体"/>
                <w:b/>
                <w:bCs/>
                <w:color w:val="auto"/>
                <w:sz w:val="21"/>
                <w:szCs w:val="21"/>
                <w:highlight w:val="none"/>
              </w:rPr>
            </w:pPr>
            <w:r>
              <w:rPr>
                <w:rStyle w:val="1108"/>
                <w:rFonts w:hint="eastAsia" w:ascii="宋体" w:hAnsi="宋体" w:eastAsia="宋体" w:cs="宋体"/>
                <w:b/>
                <w:bCs/>
                <w:color w:val="auto"/>
                <w:sz w:val="21"/>
                <w:szCs w:val="21"/>
                <w:highlight w:val="none"/>
              </w:rPr>
              <w:t xml:space="preserve">标的属性</w:t>
            </w:r>
            <w:r/>
          </w:p>
        </w:tc>
      </w:tr>
      <w:tr>
        <w:trPr>
          <w:jc w:val="center"/>
          <w:trHeight w:val="567"/>
        </w:trPr>
        <w:tc>
          <w:tcPr>
            <w:tcMar>
              <w:top w:w="100" w:type="dxa"/>
              <w:bottom w:w="100" w:type="dxa"/>
            </w:tcMar>
            <w:tcW w:w="571"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Style w:val="1108"/>
                <w:rFonts w:hint="eastAsia" w:ascii="宋体" w:hAnsi="宋体" w:eastAsia="宋体" w:cs="宋体"/>
                <w:color w:val="auto"/>
                <w:sz w:val="21"/>
                <w:szCs w:val="21"/>
                <w:highlight w:val="none"/>
              </w:rPr>
              <w:t xml:space="preserve">1</w:t>
            </w:r>
            <w:r/>
          </w:p>
        </w:tc>
        <w:tc>
          <w:tcPr>
            <w:tcMar>
              <w:top w:w="100" w:type="dxa"/>
              <w:bottom w:w="100" w:type="dxa"/>
            </w:tcMar>
            <w:tcW w:w="1728"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保税区路灯改造能源管理服务项目</w:t>
            </w:r>
            <w:r/>
          </w:p>
        </w:tc>
        <w:tc>
          <w:tcPr>
            <w:tcMar>
              <w:top w:w="100" w:type="dxa"/>
              <w:bottom w:w="100" w:type="dxa"/>
            </w:tcMar>
            <w:tcW w:w="770"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Style w:val="1108"/>
                <w:rFonts w:hint="eastAsia" w:ascii="宋体" w:hAnsi="宋体" w:eastAsia="宋体" w:cs="宋体"/>
                <w:color w:val="auto"/>
                <w:sz w:val="21"/>
                <w:szCs w:val="21"/>
                <w:highlight w:val="none"/>
              </w:rPr>
              <w:t xml:space="preserve">1.00</w:t>
            </w:r>
            <w:r/>
          </w:p>
        </w:tc>
        <w:tc>
          <w:tcPr>
            <w:tcMar>
              <w:top w:w="100" w:type="dxa"/>
              <w:bottom w:w="100" w:type="dxa"/>
            </w:tcMar>
            <w:tcW w:w="770"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Style w:val="1108"/>
                <w:rFonts w:hint="eastAsia" w:ascii="宋体" w:hAnsi="宋体" w:eastAsia="宋体" w:cs="宋体"/>
                <w:color w:val="auto"/>
                <w:sz w:val="21"/>
                <w:szCs w:val="21"/>
                <w:highlight w:val="none"/>
              </w:rPr>
              <w:t xml:space="preserve">项</w:t>
            </w:r>
            <w:r/>
          </w:p>
        </w:tc>
        <w:tc>
          <w:tcPr>
            <w:tcMar>
              <w:top w:w="100" w:type="dxa"/>
              <w:bottom w:w="100" w:type="dxa"/>
            </w:tcMar>
            <w:tcW w:w="770"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Style w:val="1108"/>
                <w:rFonts w:hint="eastAsia" w:ascii="宋体" w:hAnsi="宋体" w:eastAsia="宋体" w:cs="宋体"/>
                <w:color w:val="auto"/>
                <w:sz w:val="21"/>
                <w:szCs w:val="21"/>
                <w:highlight w:val="none"/>
              </w:rPr>
              <w:t xml:space="preserve">无</w:t>
            </w:r>
            <w:r/>
          </w:p>
        </w:tc>
        <w:tc>
          <w:tcPr>
            <w:tcMar>
              <w:top w:w="100" w:type="dxa"/>
              <w:bottom w:w="100" w:type="dxa"/>
            </w:tcMar>
            <w:tcW w:w="1878"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Style w:val="992"/>
                <w:rFonts w:hint="eastAsia" w:ascii="宋体" w:hAnsi="宋体" w:cs="宋体"/>
                <w:color w:val="auto"/>
                <w:spacing w:val="7"/>
                <w:sz w:val="21"/>
                <w:szCs w:val="21"/>
                <w:highlight w:val="none"/>
              </w:rPr>
              <w:t xml:space="preserve">其他未列明行业</w:t>
            </w:r>
            <w:r/>
          </w:p>
        </w:tc>
        <w:tc>
          <w:tcPr>
            <w:tcMar>
              <w:top w:w="100" w:type="dxa"/>
              <w:bottom w:w="100" w:type="dxa"/>
            </w:tcMar>
            <w:tcW w:w="1178"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Style w:val="1108"/>
                <w:rFonts w:hint="eastAsia" w:ascii="宋体" w:hAnsi="宋体" w:eastAsia="宋体" w:cs="宋体"/>
                <w:color w:val="auto"/>
                <w:sz w:val="21"/>
                <w:szCs w:val="21"/>
                <w:highlight w:val="none"/>
              </w:rPr>
              <w:t xml:space="preserve">主要采购标的</w:t>
            </w:r>
            <w:r/>
          </w:p>
        </w:tc>
        <w:tc>
          <w:tcPr>
            <w:tcMar>
              <w:top w:w="100" w:type="dxa"/>
              <w:bottom w:w="100" w:type="dxa"/>
            </w:tcMar>
            <w:tcW w:w="1179" w:type="dxa"/>
            <w:vAlign w:val="center"/>
            <w:textDirection w:val="lrTb"/>
            <w:noWrap/>
          </w:tcPr>
          <w:p>
            <w:pPr>
              <w:pStyle w:val="1213"/>
              <w:jc w:val="center"/>
              <w:spacing w:line="360" w:lineRule="auto"/>
              <w:rPr>
                <w:rStyle w:val="1108"/>
                <w:rFonts w:hint="eastAsia" w:ascii="宋体" w:hAnsi="宋体" w:eastAsia="宋体" w:cs="宋体"/>
                <w:color w:val="auto"/>
                <w:sz w:val="21"/>
                <w:szCs w:val="21"/>
                <w:highlight w:val="none"/>
              </w:rPr>
            </w:pPr>
            <w:r>
              <w:rPr>
                <w:rStyle w:val="1108"/>
                <w:rFonts w:hint="eastAsia" w:ascii="宋体" w:hAnsi="宋体" w:eastAsia="宋体" w:cs="宋体"/>
                <w:color w:val="auto"/>
                <w:sz w:val="21"/>
                <w:szCs w:val="21"/>
                <w:highlight w:val="none"/>
              </w:rPr>
              <w:t xml:space="preserve">服务类</w:t>
            </w:r>
            <w:r/>
          </w:p>
        </w:tc>
      </w:tr>
    </w:tbl>
    <w:p>
      <w:pPr>
        <w:pStyle w:val="1213"/>
        <w:jc w:val="both"/>
        <w:spacing w:line="360" w:lineRule="auto"/>
        <w:rPr>
          <w:rStyle w:val="992"/>
          <w:rFonts w:hint="eastAsia" w:ascii="宋体" w:hAnsi="宋体" w:cs="宋体"/>
          <w:color w:val="auto"/>
          <w:szCs w:val="21"/>
          <w:highlight w:val="none"/>
        </w:rPr>
      </w:pPr>
      <w:r>
        <w:rPr>
          <w:rFonts w:hint="eastAsia" w:ascii="宋体" w:hAnsi="宋体" w:cs="宋体"/>
          <w:color w:val="auto"/>
          <w:szCs w:val="21"/>
          <w:highlight w:val="none"/>
        </w:rPr>
      </w:r>
      <w:r/>
    </w:p>
    <w:p>
      <w:pPr>
        <w:pStyle w:val="1202"/>
        <w:ind w:firstLine="499"/>
        <w:spacing w:line="360" w:lineRule="auto"/>
        <w:rPr>
          <w:rStyle w:val="992"/>
          <w:rFonts w:hint="eastAsia" w:ascii="宋体" w:hAnsi="宋体" w:cs="宋体"/>
          <w:color w:val="auto"/>
          <w:spacing w:val="7"/>
          <w:sz w:val="21"/>
          <w:szCs w:val="21"/>
          <w:highlight w:val="none"/>
        </w:rPr>
      </w:pPr>
      <w:r>
        <w:rPr>
          <w:rStyle w:val="992"/>
          <w:rFonts w:hint="eastAsia" w:ascii="宋体" w:hAnsi="宋体" w:cs="宋体"/>
          <w:color w:val="auto"/>
          <w:spacing w:val="7"/>
          <w:sz w:val="21"/>
          <w:szCs w:val="21"/>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342"/>
        <w:ind w:firstLine="499"/>
        <w:spacing w:before="120" w:line="360" w:lineRule="auto"/>
        <w:rPr>
          <w:rStyle w:val="992"/>
          <w:rFonts w:hint="eastAsia" w:ascii="宋体" w:hAnsi="宋体" w:cs="宋体"/>
          <w:b/>
          <w:bCs/>
          <w:color w:val="auto"/>
          <w:spacing w:val="7"/>
          <w:sz w:val="21"/>
          <w:szCs w:val="21"/>
          <w:highlight w:val="none"/>
        </w:rPr>
      </w:pPr>
      <w:r>
        <w:rPr>
          <w:rStyle w:val="992"/>
          <w:rFonts w:hint="eastAsia" w:ascii="宋体" w:hAnsi="宋体" w:cs="宋体"/>
          <w:b/>
          <w:bCs/>
          <w:color w:val="auto"/>
          <w:spacing w:val="7"/>
          <w:sz w:val="21"/>
          <w:szCs w:val="21"/>
          <w:highlight w:val="none"/>
        </w:rPr>
        <w:t xml:space="preserve">2.核心产品清单</w:t>
      </w:r>
      <w:r/>
    </w:p>
    <w:p>
      <w:pPr>
        <w:pStyle w:val="1342"/>
        <w:ind w:firstLine="500"/>
        <w:spacing w:line="360" w:lineRule="auto"/>
        <w:rPr>
          <w:rStyle w:val="992"/>
          <w:rFonts w:hint="eastAsia" w:ascii="宋体" w:hAnsi="宋体" w:cs="宋体"/>
          <w:color w:val="auto"/>
          <w:spacing w:val="7"/>
          <w:sz w:val="21"/>
          <w:szCs w:val="21"/>
          <w:highlight w:val="none"/>
        </w:rPr>
      </w:pPr>
      <w:r>
        <w:rPr>
          <w:rStyle w:val="992"/>
          <w:rFonts w:hint="eastAsia" w:ascii="宋体" w:hAnsi="宋体" w:cs="宋体"/>
          <w:color w:val="auto"/>
          <w:spacing w:val="7"/>
          <w:sz w:val="21"/>
          <w:szCs w:val="21"/>
          <w:highlight w:val="none"/>
        </w:rPr>
        <w:t xml:space="preserve">无</w:t>
      </w:r>
      <w:r/>
    </w:p>
    <w:p>
      <w:pPr>
        <w:pStyle w:val="1342"/>
        <w:ind w:firstLine="500"/>
        <w:spacing w:line="360" w:lineRule="auto"/>
        <w:rPr>
          <w:rStyle w:val="992"/>
          <w:rFonts w:hint="eastAsia" w:ascii="宋体" w:hAnsi="宋体" w:cs="宋体"/>
          <w:color w:val="auto"/>
          <w:spacing w:val="7"/>
          <w:sz w:val="21"/>
          <w:szCs w:val="21"/>
          <w:highlight w:val="none"/>
        </w:rPr>
      </w:pPr>
      <w:r>
        <w:rPr>
          <w:rStyle w:val="992"/>
          <w:rFonts w:hint="eastAsia" w:ascii="宋体" w:hAnsi="宋体" w:cs="宋体"/>
          <w:color w:val="auto"/>
          <w:spacing w:val="7"/>
          <w:sz w:val="21"/>
          <w:szCs w:val="21"/>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179"/>
        <w:ind w:firstLine="500"/>
        <w:spacing w:line="360" w:lineRule="auto"/>
        <w:rPr>
          <w:rStyle w:val="992"/>
          <w:rFonts w:hint="eastAsia" w:ascii="宋体" w:hAnsi="宋体" w:cs="宋体"/>
          <w:color w:val="auto"/>
          <w:spacing w:val="7"/>
          <w:sz w:val="21"/>
          <w:szCs w:val="21"/>
          <w:highlight w:val="none"/>
        </w:rPr>
      </w:pPr>
      <w:r>
        <w:rPr>
          <w:rStyle w:val="992"/>
          <w:rFonts w:hint="eastAsia" w:ascii="宋体" w:hAnsi="宋体" w:cs="宋体"/>
          <w:color w:val="auto"/>
          <w:spacing w:val="7"/>
          <w:sz w:val="21"/>
          <w:szCs w:val="21"/>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42"/>
        <w:ind w:firstLine="499"/>
        <w:spacing w:before="120" w:line="360" w:lineRule="auto"/>
        <w:rPr>
          <w:rStyle w:val="992"/>
          <w:rFonts w:hint="eastAsia" w:ascii="宋体" w:hAnsi="宋体" w:cs="宋体"/>
          <w:b/>
          <w:bCs/>
          <w:color w:val="auto"/>
          <w:spacing w:val="7"/>
          <w:sz w:val="21"/>
          <w:szCs w:val="21"/>
          <w:highlight w:val="none"/>
        </w:rPr>
      </w:pPr>
      <w:r>
        <w:rPr>
          <w:rStyle w:val="992"/>
          <w:rFonts w:hint="eastAsia" w:ascii="宋体" w:hAnsi="宋体" w:cs="宋体"/>
          <w:b/>
          <w:bCs/>
          <w:color w:val="auto"/>
          <w:spacing w:val="7"/>
          <w:sz w:val="21"/>
          <w:szCs w:val="21"/>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179"/>
        <w:ind w:firstLine="500"/>
        <w:spacing w:line="360" w:lineRule="auto"/>
        <w:rPr>
          <w:rStyle w:val="992"/>
          <w:rFonts w:hint="eastAsia" w:ascii="宋体" w:hAnsi="宋体" w:cs="宋体"/>
          <w:color w:val="auto"/>
          <w:spacing w:val="7"/>
          <w:sz w:val="21"/>
          <w:szCs w:val="21"/>
          <w:highlight w:val="none"/>
        </w:rPr>
      </w:pPr>
      <w:r>
        <w:rPr>
          <w:rStyle w:val="992"/>
          <w:rFonts w:hint="eastAsia" w:ascii="宋体" w:hAnsi="宋体" w:cs="宋体"/>
          <w:color w:val="auto"/>
          <w:spacing w:val="7"/>
          <w:sz w:val="21"/>
          <w:szCs w:val="21"/>
          <w:highlight w:val="none"/>
        </w:rPr>
        <w:t xml:space="preserve">节能产品政府采购品目清单：无</w:t>
      </w:r>
      <w:r/>
    </w:p>
    <w:p>
      <w:pPr>
        <w:pStyle w:val="1179"/>
        <w:ind w:firstLine="500"/>
        <w:spacing w:line="360" w:lineRule="auto"/>
        <w:rPr>
          <w:rStyle w:val="992"/>
          <w:rFonts w:hint="eastAsia" w:ascii="宋体" w:hAnsi="宋体" w:cs="宋体"/>
          <w:color w:val="auto"/>
          <w:spacing w:val="7"/>
          <w:sz w:val="21"/>
          <w:szCs w:val="21"/>
          <w:highlight w:val="none"/>
          <w:lang w:val="zh-CN"/>
        </w:rPr>
      </w:pPr>
      <w:r>
        <w:rPr>
          <w:rStyle w:val="992"/>
          <w:rFonts w:hint="eastAsia" w:ascii="宋体" w:hAnsi="宋体" w:cs="宋体"/>
          <w:color w:val="auto"/>
          <w:spacing w:val="7"/>
          <w:sz w:val="21"/>
          <w:szCs w:val="21"/>
          <w:highlight w:val="none"/>
          <w:lang w:val="zh-CN"/>
        </w:rPr>
        <w:t xml:space="preserve">注：以</w:t>
      </w:r>
      <w:r>
        <w:rPr>
          <w:rStyle w:val="992"/>
          <w:rFonts w:hint="eastAsia" w:ascii="宋体" w:hAnsi="宋体" w:cs="宋体"/>
          <w:color w:val="auto"/>
          <w:spacing w:val="7"/>
          <w:sz w:val="21"/>
          <w:szCs w:val="21"/>
          <w:highlight w:val="none"/>
        </w:rPr>
        <w:t xml:space="preserve">★</w:t>
      </w:r>
      <w:r>
        <w:rPr>
          <w:rStyle w:val="992"/>
          <w:rFonts w:hint="eastAsia" w:ascii="宋体" w:hAnsi="宋体" w:cs="宋体"/>
          <w:color w:val="auto"/>
          <w:spacing w:val="7"/>
          <w:sz w:val="21"/>
          <w:szCs w:val="21"/>
          <w:highlight w:val="none"/>
          <w:lang w:val="zh-CN"/>
        </w:rPr>
        <w:t xml:space="preserve">标注的为政府强制采购产品</w:t>
      </w:r>
      <w:r/>
    </w:p>
    <w:p>
      <w:pPr>
        <w:pStyle w:val="1179"/>
        <w:ind w:firstLine="500"/>
        <w:spacing w:line="360" w:lineRule="auto"/>
        <w:rPr>
          <w:rStyle w:val="992"/>
          <w:rFonts w:hint="eastAsia" w:ascii="宋体" w:hAnsi="宋体" w:cs="宋体"/>
          <w:color w:val="auto"/>
          <w:spacing w:val="7"/>
          <w:sz w:val="21"/>
          <w:szCs w:val="21"/>
          <w:highlight w:val="none"/>
        </w:rPr>
      </w:pPr>
      <w:r>
        <w:rPr>
          <w:rStyle w:val="992"/>
          <w:rFonts w:hint="eastAsia" w:ascii="宋体" w:hAnsi="宋体" w:cs="宋体"/>
          <w:color w:val="auto"/>
          <w:spacing w:val="7"/>
          <w:sz w:val="21"/>
          <w:szCs w:val="21"/>
          <w:highlight w:val="none"/>
        </w:rPr>
        <w:t xml:space="preserve">凡“节能产品政府采购品目清单”中以★标注的为政府强制采购产品</w:t>
      </w:r>
      <w:r/>
    </w:p>
    <w:p>
      <w:pPr>
        <w:pStyle w:val="1179"/>
        <w:ind w:firstLine="500"/>
        <w:spacing w:line="360" w:lineRule="auto"/>
        <w:rPr>
          <w:rStyle w:val="992"/>
          <w:rFonts w:hint="eastAsia" w:ascii="宋体" w:hAnsi="宋体" w:cs="宋体"/>
          <w:color w:val="auto"/>
          <w:spacing w:val="7"/>
          <w:sz w:val="21"/>
          <w:szCs w:val="21"/>
          <w:highlight w:val="none"/>
        </w:rPr>
      </w:pPr>
      <w:r>
        <w:rPr>
          <w:rStyle w:val="992"/>
          <w:rFonts w:hint="eastAsia" w:ascii="宋体" w:hAnsi="宋体" w:cs="宋体"/>
          <w:color w:val="auto"/>
          <w:spacing w:val="7"/>
          <w:sz w:val="21"/>
          <w:szCs w:val="21"/>
          <w:highlight w:val="none"/>
        </w:rPr>
        <w:t xml:space="preserve">环境标志产品政府采购品目清单:无</w:t>
      </w:r>
      <w:r/>
    </w:p>
    <w:p>
      <w:pPr>
        <w:pStyle w:val="1185"/>
        <w:ind w:firstLine="500"/>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4、绿色采购其他政策： </w:t>
      </w:r>
      <w:r/>
    </w:p>
    <w:p>
      <w:pPr>
        <w:pStyle w:val="1185"/>
        <w:ind w:firstLine="500"/>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185"/>
        <w:ind w:firstLine="500"/>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注意事项：</w:t>
      </w:r>
      <w:r/>
    </w:p>
    <w:p>
      <w:pPr>
        <w:ind w:left="420" w:firstLine="482"/>
        <w:spacing w:line="360" w:lineRule="auto"/>
        <w:rPr>
          <w:rFonts w:hint="eastAsia" w:ascii="宋体" w:hAnsi="宋体" w:eastAsia="宋体" w:cs="宋体"/>
          <w:color w:val="auto"/>
          <w:spacing w:val="7"/>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pacing w:val="7"/>
          <w:sz w:val="21"/>
          <w:szCs w:val="21"/>
          <w:highlight w:val="none"/>
        </w:rPr>
        <w:t xml:space="preserve">在项目实施过程中，涉及到与第三方系统对接的，由采购人负责与第三方系统主管单位、第三方系统供应商沟通协调，确保第三方系统接口免费开放。</w:t>
      </w:r>
      <w:r/>
    </w:p>
    <w:p>
      <w:pPr>
        <w:ind w:firstLine="48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二、技术要求</w:t>
      </w:r>
      <w:r/>
    </w:p>
    <w:p>
      <w:pPr>
        <w:ind w:firstLine="482"/>
        <w:spacing w:line="44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一）项目基本情况介绍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目前保税区以及三个街道共有</w:t>
      </w:r>
      <w:r>
        <w:rPr>
          <w:rFonts w:hint="eastAsia" w:ascii="宋体" w:hAnsi="宋体" w:cs="宋体"/>
          <w:color w:val="auto"/>
          <w:sz w:val="21"/>
          <w:szCs w:val="21"/>
          <w:highlight w:val="none"/>
          <w:lang w:val="en-US" w:eastAsia="zh-CN"/>
        </w:rPr>
        <w:t xml:space="preserve">10228</w:t>
      </w:r>
      <w:r>
        <w:rPr>
          <w:rFonts w:hint="eastAsia" w:ascii="宋体" w:hAnsi="宋体" w:cs="宋体"/>
          <w:color w:val="auto"/>
          <w:sz w:val="21"/>
          <w:szCs w:val="21"/>
          <w:highlight w:val="none"/>
        </w:rPr>
        <w:t xml:space="preserve">杆路灯，其中普通路灯</w:t>
      </w:r>
      <w:r>
        <w:rPr>
          <w:rFonts w:hint="eastAsia" w:ascii="宋体" w:hAnsi="宋体" w:cs="宋体"/>
          <w:color w:val="auto"/>
          <w:sz w:val="21"/>
          <w:szCs w:val="21"/>
          <w:highlight w:val="none"/>
          <w:lang w:val="en-US" w:eastAsia="zh-CN"/>
        </w:rPr>
        <w:t xml:space="preserve">9516</w:t>
      </w:r>
      <w:r>
        <w:rPr>
          <w:rFonts w:hint="eastAsia" w:ascii="宋体" w:hAnsi="宋体" w:cs="宋体"/>
          <w:color w:val="auto"/>
          <w:sz w:val="21"/>
          <w:szCs w:val="21"/>
          <w:highlight w:val="none"/>
        </w:rPr>
        <w:t xml:space="preserve">杆， 造型路灯712杆主要集中在镇山路、勤政路、兴港路、金港路、中港路、崇真路以及蟠港路。</w:t>
      </w:r>
      <w:r/>
    </w:p>
    <w:tbl>
      <w:tblPr>
        <w:tblStyle w:val="784"/>
        <w:tblW w:w="49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53"/>
        <w:gridCol w:w="2353"/>
        <w:gridCol w:w="2355"/>
        <w:gridCol w:w="2021"/>
      </w:tblGrid>
      <w:tr>
        <w:trPr/>
        <w:tc>
          <w:tcPr>
            <w:tcW w:w="1295"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区域</w:t>
            </w:r>
            <w:r/>
          </w:p>
        </w:tc>
        <w:tc>
          <w:tcPr>
            <w:tcW w:w="1295"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灯杆合计</w:t>
            </w:r>
            <w:r/>
          </w:p>
        </w:tc>
        <w:tc>
          <w:tcPr>
            <w:tcW w:w="1296"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普通路灯</w:t>
            </w:r>
            <w:r/>
          </w:p>
        </w:tc>
        <w:tc>
          <w:tcPr>
            <w:tcW w:w="1112"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造型路灯</w:t>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w:t>
            </w:r>
            <w:r/>
          </w:p>
        </w:tc>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3023</w:t>
            </w:r>
            <w:r/>
          </w:p>
        </w:tc>
        <w:tc>
          <w:tcPr>
            <w:tcW w:w="129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3023</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金港街道</w:t>
            </w:r>
            <w:r/>
          </w:p>
        </w:tc>
        <w:tc>
          <w:tcPr>
            <w:tcW w:w="1295"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3679</w:t>
            </w:r>
            <w:r/>
          </w:p>
        </w:tc>
        <w:tc>
          <w:tcPr>
            <w:tcW w:w="1296" w:type="pct"/>
            <w:textDirection w:val="lrTb"/>
            <w:noWrap w:val="false"/>
          </w:tcPr>
          <w:p>
            <w:pPr>
              <w:spacing w:before="120" w:line="360" w:lineRule="auto"/>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30</w:t>
            </w:r>
            <w:r>
              <w:rPr>
                <w:rFonts w:hint="eastAsia" w:ascii="宋体" w:hAnsi="宋体" w:cs="宋体"/>
                <w:color w:val="auto"/>
                <w:sz w:val="21"/>
                <w:szCs w:val="21"/>
                <w:highlight w:val="none"/>
                <w:lang w:val="en-US" w:eastAsia="zh-CN"/>
              </w:rPr>
              <w:t xml:space="preserve">63</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595</w:t>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后塍街道</w:t>
            </w:r>
            <w:r/>
          </w:p>
        </w:tc>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2225</w:t>
            </w:r>
            <w:r/>
          </w:p>
        </w:tc>
        <w:tc>
          <w:tcPr>
            <w:tcW w:w="129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2108</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117</w:t>
            </w:r>
            <w:r/>
          </w:p>
        </w:tc>
      </w:tr>
      <w:tr>
        <w:trPr>
          <w:trHeight w:val="90"/>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德积街道</w:t>
            </w:r>
            <w:r/>
          </w:p>
        </w:tc>
        <w:tc>
          <w:tcPr>
            <w:tcW w:w="1295"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1301</w:t>
            </w:r>
            <w:r/>
          </w:p>
        </w:tc>
        <w:tc>
          <w:tcPr>
            <w:tcW w:w="1296"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1322</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1295"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c>
          <w:tcPr>
            <w:tcW w:w="1295"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10228</w:t>
            </w:r>
            <w:r/>
          </w:p>
        </w:tc>
        <w:tc>
          <w:tcPr>
            <w:tcW w:w="1296" w:type="pct"/>
            <w:textDirection w:val="lrTb"/>
            <w:noWrap w:val="false"/>
          </w:tcPr>
          <w:p>
            <w:pPr>
              <w:spacing w:before="120"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9516</w:t>
            </w:r>
            <w:r/>
          </w:p>
        </w:tc>
        <w:tc>
          <w:tcPr>
            <w:tcW w:w="1112"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712</w:t>
            </w:r>
            <w:r/>
          </w:p>
        </w:tc>
      </w:tr>
    </w:tbl>
    <w:p>
      <w:pPr>
        <w:ind w:left="239" w:firstLine="105"/>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保税区及街道现有道路路灯灯头</w:t>
      </w:r>
      <w:r>
        <w:rPr>
          <w:rFonts w:hint="eastAsia" w:ascii="宋体" w:hAnsi="宋体" w:cs="宋体"/>
          <w:color w:val="auto"/>
          <w:sz w:val="21"/>
          <w:szCs w:val="21"/>
          <w:highlight w:val="none"/>
          <w:lang w:val="en-US" w:eastAsia="zh-CN"/>
        </w:rPr>
        <w:t xml:space="preserve">16698</w:t>
      </w:r>
      <w:r>
        <w:rPr>
          <w:rFonts w:hint="eastAsia" w:ascii="宋体" w:hAnsi="宋体" w:cs="宋体"/>
          <w:color w:val="auto"/>
          <w:sz w:val="21"/>
          <w:szCs w:val="21"/>
          <w:highlight w:val="none"/>
        </w:rPr>
        <w:t xml:space="preserve">火，造型灯装饰灯头9</w:t>
      </w:r>
      <w:r>
        <w:rPr>
          <w:rFonts w:hint="eastAsia" w:ascii="宋体" w:hAnsi="宋体" w:cs="宋体"/>
          <w:color w:val="auto"/>
          <w:sz w:val="21"/>
          <w:szCs w:val="21"/>
          <w:highlight w:val="none"/>
          <w:lang w:val="en-US" w:eastAsia="zh-CN"/>
        </w:rPr>
        <w:t xml:space="preserve">501</w:t>
      </w:r>
      <w:r>
        <w:rPr>
          <w:rFonts w:hint="eastAsia" w:ascii="宋体" w:hAnsi="宋体" w:cs="宋体"/>
          <w:color w:val="auto"/>
          <w:sz w:val="21"/>
          <w:szCs w:val="21"/>
          <w:highlight w:val="none"/>
        </w:rPr>
        <w:t xml:space="preserve">火，路灯照明配电柜28</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套。</w:t>
      </w:r>
      <w:r/>
    </w:p>
    <w:tbl>
      <w:tblPr>
        <w:tblStyle w:val="784"/>
        <w:tblW w:w="49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00"/>
        <w:gridCol w:w="2300"/>
        <w:gridCol w:w="2303"/>
        <w:gridCol w:w="2176"/>
      </w:tblGrid>
      <w:tr>
        <w:trPr/>
        <w:tc>
          <w:tcPr>
            <w:tcW w:w="1266"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区域</w:t>
            </w:r>
            <w:r/>
          </w:p>
        </w:tc>
        <w:tc>
          <w:tcPr>
            <w:tcW w:w="1266"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路灯数量</w:t>
            </w:r>
            <w:r/>
          </w:p>
        </w:tc>
        <w:tc>
          <w:tcPr>
            <w:tcW w:w="1268"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装饰灯头数量</w:t>
            </w:r>
            <w:r/>
          </w:p>
        </w:tc>
        <w:tc>
          <w:tcPr>
            <w:tcW w:w="1198" w:type="pct"/>
            <w:textDirection w:val="lrTb"/>
            <w:noWrap w:val="false"/>
          </w:tcPr>
          <w:p>
            <w:pPr>
              <w:spacing w:before="120"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配电柜数量</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w:t>
            </w:r>
            <w:r/>
          </w:p>
        </w:tc>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4645</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金港街道</w:t>
            </w:r>
            <w:r/>
          </w:p>
        </w:tc>
        <w:tc>
          <w:tcPr>
            <w:tcW w:w="1266"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6887</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813</w:t>
            </w:r>
            <w:r>
              <w:rPr>
                <w:rFonts w:hint="eastAsia" w:ascii="宋体" w:hAnsi="宋体" w:cs="宋体"/>
                <w:color w:val="auto"/>
                <w:sz w:val="21"/>
                <w:szCs w:val="21"/>
                <w:highlight w:val="none"/>
                <w:lang w:val="en-US" w:eastAsia="zh-CN"/>
              </w:rPr>
              <w:t xml:space="preserve">6</w:t>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rPr>
                <w:rFonts w:hint="eastAsia" w:ascii="宋体" w:hAnsi="宋体" w:cs="宋体"/>
                <w:color w:val="auto"/>
                <w:sz w:val="21"/>
                <w:szCs w:val="21"/>
                <w:highlight w:val="none"/>
                <w:lang w:val="en-US" w:eastAsia="zh-CN"/>
              </w:rPr>
              <w:t xml:space="preserve">7</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后塍街道</w:t>
            </w:r>
            <w:r/>
          </w:p>
        </w:tc>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3663</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1365</w:t>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80</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德积街道</w:t>
            </w:r>
            <w:r/>
          </w:p>
        </w:tc>
        <w:tc>
          <w:tcPr>
            <w:tcW w:w="1266" w:type="pct"/>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1503</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r>
      <w:tr>
        <w:trPr/>
        <w:tc>
          <w:tcPr>
            <w:tcW w:w="1266"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c>
          <w:tcPr>
            <w:tcW w:w="1266" w:type="pct"/>
            <w:textDirection w:val="lrTb"/>
            <w:noWrap w:val="false"/>
          </w:tcPr>
          <w:p>
            <w:pPr>
              <w:spacing w:before="120"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16698</w:t>
            </w:r>
            <w:r/>
          </w:p>
        </w:tc>
        <w:tc>
          <w:tcPr>
            <w:tcW w:w="126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501</w:t>
            </w:r>
            <w:r/>
          </w:p>
        </w:tc>
        <w:tc>
          <w:tcPr>
            <w:tcW w:w="1198" w:type="pct"/>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rPr>
                <w:rFonts w:hint="eastAsia" w:ascii="宋体" w:hAnsi="宋体" w:cs="宋体"/>
                <w:color w:val="auto"/>
                <w:sz w:val="21"/>
                <w:szCs w:val="21"/>
                <w:highlight w:val="none"/>
                <w:lang w:val="en-US" w:eastAsia="zh-CN"/>
              </w:rPr>
              <w:t xml:space="preserve">9</w:t>
            </w:r>
            <w:r/>
          </w:p>
        </w:tc>
      </w:tr>
    </w:tbl>
    <w:p>
      <w:pPr>
        <w:pStyle w:val="762"/>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当前保税区钠灯占比高达56.</w:t>
      </w:r>
      <w:r>
        <w:rPr>
          <w:rFonts w:hint="eastAsia" w:ascii="宋体" w:hAnsi="宋体" w:cs="宋体"/>
          <w:color w:val="auto"/>
          <w:sz w:val="21"/>
          <w:szCs w:val="21"/>
          <w:highlight w:val="none"/>
          <w:lang w:val="en-US" w:eastAsia="zh-CN"/>
        </w:rPr>
        <w:t xml:space="preserve">67</w:t>
      </w:r>
      <w:r>
        <w:rPr>
          <w:rFonts w:hint="eastAsia" w:ascii="宋体" w:hAnsi="宋体" w:cs="宋体"/>
          <w:color w:val="auto"/>
          <w:sz w:val="21"/>
          <w:szCs w:val="21"/>
          <w:highlight w:val="none"/>
        </w:rPr>
        <w:t xml:space="preserve">%，能耗颇高。为践行国家"3060"双碳战路,需以绿色节能LED灯代替，以节约电费，推进智能化管理，实现节能减排目标。</w:t>
      </w:r>
      <w:r/>
    </w:p>
    <w:tbl>
      <w:tblPr>
        <w:tblStyle w:val="78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区域</w:t>
            </w:r>
            <w:r/>
          </w:p>
        </w:tc>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LED灯数量</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高压钠灯数量</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保税区</w:t>
            </w:r>
            <w:r/>
          </w:p>
        </w:tc>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w:t>
            </w:r>
            <w:r>
              <w:rPr>
                <w:rFonts w:hint="eastAsia" w:ascii="宋体" w:hAnsi="宋体" w:cs="宋体"/>
                <w:color w:val="auto"/>
                <w:sz w:val="21"/>
                <w:szCs w:val="21"/>
                <w:highlight w:val="none"/>
                <w:lang w:val="en-US" w:eastAsia="zh-CN"/>
              </w:rPr>
              <w:t xml:space="preserve">8</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627</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4645</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金港街道</w:t>
            </w:r>
            <w:r/>
          </w:p>
        </w:tc>
        <w:tc>
          <w:tcPr>
            <w:tcW w:w="2130"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2471</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4416</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6887</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后塍街道</w:t>
            </w:r>
            <w:r/>
          </w:p>
        </w:tc>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207</w:t>
            </w:r>
            <w:r>
              <w:rPr>
                <w:rFonts w:hint="eastAsia" w:ascii="宋体" w:hAnsi="宋体" w:cs="宋体"/>
                <w:color w:val="auto"/>
                <w:sz w:val="21"/>
                <w:szCs w:val="21"/>
                <w:highlight w:val="none"/>
                <w:lang w:val="en-US" w:eastAsia="zh-CN"/>
              </w:rPr>
              <w:t xml:space="preserve">3</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1590</w:t>
            </w:r>
            <w:r/>
          </w:p>
        </w:tc>
        <w:tc>
          <w:tcPr>
            <w:tcW w:w="2131"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663</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德积街道</w:t>
            </w:r>
            <w:r/>
          </w:p>
        </w:tc>
        <w:tc>
          <w:tcPr>
            <w:tcW w:w="2130"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673</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830</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1503</w:t>
            </w:r>
            <w:r/>
          </w:p>
        </w:tc>
      </w:tr>
      <w:tr>
        <w:trPr/>
        <w:tc>
          <w:tcPr>
            <w:tcW w:w="2130" w:type="dxa"/>
            <w:textDirection w:val="lrTb"/>
            <w:noWrap w:val="false"/>
          </w:tcPr>
          <w:p>
            <w:pPr>
              <w:spacing w:before="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合计</w:t>
            </w:r>
            <w:r/>
          </w:p>
        </w:tc>
        <w:tc>
          <w:tcPr>
            <w:tcW w:w="2130"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7235</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9463</w:t>
            </w:r>
            <w:r/>
          </w:p>
        </w:tc>
        <w:tc>
          <w:tcPr>
            <w:tcW w:w="2131" w:type="dxa"/>
            <w:textDirection w:val="lrTb"/>
            <w:noWrap w:val="false"/>
          </w:tcPr>
          <w:p>
            <w:pPr>
              <w:spacing w:before="12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16698</w:t>
            </w:r>
            <w:r/>
          </w:p>
        </w:tc>
      </w:tr>
    </w:tbl>
    <w:p>
      <w:pPr>
        <w:pStyle w:val="762"/>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本次改造建议将老旧钠灯和老旧LED灯具全部进行节能改造并安装单灯智能控制系统，全部纳入智慧平台进行智慧化管理。</w:t>
      </w:r>
      <w:r/>
    </w:p>
    <w:p>
      <w:pPr>
        <w:pStyle w:val="76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过市场化招标确定节能服务公司，节能服务公司按照能源费用托管模式对区街现有路灯进行节能改造、更换旧电缆及灯头，并增设路灯接地设施，建设路灯智慧化管理平台，对区街路灯灯杆、灯具及附属设施统一进行维护；</w:t>
      </w:r>
      <w:r/>
    </w:p>
    <w:p>
      <w:pPr>
        <w:pStyle w:val="76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由规划建设局、金港、后塍及德积街道对节能服务公司路灯管养情况进行考核，并按考核结果支付能源托管费用。</w:t>
      </w:r>
      <w:r/>
    </w:p>
    <w:p>
      <w:pPr>
        <w:pStyle w:val="76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具体改造路段：</w:t>
      </w:r>
      <w:r/>
    </w:p>
    <w:p>
      <w:pPr>
        <w:pStyle w:val="762"/>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长江路（十字港桥-长江北路）、江堤路 ，渤海路、青海路南延 ，长江北路、黄海路、北海路、东华路 ，景新路、朝东圩路、段山路、天妃路、德兴路、南海路、巡逻道、纬六路</w:t>
      </w:r>
      <w:r>
        <w:rPr>
          <w:rFonts w:hint="eastAsia" w:ascii="宋体" w:hAnsi="宋体" w:cs="宋体"/>
          <w:color w:val="auto"/>
          <w:sz w:val="21"/>
          <w:szCs w:val="21"/>
          <w:highlight w:val="none"/>
          <w:lang w:val="en-US" w:eastAsia="zh-CN"/>
        </w:rPr>
        <w:t xml:space="preserve">等</w:t>
      </w:r>
      <w:r>
        <w:rPr>
          <w:rFonts w:hint="eastAsia" w:ascii="宋体" w:hAnsi="宋体" w:cs="宋体"/>
          <w:color w:val="auto"/>
          <w:sz w:val="21"/>
          <w:szCs w:val="21"/>
          <w:highlight w:val="none"/>
        </w:rPr>
        <w:t xml:space="preserve"> 。电缆更换：金港街道三甲里路、天永路、天台北路更换路灯电缆，后塍街道西墩路、人民北路、镇山路、长江明珠路电缆改造，德积街道护漕港路（天霸路-德申路）、元丰路（德申路南）、友邦路、环宇北路、福中路电缆更换。</w:t>
      </w:r>
      <w:r/>
    </w:p>
    <w:p>
      <w:pPr>
        <w:ind w:firstLine="464"/>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采用能源托管模式实施张家港保税区及三个街道路灯提升改造，共计改造路灯（高压钠灯、LED灯等）约 </w:t>
      </w:r>
      <w:r>
        <w:rPr>
          <w:rFonts w:hint="eastAsia" w:ascii="宋体" w:hAnsi="宋体" w:cs="宋体"/>
          <w:color w:val="auto"/>
          <w:sz w:val="21"/>
          <w:szCs w:val="21"/>
          <w:highlight w:val="none"/>
          <w:lang w:val="en-US" w:eastAsia="zh-CN"/>
        </w:rPr>
        <w:t xml:space="preserve">10228</w:t>
      </w:r>
      <w:r>
        <w:rPr>
          <w:rFonts w:hint="eastAsia" w:ascii="宋体" w:hAnsi="宋体" w:cs="宋体"/>
          <w:color w:val="auto"/>
          <w:sz w:val="21"/>
          <w:szCs w:val="21"/>
          <w:highlight w:val="none"/>
        </w:rPr>
        <w:t xml:space="preserve">杆， 财政每年支付托管电费作为托管基数。托管服务期内中标单位负责项目的节能诊断、旧路灯及电缆改造 、设备运营、电费代缴。包括设计、采购、安装、调试、检测及后期维护、交电费等工作</w:t>
      </w:r>
      <w:r/>
    </w:p>
    <w:p>
      <w:pPr>
        <w:ind w:firstLine="464"/>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预算价</w:t>
      </w:r>
      <w:r>
        <w:rPr>
          <w:rFonts w:hint="eastAsia" w:ascii="宋体" w:hAnsi="宋体" w:cs="宋体"/>
          <w:color w:val="auto"/>
          <w:sz w:val="21"/>
          <w:szCs w:val="21"/>
          <w:highlight w:val="none"/>
          <w:lang w:val="en-US" w:eastAsia="zh-CN"/>
        </w:rPr>
        <w:t xml:space="preserve">为</w:t>
      </w:r>
      <w:r>
        <w:rPr>
          <w:rFonts w:hint="eastAsia" w:ascii="宋体" w:hAnsi="宋体" w:cs="宋体"/>
          <w:color w:val="auto"/>
          <w:sz w:val="21"/>
          <w:szCs w:val="21"/>
          <w:highlight w:val="none"/>
          <w:lang w:eastAsia="zh-CN"/>
        </w:rPr>
        <w:t xml:space="preserve">12000</w:t>
      </w:r>
      <w:r>
        <w:rPr>
          <w:rFonts w:hint="eastAsia" w:ascii="宋体" w:hAnsi="宋体" w:cs="宋体"/>
          <w:color w:val="auto"/>
          <w:sz w:val="21"/>
          <w:szCs w:val="21"/>
          <w:highlight w:val="none"/>
        </w:rPr>
        <w:t xml:space="preserve">万元</w:t>
      </w:r>
      <w:r/>
    </w:p>
    <w:p>
      <w:pPr>
        <w:ind w:firstLine="464"/>
        <w:spacing w:line="360" w:lineRule="auto"/>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为</w:t>
      </w:r>
      <w:r>
        <w:rPr>
          <w:rFonts w:hint="eastAsia" w:ascii="宋体" w:hAnsi="宋体" w:cs="宋体"/>
          <w:color w:val="auto"/>
          <w:sz w:val="21"/>
          <w:szCs w:val="21"/>
          <w:highlight w:val="none"/>
          <w:lang w:eastAsia="zh-CN"/>
        </w:rPr>
        <w:t xml:space="preserve">12000</w:t>
      </w:r>
      <w:r>
        <w:rPr>
          <w:rFonts w:hint="eastAsia" w:ascii="宋体" w:hAnsi="宋体" w:cs="宋体"/>
          <w:color w:val="auto"/>
          <w:sz w:val="21"/>
          <w:szCs w:val="21"/>
          <w:highlight w:val="none"/>
        </w:rPr>
        <w:t xml:space="preserve">万元。</w:t>
      </w:r>
      <w:r/>
    </w:p>
    <w:p>
      <w:pPr>
        <w:ind w:firstLine="452"/>
        <w:spacing w:line="360" w:lineRule="auto"/>
        <w:shd w:val="clear" w:color="auto" w:fill="ffffff"/>
        <w:widowControl/>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合同履行期限：改造建设周期半年，如果局部道路目前不具备安装路灯的条件，这些路段的建设期可以从具备安装条件开始计算。这些路段的运维期从本路段验收完成开始，运维费从本路段竣工验收后开始计算，至合同服务期结束。</w:t>
      </w:r>
      <w:r/>
    </w:p>
    <w:p>
      <w:pPr>
        <w:ind w:firstLine="452"/>
        <w:spacing w:line="360" w:lineRule="auto"/>
        <w:shd w:val="clear" w:color="auto" w:fill="ffffff"/>
        <w:widowControl/>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lang w:val="en-US" w:eastAsia="zh-CN"/>
        </w:rPr>
        <w:t xml:space="preserve"> </w:t>
      </w:r>
      <w:r>
        <w:rPr>
          <w:rFonts w:hint="eastAsia" w:ascii="宋体" w:hAnsi="宋体" w:cs="宋体"/>
          <w:color w:val="auto"/>
          <w:spacing w:val="8"/>
          <w:sz w:val="21"/>
          <w:szCs w:val="21"/>
          <w:highlight w:val="none"/>
        </w:rPr>
        <w:t xml:space="preserve">竣工验收完成后开始能源托管周期</w:t>
      </w:r>
      <w:r>
        <w:rPr>
          <w:rFonts w:hint="eastAsia" w:ascii="宋体" w:hAnsi="宋体" w:cs="宋体"/>
          <w:color w:val="auto"/>
          <w:spacing w:val="8"/>
          <w:sz w:val="21"/>
          <w:szCs w:val="21"/>
          <w:highlight w:val="none"/>
          <w:lang w:eastAsia="zh-CN"/>
        </w:rPr>
        <w:t xml:space="preserve">10</w:t>
      </w:r>
      <w:r>
        <w:rPr>
          <w:rFonts w:hint="eastAsia" w:ascii="宋体" w:hAnsi="宋体" w:cs="宋体"/>
          <w:color w:val="auto"/>
          <w:spacing w:val="8"/>
          <w:sz w:val="21"/>
          <w:szCs w:val="21"/>
          <w:highlight w:val="none"/>
        </w:rPr>
        <w:t xml:space="preserve">年。</w:t>
      </w:r>
      <w:r/>
    </w:p>
    <w:p>
      <w:pPr>
        <w:ind w:firstLine="452"/>
        <w:spacing w:line="360" w:lineRule="auto"/>
        <w:shd w:val="clear" w:color="auto" w:fill="ffffff"/>
        <w:widowControl/>
        <w:rPr>
          <w:rFonts w:hint="default" w:ascii="宋体" w:hAnsi="宋体" w:eastAsia="宋体" w:cs="宋体"/>
          <w:b/>
          <w:bCs/>
          <w:color w:val="auto"/>
          <w:spacing w:val="8"/>
          <w:sz w:val="21"/>
          <w:szCs w:val="21"/>
          <w:highlight w:val="none"/>
          <w:lang w:val="en-US" w:eastAsia="zh-CN"/>
        </w:rPr>
      </w:pPr>
      <w:r>
        <w:rPr>
          <w:rFonts w:hint="eastAsia" w:ascii="宋体" w:hAnsi="宋体" w:cs="宋体"/>
          <w:b/>
          <w:bCs/>
          <w:color w:val="auto"/>
          <w:spacing w:val="8"/>
          <w:sz w:val="21"/>
          <w:szCs w:val="21"/>
          <w:highlight w:val="none"/>
          <w:lang w:eastAsia="zh-CN"/>
        </w:rPr>
        <w:t xml:space="preserve">（</w:t>
      </w:r>
      <w:r>
        <w:rPr>
          <w:rFonts w:hint="eastAsia" w:ascii="宋体" w:hAnsi="宋体" w:cs="宋体"/>
          <w:b/>
          <w:bCs/>
          <w:color w:val="auto"/>
          <w:spacing w:val="8"/>
          <w:sz w:val="21"/>
          <w:szCs w:val="21"/>
          <w:highlight w:val="none"/>
          <w:lang w:val="en-US" w:eastAsia="zh-CN"/>
        </w:rPr>
        <w:t xml:space="preserve">二）详细技术要求</w:t>
      </w:r>
      <w:r/>
    </w:p>
    <w:tbl>
      <w:tblPr>
        <w:tblStyle w:val="757"/>
        <w:tblW w:w="99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34"/>
        <w:gridCol w:w="1320"/>
        <w:gridCol w:w="7808"/>
      </w:tblGrid>
      <w:tr>
        <w:trPr/>
        <w:tc>
          <w:tcPr>
            <w:tcMar>
              <w:top w:w="100" w:type="dxa"/>
              <w:bottom w:w="100" w:type="dxa"/>
            </w:tcMar>
            <w:tcW w:w="834" w:type="dxa"/>
            <w:vAlign w:val="center"/>
            <w:textDirection w:val="lrTb"/>
            <w:noWrap w:val="false"/>
          </w:tcPr>
          <w:p>
            <w:pPr>
              <w:pStyle w:val="1304"/>
              <w:jc w:val="center"/>
              <w:spacing w:line="360" w:lineRule="auto"/>
              <w:rPr>
                <w:rStyle w:val="992"/>
                <w:rFonts w:hint="eastAsia" w:ascii="宋体" w:hAnsi="宋体" w:cs="宋体"/>
                <w:b/>
                <w:bCs/>
                <w:color w:val="auto"/>
                <w:sz w:val="21"/>
                <w:szCs w:val="21"/>
                <w:highlight w:val="none"/>
              </w:rPr>
            </w:pPr>
            <w:r>
              <w:rPr>
                <w:rStyle w:val="992"/>
                <w:rFonts w:hint="eastAsia" w:ascii="宋体" w:hAnsi="宋体" w:cs="宋体"/>
                <w:b/>
                <w:bCs/>
                <w:color w:val="auto"/>
                <w:sz w:val="21"/>
                <w:szCs w:val="21"/>
                <w:highlight w:val="none"/>
              </w:rPr>
              <w:t xml:space="preserve">序号</w:t>
            </w:r>
            <w:r/>
          </w:p>
        </w:tc>
        <w:tc>
          <w:tcPr>
            <w:tcMar>
              <w:top w:w="100" w:type="dxa"/>
              <w:bottom w:w="100" w:type="dxa"/>
            </w:tcMar>
            <w:tcW w:w="1320" w:type="dxa"/>
            <w:vAlign w:val="center"/>
            <w:textDirection w:val="lrTb"/>
            <w:noWrap w:val="false"/>
          </w:tcPr>
          <w:p>
            <w:pPr>
              <w:pStyle w:val="1304"/>
              <w:jc w:val="center"/>
              <w:spacing w:line="360" w:lineRule="auto"/>
              <w:rPr>
                <w:rStyle w:val="992"/>
                <w:rFonts w:hint="eastAsia" w:ascii="宋体" w:hAnsi="宋体" w:cs="宋体"/>
                <w:b/>
                <w:bCs/>
                <w:color w:val="auto"/>
                <w:sz w:val="21"/>
                <w:szCs w:val="21"/>
                <w:highlight w:val="none"/>
              </w:rPr>
            </w:pPr>
            <w:r>
              <w:rPr>
                <w:rStyle w:val="992"/>
                <w:rFonts w:hint="eastAsia" w:ascii="宋体" w:hAnsi="宋体" w:cs="宋体"/>
                <w:b/>
                <w:bCs/>
                <w:color w:val="auto"/>
                <w:sz w:val="21"/>
                <w:szCs w:val="21"/>
                <w:highlight w:val="none"/>
              </w:rPr>
              <w:t xml:space="preserve">名称</w:t>
            </w:r>
            <w:r/>
          </w:p>
        </w:tc>
        <w:tc>
          <w:tcPr>
            <w:tcMar>
              <w:top w:w="100" w:type="dxa"/>
              <w:bottom w:w="100" w:type="dxa"/>
            </w:tcMar>
            <w:tcW w:w="7808" w:type="dxa"/>
            <w:vAlign w:val="center"/>
            <w:textDirection w:val="lrTb"/>
            <w:noWrap w:val="false"/>
          </w:tcPr>
          <w:p>
            <w:pPr>
              <w:pStyle w:val="1304"/>
              <w:jc w:val="center"/>
              <w:spacing w:line="360" w:lineRule="auto"/>
              <w:rPr>
                <w:rStyle w:val="992"/>
                <w:rFonts w:hint="eastAsia" w:ascii="宋体" w:hAnsi="宋体" w:cs="宋体"/>
                <w:b/>
                <w:bCs/>
                <w:color w:val="auto"/>
                <w:sz w:val="21"/>
                <w:szCs w:val="21"/>
                <w:highlight w:val="none"/>
              </w:rPr>
            </w:pPr>
            <w:r>
              <w:rPr>
                <w:rStyle w:val="992"/>
                <w:rFonts w:hint="eastAsia" w:ascii="宋体" w:hAnsi="宋体" w:cs="宋体"/>
                <w:b/>
                <w:bCs/>
                <w:color w:val="auto"/>
                <w:sz w:val="21"/>
                <w:szCs w:val="21"/>
                <w:highlight w:val="none"/>
              </w:rPr>
              <w:t xml:space="preserve">内容</w:t>
            </w:r>
            <w:r/>
          </w:p>
        </w:tc>
      </w:tr>
      <w:tr>
        <w:trPr/>
        <w:tc>
          <w:tcPr>
            <w:tcMar>
              <w:top w:w="100" w:type="dxa"/>
              <w:bottom w:w="100" w:type="dxa"/>
            </w:tcMa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1</w:t>
            </w:r>
            <w:r/>
          </w:p>
        </w:tc>
        <w:tc>
          <w:tcPr>
            <w:tcMar>
              <w:top w:w="100" w:type="dxa"/>
              <w:bottom w:w="100" w:type="dxa"/>
            </w:tcMar>
            <w:tcW w:w="1320" w:type="dxa"/>
            <w:vAlign w:val="center"/>
            <w:textDirection w:val="lrTb"/>
            <w:noWrap w:val="false"/>
          </w:tcPr>
          <w:p>
            <w:pPr>
              <w:pStyle w:val="1304"/>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项目概况</w:t>
            </w:r>
            <w:r/>
          </w:p>
        </w:tc>
        <w:tc>
          <w:tcPr>
            <w:tcMar>
              <w:top w:w="100" w:type="dxa"/>
              <w:bottom w:w="100" w:type="dxa"/>
            </w:tcMar>
            <w:tcW w:w="7808" w:type="dxa"/>
            <w:vAlign w:val="center"/>
            <w:textDirection w:val="lrTb"/>
            <w:noWrap w:val="false"/>
          </w:tcPr>
          <w:p>
            <w:pPr>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本项目采用能源托管合同能源管理模式，由中标单位全额投资建设，在合同能源管理期内，中标单位以节约电费作为本项目改造投资及运营回报。采购单位按照合同约定支付相应的路灯托管服务费。</w:t>
            </w:r>
            <w:r/>
          </w:p>
          <w:p>
            <w:pPr>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项目主要内容分为两部分：</w:t>
            </w:r>
            <w:r/>
          </w:p>
          <w:p>
            <w:pPr>
              <w:pStyle w:val="762"/>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本次项目服务范围包括保税区及3个街道现有路灯总计约16698余盏灯具（其中高压钠灯光源灯具9463余盏，LED光源灯具7235余盏）及《</w:t>
            </w:r>
            <w:r>
              <w:rPr>
                <w:rStyle w:val="992"/>
                <w:rFonts w:hint="eastAsia" w:ascii="宋体" w:hAnsi="宋体" w:eastAsia="宋体" w:cs="宋体"/>
                <w:iCs w:val="0"/>
                <w:color w:val="auto"/>
                <w:sz w:val="21"/>
                <w:szCs w:val="21"/>
                <w:highlight w:val="none"/>
                <w:lang w:val="en-US" w:eastAsia="zh-CN"/>
              </w:rPr>
              <w:t xml:space="preserve">需要改造的路段的灯改造工程量清单</w:t>
            </w:r>
            <w:r>
              <w:rPr>
                <w:rStyle w:val="992"/>
                <w:rFonts w:hint="eastAsia" w:ascii="宋体" w:hAnsi="宋体" w:eastAsia="宋体" w:cs="宋体"/>
                <w:iCs w:val="0"/>
                <w:color w:val="auto"/>
                <w:sz w:val="21"/>
                <w:szCs w:val="21"/>
                <w:highlight w:val="none"/>
              </w:rPr>
              <w:t xml:space="preserve">》和《保税区及三个街道路灯补杆明细表》内所列路灯及灯杆</w:t>
            </w:r>
            <w:r>
              <w:rPr>
                <w:rStyle w:val="992"/>
                <w:rFonts w:hint="eastAsia" w:ascii="宋体" w:hAnsi="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rPr>
              <w:t xml:space="preserve">（招标文件</w:t>
            </w:r>
            <w:r>
              <w:rPr>
                <w:rStyle w:val="992"/>
                <w:rFonts w:hint="eastAsia" w:ascii="宋体" w:hAnsi="宋体" w:cs="宋体"/>
                <w:iCs w:val="0"/>
                <w:color w:val="auto"/>
                <w:sz w:val="21"/>
                <w:szCs w:val="21"/>
                <w:highlight w:val="none"/>
                <w:lang w:val="en-US"/>
              </w:rPr>
              <w:t xml:space="preserve">中</w:t>
            </w:r>
            <w:r>
              <w:rPr>
                <w:rStyle w:val="992"/>
                <w:rFonts w:hint="eastAsia" w:ascii="宋体" w:hAnsi="宋体" w:eastAsia="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lang w:val="en-US" w:eastAsia="zh-CN"/>
              </w:rPr>
              <w:t xml:space="preserve">需要改造的路段的灯改造工程量清单</w:t>
            </w:r>
            <w:r>
              <w:rPr>
                <w:rStyle w:val="992"/>
                <w:rFonts w:hint="eastAsia" w:ascii="宋体" w:hAnsi="宋体" w:eastAsia="宋体" w:cs="宋体"/>
                <w:iCs w:val="0"/>
                <w:color w:val="auto"/>
                <w:sz w:val="21"/>
                <w:szCs w:val="21"/>
                <w:highlight w:val="none"/>
              </w:rPr>
              <w:t xml:space="preserve">》和《保税区及三个街道路灯补杆明细表》</w:t>
            </w:r>
            <w:r>
              <w:rPr>
                <w:rStyle w:val="992"/>
                <w:rFonts w:hint="eastAsia" w:ascii="宋体" w:hAnsi="宋体" w:eastAsia="宋体" w:cs="宋体"/>
                <w:iCs w:val="0"/>
                <w:color w:val="auto"/>
                <w:sz w:val="21"/>
                <w:szCs w:val="21"/>
                <w:highlight w:val="none"/>
              </w:rPr>
              <w:t xml:space="preserve">内路灯及灯杆未统计在区街现有路灯数量内，改造后须一并纳入服务范围）。</w:t>
            </w:r>
            <w:r>
              <w:rPr>
                <w:rStyle w:val="992"/>
                <w:rFonts w:hint="eastAsia" w:ascii="宋体" w:hAnsi="宋体" w:cs="宋体"/>
                <w:iCs w:val="0"/>
                <w:color w:val="auto"/>
                <w:sz w:val="21"/>
                <w:szCs w:val="21"/>
                <w:highlight w:val="none"/>
                <w:lang w:val="en-US"/>
              </w:rPr>
              <w:t xml:space="preserve"> </w:t>
            </w:r>
            <w:r/>
          </w:p>
          <w:p>
            <w:pPr>
              <w:pStyle w:val="762"/>
              <w:ind w:firstLine="420"/>
              <w:spacing w:line="360" w:lineRule="auto"/>
              <w:rPr>
                <w:rStyle w:val="992"/>
                <w:rFonts w:hint="eastAsia" w:ascii="宋体" w:hAnsi="宋体" w:eastAsia="宋体" w:cs="宋体"/>
                <w:iCs w:val="0"/>
                <w:color w:val="auto"/>
                <w:sz w:val="21"/>
                <w:szCs w:val="21"/>
                <w:highlight w:val="none"/>
                <w:lang w:val="en-US"/>
              </w:rPr>
            </w:pPr>
            <w:r>
              <w:rPr>
                <w:rStyle w:val="992"/>
                <w:rFonts w:hint="eastAsia" w:ascii="宋体" w:hAnsi="宋体" w:eastAsia="宋体" w:cs="宋体"/>
                <w:iCs w:val="0"/>
                <w:color w:val="auto"/>
                <w:sz w:val="21"/>
                <w:szCs w:val="21"/>
                <w:highlight w:val="none"/>
              </w:rPr>
              <w:t xml:space="preserve">在满足城市道路照明标准的前提下，对张家港保税区及三个街道市政道路</w:t>
            </w:r>
            <w:r>
              <w:rPr>
                <w:rStyle w:val="992"/>
                <w:rFonts w:hint="eastAsia" w:ascii="宋体" w:hAnsi="宋体" w:cs="宋体"/>
                <w:iCs w:val="0"/>
                <w:color w:val="auto"/>
                <w:sz w:val="21"/>
                <w:szCs w:val="21"/>
                <w:highlight w:val="none"/>
                <w:lang w:val="en-US"/>
              </w:rPr>
              <w:t xml:space="preserve">9463</w:t>
            </w:r>
            <w:r>
              <w:rPr>
                <w:rStyle w:val="992"/>
                <w:rFonts w:hint="eastAsia" w:ascii="宋体" w:hAnsi="宋体" w:eastAsia="宋体" w:cs="宋体"/>
                <w:iCs w:val="0"/>
                <w:color w:val="auto"/>
                <w:sz w:val="21"/>
                <w:szCs w:val="21"/>
                <w:highlight w:val="none"/>
              </w:rPr>
              <w:t xml:space="preserve">余盏钠灯</w:t>
            </w:r>
            <w:r>
              <w:rPr>
                <w:rStyle w:val="992"/>
                <w:rFonts w:hint="eastAsia" w:ascii="宋体" w:hAnsi="宋体" w:eastAsia="宋体" w:cs="宋体"/>
                <w:iCs w:val="0"/>
                <w:color w:val="auto"/>
                <w:sz w:val="21"/>
                <w:szCs w:val="21"/>
                <w:highlight w:val="none"/>
                <w:lang w:val="en-US"/>
              </w:rPr>
              <w:t xml:space="preserve">及</w:t>
            </w:r>
            <w:r>
              <w:rPr>
                <w:rStyle w:val="992"/>
                <w:rFonts w:hint="eastAsia" w:ascii="宋体" w:hAnsi="宋体" w:cs="宋体"/>
                <w:iCs w:val="0"/>
                <w:color w:val="auto"/>
                <w:sz w:val="21"/>
                <w:szCs w:val="21"/>
                <w:highlight w:val="none"/>
                <w:lang w:val="en-US"/>
              </w:rPr>
              <w:t xml:space="preserve">7235</w:t>
            </w:r>
            <w:r>
              <w:rPr>
                <w:rStyle w:val="992"/>
                <w:rFonts w:hint="eastAsia" w:ascii="宋体" w:hAnsi="宋体" w:eastAsia="宋体" w:cs="宋体"/>
                <w:iCs w:val="0"/>
                <w:color w:val="auto"/>
                <w:sz w:val="21"/>
                <w:szCs w:val="21"/>
                <w:highlight w:val="none"/>
                <w:lang w:val="en-US"/>
              </w:rPr>
              <w:t xml:space="preserve">盏余盏老旧LED光源灯具全部进行节能改造，全部替换为照明亮度更高，更节能且具有单灯控制功能的新LED路灯，并负责维护。</w:t>
            </w:r>
            <w:r/>
          </w:p>
          <w:p>
            <w:pPr>
              <w:ind w:left="0"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原有路灯灯头由中标单位负责拆除并进行无害化处理；加装的路灯智能控制系统应能接入建立的张家港保税区的智慧照明管理平台，相关数据(至少包括灯具运行参数及控制器的运行参数)通过保税区智慧路灯管理平台传送到张家港市平台。所有操作与数据均应在张家港保税区智慧照明管理平台操作显示（中标单位应承担张家港保税区智慧照明管理平台开发及平台对接所产生的费用，并提供相关承诺书）；中标单位需承担上述路灯及相关配套设施的日常运维工作。</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中标单位承担</w:t>
            </w:r>
            <w:r>
              <w:rPr>
                <w:rStyle w:val="992"/>
                <w:rFonts w:hint="eastAsia" w:ascii="宋体" w:hAnsi="宋体" w:cs="宋体"/>
                <w:iCs w:val="0"/>
                <w:color w:val="auto"/>
                <w:sz w:val="21"/>
                <w:szCs w:val="21"/>
                <w:highlight w:val="none"/>
                <w:lang w:val="en-US"/>
              </w:rPr>
              <w:t xml:space="preserve">服务</w:t>
            </w:r>
            <w:r>
              <w:rPr>
                <w:rStyle w:val="992"/>
                <w:rFonts w:hint="eastAsia" w:ascii="宋体" w:hAnsi="宋体" w:eastAsia="宋体" w:cs="宋体"/>
                <w:iCs w:val="0"/>
                <w:color w:val="auto"/>
                <w:sz w:val="21"/>
                <w:szCs w:val="21"/>
                <w:highlight w:val="none"/>
              </w:rPr>
              <w:t xml:space="preserve">范围内路灯电费缴纳（包括招标区域内灯具改造、增杆及道路改造所有路灯在内），采购单位配合中标单位在竣工前完成与供电局的电费代缴手续。</w:t>
            </w:r>
            <w:r/>
          </w:p>
          <w:p>
            <w:pPr>
              <w:ind w:firstLine="420"/>
              <w:rPr>
                <w:rStyle w:val="992"/>
                <w:rFonts w:hint="eastAsia" w:ascii="宋体" w:hAnsi="宋体" w:eastAsia="宋体" w:cs="宋体"/>
                <w:iCs w:val="0"/>
                <w:color w:val="auto"/>
                <w:sz w:val="21"/>
                <w:szCs w:val="21"/>
                <w:highlight w:val="none"/>
                <w:lang w:val="zh-CN"/>
              </w:rPr>
            </w:pPr>
            <w:r>
              <w:rPr>
                <w:rStyle w:val="992"/>
                <w:rFonts w:hint="eastAsia" w:ascii="宋体" w:hAnsi="宋体" w:eastAsia="宋体" w:cs="宋体"/>
                <w:iCs w:val="0"/>
                <w:color w:val="auto"/>
                <w:sz w:val="21"/>
                <w:szCs w:val="21"/>
                <w:highlight w:val="none"/>
              </w:rPr>
              <w:t xml:space="preserve">中标单位需承担路灯改造（含老的LED灯改造）、增加接地、灯杆、更换部分电缆、单灯控制</w:t>
            </w:r>
            <w:r>
              <w:rPr>
                <w:rStyle w:val="992"/>
                <w:rFonts w:hint="eastAsia" w:ascii="宋体" w:hAnsi="宋体" w:eastAsia="宋体" w:cs="宋体"/>
                <w:iCs w:val="0"/>
                <w:color w:val="auto"/>
                <w:sz w:val="21"/>
                <w:szCs w:val="21"/>
                <w:highlight w:val="none"/>
                <w:lang w:val="en-US"/>
              </w:rPr>
              <w:t xml:space="preserve">器</w:t>
            </w:r>
            <w:r>
              <w:rPr>
                <w:rStyle w:val="992"/>
                <w:rFonts w:hint="eastAsia" w:ascii="宋体" w:hAnsi="宋体" w:eastAsia="宋体" w:cs="宋体"/>
                <w:iCs w:val="0"/>
                <w:color w:val="auto"/>
                <w:sz w:val="21"/>
                <w:szCs w:val="21"/>
                <w:highlight w:val="none"/>
              </w:rPr>
              <w:t xml:space="preserve">、集中控制器、路灯控制箱、智慧控制平台建设、</w:t>
            </w:r>
            <w:r>
              <w:rPr>
                <w:rStyle w:val="992"/>
                <w:rFonts w:hint="eastAsia" w:ascii="宋体" w:hAnsi="宋体" w:eastAsia="宋体" w:cs="宋体"/>
                <w:iCs w:val="0"/>
                <w:color w:val="auto"/>
                <w:sz w:val="21"/>
                <w:szCs w:val="21"/>
                <w:highlight w:val="none"/>
                <w:lang w:val="zh-CN"/>
              </w:rPr>
              <w:t xml:space="preserve">专用工具</w:t>
            </w:r>
            <w:r>
              <w:rPr>
                <w:rStyle w:val="992"/>
                <w:rFonts w:hint="eastAsia" w:ascii="宋体" w:hAnsi="宋体" w:eastAsia="宋体" w:cs="宋体"/>
                <w:iCs w:val="0"/>
                <w:color w:val="auto"/>
                <w:sz w:val="21"/>
                <w:szCs w:val="21"/>
                <w:highlight w:val="none"/>
              </w:rPr>
              <w:t xml:space="preserve">、接线板、灯头线、信号线</w:t>
            </w:r>
            <w:r>
              <w:rPr>
                <w:rStyle w:val="992"/>
                <w:rFonts w:hint="eastAsia" w:ascii="宋体" w:hAnsi="宋体" w:eastAsia="宋体" w:cs="宋体"/>
                <w:iCs w:val="0"/>
                <w:color w:val="auto"/>
                <w:sz w:val="21"/>
                <w:szCs w:val="21"/>
                <w:highlight w:val="none"/>
                <w:lang w:val="zh-CN"/>
              </w:rPr>
              <w:t xml:space="preserve">等设备材料的采购</w:t>
            </w:r>
            <w:r>
              <w:rPr>
                <w:rStyle w:val="992"/>
                <w:rFonts w:hint="eastAsia" w:ascii="宋体" w:hAnsi="宋体" w:eastAsia="宋体" w:cs="宋体"/>
                <w:iCs w:val="0"/>
                <w:color w:val="auto"/>
                <w:sz w:val="21"/>
                <w:szCs w:val="21"/>
                <w:highlight w:val="none"/>
              </w:rPr>
              <w:t xml:space="preserve">费</w:t>
            </w:r>
            <w:r>
              <w:rPr>
                <w:rStyle w:val="992"/>
                <w:rFonts w:hint="eastAsia" w:ascii="宋体" w:hAnsi="宋体" w:eastAsia="宋体" w:cs="宋体"/>
                <w:iCs w:val="0"/>
                <w:color w:val="auto"/>
                <w:sz w:val="21"/>
                <w:szCs w:val="21"/>
                <w:highlight w:val="none"/>
                <w:lang w:val="zh-CN"/>
              </w:rPr>
              <w:t xml:space="preserve">、运输装卸</w:t>
            </w:r>
            <w:r>
              <w:rPr>
                <w:rStyle w:val="992"/>
                <w:rFonts w:hint="eastAsia" w:ascii="宋体" w:hAnsi="宋体" w:eastAsia="宋体" w:cs="宋体"/>
                <w:iCs w:val="0"/>
                <w:color w:val="auto"/>
                <w:sz w:val="21"/>
                <w:szCs w:val="21"/>
                <w:highlight w:val="none"/>
              </w:rPr>
              <w:t xml:space="preserve">费</w:t>
            </w:r>
            <w:r>
              <w:rPr>
                <w:rStyle w:val="992"/>
                <w:rFonts w:hint="eastAsia" w:ascii="宋体" w:hAnsi="宋体" w:eastAsia="宋体" w:cs="宋体"/>
                <w:iCs w:val="0"/>
                <w:color w:val="auto"/>
                <w:sz w:val="21"/>
                <w:szCs w:val="21"/>
                <w:highlight w:val="none"/>
                <w:lang w:val="zh-CN"/>
              </w:rPr>
              <w:t xml:space="preserve">、安装</w:t>
            </w:r>
            <w:r>
              <w:rPr>
                <w:rStyle w:val="992"/>
                <w:rFonts w:hint="eastAsia" w:ascii="宋体" w:hAnsi="宋体" w:eastAsia="宋体" w:cs="宋体"/>
                <w:iCs w:val="0"/>
                <w:color w:val="auto"/>
                <w:sz w:val="21"/>
                <w:szCs w:val="21"/>
                <w:highlight w:val="none"/>
              </w:rPr>
              <w:t xml:space="preserve">调试费</w:t>
            </w:r>
            <w:r>
              <w:rPr>
                <w:rStyle w:val="992"/>
                <w:rFonts w:hint="eastAsia" w:ascii="宋体" w:hAnsi="宋体" w:eastAsia="宋体" w:cs="宋体"/>
                <w:iCs w:val="0"/>
                <w:color w:val="auto"/>
                <w:sz w:val="21"/>
                <w:szCs w:val="21"/>
                <w:highlight w:val="none"/>
                <w:lang w:val="zh-CN"/>
              </w:rPr>
              <w:t xml:space="preserve">、</w:t>
            </w:r>
            <w:r>
              <w:rPr>
                <w:rStyle w:val="992"/>
                <w:rFonts w:hint="eastAsia" w:ascii="宋体" w:hAnsi="宋体" w:eastAsia="宋体" w:cs="宋体"/>
                <w:iCs w:val="0"/>
                <w:color w:val="auto"/>
                <w:sz w:val="21"/>
                <w:szCs w:val="21"/>
                <w:highlight w:val="none"/>
              </w:rPr>
              <w:t xml:space="preserve">检测费、验收费、</w:t>
            </w:r>
            <w:r>
              <w:rPr>
                <w:rStyle w:val="992"/>
                <w:rFonts w:hint="eastAsia" w:ascii="宋体" w:hAnsi="宋体" w:eastAsia="宋体" w:cs="宋体"/>
                <w:iCs w:val="0"/>
                <w:color w:val="auto"/>
                <w:sz w:val="21"/>
                <w:szCs w:val="21"/>
                <w:highlight w:val="none"/>
                <w:lang w:val="zh-CN"/>
              </w:rPr>
              <w:t xml:space="preserve">技术资料费、培训</w:t>
            </w:r>
            <w:r>
              <w:rPr>
                <w:rStyle w:val="992"/>
                <w:rFonts w:hint="eastAsia" w:ascii="宋体" w:hAnsi="宋体" w:eastAsia="宋体" w:cs="宋体"/>
                <w:iCs w:val="0"/>
                <w:color w:val="auto"/>
                <w:sz w:val="21"/>
                <w:szCs w:val="21"/>
                <w:highlight w:val="none"/>
              </w:rPr>
              <w:t xml:space="preserve">费</w:t>
            </w:r>
            <w:r>
              <w:rPr>
                <w:rStyle w:val="992"/>
                <w:rFonts w:hint="eastAsia" w:ascii="宋体" w:hAnsi="宋体" w:eastAsia="宋体" w:cs="宋体"/>
                <w:iCs w:val="0"/>
                <w:color w:val="auto"/>
                <w:sz w:val="21"/>
                <w:szCs w:val="21"/>
                <w:highlight w:val="none"/>
                <w:lang w:val="zh-CN"/>
              </w:rPr>
              <w:t xml:space="preserve">、托管期内的路灯电费</w:t>
            </w:r>
            <w:r>
              <w:rPr>
                <w:rStyle w:val="992"/>
                <w:rFonts w:hint="eastAsia" w:ascii="宋体" w:hAnsi="宋体" w:eastAsia="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lang w:val="zh-CN"/>
              </w:rPr>
              <w:t xml:space="preserve">智慧控制</w:t>
            </w:r>
            <w:r>
              <w:rPr>
                <w:rStyle w:val="992"/>
                <w:rFonts w:hint="eastAsia" w:ascii="宋体" w:hAnsi="宋体" w:eastAsia="宋体" w:cs="宋体"/>
                <w:iCs w:val="0"/>
                <w:color w:val="auto"/>
                <w:sz w:val="21"/>
                <w:szCs w:val="21"/>
                <w:highlight w:val="none"/>
              </w:rPr>
              <w:t xml:space="preserve">平台</w:t>
            </w:r>
            <w:r>
              <w:rPr>
                <w:rStyle w:val="992"/>
                <w:rFonts w:hint="eastAsia" w:ascii="宋体" w:hAnsi="宋体" w:eastAsia="宋体" w:cs="宋体"/>
                <w:iCs w:val="0"/>
                <w:color w:val="auto"/>
                <w:sz w:val="21"/>
                <w:szCs w:val="21"/>
                <w:highlight w:val="none"/>
                <w:lang w:val="zh-CN"/>
              </w:rPr>
              <w:t xml:space="preserve">运维</w:t>
            </w:r>
            <w:r>
              <w:rPr>
                <w:rStyle w:val="992"/>
                <w:rFonts w:hint="eastAsia" w:ascii="宋体" w:hAnsi="宋体" w:eastAsia="宋体" w:cs="宋体"/>
                <w:iCs w:val="0"/>
                <w:color w:val="auto"/>
                <w:sz w:val="21"/>
                <w:szCs w:val="21"/>
                <w:highlight w:val="none"/>
              </w:rPr>
              <w:t xml:space="preserve">费和</w:t>
            </w:r>
            <w:r>
              <w:rPr>
                <w:rStyle w:val="992"/>
                <w:rFonts w:hint="eastAsia" w:ascii="宋体" w:hAnsi="宋体" w:eastAsia="宋体" w:cs="宋体"/>
                <w:iCs w:val="0"/>
                <w:color w:val="auto"/>
                <w:sz w:val="21"/>
                <w:szCs w:val="21"/>
                <w:highlight w:val="none"/>
                <w:lang w:val="zh-CN"/>
              </w:rPr>
              <w:t xml:space="preserve">网络资费，</w:t>
            </w:r>
            <w:r>
              <w:rPr>
                <w:rStyle w:val="992"/>
                <w:rFonts w:hint="eastAsia" w:ascii="宋体" w:hAnsi="宋体" w:eastAsia="宋体" w:cs="宋体"/>
                <w:iCs w:val="0"/>
                <w:color w:val="auto"/>
                <w:sz w:val="21"/>
                <w:szCs w:val="21"/>
                <w:highlight w:val="none"/>
              </w:rPr>
              <w:t xml:space="preserve">以及</w:t>
            </w:r>
            <w:r>
              <w:rPr>
                <w:rStyle w:val="992"/>
                <w:rFonts w:hint="eastAsia" w:ascii="宋体" w:hAnsi="宋体" w:eastAsia="宋体" w:cs="宋体"/>
                <w:iCs w:val="0"/>
                <w:color w:val="auto"/>
                <w:sz w:val="21"/>
                <w:szCs w:val="21"/>
                <w:highlight w:val="none"/>
                <w:lang w:val="zh-CN"/>
              </w:rPr>
              <w:t xml:space="preserve">路灯、</w:t>
            </w:r>
            <w:r>
              <w:rPr>
                <w:rStyle w:val="992"/>
                <w:rFonts w:hint="eastAsia" w:ascii="宋体" w:hAnsi="宋体" w:eastAsia="宋体" w:cs="宋体"/>
                <w:iCs w:val="0"/>
                <w:color w:val="auto"/>
                <w:sz w:val="21"/>
                <w:szCs w:val="21"/>
                <w:highlight w:val="none"/>
              </w:rPr>
              <w:t xml:space="preserve">电缆、灯杆、配电箱、路灯井等</w:t>
            </w:r>
            <w:r>
              <w:rPr>
                <w:rStyle w:val="992"/>
                <w:rFonts w:hint="eastAsia" w:ascii="宋体" w:hAnsi="宋体" w:eastAsia="宋体" w:cs="宋体"/>
                <w:iCs w:val="0"/>
                <w:color w:val="auto"/>
                <w:sz w:val="21"/>
                <w:szCs w:val="21"/>
                <w:highlight w:val="none"/>
                <w:lang w:val="zh-CN"/>
              </w:rPr>
              <w:t xml:space="preserve">相关配套设施的日</w:t>
            </w:r>
            <w:r>
              <w:rPr>
                <w:rStyle w:val="992"/>
                <w:rFonts w:hint="eastAsia" w:ascii="宋体" w:hAnsi="宋体" w:eastAsia="宋体" w:cs="宋体"/>
                <w:iCs w:val="0"/>
                <w:color w:val="auto"/>
                <w:sz w:val="21"/>
                <w:szCs w:val="21"/>
                <w:highlight w:val="none"/>
              </w:rPr>
              <w:t xml:space="preserve">常运维费，以及需要支付第三方的服务费（如前期调研费、咨询、设计、中标服务费等）、</w:t>
            </w:r>
            <w:r>
              <w:rPr>
                <w:rStyle w:val="992"/>
                <w:rFonts w:hint="eastAsia" w:ascii="宋体" w:hAnsi="宋体" w:eastAsia="宋体" w:cs="宋体"/>
                <w:iCs w:val="0"/>
                <w:color w:val="auto"/>
                <w:sz w:val="21"/>
                <w:szCs w:val="21"/>
                <w:highlight w:val="none"/>
                <w:lang w:val="zh-CN"/>
              </w:rPr>
              <w:t xml:space="preserve">保险、税金、利润等与该项目相关的所有费用和政策性文件规定及合同包含的所有风险、责任等各项应有费用。</w:t>
            </w:r>
            <w:r/>
          </w:p>
          <w:p>
            <w:pPr>
              <w:ind w:firstLine="420"/>
              <w:rPr>
                <w:rStyle w:val="992"/>
                <w:rFonts w:hint="eastAsia" w:ascii="宋体" w:hAnsi="宋体" w:eastAsia="宋体" w:cs="宋体"/>
                <w:iCs w:val="0"/>
                <w:color w:val="auto"/>
                <w:sz w:val="21"/>
                <w:szCs w:val="21"/>
                <w:highlight w:val="none"/>
                <w:u w:val="none"/>
                <w:lang w:val="en-US"/>
              </w:rPr>
            </w:pPr>
            <w:r>
              <w:rPr>
                <w:rStyle w:val="992"/>
                <w:rFonts w:hint="eastAsia" w:ascii="宋体" w:hAnsi="宋体" w:eastAsia="宋体" w:cs="宋体"/>
                <w:iCs w:val="0"/>
                <w:color w:val="auto"/>
                <w:sz w:val="21"/>
                <w:szCs w:val="21"/>
                <w:highlight w:val="none"/>
                <w:u w:val="none"/>
                <w:lang w:val="en-US"/>
              </w:rPr>
              <w:t xml:space="preserve">电表甲供。</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中标单位应对张家港保税区及三个街道区域的市政道路现有路灯及附属设备进行详细调查、测试，充分评估存在的故障、安全隐患、设备功能及性能等所有指标数据，在对项目能源系统进行全面诊断的基础上，提出项目节能改造和智能控制系统方案，并在合同签订后30天内编制完整的路灯改造方案报采购单位，经采购单位书面确认后实施。</w:t>
            </w:r>
            <w:r/>
          </w:p>
          <w:p>
            <w:pPr>
              <w:ind w:firstLine="420"/>
              <w:rPr>
                <w:rStyle w:val="992"/>
                <w:rFonts w:hint="eastAsia" w:ascii="宋体" w:hAnsi="宋体" w:eastAsia="宋体" w:cs="宋体"/>
                <w:i/>
                <w:color w:val="auto"/>
                <w:sz w:val="21"/>
                <w:szCs w:val="21"/>
                <w:highlight w:val="none"/>
                <w:u w:val="single"/>
              </w:rPr>
            </w:pPr>
            <w:r>
              <w:rPr>
                <w:rStyle w:val="992"/>
                <w:rFonts w:hint="eastAsia" w:ascii="宋体" w:hAnsi="宋体" w:eastAsia="宋体" w:cs="宋体"/>
                <w:iCs w:val="0"/>
                <w:color w:val="auto"/>
                <w:sz w:val="21"/>
                <w:szCs w:val="21"/>
                <w:highlight w:val="none"/>
              </w:rPr>
              <w:t xml:space="preserve">采购单位将委托具有相应资质的工程监理机构对改造建设期间的质量、安全、进度、文明施工等情况进行监理，相应的监理费用由采购单位支付。</w:t>
            </w:r>
            <w:r/>
          </w:p>
        </w:tc>
      </w:tr>
      <w:tr>
        <w:trPr/>
        <w:tc>
          <w:tcPr>
            <w:tcMar>
              <w:top w:w="100" w:type="dxa"/>
              <w:bottom w:w="100" w:type="dxa"/>
            </w:tcMar>
            <w:tcW w:w="834" w:type="dxa"/>
            <w:vAlign w:val="center"/>
            <w:vMerge w:val="restart"/>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2</w:t>
            </w:r>
            <w:r/>
          </w:p>
        </w:tc>
        <w:tc>
          <w:tcPr>
            <w:tcMar>
              <w:top w:w="100" w:type="dxa"/>
              <w:bottom w:w="100" w:type="dxa"/>
            </w:tcMar>
            <w:tcW w:w="1320" w:type="dxa"/>
            <w:vAlign w:val="center"/>
            <w:vMerge w:val="restart"/>
            <w:textDirection w:val="lrTb"/>
            <w:noWrap w:val="false"/>
          </w:tcPr>
          <w:p>
            <w:pPr>
              <w:pStyle w:val="1304"/>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招标内容及技术要求</w:t>
            </w:r>
            <w:r/>
          </w:p>
        </w:tc>
        <w:tc>
          <w:tcPr>
            <w:tcMar>
              <w:top w:w="100" w:type="dxa"/>
              <w:bottom w:w="100" w:type="dxa"/>
            </w:tcMar>
            <w:tcW w:w="7808" w:type="dxa"/>
            <w:vAlign w:val="center"/>
            <w:textDirection w:val="lrTb"/>
            <w:noWrap w:val="false"/>
          </w:tcPr>
          <w:p>
            <w:pPr>
              <w:ind w:firstLine="420"/>
              <w:rPr>
                <w:rStyle w:val="992"/>
                <w:rFonts w:hint="default" w:ascii="宋体" w:hAnsi="宋体" w:eastAsia="宋体" w:cs="宋体"/>
                <w:iCs w:val="0"/>
                <w:color w:val="auto"/>
                <w:sz w:val="21"/>
                <w:szCs w:val="21"/>
                <w:highlight w:val="none"/>
              </w:rPr>
            </w:pPr>
            <w:r>
              <w:rPr>
                <w:rStyle w:val="992"/>
                <w:rFonts w:hint="eastAsia" w:ascii="宋体" w:hAnsi="宋体" w:cs="宋体"/>
                <w:iCs w:val="0"/>
                <w:color w:val="auto"/>
                <w:sz w:val="21"/>
                <w:szCs w:val="21"/>
                <w:highlight w:val="none"/>
                <w:lang w:val="en-US"/>
              </w:rPr>
              <w:t xml:space="preserve">2.1</w:t>
            </w:r>
            <w:r>
              <w:rPr>
                <w:rStyle w:val="992"/>
                <w:rFonts w:hint="eastAsia" w:ascii="宋体" w:hAnsi="宋体" w:eastAsia="宋体" w:cs="宋体"/>
                <w:iCs w:val="0"/>
                <w:color w:val="auto"/>
                <w:sz w:val="21"/>
                <w:szCs w:val="21"/>
                <w:highlight w:val="none"/>
              </w:rPr>
              <w:t xml:space="preserve">项目内容</w:t>
            </w:r>
            <w:r>
              <w:rPr>
                <w:rStyle w:val="992"/>
                <w:rFonts w:hint="eastAsia" w:ascii="宋体" w:hAnsi="宋体" w:eastAsia="宋体" w:cs="宋体"/>
                <w:iCs w:val="0"/>
                <w:color w:val="auto"/>
                <w:sz w:val="21"/>
                <w:szCs w:val="21"/>
                <w:highlight w:val="none"/>
                <w:lang w:val="en-US"/>
              </w:rPr>
              <w:t xml:space="preserve">:</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lang w:val="en-US"/>
              </w:rPr>
              <w:t xml:space="preserve">(1)</w:t>
            </w:r>
            <w:r>
              <w:rPr>
                <w:rStyle w:val="992"/>
                <w:rFonts w:hint="eastAsia" w:ascii="宋体" w:hAnsi="宋体" w:eastAsia="宋体" w:cs="宋体"/>
                <w:iCs w:val="0"/>
                <w:color w:val="auto"/>
                <w:sz w:val="21"/>
                <w:szCs w:val="21"/>
                <w:highlight w:val="none"/>
              </w:rPr>
              <w:t xml:space="preserve">路灯升级改造</w:t>
            </w:r>
            <w:r>
              <w:rPr>
                <w:rStyle w:val="992"/>
                <w:rFonts w:hint="eastAsia" w:ascii="宋体" w:hAnsi="宋体" w:eastAsia="宋体" w:cs="宋体"/>
                <w:iCs w:val="0"/>
                <w:color w:val="auto"/>
                <w:sz w:val="21"/>
                <w:szCs w:val="21"/>
                <w:highlight w:val="none"/>
                <w:lang w:val="en-US"/>
              </w:rPr>
              <w:t xml:space="preserve">:</w:t>
            </w:r>
            <w:r>
              <w:rPr>
                <w:rStyle w:val="992"/>
                <w:rFonts w:hint="eastAsia" w:ascii="宋体" w:hAnsi="宋体" w:eastAsia="宋体" w:cs="宋体"/>
                <w:iCs w:val="0"/>
                <w:color w:val="auto"/>
                <w:sz w:val="21"/>
                <w:szCs w:val="21"/>
                <w:highlight w:val="none"/>
              </w:rPr>
              <w:t xml:space="preserve">将传统的高压钠灯灯具、</w:t>
            </w:r>
            <w:r>
              <w:rPr>
                <w:rStyle w:val="992"/>
                <w:rFonts w:hint="eastAsia" w:ascii="宋体" w:hAnsi="宋体" w:eastAsia="宋体" w:cs="宋体"/>
                <w:iCs w:val="0"/>
                <w:color w:val="auto"/>
                <w:sz w:val="21"/>
                <w:szCs w:val="21"/>
                <w:highlight w:val="none"/>
                <w:lang w:val="en-US"/>
              </w:rPr>
              <w:t xml:space="preserve">原有旧的LED灯具</w:t>
            </w:r>
            <w:r>
              <w:rPr>
                <w:rStyle w:val="992"/>
                <w:rFonts w:hint="eastAsia" w:ascii="宋体" w:hAnsi="宋体" w:eastAsia="宋体" w:cs="宋体"/>
                <w:iCs w:val="0"/>
                <w:color w:val="auto"/>
                <w:sz w:val="21"/>
                <w:szCs w:val="21"/>
                <w:highlight w:val="none"/>
              </w:rPr>
              <w:t xml:space="preserve">全面替换为照明亮度更高、更节能的LED路灯。包含灯具采购、制作、安装、调试、安装单灯控制器、路灯控制箱改造及旧灯具拆除，费用由中标单位支付。</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lang w:val="en-US"/>
              </w:rPr>
              <w:t xml:space="preserve">2)</w:t>
            </w:r>
            <w:r>
              <w:rPr>
                <w:rStyle w:val="992"/>
                <w:rFonts w:hint="eastAsia" w:ascii="宋体" w:hAnsi="宋体" w:eastAsia="宋体" w:cs="宋体"/>
                <w:iCs w:val="0"/>
                <w:color w:val="auto"/>
                <w:sz w:val="21"/>
                <w:szCs w:val="21"/>
                <w:highlight w:val="none"/>
              </w:rPr>
              <w:t xml:space="preserve">集中控制设备改造</w:t>
            </w:r>
            <w:r>
              <w:rPr>
                <w:rStyle w:val="992"/>
                <w:rFonts w:hint="eastAsia" w:ascii="宋体" w:hAnsi="宋体" w:eastAsia="宋体" w:cs="宋体"/>
                <w:iCs w:val="0"/>
                <w:color w:val="auto"/>
                <w:sz w:val="21"/>
                <w:szCs w:val="21"/>
                <w:highlight w:val="none"/>
                <w:lang w:val="en-US"/>
              </w:rPr>
              <w:t xml:space="preserve">:</w:t>
            </w:r>
            <w:r>
              <w:rPr>
                <w:rStyle w:val="992"/>
                <w:rFonts w:hint="eastAsia" w:ascii="宋体" w:hAnsi="宋体" w:eastAsia="宋体" w:cs="宋体"/>
                <w:iCs w:val="0"/>
                <w:color w:val="auto"/>
                <w:sz w:val="21"/>
                <w:szCs w:val="21"/>
                <w:highlight w:val="none"/>
              </w:rPr>
              <w:t xml:space="preserve">对招标范围内路灯的配电箱改造升级，安装通信模块及数据监测模块，实现对配电箱、线路、灯具等路灯设施设备运行数据的监测、控制、调节，达到用电安全、供电可靠、用能清晰。变压器维修不包含在中标价内，发生时采购人按确认的价格另行支付。</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lang w:val="en-US"/>
              </w:rPr>
              <w:t xml:space="preserve">3)</w:t>
            </w:r>
            <w:r>
              <w:rPr>
                <w:rStyle w:val="992"/>
                <w:rFonts w:hint="eastAsia" w:ascii="宋体" w:hAnsi="宋体" w:eastAsia="宋体" w:cs="宋体"/>
                <w:iCs w:val="0"/>
                <w:color w:val="auto"/>
                <w:sz w:val="21"/>
                <w:szCs w:val="21"/>
                <w:highlight w:val="none"/>
              </w:rPr>
              <w:t xml:space="preserve">增加接地，接地改造后达到国家规范要求的接地网络。</w:t>
            </w:r>
            <w:r/>
          </w:p>
          <w:p>
            <w:pPr>
              <w:ind w:firstLine="420"/>
              <w:spacing w:line="360" w:lineRule="auto"/>
              <w:rPr>
                <w:rStyle w:val="992"/>
                <w:rFonts w:hint="eastAsia" w:ascii="宋体" w:hAnsi="宋体" w:eastAsia="宋体" w:cs="宋体"/>
                <w:color w:val="auto"/>
                <w:sz w:val="21"/>
                <w:szCs w:val="21"/>
                <w:highlight w:val="none"/>
              </w:rPr>
            </w:pPr>
            <w:r>
              <w:rPr>
                <w:rStyle w:val="992"/>
                <w:rFonts w:hint="eastAsia" w:ascii="宋体" w:hAnsi="宋体" w:eastAsia="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lang w:val="en-US"/>
              </w:rPr>
              <w:t xml:space="preserve">4)</w:t>
            </w:r>
            <w:r>
              <w:rPr>
                <w:rStyle w:val="992"/>
                <w:rFonts w:hint="eastAsia" w:ascii="宋体" w:hAnsi="宋体" w:eastAsia="宋体" w:cs="宋体"/>
                <w:iCs w:val="0"/>
                <w:color w:val="auto"/>
                <w:sz w:val="21"/>
                <w:szCs w:val="21"/>
                <w:highlight w:val="none"/>
              </w:rPr>
              <w:t xml:space="preserve">路灯改造：</w:t>
            </w:r>
            <w:r>
              <w:rPr>
                <w:rStyle w:val="992"/>
                <w:rFonts w:hint="eastAsia" w:ascii="宋体" w:hAnsi="宋体" w:eastAsia="宋体" w:cs="宋体"/>
                <w:color w:val="auto"/>
                <w:sz w:val="21"/>
                <w:szCs w:val="21"/>
                <w:highlight w:val="none"/>
              </w:rPr>
              <w:t xml:space="preserve">长江路（十字港桥-长江北路）、江堤路路灯改造，渤海路、青海路南延、长江北路、黄海路、北海路、东华路、景新路、朝东圩路、段山路</w:t>
            </w:r>
            <w:r>
              <w:rPr>
                <w:rStyle w:val="992"/>
                <w:rFonts w:hint="eastAsia" w:ascii="宋体" w:hAnsi="宋体" w:cs="宋体"/>
                <w:color w:val="auto"/>
                <w:sz w:val="21"/>
                <w:szCs w:val="21"/>
                <w:highlight w:val="none"/>
              </w:rPr>
              <w:t xml:space="preserve">、</w:t>
            </w:r>
            <w:r>
              <w:rPr>
                <w:rStyle w:val="992"/>
                <w:rFonts w:hint="eastAsia" w:ascii="宋体" w:hAnsi="宋体" w:eastAsia="宋体" w:cs="宋体"/>
                <w:color w:val="auto"/>
                <w:sz w:val="21"/>
                <w:szCs w:val="21"/>
                <w:highlight w:val="none"/>
              </w:rPr>
              <w:t xml:space="preserve">天妃路、德兴路、南海路、巡逻道、纬六路。（中标后这些路段的路灯改造设计需经采购人确认后实施，设计费</w:t>
            </w:r>
            <w:r>
              <w:rPr>
                <w:rStyle w:val="992"/>
                <w:rFonts w:hint="eastAsia" w:ascii="宋体" w:hAnsi="宋体" w:eastAsia="宋体" w:cs="宋体"/>
                <w:color w:val="auto"/>
                <w:sz w:val="21"/>
                <w:szCs w:val="21"/>
                <w:highlight w:val="none"/>
                <w:lang w:val="en-US" w:eastAsia="zh-CN"/>
              </w:rPr>
              <w:t xml:space="preserve">约23万元</w:t>
            </w:r>
            <w:r>
              <w:rPr>
                <w:rStyle w:val="992"/>
                <w:rFonts w:hint="eastAsia" w:ascii="宋体" w:hAnsi="宋体" w:eastAsia="宋体" w:cs="宋体"/>
                <w:color w:val="auto"/>
                <w:sz w:val="21"/>
                <w:szCs w:val="21"/>
                <w:highlight w:val="none"/>
              </w:rPr>
              <w:t xml:space="preserve">由中标单位支付）</w:t>
            </w:r>
            <w:r/>
          </w:p>
          <w:p>
            <w:pPr>
              <w:ind w:firstLine="210"/>
              <w:spacing w:line="360" w:lineRule="auto"/>
              <w:rPr>
                <w:rStyle w:val="992"/>
                <w:rFonts w:hint="eastAsia" w:ascii="宋体" w:hAnsi="宋体" w:eastAsia="宋体" w:cs="宋体"/>
                <w:color w:val="auto"/>
                <w:sz w:val="21"/>
                <w:szCs w:val="21"/>
                <w:highlight w:val="none"/>
              </w:rPr>
            </w:pPr>
            <w:r>
              <w:rPr>
                <w:rStyle w:val="992"/>
                <w:rFonts w:hint="eastAsia" w:ascii="宋体" w:hAnsi="宋体" w:eastAsia="宋体" w:cs="宋体"/>
                <w:color w:val="auto"/>
                <w:sz w:val="21"/>
                <w:szCs w:val="21"/>
                <w:highlight w:val="none"/>
                <w:lang w:val="en-US" w:eastAsia="zh-CN"/>
              </w:rPr>
              <w:t xml:space="preserve">(5)</w:t>
            </w:r>
            <w:r>
              <w:rPr>
                <w:rStyle w:val="992"/>
                <w:rFonts w:hint="eastAsia" w:ascii="宋体" w:hAnsi="宋体" w:eastAsia="宋体" w:cs="宋体"/>
                <w:color w:val="auto"/>
                <w:sz w:val="21"/>
                <w:szCs w:val="21"/>
                <w:highlight w:val="none"/>
              </w:rPr>
              <w:t xml:space="preserve">金港街道三甲里路、天永路、天台北路更换路灯电缆，后塍街道西墩路、人民北路、镇山路、长江明珠路电缆改造，德积街道护漕港路（天霸路-德申路）、元丰路（德申路南）、友邦路、环宇北路、福中路电缆更换。</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cs="宋体"/>
                <w:iCs w:val="0"/>
                <w:color w:val="auto"/>
                <w:sz w:val="21"/>
                <w:szCs w:val="21"/>
                <w:highlight w:val="none"/>
              </w:rPr>
              <w:t xml:space="preserve">（</w:t>
            </w:r>
            <w:r>
              <w:rPr>
                <w:rStyle w:val="992"/>
                <w:rFonts w:hint="eastAsia" w:ascii="宋体" w:hAnsi="宋体" w:cs="宋体"/>
                <w:iCs w:val="0"/>
                <w:color w:val="auto"/>
                <w:sz w:val="21"/>
                <w:szCs w:val="21"/>
                <w:highlight w:val="none"/>
                <w:lang w:val="en-US"/>
              </w:rPr>
              <w:t xml:space="preserve">6）</w:t>
            </w:r>
            <w:r>
              <w:rPr>
                <w:rStyle w:val="992"/>
                <w:rFonts w:hint="eastAsia" w:ascii="宋体" w:hAnsi="宋体" w:eastAsia="宋体" w:cs="宋体"/>
                <w:iCs w:val="0"/>
                <w:color w:val="auto"/>
                <w:sz w:val="21"/>
                <w:szCs w:val="21"/>
                <w:highlight w:val="none"/>
              </w:rPr>
              <w:t xml:space="preserve">托管期服务项目</w:t>
            </w:r>
            <w:r/>
          </w:p>
          <w:p>
            <w:pPr>
              <w:ind w:firstLine="420"/>
              <w:rPr>
                <w:rStyle w:val="992"/>
                <w:rFonts w:hint="eastAsia" w:ascii="宋体" w:hAnsi="宋体" w:eastAsia="宋体" w:cs="宋体"/>
                <w:iCs w:val="0"/>
                <w:color w:val="auto"/>
                <w:sz w:val="21"/>
                <w:szCs w:val="21"/>
                <w:highlight w:val="none"/>
              </w:rPr>
            </w:pPr>
            <w:r>
              <w:rPr>
                <w:rStyle w:val="992"/>
                <w:rFonts w:hint="eastAsia" w:ascii="微软雅黑" w:hAnsi="微软雅黑" w:eastAsia="微软雅黑" w:cs="微软雅黑"/>
                <w:iCs w:val="0"/>
                <w:color w:val="auto"/>
                <w:sz w:val="21"/>
                <w:szCs w:val="21"/>
                <w:highlight w:val="none"/>
              </w:rPr>
              <w:t xml:space="preserve">①</w:t>
            </w:r>
            <w:r>
              <w:rPr>
                <w:rStyle w:val="992"/>
                <w:rFonts w:hint="eastAsia" w:ascii="宋体" w:hAnsi="宋体" w:eastAsia="宋体" w:cs="宋体"/>
                <w:iCs w:val="0"/>
                <w:color w:val="auto"/>
                <w:sz w:val="21"/>
                <w:szCs w:val="21"/>
                <w:highlight w:val="none"/>
              </w:rPr>
              <w:t xml:space="preserve">对能源托管范围内所有照明路灯及配套设施进行日常运维，保证设备正常运行（亮灯率≥99%，设备完好率≥99%）；</w:t>
            </w:r>
            <w:r/>
          </w:p>
          <w:p>
            <w:pPr>
              <w:ind w:firstLine="420"/>
              <w:rPr>
                <w:rStyle w:val="992"/>
                <w:rFonts w:hint="eastAsia" w:ascii="宋体" w:hAnsi="宋体" w:eastAsia="宋体" w:cs="宋体"/>
                <w:iCs w:val="0"/>
                <w:color w:val="auto"/>
                <w:sz w:val="21"/>
                <w:szCs w:val="21"/>
                <w:highlight w:val="none"/>
              </w:rPr>
            </w:pPr>
            <w:r>
              <w:rPr>
                <w:rStyle w:val="992"/>
                <w:rFonts w:hint="eastAsia" w:ascii="微软雅黑" w:hAnsi="微软雅黑" w:eastAsia="微软雅黑" w:cs="微软雅黑"/>
                <w:iCs w:val="0"/>
                <w:color w:val="auto"/>
                <w:sz w:val="21"/>
                <w:szCs w:val="21"/>
                <w:highlight w:val="none"/>
              </w:rPr>
              <w:t xml:space="preserve">②</w:t>
            </w:r>
            <w:r>
              <w:rPr>
                <w:rStyle w:val="992"/>
                <w:rFonts w:hint="eastAsia" w:ascii="宋体" w:hAnsi="宋体" w:eastAsia="宋体" w:cs="宋体"/>
                <w:iCs w:val="0"/>
                <w:color w:val="auto"/>
                <w:sz w:val="21"/>
                <w:szCs w:val="21"/>
                <w:highlight w:val="none"/>
              </w:rPr>
              <w:t xml:space="preserve">对改造范围内所有照明设备及智能管控设备进行提升。</w:t>
            </w:r>
            <w:r/>
          </w:p>
          <w:p>
            <w:pPr>
              <w:ind w:firstLine="420"/>
              <w:rPr>
                <w:rStyle w:val="992"/>
                <w:rFonts w:hint="eastAsia" w:ascii="宋体" w:hAnsi="宋体" w:eastAsia="宋体" w:cs="宋体"/>
                <w:iCs w:val="0"/>
                <w:color w:val="auto"/>
                <w:sz w:val="21"/>
                <w:szCs w:val="21"/>
                <w:highlight w:val="none"/>
                <w:lang w:val="en-US"/>
              </w:rPr>
            </w:pPr>
            <w:r>
              <w:rPr>
                <w:rStyle w:val="992"/>
                <w:rFonts w:hint="eastAsia" w:ascii="微软雅黑" w:hAnsi="微软雅黑" w:eastAsia="微软雅黑" w:cs="微软雅黑"/>
                <w:iCs w:val="0"/>
                <w:color w:val="auto"/>
                <w:sz w:val="21"/>
                <w:szCs w:val="21"/>
                <w:highlight w:val="none"/>
              </w:rPr>
              <w:t xml:space="preserve">③</w:t>
            </w:r>
            <w:r>
              <w:rPr>
                <w:rStyle w:val="992"/>
                <w:rFonts w:hint="eastAsia" w:ascii="宋体" w:hAnsi="宋体" w:eastAsia="宋体" w:cs="宋体"/>
                <w:iCs w:val="0"/>
                <w:color w:val="auto"/>
                <w:sz w:val="21"/>
                <w:szCs w:val="21"/>
                <w:highlight w:val="none"/>
                <w:lang w:val="en-US"/>
              </w:rPr>
              <w:t xml:space="preserve">现在电缆的情况投标人应踏勘现场，除后附电缆更换表内需更换的路段外，其他路段是否更换，以后是否需要陆续更换，投标人自行制定方案，不能因电缆问题影响路灯照明及路灯设施安全。</w:t>
            </w:r>
            <w:r>
              <w:rPr>
                <w:rStyle w:val="992"/>
                <w:rFonts w:hint="eastAsia" w:ascii="宋体" w:hAnsi="宋体" w:eastAsia="宋体" w:cs="宋体"/>
                <w:iCs w:val="0"/>
                <w:color w:val="auto"/>
                <w:sz w:val="21"/>
                <w:szCs w:val="21"/>
                <w:highlight w:val="none"/>
              </w:rPr>
              <w:t xml:space="preserve">电缆更换</w:t>
            </w:r>
            <w:r>
              <w:rPr>
                <w:rStyle w:val="992"/>
                <w:rFonts w:hint="eastAsia" w:ascii="宋体" w:hAnsi="宋体" w:eastAsia="宋体" w:cs="宋体"/>
                <w:iCs w:val="0"/>
                <w:color w:val="auto"/>
                <w:sz w:val="21"/>
                <w:szCs w:val="21"/>
                <w:highlight w:val="none"/>
                <w:lang w:val="en-US"/>
              </w:rPr>
              <w:t xml:space="preserve">的实施和费用由中标单位负责</w:t>
            </w:r>
            <w:r>
              <w:rPr>
                <w:rStyle w:val="992"/>
                <w:rFonts w:hint="eastAsia" w:ascii="宋体" w:hAnsi="宋体" w:eastAsia="宋体" w:cs="宋体"/>
                <w:iCs w:val="0"/>
                <w:color w:val="auto"/>
                <w:sz w:val="21"/>
                <w:szCs w:val="21"/>
                <w:highlight w:val="none"/>
              </w:rPr>
              <w:t xml:space="preserve">、维护由中标单位负责，电缆被盗由中标单位负责</w:t>
            </w:r>
            <w:r>
              <w:rPr>
                <w:rStyle w:val="992"/>
                <w:rFonts w:hint="eastAsia" w:ascii="宋体" w:hAnsi="宋体" w:eastAsia="宋体" w:cs="宋体"/>
                <w:iCs w:val="0"/>
                <w:color w:val="auto"/>
                <w:sz w:val="21"/>
                <w:szCs w:val="21"/>
                <w:highlight w:val="none"/>
                <w:lang w:val="en-US"/>
              </w:rPr>
              <w:t xml:space="preserve">。</w:t>
            </w:r>
            <w:r/>
          </w:p>
          <w:p>
            <w:pPr>
              <w:ind w:firstLine="420"/>
              <w:rPr>
                <w:rStyle w:val="992"/>
                <w:rFonts w:hint="eastAsia" w:ascii="宋体" w:hAnsi="宋体" w:eastAsia="宋体" w:cs="宋体"/>
                <w:iCs w:val="0"/>
                <w:color w:val="auto"/>
                <w:sz w:val="21"/>
                <w:szCs w:val="21"/>
                <w:highlight w:val="none"/>
                <w:lang w:val="en-US"/>
              </w:rPr>
            </w:pPr>
            <w:r>
              <w:rPr>
                <w:rStyle w:val="992"/>
                <w:rFonts w:hint="eastAsia" w:ascii="宋体" w:hAnsi="宋体" w:eastAsia="宋体" w:cs="宋体"/>
                <w:color w:val="auto"/>
                <w:sz w:val="21"/>
                <w:szCs w:val="21"/>
                <w:highlight w:val="none"/>
              </w:rPr>
              <w:t xml:space="preserve">项目托管服务期内，项目范围内所有路灯配套电力电缆（含原有存量电缆、乙方改造敷设新增</w:t>
            </w:r>
            <w:r>
              <w:rPr>
                <w:rStyle w:val="992"/>
                <w:rFonts w:hint="eastAsia" w:ascii="宋体" w:hAnsi="宋体" w:eastAsia="宋体" w:cs="宋体"/>
                <w:color w:val="auto"/>
                <w:sz w:val="21"/>
                <w:szCs w:val="21"/>
                <w:highlight w:val="none"/>
              </w:rPr>
              <w:t xml:space="preserve">电缆）的日常巡检、故障检修、老化破损更换、接头养护全部由中标单位（乙方）全权负责，所需电缆材料、人工、机械、辅材等全部包含在运维服务费内，甲方不再另行付费。 乙方对电缆运行全过程安全承担主体责任：负责定期绝缘检测、隐患排查、破损修复、接地与防雷维护；因电缆老化、检修不到位、施工不规范、材料不合格引发漏电、起火、人员触电、财产损毁等一切安全事故、经济赔偿及行政处罚，均由乙方全部承担。 因甲方擅自改动管线、第三方施工破坏、不可抗力造成的电缆损坏及安全隐患，乙方仅负责抢修处置，相关修复费用及安全责任由责任方承担。</w:t>
            </w:r>
            <w:r/>
          </w:p>
          <w:p>
            <w:pPr>
              <w:ind w:firstLine="420"/>
              <w:rPr>
                <w:rStyle w:val="992"/>
                <w:rFonts w:hint="eastAsia" w:ascii="宋体" w:hAnsi="宋体" w:eastAsia="宋体" w:cs="宋体"/>
                <w:iCs w:val="0"/>
                <w:color w:val="auto"/>
                <w:sz w:val="21"/>
                <w:szCs w:val="21"/>
                <w:highlight w:val="none"/>
              </w:rPr>
            </w:pPr>
            <w:r>
              <w:rPr>
                <w:rStyle w:val="992"/>
                <w:rFonts w:hint="eastAsia" w:ascii="微软雅黑" w:hAnsi="微软雅黑" w:eastAsia="微软雅黑" w:cs="微软雅黑"/>
                <w:iCs w:val="0"/>
                <w:color w:val="auto"/>
                <w:sz w:val="21"/>
                <w:szCs w:val="21"/>
                <w:highlight w:val="none"/>
              </w:rPr>
              <w:t xml:space="preserve">④</w:t>
            </w:r>
            <w:r>
              <w:rPr>
                <w:rStyle w:val="992"/>
                <w:rFonts w:hint="eastAsia" w:ascii="宋体" w:hAnsi="宋体" w:eastAsia="宋体" w:cs="宋体"/>
                <w:iCs w:val="0"/>
                <w:color w:val="auto"/>
                <w:sz w:val="21"/>
                <w:szCs w:val="21"/>
                <w:highlight w:val="none"/>
                <w:lang w:val="en-US"/>
              </w:rPr>
              <w:t xml:space="preserve">新增或减少路灯的运维费增减按每年105元/杆结算</w:t>
            </w:r>
            <w:r>
              <w:rPr>
                <w:rStyle w:val="992"/>
                <w:rFonts w:hint="eastAsia" w:ascii="宋体" w:hAnsi="宋体" w:eastAsia="宋体" w:cs="宋体"/>
                <w:iCs w:val="0"/>
                <w:color w:val="auto"/>
                <w:sz w:val="21"/>
                <w:szCs w:val="21"/>
                <w:highlight w:val="none"/>
                <w:lang w:val="en-US"/>
              </w:rPr>
              <w:t xml:space="preserve">。</w:t>
            </w:r>
            <w:r/>
          </w:p>
        </w:tc>
      </w:tr>
      <w:tr>
        <w:trPr/>
        <w:tc>
          <w:tcPr>
            <w:tcMar>
              <w:top w:w="100" w:type="dxa"/>
              <w:bottom w:w="100" w:type="dxa"/>
            </w:tcMar>
            <w:tcW w:w="834" w:type="dxa"/>
            <w:vAlign w:val="center"/>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304"/>
              <w:ind w:firstLine="420"/>
              <w:spacing w:line="360" w:lineRule="auto"/>
              <w:rPr>
                <w:rStyle w:val="992"/>
                <w:rFonts w:hint="eastAsia" w:ascii="宋体" w:hAnsi="宋体" w:cs="宋体"/>
                <w:iCs/>
                <w:color w:val="auto"/>
                <w:sz w:val="21"/>
                <w:szCs w:val="21"/>
                <w:highlight w:val="none"/>
              </w:rPr>
            </w:pPr>
            <w:r>
              <w:rPr>
                <w:rStyle w:val="992"/>
                <w:rFonts w:hint="eastAsia" w:ascii="宋体" w:hAnsi="宋体" w:eastAsia="宋体" w:cs="宋体"/>
                <w:iCs/>
                <w:color w:val="auto"/>
                <w:sz w:val="21"/>
                <w:szCs w:val="21"/>
                <w:highlight w:val="none"/>
                <w:lang w:val="en-US"/>
              </w:rPr>
              <w:t xml:space="preserve">2.2</w:t>
            </w:r>
            <w:r>
              <w:rPr>
                <w:rStyle w:val="992"/>
                <w:rFonts w:hint="eastAsia" w:ascii="宋体" w:hAnsi="宋体" w:cs="宋体"/>
                <w:iCs/>
                <w:color w:val="auto"/>
                <w:sz w:val="21"/>
                <w:szCs w:val="21"/>
                <w:highlight w:val="none"/>
              </w:rPr>
              <w:t xml:space="preserve">建设要求</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lang w:val="en-US"/>
              </w:rPr>
              <w:t xml:space="preserve">1）</w:t>
            </w:r>
            <w:r>
              <w:rPr>
                <w:rStyle w:val="992"/>
                <w:rFonts w:hint="eastAsia" w:ascii="宋体" w:hAnsi="宋体" w:eastAsia="宋体" w:cs="宋体"/>
                <w:iCs w:val="0"/>
                <w:color w:val="auto"/>
                <w:sz w:val="21"/>
                <w:szCs w:val="21"/>
                <w:highlight w:val="none"/>
              </w:rPr>
              <w:t xml:space="preserve">建设目标</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改造后道路照明照度水平满足《城市道路照明设计标准》CJJ45-2015 规定的对应道路类型的高档值标准要求。</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w:t>
            </w:r>
            <w:r>
              <w:rPr>
                <w:rStyle w:val="992"/>
                <w:rFonts w:hint="eastAsia" w:ascii="宋体" w:hAnsi="宋体" w:eastAsia="宋体" w:cs="宋体"/>
                <w:iCs w:val="0"/>
                <w:color w:val="auto"/>
                <w:sz w:val="21"/>
                <w:szCs w:val="21"/>
                <w:highlight w:val="none"/>
                <w:lang w:val="en-US"/>
              </w:rPr>
              <w:t xml:space="preserve">2）</w:t>
            </w:r>
            <w:r>
              <w:rPr>
                <w:rStyle w:val="992"/>
                <w:rFonts w:hint="eastAsia" w:ascii="宋体" w:hAnsi="宋体" w:eastAsia="宋体" w:cs="宋体"/>
                <w:iCs w:val="0"/>
                <w:color w:val="auto"/>
                <w:sz w:val="21"/>
                <w:szCs w:val="21"/>
                <w:highlight w:val="none"/>
              </w:rPr>
              <w:t xml:space="preserve">改造要求</w:t>
            </w:r>
            <w:r/>
          </w:p>
          <w:p>
            <w:pPr>
              <w:ind w:firstLine="420"/>
              <w:rPr>
                <w:rStyle w:val="992"/>
                <w:rFonts w:hint="eastAsia" w:ascii="宋体" w:hAnsi="宋体" w:eastAsia="宋体" w:cs="宋体"/>
                <w:iCs w:val="0"/>
                <w:color w:val="auto"/>
                <w:sz w:val="21"/>
                <w:szCs w:val="21"/>
                <w:highlight w:val="none"/>
              </w:rPr>
            </w:pPr>
            <w:r>
              <w:rPr>
                <w:rStyle w:val="992"/>
                <w:rFonts w:hint="eastAsia" w:ascii="宋体" w:hAnsi="宋体" w:eastAsia="宋体" w:cs="宋体"/>
                <w:iCs w:val="0"/>
                <w:color w:val="auto"/>
                <w:sz w:val="21"/>
                <w:szCs w:val="21"/>
                <w:highlight w:val="none"/>
              </w:rPr>
              <w:t xml:space="preserve">采用4GCat.1方式实现对灯具的单灯控制，对所属道路路灯控制箱加装集中控制器，实现道路照明智能化管理。接入路灯智慧控制平台，实现网上巡查路灯、网上管理路灯、网上控制路灯，建立的张家港保税区的智慧照明管理平台，能</w:t>
            </w:r>
            <w:r>
              <w:rPr>
                <w:rStyle w:val="992"/>
                <w:rFonts w:hint="eastAsia" w:ascii="宋体" w:hAnsi="宋体" w:eastAsia="宋体" w:cs="宋体"/>
                <w:iCs w:val="0"/>
                <w:color w:val="auto"/>
                <w:sz w:val="21"/>
                <w:szCs w:val="21"/>
                <w:highlight w:val="none"/>
                <w:lang w:val="en-US"/>
              </w:rPr>
              <w:t xml:space="preserve">将数据推送到</w:t>
            </w:r>
            <w:r>
              <w:rPr>
                <w:rStyle w:val="992"/>
                <w:rFonts w:hint="eastAsia" w:ascii="宋体" w:hAnsi="宋体" w:eastAsia="宋体" w:cs="宋体"/>
                <w:iCs w:val="0"/>
                <w:color w:val="auto"/>
                <w:sz w:val="21"/>
                <w:szCs w:val="21"/>
                <w:highlight w:val="none"/>
              </w:rPr>
              <w:t xml:space="preserve">张家港市城管</w:t>
            </w:r>
            <w:r>
              <w:rPr>
                <w:rStyle w:val="992"/>
                <w:rFonts w:hint="eastAsia" w:ascii="宋体" w:hAnsi="宋体" w:eastAsia="宋体" w:cs="宋体"/>
                <w:iCs w:val="0"/>
                <w:color w:val="auto"/>
                <w:sz w:val="21"/>
                <w:szCs w:val="21"/>
                <w:highlight w:val="none"/>
                <w:lang w:val="en-US"/>
              </w:rPr>
              <w:t xml:space="preserve">局</w:t>
            </w:r>
            <w:r>
              <w:rPr>
                <w:rStyle w:val="992"/>
                <w:rFonts w:hint="eastAsia" w:ascii="宋体" w:hAnsi="宋体" w:eastAsia="宋体" w:cs="宋体"/>
                <w:iCs w:val="0"/>
                <w:color w:val="auto"/>
                <w:sz w:val="21"/>
                <w:szCs w:val="21"/>
                <w:highlight w:val="none"/>
              </w:rPr>
              <w:t xml:space="preserve">的智慧照明管理平台。</w:t>
            </w:r>
            <w:r/>
          </w:p>
          <w:p>
            <w:pPr>
              <w:ind w:firstLine="420"/>
              <w:rPr>
                <w:rStyle w:val="992"/>
                <w:rFonts w:hint="default" w:ascii="宋体" w:hAnsi="宋体" w:eastAsia="宋体" w:cs="宋体"/>
                <w:iCs w:val="0"/>
                <w:color w:val="auto"/>
                <w:sz w:val="21"/>
                <w:szCs w:val="21"/>
                <w:highlight w:val="none"/>
                <w:lang w:val="en-US"/>
              </w:rPr>
            </w:pPr>
            <w:r>
              <w:rPr>
                <w:rStyle w:val="992"/>
                <w:rFonts w:hint="eastAsia" w:ascii="宋体" w:hAnsi="宋体" w:cs="宋体"/>
                <w:iCs w:val="0"/>
                <w:color w:val="auto"/>
                <w:sz w:val="21"/>
                <w:szCs w:val="21"/>
                <w:highlight w:val="none"/>
              </w:rPr>
              <w:t xml:space="preserve">（</w:t>
            </w:r>
            <w:r>
              <w:rPr>
                <w:rStyle w:val="992"/>
                <w:rFonts w:hint="eastAsia" w:ascii="宋体" w:hAnsi="宋体" w:cs="宋体"/>
                <w:iCs w:val="0"/>
                <w:color w:val="auto"/>
                <w:sz w:val="21"/>
                <w:szCs w:val="21"/>
                <w:highlight w:val="none"/>
                <w:lang w:val="en-US"/>
              </w:rPr>
              <w:t xml:space="preserve">3）投标人应认真进行现场踏勘，充分调查、了解现状、外接电情况，结合规范要求测算报价。</w:t>
            </w:r>
            <w:r/>
          </w:p>
        </w:tc>
      </w:tr>
      <w:tr>
        <w:trPr/>
        <w:tc>
          <w:tcPr>
            <w:tcMar>
              <w:top w:w="100" w:type="dxa"/>
              <w:bottom w:w="100" w:type="dxa"/>
            </w:tcMar>
            <w:tcW w:w="834" w:type="dxa"/>
            <w:vAlign w:val="center"/>
            <w:vMerge w:val="restart"/>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3</w:t>
            </w:r>
            <w:r/>
          </w:p>
        </w:tc>
        <w:tc>
          <w:tcPr>
            <w:tcMar>
              <w:top w:w="100" w:type="dxa"/>
              <w:bottom w:w="100" w:type="dxa"/>
            </w:tcMar>
            <w:tcW w:w="1320" w:type="dxa"/>
            <w:vAlign w:val="center"/>
            <w:vMerge w:val="restart"/>
            <w:textDirection w:val="lrTb"/>
            <w:noWrap w:val="false"/>
          </w:tcPr>
          <w:p>
            <w:pPr>
              <w:pStyle w:val="1304"/>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建设标准以及技术要求</w:t>
            </w:r>
            <w:r/>
          </w:p>
        </w:tc>
        <w:tc>
          <w:tcPr>
            <w:tcMar>
              <w:top w:w="100" w:type="dxa"/>
              <w:bottom w:w="100" w:type="dxa"/>
            </w:tcMar>
            <w:tcW w:w="7808" w:type="dxa"/>
            <w:vAlign w:val="center"/>
            <w:textDirection w:val="lrTb"/>
            <w:noWrap w:val="false"/>
          </w:tcPr>
          <w:p>
            <w:pPr>
              <w:pStyle w:val="1304"/>
              <w:ind w:firstLine="420"/>
              <w:spacing w:line="360" w:lineRule="auto"/>
              <w:rPr>
                <w:rStyle w:val="992"/>
                <w:rFonts w:hint="eastAsia" w:ascii="宋体" w:hAnsi="宋体" w:cs="宋体"/>
                <w:iCs/>
                <w:color w:val="auto"/>
                <w:sz w:val="21"/>
                <w:szCs w:val="21"/>
                <w:highlight w:val="none"/>
              </w:rPr>
            </w:pPr>
            <w:r>
              <w:rPr>
                <w:rStyle w:val="992"/>
                <w:rFonts w:hint="eastAsia" w:ascii="宋体" w:hAnsi="宋体" w:cs="宋体"/>
                <w:iCs w:val="0"/>
                <w:color w:val="auto"/>
                <w:sz w:val="21"/>
                <w:szCs w:val="21"/>
                <w:highlight w:val="none"/>
              </w:rPr>
              <w:t xml:space="preserve">3</w:t>
            </w:r>
            <w:r>
              <w:rPr>
                <w:rStyle w:val="992"/>
                <w:rFonts w:hint="eastAsia" w:ascii="宋体" w:hAnsi="宋体" w:cs="宋体"/>
                <w:iCs/>
                <w:color w:val="auto"/>
                <w:sz w:val="21"/>
                <w:szCs w:val="21"/>
                <w:highlight w:val="none"/>
              </w:rPr>
              <w:t xml:space="preserve">.1 建设标准</w:t>
            </w:r>
            <w:r/>
          </w:p>
          <w:p>
            <w:pPr>
              <w:pStyle w:val="1304"/>
              <w:ind w:firstLine="420"/>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本项目技术要求中引用以下技术规范和标准（包括但不限于），如有最新规范以新规范为准：</w:t>
            </w:r>
            <w:r/>
          </w:p>
          <w:p>
            <w:pPr>
              <w:pStyle w:val="1304"/>
              <w:ind w:firstLine="420"/>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（1）项目验收标准及测量方法：</w:t>
            </w:r>
            <w:r/>
          </w:p>
          <w:p>
            <w:pPr>
              <w:pStyle w:val="1304"/>
              <w:ind w:firstLine="420"/>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GB/T5700-2023    《照明测量方法》；</w:t>
            </w:r>
            <w:r/>
          </w:p>
          <w:p>
            <w:pPr>
              <w:pStyle w:val="1304"/>
              <w:ind w:firstLine="420"/>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CJJ45-2015       《城市道路照明设计标准》；</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color w:val="auto"/>
                <w:sz w:val="21"/>
                <w:szCs w:val="21"/>
                <w:highlight w:val="none"/>
              </w:rPr>
              <w:t xml:space="preserve">（2）灯具产品规范与标准：</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GB/T7000.1-2023</w:t>
            </w:r>
            <w:r>
              <w:rPr>
                <w:rStyle w:val="992"/>
                <w:rFonts w:hint="eastAsia" w:ascii="宋体" w:hAnsi="宋体" w:cs="宋体"/>
                <w:iCs w:val="0"/>
                <w:color w:val="auto"/>
                <w:sz w:val="21"/>
                <w:szCs w:val="21"/>
                <w:highlight w:val="none"/>
                <w:lang w:val="en-US"/>
              </w:rPr>
              <w:t xml:space="preserve"> </w:t>
            </w:r>
            <w:r>
              <w:rPr>
                <w:rStyle w:val="992"/>
                <w:rFonts w:hint="eastAsia" w:ascii="宋体" w:hAnsi="宋体" w:cs="宋体"/>
                <w:iCs w:val="0"/>
                <w:color w:val="auto"/>
                <w:sz w:val="21"/>
                <w:szCs w:val="21"/>
                <w:highlight w:val="none"/>
              </w:rPr>
              <w:t xml:space="preserve">《灯具 第1部分：一般要求与试验》；</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GB7000.203-2013 《灯具 第2-3部分：特殊要求道路与街路照明灯具》；</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GB/T20138-2023 《电气设备外壳对外界机械碰撞的防护等级》</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GB/T17626.5-2019 《电磁兼容试验和测量技术浪涌(冲击)抗扰度试验》</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GB/T2423.10-2019 《环境试验 第2部分：试验方法　试验Fc：振动(正弦)》</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 17743-2021 《电气照明和类似设备的无线电骚扰特性的限值和测量方法》；</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 17625.1-20</w:t>
            </w:r>
            <w:r>
              <w:rPr>
                <w:rStyle w:val="992"/>
                <w:rFonts w:hint="eastAsia" w:ascii="宋体" w:hAnsi="宋体" w:cs="宋体"/>
                <w:iCs w:val="0"/>
                <w:color w:val="auto"/>
                <w:sz w:val="21"/>
                <w:szCs w:val="21"/>
                <w:highlight w:val="none"/>
                <w:lang w:val="en-US"/>
              </w:rPr>
              <w:t xml:space="preserve">22</w:t>
            </w:r>
            <w:r>
              <w:rPr>
                <w:rStyle w:val="992"/>
                <w:rFonts w:hint="eastAsia" w:ascii="宋体" w:hAnsi="宋体" w:cs="宋体"/>
                <w:iCs w:val="0"/>
                <w:color w:val="auto"/>
                <w:sz w:val="21"/>
                <w:szCs w:val="21"/>
                <w:highlight w:val="none"/>
              </w:rPr>
              <w:t xml:space="preserve"> 《电磁兼容限值谐波电流发射限值（设备每相输入电流≤16A）》；</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 18595-2014 《一般照明用设备电磁兼容抗扰度要求》；</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 4208-2017</w:t>
            </w:r>
            <w:r>
              <w:rPr>
                <w:rStyle w:val="992"/>
                <w:rFonts w:hint="eastAsia" w:ascii="宋体" w:hAnsi="宋体" w:cs="宋体"/>
                <w:iCs w:val="0"/>
                <w:color w:val="auto"/>
                <w:sz w:val="21"/>
                <w:szCs w:val="21"/>
                <w:highlight w:val="none"/>
                <w:lang w:val="en-US"/>
              </w:rPr>
              <w:t xml:space="preserve"> </w:t>
            </w:r>
            <w:r>
              <w:rPr>
                <w:rStyle w:val="992"/>
                <w:rFonts w:hint="eastAsia" w:ascii="宋体" w:hAnsi="宋体" w:cs="宋体"/>
                <w:iCs w:val="0"/>
                <w:color w:val="auto"/>
                <w:sz w:val="21"/>
                <w:szCs w:val="21"/>
                <w:highlight w:val="none"/>
              </w:rPr>
              <w:t xml:space="preserve">《外壳防护等级（IP 代码）》；</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 24819-2023</w:t>
            </w:r>
            <w:r>
              <w:rPr>
                <w:rStyle w:val="992"/>
                <w:rFonts w:hint="eastAsia" w:ascii="宋体" w:hAnsi="宋体" w:cs="宋体"/>
                <w:iCs w:val="0"/>
                <w:color w:val="auto"/>
                <w:sz w:val="21"/>
                <w:szCs w:val="21"/>
                <w:highlight w:val="none"/>
                <w:lang w:val="en-US"/>
              </w:rPr>
              <w:t xml:space="preserve"> </w:t>
            </w:r>
            <w:r>
              <w:rPr>
                <w:rStyle w:val="992"/>
                <w:rFonts w:hint="eastAsia" w:ascii="宋体" w:hAnsi="宋体" w:cs="宋体"/>
                <w:iCs w:val="0"/>
                <w:color w:val="auto"/>
                <w:sz w:val="21"/>
                <w:szCs w:val="21"/>
                <w:highlight w:val="none"/>
              </w:rPr>
              <w:t xml:space="preserve">《普通照明用 LED 模块 安全规范》；</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 24824-2009 《普通照明用LED模块测试方式》</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 9468-2008 《灯具分布光度测量的一般要求》；</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 2423.17-20</w:t>
            </w:r>
            <w:r>
              <w:rPr>
                <w:rStyle w:val="992"/>
                <w:rFonts w:hint="eastAsia" w:ascii="宋体" w:hAnsi="宋体" w:cs="宋体"/>
                <w:iCs w:val="0"/>
                <w:color w:val="auto"/>
                <w:sz w:val="21"/>
                <w:szCs w:val="21"/>
                <w:highlight w:val="none"/>
                <w:lang w:val="en-US"/>
              </w:rPr>
              <w:t xml:space="preserve">24</w:t>
            </w:r>
            <w:r>
              <w:rPr>
                <w:rStyle w:val="992"/>
                <w:rFonts w:hint="eastAsia" w:ascii="宋体" w:hAnsi="宋体" w:eastAsia="宋体" w:cs="宋体"/>
                <w:iCs w:val="0"/>
                <w:color w:val="auto"/>
                <w:sz w:val="21"/>
                <w:szCs w:val="21"/>
                <w:highlight w:val="none"/>
                <w:lang w:val="en-US"/>
              </w:rPr>
              <w:t xml:space="preserve"> </w:t>
            </w:r>
            <w:r>
              <w:rPr>
                <w:rStyle w:val="992"/>
                <w:rFonts w:hint="eastAsia" w:ascii="宋体" w:hAnsi="宋体" w:cs="宋体"/>
                <w:iCs w:val="0"/>
                <w:color w:val="auto"/>
                <w:sz w:val="21"/>
                <w:szCs w:val="21"/>
                <w:highlight w:val="none"/>
              </w:rPr>
              <w:t xml:space="preserve">《电工电子产品环境试验 第2部分：试验方法》；</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IES LM-79-19 《固态照明产品光学和电气测量方法》</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GB/T24825-2022 《LED模块用直流或交流电子控制装置性能规范》</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GB/T2423.22-2012 《环境试验 第2部分：试验方法 试验N：温度变化》</w:t>
            </w:r>
            <w:r/>
          </w:p>
          <w:p>
            <w:pPr>
              <w:pStyle w:val="1304"/>
              <w:ind w:firstLine="420"/>
              <w:spacing w:line="360" w:lineRule="auto"/>
              <w:rPr>
                <w:rStyle w:val="992"/>
                <w:rFonts w:hint="default" w:ascii="宋体" w:hAnsi="宋体" w:cs="宋体"/>
                <w:iCs w:val="0"/>
                <w:color w:val="auto"/>
                <w:sz w:val="21"/>
                <w:szCs w:val="21"/>
                <w:highlight w:val="none"/>
                <w:lang w:val="en-US"/>
              </w:rPr>
            </w:pPr>
            <w:r>
              <w:rPr>
                <w:rStyle w:val="992"/>
                <w:rFonts w:hint="eastAsia" w:ascii="宋体" w:hAnsi="宋体" w:cs="宋体"/>
                <w:iCs w:val="0"/>
                <w:color w:val="auto"/>
                <w:sz w:val="21"/>
                <w:szCs w:val="21"/>
                <w:highlight w:val="none"/>
              </w:rPr>
              <w:t xml:space="preserve">GB/T 19510.211-2023《光源控制装置 第 2-11 部分：与灯具联用的杂类电子线路的特殊要求》；</w:t>
            </w:r>
            <w:r/>
          </w:p>
          <w:p>
            <w:pPr>
              <w:pStyle w:val="1304"/>
              <w:ind w:firstLine="420"/>
              <w:spacing w:line="360" w:lineRule="auto"/>
              <w:rPr>
                <w:rStyle w:val="992"/>
                <w:rFonts w:hint="eastAsia" w:ascii="宋体" w:hAnsi="宋体" w:cs="宋体"/>
                <w:iCs/>
                <w:color w:val="auto"/>
                <w:sz w:val="21"/>
                <w:szCs w:val="21"/>
                <w:highlight w:val="none"/>
              </w:rPr>
            </w:pPr>
            <w:r>
              <w:rPr>
                <w:rStyle w:val="992"/>
                <w:rFonts w:hint="eastAsia" w:ascii="宋体" w:hAnsi="宋体" w:cs="宋体"/>
                <w:iCs w:val="0"/>
                <w:color w:val="auto"/>
                <w:sz w:val="21"/>
                <w:szCs w:val="21"/>
                <w:highlight w:val="none"/>
              </w:rPr>
              <w:t xml:space="preserve">根据道路照度要求《城市道路照明设计标准》（CJJ45-2015）]及灯具设备的技术参数，采用高光效的LED灯具对现有照明灯具进行节能改造，要求灯具防护等级不低于IP66。投标单位应确保改造后的道路照明相关指标和LED灯具符合《城市道路照明设计标准》（CJJ45-2015）和本项目路灯技术要求。</w:t>
            </w:r>
            <w:r/>
          </w:p>
        </w:tc>
      </w:tr>
      <w:tr>
        <w:trPr/>
        <w:tc>
          <w:tcPr>
            <w:tcMar>
              <w:top w:w="100" w:type="dxa"/>
              <w:bottom w:w="100" w:type="dxa"/>
            </w:tcMar>
            <w:tcW w:w="834" w:type="dxa"/>
            <w:vAlign w:val="center"/>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3.1.1道路照明分类</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（1）根据道路使用功能，城市道路照明可分为主要供机动车使用的机动车交通道路照明和主要供非机动车与行人的人行道路照明两类。</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（2）机动车交通道路照明应按快速路与主干路、次干路、支路分为三级。</w:t>
            </w:r>
            <w:r/>
          </w:p>
        </w:tc>
      </w:tr>
      <w:tr>
        <w:trPr/>
        <w:tc>
          <w:tcPr>
            <w:tcMar>
              <w:top w:w="100" w:type="dxa"/>
              <w:bottom w:w="100" w:type="dxa"/>
            </w:tcMar>
            <w:tcW w:w="834" w:type="dxa"/>
            <w:vAlign w:val="center"/>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3.1.2道路照明评价指标</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（1）机动车交通道路照明应以路面平均照度（路面平均亮度）、路面照度均匀度（或路面亮度均匀度）、眩光限制等为评价指标。</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（2）人行道路照明应以路面平均照度、路面最小照度和垂直照度为评价指标。</w:t>
            </w:r>
            <w:r/>
          </w:p>
        </w:tc>
      </w:tr>
      <w:tr>
        <w:trPr/>
        <w:tc>
          <w:tcPr>
            <w:tcMar>
              <w:top w:w="100" w:type="dxa"/>
              <w:bottom w:w="100" w:type="dxa"/>
            </w:tcMar>
            <w:tcW w:w="834" w:type="dxa"/>
            <w:vAlign w:val="center"/>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3.1.3机动车交通照明标准值</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（1）设置连续照明的机动车交通道路的照明标准值应符合表1的规定。</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（2）在设计道路照明时，应确保其具有良好的诱导性。</w:t>
            </w:r>
            <w:r/>
          </w:p>
          <w:p>
            <w:pPr>
              <w:pStyle w:val="1304"/>
              <w:ind w:firstLine="420"/>
              <w:spacing w:line="360" w:lineRule="auto"/>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（3）对同一级道路选定照明标准值时，应考虑城市的性质和规模，交通控制系统和道路分隔设施完善的道路，宜选择表1中的低档值，反之宜选择高档值。</w:t>
            </w:r>
            <w:r/>
          </w:p>
          <w:p>
            <w:pPr>
              <w:pStyle w:val="1304"/>
              <w:jc w:val="center"/>
              <w:spacing w:line="360" w:lineRule="auto"/>
              <w:rPr>
                <w:rStyle w:val="992"/>
                <w:rFonts w:hint="eastAsia" w:ascii="宋体" w:hAnsi="宋体" w:cs="宋体"/>
                <w:b/>
                <w:bCs/>
                <w:iCs/>
                <w:color w:val="auto"/>
                <w:sz w:val="21"/>
                <w:szCs w:val="21"/>
                <w:highlight w:val="none"/>
              </w:rPr>
            </w:pPr>
            <w:r>
              <w:rPr>
                <w:rStyle w:val="992"/>
                <w:rFonts w:hint="eastAsia" w:ascii="宋体" w:hAnsi="宋体" w:cs="宋体"/>
                <w:b/>
                <w:bCs/>
                <w:iCs/>
                <w:color w:val="auto"/>
                <w:sz w:val="21"/>
                <w:szCs w:val="21"/>
                <w:highlight w:val="none"/>
              </w:rPr>
              <w:t xml:space="preserve">表1 机动车交通道路的简单划分方法及相应照度值</w:t>
            </w:r>
            <w:r/>
          </w:p>
          <w:tbl>
            <w:tblPr>
              <w:tblStyle w:val="757"/>
              <w:tblW w:w="7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1"/>
              <w:gridCol w:w="2479"/>
              <w:gridCol w:w="2252"/>
            </w:tblGrid>
            <w:tr>
              <w:trPr>
                <w:trHeight w:val="283"/>
              </w:trPr>
              <w:tc>
                <w:tcPr>
                  <w:tcW w:w="285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道路级别</w:t>
                  </w:r>
                  <w:r/>
                </w:p>
              </w:tc>
              <w:tc>
                <w:tcPr>
                  <w:tcW w:w="2479"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车道数（条）</w:t>
                  </w:r>
                  <w:r/>
                </w:p>
              </w:tc>
              <w:tc>
                <w:tcPr>
                  <w:tcW w:w="225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对应的照度值（lx）</w:t>
                  </w:r>
                  <w:r/>
                </w:p>
              </w:tc>
            </w:tr>
            <w:tr>
              <w:trPr>
                <w:trHeight w:val="283"/>
              </w:trPr>
              <w:tc>
                <w:tcPr>
                  <w:tcW w:w="285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快速路/主干路</w:t>
                  </w:r>
                  <w:r/>
                </w:p>
              </w:tc>
              <w:tc>
                <w:tcPr>
                  <w:tcW w:w="2479"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4～6</w:t>
                  </w:r>
                  <w:r/>
                </w:p>
              </w:tc>
              <w:tc>
                <w:tcPr>
                  <w:tcW w:w="225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20～30</w:t>
                  </w:r>
                  <w:r/>
                </w:p>
              </w:tc>
            </w:tr>
            <w:tr>
              <w:trPr>
                <w:trHeight w:val="283"/>
              </w:trPr>
              <w:tc>
                <w:tcPr>
                  <w:tcW w:w="285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次干路</w:t>
                  </w:r>
                  <w:r/>
                </w:p>
              </w:tc>
              <w:tc>
                <w:tcPr>
                  <w:tcW w:w="2479"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2～4</w:t>
                  </w:r>
                  <w:r/>
                </w:p>
              </w:tc>
              <w:tc>
                <w:tcPr>
                  <w:tcW w:w="225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15～20</w:t>
                  </w:r>
                  <w:r/>
                </w:p>
              </w:tc>
            </w:tr>
            <w:tr>
              <w:trPr>
                <w:trHeight w:val="292"/>
              </w:trPr>
              <w:tc>
                <w:tcPr>
                  <w:tcW w:w="285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支路</w:t>
                  </w:r>
                  <w:r/>
                </w:p>
              </w:tc>
              <w:tc>
                <w:tcPr>
                  <w:tcW w:w="2479"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1～2</w:t>
                  </w:r>
                  <w:r/>
                </w:p>
              </w:tc>
              <w:tc>
                <w:tcPr>
                  <w:tcW w:w="225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8～10</w:t>
                  </w:r>
                  <w:r/>
                </w:p>
              </w:tc>
            </w:tr>
          </w:tbl>
          <w:p>
            <w:pPr>
              <w:pStyle w:val="1304"/>
              <w:jc w:val="center"/>
              <w:spacing w:line="360" w:lineRule="auto"/>
              <w:rPr>
                <w:rStyle w:val="992"/>
                <w:rFonts w:hint="eastAsia" w:ascii="宋体" w:hAnsi="宋体" w:cs="宋体"/>
                <w:b/>
                <w:bCs/>
                <w:iCs/>
                <w:color w:val="auto"/>
                <w:sz w:val="21"/>
                <w:szCs w:val="21"/>
                <w:highlight w:val="none"/>
              </w:rPr>
            </w:pPr>
            <w:r>
              <w:rPr>
                <w:rStyle w:val="992"/>
                <w:rFonts w:hint="eastAsia" w:ascii="宋体" w:hAnsi="宋体" w:cs="宋体"/>
                <w:b/>
                <w:bCs/>
                <w:iCs/>
                <w:color w:val="auto"/>
                <w:sz w:val="21"/>
                <w:szCs w:val="21"/>
                <w:highlight w:val="none"/>
              </w:rPr>
              <w:t xml:space="preserve">机动车交通道路照明标准值</w:t>
            </w:r>
            <w:r/>
          </w:p>
          <w:tbl>
            <w:tblPr>
              <w:tblStyle w:val="757"/>
              <w:tblW w:w="7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22"/>
              <w:gridCol w:w="1073"/>
              <w:gridCol w:w="892"/>
              <w:gridCol w:w="780"/>
              <w:gridCol w:w="892"/>
              <w:gridCol w:w="844"/>
              <w:gridCol w:w="941"/>
              <w:gridCol w:w="667"/>
            </w:tblGrid>
            <w:tr>
              <w:trPr>
                <w:trHeight w:val="289"/>
              </w:trPr>
              <w:tc>
                <w:tcPr>
                  <w:tcW w:w="771"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级别</w:t>
                  </w:r>
                  <w:r/>
                </w:p>
              </w:tc>
              <w:tc>
                <w:tcPr>
                  <w:tcW w:w="722"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道路</w:t>
                  </w:r>
                  <w:r/>
                </w:p>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类型</w:t>
                  </w:r>
                  <w:r/>
                </w:p>
              </w:tc>
              <w:tc>
                <w:tcPr>
                  <w:gridSpan w:val="3"/>
                  <w:tcW w:w="2745"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路面亮度</w:t>
                  </w:r>
                  <w:r/>
                </w:p>
              </w:tc>
              <w:tc>
                <w:tcPr>
                  <w:gridSpan w:val="2"/>
                  <w:tcW w:w="173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路面照度</w:t>
                  </w:r>
                  <w:r/>
                </w:p>
              </w:tc>
              <w:tc>
                <w:tcPr>
                  <w:tcW w:w="941"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眩光限制阈值增量T1（%）最大初始值</w:t>
                  </w:r>
                  <w:r/>
                </w:p>
              </w:tc>
              <w:tc>
                <w:tcPr>
                  <w:tcW w:w="667"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环境比SR最小</w:t>
                  </w:r>
                  <w:r/>
                </w:p>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值</w:t>
                  </w:r>
                  <w:r/>
                </w:p>
              </w:tc>
            </w:tr>
            <w:tr>
              <w:trPr>
                <w:trHeight w:val="1127"/>
              </w:trPr>
              <w:tc>
                <w:tcPr>
                  <w:tcW w:w="771"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722"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73"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平均亮度Lav（cd/m2）</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总均匀度Uo最小值</w:t>
                  </w:r>
                  <w:r/>
                </w:p>
              </w:tc>
              <w:tc>
                <w:tcPr>
                  <w:tcW w:w="78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纵向均匀度UL最小值</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平均照</w:t>
                  </w:r>
                  <w:r/>
                </w:p>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度Eav（lx）维持值</w:t>
                  </w:r>
                  <w:r/>
                </w:p>
              </w:tc>
              <w:tc>
                <w:tcPr>
                  <w:tcW w:w="844"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均匀度UE最小值</w:t>
                  </w:r>
                  <w:r/>
                </w:p>
              </w:tc>
              <w:tc>
                <w:tcPr>
                  <w:tcW w:w="941"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667"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trHeight w:val="847"/>
              </w:trPr>
              <w:tc>
                <w:tcPr>
                  <w:tcW w:w="77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Ⅰ</w:t>
                  </w:r>
                  <w:r/>
                </w:p>
              </w:tc>
              <w:tc>
                <w:tcPr>
                  <w:tcW w:w="72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快速路、主干路</w:t>
                  </w:r>
                  <w:r/>
                </w:p>
              </w:tc>
              <w:tc>
                <w:tcPr>
                  <w:tcW w:w="1073"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1.5/2.0</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0.4</w:t>
                  </w:r>
                  <w:r/>
                </w:p>
              </w:tc>
              <w:tc>
                <w:tcPr>
                  <w:tcW w:w="78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0.7</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20/30</w:t>
                  </w:r>
                  <w:r/>
                </w:p>
              </w:tc>
              <w:tc>
                <w:tcPr>
                  <w:tcW w:w="844"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0.4</w:t>
                  </w:r>
                  <w:r/>
                </w:p>
              </w:tc>
              <w:tc>
                <w:tcPr>
                  <w:tcW w:w="94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10</w:t>
                  </w:r>
                  <w:r/>
                </w:p>
              </w:tc>
              <w:tc>
                <w:tcPr>
                  <w:tcW w:w="667"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0.5</w:t>
                  </w:r>
                  <w:r/>
                </w:p>
              </w:tc>
            </w:tr>
            <w:tr>
              <w:trPr>
                <w:trHeight w:val="289"/>
              </w:trPr>
              <w:tc>
                <w:tcPr>
                  <w:tcW w:w="77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Ⅱ</w:t>
                  </w:r>
                  <w:r/>
                </w:p>
              </w:tc>
              <w:tc>
                <w:tcPr>
                  <w:tcW w:w="72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次干路</w:t>
                  </w:r>
                  <w:r/>
                </w:p>
              </w:tc>
              <w:tc>
                <w:tcPr>
                  <w:tcW w:w="1073"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1.0/1.5</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0.4</w:t>
                  </w:r>
                  <w:r/>
                </w:p>
              </w:tc>
              <w:tc>
                <w:tcPr>
                  <w:tcW w:w="78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0.5</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15/20</w:t>
                  </w:r>
                  <w:r/>
                </w:p>
              </w:tc>
              <w:tc>
                <w:tcPr>
                  <w:tcW w:w="844"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0.4</w:t>
                  </w:r>
                  <w:r/>
                </w:p>
              </w:tc>
              <w:tc>
                <w:tcPr>
                  <w:tcW w:w="94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10</w:t>
                  </w:r>
                  <w:r/>
                </w:p>
              </w:tc>
              <w:tc>
                <w:tcPr>
                  <w:tcW w:w="667"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0.5</w:t>
                  </w:r>
                  <w:r/>
                </w:p>
              </w:tc>
            </w:tr>
            <w:tr>
              <w:trPr>
                <w:trHeight w:val="298"/>
              </w:trPr>
              <w:tc>
                <w:tcPr>
                  <w:tcW w:w="77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Ⅲ</w:t>
                  </w:r>
                  <w:r/>
                </w:p>
              </w:tc>
              <w:tc>
                <w:tcPr>
                  <w:tcW w:w="72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支路</w:t>
                  </w:r>
                  <w:r/>
                </w:p>
              </w:tc>
              <w:tc>
                <w:tcPr>
                  <w:tcW w:w="1073"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0.5/0.75</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0.4</w:t>
                  </w:r>
                  <w:r/>
                </w:p>
              </w:tc>
              <w:tc>
                <w:tcPr>
                  <w:tcW w:w="78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w:t>
                  </w:r>
                  <w:r/>
                </w:p>
              </w:tc>
              <w:tc>
                <w:tcPr>
                  <w:tcW w:w="892"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8/10</w:t>
                  </w:r>
                  <w:r/>
                </w:p>
              </w:tc>
              <w:tc>
                <w:tcPr>
                  <w:tcW w:w="844"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0.3</w:t>
                  </w:r>
                  <w:r/>
                </w:p>
              </w:tc>
              <w:tc>
                <w:tcPr>
                  <w:tcW w:w="941"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w:t>
                  </w:r>
                  <w:r/>
                </w:p>
              </w:tc>
              <w:tc>
                <w:tcPr>
                  <w:tcW w:w="667"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w:t>
                  </w:r>
                  <w:r/>
                </w:p>
              </w:tc>
            </w:tr>
          </w:tbl>
          <w:p>
            <w:pPr>
              <w:pStyle w:val="1304"/>
              <w:spacing w:line="360" w:lineRule="auto"/>
              <w:rPr>
                <w:rStyle w:val="992"/>
                <w:rFonts w:hint="eastAsia" w:ascii="宋体" w:hAnsi="宋体" w:eastAsia="宋体" w:cs="宋体"/>
                <w:iCs/>
                <w:color w:val="auto"/>
                <w:sz w:val="21"/>
                <w:szCs w:val="21"/>
                <w:highlight w:val="none"/>
              </w:rPr>
            </w:pPr>
            <w:r>
              <w:rPr>
                <w:rStyle w:val="992"/>
                <w:rFonts w:hint="eastAsia" w:ascii="宋体" w:hAnsi="宋体" w:cs="宋体"/>
                <w:iCs/>
                <w:color w:val="auto"/>
                <w:sz w:val="21"/>
                <w:szCs w:val="21"/>
                <w:highlight w:val="none"/>
              </w:rPr>
              <w:t xml:space="preserve">注:</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a.表中所列的平均照度仅适用于沥青路面。若系水泥混凝土路面，其平均照度值可相应降低约30%。根据本标准附录A给出的平均亮度系数可求出相同的路面平均亮度，沥青路面和水泥混凝土路面分别需要的平均照度。</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b.对于市区路段的道路类型，由采购单位依据实际路况确定。</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（4）交会区照明标准值</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交会区照明宜采用照度作为评价指标。交会区的照明标准值应符合表2的规定。</w:t>
            </w:r>
            <w:r/>
          </w:p>
          <w:p>
            <w:pPr>
              <w:pStyle w:val="1304"/>
              <w:jc w:val="center"/>
              <w:spacing w:line="360" w:lineRule="auto"/>
              <w:rPr>
                <w:rStyle w:val="992"/>
                <w:rFonts w:hint="eastAsia" w:ascii="宋体" w:hAnsi="宋体" w:cs="宋体"/>
                <w:b/>
                <w:bCs/>
                <w:iCs/>
                <w:color w:val="auto"/>
                <w:sz w:val="21"/>
                <w:szCs w:val="21"/>
                <w:highlight w:val="none"/>
              </w:rPr>
            </w:pPr>
            <w:r>
              <w:rPr>
                <w:rStyle w:val="992"/>
                <w:rFonts w:hint="eastAsia" w:ascii="宋体" w:hAnsi="宋体" w:cs="宋体"/>
                <w:b/>
                <w:bCs/>
                <w:iCs/>
                <w:color w:val="auto"/>
                <w:sz w:val="21"/>
                <w:szCs w:val="21"/>
                <w:highlight w:val="none"/>
              </w:rPr>
              <w:t xml:space="preserve">表2交会区照明标准值</w:t>
            </w:r>
            <w:r/>
          </w:p>
          <w:tbl>
            <w:tblPr>
              <w:tblStyle w:val="757"/>
              <w:tblW w:w="7582" w:type="dxa"/>
              <w:jc w:val="center"/>
              <w:tblBorders>
                <w:top w:val="none" w:color="auto" w:sz="6" w:space="0"/>
                <w:left w:val="none" w:color="auto" w:sz="6" w:space="0"/>
                <w:bottom w:val="none" w:color="auto" w:sz="6" w:space="0"/>
                <w:right w:val="non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430"/>
              <w:gridCol w:w="1645"/>
              <w:gridCol w:w="1644"/>
              <w:gridCol w:w="1863"/>
            </w:tblGrid>
            <w:tr>
              <w:trPr>
                <w:jc w:val="center"/>
                <w:trHeight w:val="605"/>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交会区类型</w:t>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路面平均照度Eav（lx），维持值</w:t>
                  </w:r>
                  <w:r/>
                </w:p>
              </w:tc>
              <w:tc>
                <w:tcPr>
                  <w:tcBorders>
                    <w:top w:val="single" w:color="auto" w:sz="4" w:space="0"/>
                    <w:left w:val="single" w:color="auto" w:sz="4" w:space="0"/>
                    <w:bottom w:val="single" w:color="auto" w:sz="4" w:space="0"/>
                    <w:right w:val="single" w:color="auto" w:sz="4" w:space="0"/>
                  </w:tcBorders>
                  <w:tcW w:w="1644"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照度均匀度UE</w:t>
                  </w:r>
                  <w:r/>
                </w:p>
              </w:tc>
              <w:tc>
                <w:tcPr>
                  <w:tcBorders>
                    <w:top w:val="single" w:color="auto" w:sz="4" w:space="0"/>
                    <w:left w:val="single" w:color="auto" w:sz="4" w:space="0"/>
                    <w:bottom w:val="single" w:color="auto" w:sz="4" w:space="0"/>
                    <w:right w:val="single" w:color="auto" w:sz="4" w:space="0"/>
                  </w:tcBorders>
                  <w:tcW w:w="1863"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眩光限制</w:t>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主干路与主干路交会</w:t>
                  </w:r>
                  <w:r/>
                </w:p>
              </w:tc>
              <w:tc>
                <w:tcPr>
                  <w:tcBorders>
                    <w:top w:val="single" w:color="auto" w:sz="4" w:space="0"/>
                    <w:left w:val="single" w:color="auto" w:sz="4" w:space="0"/>
                    <w:bottom w:val="single" w:color="auto" w:sz="4" w:space="0"/>
                    <w:right w:val="single" w:color="auto" w:sz="4" w:space="0"/>
                  </w:tcBorders>
                  <w:tcW w:w="1645"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30/50</w:t>
                  </w:r>
                  <w:r/>
                </w:p>
              </w:tc>
              <w:tc>
                <w:tcPr>
                  <w:tcBorders>
                    <w:top w:val="single" w:color="auto" w:sz="4" w:space="0"/>
                    <w:left w:val="single" w:color="auto" w:sz="4" w:space="0"/>
                    <w:bottom w:val="single" w:color="auto" w:sz="4" w:space="0"/>
                    <w:right w:val="single" w:color="auto" w:sz="4" w:space="0"/>
                  </w:tcBorders>
                  <w:tcW w:w="1644"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0.4</w:t>
                  </w:r>
                  <w:r/>
                </w:p>
              </w:tc>
              <w:tc>
                <w:tcPr>
                  <w:tcBorders>
                    <w:top w:val="single" w:color="auto" w:sz="4" w:space="0"/>
                    <w:left w:val="single" w:color="auto" w:sz="4" w:space="0"/>
                    <w:bottom w:val="single" w:color="auto" w:sz="4" w:space="0"/>
                    <w:right w:val="single" w:color="auto" w:sz="4" w:space="0"/>
                  </w:tcBorders>
                  <w:tcW w:w="1863"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在驾驶员观看灯具的方位角上，灯具在80°和90°高度角方向上的光强分别不得超过30cd/1000lm和10cd/1000lm</w:t>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主干路与次干路交会</w:t>
                  </w:r>
                  <w:r/>
                </w:p>
              </w:tc>
              <w:tc>
                <w:tcPr>
                  <w:tcBorders>
                    <w:top w:val="single" w:color="auto" w:sz="4" w:space="0"/>
                    <w:left w:val="single" w:color="auto" w:sz="4" w:space="0"/>
                    <w:bottom w:val="single" w:color="auto" w:sz="4" w:space="0"/>
                    <w:right w:val="single" w:color="auto" w:sz="4" w:space="0"/>
                  </w:tcBorders>
                  <w:tcW w:w="1645"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主干路与支路交会</w:t>
                  </w:r>
                  <w:r/>
                </w:p>
              </w:tc>
              <w:tc>
                <w:tcPr>
                  <w:tcBorders>
                    <w:top w:val="single" w:color="auto" w:sz="4" w:space="0"/>
                    <w:left w:val="single" w:color="auto" w:sz="4" w:space="0"/>
                    <w:bottom w:val="single" w:color="auto" w:sz="4" w:space="0"/>
                    <w:right w:val="single" w:color="auto" w:sz="4" w:space="0"/>
                  </w:tcBorders>
                  <w:tcW w:w="1645"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次干路与次干路交会</w:t>
                  </w:r>
                  <w:r/>
                </w:p>
              </w:tc>
              <w:tc>
                <w:tcPr>
                  <w:tcBorders>
                    <w:top w:val="single" w:color="auto" w:sz="4" w:space="0"/>
                    <w:left w:val="single" w:color="auto" w:sz="4" w:space="0"/>
                    <w:right w:val="single" w:color="auto" w:sz="4" w:space="0"/>
                  </w:tcBorders>
                  <w:tcW w:w="1645"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20/30</w:t>
                  </w:r>
                  <w:r/>
                </w:p>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30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次干路与支路交会</w:t>
                  </w:r>
                  <w:r/>
                </w:p>
              </w:tc>
              <w:tc>
                <w:tcPr>
                  <w:tcBorders>
                    <w:left w:val="single" w:color="auto" w:sz="4" w:space="0"/>
                    <w:bottom w:val="single" w:color="auto" w:sz="4" w:space="0"/>
                    <w:right w:val="single" w:color="auto" w:sz="4" w:space="0"/>
                  </w:tcBorders>
                  <w:tcW w:w="1645"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2430"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支路与支路交会</w:t>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15/20</w:t>
                  </w:r>
                  <w:r/>
                </w:p>
              </w:tc>
              <w:tc>
                <w:tcPr>
                  <w:tcBorders>
                    <w:top w:val="single" w:color="auto" w:sz="4" w:space="0"/>
                    <w:left w:val="single" w:color="auto" w:sz="4" w:space="0"/>
                    <w:bottom w:val="single" w:color="auto" w:sz="4" w:space="0"/>
                    <w:right w:val="single" w:color="auto" w:sz="4" w:space="0"/>
                  </w:tcBorders>
                  <w:tcW w:w="1644"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63"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r>
          </w:tbl>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注:（1）灯具的高度角是在现场安装使用姿态下度量。</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表中对每一类道路交会区的路面平均照度给出了两档标准值，“/”的左侧为低档照度值，右侧为高档照度值。</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（5）人行道标准值</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主要供行人和非机动车混合的商业区、居住区人行道路的照明标准值应符合表3的规定。</w:t>
            </w:r>
            <w:r/>
          </w:p>
          <w:p>
            <w:pPr>
              <w:pStyle w:val="1304"/>
              <w:jc w:val="center"/>
              <w:spacing w:line="360" w:lineRule="auto"/>
              <w:rPr>
                <w:rStyle w:val="992"/>
                <w:rFonts w:hint="eastAsia" w:ascii="宋体" w:hAnsi="宋体" w:cs="宋体"/>
                <w:b/>
                <w:bCs/>
                <w:iCs/>
                <w:color w:val="auto"/>
                <w:sz w:val="21"/>
                <w:szCs w:val="21"/>
                <w:highlight w:val="none"/>
              </w:rPr>
            </w:pPr>
            <w:r>
              <w:rPr>
                <w:rStyle w:val="992"/>
                <w:rFonts w:hint="eastAsia" w:ascii="宋体" w:hAnsi="宋体" w:cs="宋体"/>
                <w:b/>
                <w:bCs/>
                <w:iCs/>
                <w:color w:val="auto"/>
                <w:sz w:val="21"/>
                <w:szCs w:val="21"/>
                <w:highlight w:val="none"/>
              </w:rPr>
              <w:t xml:space="preserve">表3人行道标准值</w:t>
            </w:r>
            <w:r/>
          </w:p>
          <w:tbl>
            <w:tblPr>
              <w:tblStyle w:val="757"/>
              <w:tblW w:w="7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1006"/>
              <w:gridCol w:w="1522"/>
              <w:gridCol w:w="1615"/>
              <w:gridCol w:w="1923"/>
            </w:tblGrid>
            <w:tr>
              <w:trPr>
                <w:trHeight w:val="890"/>
              </w:trPr>
              <w:tc>
                <w:tcPr>
                  <w:tcW w:w="151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夜间行人流量</w:t>
                  </w:r>
                  <w:r/>
                </w:p>
              </w:tc>
              <w:tc>
                <w:tcPr>
                  <w:tcW w:w="100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区域</w:t>
                  </w:r>
                  <w:r/>
                </w:p>
              </w:tc>
              <w:tc>
                <w:tcPr>
                  <w:tcW w:w="1522"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路面平均照度Eav（lx），维持值</w:t>
                  </w:r>
                  <w:r/>
                </w:p>
              </w:tc>
              <w:tc>
                <w:tcPr>
                  <w:tcW w:w="1615"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路面最小照度Emin（lx），维持值</w:t>
                  </w:r>
                  <w:r/>
                </w:p>
              </w:tc>
              <w:tc>
                <w:tcPr>
                  <w:tcW w:w="1923"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最小垂直照度Evmin（lx），维持值</w:t>
                  </w:r>
                  <w:r/>
                </w:p>
              </w:tc>
            </w:tr>
            <w:tr>
              <w:trPr>
                <w:trHeight w:val="303"/>
              </w:trPr>
              <w:tc>
                <w:tcPr>
                  <w:tcW w:w="1516"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流量大的道路</w:t>
                  </w:r>
                  <w:r/>
                </w:p>
              </w:tc>
              <w:tc>
                <w:tcPr>
                  <w:tcW w:w="100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商业区</w:t>
                  </w:r>
                  <w:r/>
                </w:p>
              </w:tc>
              <w:tc>
                <w:tcPr>
                  <w:tcW w:w="1522"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20 </w:t>
                  </w:r>
                  <w:r/>
                </w:p>
              </w:tc>
              <w:tc>
                <w:tcPr>
                  <w:tcW w:w="1615"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7.5 </w:t>
                  </w:r>
                  <w:r/>
                </w:p>
              </w:tc>
              <w:tc>
                <w:tcPr>
                  <w:tcW w:w="1923"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4 </w:t>
                  </w:r>
                  <w:r/>
                </w:p>
              </w:tc>
            </w:tr>
            <w:tr>
              <w:trPr>
                <w:trHeight w:val="303"/>
              </w:trPr>
              <w:tc>
                <w:tcPr>
                  <w:tcW w:w="1516"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0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居住区</w:t>
                  </w:r>
                  <w:r/>
                </w:p>
              </w:tc>
              <w:tc>
                <w:tcPr>
                  <w:tcW w:w="1522"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10 </w:t>
                  </w:r>
                  <w:r/>
                </w:p>
              </w:tc>
              <w:tc>
                <w:tcPr>
                  <w:tcW w:w="1615"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3 </w:t>
                  </w:r>
                  <w:r/>
                </w:p>
              </w:tc>
              <w:tc>
                <w:tcPr>
                  <w:tcW w:w="1923"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2 </w:t>
                  </w:r>
                  <w:r/>
                </w:p>
              </w:tc>
            </w:tr>
            <w:tr>
              <w:trPr>
                <w:trHeight w:val="303"/>
              </w:trPr>
              <w:tc>
                <w:tcPr>
                  <w:tcW w:w="1516"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流量中的道路</w:t>
                  </w:r>
                  <w:r/>
                </w:p>
              </w:tc>
              <w:tc>
                <w:tcPr>
                  <w:tcW w:w="100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商业区</w:t>
                  </w:r>
                  <w:r/>
                </w:p>
              </w:tc>
              <w:tc>
                <w:tcPr>
                  <w:tcW w:w="1522"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 </w:t>
                  </w:r>
                  <w:r/>
                </w:p>
              </w:tc>
              <w:tc>
                <w:tcPr>
                  <w:tcW w:w="1615"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5 </w:t>
                  </w:r>
                  <w:r/>
                </w:p>
              </w:tc>
              <w:tc>
                <w:tcPr>
                  <w:tcW w:w="1923"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3 </w:t>
                  </w:r>
                  <w:r/>
                </w:p>
              </w:tc>
            </w:tr>
            <w:tr>
              <w:trPr>
                <w:trHeight w:val="303"/>
              </w:trPr>
              <w:tc>
                <w:tcPr>
                  <w:tcW w:w="1516"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0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居住区</w:t>
                  </w:r>
                  <w:r/>
                </w:p>
              </w:tc>
              <w:tc>
                <w:tcPr>
                  <w:tcW w:w="1522"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7.5 </w:t>
                  </w:r>
                  <w:r/>
                </w:p>
              </w:tc>
              <w:tc>
                <w:tcPr>
                  <w:tcW w:w="1615"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 </w:t>
                  </w:r>
                  <w:r/>
                </w:p>
              </w:tc>
              <w:tc>
                <w:tcPr>
                  <w:tcW w:w="1923"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1.5 </w:t>
                  </w:r>
                  <w:r/>
                </w:p>
              </w:tc>
            </w:tr>
            <w:tr>
              <w:trPr>
                <w:trHeight w:val="303"/>
              </w:trPr>
              <w:tc>
                <w:tcPr>
                  <w:tcW w:w="1516" w:type="dxa"/>
                  <w:vAlign w:val="center"/>
                  <w:vMerge w:val="restart"/>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流量小的道路</w:t>
                  </w:r>
                  <w:r/>
                </w:p>
              </w:tc>
              <w:tc>
                <w:tcPr>
                  <w:tcW w:w="100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商业区</w:t>
                  </w:r>
                  <w:r/>
                </w:p>
              </w:tc>
              <w:tc>
                <w:tcPr>
                  <w:tcW w:w="1522"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10 </w:t>
                  </w:r>
                  <w:r/>
                </w:p>
              </w:tc>
              <w:tc>
                <w:tcPr>
                  <w:tcW w:w="1615"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3 </w:t>
                  </w:r>
                  <w:r/>
                </w:p>
              </w:tc>
              <w:tc>
                <w:tcPr>
                  <w:tcW w:w="1923"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2 </w:t>
                  </w:r>
                  <w:r/>
                </w:p>
              </w:tc>
            </w:tr>
            <w:tr>
              <w:trPr>
                <w:trHeight w:val="312"/>
              </w:trPr>
              <w:tc>
                <w:tcPr>
                  <w:tcW w:w="1516" w:type="dxa"/>
                  <w:vAlign w:val="center"/>
                  <w:vMerge w:val="continue"/>
                  <w:textDirection w:val="lrTb"/>
                  <w:noWrap w:val="false"/>
                </w:tcPr>
                <w:p>
                  <w:pPr>
                    <w:pStyle w:val="1304"/>
                    <w:spacing w:line="360" w:lineRule="auto"/>
                    <w:rPr>
                      <w:rStyle w:val="992"/>
                      <w:rFonts w:hint="eastAsia" w:ascii="宋体" w:hAnsi="宋体" w:cs="宋体"/>
                      <w:iCs/>
                      <w:color w:val="auto"/>
                      <w:sz w:val="21"/>
                      <w:szCs w:val="21"/>
                      <w:highlight w:val="none"/>
                    </w:rPr>
                  </w:pPr>
                  <w:r>
                    <w:rPr>
                      <w:rFonts w:hint="eastAsia" w:ascii="宋体" w:hAnsi="宋体" w:cs="宋体"/>
                      <w:iCs/>
                      <w:color w:val="auto"/>
                      <w:sz w:val="21"/>
                      <w:szCs w:val="21"/>
                      <w:highlight w:val="none"/>
                    </w:rPr>
                  </w:r>
                  <w:r/>
                </w:p>
              </w:tc>
              <w:tc>
                <w:tcPr>
                  <w:tcW w:w="1006" w:type="dxa"/>
                  <w:vAlign w:val="center"/>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居住区</w:t>
                  </w:r>
                  <w:r/>
                </w:p>
              </w:tc>
              <w:tc>
                <w:tcPr>
                  <w:tcW w:w="1522"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5 </w:t>
                  </w:r>
                  <w:r/>
                </w:p>
              </w:tc>
              <w:tc>
                <w:tcPr>
                  <w:tcW w:w="1615"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 </w:t>
                  </w:r>
                  <w:r/>
                </w:p>
              </w:tc>
              <w:tc>
                <w:tcPr>
                  <w:tcW w:w="1923" w:type="dxa"/>
                  <w:textDirection w:val="lrTb"/>
                  <w:noWrap w:val="false"/>
                </w:tcPr>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1 </w:t>
                  </w:r>
                  <w:r/>
                </w:p>
              </w:tc>
            </w:tr>
          </w:tbl>
          <w:p>
            <w:pPr>
              <w:pStyle w:val="1304"/>
              <w:spacing w:line="360" w:lineRule="auto"/>
              <w:rPr>
                <w:rStyle w:val="992"/>
                <w:rFonts w:hint="eastAsia" w:ascii="宋体" w:hAnsi="宋体" w:cs="宋体"/>
                <w:iCs/>
                <w:color w:val="auto"/>
                <w:sz w:val="21"/>
                <w:szCs w:val="21"/>
                <w:highlight w:val="none"/>
              </w:rPr>
            </w:pPr>
            <w:r>
              <w:rPr>
                <w:rStyle w:val="992"/>
                <w:rFonts w:hint="eastAsia" w:ascii="宋体" w:hAnsi="宋体" w:cs="宋体"/>
                <w:iCs/>
                <w:color w:val="auto"/>
                <w:sz w:val="21"/>
                <w:szCs w:val="21"/>
                <w:highlight w:val="none"/>
              </w:rPr>
              <w:t xml:space="preserve">注:</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（1）最小垂直照度为道路中心线上距路面1.5m高度处，垂直于路轴的平面的两个方向上的最小照度。</w:t>
            </w:r>
            <w:r/>
          </w:p>
          <w:p>
            <w:pPr>
              <w:rPr>
                <w:rStyle w:val="992"/>
                <w:rFonts w:hint="eastAsia" w:ascii="宋体" w:hAnsi="宋体" w:cs="宋体"/>
                <w:iCs w:val="0"/>
                <w:color w:val="auto"/>
                <w:sz w:val="21"/>
                <w:szCs w:val="21"/>
                <w:highlight w:val="none"/>
              </w:rPr>
            </w:pPr>
            <w:r>
              <w:rPr>
                <w:rStyle w:val="992"/>
                <w:rFonts w:hint="eastAsia" w:ascii="宋体" w:hAnsi="宋体" w:cs="宋体"/>
                <w:iCs w:val="0"/>
                <w:color w:val="auto"/>
                <w:sz w:val="21"/>
                <w:szCs w:val="21"/>
                <w:highlight w:val="none"/>
              </w:rPr>
              <w:t xml:space="preserve">（2）机动车交通道路一侧或两侧设置的与机动车道没有分隔的非机动车道的照明应执行机动车交通道路的照明标准；与机动车交通道路分隔的非机动车道路的平均照度值宜为相邻机动车交通道路的照度值的1/2。</w:t>
            </w:r>
            <w:r/>
          </w:p>
          <w:p>
            <w:pPr>
              <w:rPr>
                <w:rStyle w:val="992"/>
                <w:rFonts w:hint="eastAsia" w:ascii="宋体" w:hAnsi="宋体" w:cs="宋体"/>
                <w:iCs/>
                <w:color w:val="auto"/>
                <w:sz w:val="21"/>
                <w:szCs w:val="21"/>
                <w:highlight w:val="none"/>
              </w:rPr>
            </w:pPr>
            <w:r>
              <w:rPr>
                <w:rStyle w:val="992"/>
                <w:rFonts w:hint="eastAsia" w:ascii="宋体" w:hAnsi="宋体" w:cs="宋体"/>
                <w:iCs w:val="0"/>
                <w:color w:val="auto"/>
                <w:sz w:val="21"/>
                <w:szCs w:val="21"/>
                <w:highlight w:val="none"/>
              </w:rPr>
              <w:t xml:space="preserve">（3）机动车交通道路一侧或两侧设置的人行道路照明，当人行道与非机动车道混用时，人行道路的平均照度值与非机动车道路相同。当人行道路与非机动车道路分设时，人行道路的平均照度值宜为相邻非机动车道路的照度值的1/2，但不得小于5lx。</w:t>
            </w:r>
            <w:r/>
          </w:p>
        </w:tc>
      </w:tr>
      <w:tr>
        <w:trPr/>
        <w:tc>
          <w:tcPr>
            <w:tcMar>
              <w:top w:w="100" w:type="dxa"/>
              <w:bottom w:w="100" w:type="dxa"/>
            </w:tcMar>
            <w:tcW w:w="834" w:type="dxa"/>
            <w:vAlign w:val="center"/>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spacing w:line="240" w:lineRule="auto"/>
              <w:rPr>
                <w:rStyle w:val="992"/>
                <w:rFonts w:hint="eastAsia" w:ascii="宋体" w:hAnsi="宋体" w:cs="宋体"/>
                <w:iCs/>
                <w:color w:val="auto"/>
                <w:sz w:val="21"/>
                <w:szCs w:val="21"/>
                <w:highlight w:val="none"/>
              </w:rPr>
            </w:pPr>
            <w:r>
              <w:rPr>
                <w:rStyle w:val="992"/>
                <w:rFonts w:hint="eastAsia" w:ascii="宋体" w:hAnsi="宋体" w:cs="宋体"/>
                <w:iCs w:val="0"/>
                <w:color w:val="auto"/>
                <w:sz w:val="21"/>
                <w:szCs w:val="21"/>
                <w:highlight w:val="none"/>
              </w:rPr>
              <w:t xml:space="preserve">3.2现状灯具情况（详见其他部分1）</w:t>
            </w:r>
            <w:r/>
          </w:p>
        </w:tc>
      </w:tr>
      <w:tr>
        <w:trPr/>
        <w:tc>
          <w:tcPr>
            <w:tcMar>
              <w:top w:w="100" w:type="dxa"/>
              <w:bottom w:w="100" w:type="dxa"/>
            </w:tcMar>
            <w:tcW w:w="834" w:type="dxa"/>
            <w:vAlign w:val="center"/>
            <w:vMerge w:val="restart"/>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4</w:t>
            </w:r>
            <w:r/>
          </w:p>
        </w:tc>
        <w:tc>
          <w:tcPr>
            <w:tcMar>
              <w:top w:w="100" w:type="dxa"/>
              <w:bottom w:w="100" w:type="dxa"/>
            </w:tcMar>
            <w:tcW w:w="1320" w:type="dxa"/>
            <w:vAlign w:val="center"/>
            <w:vMerge w:val="restart"/>
            <w:textDirection w:val="lrTb"/>
            <w:noWrap w:val="false"/>
          </w:tcPr>
          <w:p>
            <w:pPr>
              <w:pStyle w:val="1304"/>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技术要求</w:t>
            </w:r>
            <w:r/>
          </w:p>
        </w:tc>
        <w:tc>
          <w:tcPr>
            <w:tcMar>
              <w:top w:w="100" w:type="dxa"/>
              <w:bottom w:w="100" w:type="dxa"/>
            </w:tcMar>
            <w:tcW w:w="7808" w:type="dxa"/>
            <w:vAlign w:val="center"/>
            <w:textDirection w:val="lrTb"/>
            <w:noWrap w:val="false"/>
          </w:tcPr>
          <w:p>
            <w:pPr>
              <w:numPr>
                <w:ilvl w:val="-1"/>
                <w:numId w:val="0"/>
              </w:numPr>
              <w:ind w:left="0" w:firstLine="420"/>
              <w:spacing w:line="360" w:lineRule="auto"/>
              <w:rPr>
                <w:rStyle w:val="992"/>
                <w:rFonts w:hint="eastAsia" w:ascii="宋体" w:hAnsi="宋体" w:cs="宋体"/>
                <w:color w:val="auto"/>
                <w:sz w:val="21"/>
                <w:szCs w:val="21"/>
                <w:highlight w:val="none"/>
              </w:rPr>
            </w:pPr>
            <w:r>
              <w:rPr>
                <w:rStyle w:val="992"/>
                <w:rFonts w:hint="default" w:ascii="宋体" w:hAnsi="宋体"/>
                <w:color w:val="auto"/>
                <w:szCs w:val="21"/>
                <w:highlight w:val="none"/>
              </w:rPr>
              <w:t xml:space="preserve">4</w:t>
            </w:r>
            <w:r>
              <w:rPr>
                <w:rStyle w:val="992"/>
                <w:rFonts w:hint="default" w:ascii="宋体" w:hAnsi="宋体"/>
                <w:color w:val="auto"/>
                <w:szCs w:val="21"/>
                <w:highlight w:val="none"/>
                <w:lang w:val="en-US"/>
              </w:rPr>
              <w:t xml:space="preserve">.1</w:t>
            </w:r>
            <w:r>
              <w:rPr>
                <w:rStyle w:val="992"/>
                <w:rFonts w:hint="eastAsia" w:ascii="宋体" w:hAnsi="宋体" w:cs="宋体"/>
                <w:color w:val="auto"/>
                <w:sz w:val="21"/>
                <w:szCs w:val="21"/>
                <w:highlight w:val="none"/>
              </w:rPr>
              <w:t xml:space="preserve">项目背景</w:t>
            </w:r>
            <w:r/>
          </w:p>
          <w:p>
            <w:pPr>
              <w:ind w:firstLine="0"/>
              <w:rPr>
                <w:rFonts w:hint="eastAsia" w:cs="宋体"/>
                <w:color w:val="auto"/>
                <w:sz w:val="21"/>
                <w:szCs w:val="21"/>
                <w:highlight w:val="none"/>
              </w:rPr>
            </w:pPr>
            <w:r>
              <w:rPr>
                <w:rStyle w:val="992"/>
                <w:rFonts w:hint="eastAsia" w:ascii="宋体" w:hAnsi="宋体" w:cs="宋体"/>
                <w:color w:val="auto"/>
                <w:sz w:val="21"/>
                <w:szCs w:val="21"/>
                <w:highlight w:val="none"/>
              </w:rPr>
              <w:t xml:space="preserve">对张家港保税区及三个街道路灯进行改造，改造后通过能源托</w:t>
            </w:r>
            <w:r>
              <w:rPr>
                <w:rStyle w:val="992"/>
                <w:rFonts w:hint="eastAsia" w:ascii="宋体" w:hAnsi="宋体" w:cs="宋体"/>
                <w:color w:val="auto"/>
                <w:sz w:val="21"/>
                <w:szCs w:val="21"/>
                <w:highlight w:val="none"/>
              </w:rPr>
              <w:t xml:space="preserve">管服务模式便于统一管理，可以在10年内保证市政照明的质量达到《城市道路照明设计标准》CJJ45-2015规定的值；同时响应国家节能减排的号召，贯彻绿色发展理念，进一步推动节能减排工作，不断提高城市管理水平，促进城市照明朝绿色节能方向发展。项目完成后将保证路灯的照明质量和效果可持续发展，方便广大市民夜间出行，美化环境，完善功能，改善保税区及三个街道的人居环境。 以能源托管方式对区街路灯进行路灯设施节能改造及运营维护，财政每年支付托管费用。托管服务期内中标单位负责项目的节能诊断、项目建设、设备运营、电费代缴 。</w:t>
            </w:r>
            <w:r/>
          </w:p>
        </w:tc>
      </w:tr>
      <w:tr>
        <w:trPr/>
        <w:tc>
          <w:tcPr>
            <w:tcMar>
              <w:top w:w="100" w:type="dxa"/>
              <w:bottom w:w="100" w:type="dxa"/>
            </w:tcMar>
            <w:tcW w:w="834" w:type="dxa"/>
            <w:vAlign w:val="center"/>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1320" w:type="dxa"/>
            <w:vAlign w:val="center"/>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Mar>
              <w:top w:w="100" w:type="dxa"/>
              <w:bottom w:w="100" w:type="dxa"/>
            </w:tcMar>
            <w:tcW w:w="7808" w:type="dxa"/>
            <w:vAlign w:val="center"/>
            <w:textDirection w:val="lrTb"/>
            <w:noWrap w:val="false"/>
          </w:tcPr>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项目内容：</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.2.1</w:t>
            </w:r>
            <w:r>
              <w:rPr>
                <w:rFonts w:hint="eastAsia" w:ascii="宋体" w:hAnsi="宋体" w:cs="宋体"/>
                <w:color w:val="auto"/>
                <w:sz w:val="21"/>
                <w:szCs w:val="21"/>
                <w:highlight w:val="none"/>
              </w:rPr>
              <w:t xml:space="preserve">实施内容</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包括以上清单道路灯具安装、接地增加、调试、检测、通信费、系统使用费、电费及后期维护等工作。 将《现有高压钠灯需改造路灯清单》中设施改造为 LED节能路灯设施，现存的LED路灯设施</w:t>
            </w:r>
            <w:r>
              <w:rPr>
                <w:rFonts w:hint="eastAsia" w:ascii="宋体" w:hAnsi="宋体" w:cs="宋体"/>
                <w:color w:val="auto"/>
                <w:sz w:val="21"/>
                <w:szCs w:val="21"/>
                <w:highlight w:val="none"/>
                <w:lang w:val="en-US" w:eastAsia="zh-CN"/>
              </w:rPr>
              <w:t xml:space="preserve">替换为照明亮度更高、更节能的LED路灯设施</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并</w:t>
            </w:r>
            <w:r>
              <w:rPr>
                <w:rFonts w:hint="eastAsia" w:ascii="宋体" w:hAnsi="宋体" w:cs="宋体"/>
                <w:color w:val="auto"/>
                <w:sz w:val="21"/>
                <w:szCs w:val="21"/>
                <w:highlight w:val="none"/>
              </w:rPr>
              <w:t xml:space="preserve">增加路灯智能控制系统，保证改造后路面光照度、均匀度、眩光限制阈值增量等相关参数满足《城市道路照明设计标准》CJJ45-2015 规定的对应道路类型的高档值标准要求；并承担合同期内改造的范围内的路灯设施的维护运行管理及电费缴纳。</w:t>
            </w:r>
            <w:r/>
          </w:p>
          <w:p>
            <w:pPr>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电费缴纳由中标单位负责，与供电局的缴纳手续由中标单位办理，采购单位配合。</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合同预算金额</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采购预算：人民币</w:t>
            </w:r>
            <w:r>
              <w:rPr>
                <w:rFonts w:hint="eastAsia" w:ascii="宋体" w:hAnsi="宋体" w:cs="宋体"/>
                <w:color w:val="auto"/>
                <w:sz w:val="21"/>
                <w:szCs w:val="21"/>
                <w:highlight w:val="none"/>
                <w:lang w:eastAsia="zh-CN"/>
              </w:rPr>
              <w:t xml:space="preserve">1200</w:t>
            </w:r>
            <w:r>
              <w:rPr>
                <w:rFonts w:hint="eastAsia" w:ascii="宋体" w:hAnsi="宋体" w:cs="宋体"/>
                <w:color w:val="auto"/>
                <w:sz w:val="21"/>
                <w:szCs w:val="21"/>
                <w:highlight w:val="none"/>
              </w:rPr>
              <w:t xml:space="preserve">万元/年*1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年。</w:t>
            </w:r>
            <w:r/>
          </w:p>
          <w:p>
            <w:pPr>
              <w:rPr>
                <w:rFonts w:hint="eastAsia" w:cs="宋体"/>
                <w:color w:val="auto"/>
                <w:sz w:val="21"/>
                <w:szCs w:val="21"/>
                <w:highlight w:val="none"/>
              </w:rPr>
            </w:pPr>
            <w:r>
              <w:rPr>
                <w:rFonts w:hint="eastAsia" w:ascii="宋体" w:hAnsi="宋体" w:eastAsia="宋体" w:cs="宋体"/>
                <w:i/>
                <w:iCs/>
                <w:color w:val="auto"/>
                <w:sz w:val="21"/>
                <w:szCs w:val="21"/>
                <w:highlight w:val="none"/>
                <w:u w:val="single"/>
                <w:lang w:eastAsia="zh-CN"/>
              </w:rPr>
              <w:t xml:space="preserve">4</w:t>
            </w:r>
            <w:r>
              <w:rPr>
                <w:rFonts w:hint="eastAsia" w:ascii="宋体" w:hAnsi="宋体" w:eastAsia="宋体" w:cs="宋体"/>
                <w:i/>
                <w:iCs/>
                <w:color w:val="auto"/>
                <w:sz w:val="21"/>
                <w:szCs w:val="21"/>
                <w:highlight w:val="none"/>
                <w:u w:val="single"/>
                <w:lang w:val="en-US" w:eastAsia="zh-CN"/>
              </w:rPr>
              <w:t xml:space="preserve">.2.3</w:t>
            </w:r>
            <w:r>
              <w:rPr>
                <w:rFonts w:hint="eastAsia" w:ascii="宋体" w:hAnsi="宋体" w:eastAsia="宋体" w:cs="宋体"/>
                <w:i/>
                <w:iCs/>
                <w:color w:val="auto"/>
                <w:szCs w:val="21"/>
                <w:highlight w:val="none"/>
                <w:u w:val="single"/>
              </w:rPr>
              <w:t xml:space="preserve">能源托管服务费用：按服务期</w:t>
            </w:r>
            <w:r>
              <w:rPr>
                <w:rFonts w:hint="eastAsia" w:ascii="宋体" w:hAnsi="宋体" w:cs="宋体"/>
                <w:i/>
                <w:iCs/>
                <w:color w:val="auto"/>
                <w:szCs w:val="21"/>
                <w:highlight w:val="none"/>
                <w:u w:val="single"/>
                <w:lang w:eastAsia="zh-CN"/>
              </w:rPr>
              <w:t xml:space="preserve">10</w:t>
            </w:r>
            <w:r>
              <w:rPr>
                <w:rFonts w:hint="eastAsia" w:ascii="宋体" w:hAnsi="宋体" w:eastAsia="宋体" w:cs="宋体"/>
                <w:i/>
                <w:iCs/>
                <w:color w:val="auto"/>
                <w:szCs w:val="21"/>
                <w:highlight w:val="none"/>
                <w:u w:val="single"/>
              </w:rPr>
              <w:t xml:space="preserve">年计算，以投标单位所报费用为准</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rPr>
              <w:t xml:space="preserve">其费用包含了道路路灯所有设施的设计、采购、安装、调试、检测、通信费、系统使用费、电费及后期维护等费用。</w:t>
            </w:r>
            <w:r/>
          </w:p>
        </w:tc>
      </w:tr>
      <w:tr>
        <w:trPr/>
        <w:tc>
          <w:tcPr>
            <w:tcW w:w="834" w:type="dxa"/>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20" w:type="dxa"/>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808" w:type="dxa"/>
            <w:vAlign w:val="center"/>
            <w:textDirection w:val="lrTb"/>
            <w:noWrap w:val="false"/>
          </w:tcPr>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改造标准</w:t>
            </w:r>
            <w:r/>
          </w:p>
          <w:p>
            <w:p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lang w:val="en-US" w:eastAsia="zh-CN"/>
              </w:rPr>
              <w:t xml:space="preserve">.3.1</w:t>
            </w:r>
            <w:r>
              <w:rPr>
                <w:rFonts w:hint="eastAsia" w:ascii="宋体" w:hAnsi="宋体" w:cs="宋体"/>
                <w:color w:val="auto"/>
                <w:sz w:val="21"/>
                <w:szCs w:val="21"/>
                <w:highlight w:val="none"/>
              </w:rPr>
              <w:t xml:space="preserve">改造后、服务期内及服务期满移交时的路面光照度、均匀度、眩光限制阈值增量等相关参数满足《城市道路照明设计标准》CJJ45-2015 规定的对应道路类型的标准要求；达到附表的光通量要求。</w:t>
            </w:r>
            <w:r/>
          </w:p>
          <w:p>
            <w:pPr>
              <w:jc w:val="left"/>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3.2灯具具有智能控制功能，能接入同步建设的保税区智慧路灯管理平台，并能按要求将相关数据上报张家港市现有路灯智能控制管理系统进行管理。应能实现以下基本功能:能在控制室控制和设置开关灯时间、亮灯模式;具有自动巡检故障定位功能;远程监控路灯工作状态功能;亮灯率统计功能；同时也可以在控制室对配电箱的运行情况、回路状态以及用电量进行显示；支持对配电箱回路的远程开关功能。</w:t>
            </w:r>
            <w:r/>
          </w:p>
        </w:tc>
      </w:tr>
      <w:tr>
        <w:trPr/>
        <w:tc>
          <w:tcPr>
            <w:tcW w:w="834" w:type="dxa"/>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20" w:type="dxa"/>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808" w:type="dxa"/>
            <w:vAlign w:val="center"/>
            <w:textDirection w:val="lrTb"/>
            <w:noWrap w:val="false"/>
          </w:tcPr>
          <w:p>
            <w:pPr>
              <w:numPr>
                <w:ilvl w:val="-1"/>
                <w:numId w:val="0"/>
              </w:numPr>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4.4</w:t>
            </w:r>
            <w:r>
              <w:rPr>
                <w:rFonts w:hint="eastAsia" w:ascii="宋体" w:hAnsi="宋体" w:cs="宋体"/>
                <w:color w:val="auto"/>
                <w:sz w:val="21"/>
                <w:szCs w:val="21"/>
                <w:highlight w:val="none"/>
              </w:rPr>
              <w:t xml:space="preserve">灯具技术要求</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（1）灯具额定供电电压AC220V，电压波动±20%内灯具应能正常工作；</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cs="宋体"/>
                <w:color w:val="auto"/>
                <w:sz w:val="21"/>
                <w:szCs w:val="21"/>
                <w:highlight w:val="none"/>
              </w:rPr>
              <w:t xml:space="preserve">）灯具色温要求：快速路、主干路及次干路4000K；支路3000K；</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（3）灯具显色指数＞70，灯具整灯光效≥140Lm/W；  </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（4）灯具功率因数≥0.95；</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（5）灯具防护等级≥IP66；</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（6）电器绝缘等级:Class I；</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（7）灯具适用环境温度范围-40℃~+</w:t>
            </w:r>
            <w:r>
              <w:rPr>
                <w:rFonts w:hint="eastAsia" w:cs="宋体"/>
                <w:color w:val="auto"/>
                <w:sz w:val="21"/>
                <w:szCs w:val="21"/>
                <w:highlight w:val="none"/>
                <w:lang w:val="en-US" w:eastAsia="zh-CN"/>
              </w:rPr>
              <w:t xml:space="preserve">55</w:t>
            </w:r>
            <w:r>
              <w:rPr>
                <w:rFonts w:hint="eastAsia" w:cs="宋体"/>
                <w:color w:val="auto"/>
                <w:sz w:val="21"/>
                <w:szCs w:val="21"/>
                <w:highlight w:val="none"/>
              </w:rPr>
              <w:t xml:space="preserve">℃；</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8）灯具壳体为压铸铝铝合金材质或高强度塑料外壳，灯具外表面喷塑或烤漆。灯体具备雨水自洁性能和对流散热性能。灯具开闭紧固装置须为金属材质，上开盖免工具开启。灯具需有独立的电源腔。内部导线应为耐高温导线。灯具需有防坠落结构。灯具安装接口尺寸φ60mm（造型灯除外）。</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（9）灯具满足GB 37478-2025《道路和隧道照明用 LED 灯具能效限定值及能效等级》中1级能效等级的要求，灯具满足GB/T 20138-2023《电器设备外壳对外界机械碰撞的防护等级》的要求，防冲击性能不低于IK08。 </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（10）灯具应获得中国质量认证中心(CQC 认证)出具的认证证书；</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（11）灯具浪涌抗扰度应符合《一般照明用设备电磁兼容抗扰度要求》GB/T18595-2014的规定；</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（12）灯具的控制装置的浪涌抗扰度应符合《电磁兼容试验和测量技术浪涌(冲击)抗扰度试验》GB/T17626.5-2019的规定；</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（13）驱动电源效率≥88%，具有过流、短路、抑制涌浪电压等保护功能，含10KV浪涌保护器；</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（14）LED发光芯片采用原厂封装大功率LED发光管，单颗光源额定功率不低于2W，芯片光效≥180Lm/W，不得采用COB集成式芯片；</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（15）灯具使用寿命不低于50000h。</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（16）单灯智能控制器、集中控制器应能接入保税区智慧照明管理平台，所有操作与数据均应在智慧照明管理平台操作显示，投标单位需提供承诺书和方案。</w:t>
            </w:r>
            <w:r/>
          </w:p>
        </w:tc>
      </w:tr>
      <w:tr>
        <w:trPr/>
        <w:tc>
          <w:tcPr>
            <w:tcW w:w="834" w:type="dxa"/>
            <w:vMerge w:val="continue"/>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20" w:type="dxa"/>
            <w:vMerge w:val="continue"/>
            <w:textDirection w:val="lrTb"/>
            <w:noWrap w:val="false"/>
          </w:tcPr>
          <w:p>
            <w:pPr>
              <w:pStyle w:val="1304"/>
              <w:spacing w:line="360" w:lineRule="auto"/>
              <w:rPr>
                <w:rStyle w:val="992"/>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7808" w:type="dxa"/>
            <w:vAlign w:val="center"/>
            <w:textDirection w:val="lrTb"/>
            <w:noWrap w:val="false"/>
          </w:tcPr>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4.</w:t>
            </w:r>
            <w:r>
              <w:rPr>
                <w:rFonts w:hint="eastAsia" w:cs="宋体"/>
                <w:color w:val="auto"/>
                <w:sz w:val="21"/>
                <w:szCs w:val="21"/>
                <w:highlight w:val="none"/>
              </w:rPr>
              <w:t xml:space="preserve">5单灯控制器技术要求</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（1）需通过CQC认证（投标人提供CQC认证证书）。</w:t>
            </w:r>
            <w:r/>
          </w:p>
          <w:p>
            <w:pPr>
              <w:pStyle w:val="855"/>
              <w:ind w:firstLine="420"/>
              <w:rPr>
                <w:rFonts w:hint="eastAsia" w:eastAsia="宋体" w:cs="宋体"/>
                <w:b/>
                <w:bCs/>
                <w:color w:val="auto"/>
                <w:sz w:val="21"/>
                <w:szCs w:val="21"/>
                <w:highlight w:val="none"/>
                <w:lang w:eastAsia="zh-CN"/>
              </w:rPr>
            </w:pPr>
            <w:r>
              <w:rPr>
                <w:rFonts w:hint="eastAsia" w:cs="宋体"/>
                <w:color w:val="auto"/>
                <w:sz w:val="21"/>
                <w:szCs w:val="21"/>
                <w:highlight w:val="none"/>
              </w:rPr>
              <w:t xml:space="preserve">（2）通讯方式：采用4G Cat.1方式实现对灯具的单灯控制。</w:t>
            </w:r>
            <w:r>
              <w:rPr>
                <w:rFonts w:hint="eastAsia" w:cs="宋体"/>
                <w:b/>
                <w:bCs/>
                <w:color w:val="auto"/>
                <w:sz w:val="21"/>
                <w:szCs w:val="21"/>
                <w:highlight w:val="none"/>
                <w:lang w:val="en-US" w:eastAsia="zh-CN"/>
              </w:rPr>
              <w:t xml:space="preserve"> </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（3）灯具控制：设备应支持不少于1路灯具的开关控制及检测；设备应支持不少于1路0~10V调光接口。可根据平台级、设备级调光策略进行节能控制。</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（4）防护性能：</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工作温度</w:t>
            </w:r>
            <w:r>
              <w:rPr>
                <w:rFonts w:hint="eastAsia" w:cs="宋体"/>
                <w:color w:val="auto"/>
                <w:sz w:val="21"/>
                <w:szCs w:val="21"/>
                <w:highlight w:val="none"/>
                <w:lang w:val="en-US" w:eastAsia="zh-CN"/>
              </w:rPr>
              <w:t xml:space="preserve">范围</w:t>
            </w:r>
            <w:r>
              <w:rPr>
                <w:rFonts w:hint="eastAsia" w:cs="宋体"/>
                <w:color w:val="auto"/>
                <w:sz w:val="21"/>
                <w:szCs w:val="21"/>
                <w:highlight w:val="none"/>
              </w:rPr>
              <w:t xml:space="preserve">应不小于：-40℃~</w:t>
            </w:r>
            <w:r>
              <w:rPr>
                <w:rFonts w:hint="eastAsia" w:cs="宋体"/>
                <w:color w:val="auto"/>
                <w:sz w:val="21"/>
                <w:szCs w:val="21"/>
                <w:highlight w:val="none"/>
                <w:lang w:val="en-US" w:eastAsia="zh-CN"/>
              </w:rPr>
              <w:t xml:space="preserve">55</w:t>
            </w:r>
            <w:r>
              <w:rPr>
                <w:rFonts w:hint="eastAsia" w:cs="宋体"/>
                <w:color w:val="auto"/>
                <w:sz w:val="21"/>
                <w:szCs w:val="21"/>
                <w:highlight w:val="none"/>
              </w:rPr>
              <w:t xml:space="preserve">℃</w:t>
            </w:r>
            <w:r/>
          </w:p>
          <w:p>
            <w:pPr>
              <w:pStyle w:val="855"/>
              <w:ind w:firstLine="420"/>
              <w:rPr>
                <w:rFonts w:hint="eastAsia" w:eastAsia="宋体" w:cs="宋体"/>
                <w:color w:val="auto"/>
                <w:sz w:val="21"/>
                <w:szCs w:val="21"/>
                <w:highlight w:val="none"/>
                <w:lang w:val="en-US" w:eastAsia="zh-CN"/>
              </w:rPr>
            </w:pPr>
            <w:r>
              <w:rPr>
                <w:rFonts w:hint="eastAsia" w:cs="宋体"/>
                <w:color w:val="auto"/>
                <w:sz w:val="21"/>
                <w:szCs w:val="21"/>
                <w:highlight w:val="none"/>
              </w:rPr>
              <w:t xml:space="preserve">IP等级应不低于：IP6</w:t>
            </w:r>
            <w:r>
              <w:rPr>
                <w:rFonts w:hint="eastAsia" w:cs="宋体"/>
                <w:color w:val="auto"/>
                <w:sz w:val="21"/>
                <w:szCs w:val="21"/>
                <w:highlight w:val="none"/>
                <w:lang w:val="en-US" w:eastAsia="zh-CN"/>
              </w:rPr>
              <w:t xml:space="preserve">7</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（5）数据采集：设备应支持对灯具电压、电流、功率、功率因素、能耗、开关灯状态、调光等级、亮灯时间、工作时间等数据采集，且采集精度应≤2%。</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（6）告警功能：</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设备应支持异常开灯、异常关灯、倾斜告警、通信异常/离线、欠流、欠压、过流、过压等故障告警；</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当灯具故障恢复正常时，设备应具备主动向平台上报解除报警信息的告警恢复功能。</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（7）运行安全监测：</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设备应内置漏电交流传感器，检测灯具漏电情况及向平台自动告警以保证用电安全；</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设备应支持外接水浸传感器，用于检测灯杆内部积水情况及告警以保证用电安全；</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设备应集成倾角传感器，可监控杆体倾斜状况，异常告警以保证物理安全；</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（8）设备应内置RTC实时时钟和超级电容电池，产品掉电后仍可准确记录时间，可根据设定的时控 计划自主运行。且时钟及存储信号掉电后应不丢失，确保在现场恢复供电后继续运行。</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ascii="宋体" w:hAnsi="宋体" w:cs="宋体"/>
                <w:color w:val="auto"/>
                <w:sz w:val="21"/>
                <w:szCs w:val="21"/>
                <w:highlight w:val="none"/>
                <w:lang w:eastAsia="zh-CN"/>
              </w:rPr>
              <w:t xml:space="preserve">9</w:t>
            </w:r>
            <w:r>
              <w:rPr>
                <w:rFonts w:hint="eastAsia" w:cs="宋体"/>
                <w:color w:val="auto"/>
                <w:sz w:val="21"/>
                <w:szCs w:val="21"/>
                <w:highlight w:val="none"/>
              </w:rPr>
              <w:t xml:space="preserve">）设备应支持远程在线升级的方式对产品进行程序升级。</w:t>
            </w:r>
            <w:r/>
          </w:p>
        </w:tc>
      </w:tr>
      <w:tr>
        <w:trPr>
          <w:trHeight w:val="693"/>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5</w:t>
            </w:r>
            <w:r/>
          </w:p>
        </w:tc>
        <w:tc>
          <w:tcPr>
            <w:tcW w:w="1320"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服务费用测算支付</w:t>
            </w:r>
            <w:r/>
          </w:p>
        </w:tc>
        <w:tc>
          <w:tcPr>
            <w:tcW w:w="7808" w:type="dxa"/>
            <w:vAlign w:val="center"/>
            <w:textDirection w:val="lrTb"/>
            <w:noWrap w:val="false"/>
          </w:tcPr>
          <w:p>
            <w:pPr>
              <w:pStyle w:val="855"/>
              <w:ind w:firstLine="420"/>
              <w:rPr>
                <w:rFonts w:hint="default" w:eastAsia="宋体" w:cs="宋体"/>
                <w:color w:val="auto"/>
                <w:sz w:val="21"/>
                <w:szCs w:val="21"/>
                <w:highlight w:val="none"/>
                <w:lang w:val="en-US" w:eastAsia="zh-CN"/>
              </w:rPr>
            </w:pPr>
            <w:r>
              <w:rPr>
                <w:rFonts w:hint="eastAsia" w:cs="宋体"/>
                <w:color w:val="auto"/>
                <w:sz w:val="21"/>
                <w:szCs w:val="21"/>
                <w:highlight w:val="none"/>
                <w:lang w:eastAsia="zh-CN"/>
              </w:rPr>
              <w:t xml:space="preserve">5</w:t>
            </w:r>
            <w:r>
              <w:rPr>
                <w:rFonts w:hint="eastAsia" w:cs="宋体"/>
                <w:color w:val="auto"/>
                <w:sz w:val="21"/>
                <w:szCs w:val="21"/>
                <w:highlight w:val="none"/>
                <w:lang w:val="en-US" w:eastAsia="zh-CN"/>
              </w:rPr>
              <w:t xml:space="preserve">.1</w:t>
            </w:r>
            <w:r>
              <w:rPr>
                <w:rFonts w:hint="eastAsia" w:cs="宋体"/>
                <w:color w:val="auto"/>
                <w:sz w:val="21"/>
                <w:szCs w:val="21"/>
                <w:highlight w:val="none"/>
              </w:rPr>
              <w:t xml:space="preserve">根据目前的电费水平（0.749元/度）测算每年支付的电费；电费价格的调差按0.749元/度为基准价格，</w:t>
            </w:r>
            <w:r>
              <w:rPr>
                <w:rFonts w:hint="eastAsia" w:cs="宋体"/>
                <w:color w:val="auto"/>
                <w:sz w:val="21"/>
                <w:szCs w:val="21"/>
                <w:highlight w:val="none"/>
                <w:lang w:val="en-US" w:eastAsia="zh-CN"/>
              </w:rPr>
              <w:t xml:space="preserve">根据</w:t>
            </w:r>
            <w:r>
              <w:rPr>
                <w:rStyle w:val="756"/>
                <w:rFonts w:hint="eastAsia" w:cs="宋体"/>
                <w:color w:val="auto"/>
                <w:sz w:val="21"/>
                <w:szCs w:val="21"/>
                <w:highlight w:val="none"/>
              </w:rPr>
              <w:t xml:space="preserve">缴</w:t>
            </w:r>
            <w:r>
              <w:rPr>
                <w:rFonts w:hint="eastAsia" w:cs="宋体"/>
                <w:color w:val="auto"/>
                <w:sz w:val="21"/>
                <w:szCs w:val="21"/>
                <w:highlight w:val="none"/>
              </w:rPr>
              <w:t xml:space="preserve">款发票全年平均单价</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全年总电费/全年总电量）</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当涨跌超过5%时，按</w:t>
            </w:r>
            <w:r>
              <w:rPr>
                <w:rFonts w:hint="eastAsia" w:cs="宋体"/>
                <w:color w:val="auto"/>
                <w:sz w:val="21"/>
                <w:szCs w:val="21"/>
                <w:highlight w:val="none"/>
                <w:lang w:val="en-US" w:eastAsia="zh-CN"/>
              </w:rPr>
              <w:t xml:space="preserve">实际年平均单价</w:t>
            </w:r>
            <w:r>
              <w:rPr>
                <w:rFonts w:hint="eastAsia" w:cs="宋体"/>
                <w:color w:val="auto"/>
                <w:sz w:val="21"/>
                <w:szCs w:val="21"/>
                <w:highlight w:val="none"/>
              </w:rPr>
              <w:t xml:space="preserve">调整</w:t>
            </w:r>
            <w:r>
              <w:rPr>
                <w:rFonts w:hint="eastAsia" w:cs="宋体"/>
                <w:color w:val="auto"/>
                <w:sz w:val="21"/>
                <w:szCs w:val="21"/>
                <w:highlight w:val="none"/>
                <w:lang w:val="en-US" w:eastAsia="zh-CN"/>
              </w:rPr>
              <w:t xml:space="preserve">单价</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电量按全年缴费发票上的实际电量为基数。一年一调，在年终最后一期结算</w:t>
            </w:r>
            <w:r>
              <w:rPr>
                <w:rFonts w:hint="eastAsia" w:cs="宋体"/>
                <w:color w:val="auto"/>
                <w:sz w:val="21"/>
                <w:szCs w:val="21"/>
                <w:highlight w:val="none"/>
              </w:rPr>
              <w:t xml:space="preserve">。预交电费的成本报价时要考虑在内，采购单位不另行支付。</w:t>
            </w:r>
            <w:r/>
          </w:p>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5</w:t>
            </w:r>
            <w:r>
              <w:rPr>
                <w:rFonts w:hint="eastAsia" w:cs="宋体"/>
                <w:color w:val="auto"/>
                <w:sz w:val="21"/>
                <w:szCs w:val="21"/>
                <w:highlight w:val="none"/>
                <w:lang w:val="en-US" w:eastAsia="zh-CN"/>
              </w:rPr>
              <w:t xml:space="preserve">.2</w:t>
            </w:r>
            <w:r>
              <w:rPr>
                <w:rFonts w:hint="eastAsia" w:cs="宋体"/>
                <w:color w:val="auto"/>
                <w:sz w:val="21"/>
                <w:szCs w:val="21"/>
                <w:highlight w:val="none"/>
              </w:rPr>
              <w:t xml:space="preserve">中标单位每年需支付代缴外接电费，采购单位每三个月按实际发生数另行结算。</w:t>
            </w:r>
            <w:r/>
          </w:p>
          <w:p>
            <w:pPr>
              <w:rPr>
                <w:rFonts w:hint="eastAsia" w:cs="宋体"/>
                <w:color w:val="auto"/>
                <w:sz w:val="21"/>
                <w:szCs w:val="21"/>
                <w:highlight w:val="none"/>
              </w:rPr>
            </w:pPr>
            <w:r>
              <w:rPr>
                <w:rFonts w:hint="eastAsia" w:cs="宋体"/>
                <w:color w:val="auto"/>
                <w:sz w:val="21"/>
                <w:szCs w:val="21"/>
                <w:highlight w:val="none"/>
                <w:lang w:eastAsia="zh-CN"/>
              </w:rPr>
              <w:t xml:space="preserve">5</w:t>
            </w:r>
            <w:r>
              <w:rPr>
                <w:rFonts w:hint="eastAsia" w:cs="宋体"/>
                <w:color w:val="auto"/>
                <w:sz w:val="21"/>
                <w:szCs w:val="21"/>
                <w:highlight w:val="none"/>
                <w:lang w:val="en-US" w:eastAsia="zh-CN"/>
              </w:rPr>
              <w:t xml:space="preserve">.3</w:t>
            </w:r>
            <w:r>
              <w:rPr>
                <w:rFonts w:hint="eastAsia" w:cs="宋体"/>
                <w:color w:val="auto"/>
                <w:sz w:val="21"/>
                <w:szCs w:val="21"/>
                <w:highlight w:val="none"/>
              </w:rPr>
              <w:t xml:space="preserve">供电部门对电费有考核，中标单位应防止功率因数下降，因下降导致处罚，处罚费用由中标单位承担，未达到供电部门的要求进行改造的费用也由中标单位承担。</w:t>
            </w:r>
            <w:r/>
          </w:p>
          <w:p>
            <w:pPr>
              <w:pStyle w:val="855"/>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5.4.服务期内如遇路灯照明设施迁移、拆除等情况由</w:t>
            </w:r>
            <w:r>
              <w:rPr>
                <w:rFonts w:hint="eastAsia" w:cs="Times New Roman"/>
                <w:color w:val="auto"/>
                <w:highlight w:val="none"/>
                <w:lang w:val="en-US" w:eastAsia="zh-CN"/>
              </w:rPr>
              <w:t xml:space="preserve">中标单位</w:t>
            </w:r>
            <w:r>
              <w:rPr>
                <w:rFonts w:hint="eastAsia" w:ascii="宋体" w:hAnsi="宋体" w:eastAsia="宋体" w:cs="Times New Roman"/>
                <w:color w:val="auto"/>
                <w:highlight w:val="none"/>
                <w:lang w:val="en-US" w:eastAsia="zh-CN"/>
              </w:rPr>
              <w:t xml:space="preserve">负责进行实施，施工费用结算按申请迁移单位委托第三方审计出具的审计报告为准。当路段有改造造成路灯数量增加或减少时，按照本项目照明调光计划计算。调光计划时间按照开灯后满功率运行4.2小时，调光至60%再运行2小时，调光至50%再运行4.5小时，满功率再运行1小时后关灯。 </w:t>
            </w:r>
            <w:r/>
          </w:p>
          <w:p>
            <w:pPr>
              <w:pStyle w:val="855"/>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能源管理费的变化按下列公式计算调整金额：</w:t>
            </w:r>
            <w:r/>
          </w:p>
          <w:p>
            <w:pPr>
              <w:pStyle w:val="855"/>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P：路灯增减总功率（千瓦）</w:t>
            </w:r>
            <w:r/>
          </w:p>
          <w:p>
            <w:pPr>
              <w:pStyle w:val="855"/>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A：电费单价（元）</w:t>
            </w:r>
            <w:r/>
          </w:p>
          <w:p>
            <w:pPr>
              <w:pStyle w:val="855"/>
              <w:numPr>
                <w:ilvl w:val="0"/>
                <w:numId w:val="0"/>
              </w:numPr>
              <w:rPr>
                <w:rFonts w:hint="eastAsia" w:ascii="宋体" w:hAnsi="宋体" w:eastAsia="宋体" w:cs="Times New Roman"/>
                <w:color w:val="auto"/>
                <w:highlight w:val="none"/>
                <w:lang w:val="en-US" w:eastAsia="zh-CN"/>
              </w:rPr>
            </w:pPr>
            <w:r>
              <w:rPr>
                <w:rFonts w:hint="eastAsia" w:ascii="宋体" w:hAnsi="宋体" w:eastAsia="宋体" w:cs="Times New Roman"/>
                <w:color w:val="auto"/>
                <w:highlight w:val="none"/>
                <w:lang w:val="en-US" w:eastAsia="zh-CN"/>
              </w:rPr>
              <w:t xml:space="preserve">M：年增减电费（元）</w:t>
            </w:r>
            <w:r/>
          </w:p>
          <w:p>
            <w:pPr>
              <w:rPr>
                <w:rFonts w:hint="eastAsia"/>
                <w:color w:val="auto"/>
                <w:highlight w:val="none"/>
                <w:lang w:val="en-US" w:eastAsia="zh-CN"/>
              </w:rPr>
            </w:pPr>
            <w:r>
              <w:rPr>
                <w:rFonts w:hint="eastAsia"/>
                <w:color w:val="auto"/>
                <w:highlight w:val="none"/>
                <w:lang w:val="en-US" w:eastAsia="zh-CN"/>
              </w:rPr>
              <w:t xml:space="preserve">LED路灯年运行电费增减计算公式：</w:t>
            </w:r>
            <w:r/>
          </w:p>
          <w:p>
            <w:pPr>
              <w:rPr>
                <w:rFonts w:hint="eastAsia" w:cs="Times New Roman"/>
                <w:color w:val="auto"/>
                <w:szCs w:val="22"/>
                <w:highlight w:val="none"/>
              </w:rPr>
            </w:pPr>
            <w:r>
              <w:rPr>
                <w:rFonts w:hint="eastAsia"/>
                <w:color w:val="auto"/>
                <w:highlight w:val="none"/>
                <w:lang w:val="en-US" w:eastAsia="zh-CN"/>
              </w:rPr>
              <w:t xml:space="preserve">M = ( P*4.2*100% + P*2*60% + P*4.5*50% + P*1*100% ) * 365 * A</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6</w:t>
            </w:r>
            <w:r/>
          </w:p>
        </w:tc>
        <w:tc>
          <w:tcPr>
            <w:tcW w:w="1320" w:type="dxa"/>
            <w:vAlign w:val="center"/>
            <w:textDirection w:val="lrTb"/>
            <w:noWrap w:val="false"/>
          </w:tcPr>
          <w:p>
            <w:pPr>
              <w:pStyle w:val="1304"/>
              <w:jc w:val="both"/>
              <w:spacing w:line="360" w:lineRule="auto"/>
              <w:rPr>
                <w:rStyle w:val="992"/>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拟投入提升改造人员配备和设备要求</w:t>
            </w:r>
            <w:r/>
          </w:p>
        </w:tc>
        <w:tc>
          <w:tcPr>
            <w:tcW w:w="78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Cs w:val="21"/>
                <w:highlight w:val="none"/>
              </w:rPr>
              <w:t xml:space="preserve">拟投入管理人员</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Cs w:val="21"/>
                <w:highlight w:val="none"/>
              </w:rPr>
              <w:t xml:space="preserve">项目经理、技术负责人、安全管理员、质检员、资料员，各配备1人；</w:t>
            </w:r>
            <w:r/>
          </w:p>
          <w:p>
            <w:pP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Cs w:val="21"/>
                <w:highlight w:val="none"/>
              </w:rPr>
              <w:t xml:space="preserve">拟投入项目经理具有市政公用或机电工程</w:t>
            </w:r>
            <w:r>
              <w:rPr>
                <w:rFonts w:hint="eastAsia" w:ascii="宋体" w:hAnsi="宋体" w:cs="宋体"/>
                <w:color w:val="auto"/>
                <w:szCs w:val="21"/>
                <w:highlight w:val="none"/>
                <w:lang w:val="en-US" w:eastAsia="zh-CN"/>
              </w:rPr>
              <w:t xml:space="preserve">施工经验</w:t>
            </w:r>
            <w:r>
              <w:rPr>
                <w:rFonts w:hint="eastAsia" w:ascii="宋体" w:hAnsi="宋体" w:eastAsia="宋体" w:cs="宋体"/>
                <w:color w:val="auto"/>
                <w:szCs w:val="21"/>
                <w:highlight w:val="none"/>
              </w:rPr>
              <w:t xml:space="preserve">；</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Cs w:val="21"/>
                <w:highlight w:val="none"/>
              </w:rPr>
              <w:t xml:space="preserve">拟投入</w:t>
            </w:r>
            <w:r>
              <w:rPr>
                <w:rFonts w:hint="eastAsia" w:ascii="宋体" w:hAnsi="宋体" w:eastAsia="宋体" w:cs="宋体"/>
                <w:color w:val="auto"/>
                <w:spacing w:val="0"/>
                <w:szCs w:val="21"/>
                <w:highlight w:val="none"/>
              </w:rPr>
              <w:t xml:space="preserve">技术负责人具有</w:t>
            </w:r>
            <w:r>
              <w:rPr>
                <w:rFonts w:hint="eastAsia" w:ascii="宋体" w:hAnsi="宋体" w:eastAsia="宋体" w:cs="宋体"/>
                <w:color w:val="auto"/>
                <w:szCs w:val="21"/>
                <w:highlight w:val="none"/>
              </w:rPr>
              <w:t xml:space="preserve">中级</w:t>
            </w:r>
            <w:r>
              <w:rPr>
                <w:rFonts w:hint="eastAsia" w:ascii="宋体" w:hAnsi="宋体" w:eastAsia="宋体" w:cs="宋体"/>
                <w:color w:val="auto"/>
                <w:szCs w:val="21"/>
                <w:highlight w:val="none"/>
                <w:lang w:val="en-US" w:eastAsia="zh-CN"/>
              </w:rPr>
              <w:t xml:space="preserve">及以上</w:t>
            </w:r>
            <w:r>
              <w:rPr>
                <w:rFonts w:hint="eastAsia" w:ascii="宋体" w:hAnsi="宋体" w:eastAsia="宋体" w:cs="宋体"/>
                <w:color w:val="auto"/>
                <w:szCs w:val="21"/>
                <w:highlight w:val="none"/>
              </w:rPr>
              <w:t xml:space="preserve">以上职称</w:t>
            </w:r>
            <w:r>
              <w:rPr>
                <w:rFonts w:hint="eastAsia" w:ascii="宋体" w:hAnsi="宋体" w:eastAsia="宋体" w:cs="宋体"/>
                <w:color w:val="auto"/>
                <w:sz w:val="21"/>
                <w:szCs w:val="21"/>
                <w:highlight w:val="none"/>
                <w:lang w:eastAsia="zh-CN"/>
              </w:rPr>
              <w:t xml:space="preserve">；</w:t>
            </w:r>
            <w:r/>
          </w:p>
          <w:p>
            <w:pPr>
              <w:rPr>
                <w:rFonts w:hint="eastAsia" w:ascii="宋体" w:hAnsi="宋体" w:eastAsia="宋体" w:cs="宋体"/>
                <w:color w:val="auto"/>
                <w:spacing w:val="0"/>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pacing w:val="0"/>
                <w:szCs w:val="21"/>
                <w:highlight w:val="none"/>
              </w:rPr>
              <w:t xml:space="preserve">拟投入项目组其他成员（</w:t>
            </w:r>
            <w:r>
              <w:rPr>
                <w:rFonts w:hint="eastAsia" w:ascii="宋体" w:hAnsi="宋体" w:eastAsia="宋体" w:cs="宋体"/>
                <w:color w:val="auto"/>
                <w:szCs w:val="21"/>
                <w:highlight w:val="none"/>
              </w:rPr>
              <w:t xml:space="preserve">管理人员、</w:t>
            </w:r>
            <w:r>
              <w:rPr>
                <w:rFonts w:hint="eastAsia" w:ascii="宋体" w:hAnsi="宋体" w:eastAsia="宋体" w:cs="宋体"/>
                <w:color w:val="auto"/>
                <w:spacing w:val="0"/>
                <w:szCs w:val="21"/>
                <w:highlight w:val="none"/>
              </w:rPr>
              <w:t xml:space="preserve">技术负责人除外）</w:t>
            </w:r>
            <w:r>
              <w:rPr>
                <w:rFonts w:hint="eastAsia" w:ascii="宋体" w:hAnsi="宋体" w:eastAsia="宋体" w:cs="宋体"/>
                <w:color w:val="auto"/>
                <w:spacing w:val="0"/>
                <w:sz w:val="21"/>
                <w:szCs w:val="21"/>
                <w:highlight w:val="none"/>
                <w:lang w:eastAsia="zh-CN"/>
              </w:rPr>
              <w:t xml:space="preserve">；</w:t>
            </w:r>
            <w:r/>
          </w:p>
          <w:p>
            <w:pPr>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pacing w:val="0"/>
                <w:szCs w:val="21"/>
                <w:highlight w:val="none"/>
              </w:rPr>
              <w:t xml:space="preserve">安全管理员具有安全生产考核合格证书</w:t>
            </w:r>
            <w:r>
              <w:rPr>
                <w:rFonts w:hint="eastAsia" w:ascii="宋体" w:hAnsi="宋体" w:eastAsia="宋体" w:cs="宋体"/>
                <w:color w:val="auto"/>
                <w:spacing w:val="0"/>
                <w:szCs w:val="21"/>
                <w:highlight w:val="none"/>
                <w:lang w:val="en-US" w:eastAsia="zh-CN"/>
              </w:rPr>
              <w:t xml:space="preserve">C证</w:t>
            </w:r>
            <w:r>
              <w:rPr>
                <w:rFonts w:hint="eastAsia" w:ascii="宋体" w:hAnsi="宋体" w:eastAsia="宋体" w:cs="宋体"/>
                <w:color w:val="auto"/>
                <w:spacing w:val="0"/>
                <w:sz w:val="21"/>
                <w:szCs w:val="21"/>
                <w:highlight w:val="none"/>
                <w:lang w:val="en-US" w:eastAsia="zh-CN"/>
              </w:rPr>
              <w:t xml:space="preserve">；</w:t>
            </w:r>
            <w:r/>
          </w:p>
          <w:p>
            <w:pPr>
              <w:rPr>
                <w:rFonts w:hint="eastAsia" w:ascii="宋体" w:hAnsi="宋体" w:cs="宋体"/>
                <w:color w:val="auto"/>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pacing w:val="0"/>
                <w:sz w:val="21"/>
                <w:szCs w:val="21"/>
                <w:highlight w:val="none"/>
              </w:rPr>
              <w:t xml:space="preserve">其他人员有单位的聘用证明。</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投标文件中提供上述人员的相关证书，以及投标单位为上述人员缴纳的最近一期社保证明材料。</w:t>
            </w:r>
            <w:r/>
          </w:p>
          <w:p>
            <w:pPr>
              <w:pStyle w:val="855"/>
              <w:ind w:firstLine="420"/>
              <w:rPr>
                <w:rFonts w:hint="eastAsia" w:ascii="宋体" w:hAnsi="宋体" w:eastAsia="宋体" w:cs="宋体"/>
                <w:color w:val="auto"/>
                <w:sz w:val="21"/>
                <w:szCs w:val="21"/>
                <w:highlight w:val="none"/>
              </w:rPr>
            </w:pPr>
            <w:r>
              <w:rPr>
                <w:rFonts w:hint="eastAsia" w:cs="宋体"/>
                <w:i/>
                <w:iCs/>
                <w:color w:val="auto"/>
                <w:sz w:val="21"/>
                <w:szCs w:val="21"/>
                <w:highlight w:val="none"/>
                <w:u w:val="single"/>
                <w:lang w:val="en-US" w:eastAsia="zh-CN"/>
              </w:rPr>
              <w:t xml:space="preserve">6.2</w:t>
            </w:r>
            <w:r>
              <w:rPr>
                <w:rFonts w:hint="eastAsia" w:ascii="宋体" w:hAnsi="宋体" w:eastAsia="宋体" w:cs="宋体"/>
                <w:i/>
                <w:iCs/>
                <w:color w:val="auto"/>
                <w:sz w:val="21"/>
                <w:szCs w:val="21"/>
                <w:highlight w:val="none"/>
                <w:u w:val="single"/>
              </w:rPr>
              <w:t xml:space="preserve">拟投入技术操作人员共 9人，其中高空特殊操作低压电工 6 人，需持有有效期内的低压电工证或建筑电工证并同时持有有效期内的高处作业证；</w:t>
            </w:r>
            <w:r>
              <w:rPr>
                <w:rFonts w:hint="eastAsia" w:ascii="宋体" w:hAnsi="宋体" w:eastAsia="宋体" w:cs="宋体"/>
                <w:i/>
                <w:iCs/>
                <w:color w:val="auto"/>
                <w:sz w:val="21"/>
                <w:szCs w:val="21"/>
                <w:highlight w:val="none"/>
                <w:u w:val="single"/>
                <w:lang w:val="en-US" w:eastAsia="zh-CN"/>
              </w:rPr>
              <w:t xml:space="preserve">高压电工1人，</w:t>
            </w:r>
            <w:r>
              <w:rPr>
                <w:rFonts w:hint="eastAsia" w:ascii="宋体" w:hAnsi="宋体" w:eastAsia="宋体" w:cs="宋体"/>
                <w:i/>
                <w:iCs/>
                <w:color w:val="auto"/>
                <w:sz w:val="21"/>
                <w:szCs w:val="21"/>
                <w:highlight w:val="none"/>
                <w:u w:val="single"/>
              </w:rPr>
              <w:t xml:space="preserve">持有有效期内的</w:t>
            </w:r>
            <w:r>
              <w:rPr>
                <w:rFonts w:hint="eastAsia" w:ascii="宋体" w:hAnsi="宋体" w:eastAsia="宋体" w:cs="宋体"/>
                <w:i/>
                <w:iCs/>
                <w:color w:val="auto"/>
                <w:sz w:val="21"/>
                <w:szCs w:val="21"/>
                <w:highlight w:val="none"/>
                <w:u w:val="single"/>
                <w:lang w:val="en-US" w:eastAsia="zh-CN"/>
              </w:rPr>
              <w:t xml:space="preserve">高</w:t>
            </w:r>
            <w:r>
              <w:rPr>
                <w:rFonts w:hint="eastAsia" w:ascii="宋体" w:hAnsi="宋体" w:eastAsia="宋体" w:cs="宋体"/>
                <w:i/>
                <w:iCs/>
                <w:color w:val="auto"/>
                <w:sz w:val="21"/>
                <w:szCs w:val="21"/>
                <w:highlight w:val="none"/>
                <w:u w:val="single"/>
              </w:rPr>
              <w:t xml:space="preserve">压电工证</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高空作业车驾驶员 2人， </w:t>
            </w:r>
            <w:r>
              <w:rPr>
                <w:rFonts w:hint="eastAsia" w:ascii="宋体" w:hAnsi="宋体" w:eastAsia="宋体" w:cs="宋体"/>
                <w:i/>
                <w:iCs/>
                <w:color w:val="auto"/>
                <w:sz w:val="21"/>
                <w:szCs w:val="21"/>
                <w:highlight w:val="none"/>
                <w:u w:val="single"/>
                <w:lang w:val="en-US" w:eastAsia="zh-CN"/>
              </w:rPr>
              <w:t xml:space="preserve">需持有</w:t>
            </w:r>
            <w:r>
              <w:rPr>
                <w:rFonts w:hint="eastAsia" w:ascii="宋体" w:hAnsi="宋体" w:eastAsia="宋体" w:cs="宋体"/>
                <w:i/>
                <w:iCs/>
                <w:color w:val="auto"/>
                <w:sz w:val="21"/>
                <w:szCs w:val="21"/>
                <w:highlight w:val="none"/>
                <w:u w:val="single"/>
              </w:rPr>
              <w:t xml:space="preserve">与高空作业车总质量匹配的有效机动车驾驶证</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机动</w:t>
            </w:r>
            <w:r>
              <w:rPr>
                <w:rFonts w:hint="eastAsia" w:ascii="宋体" w:hAnsi="宋体" w:eastAsia="宋体" w:cs="宋体"/>
                <w:i/>
                <w:iCs/>
                <w:color w:val="auto"/>
                <w:sz w:val="21"/>
                <w:szCs w:val="21"/>
                <w:highlight w:val="none"/>
                <w:u w:val="single"/>
                <w:lang w:val="en-US" w:eastAsia="zh-CN"/>
              </w:rPr>
              <w:t xml:space="preserve">车</w:t>
            </w:r>
            <w:r>
              <w:rPr>
                <w:rFonts w:hint="eastAsia" w:ascii="宋体" w:hAnsi="宋体" w:eastAsia="宋体" w:cs="宋体"/>
                <w:i/>
                <w:iCs/>
                <w:color w:val="auto"/>
                <w:sz w:val="21"/>
                <w:szCs w:val="21"/>
                <w:highlight w:val="none"/>
                <w:u w:val="single"/>
              </w:rPr>
              <w:t xml:space="preserve"> A证</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；投标文件中提供上述人员的相关证书，以及投标单位为上述人员缴纳的最近一</w:t>
            </w:r>
            <w:r>
              <w:rPr>
                <w:rFonts w:hint="eastAsia" w:ascii="宋体" w:hAnsi="宋体" w:eastAsia="宋体" w:cs="宋体"/>
                <w:i/>
                <w:iCs/>
                <w:color w:val="auto"/>
                <w:sz w:val="21"/>
                <w:szCs w:val="21"/>
                <w:highlight w:val="none"/>
                <w:u w:val="single"/>
                <w:lang w:val="en-US" w:eastAsia="zh-CN"/>
              </w:rPr>
              <w:t xml:space="preserve">个月的</w:t>
            </w:r>
            <w:r>
              <w:rPr>
                <w:rFonts w:hint="eastAsia" w:ascii="宋体" w:hAnsi="宋体" w:eastAsia="宋体" w:cs="宋体"/>
                <w:i/>
                <w:iCs/>
                <w:color w:val="auto"/>
                <w:sz w:val="21"/>
                <w:szCs w:val="21"/>
                <w:highlight w:val="none"/>
                <w:u w:val="single"/>
              </w:rPr>
              <w:t xml:space="preserve">社保证明材料。</w:t>
            </w:r>
            <w:r/>
          </w:p>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6</w:t>
            </w:r>
            <w:r>
              <w:rPr>
                <w:rFonts w:hint="eastAsia" w:cs="宋体"/>
                <w:color w:val="auto"/>
                <w:sz w:val="21"/>
                <w:szCs w:val="21"/>
                <w:highlight w:val="none"/>
                <w:lang w:val="en-US" w:eastAsia="zh-CN"/>
              </w:rPr>
              <w:t xml:space="preserve">.3</w:t>
            </w:r>
            <w:r>
              <w:rPr>
                <w:rFonts w:hint="eastAsia" w:cs="宋体"/>
                <w:color w:val="auto"/>
                <w:sz w:val="21"/>
                <w:szCs w:val="21"/>
                <w:highlight w:val="none"/>
              </w:rPr>
              <w:t xml:space="preserve">设备配置至少需满足以下要求：投标单位具有18米及以上高空作业车1辆；投标单位具有12米及以上高空作业车1辆；9米及以上高空作业车1辆；有1辆应急抢修车。皮卡或其他巡检车辆5辆。并承诺在中标后一个月内安装GPS车辆定位系统交张家港保税区规划建设管理，相关费用由中标单位负责。</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设备如自有的，请在投标文件中提供车辆行驶证、产权证、车辆外观图片及车辆相关高度等参数的证明材料；如租赁的，请在投标文件中提供车辆租赁合同、车辆行驶证、产权证、车辆外观图片及车辆相关高度等参数的证明材料。车辆相关高度参数证明材料中的车辆型号、车架号、发动机型号、车牌号需与行驶证或产权证中相关参数对应）</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7</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开标后检验要求</w:t>
            </w:r>
            <w:r/>
          </w:p>
        </w:tc>
        <w:tc>
          <w:tcPr>
            <w:tcW w:w="7808" w:type="dxa"/>
            <w:vAlign w:val="center"/>
            <w:textDirection w:val="lrTb"/>
            <w:noWrap w:val="false"/>
          </w:tcPr>
          <w:p>
            <w:pPr>
              <w:pStyle w:val="855"/>
              <w:ind w:firstLine="420"/>
              <w:rPr>
                <w:rFonts w:hint="eastAsia" w:eastAsia="宋体" w:cs="宋体"/>
                <w:b w:val="0"/>
                <w:bCs w:val="0"/>
                <w:i/>
                <w:iCs/>
                <w:color w:val="auto"/>
                <w:sz w:val="21"/>
                <w:szCs w:val="21"/>
                <w:highlight w:val="none"/>
                <w:u w:val="single"/>
                <w:lang w:val="en-US" w:eastAsia="zh-CN"/>
              </w:rPr>
            </w:pPr>
            <w:r>
              <w:rPr>
                <w:rFonts w:hint="eastAsia" w:cs="宋体"/>
                <w:i/>
                <w:iCs/>
                <w:color w:val="auto"/>
                <w:sz w:val="21"/>
                <w:szCs w:val="21"/>
                <w:highlight w:val="none"/>
                <w:u w:val="single"/>
                <w:lang w:eastAsia="zh-CN"/>
              </w:rPr>
              <w:t xml:space="preserve">7</w:t>
            </w:r>
            <w:r>
              <w:rPr>
                <w:rFonts w:hint="eastAsia" w:cs="宋体"/>
                <w:i/>
                <w:iCs/>
                <w:color w:val="auto"/>
                <w:sz w:val="21"/>
                <w:szCs w:val="21"/>
                <w:highlight w:val="none"/>
                <w:u w:val="single"/>
                <w:lang w:val="en-US" w:eastAsia="zh-CN"/>
              </w:rPr>
              <w:t xml:space="preserve">.1中标供应商应在中标结果发布后7日内提供投标灯具中250W、120W、40W灯具，由采购单位送至国家级电光源质量检验检测中心进行指定检测项目的复检，如无正当理由延迟提供样品或复检结果与投标文件中所提供的材料负偏离 </w:t>
            </w:r>
            <w:r>
              <w:rPr>
                <w:rFonts w:ascii="宋体" w:hAnsi="宋体" w:eastAsia="宋体" w:cs="宋体"/>
                <w:b w:val="0"/>
                <w:bCs w:val="0"/>
                <w:i/>
                <w:iCs/>
                <w:color w:val="auto"/>
                <w:sz w:val="21"/>
                <w:szCs w:val="21"/>
                <w:u w:val="single"/>
              </w:rPr>
              <w:t xml:space="preserve">（</w:t>
            </w:r>
            <w:r>
              <w:rPr>
                <w:rStyle w:val="785"/>
                <w:rFonts w:hint="eastAsia" w:ascii="宋体" w:hAnsi="宋体" w:eastAsia="宋体" w:cs="宋体"/>
                <w:b w:val="0"/>
                <w:bCs w:val="0"/>
                <w:i/>
                <w:iCs/>
                <w:color w:val="auto"/>
                <w:sz w:val="21"/>
                <w:szCs w:val="21"/>
                <w:u w:val="single"/>
                <w:lang w:val="en-US" w:eastAsia="zh-CN"/>
              </w:rPr>
              <w:t xml:space="preserve">其中光通量、平均亮度、亮度总均匀度、平均照度、照度均匀度、</w:t>
            </w:r>
            <w:r>
              <w:rPr>
                <w:rFonts w:hint="eastAsia" w:ascii="宋体" w:hAnsi="宋体" w:eastAsia="宋体" w:cs="宋体"/>
                <w:i/>
                <w:iCs/>
                <w:color w:val="auto"/>
                <w:sz w:val="21"/>
                <w:szCs w:val="21"/>
                <w:highlight w:val="none"/>
                <w:u w:val="single"/>
              </w:rPr>
              <w:t xml:space="preserve">眩光限制阈值增量</w:t>
            </w:r>
            <w:r>
              <w:rPr>
                <w:rFonts w:hint="eastAsia" w:cs="宋体"/>
                <w:i/>
                <w:iCs/>
                <w:color w:val="auto"/>
                <w:sz w:val="21"/>
                <w:szCs w:val="21"/>
                <w:highlight w:val="none"/>
                <w:u w:val="single"/>
                <w:lang w:val="en-US" w:eastAsia="zh-CN"/>
              </w:rPr>
              <w:t xml:space="preserve">数值的任何一项数据</w:t>
            </w:r>
            <w:r>
              <w:rPr>
                <w:rStyle w:val="785"/>
                <w:rFonts w:ascii="宋体" w:hAnsi="宋体" w:eastAsia="宋体" w:cs="宋体"/>
                <w:b w:val="0"/>
                <w:bCs w:val="0"/>
                <w:i/>
                <w:iCs/>
                <w:color w:val="auto"/>
                <w:sz w:val="21"/>
                <w:szCs w:val="21"/>
                <w:u w:val="single"/>
              </w:rPr>
              <w:t xml:space="preserve">按本项目评标标准核算得分，低于投标文件检测报告原评标得分的</w:t>
            </w:r>
            <w:r>
              <w:rPr>
                <w:rFonts w:ascii="宋体" w:hAnsi="宋体" w:eastAsia="宋体" w:cs="宋体"/>
                <w:b w:val="0"/>
                <w:bCs w:val="0"/>
                <w:i/>
                <w:iCs/>
                <w:color w:val="auto"/>
                <w:sz w:val="21"/>
                <w:szCs w:val="21"/>
                <w:u w:val="single"/>
              </w:rPr>
              <w:t xml:space="preserve">），</w:t>
            </w:r>
            <w:r>
              <w:rPr>
                <w:rFonts w:hint="eastAsia" w:cs="宋体"/>
                <w:b w:val="0"/>
                <w:bCs w:val="0"/>
                <w:i/>
                <w:iCs/>
                <w:color w:val="auto"/>
                <w:sz w:val="21"/>
                <w:szCs w:val="21"/>
                <w:highlight w:val="none"/>
                <w:u w:val="single"/>
                <w:lang w:val="en-US" w:eastAsia="zh-CN"/>
              </w:rPr>
              <w:t xml:space="preserve">甲方有权拒绝签订合同。</w:t>
            </w:r>
            <w:r/>
          </w:p>
          <w:p>
            <w:pPr>
              <w:pStyle w:val="855"/>
              <w:ind w:firstLine="420"/>
              <w:rPr>
                <w:rFonts w:hint="eastAsia" w:cs="宋体"/>
                <w:color w:val="auto"/>
                <w:sz w:val="21"/>
                <w:szCs w:val="21"/>
                <w:highlight w:val="none"/>
              </w:rPr>
            </w:pPr>
            <w:r>
              <w:rPr>
                <w:rFonts w:hint="eastAsia" w:cs="宋体"/>
                <w:i/>
                <w:iCs/>
                <w:color w:val="auto"/>
                <w:sz w:val="21"/>
                <w:szCs w:val="21"/>
                <w:highlight w:val="none"/>
                <w:u w:val="single"/>
                <w:lang w:eastAsia="zh-CN"/>
              </w:rPr>
              <w:t xml:space="preserve">7</w:t>
            </w:r>
            <w:r>
              <w:rPr>
                <w:rFonts w:hint="eastAsia" w:cs="宋体"/>
                <w:i/>
                <w:iCs/>
                <w:color w:val="auto"/>
                <w:sz w:val="21"/>
                <w:szCs w:val="21"/>
                <w:highlight w:val="none"/>
                <w:u w:val="single"/>
                <w:lang w:val="en-US" w:eastAsia="zh-CN"/>
              </w:rPr>
              <w:t xml:space="preserve">.2</w:t>
            </w:r>
            <w:r>
              <w:rPr>
                <w:rFonts w:hint="eastAsia" w:cs="宋体"/>
                <w:i/>
                <w:iCs/>
                <w:color w:val="auto"/>
                <w:sz w:val="21"/>
                <w:szCs w:val="21"/>
                <w:highlight w:val="none"/>
                <w:u w:val="single"/>
              </w:rPr>
              <w:t xml:space="preserve">中标结果发布后7日内，中标供应商应提供所有投标文件所需要的检测报告原件至采购单位进行核验。若经核验发现存在虚假或伪造，采购人有权报请政府采购监管部门，依法取消其中标资格，并依规追究其相应法律责任及失信责任。</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8</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rPr>
              <w:t xml:space="preserve">进场检验要求</w:t>
            </w:r>
            <w:r/>
          </w:p>
        </w:tc>
        <w:tc>
          <w:tcPr>
            <w:tcW w:w="7808" w:type="dxa"/>
            <w:vAlign w:val="center"/>
            <w:textDirection w:val="lrTb"/>
            <w:noWrap w:val="false"/>
          </w:tcPr>
          <w:p>
            <w:pPr>
              <w:pStyle w:val="855"/>
              <w:ind w:firstLine="420"/>
              <w:rPr>
                <w:rFonts w:hint="eastAsia" w:cs="宋体"/>
                <w:i/>
                <w:iCs/>
                <w:color w:val="auto"/>
                <w:sz w:val="21"/>
                <w:szCs w:val="21"/>
                <w:highlight w:val="none"/>
                <w:u w:val="single"/>
              </w:rPr>
            </w:pPr>
            <w:r>
              <w:rPr>
                <w:rFonts w:hint="eastAsia" w:cs="宋体"/>
                <w:i/>
                <w:iCs/>
                <w:color w:val="auto"/>
                <w:sz w:val="21"/>
                <w:szCs w:val="21"/>
                <w:highlight w:val="none"/>
                <w:u w:val="single"/>
                <w:lang w:eastAsia="zh-CN"/>
              </w:rPr>
              <w:t xml:space="preserve">8</w:t>
            </w:r>
            <w:r>
              <w:rPr>
                <w:rFonts w:hint="eastAsia" w:cs="宋体"/>
                <w:i/>
                <w:iCs/>
                <w:color w:val="auto"/>
                <w:sz w:val="21"/>
                <w:szCs w:val="21"/>
                <w:highlight w:val="none"/>
                <w:u w:val="single"/>
                <w:lang w:val="en-US" w:eastAsia="zh-CN"/>
              </w:rPr>
              <w:t xml:space="preserve">.1</w:t>
            </w:r>
            <w:r>
              <w:rPr>
                <w:rFonts w:hint="eastAsia" w:cs="宋体"/>
                <w:i/>
                <w:iCs/>
                <w:color w:val="auto"/>
                <w:sz w:val="21"/>
                <w:szCs w:val="21"/>
                <w:highlight w:val="none"/>
                <w:u w:val="single"/>
              </w:rPr>
              <w:t xml:space="preserve">签订合同30天内中标单位应向采购单位提供完整详尽的项目实施技术方案和施工组织方案报采购单位审核。</w:t>
            </w:r>
            <w:r/>
          </w:p>
          <w:p>
            <w:pPr>
              <w:pStyle w:val="855"/>
              <w:ind w:firstLine="420"/>
              <w:rPr>
                <w:rFonts w:hint="eastAsia" w:cs="宋体"/>
                <w:color w:val="auto"/>
                <w:sz w:val="21"/>
                <w:szCs w:val="21"/>
                <w:highlight w:val="none"/>
              </w:rPr>
            </w:pPr>
            <w:r>
              <w:rPr>
                <w:rFonts w:hint="eastAsia" w:cs="宋体"/>
                <w:i/>
                <w:iCs/>
                <w:color w:val="auto"/>
                <w:sz w:val="21"/>
                <w:szCs w:val="21"/>
                <w:highlight w:val="none"/>
                <w:u w:val="single"/>
                <w:lang w:eastAsia="zh-CN"/>
              </w:rPr>
              <w:t xml:space="preserve">8</w:t>
            </w:r>
            <w:r>
              <w:rPr>
                <w:rFonts w:hint="eastAsia" w:cs="宋体"/>
                <w:i/>
                <w:iCs/>
                <w:color w:val="auto"/>
                <w:sz w:val="21"/>
                <w:szCs w:val="21"/>
                <w:highlight w:val="none"/>
                <w:u w:val="single"/>
                <w:lang w:val="en-US" w:eastAsia="zh-CN"/>
              </w:rPr>
              <w:t xml:space="preserve">.2</w:t>
            </w:r>
            <w:r>
              <w:rPr>
                <w:rFonts w:hint="eastAsia" w:cs="宋体"/>
                <w:i/>
                <w:iCs/>
                <w:color w:val="auto"/>
                <w:sz w:val="21"/>
                <w:szCs w:val="21"/>
                <w:highlight w:val="none"/>
                <w:u w:val="single"/>
              </w:rPr>
              <w:t xml:space="preserve">正式进场安装前，中标单位需提供各规格灯具样品各一套。采购单位审核灯具外形及颜色与现场的协调性，经采购单位确认达标后方可进行下一步实施。如发现现场样灯与投标文件规定的要求不符，采购单位有权要求更换为符合要求的灯具。</w:t>
            </w:r>
            <w:r/>
          </w:p>
        </w:tc>
      </w:tr>
      <w:tr>
        <w:trPr>
          <w:trHeight w:val="3658"/>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9</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路灯安装要求</w:t>
            </w:r>
            <w:r/>
          </w:p>
        </w:tc>
        <w:tc>
          <w:tcPr>
            <w:tcW w:w="7808" w:type="dxa"/>
            <w:vAlign w:val="center"/>
            <w:textDirection w:val="lrTb"/>
            <w:noWrap w:val="false"/>
          </w:tcPr>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 xml:space="preserve">安装过程应该遵守国家、省级、张家港市的相关法律法规及制度要求。</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.2 </w:t>
            </w:r>
            <w:r>
              <w:rPr>
                <w:rFonts w:hint="eastAsia" w:ascii="宋体" w:hAnsi="宋体" w:eastAsia="宋体" w:cs="宋体"/>
                <w:color w:val="auto"/>
                <w:sz w:val="21"/>
                <w:szCs w:val="21"/>
                <w:highlight w:val="none"/>
              </w:rPr>
              <w:t xml:space="preserve">安装运输等过程中遵守安全生产的有关管理规定，严格按照安全标准组织制作，采取必要的安全防护措施，消除隐患。由于中标单位管理或安全辅助措施不力造成周边环境破坏或事故的责任和因此发生的费用，由中标单位承担。</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 xml:space="preserve">中标单位承担改造施工的费用，包含安装和改造费用，并对安装队伍的资质以及安装的质量负责；对产品及工程第三者责任负责。</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 xml:space="preserve">中标单位编制施工方案，经采购单位及监理方(如有)认可后方可实施。在施工期间，接受采购单位及监理方(如有) 现场督导。</w:t>
            </w:r>
            <w:r/>
          </w:p>
          <w:p>
            <w:pPr>
              <w:pStyle w:val="1242"/>
              <w:ind w:firstLine="420"/>
              <w:spacing w:line="360" w:lineRule="auto"/>
              <w:rPr>
                <w:rFonts w:hint="eastAsia" w:ascii="宋体" w:hAnsi="宋体" w:eastAsia="宋体" w:cs="宋体"/>
                <w:b/>
                <w:bCs/>
                <w:color w:val="auto"/>
                <w:spacing w:val="7"/>
                <w:sz w:val="21"/>
                <w:szCs w:val="21"/>
                <w:highlight w:val="none"/>
              </w:rPr>
            </w:pP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en-US" w:eastAsia="zh-CN"/>
              </w:rPr>
              <w:t xml:space="preserve">.5 </w:t>
            </w:r>
            <w:r>
              <w:rPr>
                <w:rFonts w:hint="eastAsia" w:ascii="宋体" w:hAnsi="宋体" w:eastAsia="宋体" w:cs="宋体"/>
                <w:b/>
                <w:bCs/>
                <w:color w:val="auto"/>
                <w:spacing w:val="7"/>
                <w:sz w:val="21"/>
                <w:szCs w:val="21"/>
                <w:highlight w:val="none"/>
              </w:rPr>
              <w:t xml:space="preserve">250W LED灯具照明安装条件</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道路类型：主干</w:t>
            </w:r>
            <w:r>
              <w:rPr>
                <w:rFonts w:hint="eastAsia" w:ascii="宋体" w:hAnsi="宋体" w:eastAsia="宋体" w:cs="宋体"/>
                <w:color w:val="auto"/>
                <w:spacing w:val="7"/>
                <w:sz w:val="21"/>
                <w:szCs w:val="21"/>
                <w:highlight w:val="none"/>
              </w:rPr>
              <w:t xml:space="preserve">路</w:t>
            </w:r>
            <w:r>
              <w:rPr>
                <w:rFonts w:hint="eastAsia" w:ascii="宋体" w:hAnsi="宋体" w:eastAsia="宋体" w:cs="宋体"/>
                <w:color w:val="auto"/>
                <w:sz w:val="21"/>
                <w:szCs w:val="21"/>
                <w:highlight w:val="none"/>
              </w:rPr>
              <w:t xml:space="preserve">；</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道路总宽度：35米，机动车道（4x3.75m）+中分带（5m）+机动车道（4x3.75m）</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车道数：8；</w:t>
            </w:r>
            <w:r/>
          </w:p>
          <w:p>
            <w:pPr>
              <w:pStyle w:val="1242"/>
              <w:ind w:firstLine="4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道路表面材料</w:t>
            </w:r>
            <w:r>
              <w:rPr>
                <w:rFonts w:hint="eastAsia" w:ascii="宋体" w:hAnsi="宋体" w:eastAsia="宋体" w:cs="宋体"/>
                <w:color w:val="auto"/>
                <w:sz w:val="21"/>
                <w:szCs w:val="21"/>
                <w:highlight w:val="none"/>
              </w:rPr>
              <w:t xml:space="preserve">：沥青路；</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灯具布置方式：双侧对称</w:t>
            </w:r>
            <w:r>
              <w:rPr>
                <w:rFonts w:hint="eastAsia" w:ascii="宋体" w:hAnsi="宋体" w:eastAsia="宋体" w:cs="宋体"/>
                <w:color w:val="auto"/>
                <w:spacing w:val="7"/>
                <w:sz w:val="21"/>
                <w:szCs w:val="21"/>
                <w:highlight w:val="none"/>
              </w:rPr>
              <w:t xml:space="preserve">布置</w:t>
            </w:r>
            <w:r>
              <w:rPr>
                <w:rFonts w:hint="eastAsia" w:ascii="宋体" w:hAnsi="宋体" w:eastAsia="宋体" w:cs="宋体"/>
                <w:color w:val="auto"/>
                <w:sz w:val="21"/>
                <w:szCs w:val="21"/>
                <w:highlight w:val="none"/>
              </w:rPr>
              <w:t xml:space="preserve">；</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灯具安装高度：13 m；</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灯具安装间距：40~43 m；</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灯具挑臂长度：1.5 m；</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灯具仰角：5~15°</w:t>
            </w:r>
            <w:r/>
          </w:p>
          <w:p>
            <w:pPr>
              <w:pStyle w:val="1242"/>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维护系数：0.7</w:t>
            </w:r>
            <w:r/>
          </w:p>
          <w:p>
            <w:pPr>
              <w:pStyle w:val="1242"/>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9</w:t>
            </w:r>
            <w:r>
              <w:rPr>
                <w:rFonts w:hint="eastAsia" w:ascii="宋体" w:hAnsi="宋体" w:eastAsia="宋体" w:cs="宋体"/>
                <w:b/>
                <w:bCs/>
                <w:color w:val="auto"/>
                <w:sz w:val="21"/>
                <w:szCs w:val="21"/>
                <w:highlight w:val="none"/>
                <w:lang w:val="en-US" w:eastAsia="zh-CN"/>
              </w:rPr>
              <w:t xml:space="preserve">.6 </w:t>
            </w:r>
            <w:r>
              <w:rPr>
                <w:rFonts w:hint="eastAsia" w:ascii="宋体" w:hAnsi="宋体" w:eastAsia="宋体" w:cs="宋体"/>
                <w:b/>
                <w:bCs/>
                <w:color w:val="auto"/>
                <w:spacing w:val="7"/>
                <w:sz w:val="21"/>
                <w:szCs w:val="21"/>
                <w:highlight w:val="none"/>
              </w:rPr>
              <w:t xml:space="preserve">120W+40W</w:t>
            </w:r>
            <w:r>
              <w:rPr>
                <w:rFonts w:hint="eastAsia" w:ascii="宋体" w:hAnsi="宋体" w:eastAsia="宋体" w:cs="宋体"/>
                <w:b/>
                <w:bCs/>
                <w:color w:val="auto"/>
                <w:sz w:val="21"/>
                <w:szCs w:val="21"/>
                <w:highlight w:val="none"/>
              </w:rPr>
              <w:t xml:space="preserve"> LED灯具安装条件</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道路类型：主干路；</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道路总宽度：15米，</w:t>
            </w:r>
            <w:r>
              <w:rPr>
                <w:rFonts w:hint="eastAsia" w:ascii="宋体" w:hAnsi="宋体" w:eastAsia="宋体" w:cs="宋体"/>
                <w:color w:val="auto"/>
                <w:sz w:val="21"/>
                <w:szCs w:val="21"/>
                <w:highlight w:val="none"/>
              </w:rPr>
              <w:t xml:space="preserve">机动车道（4x3.75m）</w:t>
            </w:r>
            <w:r>
              <w:rPr>
                <w:rFonts w:hint="eastAsia" w:ascii="宋体" w:hAnsi="宋体" w:eastAsia="宋体" w:cs="宋体"/>
                <w:color w:val="auto"/>
                <w:spacing w:val="7"/>
                <w:sz w:val="21"/>
                <w:szCs w:val="21"/>
                <w:highlight w:val="none"/>
              </w:rPr>
              <w:t xml:space="preserve">；</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车道数：4；</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道路表面材料：沥青路</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灯具布置方式：双侧对称布置；</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灯具安装高度：机动车道灯具：12m，非机动车道灯具：10m；</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灯具安装间距：42~45 m；</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灯具挑臂长度：1.5 m；</w:t>
            </w:r>
            <w:r/>
          </w:p>
          <w:p>
            <w:pPr>
              <w:pStyle w:val="1242"/>
              <w:ind w:firstLine="448"/>
              <w:spacing w:line="360" w:lineRule="auto"/>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 xml:space="preserve">灯具仰角：5~15°</w:t>
            </w:r>
            <w:r/>
          </w:p>
          <w:p>
            <w:pPr>
              <w:pStyle w:val="1242"/>
              <w:ind w:firstLine="448"/>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维护系数：0.7</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10</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产品质量要求</w:t>
            </w:r>
            <w:r/>
          </w:p>
        </w:tc>
        <w:tc>
          <w:tcPr>
            <w:tcW w:w="7808" w:type="dxa"/>
            <w:vAlign w:val="center"/>
            <w:textDirection w:val="lrTb"/>
            <w:noWrap w:val="false"/>
          </w:tcPr>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0.1</w:t>
            </w:r>
            <w:r>
              <w:rPr>
                <w:rFonts w:hint="eastAsia" w:cs="宋体"/>
                <w:color w:val="auto"/>
                <w:sz w:val="21"/>
                <w:szCs w:val="21"/>
                <w:highlight w:val="none"/>
              </w:rPr>
              <w:t xml:space="preserve">中标单位交货时须提供原出厂产品合格证、产品说明书、产品质量保证书和产品检测报告。</w:t>
            </w:r>
            <w:r/>
          </w:p>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0.2</w:t>
            </w:r>
            <w:r>
              <w:rPr>
                <w:rFonts w:hint="eastAsia" w:cs="宋体"/>
                <w:color w:val="auto"/>
                <w:sz w:val="21"/>
                <w:szCs w:val="21"/>
                <w:highlight w:val="none"/>
              </w:rPr>
              <w:t xml:space="preserve">中标单位必须提供全新的原厂原装货物和完善服务，所提供的货物质量指标达到相应的生产标准及技术要求。</w:t>
            </w:r>
            <w:r/>
          </w:p>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0.3</w:t>
            </w:r>
            <w:r>
              <w:rPr>
                <w:rFonts w:hint="eastAsia" w:cs="宋体"/>
                <w:color w:val="auto"/>
                <w:sz w:val="21"/>
                <w:szCs w:val="21"/>
                <w:highlight w:val="none"/>
              </w:rPr>
              <w:t xml:space="preserve">中标单位应按合同要求以及适用法律、法规、规范对中标路段的道路照明改造进行设计和安装并承担相应费用。</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11</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W w:w="7808" w:type="dxa"/>
            <w:vAlign w:val="center"/>
            <w:textDirection w:val="lrTb"/>
            <w:noWrap w:val="false"/>
          </w:tcPr>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1.1</w:t>
            </w:r>
            <w:r>
              <w:rPr>
                <w:rFonts w:hint="eastAsia" w:cs="宋体"/>
                <w:color w:val="auto"/>
                <w:sz w:val="21"/>
                <w:szCs w:val="21"/>
                <w:highlight w:val="none"/>
              </w:rPr>
              <w:t xml:space="preserve">本项目</w:t>
            </w:r>
            <w:r>
              <w:rPr>
                <w:rFonts w:hint="eastAsia" w:cs="宋体"/>
                <w:color w:val="auto"/>
                <w:sz w:val="21"/>
                <w:szCs w:val="21"/>
                <w:highlight w:val="none"/>
                <w:lang w:val="en-US" w:eastAsia="zh-CN"/>
              </w:rPr>
              <w:t xml:space="preserve">改造路段的路灯施工</w:t>
            </w:r>
            <w:r>
              <w:rPr>
                <w:rFonts w:hint="eastAsia" w:cs="宋体"/>
                <w:color w:val="auto"/>
                <w:sz w:val="21"/>
                <w:szCs w:val="21"/>
                <w:highlight w:val="none"/>
              </w:rPr>
              <w:t xml:space="preserve">采取一次性工程整体验收方式。</w:t>
            </w:r>
            <w:r/>
          </w:p>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1.2</w:t>
            </w:r>
            <w:r>
              <w:rPr>
                <w:rFonts w:hint="eastAsia" w:cs="宋体"/>
                <w:color w:val="auto"/>
                <w:sz w:val="21"/>
                <w:szCs w:val="21"/>
                <w:highlight w:val="none"/>
              </w:rPr>
              <w:t xml:space="preserve">验收标准：最新CJJ45城市道路照明标准、招标文件和投标文件。</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11.3</w:t>
            </w:r>
            <w:r>
              <w:rPr>
                <w:rFonts w:hint="eastAsia" w:cs="宋体"/>
                <w:color w:val="auto"/>
                <w:sz w:val="21"/>
                <w:szCs w:val="21"/>
                <w:highlight w:val="none"/>
              </w:rPr>
              <w:t xml:space="preserve">验收由采购方指定第三方检测机构对灯具功率、道路照度、亮度各项指标进行测试现场抽查，根据城区路段情况各抽1%-2%的道路进行检测</w:t>
            </w:r>
            <w:r>
              <w:rPr>
                <w:rFonts w:hint="eastAsia"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bidi="ar"/>
              </w:rPr>
              <w:t xml:space="preserve">需要改造的路段的灯改造</w:t>
            </w:r>
            <w:r>
              <w:rPr>
                <w:rFonts w:hint="eastAsia" w:cs="宋体"/>
                <w:b w:val="0"/>
                <w:bCs w:val="0"/>
                <w:color w:val="auto"/>
                <w:sz w:val="21"/>
                <w:szCs w:val="21"/>
                <w:highlight w:val="none"/>
                <w:lang w:val="en-US" w:eastAsia="zh-CN"/>
              </w:rPr>
              <w:t xml:space="preserve">施工</w:t>
            </w:r>
            <w:r>
              <w:rPr>
                <w:rFonts w:hint="eastAsia" w:cs="宋体"/>
                <w:b w:val="0"/>
                <w:bCs w:val="0"/>
                <w:color w:val="auto"/>
                <w:sz w:val="21"/>
                <w:szCs w:val="21"/>
                <w:highlight w:val="none"/>
              </w:rPr>
              <w:t xml:space="preserve">竣工验收时的检测费含在本项目投标总价之内。</w:t>
            </w:r>
            <w:r>
              <w:rPr>
                <w:rFonts w:hint="eastAsia" w:cs="宋体"/>
                <w:b w:val="0"/>
                <w:bCs w:val="0"/>
                <w:color w:val="auto"/>
                <w:sz w:val="21"/>
                <w:szCs w:val="21"/>
                <w:highlight w:val="none"/>
                <w:lang w:val="en-US" w:eastAsia="zh-CN"/>
              </w:rPr>
              <w:t xml:space="preserve">其他</w:t>
            </w:r>
            <w:r>
              <w:rPr>
                <w:rFonts w:hint="eastAsia" w:cs="宋体"/>
                <w:b w:val="0"/>
                <w:bCs w:val="0"/>
                <w:color w:val="auto"/>
                <w:sz w:val="21"/>
                <w:szCs w:val="21"/>
                <w:highlight w:val="none"/>
              </w:rPr>
              <w:t xml:space="preserve">服</w:t>
            </w:r>
            <w:r>
              <w:rPr>
                <w:rFonts w:hint="eastAsia" w:cs="宋体"/>
                <w:color w:val="auto"/>
                <w:sz w:val="21"/>
                <w:szCs w:val="21"/>
                <w:highlight w:val="none"/>
              </w:rPr>
              <w:t xml:space="preserve">务期内的检测费用由采购单位负责，检测未达到要求的，复检的费用由中标单位负责。中标单位应及时进行整改。 如改造达不到招标文件要求及投标文件响应内容，投标单位应及时进行整改，所有检测费用均由中标单位负责，整改合格后，由第三方检测机构出具《道路照明检测报告》，中标单位依据合格报告提交项目竣工报告，</w:t>
            </w:r>
            <w:r>
              <w:rPr>
                <w:rFonts w:hint="eastAsia" w:cs="宋体"/>
                <w:color w:val="auto"/>
                <w:sz w:val="21"/>
                <w:szCs w:val="21"/>
                <w:highlight w:val="none"/>
                <w:lang w:val="en-US" w:eastAsia="zh-CN"/>
              </w:rPr>
              <w:t xml:space="preserve">改造路灯施工完成</w:t>
            </w:r>
            <w:r>
              <w:rPr>
                <w:rFonts w:hint="eastAsia" w:cs="宋体"/>
                <w:color w:val="auto"/>
                <w:sz w:val="21"/>
                <w:szCs w:val="21"/>
                <w:highlight w:val="none"/>
              </w:rPr>
              <w:t xml:space="preserve">采购方收到项目竣工报告后30天内组织一次性工程整体验收。</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11.4</w:t>
            </w:r>
            <w:r>
              <w:rPr>
                <w:rFonts w:hint="eastAsia" w:cs="宋体"/>
                <w:color w:val="auto"/>
                <w:sz w:val="21"/>
                <w:szCs w:val="21"/>
                <w:highlight w:val="none"/>
              </w:rPr>
              <w:t xml:space="preserve">施工安装按照《城市道路照明施工及验收规程》(CJJ89-2012)对投标单位施工部分进行验收，竣工验收时要求亮灯率达到100%。 </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11.5</w:t>
            </w:r>
            <w:r>
              <w:rPr>
                <w:rFonts w:hint="eastAsia" w:cs="宋体"/>
                <w:color w:val="auto"/>
                <w:sz w:val="21"/>
                <w:szCs w:val="21"/>
                <w:highlight w:val="none"/>
              </w:rPr>
              <w:t xml:space="preserve">道路照明各项指标按照《城市道路照明设计标准》（CJJ45-2015）要求进行测量验收。</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11.6</w:t>
            </w:r>
            <w:r>
              <w:rPr>
                <w:rFonts w:hint="eastAsia" w:cs="宋体"/>
                <w:color w:val="auto"/>
                <w:sz w:val="21"/>
                <w:szCs w:val="21"/>
                <w:highlight w:val="none"/>
              </w:rPr>
              <w:t xml:space="preserve">验收方法：第三方检测机构现场抽查并出具检测报告。</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11.7</w:t>
            </w:r>
            <w:r>
              <w:rPr>
                <w:rFonts w:hint="eastAsia" w:cs="宋体"/>
                <w:color w:val="auto"/>
                <w:sz w:val="21"/>
                <w:szCs w:val="21"/>
                <w:highlight w:val="none"/>
              </w:rPr>
              <w:t xml:space="preserve">软件平台的验收以使用部门出具的验收合格报告为准。</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12</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合同期的维护及服务要求</w:t>
            </w:r>
            <w:r/>
          </w:p>
        </w:tc>
        <w:tc>
          <w:tcPr>
            <w:tcW w:w="7808" w:type="dxa"/>
            <w:vAlign w:val="center"/>
            <w:textDirection w:val="lrTb"/>
            <w:noWrap w:val="false"/>
          </w:tcPr>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2.1</w:t>
            </w:r>
            <w:r>
              <w:rPr>
                <w:rFonts w:hint="eastAsia" w:cs="宋体"/>
                <w:color w:val="auto"/>
                <w:sz w:val="21"/>
                <w:szCs w:val="21"/>
                <w:highlight w:val="none"/>
              </w:rPr>
              <w:t xml:space="preserve">维护要求</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（1）实行24小时人员值班制，每班需配备人员6人（负责人1人、维护工2人）并配备GPRS集控巡查人员1人，高压操作电工待命1人，高空作业车驾驶员待命1人。</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（2）应配备用于路灯维修养护工程的施工机械设备，如高空抢修作业车、防撞缓冲车、维修巡检车辆及相应的电工工具等，安装GPS车辆定位系统交张家港保税区规划建设局管理。</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（3）</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道路照明设施维护项目部工作人员实行岗位责任制，工作人员持证上岗且保持稳定，熟悉所管辖区域内道路照明设施供电、控制、线路等相关情况，作业时统一着装并配备必要的安全防护用品，能按操作规程进行维护作业。</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①实行岗位责任制；</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②工作人员持证上岗；</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③统一着装并配备必要的安全防护用品；</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④按操作规程进行维护作业。</w:t>
            </w:r>
            <w:r/>
          </w:p>
          <w:p>
            <w:pPr>
              <w:pStyle w:val="85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维护巡检要求</w:t>
            </w:r>
            <w:r>
              <w:rPr>
                <w:rFonts w:hint="eastAsia" w:ascii="宋体" w:hAnsi="宋体" w:cs="宋体"/>
                <w:color w:val="auto"/>
                <w:sz w:val="21"/>
                <w:szCs w:val="21"/>
                <w:highlight w:val="none"/>
                <w:lang w:val="en-US" w:eastAsia="zh-CN"/>
              </w:rPr>
              <w:t xml:space="preserve">:</w:t>
            </w:r>
            <w:r/>
          </w:p>
          <w:p>
            <w:pPr>
              <w:pStyle w:val="855"/>
              <w:ind w:firstLine="420"/>
              <w:spacing w:line="360" w:lineRule="auto"/>
              <w:rPr>
                <w:rFonts w:hint="eastAsia" w:ascii="宋体" w:hAnsi="宋体" w:cs="宋体"/>
                <w:color w:val="auto"/>
                <w:sz w:val="21"/>
                <w:szCs w:val="21"/>
                <w:highlight w:val="none"/>
              </w:rPr>
              <w:outlineLvl w:val="1"/>
            </w:pPr>
            <w:r/>
            <w:bookmarkStart w:id="200" w:name="_Toc19872"/>
            <w:r>
              <w:rPr>
                <w:rFonts w:hint="eastAsia" w:ascii="宋体" w:hAnsi="宋体" w:cs="宋体"/>
                <w:color w:val="auto"/>
                <w:sz w:val="21"/>
                <w:szCs w:val="21"/>
                <w:highlight w:val="none"/>
              </w:rPr>
              <w:t xml:space="preserve">主次干路的功能照明灯具应每周至少巡检一次，支路的功能照明灯具应每月至少巡检一次；变压器、配电箱（柜）每月巡检一次</w:t>
            </w:r>
            <w:r>
              <w:rPr>
                <w:rFonts w:hint="eastAsia"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；架</w:t>
            </w:r>
            <w:r>
              <w:rPr>
                <w:rFonts w:hint="eastAsia" w:ascii="宋体" w:hAnsi="宋体" w:cs="宋体"/>
                <w:color w:val="auto"/>
                <w:sz w:val="21"/>
                <w:szCs w:val="21"/>
                <w:highlight w:val="none"/>
              </w:rPr>
              <w:t xml:space="preserve">空线路每半年巡检一次；地埋电缆线路每年巡检一次；接地（或接零）装置每年在干燥季节巡检一次；独立的防雷装置应在每年的雷雨季节前巡检一次；漏电保护装置应每季巡检一次；集中控制装置、照明节电装置或其他智慧照明装置每半年巡检一次；中、高杆照明设施的卷扬机、钢丝绳、减速箱、导向滑轮等转动系统和控制系统应每年检修一次并添加润滑油。设施被盗频发地段应安排防盗人员每天巡查；连续高温、台风、雷雨或冰雪等特殊自然灾害性气候，应按城市照明监管机构要求进行防火、防汛、防台、防雷、抗雪等专项检查并增加巡检次数，必要时作临时断电处理。</w:t>
            </w:r>
            <w:bookmarkEnd w:id="200"/>
            <w:r/>
            <w:r/>
          </w:p>
          <w:p>
            <w:pPr>
              <w:rPr>
                <w:rFonts w:hint="default" w:eastAsia="宋体"/>
                <w:color w:val="auto"/>
                <w:lang w:val="en-US" w:eastAsia="zh-CN"/>
              </w:rPr>
            </w:pPr>
            <w:r>
              <w:rPr>
                <w:rFonts w:hint="default" w:eastAsia="宋体"/>
                <w:color w:val="auto"/>
                <w:lang w:val="en-US" w:eastAsia="zh-CN"/>
              </w:rPr>
              <w:t xml:space="preserve">本项目对存量原有变压器及新建箱式变压器仅要求中标人开展日常巡查 ，巡查发现异常及时报告采购人；变压器维修、更换等费用不计入中标价，由采购人另行支付。</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（5）</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必须准备充足的维修材料（如各设备备品备件、电缆及网线等。（维修材料与各维护区域内设施相对应，与投标文件相符）</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（6）</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值班电话对外公布并24小时开通，接待投诉时必须热情、诚恳、语气谦和，并做好详细记录。</w:t>
            </w:r>
            <w:r/>
          </w:p>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1</w:t>
            </w:r>
            <w:r>
              <w:rPr>
                <w:rFonts w:hint="eastAsia" w:cs="宋体"/>
                <w:color w:val="auto"/>
                <w:sz w:val="21"/>
                <w:szCs w:val="21"/>
                <w:highlight w:val="none"/>
                <w:lang w:val="en-US" w:eastAsia="zh-CN"/>
              </w:rPr>
              <w:t xml:space="preserve">2.2</w:t>
            </w:r>
            <w:r>
              <w:rPr>
                <w:rFonts w:hint="eastAsia" w:cs="宋体"/>
                <w:color w:val="auto"/>
                <w:sz w:val="21"/>
                <w:szCs w:val="21"/>
                <w:highlight w:val="none"/>
              </w:rPr>
              <w:t xml:space="preserve">服务要求</w:t>
            </w:r>
            <w:r/>
          </w:p>
          <w:p>
            <w:pPr>
              <w:pStyle w:val="855"/>
              <w:ind w:firstLine="420"/>
              <w:rPr>
                <w:rFonts w:hint="eastAsia" w:cs="宋体"/>
                <w:i w:val="0"/>
                <w:iCs w:val="0"/>
                <w:color w:val="auto"/>
                <w:sz w:val="21"/>
                <w:szCs w:val="21"/>
                <w:highlight w:val="none"/>
                <w:u w:val="none"/>
              </w:rPr>
            </w:pPr>
            <w:r>
              <w:rPr>
                <w:rFonts w:hint="eastAsia" w:cs="宋体"/>
                <w:i w:val="0"/>
                <w:iCs w:val="0"/>
                <w:color w:val="auto"/>
                <w:sz w:val="21"/>
                <w:szCs w:val="21"/>
                <w:highlight w:val="none"/>
                <w:u w:val="none"/>
              </w:rPr>
              <w:t xml:space="preserve">(1)中标单位需无偿提供每种规格灯具备品，见备品备件表。放入中标单位在张家港地区的仓库，备品备件用掉，中标单位需在3天内无条件补足。</w:t>
            </w:r>
            <w:r/>
          </w:p>
          <w:p>
            <w:pPr>
              <w:pStyle w:val="855"/>
              <w:ind w:firstLine="420"/>
              <w:rPr>
                <w:rFonts w:hint="eastAsia" w:cs="宋体"/>
                <w:i w:val="0"/>
                <w:iCs w:val="0"/>
                <w:color w:val="auto"/>
                <w:sz w:val="21"/>
                <w:szCs w:val="21"/>
                <w:highlight w:val="none"/>
                <w:u w:val="none"/>
              </w:rPr>
            </w:pPr>
            <w:r>
              <w:rPr>
                <w:rFonts w:hint="eastAsia" w:cs="宋体"/>
                <w:i w:val="0"/>
                <w:iCs w:val="0"/>
                <w:color w:val="auto"/>
                <w:sz w:val="21"/>
                <w:szCs w:val="21"/>
                <w:highlight w:val="none"/>
                <w:u w:val="none"/>
              </w:rPr>
              <w:t xml:space="preserve">(2)因产品自身瑕疵、寿命造成的灯具损坏、损毁，由中标单位承担费用；因不可抗力原因造成的项目灯具损坏、损毁，</w:t>
            </w:r>
            <w:r>
              <w:rPr>
                <w:rFonts w:hint="eastAsia" w:cs="宋体"/>
                <w:i w:val="0"/>
                <w:iCs w:val="0"/>
                <w:color w:val="auto"/>
                <w:sz w:val="21"/>
                <w:szCs w:val="21"/>
                <w:highlight w:val="none"/>
                <w:u w:val="none"/>
                <w:lang w:val="en-US" w:eastAsia="zh-CN"/>
              </w:rPr>
              <w:t xml:space="preserve">按国家法律规定执行</w:t>
            </w:r>
            <w:r>
              <w:rPr>
                <w:rFonts w:hint="eastAsia" w:cs="宋体"/>
                <w:i w:val="0"/>
                <w:iCs w:val="0"/>
                <w:color w:val="auto"/>
                <w:sz w:val="21"/>
                <w:szCs w:val="21"/>
                <w:highlight w:val="none"/>
                <w:u w:val="none"/>
              </w:rPr>
              <w:t xml:space="preserve">；因交通事故或者其他人为因素造成的项目灯具损坏、损毁，由中标单位配合采购单位报警并依相关法律确认费用承担主体追索，非产品自身瑕疵、寿命造成的灯具损坏、损毁等情况的突发事件出现，由中标单位负责</w:t>
            </w:r>
            <w:r>
              <w:rPr>
                <w:rFonts w:hint="eastAsia" w:cs="宋体"/>
                <w:i w:val="0"/>
                <w:iCs w:val="0"/>
                <w:color w:val="auto"/>
                <w:sz w:val="21"/>
                <w:szCs w:val="21"/>
                <w:highlight w:val="none"/>
                <w:u w:val="none"/>
                <w:lang w:val="en-US" w:eastAsia="zh-CN"/>
              </w:rPr>
              <w:t xml:space="preserve"> </w:t>
            </w:r>
            <w:r>
              <w:rPr>
                <w:rFonts w:hint="eastAsia" w:cs="宋体"/>
                <w:i w:val="0"/>
                <w:iCs w:val="0"/>
                <w:color w:val="auto"/>
                <w:sz w:val="21"/>
                <w:szCs w:val="21"/>
                <w:highlight w:val="none"/>
                <w:u w:val="none"/>
              </w:rPr>
              <w:t xml:space="preserve">。</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cs="宋体"/>
                <w:color w:val="auto"/>
                <w:sz w:val="21"/>
                <w:szCs w:val="21"/>
                <w:highlight w:val="none"/>
                <w:lang w:val="en-US" w:eastAsia="zh-CN"/>
              </w:rPr>
              <w:t xml:space="preserve">3</w:t>
            </w:r>
            <w:r>
              <w:rPr>
                <w:rFonts w:hint="eastAsia" w:cs="宋体"/>
                <w:color w:val="auto"/>
                <w:sz w:val="21"/>
                <w:szCs w:val="21"/>
                <w:highlight w:val="none"/>
              </w:rPr>
              <w:t xml:space="preserve">)合同期内LED照明产品光衰必须满足招标文件技术要求</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按</w:t>
            </w:r>
            <w:r>
              <w:rPr>
                <w:rFonts w:hint="eastAsia" w:cs="宋体"/>
                <w:color w:val="auto"/>
                <w:sz w:val="21"/>
                <w:szCs w:val="21"/>
                <w:highlight w:val="none"/>
              </w:rPr>
              <w:t xml:space="preserve">国家规范</w:t>
            </w:r>
            <w:r>
              <w:rPr>
                <w:rFonts w:hint="eastAsia" w:cs="宋体"/>
                <w:color w:val="auto"/>
                <w:sz w:val="21"/>
                <w:szCs w:val="21"/>
                <w:highlight w:val="none"/>
                <w:lang w:val="en-US" w:eastAsia="zh-CN"/>
              </w:rPr>
              <w:t xml:space="preserve">标准执行</w:t>
            </w:r>
            <w:r>
              <w:rPr>
                <w:rFonts w:hint="eastAsia" w:cs="宋体"/>
                <w:color w:val="auto"/>
                <w:sz w:val="21"/>
                <w:szCs w:val="21"/>
                <w:highlight w:val="none"/>
              </w:rPr>
              <w:t xml:space="preserve">，城市道路照明质量必须满足招标文件、投标文件承诺使用产品不得低于招标文件、投标文件提供的产品技术要求，采购单位不定期委托第三方进行检测，测量灯具的各项指标情况，无法达到招标要求时，中标单位应在30个工作日内及时予以更换，如逾期未能更换完成，同时采购方下发书面整改通知书，停止能源托管费用的支付，如在整改通知书约定的时间范围内未能按照要求进行更换为检测合格的灯具视情节甲方有权终止合同。</w:t>
            </w:r>
            <w:r/>
          </w:p>
          <w:p>
            <w:pPr>
              <w:pStyle w:val="855"/>
              <w:ind w:firstLine="42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张家港保税区管委会委托职能部门或管理单位不定期巡查路灯运维情况，发现问题，</w:t>
            </w:r>
            <w:r>
              <w:rPr>
                <w:rStyle w:val="992"/>
                <w:rFonts w:hint="eastAsia" w:ascii="宋体" w:hAnsi="宋体" w:eastAsia="宋体" w:cs="宋体"/>
                <w:color w:val="auto"/>
                <w:sz w:val="21"/>
                <w:szCs w:val="21"/>
                <w:highlight w:val="none"/>
                <w:lang w:val="en-US"/>
              </w:rPr>
              <w:t xml:space="preserve">及时要求中标单位整改。中标单位未按整改通知单要求的时间完成整改的按《张家港保税区道路照明设施考核细则》进行处罚，直至解除合同。如果对整改内容有异议的，委托第三方检测机构进行检测，</w:t>
            </w:r>
            <w:r>
              <w:rPr>
                <w:rFonts w:hint="eastAsia" w:ascii="宋体" w:hAnsi="宋体" w:cs="宋体"/>
                <w:color w:val="auto"/>
                <w:sz w:val="21"/>
                <w:szCs w:val="21"/>
                <w:highlight w:val="none"/>
              </w:rPr>
              <w:t xml:space="preserve">测量灯具的各项指标情况，无法达到招标要求时</w:t>
            </w:r>
            <w:r>
              <w:rPr>
                <w:rFonts w:hint="eastAsia" w:ascii="宋体" w:hAnsi="宋体" w:cs="宋体"/>
                <w:color w:val="auto"/>
                <w:sz w:val="21"/>
                <w:szCs w:val="21"/>
                <w:highlight w:val="none"/>
                <w:lang w:val="en-US" w:eastAsia="zh-CN"/>
              </w:rPr>
              <w:t xml:space="preserve">按前款执行。检测费用由中标单位承担，</w:t>
            </w:r>
            <w:r>
              <w:rPr>
                <w:rFonts w:hint="eastAsia" w:ascii="宋体" w:hAnsi="宋体" w:cs="宋体"/>
                <w:color w:val="auto"/>
                <w:sz w:val="21"/>
                <w:szCs w:val="21"/>
                <w:highlight w:val="none"/>
              </w:rPr>
              <w:t xml:space="preserve">达到招标要求</w:t>
            </w:r>
            <w:r>
              <w:rPr>
                <w:rFonts w:hint="eastAsia" w:ascii="宋体" w:hAnsi="宋体" w:cs="宋体"/>
                <w:color w:val="auto"/>
                <w:sz w:val="21"/>
                <w:szCs w:val="21"/>
                <w:highlight w:val="none"/>
                <w:lang w:val="en-US" w:eastAsia="zh-CN"/>
              </w:rPr>
              <w:t xml:space="preserve">的标准的，检测费用由采购单位承担。</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如果未交电费造成路灯不亮，在此期间引起的交通事故索赔都由中标单位承担。</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w:t>
            </w:r>
            <w:r>
              <w:rPr>
                <w:rFonts w:hint="eastAsia" w:cs="宋体"/>
                <w:color w:val="auto"/>
                <w:sz w:val="21"/>
                <w:szCs w:val="21"/>
                <w:highlight w:val="none"/>
                <w:lang w:val="en-US" w:eastAsia="zh-CN"/>
              </w:rPr>
              <w:t xml:space="preserve">4</w:t>
            </w:r>
            <w:r>
              <w:rPr>
                <w:rFonts w:hint="eastAsia" w:cs="宋体"/>
                <w:color w:val="auto"/>
                <w:sz w:val="21"/>
                <w:szCs w:val="21"/>
                <w:highlight w:val="none"/>
              </w:rPr>
              <w:t xml:space="preserve">)项目合同结束后，节能设备所有权无偿移交给采购方，资产、财务同时移交。合同期满，路灯移交要求：</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①亮灯率100%，设备完好率99%。</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②移交时现场路面光照度、均匀度、眩光限制阈值增量等相关参数满足《城市道路照明设计标准》CJJ45-2015 规定的对应道路类型的要求、光衰维持率符合采购要求，相关数据由采购单位指定的第三方检测机构检测认定满足要求后出具检测报告（根据城区路段情况各抽1%-2%的道路进行检测）。</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③多余备品备件归投标单位所有。</w:t>
            </w:r>
            <w:r/>
          </w:p>
          <w:p>
            <w:pPr>
              <w:pStyle w:val="855"/>
              <w:ind w:firstLine="420"/>
              <w:rPr>
                <w:rFonts w:hint="eastAsia" w:cs="宋体"/>
                <w:color w:val="auto"/>
                <w:sz w:val="21"/>
                <w:szCs w:val="21"/>
                <w:highlight w:val="none"/>
              </w:rPr>
            </w:pPr>
            <w:r>
              <w:rPr>
                <w:rFonts w:hint="eastAsia" w:cs="宋体"/>
                <w:color w:val="auto"/>
                <w:sz w:val="21"/>
                <w:szCs w:val="21"/>
                <w:highlight w:val="none"/>
              </w:rPr>
              <w:t xml:space="preserve">④甲乙双方就移交清单确认签字。</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13</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合同履行期内，中标单位有下列行为的，甲方有权单方终止合同并没收全部履约保证金</w:t>
            </w:r>
            <w:r/>
          </w:p>
        </w:tc>
        <w:tc>
          <w:tcPr>
            <w:tcW w:w="7808" w:type="dxa"/>
            <w:vAlign w:val="center"/>
            <w:textDirection w:val="lrTb"/>
            <w:noWrap w:val="false"/>
          </w:tcPr>
          <w:p>
            <w:pPr>
              <w:pStyle w:val="855"/>
              <w:ind w:firstLine="480"/>
              <w:jc w:val="left"/>
              <w:spacing w:line="360" w:lineRule="auto"/>
              <w:rPr>
                <w:rFonts w:hint="default" w:ascii="宋体" w:hAnsi="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13.1</w:t>
            </w:r>
            <w:r>
              <w:rPr>
                <w:rFonts w:hint="eastAsia" w:ascii="宋体" w:hAnsi="宋体" w:cs="宋体"/>
                <w:color w:val="auto"/>
                <w:sz w:val="21"/>
                <w:szCs w:val="21"/>
                <w:highlight w:val="none"/>
                <w:lang w:val="en-US" w:eastAsia="zh-CN"/>
              </w:rPr>
              <w:t xml:space="preserve">建设期内:</w:t>
            </w:r>
            <w:r>
              <w:rPr>
                <w:rFonts w:hint="eastAsia" w:cs="宋体"/>
                <w:color w:val="auto"/>
                <w:sz w:val="21"/>
                <w:szCs w:val="21"/>
                <w:highlight w:val="none"/>
                <w:lang w:val="en-US" w:eastAsia="zh-CN"/>
              </w:rPr>
              <w:t xml:space="preserve"> </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违反合同约定进行转包或违法分包的；</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违反合同约定采购和使用不合格的材料和工程设备的；</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原因导致工程质量不符合合同要求的； </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未能按施工进度计划及时完成合同约定的工作，造成工期延误的；</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5</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明确表示或者以其行为表明不履行合同主要义务的；</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发生</w:t>
            </w:r>
            <w:r>
              <w:rPr>
                <w:rFonts w:hint="eastAsia" w:ascii="宋体" w:hAnsi="宋体" w:cs="宋体"/>
                <w:color w:val="auto"/>
                <w:sz w:val="21"/>
                <w:szCs w:val="21"/>
                <w:highlight w:val="none"/>
                <w:lang w:val="en-US" w:eastAsia="zh-CN"/>
              </w:rPr>
              <w:t xml:space="preserve">上述</w:t>
            </w:r>
            <w:r>
              <w:rPr>
                <w:rFonts w:hint="eastAsia" w:ascii="宋体" w:hAnsi="宋体" w:cs="宋体"/>
                <w:color w:val="auto"/>
                <w:sz w:val="21"/>
                <w:szCs w:val="21"/>
                <w:highlight w:val="none"/>
              </w:rPr>
              <w:t xml:space="preserve">违约情况时，</w:t>
            </w:r>
            <w:r>
              <w:rPr>
                <w:rFonts w:hint="eastAsia" w:ascii="宋体" w:hAnsi="宋体" w:cs="宋体"/>
                <w:color w:val="auto"/>
                <w:sz w:val="21"/>
                <w:szCs w:val="21"/>
                <w:highlight w:val="none"/>
                <w:lang w:val="en-US" w:eastAsia="zh-CN"/>
              </w:rPr>
              <w:t xml:space="preserve">甲方或其委托的第三方管理人员</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发出整改通知，要求其在指定的期限内改正。</w:t>
            </w:r>
            <w:r/>
          </w:p>
          <w:p>
            <w:pPr>
              <w:pStyle w:val="855"/>
              <w:ind w:firstLine="420"/>
              <w:jc w:val="left"/>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在</w:t>
            </w:r>
            <w:r>
              <w:rPr>
                <w:rFonts w:hint="eastAsia" w:ascii="宋体" w:hAnsi="宋体" w:cs="宋体"/>
                <w:color w:val="auto"/>
                <w:sz w:val="21"/>
                <w:szCs w:val="21"/>
                <w:highlight w:val="none"/>
                <w:lang w:val="en-US" w:eastAsia="zh-CN"/>
              </w:rPr>
              <w:t xml:space="preserve">整改通知书</w:t>
            </w:r>
            <w:r>
              <w:rPr>
                <w:rFonts w:hint="eastAsia" w:ascii="宋体" w:hAnsi="宋体" w:cs="宋体"/>
                <w:color w:val="auto"/>
                <w:sz w:val="21"/>
                <w:szCs w:val="21"/>
                <w:highlight w:val="none"/>
              </w:rPr>
              <w:t xml:space="preserve">指定的合理期限内仍不纠正违约行为并致使合同目的不能实现的，</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有权解除合同。合同解除后，因继续完成工程的需要，</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有权使用</w:t>
            </w:r>
            <w:r>
              <w:rPr>
                <w:rFonts w:hint="eastAsia" w:ascii="宋体" w:hAnsi="宋体" w:cs="宋体"/>
                <w:color w:val="auto"/>
                <w:sz w:val="21"/>
                <w:szCs w:val="21"/>
                <w:highlight w:val="none"/>
                <w:lang w:eastAsia="zh-CN"/>
              </w:rPr>
              <w:t xml:space="preserve">乙方</w:t>
            </w:r>
            <w:r>
              <w:rPr>
                <w:rFonts w:hint="eastAsia" w:ascii="宋体" w:hAnsi="宋体" w:cs="宋体"/>
                <w:color w:val="auto"/>
                <w:sz w:val="21"/>
                <w:szCs w:val="21"/>
                <w:highlight w:val="none"/>
              </w:rPr>
              <w:t xml:space="preserve">在施工现场的材料、设备、临时工程、</w:t>
            </w:r>
            <w:r>
              <w:rPr>
                <w:rFonts w:hint="eastAsia" w:ascii="宋体" w:hAnsi="宋体" w:cs="宋体"/>
                <w:color w:val="auto"/>
                <w:sz w:val="21"/>
                <w:szCs w:val="21"/>
                <w:highlight w:val="none"/>
                <w:lang w:val="en-US" w:eastAsia="zh-CN"/>
              </w:rPr>
              <w:t xml:space="preserve">中标方的</w:t>
            </w:r>
            <w:r>
              <w:rPr>
                <w:rFonts w:hint="eastAsia" w:ascii="宋体" w:hAnsi="宋体" w:cs="宋体"/>
                <w:color w:val="auto"/>
                <w:sz w:val="21"/>
                <w:szCs w:val="21"/>
                <w:highlight w:val="none"/>
              </w:rPr>
              <w:t xml:space="preserve">文件和由</w:t>
            </w:r>
            <w:r>
              <w:rPr>
                <w:rFonts w:hint="eastAsia" w:ascii="宋体" w:hAnsi="宋体" w:cs="宋体"/>
                <w:color w:val="auto"/>
                <w:sz w:val="21"/>
                <w:szCs w:val="21"/>
                <w:highlight w:val="none"/>
                <w:lang w:val="en-US" w:eastAsia="zh-CN"/>
              </w:rPr>
              <w:t xml:space="preserve">中标方</w:t>
            </w:r>
            <w:r>
              <w:rPr>
                <w:rFonts w:hint="eastAsia" w:ascii="宋体" w:hAnsi="宋体" w:cs="宋体"/>
                <w:color w:val="auto"/>
                <w:sz w:val="21"/>
                <w:szCs w:val="21"/>
                <w:highlight w:val="none"/>
              </w:rPr>
              <w:t xml:space="preserve">或以其名义编制的其他文件</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继续使用的行为不免除或减轻</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应承担的违约责任。</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合同解除后，</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应按照</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的指示完成现场的清理和撤离；</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应支付因解除合同给</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造成的损失</w:t>
            </w:r>
            <w:r>
              <w:rPr>
                <w:rFonts w:hint="eastAsia" w:ascii="宋体" w:hAnsi="宋体" w:cs="宋体"/>
                <w:color w:val="auto"/>
                <w:sz w:val="21"/>
                <w:szCs w:val="21"/>
                <w:highlight w:val="none"/>
                <w:lang w:val="en-US" w:eastAsia="zh-CN"/>
              </w:rPr>
              <w:t xml:space="preserve">及</w:t>
            </w:r>
            <w:r>
              <w:rPr>
                <w:rFonts w:hint="eastAsia" w:ascii="宋体" w:hAnsi="宋体" w:cs="宋体"/>
                <w:color w:val="auto"/>
                <w:sz w:val="21"/>
                <w:szCs w:val="21"/>
                <w:highlight w:val="none"/>
              </w:rPr>
              <w:t xml:space="preserve">违约金；</w:t>
            </w:r>
            <w:r/>
          </w:p>
          <w:p>
            <w:pPr>
              <w:pStyle w:val="855"/>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双方</w:t>
            </w:r>
            <w:r>
              <w:rPr>
                <w:rFonts w:hint="eastAsia" w:ascii="宋体" w:hAnsi="宋体" w:cs="宋体"/>
                <w:color w:val="auto"/>
                <w:sz w:val="21"/>
                <w:szCs w:val="21"/>
                <w:highlight w:val="none"/>
              </w:rPr>
              <w:t xml:space="preserve">在合同解除后进行清算，</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实际完成</w:t>
            </w:r>
            <w:r>
              <w:rPr>
                <w:rFonts w:hint="eastAsia" w:ascii="宋体" w:hAnsi="宋体" w:cs="宋体"/>
                <w:color w:val="auto"/>
                <w:sz w:val="21"/>
                <w:szCs w:val="21"/>
                <w:highlight w:val="none"/>
                <w:lang w:val="en-US" w:eastAsia="zh-CN"/>
              </w:rPr>
              <w:t xml:space="preserve">的合格</w:t>
            </w:r>
            <w:r>
              <w:rPr>
                <w:rFonts w:hint="eastAsia" w:ascii="宋体" w:hAnsi="宋体" w:cs="宋体"/>
                <w:color w:val="auto"/>
                <w:sz w:val="21"/>
                <w:szCs w:val="21"/>
                <w:highlight w:val="none"/>
              </w:rPr>
              <w:t xml:space="preserve">工作对应的合同价款，以及</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已提供的</w:t>
            </w:r>
            <w:r>
              <w:rPr>
                <w:rFonts w:hint="eastAsia" w:ascii="宋体" w:hAnsi="宋体" w:cs="宋体"/>
                <w:color w:val="auto"/>
                <w:sz w:val="21"/>
                <w:szCs w:val="21"/>
                <w:highlight w:val="none"/>
                <w:lang w:val="en-US" w:eastAsia="zh-CN"/>
              </w:rPr>
              <w:t xml:space="preserve">合格</w:t>
            </w:r>
            <w:r>
              <w:rPr>
                <w:rFonts w:hint="eastAsia" w:ascii="宋体" w:hAnsi="宋体" w:cs="宋体"/>
                <w:color w:val="auto"/>
                <w:sz w:val="21"/>
                <w:szCs w:val="21"/>
                <w:highlight w:val="none"/>
              </w:rPr>
              <w:t xml:space="preserve">材料、工程设备、施工设备和临时工程等的价值</w:t>
            </w:r>
            <w:r>
              <w:rPr>
                <w:rFonts w:hint="eastAsia" w:ascii="宋体" w:hAnsi="宋体" w:cs="宋体"/>
                <w:color w:val="auto"/>
                <w:sz w:val="21"/>
                <w:szCs w:val="21"/>
                <w:highlight w:val="none"/>
                <w:lang w:val="en-US" w:eastAsia="zh-CN"/>
              </w:rPr>
              <w:t xml:space="preserve">由采购单位委托造价咨询单位进行估价，估价后按估价价值的70%进行清算。</w:t>
            </w:r>
            <w:r>
              <w:rPr>
                <w:rFonts w:hint="eastAsia" w:ascii="宋体" w:hAnsi="宋体" w:cs="宋体"/>
                <w:color w:val="auto"/>
                <w:sz w:val="21"/>
                <w:szCs w:val="21"/>
                <w:highlight w:val="none"/>
              </w:rPr>
              <w:t xml:space="preserve">出具最终结清付款证书，结清全部款项。</w:t>
            </w:r>
            <w:r/>
          </w:p>
          <w:p>
            <w:pPr>
              <w:pStyle w:val="855"/>
              <w:ind w:firstLine="420"/>
              <w:jc w:val="left"/>
              <w:keepLines w:val="0"/>
              <w:keepNext w:val="0"/>
              <w:spacing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因</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违约解除合同的，</w:t>
            </w:r>
            <w:r>
              <w:rPr>
                <w:rFonts w:hint="eastAsia" w:ascii="宋体" w:hAnsi="宋体" w:cs="宋体"/>
                <w:color w:val="auto"/>
                <w:sz w:val="21"/>
                <w:szCs w:val="21"/>
                <w:highlight w:val="none"/>
                <w:lang w:val="en-US" w:eastAsia="zh-CN"/>
              </w:rPr>
              <w:t xml:space="preserve">采购单位</w:t>
            </w:r>
            <w:r>
              <w:rPr>
                <w:rFonts w:hint="eastAsia" w:ascii="宋体" w:hAnsi="宋体" w:cs="宋体"/>
                <w:color w:val="auto"/>
                <w:sz w:val="21"/>
                <w:szCs w:val="21"/>
                <w:highlight w:val="none"/>
              </w:rPr>
              <w:t xml:space="preserve">有权暂停对</w:t>
            </w:r>
            <w:r>
              <w:rPr>
                <w:rFonts w:hint="eastAsia" w:ascii="宋体" w:hAnsi="宋体" w:cs="宋体"/>
                <w:color w:val="auto"/>
                <w:sz w:val="21"/>
                <w:szCs w:val="21"/>
                <w:highlight w:val="none"/>
                <w:lang w:val="en-US" w:eastAsia="zh-CN"/>
              </w:rPr>
              <w:t xml:space="preserve">中标单位</w:t>
            </w:r>
            <w:r>
              <w:rPr>
                <w:rFonts w:hint="eastAsia" w:ascii="宋体" w:hAnsi="宋体" w:cs="宋体"/>
                <w:color w:val="auto"/>
                <w:sz w:val="21"/>
                <w:szCs w:val="21"/>
                <w:highlight w:val="none"/>
              </w:rPr>
              <w:t xml:space="preserve">的付款，查清各项付款和已扣款项。</w:t>
            </w:r>
            <w:r>
              <w:rPr>
                <w:rFonts w:hint="eastAsia" w:ascii="宋体" w:hAnsi="宋体" w:cs="宋体"/>
                <w:color w:val="auto"/>
                <w:sz w:val="21"/>
                <w:szCs w:val="21"/>
                <w:highlight w:val="none"/>
                <w:lang w:val="en-US" w:eastAsia="zh-CN"/>
              </w:rPr>
              <w:t xml:space="preserve">双方</w:t>
            </w:r>
            <w:r>
              <w:rPr>
                <w:rFonts w:hint="eastAsia" w:ascii="宋体" w:hAnsi="宋体" w:cs="宋体"/>
                <w:color w:val="auto"/>
                <w:sz w:val="21"/>
                <w:szCs w:val="21"/>
                <w:highlight w:val="none"/>
              </w:rPr>
              <w:t xml:space="preserve">未能就合同解除后的清算和款项支付达成一致的</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可以</w:t>
            </w:r>
            <w:r>
              <w:rPr>
                <w:rFonts w:hint="eastAsia" w:ascii="宋体" w:hAnsi="宋体" w:cs="宋体"/>
                <w:color w:val="auto"/>
                <w:sz w:val="21"/>
                <w:szCs w:val="21"/>
                <w:highlight w:val="none"/>
              </w:rPr>
              <w:t xml:space="preserve">向</w:t>
            </w:r>
            <w:r>
              <w:rPr>
                <w:rFonts w:hint="eastAsia" w:ascii="宋体" w:hAnsi="宋体" w:cs="宋体"/>
                <w:color w:val="auto"/>
                <w:sz w:val="21"/>
                <w:szCs w:val="21"/>
                <w:highlight w:val="none"/>
                <w:lang w:val="en-US" w:eastAsia="zh-CN"/>
              </w:rPr>
              <w:t xml:space="preserve">张家港市</w:t>
            </w:r>
            <w:r>
              <w:rPr>
                <w:rFonts w:hint="eastAsia" w:ascii="宋体" w:hAnsi="宋体" w:cs="宋体"/>
                <w:color w:val="auto"/>
                <w:sz w:val="21"/>
                <w:szCs w:val="21"/>
                <w:highlight w:val="none"/>
              </w:rPr>
              <w:t xml:space="preserve">人民法院起诉</w:t>
            </w:r>
            <w:r>
              <w:rPr>
                <w:rFonts w:hint="eastAsia" w:ascii="宋体" w:hAnsi="宋体" w:cs="宋体"/>
                <w:color w:val="auto"/>
                <w:sz w:val="21"/>
                <w:szCs w:val="21"/>
                <w:highlight w:val="none"/>
                <w:lang w:val="en-US" w:eastAsia="zh-CN"/>
              </w:rPr>
              <w:t xml:space="preserve">解决</w:t>
            </w:r>
            <w:r>
              <w:rPr>
                <w:rFonts w:hint="eastAsia" w:ascii="宋体" w:hAnsi="宋体" w:cs="宋体"/>
                <w:color w:val="auto"/>
                <w:sz w:val="21"/>
                <w:szCs w:val="21"/>
                <w:highlight w:val="none"/>
              </w:rPr>
              <w:t xml:space="preserve">。</w:t>
            </w:r>
            <w:r/>
          </w:p>
          <w:p>
            <w:pPr>
              <w:pStyle w:val="855"/>
              <w:ind w:firstLine="420"/>
              <w:jc w:val="left"/>
              <w:keepLines w:val="0"/>
              <w:keepNext w:val="0"/>
              <w:spacing w:line="360" w:lineRule="auto"/>
              <w:widowControl/>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p>
            <w:pPr>
              <w:pStyle w:val="855"/>
              <w:ind w:firstLine="420"/>
              <w:jc w:val="left"/>
              <w:keepLines w:val="0"/>
              <w:keepNext w:val="0"/>
              <w:spacing w:line="36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13.2能源托管服务期：</w:t>
            </w:r>
            <w:r/>
          </w:p>
          <w:p>
            <w:pPr>
              <w:pStyle w:val="855"/>
              <w:ind w:firstLine="420"/>
              <w:rPr>
                <w:rFonts w:hint="eastAsia"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cs="宋体"/>
                <w:color w:val="auto"/>
                <w:sz w:val="21"/>
                <w:szCs w:val="21"/>
                <w:highlight w:val="none"/>
              </w:rPr>
              <w:t xml:space="preserve">中标单位月度考核扣款超出月能源托管管理费的40%</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含）</w:t>
            </w:r>
            <w:r>
              <w:rPr>
                <w:rFonts w:hint="eastAsia" w:cs="宋体"/>
                <w:color w:val="auto"/>
                <w:sz w:val="21"/>
                <w:szCs w:val="21"/>
                <w:highlight w:val="none"/>
              </w:rPr>
              <w:t xml:space="preserve">以上时（二次及以上）；</w:t>
            </w:r>
            <w:r/>
          </w:p>
          <w:p>
            <w:pPr>
              <w:pStyle w:val="855"/>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cs="宋体"/>
                <w:color w:val="auto"/>
                <w:sz w:val="21"/>
                <w:szCs w:val="21"/>
                <w:highlight w:val="none"/>
              </w:rPr>
              <w:t xml:space="preserve">中标单位未提供合格服务，受到社会媒体曝光、群众投诉、上级部门考核批评等，经查证属实满三次的；</w:t>
            </w:r>
            <w:r/>
          </w:p>
          <w:p>
            <w:pPr>
              <w:pStyle w:val="855"/>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cs="宋体"/>
                <w:color w:val="auto"/>
                <w:sz w:val="21"/>
                <w:szCs w:val="21"/>
                <w:highlight w:val="none"/>
              </w:rPr>
              <w:t xml:space="preserve">亮灯率考核连续两个月低于98%的；</w:t>
            </w:r>
            <w:r/>
          </w:p>
          <w:p>
            <w:pPr>
              <w:pStyle w:val="855"/>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cs="宋体"/>
                <w:color w:val="auto"/>
                <w:sz w:val="21"/>
                <w:szCs w:val="21"/>
                <w:highlight w:val="none"/>
              </w:rPr>
              <w:t xml:space="preserve">完好率考核连续两个月低于95%的；</w:t>
            </w:r>
            <w:r/>
          </w:p>
          <w:p>
            <w:pPr>
              <w:pStyle w:val="855"/>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cs="宋体"/>
                <w:color w:val="auto"/>
                <w:sz w:val="21"/>
                <w:szCs w:val="21"/>
                <w:highlight w:val="none"/>
              </w:rPr>
              <w:t xml:space="preserve">张家港保税区规划建设局</w:t>
            </w:r>
            <w:r>
              <w:rPr>
                <w:rFonts w:hint="eastAsia" w:cs="宋体"/>
                <w:color w:val="auto"/>
                <w:sz w:val="21"/>
                <w:szCs w:val="21"/>
                <w:highlight w:val="none"/>
                <w:lang w:val="en-US" w:eastAsia="zh-CN"/>
              </w:rPr>
              <w:t xml:space="preserve">及三个街道</w:t>
            </w:r>
            <w:r>
              <w:rPr>
                <w:rFonts w:hint="eastAsia" w:cs="宋体"/>
                <w:color w:val="auto"/>
                <w:sz w:val="21"/>
                <w:szCs w:val="21"/>
                <w:highlight w:val="none"/>
              </w:rPr>
              <w:t xml:space="preserve">将养护中发现和存在的问题以限期整改意见书形式通知</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超过三周整改或不整改的；</w:t>
            </w:r>
            <w:r/>
          </w:p>
          <w:p>
            <w:pPr>
              <w:pStyle w:val="855"/>
              <w:ind w:firstLine="420"/>
              <w:rPr>
                <w:rFonts w:hint="eastAsia"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cs="宋体"/>
                <w:color w:val="auto"/>
                <w:sz w:val="21"/>
                <w:szCs w:val="21"/>
                <w:highlight w:val="none"/>
              </w:rPr>
              <w:t xml:space="preserve">能源管理单位应按规定做好保税区及三个街道举办的各类国际国内及大型节庆活动保障，确保路灯照明设施正常运行。活动前一周</w:t>
            </w:r>
            <w:r>
              <w:rPr>
                <w:rFonts w:hint="eastAsia" w:cs="宋体"/>
                <w:color w:val="auto"/>
                <w:sz w:val="21"/>
                <w:szCs w:val="21"/>
                <w:highlight w:val="none"/>
                <w:lang w:eastAsia="zh-CN"/>
              </w:rPr>
              <w:t xml:space="preserve">维保单位</w:t>
            </w:r>
            <w:r>
              <w:rPr>
                <w:rFonts w:hint="eastAsia" w:cs="宋体"/>
                <w:color w:val="auto"/>
                <w:sz w:val="21"/>
                <w:szCs w:val="21"/>
                <w:highlight w:val="none"/>
              </w:rPr>
              <w:t xml:space="preserve">应反复检查养护区域内设施，及时排除各类故障，要求亮灯情况、设施完好情况达到规定要求，活动当天应安排工作人员现场保障，在接到张家港保税区规划建设局的书面通知后未响应的；</w:t>
            </w:r>
            <w:r/>
          </w:p>
          <w:p>
            <w:pPr>
              <w:pStyle w:val="855"/>
              <w:ind w:firstLine="420"/>
              <w:rPr>
                <w:rFonts w:hint="eastAsia" w:cs="宋体"/>
                <w:i/>
                <w:iCs/>
                <w:color w:val="auto"/>
                <w:sz w:val="21"/>
                <w:szCs w:val="21"/>
                <w:highlight w:val="none"/>
                <w:u w:val="single"/>
                <w:lang w:val="en-US" w:eastAsia="zh-CN" w:bidi="ar"/>
              </w:rPr>
            </w:pPr>
            <w:r>
              <w:rPr>
                <w:rFonts w:hint="eastAsia" w:ascii="宋体" w:hAnsi="宋体" w:eastAsia="宋体" w:cs="宋体"/>
                <w:i/>
                <w:iCs/>
                <w:color w:val="auto"/>
                <w:sz w:val="21"/>
                <w:szCs w:val="21"/>
                <w:highlight w:val="none"/>
                <w:u w:val="single"/>
                <w:lang w:val="en-US" w:eastAsia="zh-CN"/>
              </w:rPr>
              <w:t xml:space="preserve">(7)</w:t>
            </w:r>
            <w:r>
              <w:rPr>
                <w:rFonts w:hint="eastAsia" w:cs="宋体"/>
                <w:i/>
                <w:iCs/>
                <w:color w:val="auto"/>
                <w:sz w:val="21"/>
                <w:szCs w:val="21"/>
                <w:highlight w:val="none"/>
                <w:u w:val="single"/>
                <w:lang w:val="en-US" w:eastAsia="zh-CN" w:bidi="ar"/>
              </w:rPr>
              <w:t xml:space="preserve">为保障本项目路灯运维及抢修的响应时效，中标人须在整个项目服务期间，于张家港保税区范围内落实应急驻场条件，配备相应的抢修车辆停放场地、备品备件存放场所及值班值守人员，确保在接到故障报修后 30分钟内 抵达现场实施抢修。中标人应在合同生效后15日内完成驻场场地的落实，并将相关材料证明报采购人备案。中标人在履约期限内若无法持续满足上述应急响应时效要求的，视为违约，采购人有权依据合同违约条款追究中标人责任。</w:t>
            </w:r>
            <w:r/>
          </w:p>
          <w:p>
            <w:pPr>
              <w:pStyle w:val="855"/>
              <w:ind w:firstLine="420"/>
              <w:rPr>
                <w:rFonts w:hint="eastAsia"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cs="宋体"/>
                <w:color w:val="auto"/>
                <w:sz w:val="21"/>
                <w:szCs w:val="21"/>
                <w:highlight w:val="none"/>
              </w:rPr>
              <w:t xml:space="preserve">未按采购单位要求提供备品备件的</w:t>
            </w:r>
            <w:r>
              <w:rPr>
                <w:rFonts w:hint="eastAsia" w:cs="宋体"/>
                <w:color w:val="auto"/>
                <w:sz w:val="21"/>
                <w:szCs w:val="21"/>
                <w:highlight w:val="none"/>
                <w:lang w:val="en-US" w:eastAsia="zh-CN"/>
              </w:rPr>
              <w:t xml:space="preserve"> </w:t>
            </w:r>
            <w:r>
              <w:rPr>
                <w:rFonts w:hint="eastAsia" w:cs="宋体"/>
                <w:color w:val="auto"/>
                <w:sz w:val="21"/>
                <w:szCs w:val="21"/>
                <w:highlight w:val="none"/>
              </w:rPr>
              <w:t xml:space="preserve">；</w:t>
            </w:r>
            <w:r/>
          </w:p>
          <w:p>
            <w:pPr>
              <w:pStyle w:val="8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cs="宋体"/>
                <w:color w:val="auto"/>
                <w:sz w:val="21"/>
                <w:szCs w:val="21"/>
                <w:highlight w:val="none"/>
              </w:rPr>
              <w:t xml:space="preserve">中标单位未在规定期限内（中标后15日内）主动提供人员清单及相应证明（身份证、相关证书、驾驶证等复印件），车辆行驶证、产权证、车辆外观图片及车辆相关高度参数等相关证明材料（租赁的同时提供租赁协议复印件）的，或在投标文件中确定的人员及相关车辆设备，实际进场减少与变更的，或未经采购单位确认后开展项目的，或经采购单位确认后不满足要求的；</w:t>
            </w:r>
            <w:r/>
          </w:p>
          <w:p>
            <w:pPr>
              <w:pStyle w:val="855"/>
              <w:ind w:firstLine="420"/>
              <w:rPr>
                <w:rFonts w:hint="eastAsia" w:cs="宋体"/>
                <w:color w:val="auto"/>
                <w:sz w:val="21"/>
                <w:szCs w:val="21"/>
                <w:highlight w:val="none"/>
              </w:rPr>
            </w:pP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10）</w:t>
            </w:r>
            <w:r>
              <w:rPr>
                <w:rFonts w:hint="eastAsia" w:cs="宋体"/>
                <w:color w:val="auto"/>
                <w:sz w:val="21"/>
                <w:szCs w:val="21"/>
                <w:highlight w:val="none"/>
              </w:rPr>
              <w:t xml:space="preserve">其他严重不遵守合同约定事项或不服从张家港保税区规划建设局管理的行为。</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14</w:t>
            </w:r>
            <w:r/>
          </w:p>
        </w:tc>
        <w:tc>
          <w:tcPr>
            <w:tcW w:w="1320" w:type="dxa"/>
            <w:vAlign w:val="center"/>
            <w:textDirection w:val="lrTb"/>
            <w:noWrap w:val="false"/>
          </w:tcPr>
          <w:p>
            <w:pPr>
              <w:pStyle w:val="1304"/>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投标方案要求</w:t>
            </w:r>
            <w:r/>
          </w:p>
        </w:tc>
        <w:tc>
          <w:tcPr>
            <w:tcW w:w="7808" w:type="dxa"/>
            <w:vAlign w:val="center"/>
            <w:textDirection w:val="lrTb"/>
            <w:noWrap w:val="false"/>
          </w:tcPr>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14.1</w:t>
            </w:r>
            <w:r>
              <w:rPr>
                <w:rFonts w:hint="eastAsia" w:cs="宋体"/>
                <w:color w:val="auto"/>
                <w:sz w:val="21"/>
                <w:szCs w:val="21"/>
                <w:highlight w:val="none"/>
              </w:rPr>
              <w:t xml:space="preserve">投标单位根据针对本项目的需求提供实地路况的勘测及调研方案；</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14.2</w:t>
            </w:r>
            <w:r>
              <w:rPr>
                <w:rFonts w:hint="eastAsia" w:cs="宋体"/>
                <w:color w:val="auto"/>
                <w:sz w:val="21"/>
                <w:szCs w:val="21"/>
                <w:highlight w:val="none"/>
              </w:rPr>
              <w:t xml:space="preserve">投标单位根据张家港保税区及三个街道市政道路照明情况提供节能改造方案；</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14.3</w:t>
            </w:r>
            <w:r>
              <w:rPr>
                <w:rFonts w:hint="eastAsia" w:cs="宋体"/>
                <w:color w:val="auto"/>
                <w:spacing w:val="7"/>
                <w:sz w:val="21"/>
                <w:szCs w:val="21"/>
                <w:highlight w:val="none"/>
              </w:rPr>
              <w:t xml:space="preserve">加装的路灯智能控制系统应能接入自行开发的张家港保税区智慧照明管理平台，平台应本地部署，所有操作与数据均应在自行开发的张家港保税区智慧照明管理平台操作显示（中标单位需承担所有平台建设（含软硬件）、对接及开发所产生的费用，并提供相关承诺书），投标文件中提供承诺书和方案</w:t>
            </w:r>
            <w:r>
              <w:rPr>
                <w:rFonts w:hint="eastAsia" w:cs="宋体"/>
                <w:color w:val="auto"/>
                <w:sz w:val="21"/>
                <w:szCs w:val="21"/>
                <w:highlight w:val="none"/>
              </w:rPr>
              <w:t xml:space="preserve">；</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14.4</w:t>
            </w:r>
            <w:r>
              <w:rPr>
                <w:rFonts w:hint="eastAsia" w:cs="宋体"/>
                <w:color w:val="auto"/>
                <w:sz w:val="21"/>
                <w:szCs w:val="21"/>
                <w:highlight w:val="none"/>
              </w:rPr>
              <w:t xml:space="preserve">投标单位针对本项目提供施工组织设计方案（施工组织设计方案包括但不限于路灯改造施工进度计划、项目管理、项目组织结构、验收、质量管理、安全施工、文明施工等方面）；</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14.5</w:t>
            </w:r>
            <w:r>
              <w:rPr>
                <w:rFonts w:hint="eastAsia" w:cs="宋体"/>
                <w:color w:val="auto"/>
                <w:sz w:val="21"/>
                <w:szCs w:val="21"/>
                <w:highlight w:val="none"/>
              </w:rPr>
              <w:t xml:space="preserve">投标单位根据本项目需求提供包括不限于路灯灯具、材料、安装等质量控制的所有关键点，质控措施科学合理，质控体系健全，质控人员配备等方面的质量保证措施。</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14.6</w:t>
            </w:r>
            <w:r>
              <w:rPr>
                <w:rFonts w:hint="eastAsia" w:cs="宋体"/>
                <w:color w:val="auto"/>
                <w:sz w:val="21"/>
                <w:szCs w:val="21"/>
                <w:highlight w:val="none"/>
              </w:rPr>
              <w:t xml:space="preserve">投标单位针对本项目的新技术、新工艺、新材料的应用、承诺、技术措施等进行方案阐述。</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14.7</w:t>
            </w:r>
            <w:r>
              <w:rPr>
                <w:rFonts w:hint="eastAsia" w:cs="宋体"/>
                <w:color w:val="auto"/>
                <w:sz w:val="21"/>
                <w:szCs w:val="21"/>
                <w:highlight w:val="none"/>
              </w:rPr>
              <w:t xml:space="preserve">投标单位根据招标文件的要求针对本项目提供日常维护方案（日常维护方案包括但不限于运维人员配备、运维资料管理、日常巡查、日常维护、定期养护计划、培训方案、投诉响应时效等方面）；</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14.8</w:t>
            </w:r>
            <w:r>
              <w:rPr>
                <w:rFonts w:hint="eastAsia" w:cs="宋体"/>
                <w:color w:val="auto"/>
                <w:sz w:val="21"/>
                <w:szCs w:val="21"/>
                <w:highlight w:val="none"/>
              </w:rPr>
              <w:t xml:space="preserve">投标单位针对本项目提供项目移交方案（项目移交方案包括但不限于项目移交计划、移交措施等方面）。</w:t>
            </w:r>
            <w:r/>
          </w:p>
          <w:p>
            <w:pPr>
              <w:pStyle w:val="855"/>
              <w:ind w:firstLine="420"/>
              <w:rPr>
                <w:rFonts w:hint="eastAsia" w:cs="宋体"/>
                <w:color w:val="auto"/>
                <w:sz w:val="21"/>
                <w:szCs w:val="21"/>
                <w:highlight w:val="none"/>
              </w:rPr>
            </w:pPr>
            <w:r>
              <w:rPr>
                <w:rFonts w:hint="eastAsia" w:cs="宋体"/>
                <w:color w:val="auto"/>
                <w:sz w:val="21"/>
                <w:szCs w:val="21"/>
                <w:highlight w:val="none"/>
                <w:lang w:val="en-US" w:eastAsia="zh-CN"/>
              </w:rPr>
              <w:t xml:space="preserve">14.9</w:t>
            </w:r>
            <w:r>
              <w:rPr>
                <w:rFonts w:hint="eastAsia" w:cs="宋体"/>
                <w:color w:val="auto"/>
                <w:sz w:val="21"/>
                <w:szCs w:val="21"/>
                <w:highlight w:val="none"/>
              </w:rPr>
              <w:t xml:space="preserve">投标单位针对本项目提供应急预案（应急预案包括但不限于停电、防汛、防台、突发事件应急处理及重大活动保障等方面）。</w:t>
            </w:r>
            <w:r/>
          </w:p>
        </w:tc>
      </w:tr>
      <w:tr>
        <w:trPr/>
        <w:tc>
          <w:tcPr>
            <w:tcW w:w="834" w:type="dxa"/>
            <w:vAlign w:val="center"/>
            <w:textDirection w:val="lrTb"/>
            <w:noWrap w:val="false"/>
          </w:tcPr>
          <w:p>
            <w:pPr>
              <w:pStyle w:val="1304"/>
              <w:jc w:val="center"/>
              <w:spacing w:line="360" w:lineRule="auto"/>
              <w:rPr>
                <w:rStyle w:val="992"/>
                <w:rFonts w:hint="eastAsia" w:ascii="宋体" w:hAnsi="宋体" w:cs="宋体"/>
                <w:color w:val="auto"/>
                <w:sz w:val="21"/>
                <w:szCs w:val="21"/>
                <w:highlight w:val="none"/>
              </w:rPr>
            </w:pPr>
            <w:r>
              <w:rPr>
                <w:rStyle w:val="992"/>
                <w:rFonts w:hint="eastAsia" w:ascii="宋体" w:hAnsi="宋体" w:cs="宋体"/>
                <w:color w:val="auto"/>
                <w:sz w:val="21"/>
                <w:szCs w:val="21"/>
                <w:highlight w:val="none"/>
              </w:rPr>
              <w:t xml:space="preserve">15</w:t>
            </w:r>
            <w:r/>
          </w:p>
        </w:tc>
        <w:tc>
          <w:tcPr>
            <w:tcW w:w="1320" w:type="dxa"/>
            <w:vAlign w:val="center"/>
            <w:textDirection w:val="lrTb"/>
            <w:noWrap w:val="false"/>
          </w:tcPr>
          <w:p>
            <w:pPr>
              <w:pStyle w:val="855"/>
              <w:ind w:firstLine="0"/>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rPr>
              <w:t xml:space="preserve">其他要求</w:t>
            </w:r>
            <w:r>
              <w:rPr>
                <w:rFonts w:hint="eastAsia" w:cs="宋体"/>
                <w:color w:val="auto"/>
                <w:sz w:val="21"/>
                <w:szCs w:val="21"/>
                <w:highlight w:val="none"/>
                <w:lang w:val="en-US" w:eastAsia="zh-CN"/>
              </w:rPr>
              <w:t xml:space="preserve">,</w:t>
            </w:r>
            <w:r/>
          </w:p>
        </w:tc>
        <w:tc>
          <w:tcPr>
            <w:tcW w:w="7808" w:type="dxa"/>
            <w:vAlign w:val="center"/>
            <w:textDirection w:val="lrTb"/>
            <w:noWrap w:val="false"/>
          </w:tcPr>
          <w:p>
            <w:pPr>
              <w:pStyle w:val="855"/>
              <w:ind w:firstLine="420"/>
              <w:rPr>
                <w:rFonts w:hint="eastAsia" w:cs="宋体"/>
                <w:i/>
                <w:iCs/>
                <w:color w:val="auto"/>
                <w:sz w:val="21"/>
                <w:szCs w:val="21"/>
                <w:highlight w:val="none"/>
                <w:u w:val="single"/>
              </w:rPr>
            </w:pPr>
            <w:r>
              <w:rPr>
                <w:rFonts w:hint="eastAsia" w:cs="宋体"/>
                <w:i/>
                <w:iCs/>
                <w:color w:val="auto"/>
                <w:sz w:val="21"/>
                <w:szCs w:val="21"/>
                <w:highlight w:val="none"/>
                <w:u w:val="single"/>
                <w:lang w:val="en-US" w:eastAsia="zh-CN"/>
              </w:rPr>
              <w:t xml:space="preserve">15.1</w:t>
            </w:r>
            <w:r>
              <w:rPr>
                <w:rFonts w:hint="eastAsia" w:cs="宋体"/>
                <w:i/>
                <w:iCs/>
                <w:color w:val="auto"/>
                <w:sz w:val="21"/>
                <w:szCs w:val="21"/>
                <w:highlight w:val="none"/>
                <w:u w:val="single"/>
              </w:rPr>
              <w:t xml:space="preserve">本项目所有使用的灯具和单灯控制器等设备须经采购单位确认后才能投入使用。</w:t>
            </w:r>
            <w:r/>
          </w:p>
          <w:p>
            <w:pPr>
              <w:pStyle w:val="855"/>
              <w:ind w:firstLine="420"/>
              <w:rPr>
                <w:rFonts w:hint="eastAsia" w:cs="宋体"/>
                <w:i/>
                <w:iCs/>
                <w:color w:val="auto"/>
                <w:sz w:val="21"/>
                <w:szCs w:val="21"/>
                <w:highlight w:val="none"/>
                <w:u w:val="single"/>
              </w:rPr>
            </w:pPr>
            <w:r>
              <w:rPr>
                <w:rFonts w:hint="eastAsia" w:cs="宋体"/>
                <w:i/>
                <w:iCs/>
                <w:color w:val="auto"/>
                <w:sz w:val="21"/>
                <w:szCs w:val="21"/>
                <w:highlight w:val="none"/>
                <w:u w:val="single"/>
                <w:lang w:val="en-US" w:eastAsia="zh-CN"/>
              </w:rPr>
              <w:t xml:space="preserve">15.2</w:t>
            </w:r>
            <w:r>
              <w:rPr>
                <w:rFonts w:hint="eastAsia" w:cs="宋体"/>
                <w:i/>
                <w:iCs/>
                <w:color w:val="auto"/>
                <w:sz w:val="21"/>
                <w:szCs w:val="21"/>
                <w:highlight w:val="none"/>
                <w:u w:val="single"/>
              </w:rPr>
              <w:t xml:space="preserve">本次集中改造要求所用不同功率的灯具必须为同一品牌</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lang w:val="en-US" w:eastAsia="zh-CN"/>
              </w:rPr>
              <w:t xml:space="preserve">控制器为同一品牌</w:t>
            </w:r>
            <w:r>
              <w:rPr>
                <w:rFonts w:hint="eastAsia" w:cs="宋体"/>
                <w:i/>
                <w:iCs/>
                <w:color w:val="auto"/>
                <w:sz w:val="21"/>
                <w:szCs w:val="21"/>
                <w:highlight w:val="none"/>
                <w:u w:val="single"/>
              </w:rPr>
              <w:t xml:space="preserve">。</w:t>
            </w:r>
            <w:r/>
          </w:p>
          <w:p>
            <w:pPr>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15.3</w:t>
            </w:r>
            <w:r>
              <w:rPr>
                <w:rFonts w:hint="eastAsia" w:ascii="宋体" w:hAnsi="宋体" w:cs="宋体"/>
                <w:color w:val="auto"/>
                <w:sz w:val="21"/>
                <w:szCs w:val="21"/>
                <w:highlight w:val="none"/>
              </w:rPr>
              <w:t xml:space="preserve">改造路灯拆下来的旧材料</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按合同能源管理的要求，由乙方规范处理，材料</w:t>
            </w:r>
            <w:r>
              <w:rPr>
                <w:rFonts w:hint="eastAsia" w:ascii="宋体" w:hAnsi="宋体" w:cs="宋体"/>
                <w:color w:val="auto"/>
                <w:sz w:val="21"/>
                <w:szCs w:val="21"/>
                <w:highlight w:val="none"/>
              </w:rPr>
              <w:t xml:space="preserve">归乙方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其残值和无害化处理的费用在投标报价中综合考虑。</w:t>
            </w:r>
            <w:r/>
          </w:p>
        </w:tc>
      </w:tr>
    </w:tbl>
    <w:p>
      <w:pPr>
        <w:pStyle w:val="855"/>
        <w:ind w:firstLine="0"/>
        <w:rPr>
          <w:rFonts w:hint="eastAsia" w:cs="宋体"/>
          <w:color w:val="auto"/>
          <w:sz w:val="21"/>
          <w:szCs w:val="21"/>
          <w:highlight w:val="none"/>
        </w:rPr>
      </w:pPr>
      <w:r>
        <w:rPr>
          <w:rFonts w:hint="eastAsia" w:cs="宋体"/>
          <w:color w:val="auto"/>
          <w:sz w:val="21"/>
          <w:szCs w:val="21"/>
          <w:highlight w:val="none"/>
        </w:rPr>
      </w:r>
      <w:r/>
    </w:p>
    <w:p>
      <w:pPr>
        <w:pStyle w:val="855"/>
        <w:spacing w:after="181"/>
        <w:rPr>
          <w:rFonts w:hint="eastAsia" w:cs="宋体"/>
          <w:b/>
          <w:bCs/>
          <w:color w:val="auto"/>
          <w:sz w:val="21"/>
          <w:szCs w:val="21"/>
          <w:highlight w:val="none"/>
        </w:rPr>
      </w:pPr>
      <w:r>
        <w:rPr>
          <w:rFonts w:hint="eastAsia" w:cs="宋体"/>
          <w:b/>
          <w:bCs/>
          <w:color w:val="auto"/>
          <w:sz w:val="21"/>
          <w:szCs w:val="21"/>
          <w:highlight w:val="none"/>
        </w:rPr>
        <w:t xml:space="preserve">三、商务条款</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 服务期限</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1.1、服务期限</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改造建设周期应在202</w:t>
      </w:r>
      <w:r>
        <w:rPr>
          <w:rFonts w:hint="eastAsia" w:cs="宋体"/>
          <w:i/>
          <w:iCs/>
          <w:color w:val="auto"/>
          <w:sz w:val="21"/>
          <w:szCs w:val="21"/>
          <w:highlight w:val="none"/>
          <w:u w:val="single"/>
          <w:lang w:val="en-US" w:eastAsia="zh-CN"/>
        </w:rPr>
        <w:t xml:space="preserve">7</w:t>
      </w:r>
      <w:r>
        <w:rPr>
          <w:rFonts w:hint="eastAsia" w:cs="宋体"/>
          <w:i/>
          <w:iCs/>
          <w:color w:val="auto"/>
          <w:sz w:val="21"/>
          <w:szCs w:val="21"/>
          <w:highlight w:val="none"/>
          <w:u w:val="single"/>
        </w:rPr>
        <w:t xml:space="preserve">年</w:t>
      </w:r>
      <w:r>
        <w:rPr>
          <w:rFonts w:hint="eastAsia" w:cs="宋体"/>
          <w:i/>
          <w:iCs/>
          <w:color w:val="auto"/>
          <w:sz w:val="21"/>
          <w:szCs w:val="21"/>
          <w:highlight w:val="none"/>
          <w:u w:val="single"/>
          <w:lang w:val="en-US" w:eastAsia="zh-CN"/>
        </w:rPr>
        <w:t xml:space="preserve">5</w:t>
      </w:r>
      <w:r>
        <w:rPr>
          <w:rFonts w:hint="eastAsia" w:cs="宋体"/>
          <w:i/>
          <w:iCs/>
          <w:color w:val="auto"/>
          <w:sz w:val="21"/>
          <w:szCs w:val="21"/>
          <w:highlight w:val="none"/>
          <w:u w:val="single"/>
        </w:rPr>
        <w:t xml:space="preserve">月</w:t>
      </w:r>
      <w:r>
        <w:rPr>
          <w:rFonts w:hint="eastAsia" w:cs="宋体"/>
          <w:i/>
          <w:iCs/>
          <w:color w:val="auto"/>
          <w:sz w:val="21"/>
          <w:szCs w:val="21"/>
          <w:highlight w:val="none"/>
          <w:u w:val="single"/>
          <w:lang w:val="en-US" w:eastAsia="zh-CN"/>
        </w:rPr>
        <w:t xml:space="preserve">31</w:t>
      </w:r>
      <w:r>
        <w:rPr>
          <w:rFonts w:hint="eastAsia" w:cs="宋体"/>
          <w:i/>
          <w:iCs/>
          <w:color w:val="auto"/>
          <w:sz w:val="21"/>
          <w:szCs w:val="21"/>
          <w:highlight w:val="none"/>
          <w:u w:val="single"/>
        </w:rPr>
        <w:t xml:space="preserve">日前完成并竣工验收，竣工验收每延误1天，支付0.5万元/天的违约金，从履约保证金内扣除。竣工验收完成后开始能源托管</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rPr>
        <w:t xml:space="preserve">周期</w:t>
      </w:r>
      <w:r>
        <w:rPr>
          <w:rFonts w:hint="eastAsia" w:cs="宋体"/>
          <w:i/>
          <w:iCs/>
          <w:color w:val="auto"/>
          <w:sz w:val="21"/>
          <w:szCs w:val="21"/>
          <w:highlight w:val="none"/>
          <w:u w:val="single"/>
          <w:lang w:eastAsia="zh-CN"/>
        </w:rPr>
        <w:t xml:space="preserve">10</w:t>
      </w:r>
      <w:r>
        <w:rPr>
          <w:rFonts w:hint="eastAsia" w:cs="宋体"/>
          <w:i/>
          <w:iCs/>
          <w:color w:val="auto"/>
          <w:sz w:val="21"/>
          <w:szCs w:val="21"/>
          <w:highlight w:val="none"/>
          <w:u w:val="single"/>
        </w:rPr>
        <w:t xml:space="preserve">年。</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1.2、服务地点：由采购单位指定。</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2 货款支付</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2.1、结付程序</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供方按本合同内容合格地履行供货义务后，凭验收报告、销售发票到采购单位办理货款（或工程款）结算手续。</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2.2、结付期限</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（1）服务费的支付： </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合同签订后，采购单位预付中标单位年</w:t>
      </w:r>
      <w:r>
        <w:rPr>
          <w:rFonts w:hint="eastAsia" w:cs="宋体"/>
          <w:i/>
          <w:iCs/>
          <w:color w:val="auto"/>
          <w:sz w:val="21"/>
          <w:szCs w:val="21"/>
          <w:highlight w:val="none"/>
          <w:u w:val="single"/>
          <w:lang w:val="en-US" w:eastAsia="zh-CN"/>
        </w:rPr>
        <w:t xml:space="preserve">合同价</w:t>
      </w:r>
      <w:r>
        <w:rPr>
          <w:rFonts w:hint="eastAsia" w:cs="宋体"/>
          <w:i/>
          <w:iCs/>
          <w:color w:val="auto"/>
          <w:sz w:val="21"/>
          <w:szCs w:val="21"/>
          <w:highlight w:val="none"/>
          <w:u w:val="single"/>
        </w:rPr>
        <w:t xml:space="preserve">的10%作为预付款，</w:t>
      </w:r>
      <w:r>
        <w:rPr>
          <w:rFonts w:hint="eastAsia" w:cs="宋体"/>
          <w:i/>
          <w:iCs/>
          <w:color w:val="auto"/>
          <w:sz w:val="21"/>
          <w:szCs w:val="21"/>
          <w:highlight w:val="none"/>
          <w:u w:val="single"/>
          <w:lang w:val="en-US" w:eastAsia="zh-CN"/>
        </w:rPr>
        <w:t xml:space="preserve">所有改造路灯全部</w:t>
      </w:r>
      <w:r>
        <w:rPr>
          <w:rFonts w:hint="eastAsia" w:cs="宋体"/>
          <w:i/>
          <w:iCs/>
          <w:color w:val="auto"/>
          <w:sz w:val="21"/>
          <w:szCs w:val="21"/>
          <w:highlight w:val="none"/>
          <w:u w:val="single"/>
        </w:rPr>
        <w:t xml:space="preserve">竣工验收合格之日起采购单位每三个月支付一次服务费用。实际电费由中标单位支付</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rPr>
        <w:t xml:space="preserve">每三个月采购单位支付结算一次服务费用</w:t>
      </w:r>
      <w:r>
        <w:rPr>
          <w:rFonts w:hint="eastAsia" w:cs="宋体"/>
          <w:i/>
          <w:iCs/>
          <w:color w:val="auto"/>
          <w:sz w:val="21"/>
          <w:szCs w:val="21"/>
          <w:highlight w:val="none"/>
          <w:u w:val="single"/>
          <w:lang w:eastAsia="zh-CN"/>
        </w:rPr>
        <w:t xml:space="preserve">，</w:t>
      </w:r>
      <w:r>
        <w:rPr>
          <w:rFonts w:hint="eastAsia" w:cs="宋体"/>
          <w:i/>
          <w:iCs/>
          <w:color w:val="auto"/>
          <w:sz w:val="21"/>
          <w:szCs w:val="21"/>
          <w:highlight w:val="none"/>
          <w:u w:val="single"/>
          <w:lang w:val="en-US" w:eastAsia="zh-CN"/>
        </w:rPr>
        <w:t xml:space="preserve">每月按总中标价/10年/12月计算。</w:t>
      </w:r>
      <w:r>
        <w:rPr>
          <w:rFonts w:hint="eastAsia" w:cs="宋体"/>
          <w:i/>
          <w:iCs/>
          <w:color w:val="auto"/>
          <w:sz w:val="21"/>
          <w:szCs w:val="21"/>
          <w:highlight w:val="none"/>
          <w:u w:val="single"/>
        </w:rPr>
        <w:t xml:space="preserve">电费调差、考核扣款、代缴外接电</w:t>
      </w:r>
      <w:r>
        <w:rPr>
          <w:rFonts w:hint="eastAsia" w:cs="宋体"/>
          <w:i/>
          <w:iCs/>
          <w:color w:val="auto"/>
          <w:sz w:val="21"/>
          <w:szCs w:val="21"/>
          <w:highlight w:val="none"/>
          <w:u w:val="single"/>
          <w:lang w:val="en-US" w:eastAsia="zh-CN"/>
        </w:rPr>
        <w:t xml:space="preserve">在每年年终结算时计算</w:t>
      </w:r>
      <w:r>
        <w:rPr>
          <w:rFonts w:hint="eastAsia" w:cs="宋体"/>
          <w:i/>
          <w:iCs/>
          <w:color w:val="auto"/>
          <w:sz w:val="21"/>
          <w:szCs w:val="21"/>
          <w:highlight w:val="none"/>
          <w:u w:val="single"/>
        </w:rPr>
        <w:t xml:space="preserve">。根据苏财购【2020】52号建立政府采购资金预付款制度的相关规定，在签订合同时，供应商明确表示无需预付款或者主动要求降低预付款比例的，采购单位可不适用前述</w:t>
      </w:r>
      <w:r>
        <w:rPr>
          <w:rFonts w:hint="eastAsia" w:cs="宋体"/>
          <w:i/>
          <w:iCs/>
          <w:color w:val="auto"/>
          <w:sz w:val="21"/>
          <w:szCs w:val="21"/>
          <w:highlight w:val="none"/>
          <w:u w:val="single"/>
          <w:lang w:val="en-US" w:eastAsia="zh-CN"/>
        </w:rPr>
        <w:t xml:space="preserve">预付款的</w:t>
      </w:r>
      <w:r>
        <w:rPr>
          <w:rFonts w:hint="eastAsia" w:cs="宋体"/>
          <w:i/>
          <w:iCs/>
          <w:color w:val="auto"/>
          <w:sz w:val="21"/>
          <w:szCs w:val="21"/>
          <w:highlight w:val="none"/>
          <w:u w:val="single"/>
        </w:rPr>
        <w:t xml:space="preserve">规定。</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lang w:val="en-US" w:eastAsia="zh-CN"/>
        </w:rPr>
        <w:t xml:space="preserve"> </w:t>
      </w:r>
      <w:r>
        <w:rPr>
          <w:rFonts w:hint="eastAsia" w:cs="宋体"/>
          <w:i/>
          <w:iCs/>
          <w:color w:val="auto"/>
          <w:sz w:val="21"/>
          <w:szCs w:val="21"/>
          <w:highlight w:val="none"/>
          <w:u w:val="single"/>
        </w:rPr>
        <w:t xml:space="preserve">3 投标货币 </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3.1、投标货币 </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人民币 </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4 备品备件及耗材等要求 </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4.1、备品备件及耗材等要求 </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见附件一。</w:t>
      </w:r>
      <w:r/>
    </w:p>
    <w:p>
      <w:pPr>
        <w:pStyle w:val="855"/>
        <w:keepLines w:val="0"/>
        <w:keepNext w:val="0"/>
        <w:pageBreakBefore w:val="0"/>
        <w:spacing w:line="400" w:lineRule="exact"/>
        <w:widowControl w:val="off"/>
        <w:rPr>
          <w:rFonts w:hint="eastAsia" w:cs="宋体"/>
          <w:i/>
          <w:iCs/>
          <w:color w:val="auto"/>
          <w:sz w:val="21"/>
          <w:szCs w:val="21"/>
          <w:highlight w:val="none"/>
          <w:u w:val="single"/>
        </w:rPr>
      </w:pPr>
      <w:r>
        <w:rPr>
          <w:rFonts w:hint="eastAsia" w:cs="宋体"/>
          <w:i/>
          <w:iCs/>
          <w:color w:val="auto"/>
          <w:sz w:val="21"/>
          <w:szCs w:val="21"/>
          <w:highlight w:val="none"/>
          <w:u w:val="single"/>
        </w:rPr>
        <w:t xml:space="preserve">四、其他部分</w:t>
      </w:r>
      <w:r/>
    </w:p>
    <w:p>
      <w:pPr>
        <w:pStyle w:val="855"/>
        <w:ind w:firstLine="420"/>
        <w:keepLines w:val="0"/>
        <w:keepNext w:val="0"/>
        <w:pageBreakBefore w:val="0"/>
        <w:spacing w:line="400" w:lineRule="exact"/>
        <w:widowControl w:val="off"/>
        <w:rPr>
          <w:rFonts w:hint="eastAsia" w:cs="宋体"/>
          <w:i/>
          <w:iCs/>
          <w:color w:val="auto"/>
          <w:sz w:val="21"/>
          <w:szCs w:val="21"/>
          <w:highlight w:val="none"/>
          <w:u w:val="single"/>
          <w:lang w:val="en-US" w:eastAsia="zh-CN" w:bidi="ar"/>
        </w:rPr>
      </w:pPr>
      <w:r>
        <w:rPr>
          <w:rFonts w:hint="eastAsia" w:cs="宋体"/>
          <w:i/>
          <w:iCs/>
          <w:color w:val="auto"/>
          <w:sz w:val="21"/>
          <w:szCs w:val="21"/>
          <w:highlight w:val="none"/>
          <w:u w:val="single"/>
          <w:lang w:val="en-US" w:eastAsia="zh-CN" w:bidi="ar"/>
        </w:rPr>
        <w:t xml:space="preserve">1、为保障本项目路灯运维及抢修的响应时效，中标人须在整个项目服务期间，于张家港保税区范围内落实应急驻场条件，配备相应的抢修车辆停放场地、备品备件存放场所及值班值守人员，确保在接到故障报修后 30分钟内 抵达现场实施抢修。中标人应在合同生效后15日内完成驻场场地的落实，并将相关材料证明报采购人备案。中标人在履约期限内若无法持续满足上述应急响应时效要求的，视为违约，采购人有权依据合同违约条款追究中标人责任。</w:t>
      </w:r>
      <w:r/>
    </w:p>
    <w:p>
      <w:pPr>
        <w:keepLines w:val="0"/>
        <w:keepNext w:val="0"/>
        <w:pageBreakBefore w:val="0"/>
        <w:spacing w:line="400" w:lineRule="exact"/>
        <w:widowControl w:val="off"/>
        <w:rPr>
          <w:rFonts w:hint="eastAsia"/>
          <w:color w:val="auto"/>
          <w:highlight w:val="none"/>
        </w:rPr>
      </w:pPr>
      <w:r>
        <w:rPr>
          <w:rFonts w:hint="eastAsia"/>
          <w:color w:val="auto"/>
          <w:highlight w:val="none"/>
        </w:rPr>
      </w:r>
      <w:r/>
    </w:p>
    <w:p>
      <w:pPr>
        <w:keepLines w:val="0"/>
        <w:keepNext w:val="0"/>
        <w:pageBreakBefore w:val="0"/>
        <w:spacing w:line="400" w:lineRule="exact"/>
        <w:widowControl w:val="off"/>
        <w:rPr>
          <w:rFonts w:hint="default" w:cs="Times New Roman"/>
          <w:i w:val="0"/>
          <w:iCs w:val="0"/>
          <w:color w:val="auto"/>
          <w:szCs w:val="22"/>
          <w:highlight w:val="none"/>
          <w:u w:val="none"/>
        </w:rPr>
      </w:pPr>
      <w:r>
        <w:rPr>
          <w:rFonts w:hint="eastAsia" w:cs="宋体"/>
          <w:i/>
          <w:iCs/>
          <w:color w:val="auto"/>
          <w:sz w:val="21"/>
          <w:szCs w:val="21"/>
          <w:highlight w:val="none"/>
          <w:u w:val="single"/>
          <w:lang w:val="en-US" w:eastAsia="zh-CN"/>
        </w:rPr>
        <w:t xml:space="preserve">2、中标后中标单位应在公示期（7天)内把所有投标时提供的证书、检测报告及其他证明材料的原件交招标代理公司核查，如发现弄虚作假将按提供虚假材料交政府采购有关部门处理。</w:t>
      </w:r>
      <w:r/>
    </w:p>
    <w:p>
      <w:pP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ind w:firstLine="48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 灯具情况</w:t>
      </w:r>
      <w:r/>
    </w:p>
    <w:tbl>
      <w:tblPr>
        <w:tblStyle w:val="757"/>
        <w:tblW w:w="10053" w:type="dxa"/>
        <w:jc w:val="center"/>
        <w:tblLayout w:type="fixed"/>
        <w:tblCellMar>
          <w:left w:w="108" w:type="dxa"/>
          <w:top w:w="0" w:type="dxa"/>
          <w:right w:w="108" w:type="dxa"/>
          <w:bottom w:w="0" w:type="dxa"/>
        </w:tblCellMar>
        <w:tblLook w:val="04A0" w:firstRow="1" w:lastRow="0" w:firstColumn="1" w:lastColumn="0" w:noHBand="0" w:noVBand="1"/>
      </w:tblPr>
      <w:tblGrid>
        <w:gridCol w:w="512"/>
        <w:gridCol w:w="1139"/>
        <w:gridCol w:w="1304"/>
        <w:gridCol w:w="996"/>
        <w:gridCol w:w="870"/>
        <w:gridCol w:w="900"/>
        <w:gridCol w:w="780"/>
        <w:gridCol w:w="705"/>
        <w:gridCol w:w="915"/>
        <w:gridCol w:w="1932"/>
      </w:tblGrid>
      <w:tr>
        <w:trPr>
          <w:jc w:val="center"/>
          <w:trHeight w:val="547"/>
        </w:trPr>
        <w:tc>
          <w:tcPr>
            <w:gridSpan w:val="10"/>
            <w:tcBorders>
              <w:top w:val="single" w:color="000000" w:sz="4" w:space="0"/>
              <w:left w:val="single" w:color="000000" w:sz="4" w:space="0"/>
              <w:bottom w:val="single" w:color="000000" w:sz="4" w:space="0"/>
              <w:right w:val="single" w:color="000000" w:sz="4" w:space="0"/>
            </w:tcBorders>
            <w:tcW w:w="10053" w:type="dxa"/>
            <w:vAlign w:val="center"/>
            <w:textDirection w:val="lrTb"/>
            <w:noWrap w:val="false"/>
          </w:tcPr>
          <w:p>
            <w:pPr>
              <w:ind w:firstLine="0"/>
              <w:jc w:val="center"/>
              <w:keepLines w:val="0"/>
              <w:keepNext w:val="0"/>
              <w:pageBreakBefore w:val="0"/>
              <w:spacing w:line="240" w:lineRule="auto"/>
              <w:widowControl w:val="off"/>
              <w:rPr>
                <w:rFonts w:hint="eastAsia"/>
                <w:color w:val="auto"/>
              </w:rPr>
            </w:pPr>
            <w:r>
              <w:rPr>
                <w:rFonts w:hint="eastAsia"/>
                <w:b/>
                <w:bCs/>
                <w:color w:val="auto"/>
              </w:rPr>
              <w:t xml:space="preserve">2.1保税区现有高压钠灯需改造路灯清单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道路名称</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路段</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灯杆类型</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光源类型</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功率（W）</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数量(杆)</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道路等级</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色温（K）</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整灯最低光通量（lm）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上海路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东大门—台湾路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55</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主灯：27000 </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台湾路—巡逻道西</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14</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27000 </w:t>
            </w:r>
            <w:r/>
          </w:p>
          <w:p>
            <w:pPr>
              <w:ind w:firstLine="0"/>
              <w:keepLines w:val="0"/>
              <w:keepNext w:val="0"/>
              <w:pageBreakBefore w:val="0"/>
              <w:spacing w:line="240" w:lineRule="auto"/>
              <w:widowControl w:val="off"/>
              <w:rPr>
                <w:rFonts w:hint="eastAsia"/>
                <w:color w:val="auto"/>
              </w:rPr>
            </w:pPr>
            <w:r>
              <w:rPr>
                <w:rFonts w:hint="eastAsia"/>
                <w:color w:val="auto"/>
              </w:rPr>
              <w:t xml:space="preserve">（慢车道挑臂拆除）</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13</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27000 </w:t>
            </w:r>
            <w:r/>
          </w:p>
        </w:tc>
      </w:tr>
      <w:tr>
        <w:trPr>
          <w:jc w:val="center"/>
          <w:trHeight w:val="0"/>
        </w:trPr>
        <w:tc>
          <w:tcPr>
            <w:tcBorders>
              <w:top w:val="single" w:color="000000" w:sz="4" w:space="0"/>
              <w:left w:val="single" w:color="000000" w:sz="4" w:space="0"/>
              <w:bottom w:val="single" w:color="auto"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auto"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北京路</w:t>
            </w:r>
            <w:r/>
          </w:p>
        </w:tc>
        <w:tc>
          <w:tcPr>
            <w:tcBorders>
              <w:top w:val="single" w:color="000000" w:sz="4" w:space="0"/>
              <w:left w:val="single" w:color="000000" w:sz="4" w:space="0"/>
              <w:bottom w:val="single" w:color="auto"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天霸路—金运通</w:t>
            </w:r>
            <w:r/>
          </w:p>
        </w:tc>
        <w:tc>
          <w:tcPr>
            <w:tcBorders>
              <w:top w:val="single" w:color="000000" w:sz="4" w:space="0"/>
              <w:left w:val="single" w:color="000000" w:sz="4" w:space="0"/>
              <w:bottom w:val="single" w:color="auto"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auto"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auto"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auto"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133</w:t>
            </w:r>
            <w:r/>
          </w:p>
        </w:tc>
        <w:tc>
          <w:tcPr>
            <w:tcBorders>
              <w:top w:val="single" w:color="000000" w:sz="4" w:space="0"/>
              <w:left w:val="single" w:color="000000" w:sz="4" w:space="0"/>
              <w:bottom w:val="single" w:color="auto"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auto"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auto"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主灯：14400 </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auto"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auto"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auto"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auto"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auto"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auto"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auto"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w:t>
            </w:r>
            <w:r/>
          </w:p>
        </w:tc>
        <w:tc>
          <w:tcPr>
            <w:tcBorders>
              <w:top w:val="single" w:color="auto"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auto"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auto"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主灯：14400 </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p>
            <w:pPr>
              <w:ind w:firstLine="0"/>
              <w:keepLines w:val="0"/>
              <w:keepNext w:val="0"/>
              <w:pageBreakBefore w:val="0"/>
              <w:spacing w:line="240" w:lineRule="auto"/>
              <w:widowControl w:val="off"/>
              <w:rPr>
                <w:rFonts w:hint="eastAsia"/>
                <w:color w:val="auto"/>
              </w:rPr>
            </w:pPr>
            <w:r>
              <w:rPr>
                <w:rFonts w:hint="eastAsia"/>
                <w:color w:val="auto"/>
              </w:rPr>
              <w:t xml:space="preserve">（增加挑臂）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福建路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北京路—上海路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18</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上海路—巡逻路东</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丰田路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16</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巡逻道</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福建路南—金港路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16</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金港路—上海路西</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33</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南京东路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黄海路—南海路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18</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南京中路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东海路—江堤路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南京西路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27</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color w:val="auto"/>
                <w:lang w:eastAsia="zh-CN"/>
              </w:rPr>
            </w:pPr>
            <w:r>
              <w:rPr>
                <w:rFonts w:hint="eastAsia"/>
                <w:color w:val="auto"/>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中华路</w:t>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长江路-善政桥</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77</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主灯：36000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主灯：36000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善政桥-S338</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119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主灯：36000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东新路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长江北路—严子港泵站</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20</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千禧北路—长江北路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主灯：14400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香港路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11</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大连路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厦门路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青岛路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21</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深圳路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29</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宁波路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17</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巡逻道</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北大门（高架灯）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高杆灯 8火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8*400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港华路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南海路-东海路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65</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东海路-港丰公路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23</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天霸路-渤海路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44</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渤海路-南海路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56</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港丰公路</w:t>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中华路-大新界</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69</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中杆灯 4火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立杆投光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39</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keepLines w:val="0"/>
              <w:keepNext w:val="0"/>
              <w:pageBreakBefore w:val="0"/>
              <w:spacing w:line="240" w:lineRule="auto"/>
              <w:widowControl w:val="off"/>
              <w:rPr>
                <w:rFonts w:hint="eastAsia"/>
                <w:color w:val="auto"/>
              </w:rPr>
            </w:pPr>
            <w:r>
              <w:rPr>
                <w:rFonts w:hint="eastAsia"/>
                <w:color w:val="auto"/>
              </w:rPr>
              <w:t xml:space="preserve">辅灯：45000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163</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45000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restart"/>
            <w:textDirection w:val="lrTb"/>
            <w:noWrap w:val="false"/>
          </w:tcPr>
          <w:p>
            <w:pPr>
              <w:ind w:firstLine="0"/>
              <w:keepLines w:val="0"/>
              <w:keepNext w:val="0"/>
              <w:pageBreakBefore w:val="0"/>
              <w:spacing w:line="240" w:lineRule="auto"/>
              <w:widowControl w:val="off"/>
              <w:rPr>
                <w:rFonts w:hint="eastAsia"/>
                <w:color w:val="auto"/>
                <w:lang w:val="en-US" w:eastAsia="zh-CN"/>
              </w:rPr>
            </w:pPr>
            <w:r>
              <w:rPr>
                <w:rFonts w:hint="eastAsia"/>
                <w:color w:val="auto"/>
              </w:rPr>
              <w:t xml:space="preserve">2</w:t>
            </w:r>
            <w:r>
              <w:rPr>
                <w:rFonts w:hint="eastAsia"/>
                <w:color w:va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长江路</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五节桥-双龙路</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108</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主灯：32400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双龙路-船闸大桥</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42</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主灯：21600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船闸大桥</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38</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主灯：21600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8</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船闸大桥-高峰</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75</w:t>
            </w:r>
            <w:r/>
          </w:p>
        </w:tc>
        <w:tc>
          <w:tcPr>
            <w:tcBorders>
              <w:top w:val="single" w:color="000000" w:sz="4" w:space="0"/>
              <w:left w:val="single" w:color="000000" w:sz="4" w:space="0"/>
              <w:bottom w:val="single" w:color="000000" w:sz="4" w:space="0"/>
              <w:right w:val="single" w:color="000000" w:sz="4" w:space="0"/>
            </w:tcBorders>
            <w:tcW w:w="7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主灯：3套32400，其余18000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1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304"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16</w:t>
            </w:r>
            <w:r/>
          </w:p>
        </w:tc>
        <w:tc>
          <w:tcPr>
            <w:tcBorders>
              <w:top w:val="single" w:color="000000" w:sz="4" w:space="0"/>
              <w:left w:val="single" w:color="000000" w:sz="4" w:space="0"/>
              <w:bottom w:val="single" w:color="000000" w:sz="4" w:space="0"/>
              <w:right w:val="single" w:color="000000" w:sz="4" w:space="0"/>
            </w:tcBorders>
            <w:tcW w:w="7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18000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121"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W w:w="193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r>
    </w:tbl>
    <w:p>
      <w:pPr>
        <w:pStyle w:val="813"/>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tbl>
      <w:tblPr>
        <w:tblStyle w:val="757"/>
        <w:tblW w:w="10258" w:type="dxa"/>
        <w:jc w:val="center"/>
        <w:tblLayout w:type="fixed"/>
        <w:tblCellMar>
          <w:left w:w="108" w:type="dxa"/>
          <w:top w:w="0" w:type="dxa"/>
          <w:right w:w="108" w:type="dxa"/>
          <w:bottom w:w="0" w:type="dxa"/>
        </w:tblCellMar>
        <w:tblLook w:val="04A0" w:firstRow="1" w:lastRow="0" w:firstColumn="1" w:lastColumn="0" w:noHBand="0" w:noVBand="1"/>
      </w:tblPr>
      <w:tblGrid>
        <w:gridCol w:w="457"/>
        <w:gridCol w:w="997"/>
        <w:gridCol w:w="2075"/>
        <w:gridCol w:w="915"/>
        <w:gridCol w:w="1105"/>
        <w:gridCol w:w="892"/>
        <w:gridCol w:w="700"/>
        <w:gridCol w:w="877"/>
        <w:gridCol w:w="716"/>
        <w:gridCol w:w="1524"/>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258" w:type="dxa"/>
            <w:vAlign w:val="center"/>
            <w:textDirection w:val="lrTb"/>
            <w:noWrap w:val="false"/>
          </w:tcPr>
          <w:p>
            <w:pPr>
              <w:ind w:firstLine="0"/>
              <w:jc w:val="center"/>
              <w:keepLines w:val="0"/>
              <w:keepNext w:val="0"/>
              <w:pageBreakBefore w:val="0"/>
              <w:spacing w:line="240" w:lineRule="auto"/>
              <w:widowControl w:val="off"/>
              <w:rPr>
                <w:rFonts w:hint="eastAsia"/>
                <w:color w:val="auto"/>
              </w:rPr>
            </w:pPr>
            <w:r>
              <w:rPr>
                <w:rFonts w:hint="eastAsia"/>
                <w:b/>
                <w:bCs/>
                <w:color w:val="auto"/>
              </w:rPr>
              <w:t xml:space="preserve">2.2保税区现有LED灯需改造路灯清单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序号</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道路名称</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路段</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灯杆类型</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光源类型</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功率（W）</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数量(杆)</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道路等级</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色温（K）</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整灯最低光通量（lm）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北京路</w:t>
            </w:r>
            <w:r/>
          </w:p>
        </w:tc>
        <w:tc>
          <w:tcPr>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巡逻路东—巡逻路西</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150+80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96</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主灯：14400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 </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金港路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南大门—北大门</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150+80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94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主灯：21600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华达路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长江路—北京路</w:t>
            </w:r>
            <w:r/>
          </w:p>
        </w:tc>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71</w:t>
            </w:r>
            <w:r/>
          </w:p>
        </w:tc>
        <w:tc>
          <w:tcPr>
            <w:tcBorders>
              <w:top w:val="single" w:color="000000" w:sz="4" w:space="0"/>
              <w:left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right w:val="single" w:color="000000" w:sz="4" w:space="0"/>
            </w:tcBorders>
            <w:tcW w:w="716"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right w:val="single" w:color="000000" w:sz="4" w:space="0"/>
            </w:tcBorders>
            <w:tcW w:w="1524"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北京路-港丰公路</w:t>
            </w:r>
            <w:r/>
          </w:p>
        </w:tc>
        <w:tc>
          <w:tcPr>
            <w:tcBorders>
              <w:top w:val="single" w:color="000000" w:sz="4" w:space="0"/>
              <w:left w:val="single" w:color="000000" w:sz="4" w:space="0"/>
              <w:bottom w:val="single" w:color="000000" w:sz="4" w:space="0"/>
              <w:right w:val="single" w:color="000000" w:sz="4" w:space="0"/>
            </w:tcBorders>
            <w:tcW w:w="91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0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892"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W w:w="716"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W w:w="1524"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港丰公路—长山路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150+90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76</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主灯：27000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长山路—晨丰公路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130+50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主灯：18000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南京东路—长江路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东海路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南京中路—长江路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36</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长江路-北京路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北京路-港华路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69</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晨港路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港华路-中华路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103</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中华路-直港桥</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150+75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59</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主灯：27000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中杆灯 3火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3*200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长山路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港华路—中华路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71</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18000</w:t>
            </w:r>
            <w:r/>
          </w:p>
        </w:tc>
      </w:tr>
      <w:tr>
        <w:trPr>
          <w:jc w:val="center"/>
          <w:trHeight w:val="0"/>
        </w:trPr>
        <w:tc>
          <w:tcPr>
            <w:tcBorders>
              <w:top w:val="single" w:color="000000" w:sz="4" w:space="0"/>
              <w:left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8</w:t>
            </w:r>
            <w:r/>
          </w:p>
        </w:tc>
        <w:tc>
          <w:tcPr>
            <w:tcBorders>
              <w:top w:val="single" w:color="000000" w:sz="4" w:space="0"/>
              <w:left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东大门（高架灯）</w:t>
            </w:r>
            <w:r/>
          </w:p>
        </w:tc>
        <w:tc>
          <w:tcPr>
            <w:tcBorders>
              <w:top w:val="single" w:color="000000" w:sz="4" w:space="0"/>
              <w:left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中杆灯 3火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3*200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中杆灯 5火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5*200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9</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小明沙路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长江东路-港丰公路（仅130杆路灯</w:t>
            </w:r>
            <w:r>
              <w:rPr>
                <w:rFonts w:hint="eastAsia"/>
                <w:color w:val="auto"/>
              </w:rPr>
              <w:br/>
            </w:r>
            <w:r>
              <w:rPr>
                <w:rFonts w:hint="eastAsia"/>
                <w:color w:val="auto"/>
              </w:rPr>
              <w:t xml:space="preserve">预留接口）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140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205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10</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北园路</w:t>
            </w:r>
            <w:r/>
          </w:p>
        </w:tc>
        <w:tc>
          <w:tcPr>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东新路-通港路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120+70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34</w:t>
            </w:r>
            <w:r/>
          </w:p>
        </w:tc>
        <w:tc>
          <w:tcPr>
            <w:tcBorders>
              <w:top w:val="single" w:color="000000" w:sz="4" w:space="0"/>
              <w:left w:val="single" w:color="000000" w:sz="4" w:space="0"/>
              <w:bottom w:val="single" w:color="000000" w:sz="4" w:space="0"/>
              <w:right w:val="single" w:color="000000" w:sz="4" w:space="0"/>
            </w:tcBorders>
            <w:tcW w:w="87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auto" w:sz="4" w:space="0"/>
              <w:right w:val="single" w:color="000000" w:sz="4" w:space="0"/>
            </w:tcBorders>
            <w:tcW w:w="716"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120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w:t>
            </w:r>
            <w:r/>
          </w:p>
        </w:tc>
        <w:tc>
          <w:tcPr>
            <w:tcBorders>
              <w:top w:val="single" w:color="000000" w:sz="4" w:space="0"/>
              <w:left w:val="single" w:color="000000" w:sz="4" w:space="0"/>
              <w:bottom w:val="single" w:color="000000" w:sz="4" w:space="0"/>
              <w:right w:val="single" w:color="000000" w:sz="4" w:space="0"/>
            </w:tcBorders>
            <w:tcW w:w="87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auto" w:sz="4" w:space="0"/>
              <w:left w:val="single" w:color="000000" w:sz="4" w:space="0"/>
              <w:bottom w:val="single" w:color="auto" w:sz="4" w:space="0"/>
              <w:right w:val="single" w:color="000000" w:sz="4" w:space="0"/>
            </w:tcBorders>
            <w:tcW w:w="716"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11</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天津路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巡逻道-福建路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auto"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12</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港澳路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巡逻道-长江路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90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89</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13</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台湾路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巡逻道-长江路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75</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14</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青海路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南海路-东海路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75</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发展路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已建成</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r>
      <w:tr>
        <w:trPr>
          <w:jc w:val="center"/>
          <w:trHeight w:val="0"/>
        </w:trPr>
        <w:tc>
          <w:tcPr>
            <w:tcBorders>
              <w:top w:val="single" w:color="000000" w:sz="4" w:space="0"/>
              <w:left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16</w:t>
            </w:r>
            <w:r/>
          </w:p>
        </w:tc>
        <w:tc>
          <w:tcPr>
            <w:tcBorders>
              <w:top w:val="single" w:color="000000" w:sz="4" w:space="0"/>
              <w:left w:val="single" w:color="000000" w:sz="4" w:space="0"/>
              <w:right w:val="single" w:color="000000" w:sz="4" w:space="0"/>
            </w:tcBorders>
            <w:tcW w:w="99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南海路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长江路-护漕港（预留接口）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100+60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110</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主灯：14400</w:t>
            </w:r>
            <w:r/>
          </w:p>
          <w:p>
            <w:pPr>
              <w:ind w:firstLine="0"/>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W w:w="99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卡口</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17</w:t>
            </w:r>
            <w:r/>
          </w:p>
        </w:tc>
        <w:tc>
          <w:tcPr>
            <w:tcBorders>
              <w:top w:val="single" w:color="000000" w:sz="4" w:space="0"/>
              <w:left w:val="single" w:color="000000" w:sz="4" w:space="0"/>
              <w:bottom w:val="single" w:color="000000" w:sz="4" w:space="0"/>
              <w:right w:val="single" w:color="000000" w:sz="4" w:space="0"/>
            </w:tcBorders>
            <w:tcW w:w="997" w:type="dxa"/>
            <w:vAlign w:val="center"/>
            <w:vMerge w:val="restart"/>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天妃路</w:t>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北京北路-港华路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80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37</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997" w:type="dxa"/>
            <w:vAlign w:val="center"/>
            <w:vMerge w:val="continue"/>
            <w:textDirection w:val="lrTb"/>
            <w:noWrap/>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2075"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港华路-护漕港</w:t>
            </w:r>
            <w:r/>
          </w:p>
        </w:tc>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LED</w:t>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100</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19</w:t>
            </w:r>
            <w:r/>
          </w:p>
        </w:tc>
        <w:tc>
          <w:tcPr>
            <w:tcBorders>
              <w:top w:val="single" w:color="000000" w:sz="4" w:space="0"/>
              <w:left w:val="single" w:color="000000" w:sz="4" w:space="0"/>
              <w:bottom w:val="single" w:color="000000" w:sz="4" w:space="0"/>
              <w:right w:val="single" w:color="000000" w:sz="4" w:space="0"/>
            </w:tcBorders>
            <w:tcW w:w="877"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W w:w="716"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ind w:firstLine="0"/>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73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预留接口指单灯控制器需预留接口。</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r>
    </w:tbl>
    <w:p>
      <w:pPr>
        <w:rPr>
          <w:rFonts w:hint="eastAsia" w:ascii="宋体" w:eastAsia="宋体"/>
          <w:color w:val="auto"/>
          <w:sz w:val="24"/>
          <w:szCs w:val="24"/>
          <w:highlight w:val="none"/>
        </w:rPr>
      </w:pPr>
      <w:r>
        <w:rPr>
          <w:rFonts w:hint="eastAsia" w:ascii="宋体" w:eastAsia="宋体"/>
          <w:color w:val="auto"/>
          <w:sz w:val="24"/>
          <w:szCs w:val="24"/>
          <w:highlight w:val="none"/>
        </w:rPr>
        <w:br w:type="page" w:clear="all"/>
      </w:r>
      <w:r/>
    </w:p>
    <w:p>
      <w:pPr>
        <w:pStyle w:val="813"/>
        <w:ind w:firstLine="0"/>
        <w:rPr>
          <w:rFonts w:hint="eastAsia" w:ascii="宋体" w:eastAsia="宋体"/>
          <w:color w:val="auto"/>
          <w:sz w:val="24"/>
          <w:szCs w:val="24"/>
          <w:highlight w:val="none"/>
        </w:rPr>
      </w:pPr>
      <w:r>
        <w:rPr>
          <w:rFonts w:hint="eastAsia" w:ascii="宋体" w:eastAsia="宋体"/>
          <w:color w:val="auto"/>
          <w:sz w:val="24"/>
          <w:szCs w:val="24"/>
          <w:highlight w:val="none"/>
        </w:rPr>
      </w:r>
      <w:r/>
    </w:p>
    <w:tbl>
      <w:tblPr>
        <w:tblStyle w:val="757"/>
        <w:tblW w:w="9547" w:type="dxa"/>
        <w:tblInd w:w="0" w:type="dxa"/>
        <w:tblLayout w:type="fixed"/>
        <w:tblCellMar>
          <w:left w:w="108" w:type="dxa"/>
          <w:top w:w="0" w:type="dxa"/>
          <w:right w:w="108" w:type="dxa"/>
          <w:bottom w:w="0" w:type="dxa"/>
        </w:tblCellMar>
        <w:tblLook w:val="04A0" w:firstRow="1" w:lastRow="0" w:firstColumn="1" w:lastColumn="0" w:noHBand="0" w:noVBand="1"/>
      </w:tblPr>
      <w:tblGrid>
        <w:gridCol w:w="91"/>
        <w:gridCol w:w="767"/>
        <w:gridCol w:w="1207"/>
        <w:gridCol w:w="1908"/>
        <w:gridCol w:w="1326"/>
        <w:gridCol w:w="3472"/>
        <w:gridCol w:w="776"/>
      </w:tblGrid>
      <w:tr>
        <w:trPr>
          <w:gridBefore w:val="1"/>
          <w:trHeight w:val="0"/>
        </w:trPr>
        <w:tc>
          <w:tcPr>
            <w:gridSpan w:val="6"/>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13"/>
              <w:ind w:firstLine="0"/>
              <w:jc w:val="center"/>
              <w:rPr>
                <w:rFonts w:hint="eastAsia" w:ascii="宋体" w:hAnsi="宋体" w:eastAsia="宋体" w:cs="宋体"/>
                <w:b/>
                <w:bCs/>
                <w:color w:val="auto"/>
                <w:sz w:val="21"/>
                <w:szCs w:val="21"/>
                <w:highlight w:val="none"/>
              </w:rPr>
            </w:pPr>
            <w:r>
              <w:rPr>
                <w:rFonts w:hint="eastAsia" w:ascii="宋体" w:eastAsia="宋体"/>
                <w:b/>
                <w:bCs/>
                <w:color w:val="auto"/>
                <w:sz w:val="21"/>
                <w:szCs w:val="21"/>
                <w:highlight w:val="none"/>
              </w:rPr>
              <w:t xml:space="preserve">2.3保税区现有控制箱需改造清单</w:t>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东大门—台湾路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上海路金港路东南角、上海路雨水泵站</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台湾路—巡逻道西</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巡逻路东—巡逻路西</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美极环球对面西南角、北京路福建路西南角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天霸路—金运通</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金运通市政对面、北京路南海路西南角、北京路南海路西北角、北京路南海路东南角、北京路南海路东北角、北京路天霸路西北角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南大门—北大门</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灿勤科技西侧</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福建路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北京路—上海路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福建路南尽头</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上海路—巡逻路东</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南京东路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黄海路—南海路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南京路南海路东北角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南京西路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南京西路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物流西区南京路东首</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长江路-善政桥</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善政村对面、东大门东南角、东大门西北角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十字港加油站南侧</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善政桥-S338</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137号杆边、77号杆边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东新路</w:t>
            </w:r>
            <w:r/>
          </w:p>
        </w:tc>
        <w:tc>
          <w:tcPr>
            <w:tcBorders>
              <w:top w:val="single" w:color="000000" w:sz="4" w:space="0"/>
              <w:left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千禧北路—长江北路</w:t>
            </w:r>
            <w:r/>
          </w:p>
        </w:tc>
        <w:tc>
          <w:tcPr>
            <w:tcBorders>
              <w:top w:val="single" w:color="000000" w:sz="4" w:space="0"/>
              <w:left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胜牌隔壁</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长江路—北京路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江南涂料厂区外</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北京路-港丰公路</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港丰公路—长山路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华达路晨港路路口、长山路华达路路口</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长山路—晨丰公路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华达路长山路西南角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南京东路—长江路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南海路南京路东北角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南京中路—长江路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东海路长江路西北角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长江路-北京路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东海路长江路东南角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北京路-港华路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东海路青海路东南角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香港路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香港路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香港大连路东北角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厦门路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厦门路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厦门路大连路东北角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宁波路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宁波路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厦门路宁波路西南角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港华路-中华路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天生港侨西侧、晨港路华达路东北角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中华路-直港桥</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晨港路金港路西南角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港华路—中华路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长山路华达路西南角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小明沙路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长江东路-港丰公路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南海路南侧280米路西侧，小明沙路渤海路东南角、天霸路北侧580米</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南海路-东海路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30#路灯旁</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东海路-港丰公路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112#路灯旁</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天霸路-渤海路</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渤海路-南海路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161#-163#路灯之间</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312"/>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北园路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东新路-通港路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北园路天字圩路东南角</w:t>
            </w:r>
            <w:r/>
          </w:p>
        </w:tc>
        <w:tc>
          <w:tcPr>
            <w:tcBorders>
              <w:top w:val="single" w:color="000000" w:sz="4" w:space="0"/>
              <w:left w:val="single" w:color="000000" w:sz="4" w:space="0"/>
              <w:bottom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天津路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巡逻道-福建路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港澳路天津路西北角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港澳路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巡逻道-长江路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港澳路福建路西北角、港澳路北京路西北角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台湾路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巡逻道-长江路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台湾路巡逻道西北角、台湾路天津路西北角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南海路-东海路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中远物流外</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港丰公路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中华路-大新界</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49#路灯旁、港华路-港丰公路东北角、港丰公路-港华路东南角</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五节桥-双龙路</w:t>
            </w:r>
            <w:r/>
          </w:p>
        </w:tc>
        <w:tc>
          <w:tcPr>
            <w:tcBorders>
              <w:top w:val="single" w:color="000000" w:sz="4" w:space="0"/>
              <w:left w:val="single" w:color="000000" w:sz="4" w:space="0"/>
              <w:bottom w:val="single" w:color="000000" w:sz="4" w:space="0"/>
              <w:right w:val="single" w:color="000000" w:sz="4" w:space="0"/>
            </w:tcBorders>
            <w:tcW w:w="1326"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right w:val="single" w:color="000000" w:sz="4" w:space="0"/>
            </w:tcBorders>
            <w:tcW w:w="3472"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21号路灯杆边、68号杆边、14号杆边、47号杆边、123号杆边、149号杆边、174号杆边</w:t>
            </w:r>
            <w:r/>
          </w:p>
        </w:tc>
        <w:tc>
          <w:tcPr>
            <w:tcBorders>
              <w:top w:val="single" w:color="000000" w:sz="4" w:space="0"/>
              <w:left w:val="single" w:color="000000" w:sz="4" w:space="0"/>
              <w:right w:val="single" w:color="000000" w:sz="4" w:space="0"/>
            </w:tcBorders>
            <w:tcW w:w="776" w:type="dxa"/>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双龙路-船闸大桥</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船闸大桥</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船闸大桥-高峰</w:t>
            </w:r>
            <w:r/>
          </w:p>
        </w:tc>
        <w:tc>
          <w:tcPr>
            <w:tcBorders>
              <w:top w:val="single" w:color="000000" w:sz="4" w:space="0"/>
              <w:left w:val="single" w:color="000000" w:sz="4" w:space="0"/>
              <w:bottom w:val="single" w:color="000000" w:sz="4" w:space="0"/>
              <w:right w:val="single" w:color="000000" w:sz="4" w:space="0"/>
            </w:tcBorders>
            <w:tcW w:w="1326"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3472"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77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南海路</w:t>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长江路-护漕港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护漕港河桥北，北京路港华路中间</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207" w:type="dxa"/>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天妃路</w:t>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北京北路-港华路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天妃路港华路路口</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trHeight w:val="0"/>
        </w:trPr>
        <w:tc>
          <w:tcPr>
            <w:tcBorders>
              <w:top w:val="single" w:color="000000" w:sz="4" w:space="0"/>
              <w:left w:val="single" w:color="000000" w:sz="4" w:space="0"/>
              <w:bottom w:val="single" w:color="000000" w:sz="4" w:space="0"/>
              <w:right w:val="single" w:color="000000" w:sz="4" w:space="0"/>
            </w:tcBorders>
            <w:tcW w:w="767"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07"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港华路-护漕港</w:t>
            </w:r>
            <w:r/>
          </w:p>
        </w:tc>
        <w:tc>
          <w:tcPr>
            <w:tcBorders>
              <w:top w:val="single" w:color="000000" w:sz="4" w:space="0"/>
              <w:left w:val="single" w:color="000000" w:sz="4" w:space="0"/>
              <w:bottom w:val="single" w:color="000000" w:sz="4" w:space="0"/>
              <w:right w:val="single" w:color="000000" w:sz="4" w:space="0"/>
            </w:tcBorders>
            <w:tcW w:w="1326"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72"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护漕港河边</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gridSpan w:val="6"/>
            <w:tcBorders>
              <w:top w:val="single" w:color="000000" w:sz="4" w:space="0"/>
              <w:left w:val="single" w:color="000000" w:sz="4" w:space="0"/>
              <w:bottom w:val="single" w:color="000000" w:sz="4" w:space="0"/>
              <w:right w:val="single" w:color="000000" w:sz="4" w:space="0"/>
            </w:tcBorders>
            <w:tcW w:w="8771" w:type="dxa"/>
            <w:vAlign w:val="center"/>
            <w:textDirection w:val="lrTb"/>
            <w:noWrap w:val="false"/>
          </w:tcPr>
          <w:p>
            <w:pPr>
              <w:ind w:firstLine="0"/>
              <w:keepLines w:val="0"/>
              <w:keepNext w:val="0"/>
              <w:pageBreakBefore w:val="0"/>
              <w:spacing w:line="240" w:lineRule="auto"/>
              <w:widowControl w:val="off"/>
              <w:rPr>
                <w:rFonts w:hint="eastAsia" w:eastAsia="宋体"/>
                <w:color w:val="auto"/>
                <w:lang w:eastAsia="zh-CN"/>
              </w:rPr>
            </w:pPr>
            <w:r>
              <w:rPr>
                <w:rFonts w:hint="eastAsia"/>
                <w:color w:val="auto"/>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rPr>
                <w:rFonts w:hint="eastAsia"/>
                <w:color w:val="auto"/>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r>
    </w:tbl>
    <w:p>
      <w:pPr>
        <w:pStyle w:val="813"/>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pStyle w:val="813"/>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pStyle w:val="813"/>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tbl>
      <w:tblPr>
        <w:tblStyle w:val="757"/>
        <w:tblW w:w="10372" w:type="dxa"/>
        <w:jc w:val="center"/>
        <w:tblLayout w:type="fixed"/>
        <w:tblCellMar>
          <w:left w:w="108" w:type="dxa"/>
          <w:top w:w="0" w:type="dxa"/>
          <w:right w:w="108" w:type="dxa"/>
          <w:bottom w:w="0" w:type="dxa"/>
        </w:tblCellMar>
        <w:tblLook w:val="04A0" w:firstRow="1" w:lastRow="0" w:firstColumn="1" w:lastColumn="0" w:noHBand="0" w:noVBand="1"/>
      </w:tblPr>
      <w:tblGrid>
        <w:gridCol w:w="460"/>
        <w:gridCol w:w="880"/>
        <w:gridCol w:w="1955"/>
        <w:gridCol w:w="945"/>
        <w:gridCol w:w="882"/>
        <w:gridCol w:w="1018"/>
        <w:gridCol w:w="780"/>
        <w:gridCol w:w="870"/>
        <w:gridCol w:w="795"/>
        <w:gridCol w:w="1787"/>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372" w:type="dxa"/>
            <w:vAlign w:val="center"/>
            <w:textDirection w:val="lrTb"/>
            <w:noWrap w:val="false"/>
          </w:tcPr>
          <w:p>
            <w:pPr>
              <w:pStyle w:val="813"/>
              <w:ind w:firstLine="0"/>
              <w:jc w:val="center"/>
              <w:rPr>
                <w:rFonts w:hint="eastAsia" w:ascii="宋体" w:hAnsi="宋体" w:eastAsia="宋体" w:cs="宋体"/>
                <w:b/>
                <w:bCs/>
                <w:color w:val="auto"/>
                <w:sz w:val="21"/>
                <w:szCs w:val="21"/>
                <w:highlight w:val="none"/>
              </w:rPr>
            </w:pPr>
            <w:r>
              <w:rPr>
                <w:rFonts w:hint="eastAsia" w:ascii="宋体" w:eastAsia="宋体"/>
                <w:b/>
                <w:bCs/>
                <w:color w:val="auto"/>
                <w:sz w:val="21"/>
                <w:szCs w:val="21"/>
                <w:highlight w:val="none"/>
              </w:rPr>
              <w:t xml:space="preserve">2.4 金港街道现有高压钠灯需改造路灯清单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双龙南路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长江路-通贸街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通贸街</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金港农贸市场</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香山路-双龙南路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中南路-金港人民法庭</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长江路-中南路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双山路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蟠港南路-天福北路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auto" w:sz="4" w:space="0"/>
              <w:right w:val="single" w:color="000000" w:sz="4" w:space="0"/>
            </w:tcBorders>
            <w:tcW w:w="79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79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（增加挑臂）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auto" w:sz="4" w:space="0"/>
              <w:left w:val="single" w:color="000000" w:sz="4" w:space="0"/>
              <w:bottom w:val="single" w:color="auto" w:sz="4" w:space="0"/>
              <w:right w:val="single" w:color="000000" w:sz="4" w:space="0"/>
            </w:tcBorders>
            <w:tcW w:w="79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79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（增加挑臂）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滩上路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蟠港南路-江海路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auto"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宝灵路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长江路以北</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从善路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崇德路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中港路-中兴南路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金桥路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金厦路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团结路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长江中路-双山路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长宏路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香山南路-长江路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振兴路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中圩路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义兴路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天台南路-蟠港南路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长阳路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江海南路以东</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天永路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江海路-南沙大桥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南沙大桥-三甲</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（慢车道挑臂拆除）</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府前街</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香山大街-蒲家湾路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蒲家湾路-香山山顶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250+250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长欣路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镇山中路-张杨公路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崇真路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4火+5火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250+100*3+5*12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辅灯（每杆3套）：7200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长江路-双山码头</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4火+5火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250+100*3+5*12</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勤政路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晨丰公路-中兴路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兴港路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250+100*3+18*7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张杨公路-南大门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400+250+100*2+18*7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主灯：32400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殷家埭路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祥云路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岭南路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烈士陵园-香南西路西环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双山路-长江路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江海中路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张杨公路-香南西路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香南西路-江阴</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柏林路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蟠港路-崇真路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中港新村-中港路东</w:t>
            </w:r>
            <w:r/>
          </w:p>
        </w:tc>
        <w:tc>
          <w:tcPr>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江海路-天台南路</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天台南路-蟠港北路</w:t>
            </w:r>
            <w:r/>
          </w:p>
        </w:tc>
        <w:tc>
          <w:tcPr>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18"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中港南路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黄泗浦路-张杨公路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400+250+100*2+18*7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主灯：36000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金港路-中港路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造型杆 4火+18火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400+250+100*2+18*7</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主灯：32400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辅灯（每杆3套）：18000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江海路-港上路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香山路-长江路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长江路-江阴</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w:t>
            </w:r>
            <w:r/>
          </w:p>
        </w:tc>
        <w:tc>
          <w:tcPr>
            <w:tcBorders>
              <w:top w:val="single" w:color="000000" w:sz="4" w:space="0"/>
              <w:left w:val="single" w:color="000000" w:sz="4" w:space="0"/>
              <w:bottom w:val="single" w:color="000000" w:sz="4" w:space="0"/>
              <w:right w:val="single" w:color="000000" w:sz="4" w:space="0"/>
            </w:tcBorders>
            <w:tcW w:w="1955"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巫山桥-长宏路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 </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港上路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君秀路</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rPr>
                <w:rFonts w:hint="eastAsia" w:ascii="宋体" w:hAnsi="宋体" w:cs="宋体"/>
                <w:b/>
                <w:bCs/>
                <w:color w:val="auto"/>
                <w:sz w:val="21"/>
                <w:szCs w:val="21"/>
                <w:highlight w:val="none"/>
              </w:rPr>
              <w:t xml:space="preserve">预留接口指单灯控制器需预留接口</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cs="宋体"/>
          <w:b/>
          <w:bCs/>
          <w:color w:val="auto"/>
          <w:szCs w:val="24"/>
          <w:highlight w:val="none"/>
        </w:rPr>
      </w:pPr>
      <w:r>
        <w:rPr>
          <w:rFonts w:hint="eastAsia" w:cs="宋体"/>
          <w:b/>
          <w:bCs/>
          <w:color w:val="auto"/>
          <w:szCs w:val="24"/>
          <w:highlight w:val="none"/>
        </w:rPr>
        <w:br w:type="page" w:clear="all"/>
      </w:r>
      <w:r/>
    </w:p>
    <w:tbl>
      <w:tblPr>
        <w:tblStyle w:val="757"/>
        <w:tblpPr w:horzAnchor="page" w:tblpX="841" w:vertAnchor="text" w:tblpY="448" w:leftFromText="180" w:topFromText="0" w:rightFromText="180" w:bottomFromText="0"/>
        <w:tblW w:w="10326" w:type="dxa"/>
        <w:tblInd w:w="0" w:type="dxa"/>
        <w:tblLayout w:type="fixed"/>
        <w:tblCellMar>
          <w:left w:w="108" w:type="dxa"/>
          <w:top w:w="0" w:type="dxa"/>
          <w:right w:w="108" w:type="dxa"/>
          <w:bottom w:w="0" w:type="dxa"/>
        </w:tblCellMar>
        <w:tblLook w:val="04A0" w:firstRow="1" w:lastRow="0" w:firstColumn="1" w:lastColumn="0" w:noHBand="0" w:noVBand="1"/>
      </w:tblPr>
      <w:tblGrid>
        <w:gridCol w:w="502"/>
        <w:gridCol w:w="1274"/>
        <w:gridCol w:w="2220"/>
        <w:gridCol w:w="990"/>
        <w:gridCol w:w="750"/>
        <w:gridCol w:w="855"/>
        <w:gridCol w:w="690"/>
        <w:gridCol w:w="750"/>
        <w:gridCol w:w="855"/>
        <w:gridCol w:w="1440"/>
      </w:tblGrid>
      <w:tr>
        <w:trPr>
          <w:trHeight w:val="622"/>
        </w:trPr>
        <w:tc>
          <w:tcPr>
            <w:gridSpan w:val="10"/>
            <w:tcBorders>
              <w:top w:val="single" w:color="000000" w:sz="4" w:space="0"/>
              <w:left w:val="single" w:color="000000" w:sz="4" w:space="0"/>
              <w:bottom w:val="single" w:color="000000" w:sz="4" w:space="0"/>
              <w:right w:val="single" w:color="000000" w:sz="4" w:space="0"/>
            </w:tcBorders>
            <w:tcW w:w="10326" w:type="dxa"/>
            <w:vAlign w:val="center"/>
            <w:textDirection w:val="lrTb"/>
            <w:noWrap w:val="false"/>
          </w:tcPr>
          <w:p>
            <w:pPr>
              <w:pStyle w:val="813"/>
              <w:ind w:left="0" w:firstLine="0"/>
              <w:jc w:val="center"/>
              <w:rPr>
                <w:rFonts w:hint="eastAsia" w:ascii="宋体" w:hAnsi="宋体" w:cs="宋体"/>
                <w:b/>
                <w:bCs/>
                <w:color w:val="auto"/>
                <w:sz w:val="21"/>
                <w:szCs w:val="21"/>
                <w:highlight w:val="none"/>
              </w:rPr>
            </w:pPr>
            <w:r>
              <w:rPr>
                <w:rFonts w:hint="eastAsia" w:ascii="宋体" w:eastAsia="宋体"/>
                <w:b/>
                <w:bCs/>
                <w:color w:val="auto"/>
                <w:sz w:val="24"/>
                <w:szCs w:val="24"/>
                <w:highlight w:val="none"/>
              </w:rPr>
              <w:t xml:space="preserve">2.5 金港街道现有LED灯需改造路灯清单</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trHeight w:val="0"/>
        </w:trPr>
        <w:tc>
          <w:tcPr>
            <w:tcBorders>
              <w:top w:val="single" w:color="000000" w:sz="4" w:space="0"/>
              <w:left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双龙南路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通贸街-黄泗浦路（桥面道路）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left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通贸街-黄泗浦路（地面道路）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left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东西向辅路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工农桥</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黄泗大桥-港上路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金桥路-金港路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150+75</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长江路-西五节桥街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双山路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江海路-蟠港北路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天福北路-长江路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天福南路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天福北路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宝灵路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长江路以北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安利路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蟠港北路-翟家岸北路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翟家岸北路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振兴路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中圩路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中港路-中兴路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中兴路-张大圩岸巷</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金港现代城-中港新村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虎苑路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东山路-江海路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天永路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东山路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石头巷-张杨公路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w:t>
            </w:r>
            <w:r/>
          </w:p>
        </w:tc>
        <w:tc>
          <w:tcPr>
            <w:tcBorders>
              <w:top w:val="single" w:color="000000" w:sz="4" w:space="0"/>
              <w:left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南沙大桥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trHeight w:val="0"/>
        </w:trPr>
        <w:tc>
          <w:tcPr>
            <w:tcBorders>
              <w:left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trHeight w:val="0"/>
        </w:trPr>
        <w:tc>
          <w:tcPr>
            <w:tcBorders>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桥下吸顶灯（4套）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c>
          <w:tcPr>
            <w:tcBorders>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天华路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香山大街-张杨公路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石头港路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江海路-香山大街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竹风路西延伸路段</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中港路-港东北路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西塘坊圩路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马桥小区南北向</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西五节桥</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西五节桥-江海弄</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黄泗浦路-天台路</w:t>
            </w:r>
            <w:r>
              <w:rPr>
                <w:rFonts w:hint="eastAsia" w:ascii="宋体" w:hAnsi="宋体" w:eastAsia="宋体" w:cs="宋体"/>
                <w:color w:val="auto"/>
                <w:sz w:val="21"/>
                <w:szCs w:val="21"/>
                <w:highlight w:val="none"/>
              </w:rPr>
              <w:t xml:space="preserve">（预留接口）</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蟠港南路南延</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天台路-江海路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江海路-港东北路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江海路-柏林南路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香南西路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江海路-江阴</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240+120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江海大桥</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黄泗浦路-镇山路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江海路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柏林路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上耀路-蟠港路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镇山路-南端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三甲里路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香南东路-张杨公路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中港路东-江海路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主灯：3套32400，其余18000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蟠港北路-香山大桥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222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right w:val="single" w:color="000000" w:sz="4" w:space="0"/>
            </w:tcBorders>
            <w:tcW w:w="855"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主灯：27000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855"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港上路-香山路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香山路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长江路-巫山桥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金香花苑外围镇海路、大圩埭路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港西路-江海路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渡江路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石头浜路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港西路西延路灯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镇山大桥-工农桥</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上耀路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新兴沙路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中港路西侧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 </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君秀路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锦南路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镇山西路以北</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安居路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金康路至中圩路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中港北路以西</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润德路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勤政路至中港南路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黄君秀埭路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香山南路西侧</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海南路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长江路-黄泗浦西路</w:t>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单臂杆 1火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10800</w:t>
            </w:r>
            <w:r/>
          </w:p>
        </w:tc>
      </w:tr>
      <w:tr>
        <w:trPr>
          <w:trHeight w:val="0"/>
        </w:trPr>
        <w:tc>
          <w:tcPr>
            <w:tcBorders>
              <w:top w:val="single" w:color="000000" w:sz="4" w:space="0"/>
              <w:left w:val="single" w:color="000000" w:sz="4" w:space="0"/>
              <w:bottom w:val="single" w:color="000000" w:sz="4" w:space="0"/>
              <w:right w:val="single" w:color="000000" w:sz="4" w:space="0"/>
            </w:tcBorders>
            <w:tcW w:w="502" w:type="dxa"/>
            <w:vAlign w:val="center"/>
            <w:textDirection w:val="lrTb"/>
            <w:noWrap w:val="false"/>
          </w:tcPr>
          <w:p>
            <w:pPr>
              <w:ind w:left="0" w:right="0" w:firstLine="0"/>
              <w:jc w:val="center"/>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大德路（华达路西）</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单臂杆 1火</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LED</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支路</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10800</w:t>
            </w:r>
            <w:r/>
          </w:p>
        </w:tc>
      </w:tr>
      <w:tr>
        <w:trPr>
          <w:trHeight w:val="0"/>
        </w:trPr>
        <w:tc>
          <w:tcPr>
            <w:gridSpan w:val="9"/>
            <w:tcBorders>
              <w:top w:val="single" w:color="000000" w:sz="4" w:space="0"/>
              <w:left w:val="single" w:color="000000" w:sz="4" w:space="0"/>
              <w:bottom w:val="single" w:color="000000" w:sz="4" w:space="0"/>
              <w:right w:val="single" w:color="000000" w:sz="4" w:space="0"/>
            </w:tcBorders>
            <w:tcW w:w="8886"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p>
      <w:pPr>
        <w:pStyle w:val="813"/>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tbl>
      <w:tblPr>
        <w:tblStyle w:val="757"/>
        <w:tblW w:w="9588" w:type="dxa"/>
        <w:jc w:val="center"/>
        <w:tblLayout w:type="autofit"/>
        <w:tblCellMar>
          <w:left w:w="108" w:type="dxa"/>
          <w:top w:w="0" w:type="dxa"/>
          <w:right w:w="108" w:type="dxa"/>
          <w:bottom w:w="0" w:type="dxa"/>
        </w:tblCellMar>
        <w:tblLook w:val="04A0" w:firstRow="1" w:lastRow="0" w:firstColumn="1" w:lastColumn="0" w:noHBand="0" w:noVBand="1"/>
      </w:tblPr>
      <w:tblGrid>
        <w:gridCol w:w="724"/>
        <w:gridCol w:w="1630"/>
        <w:gridCol w:w="2316"/>
        <w:gridCol w:w="1339"/>
        <w:gridCol w:w="2844"/>
        <w:gridCol w:w="735"/>
      </w:tblGrid>
      <w:tr>
        <w:trPr>
          <w:jc w:val="center"/>
          <w:trHeight w:val="0"/>
        </w:trPr>
        <w:tc>
          <w:tcPr>
            <w:gridSpan w:val="6"/>
            <w:tcBorders>
              <w:top w:val="single" w:color="000000" w:sz="4" w:space="0"/>
              <w:left w:val="single" w:color="000000" w:sz="4" w:space="0"/>
              <w:bottom w:val="single" w:color="000000" w:sz="4" w:space="0"/>
              <w:right w:val="single" w:color="000000" w:sz="4" w:space="0"/>
            </w:tcBorders>
            <w:tcW w:w="9588" w:type="dxa"/>
            <w:vAlign w:val="center"/>
            <w:textDirection w:val="lrTb"/>
            <w:noWrap w:val="false"/>
          </w:tcPr>
          <w:p>
            <w:pPr>
              <w:pStyle w:val="813"/>
              <w:ind w:firstLine="0"/>
              <w:jc w:val="center"/>
              <w:rPr>
                <w:rFonts w:hint="eastAsia" w:ascii="宋体" w:hAnsi="宋体" w:eastAsia="宋体" w:cs="宋体"/>
                <w:b/>
                <w:bCs/>
                <w:color w:val="auto"/>
                <w:sz w:val="21"/>
                <w:szCs w:val="21"/>
                <w:highlight w:val="none"/>
              </w:rPr>
            </w:pPr>
            <w:r>
              <w:rPr>
                <w:rFonts w:hint="eastAsia" w:ascii="宋体" w:eastAsia="宋体"/>
                <w:b/>
                <w:bCs/>
                <w:color w:val="auto"/>
                <w:sz w:val="24"/>
                <w:szCs w:val="24"/>
                <w:highlight w:val="none"/>
              </w:rPr>
              <w:t xml:space="preserve">2.6金港街道现有控制箱需改造清单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双龙南路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长江路-通贸街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农贸市场2#变南侧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通贸街-黄泗浦路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通贸街-黄泗浦路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工农桥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黄泗大桥-港上路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黄泗大桥-港上路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通贸街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金港农贸市场</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君秀路变下方</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香山路-双龙南路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金桥路-金港路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晨丰路勤政路路口（6622947527）</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中南路-金港人民法庭</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中兴路029#路灯东侧</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长江路-中南路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长江路-西五节桥街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长江中路南侧中兴南路西侧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长江花苑27幢楼西侧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江海路-蟠港北路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江海路-蟠港北路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蟠港南路-天福北路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051#路灯杆北侧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天福北路-长江路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龙泉变下方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商贸楼变下方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滩上路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蟠港南路-江海路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天福南路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天福北路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蟠港南路-江海中路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宝灵路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江海粮油2#变下方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从善路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中兴桥西北侧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中港路-中兴南路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中兴桥西北侧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九牧洁具东弄里</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中兴南路-中港路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新雅酒店北侧（桥边）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蟠港北路-翟家岸北路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安利路变下方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翟家岸北路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翟家岸北变下方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团结路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长江中路-双山路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中圩新村15组变下方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香山南路-长江路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香山南路-长江路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振兴路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中港路-张大圩岸巷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黄泗浦大桥西南侧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江海路-中港路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小学西变下方</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中港路-中兴路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中兴路-张大圩岸巷</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金港现代城-中港新村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64幢西侧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义兴路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天台南路-蟠港南路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天台南路西侧义兴路北侧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虎苑路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江海南路以东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长阳路-天永路路口（ 6700074628）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天永路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香南东路-港西中路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石头巷-张杨公路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石头巷-张杨公路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香山大街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江海路-南沙大桥</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东山村2#路灯变下方，东山村1#路灯变下方，南沙大桥西南侧</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南沙大桥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南沙大桥-三甲</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府前街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香山大街-蒲家湾路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府前街变北侧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望江路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蒲家湾路-香山山顶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蒲家湾路-香山山顶</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香山大街-张杨公路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香山大街-张杨公路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长欣路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镇山中路-张杨公路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邱家埭变下方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石头港路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江海路-香山大街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东山村部2#路灯变下方</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竹风路西延伸路段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中港路-港东北路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马桥小区5幢东侧围墙外</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西塘坊圩路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马桥小区南北向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马桥小区南北向</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西五节桥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西五节桥-江海弄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西五节桥-江海弄</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兴港路崇真路路口（6622947528）、勤政路崇真路路口（6622947529）、中港路崇真路西南角</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长江路-双山码头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蟠港北路东侧双山路南侧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5#路灯杆西侧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蟠港南路南延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三节桥-江海路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三节桥-江海路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金港路-柏林路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兴港路蟠港东路路口（6622947528）、中港路老张杨路口、中港路蟠港东路路口（ 6622740074）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勤政路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晨丰公路-中兴路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金桥小区内</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勤政路殷家埭路路口（6622947531）、勤政路崇真路路口（6622947529）</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祥云路-晨丰路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兴港路蟠港东路路口（6622947528）、兴港路南尽头（6622947530）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张杨公路-南大门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金港路金都东门（6622684122）、金港路后塍高中围墙东侧（6620027306）、金港路南首（6622947530）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殷家埭路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勤政路殷家埭路路口（6622947531）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祥云路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兴港路祥云路路口（6622947530）</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岭南路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烈士陵园-香南西路西环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烈士陵园-香南西路西环</w:t>
            </w:r>
            <w:r/>
          </w:p>
        </w:tc>
        <w:tc>
          <w:tcPr>
            <w:tcBorders>
              <w:top w:val="single" w:color="000000" w:sz="4" w:space="0"/>
              <w:left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江海路-柏林南路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江海路-柏林南路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江海路-江阴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江海路-江阴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双山路-长江路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231#路灯杆南侧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207#路灯杆北侧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江海大桥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黄泗浦路-镇山路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江海大桥西侧黄泗浦路南侧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江海路镇山路西南角（6700103688）</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张杨公路-香南西路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烈士陵园门口</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香南西路-江阴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21#路灯杆西侧（ 6700082563）</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柏林路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上耀路-蟠港路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柏林路</w:t>
            </w:r>
            <w:r/>
          </w:p>
        </w:tc>
        <w:tc>
          <w:tcPr>
            <w:tcBorders>
              <w:top w:val="single" w:color="000000" w:sz="4" w:space="0"/>
              <w:left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蟠港路-崇真路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崇真路-镇山路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镇山路-南端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三甲里路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香南东路-张杨公路</w:t>
            </w:r>
            <w:r/>
          </w:p>
        </w:tc>
        <w:tc>
          <w:tcPr>
            <w:tcBorders>
              <w:top w:val="single" w:color="000000" w:sz="4" w:space="0"/>
              <w:left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中港路东-江海路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w:t>
            </w:r>
            <w:r/>
          </w:p>
        </w:tc>
        <w:tc>
          <w:tcPr>
            <w:tcBorders>
              <w:top w:val="single" w:color="000000" w:sz="4" w:space="0"/>
              <w:left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东-中港路东</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江海路-天台南路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天台南路-蟠港北路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蟠港北路-香山大桥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长江路-双山路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长江路-黄泗浦路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中圩路南侧中港路西侧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镇山路中港路路口（6622684951）、镇山路中港路路口（6622684951）、中港路老张杨路口（6622740074）</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后塍高中围墙东侧（6620027306）、镇山路中港路路口（6622684951）</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江海路-港上路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江海南路西侧镇山路南侧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港上路-香山路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港上路-香山路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香山路-长江路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江海南路西侧镇山路南侧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长江路-江阴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长江路-江阴</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长江路-巫山桥</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巫山大桥西侧</w:t>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巫山桥-长宏路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844"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金香花苑外围镇海路、大圩埭路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港西路-江海路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港西路-江海路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港上路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港上路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港上路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渡江路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渡江路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渡江路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园林路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园林路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园林路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石头浜路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石头浜路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石头浜路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港西北路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港西路西延路灯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镇山大桥-工农桥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镇山大桥-工农桥</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宝岛路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君秀路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黄泗浦西路至长江西路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锦南路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镇山西路以北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大圩埭港西路西延路口</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安居路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金康路至中圩路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金康路至中圩路</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中港北路以西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中港北路以西</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630"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黄君秀埭路</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香山南路西侧</w:t>
            </w:r>
            <w:r/>
          </w:p>
        </w:tc>
        <w:tc>
          <w:tcPr>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44"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香山南路西侧</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gridSpan w:val="6"/>
            <w:tcBorders>
              <w:top w:val="single" w:color="000000" w:sz="4" w:space="0"/>
              <w:left w:val="single" w:color="000000" w:sz="4" w:space="0"/>
              <w:bottom w:val="single" w:color="000000" w:sz="4" w:space="0"/>
              <w:right w:val="single" w:color="000000" w:sz="4" w:space="0"/>
            </w:tcBorders>
            <w:tcW w:w="9588"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color w:val="auto"/>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r>
    </w:tbl>
    <w:p>
      <w:pPr>
        <w:pStyle w:val="813"/>
        <w:ind w:firstLine="0"/>
        <w:rPr>
          <w:rFonts w:hint="eastAsia" w:ascii="宋体" w:eastAsia="宋体"/>
          <w:b/>
          <w:bCs/>
          <w:color w:val="auto"/>
          <w:sz w:val="24"/>
          <w:szCs w:val="24"/>
          <w:highlight w:val="none"/>
        </w:rPr>
      </w:pPr>
      <w:r>
        <w:rPr>
          <w:rFonts w:hint="eastAsia" w:ascii="宋体" w:eastAsia="宋体"/>
          <w:b/>
          <w:bCs/>
          <w:color w:val="auto"/>
          <w:sz w:val="24"/>
          <w:szCs w:val="24"/>
          <w:highlight w:val="none"/>
        </w:rPr>
      </w:r>
      <w:r/>
    </w:p>
    <w:p>
      <w:pPr>
        <w:rPr>
          <w:rFonts w:hint="eastAsia" w:ascii="宋体" w:eastAsia="宋体"/>
          <w:b/>
          <w:bCs/>
          <w:color w:val="auto"/>
          <w:sz w:val="24"/>
          <w:szCs w:val="24"/>
          <w:highlight w:val="none"/>
        </w:rPr>
        <w:sectPr>
          <w:headerReference w:type="default" r:id="rId10"/>
          <w:footerReference w:type="default" r:id="rId13"/>
          <w:footerReference w:type="first" r:id="rId14"/>
          <w:footnotePr/>
          <w:endnotePr/>
          <w:type w:val="nextPage"/>
          <w:pgSz w:w="11906" w:h="16838" w:orient="portrait"/>
          <w:pgMar w:top="1440" w:right="1269" w:bottom="1440" w:left="1397" w:header="851" w:footer="992" w:gutter="0"/>
          <w:cols w:num="1" w:sep="0" w:space="1701" w:equalWidth="1"/>
          <w:docGrid w:linePitch="360"/>
          <w:titlePg/>
        </w:sectPr>
      </w:pPr>
      <w:r>
        <w:rPr>
          <w:rFonts w:hint="eastAsia" w:ascii="宋体" w:eastAsia="宋体"/>
          <w:b/>
          <w:bCs/>
          <w:color w:val="auto"/>
          <w:sz w:val="24"/>
          <w:szCs w:val="24"/>
          <w:highlight w:val="none"/>
        </w:rPr>
        <w:br w:type="page" w:clear="all"/>
      </w:r>
      <w:r/>
    </w:p>
    <w:tbl>
      <w:tblPr>
        <w:tblStyle w:val="757"/>
        <w:tblW w:w="9679" w:type="dxa"/>
        <w:jc w:val="center"/>
        <w:tblLayout w:type="fixed"/>
        <w:tblCellMar>
          <w:left w:w="108" w:type="dxa"/>
          <w:top w:w="0" w:type="dxa"/>
          <w:right w:w="108" w:type="dxa"/>
          <w:bottom w:w="0" w:type="dxa"/>
        </w:tblCellMar>
        <w:tblLook w:val="04A0" w:firstRow="1" w:lastRow="0" w:firstColumn="1" w:lastColumn="0" w:noHBand="0" w:noVBand="1"/>
      </w:tblPr>
      <w:tblGrid>
        <w:gridCol w:w="810"/>
        <w:gridCol w:w="974"/>
        <w:gridCol w:w="1215"/>
        <w:gridCol w:w="945"/>
        <w:gridCol w:w="795"/>
        <w:gridCol w:w="885"/>
        <w:gridCol w:w="690"/>
        <w:gridCol w:w="870"/>
        <w:gridCol w:w="990"/>
        <w:gridCol w:w="1505"/>
      </w:tblGrid>
      <w:tr>
        <w:trPr>
          <w:jc w:val="center"/>
          <w:trHeight w:val="412"/>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679" w:type="dxa"/>
            <w:vAlign w:val="center"/>
            <w:textDirection w:val="lrTb"/>
            <w:noWrap w:val="false"/>
          </w:tcPr>
          <w:p>
            <w:pPr>
              <w:ind w:firstLine="0"/>
              <w:jc w:val="center"/>
              <w:keepLines w:val="0"/>
              <w:keepNext w:val="0"/>
              <w:pageBreakBefore w:val="0"/>
              <w:spacing w:line="240" w:lineRule="auto"/>
              <w:widowControl w:val="off"/>
              <w:rPr>
                <w:rFonts w:hint="eastAsia"/>
                <w:color w:val="auto"/>
              </w:rPr>
            </w:pPr>
            <w:r>
              <w:rPr>
                <w:rFonts w:hint="eastAsia"/>
                <w:b/>
                <w:bCs/>
                <w:color w:val="auto"/>
              </w:rPr>
              <w:t xml:space="preserve">2.7后塍街道现有高压钠灯需改造路灯清单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道路名称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路段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灯杆类型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光源类型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功率（W）</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数量(杆)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道路等级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色温（K）</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val="false"/>
          </w:tcPr>
          <w:p>
            <w:pPr>
              <w:ind w:firstLine="0"/>
              <w:jc w:val="center"/>
              <w:keepLines w:val="0"/>
              <w:keepNext w:val="0"/>
              <w:pageBreakBefore w:val="0"/>
              <w:spacing w:line="240" w:lineRule="auto"/>
              <w:widowControl w:val="off"/>
              <w:rPr>
                <w:rFonts w:hint="eastAsia"/>
                <w:b/>
                <w:bCs/>
                <w:color w:val="auto"/>
              </w:rPr>
            </w:pPr>
            <w:r>
              <w:rPr>
                <w:rFonts w:hint="eastAsia"/>
                <w:b/>
                <w:bCs/>
                <w:color w:val="auto"/>
              </w:rPr>
              <w:t xml:space="preserve">整灯最低光通量（lm）</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后塍中街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后塍新街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后塍北街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银河街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中华路-新街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西墩路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塍南路-解放路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东隆东路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健康路东-人民南路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文星路南段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张杨公路两侧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张杨公路匝道以南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主灯：14400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文星南路匝道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陈家场弄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康新路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健康南路-文星南路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文昌路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澄杨路-文昌小区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健康路斜路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塍南路-健康南路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健康北路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塍中路北侧桥-澄杨路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袁塍路南侧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袁塍路南侧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袁塍路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长江明珠路以西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34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袁塍路东侧道路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双河路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袁塍路-嘉鹏路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长江明珠路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张杨公路-袁塍路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新学路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文星南路-塍德小区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主灯：14400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高梧庄路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酒香路至港华路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朱家宕村东风路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朱家宕村科技路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崇真路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金港路-金田路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造型杆 4火+5火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250+100*3+5*12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主灯：10800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辅灯（每杆3套）：7200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蟠港路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金港路-金田路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造型杆 4火+5火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250+100*3+5*12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次干路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主灯：14400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辅灯（每杆3套）：10800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镇山路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金港路-中华路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造型杆 4火+18火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400+250+100*2+18*7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60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主灯：32400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辅灯（每杆3套）：2套32400，其余18000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装饰灯：1875</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晨丰公路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中华路-华达路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32400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(慢车道挑臂拆除)</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top w:val="single" w:color="000000" w:sz="4" w:space="0"/>
              <w:left w:val="single" w:color="000000" w:sz="4" w:space="0"/>
              <w:right w:val="single" w:color="000000" w:sz="4" w:space="0"/>
            </w:tcBorders>
            <w:tcMar>
              <w:left w:w="108" w:type="dxa"/>
              <w:top w:w="0" w:type="dxa"/>
              <w:right w:w="108" w:type="dxa"/>
              <w:bottom w:w="0" w:type="dxa"/>
            </w:tcMar>
            <w:tcW w:w="0" w:type="auto"/>
            <w:vAlign w:val="center"/>
            <w:vMerge w:val="restart"/>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25</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974"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港华路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江阴-塍东路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中杆灯 4火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中杆灯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塍东路-晨港路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94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中杆灯 4火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晨港路-港丰公路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双臂杆 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76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中杆灯 4火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4*250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32400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right w:val="single" w:color="000000" w:sz="4" w:space="0"/>
            </w:tcBorders>
            <w:tcMar>
              <w:left w:w="108" w:type="dxa"/>
              <w:top w:w="0" w:type="dxa"/>
              <w:right w:w="108" w:type="dxa"/>
              <w:bottom w:w="0" w:type="dxa"/>
            </w:tcMar>
            <w:tcW w:w="1215"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路灯恢复路段</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单杆1火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暂未安装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22</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870" w:type="dxa"/>
            <w:vAlign w:val="center"/>
            <w:vMerge w:val="restart"/>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主干路</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990" w:type="dxa"/>
            <w:vAlign w:val="center"/>
            <w:vMerge w:val="restart"/>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45000</w:t>
            </w:r>
            <w:r/>
          </w:p>
        </w:tc>
      </w:tr>
      <w:tr>
        <w:trPr>
          <w:jc w:val="center"/>
          <w:trHeight w:val="0"/>
        </w:trPr>
        <w:tc>
          <w:tcPr>
            <w:tcBorders>
              <w:left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单杆2火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暂未安装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55</w:t>
            </w:r>
            <w:r/>
          </w:p>
        </w:tc>
        <w:tc>
          <w:tcPr>
            <w:tcBorders>
              <w:left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主灯：45000</w:t>
            </w:r>
            <w:r/>
          </w:p>
          <w:p>
            <w:pPr>
              <w:ind w:firstLine="0"/>
              <w:jc w:val="left"/>
              <w:keepLines w:val="0"/>
              <w:keepNext w:val="0"/>
              <w:pageBreakBefore w:val="0"/>
              <w:spacing w:line="240" w:lineRule="auto"/>
              <w:widowControl w:val="off"/>
              <w:rPr>
                <w:rFonts w:hint="eastAsia"/>
                <w:color w:val="auto"/>
              </w:rPr>
            </w:pPr>
            <w:r>
              <w:rPr>
                <w:rFonts w:hint="eastAsia"/>
                <w:color w:val="auto"/>
              </w:rPr>
              <w:t xml:space="preserve">辅灯：7200</w:t>
            </w:r>
            <w:r/>
          </w:p>
        </w:tc>
      </w:tr>
      <w:tr>
        <w:trPr>
          <w:jc w:val="center"/>
          <w:trHeight w:val="0"/>
        </w:trPr>
        <w:tc>
          <w:tcPr>
            <w:tcBorders>
              <w:left w:val="single" w:color="000000" w:sz="4" w:space="0"/>
              <w:bottom w:val="single" w:color="000000" w:sz="4" w:space="0"/>
              <w:right w:val="single" w:color="000000" w:sz="4" w:space="0"/>
            </w:tcBorders>
            <w:tcMar>
              <w:left w:w="108" w:type="dxa"/>
              <w:top w:w="0" w:type="dxa"/>
              <w:right w:w="108" w:type="dxa"/>
              <w:bottom w:w="0" w:type="dxa"/>
            </w:tcMar>
            <w:tcW w:w="0" w:type="auto"/>
            <w:vAlign w:val="center"/>
            <w:vMerge w:val="continue"/>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立杆2火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暂未安装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2</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vMerge w:val="continue"/>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vMerge w:val="continue"/>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三新路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三新路</w:t>
            </w:r>
            <w:r>
              <w:rPr>
                <w:rFonts w:hint="eastAsia"/>
                <w:color w:val="auto"/>
              </w:rPr>
              <w:br/>
            </w:r>
            <w:r>
              <w:rPr>
                <w:rFonts w:hint="eastAsia"/>
                <w:color w:val="auto"/>
              </w:rPr>
              <w:t xml:space="preserve">(文昌小区门口-文昌小区北侧道路)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0" w:type="auto"/>
            <w:vAlign w:val="center"/>
            <w:textDirection w:val="lrTb"/>
            <w:noWrap w:val="false"/>
          </w:tcPr>
          <w:p>
            <w:pPr>
              <w:ind w:firstLine="0"/>
              <w:keepLines w:val="0"/>
              <w:keepNext w:val="0"/>
              <w:pageBreakBefore w:val="0"/>
              <w:spacing w:line="240" w:lineRule="auto"/>
              <w:widowControl w:val="off"/>
              <w:rPr>
                <w:rFonts w:hint="default"/>
                <w:color w:val="auto"/>
                <w:lang w:val="en-US" w:eastAsia="zh-CN"/>
              </w:rPr>
            </w:pPr>
            <w:r>
              <w:rPr>
                <w:rFonts w:hint="eastAsia"/>
                <w:color w:val="auto"/>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新塍花苑路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新塍路至文星南路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4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单臂杆 1火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ind w:firstLine="0"/>
              <w:jc w:val="left"/>
              <w:keepLines w:val="0"/>
              <w:keepNext w:val="0"/>
              <w:pageBreakBefore w:val="0"/>
              <w:spacing w:line="240" w:lineRule="auto"/>
              <w:widowControl w:val="off"/>
              <w:rPr>
                <w:rFonts w:hint="eastAsia"/>
                <w:color w:val="auto"/>
              </w:rPr>
            </w:pPr>
            <w:r>
              <w:rPr>
                <w:rFonts w:hint="eastAsia"/>
                <w:color w:val="auto"/>
              </w:rPr>
              <w:t xml:space="preserve">钠灯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150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支路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0"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3000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tcPr>
          <w:p>
            <w:pPr>
              <w:ind w:firstLine="0"/>
              <w:jc w:val="left"/>
              <w:keepLines w:val="0"/>
              <w:keepNext w:val="0"/>
              <w:pageBreakBefore w:val="0"/>
              <w:spacing w:line="240" w:lineRule="auto"/>
              <w:widowControl w:val="off"/>
              <w:rPr>
                <w:rFonts w:hint="eastAsia"/>
                <w:color w:val="auto"/>
              </w:rPr>
            </w:pPr>
            <w:r>
              <w:rPr>
                <w:rFonts w:hint="eastAsia"/>
                <w:color w:val="auto"/>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74"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5" w:type="dxa"/>
            <w:vAlign w:val="center"/>
            <w:textDirection w:val="lrTb"/>
            <w:noWrap w:val="false"/>
          </w:tcPr>
          <w:p>
            <w:pPr>
              <w:ind w:firstLine="0"/>
              <w:keepLines w:val="0"/>
              <w:keepNext w:val="0"/>
              <w:pageBreakBefore w:val="0"/>
              <w:spacing w:line="240" w:lineRule="auto"/>
              <w:widowControl w:val="off"/>
              <w:rPr>
                <w:rFonts w:hint="eastAsia"/>
                <w:color w:val="auto"/>
              </w:rPr>
            </w:pPr>
            <w:r>
              <w:rPr>
                <w:rFonts w:hint="eastAsia"/>
                <w:color w:val="auto"/>
              </w:rPr>
            </w:r>
            <w:r/>
          </w:p>
        </w:tc>
      </w:tr>
    </w:tbl>
    <w:p>
      <w:pPr>
        <w:rPr>
          <w:rFonts w:hint="eastAsia" w:ascii="宋体" w:eastAsia="宋体"/>
          <w:b/>
          <w:bCs/>
          <w:color w:val="auto"/>
          <w:sz w:val="24"/>
          <w:szCs w:val="24"/>
          <w:highlight w:val="none"/>
        </w:rPr>
      </w:pPr>
      <w:r>
        <w:rPr>
          <w:rFonts w:hint="eastAsia" w:ascii="宋体" w:eastAsia="宋体"/>
          <w:b/>
          <w:bCs/>
          <w:color w:val="auto"/>
          <w:sz w:val="24"/>
          <w:szCs w:val="24"/>
          <w:highlight w:val="none"/>
        </w:rPr>
        <w:br w:type="page" w:clear="all"/>
      </w:r>
      <w:r/>
    </w:p>
    <w:p>
      <w:pPr>
        <w:rPr>
          <w:rFonts w:hint="eastAsia" w:ascii="宋体" w:eastAsia="宋体"/>
          <w:b/>
          <w:bCs/>
          <w:color w:val="auto"/>
          <w:sz w:val="24"/>
          <w:szCs w:val="24"/>
          <w:highlight w:val="none"/>
        </w:rPr>
      </w:pPr>
      <w:r>
        <w:rPr>
          <w:rFonts w:hint="eastAsia" w:ascii="宋体" w:eastAsia="宋体"/>
          <w:b/>
          <w:bCs/>
          <w:color w:val="auto"/>
          <w:sz w:val="24"/>
          <w:szCs w:val="24"/>
          <w:highlight w:val="none"/>
        </w:rPr>
      </w:r>
      <w:r/>
    </w:p>
    <w:tbl>
      <w:tblPr>
        <w:tblStyle w:val="757"/>
        <w:tblW w:w="10340" w:type="dxa"/>
        <w:jc w:val="center"/>
        <w:tblLayout w:type="fixed"/>
        <w:tblCellMar>
          <w:left w:w="108" w:type="dxa"/>
          <w:top w:w="0" w:type="dxa"/>
          <w:right w:w="108" w:type="dxa"/>
          <w:bottom w:w="0" w:type="dxa"/>
        </w:tblCellMar>
        <w:tblLook w:val="04A0" w:firstRow="1" w:lastRow="0" w:firstColumn="1" w:lastColumn="0" w:noHBand="0" w:noVBand="1"/>
      </w:tblPr>
      <w:tblGrid>
        <w:gridCol w:w="1026"/>
        <w:gridCol w:w="1026"/>
        <w:gridCol w:w="1026"/>
        <w:gridCol w:w="1027"/>
        <w:gridCol w:w="1027"/>
        <w:gridCol w:w="1027"/>
        <w:gridCol w:w="1027"/>
        <w:gridCol w:w="1027"/>
        <w:gridCol w:w="1027"/>
        <w:gridCol w:w="1100"/>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340" w:type="dxa"/>
            <w:vAlign w:val="center"/>
            <w:textDirection w:val="lrTb"/>
            <w:noWrap w:val="false"/>
          </w:tcPr>
          <w:p>
            <w:pPr>
              <w:pStyle w:val="813"/>
              <w:ind w:firstLine="0"/>
              <w:jc w:val="center"/>
              <w:rPr>
                <w:rFonts w:hint="eastAsia" w:ascii="宋体" w:hAnsi="宋体" w:cs="宋体"/>
                <w:b/>
                <w:bCs/>
                <w:color w:val="auto"/>
                <w:sz w:val="21"/>
                <w:szCs w:val="21"/>
                <w:highlight w:val="none"/>
              </w:rPr>
            </w:pPr>
            <w:r>
              <w:rPr>
                <w:rFonts w:hint="eastAsia" w:ascii="宋体" w:eastAsia="宋体"/>
                <w:b/>
                <w:bCs/>
                <w:color w:val="auto"/>
                <w:sz w:val="24"/>
                <w:szCs w:val="24"/>
                <w:highlight w:val="none"/>
              </w:rPr>
              <w:t xml:space="preserve">2.8后塍街道现有LED灯需改造路灯清单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中华路-文星路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人民路北段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澄杨路以北</w:t>
            </w:r>
            <w:r/>
          </w:p>
        </w:tc>
        <w:tc>
          <w:tcPr>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塍中路-张杨公路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人民北路-文星北路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解放西路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解放东路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中华路-人民北路（预留接口）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东隆东路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健康路东-人民南路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东隆西路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人民南路-中华路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文星路南段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文星北路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塍南路-塍中路北侧桥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金城三村西侧道路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蟠港东路-晨丰公路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袁塍路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长江明珠路-新澄路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张杨公路以南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主灯：32400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新塍路-港华路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新澄路-文星南路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文星南路-塍德小区（预留接口）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新塍路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张杨公路-新学路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新学路-双朱路（预留接口）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高梧庄路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酒香路至港华路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朱家宕村东风路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150+75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晨港路-蟠港东路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港华路-杨舍界（需预留接口）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普通杆</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健康路-文星南路（需预留接口）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文星南路-兴塍桥（需预留接口）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兴塍桥（需预留接口）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（兴塍桥-高桥路）（需预留接口）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160+160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180+150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left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主灯：21600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隧道灯</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吸顶灯</w:t>
            </w:r>
            <w:r>
              <w:rPr>
                <w:rFonts w:hint="eastAsia" w:ascii="宋体" w:hAnsi="宋体" w:eastAsia="宋体" w:cs="宋体"/>
                <w:color w:val="auto"/>
                <w:sz w:val="21"/>
                <w:szCs w:val="21"/>
                <w:highlight w:val="none"/>
              </w:rPr>
              <w:t xml:space="preserve">（75套）</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c>
          <w:tcPr>
            <w:tcBorders>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3600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吸顶灯18000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高桥路-杨舍界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人民路-健康路（需预留接口）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中华路-人民路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中华路-港华路（需预留接口）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双朱路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肖封路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肖封路-长江明珠路道路照明工程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(澄杨路-文昌小区门口)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(文昌小区北侧道路以北)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文化路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酒香路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塍东路-张杨公路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主灯：10800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auto" w:sz="4" w:space="0"/>
              <w:left w:val="single" w:color="auto"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auto"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华达路南延</w:t>
            </w:r>
            <w:r/>
          </w:p>
        </w:tc>
        <w:tc>
          <w:tcPr>
            <w:tcBorders>
              <w:top w:val="single" w:color="auto" w:sz="4" w:space="0"/>
              <w:left w:val="single" w:color="000000" w:sz="4" w:space="0"/>
              <w:bottom w:val="single" w:color="000000" w:sz="4" w:space="0"/>
              <w:right w:val="single" w:color="auto"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晨丰公路以南（预留接口）</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180+70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top w:val="singl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auto"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华达路至三新路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（文昌小区北侧道路）</w:t>
            </w:r>
            <w:r/>
          </w:p>
        </w:tc>
        <w:tc>
          <w:tcPr>
            <w:tcBorders>
              <w:top w:val="single" w:color="000000" w:sz="4" w:space="0"/>
              <w:left w:val="single" w:color="auto"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right w:val="single" w:color="000000" w:sz="4" w:space="0"/>
            </w:tcBorders>
            <w:tcW w:w="1027"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三新路至港华路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auto" w:sz="4" w:space="0"/>
              <w:right w:val="single" w:color="000000" w:sz="4" w:space="0"/>
            </w:tcBorders>
            <w:tcW w:w="1026" w:type="dxa"/>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right w:val="single" w:color="000000" w:sz="4" w:space="0"/>
            </w:tcBorders>
            <w:tcW w:w="1026"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auto"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港华路至新高桥</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left w:val="single" w:color="auto" w:sz="4" w:space="0"/>
              <w:right w:val="single" w:color="000000" w:sz="4" w:space="0"/>
            </w:tcBorders>
            <w:tcW w:w="102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026"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auto" w:sz="4" w:space="0"/>
            </w:tcBorders>
            <w:tcW w:w="1026"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下穿道路（港华路）（预留接口）</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right w:val="single" w:color="000000" w:sz="4" w:space="0"/>
            </w:tcBorders>
            <w:tcW w:w="1027"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right w:val="single" w:color="000000" w:sz="4" w:space="0"/>
            </w:tcBorders>
            <w:tcW w:w="1027" w:type="dxa"/>
            <w:vAlign w:val="center"/>
            <w:vMerge w:val="restart"/>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r>
      <w:tr>
        <w:trPr>
          <w:jc w:val="center"/>
          <w:trHeight w:val="0"/>
        </w:trPr>
        <w:tc>
          <w:tcPr>
            <w:tcBorders>
              <w:left w:val="single" w:color="auto" w:sz="4" w:space="0"/>
              <w:right w:val="single" w:color="000000" w:sz="4" w:space="0"/>
            </w:tcBorders>
            <w:tcW w:w="102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026"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auto" w:sz="4" w:space="0"/>
            </w:tcBorders>
            <w:tcW w:w="1026"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80+80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left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027"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辅灯：14400</w:t>
            </w:r>
            <w:r/>
          </w:p>
        </w:tc>
      </w:tr>
      <w:tr>
        <w:trPr>
          <w:jc w:val="center"/>
          <w:trHeight w:val="0"/>
        </w:trPr>
        <w:tc>
          <w:tcPr>
            <w:tcBorders>
              <w:left w:val="single" w:color="auto" w:sz="4" w:space="0"/>
              <w:right w:val="single" w:color="000000" w:sz="4" w:space="0"/>
            </w:tcBorders>
            <w:tcW w:w="102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026"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auto" w:sz="4" w:space="0"/>
            </w:tcBorders>
            <w:tcW w:w="1026"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left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027"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left w:val="single" w:color="auto" w:sz="4" w:space="0"/>
              <w:bottom w:val="single" w:color="auto" w:sz="4" w:space="0"/>
              <w:right w:val="single" w:color="000000" w:sz="4" w:space="0"/>
            </w:tcBorders>
            <w:tcW w:w="1026"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auto" w:sz="4" w:space="0"/>
              <w:right w:val="single" w:color="000000" w:sz="4" w:space="0"/>
            </w:tcBorders>
            <w:tcW w:w="1026"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auto" w:sz="4" w:space="0"/>
              <w:right w:val="single" w:color="auto" w:sz="4" w:space="0"/>
            </w:tcBorders>
            <w:tcW w:w="1026"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反射式隧道灯</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Borders>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4900</w:t>
            </w:r>
            <w:r/>
          </w:p>
        </w:tc>
      </w:tr>
      <w:tr>
        <w:trPr>
          <w:jc w:val="center"/>
          <w:trHeight w:val="0"/>
        </w:trPr>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老张杨公路</w:t>
            </w:r>
            <w:r/>
          </w:p>
        </w:tc>
        <w:tc>
          <w:tcPr>
            <w:tcBorders>
              <w:top w:val="single" w:color="auto" w:sz="4" w:space="0"/>
              <w:left w:val="single" w:color="000000" w:sz="4" w:space="0"/>
              <w:bottom w:val="single" w:color="auto" w:sz="4" w:space="0"/>
              <w:right w:val="single" w:color="000000" w:sz="4" w:space="0"/>
            </w:tcBorders>
            <w:tcW w:w="0" w:type="auto"/>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新高桥至高架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right w:val="single" w:color="000000" w:sz="4" w:space="0"/>
            </w:tcBorders>
            <w:tcW w:w="0" w:type="auto"/>
            <w:vAlign w:val="center"/>
            <w:vMerge w:val="restart"/>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27" w:type="dxa"/>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三新路西延</w:t>
            </w:r>
            <w:r/>
          </w:p>
        </w:tc>
        <w:tc>
          <w:tcPr>
            <w:tcBorders>
              <w:top w:val="single" w:color="auto"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许家圩路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ind w:left="0" w:right="0" w:firstLine="0"/>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924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预留接口指单灯控制器需预留接口。</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57"/>
        <w:tblW w:w="9992" w:type="dxa"/>
        <w:jc w:val="center"/>
        <w:tblLayout w:type="autofit"/>
        <w:tblCellMar>
          <w:left w:w="108" w:type="dxa"/>
          <w:top w:w="0" w:type="dxa"/>
          <w:right w:w="108" w:type="dxa"/>
          <w:bottom w:w="0" w:type="dxa"/>
        </w:tblCellMar>
        <w:tblLook w:val="04A0" w:firstRow="1" w:lastRow="0" w:firstColumn="1" w:lastColumn="0" w:noHBand="0" w:noVBand="1"/>
      </w:tblPr>
      <w:tblGrid>
        <w:gridCol w:w="817"/>
        <w:gridCol w:w="1336"/>
        <w:gridCol w:w="2267"/>
        <w:gridCol w:w="1539"/>
        <w:gridCol w:w="3216"/>
        <w:gridCol w:w="817"/>
      </w:tblGrid>
      <w:tr>
        <w:trPr>
          <w:jc w:val="center"/>
          <w:trHeight w:val="0"/>
        </w:trPr>
        <w:tc>
          <w:tcPr>
            <w:gridSpan w:val="6"/>
            <w:tcBorders>
              <w:top w:val="single" w:color="000000" w:sz="4" w:space="0"/>
              <w:left w:val="single" w:color="000000" w:sz="4" w:space="0"/>
              <w:bottom w:val="single" w:color="000000" w:sz="4" w:space="0"/>
              <w:right w:val="single" w:color="000000" w:sz="4" w:space="0"/>
            </w:tcBorders>
            <w:tcW w:w="9992" w:type="dxa"/>
            <w:vAlign w:val="center"/>
            <w:textDirection w:val="lrTb"/>
            <w:noWrap w:val="false"/>
          </w:tcPr>
          <w:p>
            <w:pPr>
              <w:pStyle w:val="855"/>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2.9后塍街道现有控制箱需改造清单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路段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中华路-文星路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塍南路108号房后面，健康路西侧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人民路北段</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人民北路1#路灯南侧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人民路北段</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澄杨路-塍中路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塍中路-张杨公路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塍中路-张杨公路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人民北路-文星北路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人民北路-文星北路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后塍中街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后塍中街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中街3#路灯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后塍新街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后塍新街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新街6#路灯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解放西路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解放西路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信达段造东侧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解放东路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中华路-人民北路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中华路-人民北路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银河街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中华路-新街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锦源驾校西侧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塍南路-解放路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西墩路变变压器下方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东隆东路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健康路东-人民南路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健康路东-人民南路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东隆西路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人民南路-中华路</w:t>
            </w:r>
            <w:r/>
          </w:p>
        </w:tc>
        <w:tc>
          <w:tcPr>
            <w:tcBorders>
              <w:top w:val="single" w:color="000000" w:sz="4" w:space="0"/>
              <w:left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人民南路-中华路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塍东路-塍南路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塍东路-塍南路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张杨公路两侧</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right w:val="single" w:color="000000" w:sz="4" w:space="0"/>
            </w:tcBorders>
            <w:tcW w:w="3216" w:type="dxa"/>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文星路南路</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right w:val="single" w:color="000000" w:sz="4" w:space="0"/>
            </w:tcBorders>
            <w:tcW w:w="0" w:type="auto"/>
            <w:vAlign w:val="center"/>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张杨公路匝道以南</w:t>
            </w:r>
            <w:r/>
          </w:p>
        </w:tc>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后塍劳保用品商店北侧墙上</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陈家场弄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陈家场弄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申联超市南电杆上</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康新路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健康南路-文星南路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文星南路与塍中路交叉口</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文昌路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澄杨路-文昌小区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澄杨路-文昌小区</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塍南路-健康南路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塍南路-健康南路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塍南路-塍中路北侧桥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建设银行南角</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塍中路北侧桥-澄杨路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健康北路3#路灯北侧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金城三村西侧道路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蟠港东路-晨丰公路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蟠港东路-晨丰公路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袁塍路南侧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南庄东变变压器边，16#路灯东侧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长江明珠路-新澄路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长江明珠路-新澄路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长江明珠路以西</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袁塍路9#，20#路灯西侧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袁塍路-嘉鹏路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双河路3#路灯北侧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长江明珠路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张杨公路-袁塍路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雷墩头变变压器下方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张杨公路以南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张杨公路以南</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新塍路-港华路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新塍路-港华路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新学路</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新澄路-文星南路</w:t>
            </w:r>
            <w:r/>
          </w:p>
        </w:tc>
        <w:tc>
          <w:tcPr>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right w:val="single" w:color="000000" w:sz="4" w:space="0"/>
            </w:tcBorders>
            <w:tcW w:w="3216" w:type="dxa"/>
            <w:vAlign w:val="center"/>
            <w:vMerge w:val="restart"/>
            <w:textDirection w:val="lrTb"/>
            <w:noWrap w:val="false"/>
          </w:tcPr>
          <w:p>
            <w:pPr>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新澄路-文星南路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张杨公路-新学路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律动琴行北墙边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新学路-双朱路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新学路-双朱路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高梧庄路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酒香路至港华路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高吾庄中变变压器电杆上</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港阳路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朱家宕村东风路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朱家宕村东风路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朱家宕村东风路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朱家宕村科技路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朱家宕村科技路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朱家宕村科技路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金港路后塍高中围墙东侧（6620027306）</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蟠港路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金田路蟠港东路路口（6623239018）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镇山路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后塍大酒店门口（6622740183）</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金田路晨丰路路口（6623239018）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中华路-华达路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中华路-华达路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金港路-中华路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晨港路-蟠港东路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晨港路-蟠港东路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江阴-塍东路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双朱路北两百米港华路西侧（6622855669）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塍东路-晨港路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港华路澄杨路西南角（6622855671）、港华路晨港路西北角（临时）6622855673</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晨港路-港丰公路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晨港路-港丰公路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港华路-杨舍界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严家埭变南线005#杆下方，004#杆东侧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健康路-文星南路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文星南路-兴塍桥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兴塍桥</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（兴塍桥-高桥路）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（兴塍桥-高桥路）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高桥路-杨舍界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高桥路-杨舍界</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塍中路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人民路-健康路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人民路-健康路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中华路-人民路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塍西路3#路灯东侧</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中华路-港华路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双朱路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（港华路以东）</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肖封路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肖封路-长江明珠路道路照明工程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肖封路-长江明珠路道路照明工程</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(澄杨路-文昌小区门口)</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(文昌小区门口-文昌小区北侧道路)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(文昌小区北侧道路以北)</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酒香路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澄杨路-塍东路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酒香路与塍东路路口东南</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塍东路-张杨公路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1336" w:type="dxa"/>
            <w:vAlign w:val="center"/>
            <w:vMerge w:val="restart"/>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华达路南延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晨丰公路以南</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321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华达路南延</w:t>
            </w:r>
            <w:r/>
          </w:p>
        </w:tc>
        <w:tc>
          <w:tcPr>
            <w:tcBorders>
              <w:top w:val="single" w:color="000000" w:sz="4" w:space="0"/>
              <w:left w:val="single" w:color="000000" w:sz="4" w:space="0"/>
              <w:right w:val="single" w:color="000000" w:sz="4" w:space="0"/>
            </w:tcBorders>
            <w:tcW w:w="817"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华达路至三新路</w:t>
            </w:r>
            <w:r>
              <w:rPr>
                <w:rFonts w:hint="eastAsia" w:ascii="宋体" w:hAnsi="宋体" w:cs="宋体"/>
                <w:color w:val="auto"/>
                <w:sz w:val="21"/>
                <w:szCs w:val="21"/>
                <w:highlight w:val="none"/>
              </w:rPr>
              <w:br/>
            </w:r>
            <w:r>
              <w:rPr>
                <w:rFonts w:hint="eastAsia" w:ascii="宋体" w:hAnsi="宋体" w:cs="宋体"/>
                <w:color w:val="auto"/>
                <w:sz w:val="21"/>
                <w:szCs w:val="21"/>
                <w:highlight w:val="none"/>
              </w:rPr>
              <w:t xml:space="preserve">（文昌小区北侧道路）</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321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36"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三新路至港华路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华达路南延</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澄杨路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港华路至新高桥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港华路至新高桥</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老张杨公路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新高桥至高架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新高桥至高架</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三新路西延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许家圩路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许家圩路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新塍花苑路</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新塍路至文星南路</w:t>
            </w:r>
            <w:r/>
          </w:p>
        </w:tc>
        <w:tc>
          <w:tcPr>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新塍路至文星南路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gridSpan w:val="6"/>
            <w:tcBorders>
              <w:top w:val="single" w:color="000000" w:sz="4" w:space="0"/>
              <w:left w:val="single" w:color="000000" w:sz="4" w:space="0"/>
              <w:bottom w:val="single" w:color="000000" w:sz="4" w:space="0"/>
              <w:right w:val="single" w:color="000000" w:sz="4" w:space="0"/>
            </w:tcBorders>
            <w:tcW w:w="999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color w:val="auto"/>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57"/>
        <w:tblW w:w="10182" w:type="dxa"/>
        <w:jc w:val="center"/>
        <w:tblLayout w:type="autofit"/>
        <w:tblCellMar>
          <w:left w:w="108" w:type="dxa"/>
          <w:top w:w="0" w:type="dxa"/>
          <w:right w:w="108" w:type="dxa"/>
          <w:bottom w:w="0" w:type="dxa"/>
        </w:tblCellMar>
        <w:tblLook w:val="04A0" w:firstRow="1" w:lastRow="0" w:firstColumn="1" w:lastColumn="0" w:noHBand="0" w:noVBand="1"/>
      </w:tblPr>
      <w:tblGrid>
        <w:gridCol w:w="541"/>
        <w:gridCol w:w="1654"/>
        <w:gridCol w:w="1388"/>
        <w:gridCol w:w="936"/>
        <w:gridCol w:w="936"/>
        <w:gridCol w:w="951"/>
        <w:gridCol w:w="639"/>
        <w:gridCol w:w="936"/>
        <w:gridCol w:w="744"/>
        <w:gridCol w:w="1457"/>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182" w:type="dxa"/>
            <w:vAlign w:val="center"/>
            <w:textDirection w:val="lrTb"/>
            <w:noWrap w:val="false"/>
          </w:tcPr>
          <w:p>
            <w:pPr>
              <w:pStyle w:val="855"/>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2.10德积街道现有高压钠灯需改造路灯清单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福民路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护槽港南路-千禧南路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德申路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环宇南路-元丰路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元丰路-灿香路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灿香路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天霸路-太丰路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主灯：14400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友邦路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灿香路-小明沙路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健康路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长江东路-交通路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环宇南路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明德路-友邦路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永兴生态园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德申路-永顺圩港路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千禧南路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港华路-长江路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沿江公路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长江北路-朝东圩港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主干路</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250+100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主灯：18000</w:t>
            </w:r>
            <w:r/>
          </w:p>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护漕港南路-千禧南路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张皋路（沿江公路以北）</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钠灯</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72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c>
          <w:tcPr>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57"/>
        <w:tblW w:w="10407" w:type="dxa"/>
        <w:jc w:val="center"/>
        <w:tblLayout w:type="autofit"/>
        <w:tblCellMar>
          <w:left w:w="108" w:type="dxa"/>
          <w:top w:w="0" w:type="dxa"/>
          <w:right w:w="108" w:type="dxa"/>
          <w:bottom w:w="0" w:type="dxa"/>
        </w:tblCellMar>
        <w:tblLook w:val="04A0" w:firstRow="1" w:lastRow="0" w:firstColumn="1" w:lastColumn="0" w:noHBand="0" w:noVBand="1"/>
      </w:tblPr>
      <w:tblGrid>
        <w:gridCol w:w="535"/>
        <w:gridCol w:w="1387"/>
        <w:gridCol w:w="2236"/>
        <w:gridCol w:w="883"/>
        <w:gridCol w:w="936"/>
        <w:gridCol w:w="846"/>
        <w:gridCol w:w="639"/>
        <w:gridCol w:w="750"/>
        <w:gridCol w:w="744"/>
        <w:gridCol w:w="1451"/>
      </w:tblGrid>
      <w:tr>
        <w:trPr>
          <w:jc w:val="center"/>
          <w:trHeight w:val="0"/>
        </w:trPr>
        <w:tc>
          <w:tcPr>
            <w:gridSpan w:val="10"/>
            <w:tcBorders>
              <w:top w:val="single" w:color="000000" w:sz="4" w:space="0"/>
              <w:left w:val="single" w:color="000000" w:sz="4" w:space="0"/>
              <w:bottom w:val="single" w:color="000000" w:sz="4" w:space="0"/>
              <w:right w:val="single" w:color="000000" w:sz="4" w:space="0"/>
            </w:tcBorders>
            <w:tcW w:w="10407" w:type="dxa"/>
            <w:vAlign w:val="center"/>
            <w:textDirection w:val="lrTb"/>
            <w:noWrap w:val="false"/>
          </w:tcPr>
          <w:p>
            <w:pPr>
              <w:pStyle w:val="855"/>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2.11德积街道现有LED灯需改造路灯清单</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色温</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（K）</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整灯最低光通量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（lm）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福民路</w:t>
            </w:r>
            <w:r/>
          </w:p>
        </w:tc>
        <w:tc>
          <w:tcPr>
            <w:tcBorders>
              <w:top w:val="single" w:color="000000" w:sz="4" w:space="0"/>
              <w:left w:val="single" w:color="000000" w:sz="4" w:space="0"/>
              <w:bottom w:val="single" w:color="000000" w:sz="4" w:space="0"/>
              <w:right w:val="single" w:color="000000" w:sz="4" w:space="0"/>
            </w:tcBorders>
            <w:tcW w:w="22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right w:val="single" w:color="000000" w:sz="4" w:space="0"/>
            </w:tcBorders>
            <w:tcW w:w="744" w:type="dxa"/>
            <w:vAlign w:val="center"/>
            <w:vMerge w:val="restart"/>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2火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44"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德申路</w:t>
            </w:r>
            <w:r/>
          </w:p>
        </w:tc>
        <w:tc>
          <w:tcPr>
            <w:tcBorders>
              <w:top w:val="single" w:color="000000" w:sz="4" w:space="0"/>
              <w:left w:val="single" w:color="000000" w:sz="4" w:space="0"/>
              <w:bottom w:val="single" w:color="000000" w:sz="4" w:space="0"/>
              <w:right w:val="single" w:color="000000" w:sz="4" w:space="0"/>
            </w:tcBorders>
            <w:tcW w:w="22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千禧南路-环宇南路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vMerge w:val="restart"/>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主灯：14400</w:t>
            </w:r>
            <w:r/>
          </w:p>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辅灯：7200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太丰路-长江东路（需预留接口）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千禧南路-灿香路（需预留接口）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灿香路-小明沙路（需预留接口）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长江东路-明德路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友邦路-德申路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长江东路-幼儿园</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幼儿园-永兴村委</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7200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永兴生态园</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环宇南路-长江东路（需预留接口）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天霸路—长江路段（需预留接口）</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 </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千禧北路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东新路-金城路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金城路长江东路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小明沙路-护漕港南路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护漕港南路-千禧南路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晨德路</w:t>
            </w:r>
            <w:r/>
          </w:p>
        </w:tc>
        <w:tc>
          <w:tcPr>
            <w:tcBorders>
              <w:top w:val="single" w:color="000000" w:sz="4" w:space="0"/>
              <w:left w:val="single" w:color="000000" w:sz="4" w:space="0"/>
              <w:bottom w:val="single" w:color="000000" w:sz="4" w:space="0"/>
              <w:right w:val="single" w:color="000000" w:sz="4" w:space="0"/>
            </w:tcBorders>
            <w:tcW w:w="223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right w:val="single" w:color="000000" w:sz="4" w:space="0"/>
            </w:tcBorders>
            <w:tcW w:w="744" w:type="dxa"/>
            <w:vAlign w:val="center"/>
            <w:vMerge w:val="restart"/>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太阳能LED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744" w:type="dxa"/>
            <w:vAlign w:val="center"/>
            <w:vMerge w:val="continue"/>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387"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北京路-长江路</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14400</w:t>
            </w:r>
            <w:r/>
          </w:p>
        </w:tc>
      </w:tr>
      <w:tr>
        <w:trPr>
          <w:jc w:val="center"/>
          <w:trHeight w:val="0"/>
        </w:trPr>
        <w:tc>
          <w:tcPr>
            <w:tcBorders>
              <w:top w:val="single" w:color="000000" w:sz="4" w:space="0"/>
              <w:left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w:t>
            </w:r>
            <w:r/>
          </w:p>
        </w:tc>
        <w:tc>
          <w:tcPr>
            <w:shd w:val="clear" w:color="auto" w:fill="auto"/>
            <w:tcBorders>
              <w:top w:val="single" w:color="000000" w:sz="4" w:space="0"/>
              <w:left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恒阳路</w:t>
            </w:r>
            <w:r/>
          </w:p>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单壁LED低杆灯</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支路</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10800</w:t>
            </w:r>
            <w:r/>
          </w:p>
        </w:tc>
      </w:tr>
      <w:tr>
        <w:trPr>
          <w:jc w:val="center"/>
          <w:trHeight w:val="0"/>
        </w:trPr>
        <w:tc>
          <w:tcPr>
            <w:tcBorders>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color w:val="auto"/>
                <w:highlight w:val="none"/>
              </w:rPr>
              <w:t xml:space="preserve">双臂补角灯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2x250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tcBorders>
              <w:top w:val="single" w:color="000000" w:sz="4" w:space="0"/>
              <w:left w:val="single" w:color="000000" w:sz="4" w:space="0"/>
              <w:right w:val="single" w:color="000000" w:sz="4" w:space="0"/>
            </w:tcBorders>
            <w:tcW w:w="535" w:type="dxa"/>
            <w:vAlign w:val="center"/>
            <w:vMerge w:val="restart"/>
            <w:textDirection w:val="lrTb"/>
            <w:noWrap w:val="false"/>
          </w:tcPr>
          <w:p>
            <w:pPr>
              <w:ind w:left="0" w:right="0" w:firstLine="0"/>
              <w:jc w:val="left"/>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16</w:t>
            </w:r>
            <w:r/>
          </w:p>
        </w:tc>
        <w:tc>
          <w:tcPr>
            <w:tcBorders>
              <w:top w:val="single" w:color="000000" w:sz="4" w:space="0"/>
              <w:left w:val="single" w:color="000000" w:sz="4" w:space="0"/>
              <w:right w:val="single" w:color="000000" w:sz="4" w:space="0"/>
            </w:tcBorders>
            <w:tcW w:w="1387"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张皋路（沿江公路以北）</w:t>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单壁LED低杆灯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default" w:ascii="宋体" w:hAnsi="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512"/>
        </w:trPr>
        <w:tc>
          <w:tcPr>
            <w:tcBorders>
              <w:left w:val="single" w:color="000000" w:sz="4" w:space="0"/>
              <w:bottom w:val="single" w:color="000000" w:sz="4" w:space="0"/>
              <w:right w:val="single" w:color="000000" w:sz="4" w:space="0"/>
            </w:tcBorders>
            <w:tcW w:w="535"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87" w:type="dxa"/>
            <w:vAlign w:val="center"/>
            <w:vMerge w:val="continue"/>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4x250</w:t>
            </w:r>
            <w:r/>
          </w:p>
        </w:tc>
        <w:tc>
          <w:tcPr>
            <w:tcBorders>
              <w:top w:val="single" w:color="000000" w:sz="4" w:space="0"/>
              <w:left w:val="single" w:color="000000" w:sz="4" w:space="0"/>
              <w:bottom w:val="single" w:color="000000" w:sz="4" w:space="0"/>
              <w:right w:val="single" w:color="000000" w:sz="4" w:space="0"/>
            </w:tcBorders>
            <w:tcW w:w="639"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支路</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10800</w:t>
            </w:r>
            <w:r/>
          </w:p>
        </w:tc>
      </w:tr>
      <w:tr>
        <w:trPr>
          <w:jc w:val="center"/>
          <w:trHeight w:val="0"/>
        </w:trPr>
        <w:tc>
          <w:tcPr>
            <w:gridSpan w:val="9"/>
            <w:tcBorders>
              <w:top w:val="single" w:color="000000" w:sz="4" w:space="0"/>
              <w:left w:val="single" w:color="000000" w:sz="4" w:space="0"/>
              <w:bottom w:val="single" w:color="000000" w:sz="4" w:space="0"/>
              <w:right w:val="single" w:color="000000" w:sz="4" w:space="0"/>
            </w:tcBorders>
            <w:tcW w:w="8956"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预留接口指单灯控制器需预留接口。</w:t>
            </w:r>
            <w:r/>
          </w:p>
        </w:tc>
        <w:tc>
          <w:tcPr>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color w:val="auto"/>
          <w:highlight w:val="none"/>
        </w:rPr>
      </w:pPr>
      <w:r>
        <w:rPr>
          <w:color w:val="auto"/>
          <w:highlight w:val="none"/>
        </w:rPr>
      </w:r>
      <w:r/>
    </w:p>
    <w:p>
      <w:pPr>
        <w:rPr>
          <w:rFonts w:hint="eastAsia" w:cs="宋体"/>
          <w:b/>
          <w:bCs/>
          <w:color w:val="auto"/>
          <w:szCs w:val="24"/>
          <w:highlight w:val="none"/>
        </w:rPr>
      </w:pPr>
      <w:r>
        <w:rPr>
          <w:rFonts w:hint="eastAsia" w:cs="宋体"/>
          <w:b/>
          <w:bCs/>
          <w:color w:val="auto"/>
          <w:szCs w:val="24"/>
          <w:highlight w:val="none"/>
        </w:rPr>
        <w:br w:type="page" w:clear="all"/>
      </w:r>
      <w:r/>
    </w:p>
    <w:tbl>
      <w:tblPr>
        <w:tblStyle w:val="757"/>
        <w:tblW w:w="9456" w:type="dxa"/>
        <w:tblInd w:w="91" w:type="dxa"/>
        <w:tblLayout w:type="autofit"/>
        <w:tblCellMar>
          <w:left w:w="108" w:type="dxa"/>
          <w:top w:w="0" w:type="dxa"/>
          <w:right w:w="108" w:type="dxa"/>
          <w:bottom w:w="0" w:type="dxa"/>
        </w:tblCellMar>
        <w:tblLook w:val="04A0" w:firstRow="1" w:lastRow="0" w:firstColumn="1" w:lastColumn="0" w:noHBand="0" w:noVBand="1"/>
      </w:tblPr>
      <w:tblGrid>
        <w:gridCol w:w="822"/>
        <w:gridCol w:w="1341"/>
        <w:gridCol w:w="2220"/>
        <w:gridCol w:w="1455"/>
        <w:gridCol w:w="2796"/>
        <w:gridCol w:w="822"/>
      </w:tblGrid>
      <w:tr>
        <w:trPr>
          <w:trHeight w:val="0"/>
        </w:trPr>
        <w:tc>
          <w:tcPr>
            <w:gridSpan w:val="6"/>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5"/>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2.12德积街道现有控制箱需改造清单</w:t>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福民路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西鸭子圩新村23号西侧</w:t>
            </w:r>
            <w:r/>
          </w:p>
        </w:tc>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护槽港南路-千禧南路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德申路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千禧南路-环宇南路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德丰小区4幢楼北侧，幼儿园东北侧</w:t>
            </w:r>
            <w:r/>
          </w:p>
        </w:tc>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环宇南路-元丰路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元丰路-灿香路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天霸路-太丰路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德丰小区144幢楼东北侧，德丰小区51幢楼西北侧</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太丰路-长江东路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千禧南路-灿香路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元丰小区1幢楼东北侧，灿香路东同济堂药店东侧</w:t>
            </w:r>
            <w:r/>
          </w:p>
        </w:tc>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灿香路-小明沙路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长江东路-交通路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健康路变北线6#杆南侧</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长江东路-明德路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友邦路-德申路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明德路-友邦路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长江东路-幼儿园</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幼儿园-永兴村委</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永兴生态园</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环宇北路-永兴园</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元丰路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太丰路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环宇南路-长江东路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环宇南路-长江东路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护漕港南路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德申路-永顺圩港路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德申路-永顺圩港路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天霸路—长江路段</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天霸路—长江路段</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港华路-长江路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伊清牛肉面南侧，老菜场西侧（傻子瓜子门口）</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千禧北路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东新路-金城路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千禧北路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金城路长江东路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non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non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沿江公路</w:t>
            </w:r>
            <w:r/>
          </w:p>
        </w:tc>
        <w:tc>
          <w:tcPr>
            <w:tcBorders>
              <w:top w:val="single" w:color="000000" w:sz="4" w:space="0"/>
              <w:left w:val="single" w:color="000000" w:sz="4" w:space="0"/>
              <w:bottom w:val="non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长江北路-朝东圩港</w:t>
            </w:r>
            <w:r/>
          </w:p>
        </w:tc>
        <w:tc>
          <w:tcPr>
            <w:tcBorders>
              <w:top w:val="single" w:color="000000" w:sz="4" w:space="0"/>
              <w:left w:val="single" w:color="000000" w:sz="4" w:space="0"/>
              <w:bottom w:val="non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长江北路-朝东圩港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小明沙路-护漕港南路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2796" w:type="dxa"/>
            <w:vAlign w:val="center"/>
            <w:vMerge w:val="restart"/>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right w:val="single" w:color="000000" w:sz="4" w:space="0"/>
            </w:tcBorders>
            <w:tcW w:w="8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护漕港南路-千禧南路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41"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千禧南路-北京路</w:t>
            </w:r>
            <w:r/>
          </w:p>
        </w:tc>
        <w:tc>
          <w:tcPr>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2796" w:type="dxa"/>
            <w:vAlign w:val="center"/>
            <w:vMerge w:val="continue"/>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8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金城路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金城路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晨德路</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晨德路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晨德路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1341"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天霸路</w:t>
            </w:r>
            <w:r/>
          </w:p>
        </w:tc>
        <w:tc>
          <w:tcPr>
            <w:tcBorders>
              <w:top w:val="single" w:color="000000" w:sz="4" w:space="0"/>
              <w:left w:val="single" w:color="000000" w:sz="4" w:space="0"/>
              <w:bottom w:val="single" w:color="000000" w:sz="4" w:space="0"/>
              <w:right w:val="single" w:color="000000" w:sz="4" w:space="0"/>
            </w:tcBorders>
            <w:tcW w:w="2220"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北京路-长江路</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ind w:left="0" w:right="0" w:firstLine="0"/>
              <w:jc w:val="left"/>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北京路-长江路</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gridSpan w:val="6"/>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color w:val="auto"/>
              </w:rPr>
              <w:t xml:space="preserve">注：表中数据为根据现状统计数据，但可能因数据统计存在误差，或者因路灯设施新移交、路灯设施拆除、提供的设施量等因素存在误差，实际的内容、数量可能与上表中不一致，最终以现场实际道路设施设备数量为准。投标单位须考虑以上相关风险，如中标，不能以此作为不执行中标单位责任、义务的免责条款。</w:t>
            </w:r>
            <w:r/>
          </w:p>
        </w:tc>
      </w:tr>
    </w:tbl>
    <w:p>
      <w:pPr>
        <w:rPr>
          <w:rFonts w:hint="eastAsia" w:eastAsia="宋体" w:cs="宋体"/>
          <w:b/>
          <w:bCs/>
          <w:color w:val="auto"/>
          <w:szCs w:val="24"/>
          <w:highlight w:val="none"/>
          <w:lang w:eastAsia="zh-CN"/>
        </w:rPr>
      </w:pPr>
      <w:r>
        <w:rPr>
          <w:rFonts w:hint="eastAsia" w:eastAsia="宋体" w:cs="宋体"/>
          <w:b/>
          <w:bCs/>
          <w:color w:val="auto"/>
          <w:szCs w:val="24"/>
          <w:highlight w:val="none"/>
          <w:lang w:eastAsia="zh-CN"/>
        </w:rPr>
        <w:br w:type="page" w:clear="all"/>
      </w:r>
      <w:r/>
    </w:p>
    <w:p>
      <w:pPr>
        <w:rPr>
          <w:rFonts w:hint="eastAsia"/>
          <w:color w:val="auto"/>
          <w:highlight w:val="none"/>
          <w:lang w:eastAsia="zh-CN"/>
        </w:rPr>
      </w:pPr>
      <w:r>
        <w:rPr>
          <w:rFonts w:hint="eastAsia"/>
          <w:color w:val="auto"/>
          <w:highlight w:val="none"/>
          <w:lang w:eastAsia="zh-CN"/>
        </w:rPr>
      </w:r>
      <w:r/>
    </w:p>
    <w:tbl>
      <w:tblPr>
        <w:tblStyle w:val="757"/>
        <w:tblW w:w="9456" w:type="dxa"/>
        <w:tblInd w:w="93" w:type="dxa"/>
        <w:tblLayout w:type="autofit"/>
        <w:tblCellMar>
          <w:left w:w="108" w:type="dxa"/>
          <w:top w:w="0" w:type="dxa"/>
          <w:right w:w="108" w:type="dxa"/>
          <w:bottom w:w="0" w:type="dxa"/>
        </w:tblCellMar>
        <w:tblLook w:val="04A0" w:firstRow="1" w:lastRow="0" w:firstColumn="1" w:lastColumn="0" w:noHBand="0" w:noVBand="1"/>
      </w:tblPr>
      <w:tblGrid>
        <w:gridCol w:w="839"/>
        <w:gridCol w:w="1322"/>
        <w:gridCol w:w="1367"/>
        <w:gridCol w:w="1399"/>
        <w:gridCol w:w="1322"/>
        <w:gridCol w:w="1003"/>
        <w:gridCol w:w="882"/>
        <w:gridCol w:w="1322"/>
      </w:tblGrid>
      <w:tr>
        <w:trPr>
          <w:trHeight w:val="0"/>
          <w:tblHeader/>
        </w:trPr>
        <w:tc>
          <w:tcPr>
            <w:gridSpan w:val="8"/>
            <w:tcBorders>
              <w:top w:val="single" w:color="000000" w:sz="4" w:space="0"/>
              <w:left w:val="single" w:color="000000" w:sz="4" w:space="0"/>
              <w:bottom w:val="single" w:color="000000" w:sz="4" w:space="0"/>
              <w:right w:val="single" w:color="000000" w:sz="4" w:space="0"/>
            </w:tcBorders>
            <w:tcW w:w="9456" w:type="dxa"/>
            <w:vAlign w:val="center"/>
            <w:textDirection w:val="lrTb"/>
            <w:noWrap w:val="false"/>
          </w:tcPr>
          <w:p>
            <w:pPr>
              <w:pStyle w:val="855"/>
              <w:ind w:firstLine="0"/>
              <w:jc w:val="center"/>
              <w:rPr>
                <w:rFonts w:hint="eastAsia" w:cs="宋体"/>
                <w:b/>
                <w:bCs/>
                <w:color w:val="auto"/>
                <w:szCs w:val="24"/>
                <w:highlight w:val="none"/>
              </w:rPr>
            </w:pPr>
            <w:r>
              <w:rPr>
                <w:rFonts w:hint="eastAsia" w:cs="宋体"/>
                <w:b/>
                <w:bCs/>
                <w:color w:val="auto"/>
                <w:szCs w:val="24"/>
                <w:highlight w:val="none"/>
              </w:rPr>
              <w:t xml:space="preserve">2.13保税区及金港街道已建成LED路灯清单</w:t>
            </w:r>
            <w:r/>
          </w:p>
          <w:p>
            <w:pPr>
              <w:pStyle w:val="855"/>
              <w:ind w:firstLine="0"/>
              <w:jc w:val="center"/>
              <w:rPr>
                <w:rFonts w:hint="eastAsia" w:ascii="宋体" w:hAnsi="宋体" w:cs="宋体"/>
                <w:b/>
                <w:bCs/>
                <w:color w:val="auto"/>
                <w:sz w:val="21"/>
                <w:szCs w:val="21"/>
                <w:highlight w:val="none"/>
              </w:rPr>
            </w:pPr>
            <w:r>
              <w:rPr>
                <w:rFonts w:hint="eastAsia" w:cs="宋体"/>
                <w:b/>
                <w:bCs/>
                <w:color w:val="auto"/>
                <w:szCs w:val="24"/>
                <w:highlight w:val="none"/>
                <w:lang w:eastAsia="zh-CN"/>
              </w:rPr>
              <w:t xml:space="preserve">（</w:t>
            </w:r>
            <w:r>
              <w:rPr>
                <w:rFonts w:hint="eastAsia" w:cs="宋体"/>
                <w:b/>
                <w:bCs/>
                <w:color w:val="auto"/>
                <w:szCs w:val="24"/>
                <w:highlight w:val="none"/>
                <w:lang w:val="en-US" w:eastAsia="zh-CN"/>
              </w:rPr>
              <w:t xml:space="preserve">新建不用改造，但需要接入系统运维）</w:t>
            </w:r>
            <w:r/>
          </w:p>
        </w:tc>
      </w:tr>
      <w:tr>
        <w:trPr>
          <w:trHeight w:val="0"/>
          <w:tblHeader/>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灯杆类型</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光源类型</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功率</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（W）</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数量</w:t>
            </w:r>
            <w:r/>
          </w:p>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道路等级</w:t>
            </w:r>
            <w:r/>
          </w:p>
        </w:tc>
      </w:tr>
      <w:tr>
        <w:trPr>
          <w:trHeight w:val="0"/>
        </w:trPr>
        <w:tc>
          <w:tcPr>
            <w:tcBorders>
              <w:top w:val="single" w:color="000000" w:sz="4" w:space="0"/>
              <w:left w:val="single" w:color="000000" w:sz="4" w:space="0"/>
              <w:right w:val="single" w:color="000000" w:sz="4" w:space="0"/>
            </w:tcBorders>
            <w:tcW w:w="839"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五节桥-十字港桥</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双臂杆 2火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180+60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109</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主干路</w:t>
            </w:r>
            <w:r/>
          </w:p>
        </w:tc>
      </w:tr>
      <w:tr>
        <w:trPr>
          <w:trHeight w:val="0"/>
        </w:trPr>
        <w:tc>
          <w:tcPr>
            <w:tcBorders>
              <w:left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4火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left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3火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left w:val="single" w:color="000000" w:sz="4" w:space="0"/>
              <w:bottom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bottom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5火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left w:val="single" w:color="000000" w:sz="4" w:space="0"/>
              <w:bottom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right w:val="single" w:color="000000" w:sz="4" w:space="0"/>
            </w:tcBorders>
            <w:tcW w:w="839"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right w:val="single" w:color="000000" w:sz="4" w:space="0"/>
            </w:tcBorders>
            <w:tcW w:w="1367"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单臂杆 1火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r>
      <w:tr>
        <w:trPr>
          <w:trHeight w:val="0"/>
        </w:trPr>
        <w:tc>
          <w:tcPr>
            <w:tcBorders>
              <w:left w:val="single" w:color="000000" w:sz="4" w:space="0"/>
              <w:right w:val="single" w:color="000000" w:sz="4" w:space="0"/>
            </w:tcBorders>
            <w:tcW w:w="839"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left w:val="single" w:color="000000" w:sz="4" w:space="0"/>
              <w:right w:val="single" w:color="000000" w:sz="4" w:space="0"/>
            </w:tcBorders>
            <w:tcW w:w="1367"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2火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2*180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left w:val="single" w:color="000000" w:sz="4" w:space="0"/>
              <w:right w:val="single" w:color="000000" w:sz="4" w:space="0"/>
            </w:tcBorders>
            <w:tcW w:w="1322" w:type="dxa"/>
            <w:vAlign w:val="center"/>
            <w:vMerge w:val="continue"/>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金都大桥</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3火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r>
      <w:tr>
        <w:trPr>
          <w:trHeight w:val="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崇真大桥</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中杆灯 3火</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w:t>
            </w:r>
            <w:r/>
          </w:p>
        </w:tc>
        <w:tc>
          <w:tcPr>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3*120</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次干路</w:t>
            </w:r>
            <w:r/>
          </w:p>
        </w:tc>
      </w:tr>
      <w:tr>
        <w:trPr>
          <w:trHeight w:val="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塍东路</w:t>
            </w:r>
            <w:r/>
          </w:p>
        </w:tc>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val="false"/>
          </w:tcPr>
          <w:p>
            <w:pPr>
              <w:ind w:left="0" w:right="0" w:firstLine="0"/>
              <w:jc w:val="center"/>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地面段</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LED</w:t>
            </w:r>
            <w:r/>
          </w:p>
        </w:tc>
        <w:tc>
          <w:tcPr>
            <w:shd w:val="clear" w:color="auto" w:fill="auto"/>
            <w:tcBorders>
              <w:top w:val="single" w:color="000000" w:sz="4" w:space="0"/>
              <w:left w:val="single" w:color="000000" w:sz="4" w:space="0"/>
              <w:bottom w:val="single" w:color="000000" w:sz="4" w:space="0"/>
              <w:right w:val="single" w:color="000000" w:sz="4" w:space="0"/>
            </w:tcBorders>
            <w:tcW w:w="1003"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8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 </w:t>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tbl>
      <w:tblPr>
        <w:tblStyle w:val="757"/>
        <w:tblW w:w="9452" w:type="dxa"/>
        <w:jc w:val="center"/>
        <w:tblLayout w:type="autofit"/>
        <w:tblCellMar>
          <w:left w:w="108" w:type="dxa"/>
          <w:top w:w="0" w:type="dxa"/>
          <w:right w:w="108" w:type="dxa"/>
          <w:bottom w:w="0" w:type="dxa"/>
        </w:tblCellMar>
        <w:tblLook w:val="04A0" w:firstRow="1" w:lastRow="0" w:firstColumn="1" w:lastColumn="0" w:noHBand="0" w:noVBand="1"/>
      </w:tblPr>
      <w:tblGrid>
        <w:gridCol w:w="837"/>
        <w:gridCol w:w="1419"/>
        <w:gridCol w:w="2066"/>
        <w:gridCol w:w="2580"/>
        <w:gridCol w:w="1710"/>
        <w:gridCol w:w="840"/>
      </w:tblGrid>
      <w:tr>
        <w:trPr>
          <w:jc w:val="center"/>
          <w:trHeight w:val="0"/>
          <w:tblHeader/>
        </w:trPr>
        <w:tc>
          <w:tcPr>
            <w:gridSpan w:val="6"/>
            <w:tcBorders>
              <w:top w:val="single" w:color="000000" w:sz="4" w:space="0"/>
              <w:left w:val="single" w:color="000000" w:sz="4" w:space="0"/>
              <w:bottom w:val="single" w:color="000000" w:sz="4" w:space="0"/>
              <w:right w:val="single" w:color="000000" w:sz="4" w:space="0"/>
            </w:tcBorders>
            <w:tcW w:w="9452" w:type="dxa"/>
            <w:vAlign w:val="center"/>
            <w:textDirection w:val="lrTb"/>
            <w:noWrap w:val="false"/>
          </w:tcPr>
          <w:p>
            <w:pPr>
              <w:pStyle w:val="855"/>
              <w:ind w:firstLine="0"/>
              <w:jc w:val="center"/>
              <w:rPr>
                <w:rFonts w:hint="eastAsia" w:ascii="宋体" w:hAnsi="宋体" w:cs="宋体"/>
                <w:b/>
                <w:bCs/>
                <w:color w:val="auto"/>
                <w:sz w:val="21"/>
                <w:szCs w:val="21"/>
                <w:highlight w:val="none"/>
              </w:rPr>
            </w:pPr>
            <w:r>
              <w:rPr>
                <w:rFonts w:hint="eastAsia" w:cs="宋体"/>
                <w:b/>
                <w:bCs/>
                <w:color w:val="auto"/>
                <w:szCs w:val="24"/>
                <w:highlight w:val="none"/>
              </w:rPr>
              <w:t xml:space="preserve">2.14保税区及金港街道已建成控制箱清单</w:t>
            </w:r>
            <w:r/>
          </w:p>
        </w:tc>
      </w:tr>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道路区段</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控制箱数量（台）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控制箱位置</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spacing w:line="240" w:lineRule="auto"/>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五节桥-十字港桥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长江路</w:t>
            </w:r>
            <w:r/>
          </w:p>
        </w:tc>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ind w:left="0" w:right="0" w:firstLine="0"/>
              <w:jc w:val="left"/>
              <w:spacing w:line="24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发展路</w:t>
            </w:r>
            <w:r/>
          </w:p>
        </w:tc>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ind w:left="0" w:right="0" w:firstLine="0"/>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855"/>
        <w:ind w:firstLine="482"/>
        <w:rPr>
          <w:rFonts w:cs="宋体"/>
          <w:b/>
          <w:bCs/>
          <w:color w:val="auto"/>
          <w:sz w:val="21"/>
          <w:szCs w:val="21"/>
          <w:highlight w:val="none"/>
        </w:rPr>
      </w:pPr>
      <w:r>
        <w:rPr>
          <w:rFonts w:cs="宋体"/>
          <w:b/>
          <w:bCs/>
          <w:color w:val="auto"/>
          <w:sz w:val="21"/>
          <w:szCs w:val="21"/>
          <w:highlight w:val="none"/>
        </w:rPr>
      </w:r>
      <w:r/>
    </w:p>
    <w:p>
      <w:pPr>
        <w:rPr>
          <w:rFonts w:cs="宋体"/>
          <w:b/>
          <w:bCs/>
          <w:color w:val="auto"/>
          <w:szCs w:val="24"/>
          <w:highlight w:val="none"/>
        </w:rPr>
      </w:pPr>
      <w:r>
        <w:rPr>
          <w:rFonts w:cs="宋体"/>
          <w:b/>
          <w:bCs/>
          <w:color w:val="auto"/>
          <w:szCs w:val="24"/>
          <w:highlight w:val="none"/>
        </w:rPr>
        <w:br w:type="page" w:clear="all"/>
      </w:r>
      <w:r/>
    </w:p>
    <w:p>
      <w:pPr>
        <w:rPr>
          <w:color w:val="auto"/>
          <w:highlight w:val="none"/>
        </w:rPr>
      </w:pPr>
      <w:r>
        <w:rPr>
          <w:color w:val="auto"/>
          <w:highlight w:val="none"/>
        </w:rPr>
      </w:r>
      <w:r/>
    </w:p>
    <w:tbl>
      <w:tblPr>
        <w:tblStyle w:val="757"/>
        <w:tblW w:w="9655" w:type="dxa"/>
        <w:jc w:val="center"/>
        <w:tblLayout w:type="autofit"/>
        <w:tblCellMar>
          <w:left w:w="108" w:type="dxa"/>
          <w:top w:w="0" w:type="dxa"/>
          <w:right w:w="108" w:type="dxa"/>
          <w:bottom w:w="0" w:type="dxa"/>
        </w:tblCellMar>
        <w:tblLook w:val="04A0" w:firstRow="1" w:lastRow="0" w:firstColumn="1" w:lastColumn="0" w:noHBand="0" w:noVBand="1"/>
      </w:tblPr>
      <w:tblGrid>
        <w:gridCol w:w="427"/>
        <w:gridCol w:w="2526"/>
        <w:gridCol w:w="5209"/>
        <w:gridCol w:w="427"/>
        <w:gridCol w:w="1066"/>
      </w:tblGrid>
      <w:tr>
        <w:trPr>
          <w:jc w:val="center"/>
          <w:trHeight w:val="0"/>
        </w:trPr>
        <w:tc>
          <w:tcPr>
            <w:gridSpan w:val="5"/>
            <w:shd w:val="clear" w:color="auto" w:fill="auto"/>
            <w:tcBorders>
              <w:top w:val="none" w:color="000000" w:sz="4" w:space="0"/>
              <w:left w:val="none" w:color="000000" w:sz="4" w:space="0"/>
              <w:bottom w:val="non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需要改造的路段的灯改造工程量清单表</w:t>
            </w:r>
            <w:r/>
          </w:p>
        </w:tc>
      </w:tr>
      <w:tr>
        <w:trPr>
          <w:jc w:val="center"/>
          <w:trHeight w:val="312"/>
        </w:trPr>
        <w:tc>
          <w:tcPr>
            <w:shd w:val="clear" w:color="auto" w:fill="auto"/>
            <w:tcBorders>
              <w:top w:val="single" w:color="000000" w:sz="8" w:space="0"/>
              <w:left w:val="single" w:color="000000" w:sz="8"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52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5209"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工程量</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none" w:color="000000" w:sz="4" w:space="0"/>
            </w:tcBorders>
            <w:tcW w:w="9228"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北海路路灯改造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numPr>
                <w:ilvl w:val="0"/>
                <w:numId w:val="9"/>
              </w:numPr>
              <w:ind w:firstLine="0"/>
              <w:jc w:val="left"/>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名称：LED单臂路灯</w:t>
            </w:r>
            <w:r/>
          </w:p>
          <w:p>
            <w:pPr>
              <w:numPr>
                <w:ilvl w:val="0"/>
                <w:numId w:val="0"/>
              </w:numPr>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2、灯具</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AC220V,3000K,LED光源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288.35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1750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渤海路南延路灯改造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AC220V,4000K,LED光源</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灯具光通量≥216001m;AC220V,4000K,LED光源,灯具光通量≥</w:t>
            </w:r>
            <w:r>
              <w:rPr>
                <w:rFonts w:hint="eastAsia" w:ascii="宋体" w:hAnsi="宋体" w:cs="宋体"/>
                <w:color w:val="auto"/>
                <w:sz w:val="21"/>
                <w:szCs w:val="21"/>
                <w:highlight w:val="none"/>
                <w:lang w:val="en-US" w:eastAsia="zh-CN" w:bidi="ar"/>
              </w:rPr>
              <w:t xml:space="preserve">10800</w:t>
            </w:r>
            <w:r>
              <w:rPr>
                <w:rFonts w:hint="eastAsia" w:ascii="宋体" w:hAnsi="宋体" w:eastAsia="宋体" w:cs="宋体"/>
                <w:color w:val="auto"/>
                <w:sz w:val="21"/>
                <w:szCs w:val="21"/>
                <w:highlight w:val="none"/>
                <w:lang w:bidi="ar"/>
              </w:rPr>
              <w:t xml:space="preserve">1m;3、灯杆h=9m，Q235B钢灯杆热镀锌喷塑,含单灯控制器接口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LED双臂路灯二</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AC220V,4000K,LED光源,灯具光通量≥216001m;AC220V,4000K,LED光源,灯具光通量≥216001m;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3、灯杆h=10m，Q235B钢灯杆热镀锌喷塑,含单灯控制器接口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AC220V,4000K,LED光源,灯具光通量≥216001m;AC220V,4000K,LED光源,灯具光通量≥216001m;AC220V,4000K,LED光源,灯具光通量≥216001m;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w:t>
            </w:r>
            <w:r/>
          </w:p>
        </w:tc>
      </w:tr>
      <w:tr>
        <w:trPr>
          <w:jc w:val="center"/>
          <w:trHeight w:val="0"/>
        </w:trPr>
        <w:tc>
          <w:tcPr>
            <w:shd w:val="clear" w:color="auto" w:fill="auto"/>
            <w:tcBorders>
              <w:top w:val="single" w:color="000000" w:sz="4" w:space="0"/>
              <w:left w:val="single" w:color="000000" w:sz="8"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8"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4675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4264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1182.6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1.C30混凝路灯基础（下口尺寸0.75*0.75m，上口尺寸0.8*0.8m，高度1.5m），含模板搭设与拆除；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3240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东华路路灯改造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2、灯具：AC220V,3000K,LED光源,灯具光通量≥216001m;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1036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106</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黄海路路灯改造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AC220V,3000K,LED光源,灯具光通量≥216001m;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AC220V,13000K,LED光源,灯具光通量≥216001m;AC220V,3000K,LED光源,灯具光通量≥216001m;半截光型；AC220V,3000K,LED光源,灯具光通量≥216001m;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1024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青海路南延路灯改造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AC220V,3000K,LED光源,灯具光通量≥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8"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           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368.65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长江北路路灯改造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AC220V,4000K,LED光源,灯具光通量≥216001m;AC220V,4000K,LED光源,灯具光通量≥</w:t>
            </w:r>
            <w:r>
              <w:rPr>
                <w:rFonts w:hint="eastAsia" w:ascii="宋体" w:hAnsi="宋体" w:cs="宋体"/>
                <w:color w:val="auto"/>
                <w:sz w:val="21"/>
                <w:szCs w:val="21"/>
                <w:highlight w:val="none"/>
                <w:lang w:val="en-US" w:eastAsia="zh-CN" w:bidi="ar"/>
              </w:rPr>
              <w:t xml:space="preserve">10800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3、灯杆h=10.5m，Q235B钢灯杆热镀锌喷塑,含单灯控制器接口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2、灯具：（AC220V，LED</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4000K，灯具光通量≥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4795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1475.7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517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4043</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长江路（十字港桥-长江北路）路灯改造</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AC220V,4000K,LED光源,灯具光通量≥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1m;AC220V,4000K,LED光源,灯具光通量≥</w:t>
            </w:r>
            <w:r>
              <w:rPr>
                <w:rFonts w:hint="eastAsia" w:ascii="宋体" w:hAnsi="宋体" w:cs="宋体"/>
                <w:color w:val="auto"/>
                <w:sz w:val="21"/>
                <w:szCs w:val="21"/>
                <w:highlight w:val="none"/>
                <w:lang w:val="en-US" w:eastAsia="zh-CN" w:bidi="ar"/>
              </w:rPr>
              <w:t xml:space="preserve">10800l</w:t>
            </w: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3、灯杆h=12m，Q235B钢灯杆热镀锌喷塑,含单灯控制器接口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2、灯具：（AC220V，LED，4000K，灯具光通量≥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AC220V,4000K,LED光源,灯具光通量≥216001m;AC220V,4000K,LED光源,灯具光通量≥216001m;AC220V,4000K,LED光源,灯具光通量≥216001m;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8565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DN80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DN50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2500.25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 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1.名称:落地式路灯计量控制箱 拆除，撤旧物品运送至甲方指定仓库保存</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破除及恢复道板路面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1、道板路面拆除、垃圾外运、处置；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2、道板路面恢复，C30砼浇筑恢复路基,原状恢复道板面层；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景新路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493"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4、整个工程综合考虑，结算不调整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4.挖填土另计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545.8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1598.5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1802.9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829</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 h=12m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 h=12,</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AC220V,4000K,LED光源,灯具光通量≥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 h=12m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vMerge w:val="restart"/>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1.名称：LED路灯h=12m,挑臂长2.5米(含单灯控制器)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AC220V,4000K,LED光源,灯具光通量≥</w:t>
            </w:r>
            <w:r>
              <w:rPr>
                <w:rFonts w:hint="eastAsia" w:ascii="宋体" w:hAnsi="宋体" w:cs="宋体"/>
                <w:color w:val="auto"/>
                <w:sz w:val="21"/>
                <w:szCs w:val="21"/>
                <w:highlight w:val="none"/>
                <w:lang w:val="en-US" w:eastAsia="zh-CN" w:bidi="ar"/>
              </w:rPr>
              <w:t xml:space="preserve">36000</w:t>
            </w:r>
            <w:r>
              <w:rPr>
                <w:rFonts w:hint="eastAsia" w:ascii="宋体" w:hAnsi="宋体" w:eastAsia="宋体" w:cs="宋体"/>
                <w:color w:val="auto"/>
                <w:sz w:val="21"/>
                <w:szCs w:val="21"/>
                <w:highlight w:val="none"/>
                <w:lang w:bidi="ar"/>
              </w:rPr>
              <w:t xml:space="preserve">1m;配线应采用双护套铜芯软导线。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r>
      <w:tr>
        <w:trPr>
          <w:jc w:val="center"/>
          <w:trHeight w:val="312"/>
        </w:trPr>
        <w:tc>
          <w:tcPr>
            <w:shd w:val="clear" w:color="auto" w:fill="auto"/>
            <w:tcBorders>
              <w:top w:val="single" w:color="000000" w:sz="4" w:space="0"/>
              <w:left w:val="single" w:color="000000" w:sz="8"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LED路灯,H=10m</w:t>
            </w:r>
            <w:r/>
          </w:p>
        </w:tc>
        <w:tc>
          <w:tcPr>
            <w:shd w:val="clear" w:color="auto" w:fill="auto"/>
            <w:tcBorders>
              <w:top w:val="single" w:color="000000" w:sz="4" w:space="0"/>
              <w:left w:val="single" w:color="000000" w:sz="4" w:space="0"/>
              <w:bottom w:val="non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1.名称：LED路灯H=10m,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挑臂长2.0米(含一拖二单灯控制器)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 AC220V,4000K,LED光源,灯具光通量≥</w:t>
            </w:r>
            <w:r>
              <w:rPr>
                <w:rFonts w:hint="eastAsia" w:ascii="宋体" w:hAnsi="宋体" w:cs="宋体"/>
                <w:color w:val="auto"/>
                <w:sz w:val="21"/>
                <w:szCs w:val="21"/>
                <w:highlight w:val="none"/>
                <w:lang w:val="en-US" w:eastAsia="zh-CN" w:bidi="ar"/>
              </w:rPr>
              <w:t xml:space="preserve">21600l</w:t>
            </w:r>
            <w:r>
              <w:rPr>
                <w:rFonts w:hint="eastAsia" w:ascii="宋体" w:hAnsi="宋体" w:eastAsia="宋体" w:cs="宋体"/>
                <w:color w:val="auto"/>
                <w:sz w:val="21"/>
                <w:szCs w:val="21"/>
                <w:highlight w:val="none"/>
                <w:lang w:bidi="ar"/>
              </w:rPr>
              <w:t xml:space="preserve">m; AC220V,4000K,LED光源,灯具光通量≥</w:t>
            </w:r>
            <w:r>
              <w:rPr>
                <w:rFonts w:hint="eastAsia" w:ascii="宋体" w:hAnsi="宋体" w:cs="宋体"/>
                <w:color w:val="auto"/>
                <w:sz w:val="21"/>
                <w:szCs w:val="21"/>
                <w:highlight w:val="none"/>
                <w:lang w:val="en-US" w:eastAsia="zh-CN" w:bidi="ar"/>
              </w:rPr>
              <w:t xml:space="preserve">10800</w:t>
            </w:r>
            <w:r>
              <w:rPr>
                <w:rFonts w:hint="eastAsia" w:ascii="宋体" w:hAnsi="宋体" w:eastAsia="宋体" w:cs="宋体"/>
                <w:color w:val="auto"/>
                <w:sz w:val="21"/>
                <w:szCs w:val="21"/>
                <w:highlight w:val="none"/>
                <w:lang w:bidi="ar"/>
              </w:rPr>
              <w:t xml:space="preserve">1m; 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 h=12m</w:t>
            </w:r>
            <w:r/>
          </w:p>
        </w:tc>
        <w:tc>
          <w:tcPr>
            <w:shd w:val="clear" w:color="auto" w:fill="auto"/>
            <w:tcBorders>
              <w:top w:val="single" w:color="000000" w:sz="4" w:space="0"/>
              <w:left w:val="single" w:color="000000" w:sz="4" w:space="0"/>
              <w:bottom w:val="non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1.名称：定向照明灯(LED灯具),H=12m,中光束,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AC220V,4000K,LED光源,灯具光通量≥</w:t>
            </w:r>
            <w:r>
              <w:rPr>
                <w:rFonts w:hint="eastAsia" w:ascii="宋体" w:hAnsi="宋体" w:cs="宋体"/>
                <w:color w:val="auto"/>
                <w:sz w:val="21"/>
                <w:szCs w:val="21"/>
                <w:highlight w:val="none"/>
                <w:lang w:val="en-US" w:eastAsia="zh-CN" w:bidi="ar"/>
              </w:rPr>
              <w:t xml:space="preserve">32400l</w:t>
            </w:r>
            <w:r>
              <w:rPr>
                <w:rFonts w:hint="eastAsia" w:ascii="宋体" w:hAnsi="宋体" w:eastAsia="宋体" w:cs="宋体"/>
                <w:color w:val="auto"/>
                <w:sz w:val="21"/>
                <w:szCs w:val="21"/>
                <w:highlight w:val="none"/>
                <w:lang w:bidi="ar"/>
              </w:rPr>
              <w:t xml:space="preserve">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余方弃置市政综合考虑。</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263.5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朝东圩港路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1、采用欧式箱变,箱变型号为ZBW-160kVA-10/0.4kV(户外型,高压柜为单台环网柜)。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189.7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1448.9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1613.8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636</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h=10m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numPr>
                <w:ilvl w:val="0"/>
                <w:numId w:val="10"/>
              </w:numPr>
              <w:ind w:left="0" w:right="0" w:firstLine="0"/>
              <w:jc w:val="left"/>
              <w:keepLines w:val="0"/>
              <w:keepNext w:val="0"/>
              <w:pageBreakBefore w:val="0"/>
              <w:spacing w:line="340" w:lineRule="exact"/>
              <w:widowControl/>
              <w:rPr>
                <w:rFonts w:hint="eastAsia" w:ascii="宋体" w:hAnsi="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名称：LED路灯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h=10m,4000K,中光束,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p>
          <w:p>
            <w:pPr>
              <w:numPr>
                <w:ilvl w:val="0"/>
                <w:numId w:val="0"/>
              </w:numPr>
              <w:ind w:right="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8.光源采用LED灯 AC220V,4000K,LED光源,灯具光通量≥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定向照明灯(LED灯具),H=10m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H=10m,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 AC220V,4000K,LED光源,灯具光通量≥21</w:t>
            </w:r>
            <w:r>
              <w:rPr>
                <w:rFonts w:hint="eastAsia" w:ascii="宋体" w:hAnsi="宋体" w:cs="宋体"/>
                <w:color w:val="auto"/>
                <w:sz w:val="21"/>
                <w:szCs w:val="21"/>
                <w:highlight w:val="none"/>
                <w:lang w:val="en-US" w:eastAsia="zh-CN" w:bidi="ar"/>
              </w:rPr>
              <w:t xml:space="preserve">600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348.4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338.8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段山路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493"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照明控制柜AL1、AL2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1.名称、型号：照明控制柜AL1、AL2,参考尺寸:(800x500x1600)。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885.9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5065.6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5760.3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2110</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h=10m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h=10m,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 AC220V,4000K,LED光源,灯具光通量≥</w:t>
            </w:r>
            <w:r>
              <w:rPr>
                <w:rFonts w:hint="eastAsia" w:ascii="宋体" w:hAnsi="宋体" w:cs="宋体"/>
                <w:color w:val="auto"/>
                <w:sz w:val="21"/>
                <w:szCs w:val="21"/>
                <w:highlight w:val="none"/>
                <w:lang w:val="en-US" w:eastAsia="zh-CN" w:bidi="ar"/>
              </w:rPr>
              <w:t xml:space="preserve">162</w:t>
            </w:r>
            <w:r>
              <w:rPr>
                <w:rFonts w:hint="eastAsia" w:ascii="宋体" w:hAnsi="宋体" w:eastAsia="宋体" w:cs="宋体"/>
                <w:color w:val="auto"/>
                <w:sz w:val="21"/>
                <w:szCs w:val="21"/>
                <w:highlight w:val="none"/>
                <w:lang w:bidi="ar"/>
              </w:rPr>
              <w:t xml:space="preserve">001m;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r>
      <w:tr>
        <w:trPr>
          <w:jc w:val="center"/>
          <w:trHeight w:val="312"/>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h=12m</w:t>
            </w:r>
            <w:r/>
          </w:p>
        </w:tc>
        <w:tc>
          <w:tcPr>
            <w:shd w:val="clear" w:color="auto" w:fill="auto"/>
            <w:tcBorders>
              <w:top w:val="single" w:color="000000" w:sz="4" w:space="0"/>
              <w:left w:val="single" w:color="000000" w:sz="4" w:space="0"/>
              <w:bottom w:val="singl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,H=12m,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中光束,自带附件(含单灯控制器)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AC220V,4000K,LED光源,灯具光通量≥</w:t>
            </w:r>
            <w:r>
              <w:rPr>
                <w:rFonts w:hint="eastAsia" w:ascii="宋体" w:hAnsi="宋体" w:cs="宋体"/>
                <w:color w:val="auto"/>
                <w:sz w:val="21"/>
                <w:szCs w:val="21"/>
                <w:highlight w:val="none"/>
                <w:lang w:val="en-US" w:eastAsia="zh-CN" w:bidi="ar"/>
              </w:rPr>
              <w:t xml:space="preserve">21600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r>
      <w:tr>
        <w:trPr>
          <w:jc w:val="center"/>
          <w:trHeight w:val="312"/>
        </w:trPr>
        <w:tc>
          <w:tcPr>
            <w:shd w:val="clear" w:color="auto" w:fill="auto"/>
            <w:tcBorders>
              <w:top w:val="single" w:color="000000" w:sz="4" w:space="0"/>
              <w:left w:val="single" w:color="000000" w:sz="8"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h=12m</w:t>
            </w:r>
            <w:r/>
          </w:p>
        </w:tc>
        <w:tc>
          <w:tcPr>
            <w:shd w:val="clear" w:color="auto" w:fill="auto"/>
            <w:tcBorders>
              <w:top w:val="single" w:color="000000" w:sz="4" w:space="0"/>
              <w:left w:val="single" w:color="000000" w:sz="4" w:space="0"/>
              <w:bottom w:val="none" w:color="000000" w:sz="4" w:space="0"/>
              <w:right w:val="non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,H=12m,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8.光源采用LED灯</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 AC220V,4000K,LED光源,灯具光通量≥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2352.9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2316.4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73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D 江堤路（长江路-福临门工业园东南门）路灯改造</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493" w:type="dxa"/>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AC220V,3000K,LED光源, 灯具光通量≥</w:t>
            </w:r>
            <w:r>
              <w:rPr>
                <w:rFonts w:hint="eastAsia" w:ascii="宋体" w:hAnsi="宋体" w:cs="宋体"/>
                <w:color w:val="auto"/>
                <w:sz w:val="21"/>
                <w:szCs w:val="21"/>
                <w:highlight w:val="none"/>
                <w:lang w:val="en-US" w:eastAsia="zh-CN" w:bidi="ar"/>
              </w:rPr>
              <w:t xml:space="preserve">18000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3、灯杆h=7m，Q235B钢灯杆热镀锌喷塑,含单灯控制器接口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1.名称:路灯分控箱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2.型号:2mm厚304不锈钢箱体,含系统图所有低压电器,箱体尺寸410mm*400mm*310mm,Q235 DN120钢立柱,热镀锌喷塑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3.规格:控制箱相关电器配置</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2、.型号、规格：VV-0.6/1KV-5x10mm2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118.63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报价含土方开挖回填等全部内容，投标单位自行勘探现场，综合考虑报价；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天妃路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Style w:val="1095"/>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3.规格:控制箱相关电器配置符合规范要求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left="0"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 AC220V,3000K,LED光源, 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bidi="ar"/>
              </w:rPr>
              <w:t xml:space="preserve">AC220V,3000K,LED光源, 灯具光通量≥</w:t>
            </w:r>
            <w:r>
              <w:rPr>
                <w:rFonts w:hint="eastAsia" w:ascii="宋体" w:hAnsi="宋体" w:cs="宋体"/>
                <w:color w:val="auto"/>
                <w:sz w:val="21"/>
                <w:szCs w:val="21"/>
                <w:highlight w:val="none"/>
                <w:lang w:val="en-US" w:eastAsia="zh-CN" w:bidi="ar"/>
              </w:rPr>
              <w:t xml:space="preserve">21600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328.5</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德兴路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color w:val="auto"/>
                <w:sz w:val="21"/>
                <w:szCs w:val="21"/>
                <w:highlight w:val="none"/>
                <w:lang w:bidi="ar"/>
              </w:rPr>
              <w:t xml:space="preserve">AC220V,3000K,LED光源, 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 </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 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365"/>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r>
      <w:tr>
        <w:trPr>
          <w:jc w:val="center"/>
          <w:trHeight w:val="366"/>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255.5</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南海路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1、名称：LED双臂路灯</w:t>
            </w:r>
            <w:r/>
          </w:p>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 灯具光通量≥</w:t>
            </w:r>
            <w:r>
              <w:rPr>
                <w:rFonts w:hint="eastAsia" w:ascii="宋体" w:hAnsi="宋体" w:cs="宋体"/>
                <w:color w:val="auto"/>
                <w:sz w:val="21"/>
                <w:szCs w:val="21"/>
                <w:highlight w:val="none"/>
                <w:lang w:val="en-US" w:eastAsia="zh-CN" w:bidi="ar"/>
              </w:rPr>
              <w:t xml:space="preserve">18000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 灯具光通量≥</w:t>
            </w:r>
            <w:r>
              <w:rPr>
                <w:rFonts w:hint="eastAsia" w:ascii="宋体" w:hAnsi="宋体" w:cs="宋体"/>
                <w:color w:val="auto"/>
                <w:sz w:val="21"/>
                <w:szCs w:val="21"/>
                <w:highlight w:val="none"/>
                <w:lang w:val="en-US" w:eastAsia="zh-CN" w:bidi="ar"/>
              </w:rPr>
              <w:t xml:space="preserve">7200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  </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3、双臂灯杆，杆高9m/6m,自带附件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 灯具光通量≥</w:t>
            </w:r>
            <w:r>
              <w:rPr>
                <w:rFonts w:hint="eastAsia" w:ascii="宋体" w:hAnsi="宋体" w:cs="宋体"/>
                <w:color w:val="auto"/>
                <w:sz w:val="21"/>
                <w:szCs w:val="21"/>
                <w:highlight w:val="none"/>
                <w:lang w:val="en-US" w:eastAsia="zh-CN" w:bidi="ar"/>
              </w:rPr>
              <w:t xml:space="preserve">27000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p>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 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r>
      <w:tr>
        <w:trPr>
          <w:jc w:val="center"/>
          <w:trHeight w:val="549"/>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47</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 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584</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巡逻道</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w:t>
            </w:r>
            <w:r>
              <w:rPr>
                <w:rFonts w:hint="eastAsia" w:ascii="宋体" w:hAnsi="宋体" w:cs="宋体"/>
                <w:i w:val="0"/>
                <w:iCs w:val="0"/>
                <w:color w:val="auto"/>
                <w:sz w:val="21"/>
                <w:szCs w:val="21"/>
                <w:highlight w:val="none"/>
                <w:u w:val="none"/>
                <w:lang w:val="en-US" w:eastAsia="zh-CN" w:bidi="ar"/>
              </w:rPr>
              <w:t xml:space="preserve">交会处路灯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w:t>
            </w:r>
            <w:r>
              <w:rPr>
                <w:rFonts w:hint="eastAsia" w:ascii="宋体" w:hAnsi="宋体" w:cs="宋体"/>
                <w:i w:val="0"/>
                <w:iCs w:val="0"/>
                <w:color w:val="auto"/>
                <w:sz w:val="21"/>
                <w:szCs w:val="21"/>
                <w:highlight w:val="none"/>
                <w:u w:val="none"/>
                <w:lang w:val="en-US" w:eastAsia="zh-CN" w:bidi="ar"/>
              </w:rPr>
              <w:t xml:space="preserve">交会处路灯</w:t>
            </w:r>
            <w:r/>
          </w:p>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color w:val="auto"/>
                <w:sz w:val="21"/>
                <w:szCs w:val="21"/>
                <w:highlight w:val="none"/>
                <w:lang w:bidi="ar"/>
              </w:rPr>
              <w:t xml:space="preserve">AC220V,3000K,LED光源, 灯具光通量≥</w:t>
            </w:r>
            <w:r>
              <w:rPr>
                <w:rFonts w:hint="eastAsia" w:ascii="宋体" w:hAnsi="宋体" w:cs="宋体"/>
                <w:color w:val="auto"/>
                <w:sz w:val="21"/>
                <w:szCs w:val="21"/>
                <w:highlight w:val="none"/>
                <w:lang w:val="en-US" w:eastAsia="zh-CN" w:bidi="ar"/>
              </w:rPr>
              <w:t xml:space="preserve">18000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3、灯杆h=12m，挑臂长2.0米,仰角10度,自带附件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w:t>
            </w:r>
            <w:r>
              <w:rPr>
                <w:rFonts w:hint="eastAsia" w:ascii="宋体" w:hAnsi="宋体" w:cs="宋体"/>
                <w:i w:val="0"/>
                <w:iCs w:val="0"/>
                <w:color w:val="auto"/>
                <w:sz w:val="21"/>
                <w:szCs w:val="21"/>
                <w:highlight w:val="none"/>
                <w:u w:val="none"/>
                <w:lang w:val="en-US" w:eastAsia="zh-CN" w:bidi="ar"/>
              </w:rPr>
              <w:t xml:space="preserve">交会处路灯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w:t>
            </w:r>
            <w:r>
              <w:rPr>
                <w:rFonts w:hint="eastAsia" w:ascii="宋体" w:hAnsi="宋体" w:cs="宋体"/>
                <w:i w:val="0"/>
                <w:iCs w:val="0"/>
                <w:color w:val="auto"/>
                <w:sz w:val="21"/>
                <w:szCs w:val="21"/>
                <w:highlight w:val="none"/>
                <w:u w:val="none"/>
                <w:lang w:val="en-US" w:eastAsia="zh-CN" w:bidi="ar"/>
              </w:rPr>
              <w:t xml:space="preserve">交会处路灯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color w:val="auto"/>
                <w:sz w:val="21"/>
                <w:szCs w:val="21"/>
                <w:highlight w:val="none"/>
                <w:lang w:bidi="ar"/>
              </w:rPr>
              <w:t xml:space="preserve">AC220V,3000K,LED光源, 灯具光通量≥</w:t>
            </w:r>
            <w:r>
              <w:rPr>
                <w:rFonts w:hint="eastAsia" w:ascii="宋体" w:hAnsi="宋体" w:cs="宋体"/>
                <w:color w:val="auto"/>
                <w:sz w:val="21"/>
                <w:szCs w:val="21"/>
                <w:highlight w:val="none"/>
                <w:lang w:val="en-US" w:eastAsia="zh-CN" w:bidi="ar"/>
              </w:rPr>
              <w:t xml:space="preserve">18000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i w:val="0"/>
                <w:iCs w:val="0"/>
                <w:color w:val="auto"/>
                <w:sz w:val="21"/>
                <w:szCs w:val="21"/>
                <w:highlight w:val="none"/>
                <w:u w:val="none"/>
                <w:lang w:val="en-US" w:eastAsia="zh-CN" w:bidi="ar"/>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1707"/>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 </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color w:val="auto"/>
                <w:sz w:val="21"/>
                <w:szCs w:val="21"/>
                <w:highlight w:val="none"/>
                <w:lang w:bidi="ar"/>
              </w:rPr>
              <w:t xml:space="preserve">AC220V,3000K,LED光源, 灯具光通量≥</w:t>
            </w:r>
            <w:r>
              <w:rPr>
                <w:rFonts w:hint="eastAsia" w:ascii="宋体" w:hAnsi="宋体" w:cs="宋体"/>
                <w:color w:val="auto"/>
                <w:sz w:val="21"/>
                <w:szCs w:val="21"/>
                <w:highlight w:val="none"/>
                <w:lang w:val="en-US" w:eastAsia="zh-CN" w:bidi="ar"/>
              </w:rPr>
              <w:t xml:space="preserve">5400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i w:val="0"/>
                <w:iCs w:val="0"/>
                <w:color w:val="auto"/>
                <w:sz w:val="21"/>
                <w:szCs w:val="21"/>
                <w:highlight w:val="none"/>
                <w:u w:val="none"/>
                <w:lang w:val="en-US" w:eastAsia="zh-CN" w:bidi="ar"/>
              </w:rPr>
              <w:t xml:space="preserve">3、灯杆h=6m</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44</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 </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53</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2、城市照明自动监控系统终端的安装在箱变内,由路灯管理部门负责安装、调试。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31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365</w:t>
            </w:r>
            <w:r/>
          </w:p>
        </w:tc>
      </w:tr>
      <w:tr>
        <w:trPr>
          <w:jc w:val="cente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纬六路</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AC220V,3000K,LED光源, 灯具光通量≥</w:t>
            </w:r>
            <w:r>
              <w:rPr>
                <w:rFonts w:hint="eastAsia" w:ascii="宋体" w:hAnsi="宋体" w:cs="宋体"/>
                <w:color w:val="auto"/>
                <w:sz w:val="21"/>
                <w:szCs w:val="21"/>
                <w:highlight w:val="none"/>
                <w:lang w:val="en-US" w:eastAsia="zh-CN" w:bidi="ar"/>
              </w:rPr>
              <w:t xml:space="preserve">18000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 6</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250</w:t>
            </w:r>
            <w:r/>
          </w:p>
        </w:tc>
      </w:tr>
      <w:tr>
        <w:trPr>
          <w:jc w:val="center"/>
          <w:trHeight w:val="686"/>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220</w:t>
            </w:r>
            <w:r/>
          </w:p>
        </w:tc>
      </w:tr>
      <w:tr>
        <w:trPr>
          <w:jc w:val="center"/>
          <w:trHeight w:val="0"/>
        </w:trPr>
        <w:tc>
          <w:tcPr>
            <w:shd w:val="clear" w:color="auto" w:fill="auto"/>
            <w:tcBorders>
              <w:top w:val="single" w:color="000000" w:sz="4" w:space="0"/>
              <w:left w:val="single" w:color="000000" w:sz="8"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80.3</w:t>
            </w:r>
            <w:r/>
          </w:p>
        </w:tc>
      </w:tr>
      <w:tr>
        <w:trPr>
          <w:jc w:val="cente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9655" w:type="dxa"/>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其他</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所有路灯涉及的路灯用电申请</w:t>
            </w:r>
            <w:r/>
          </w:p>
        </w:tc>
        <w:tc>
          <w:tcPr>
            <w:shd w:val="clear" w:color="auto" w:fill="auto"/>
            <w:tcBorders>
              <w:top w:val="single" w:color="000000" w:sz="4" w:space="0"/>
              <w:left w:val="single" w:color="000000" w:sz="4" w:space="0"/>
              <w:bottom w:val="single" w:color="000000" w:sz="4" w:space="0"/>
              <w:right w:val="single" w:color="000000" w:sz="4" w:space="0"/>
            </w:tcBorders>
            <w:tcW w:w="5209" w:type="dxa"/>
            <w:vAlign w:val="center"/>
            <w:textDirection w:val="lrTb"/>
            <w:noWrap/>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路灯用电申请，含供电公司提供表箱(三相)</w:t>
            </w:r>
            <w:r/>
          </w:p>
        </w:tc>
        <w:tc>
          <w:tcPr>
            <w:shd w:val="clear" w:color="auto" w:fill="auto"/>
            <w:tcBorders>
              <w:top w:val="single" w:color="000000" w:sz="4" w:space="0"/>
              <w:left w:val="single" w:color="000000" w:sz="4" w:space="0"/>
              <w:bottom w:val="single" w:color="000000" w:sz="4" w:space="0"/>
              <w:right w:val="single" w:color="000000" w:sz="4" w:space="0"/>
            </w:tcBorders>
            <w:tcW w:w="427" w:type="dxa"/>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r>
    </w:tbl>
    <w:p>
      <w:pPr>
        <w:ind w:right="1260"/>
        <w:rPr>
          <w:rFonts w:hint="eastAsia" w:cs="宋体"/>
          <w:b/>
          <w:bCs/>
          <w:color w:val="auto"/>
          <w:szCs w:val="24"/>
          <w:highlight w:val="none"/>
          <w:lang w:val="en-US" w:eastAsia="zh-CN"/>
        </w:rPr>
      </w:pPr>
      <w:r>
        <w:rPr>
          <w:rFonts w:hint="eastAsia" w:cs="宋体"/>
          <w:b/>
          <w:bCs/>
          <w:color w:val="auto"/>
          <w:szCs w:val="24"/>
          <w:highlight w:val="none"/>
          <w:lang w:val="en-US" w:eastAsia="zh-CN"/>
        </w:rPr>
        <w:br w:type="page" w:clear="all"/>
      </w:r>
      <w:r/>
    </w:p>
    <w:tbl>
      <w:tblPr>
        <w:tblStyle w:val="757"/>
        <w:tblW w:w="94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7"/>
        <w:gridCol w:w="1647"/>
        <w:gridCol w:w="1335"/>
        <w:gridCol w:w="4714"/>
        <w:gridCol w:w="447"/>
        <w:gridCol w:w="866"/>
      </w:tblGrid>
      <w:tr>
        <w:trPr>
          <w:jc w:val="center"/>
          <w:trHeight w:val="0"/>
        </w:trPr>
        <w:tc>
          <w:tcPr>
            <w:gridSpan w:val="6"/>
            <w:shd w:val="clear" w:color="auto" w:fill="auto"/>
            <w:tcBorders>
              <w:top w:val="none" w:color="000000" w:sz="4" w:space="0"/>
              <w:left w:val="none" w:color="000000" w:sz="4" w:space="0"/>
              <w:bottom w:val="none" w:color="000000" w:sz="4" w:space="0"/>
              <w:right w:val="none" w:color="000000" w:sz="4" w:space="0"/>
            </w:tcBorders>
            <w:tcW w:w="9456"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b/>
                <w:bCs/>
                <w:color w:val="auto"/>
                <w:highlight w:val="none"/>
                <w:lang w:val="en-US" w:eastAsia="zh-CN"/>
              </w:rPr>
              <w:t xml:space="preserve">保税区及三个街道路灯补杆明细表</w:t>
            </w:r>
            <w:r/>
          </w:p>
        </w:tc>
      </w:tr>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道路名称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特征描述</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工程量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福建路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,3000K，LED光源，H=8.5m，Q235B钢灯杆热镀锌喷塑，壁厚4mm，含单灯控制器、基础及管线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AC220V，36000lm+7200lm</w:t>
            </w:r>
            <w:r>
              <w:rPr>
                <w:rFonts w:hint="eastAsia"/>
                <w:color w:val="auto"/>
                <w:highlight w:val="none"/>
                <w:lang w:val="en-US" w:eastAsia="zh-CN"/>
              </w:rPr>
              <w:t xml:space="preserve"> </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14400lm</w:t>
            </w:r>
            <w:r>
              <w:rPr>
                <w:rFonts w:hint="default"/>
                <w:color w:val="auto"/>
                <w:highlight w:val="none"/>
                <w:lang w:val="en-US" w:eastAsia="zh-CN"/>
              </w:rPr>
              <w:t xml:space="preserve">,3000K，LED光源，H=10m，Q235B钢灯杆热镀锌喷塑，壁厚4mm，含单灯控制器、基础及管线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AC220V，27000lm+7200lm</w:t>
            </w:r>
            <w:r>
              <w:rPr>
                <w:rFonts w:hint="eastAsia"/>
                <w:color w:val="auto"/>
                <w:highlight w:val="none"/>
                <w:lang w:val="en-US" w:eastAsia="zh-CN"/>
              </w:rPr>
              <w:t xml:space="preserve"> </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w:t>
            </w:r>
            <w:r>
              <w:rPr>
                <w:rFonts w:hint="default"/>
                <w:color w:val="auto"/>
                <w:highlight w:val="none"/>
                <w:lang w:val="en-US" w:eastAsia="zh-CN"/>
              </w:rPr>
              <w:t xml:space="preserve">000lm+7200lm</w:t>
            </w:r>
            <w:r>
              <w:rPr>
                <w:rFonts w:hint="eastAsia"/>
                <w:color w:val="auto"/>
                <w:highlight w:val="none"/>
                <w:lang w:val="en-US" w:eastAsia="zh-CN"/>
              </w:rPr>
              <w:t xml:space="preserve"> </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AC220V，27000lm+7200lm</w:t>
            </w:r>
            <w:r>
              <w:rPr>
                <w:rFonts w:hint="eastAsia"/>
                <w:color w:val="auto"/>
                <w:highlight w:val="none"/>
                <w:lang w:val="en-US" w:eastAsia="zh-CN"/>
              </w:rPr>
              <w:t xml:space="preserve"> </w:t>
            </w:r>
            <w:r>
              <w:rPr>
                <w:rFonts w:hint="default"/>
                <w:color w:val="auto"/>
                <w:highlight w:val="none"/>
                <w:lang w:val="en-US" w:eastAsia="zh-CN"/>
              </w:rPr>
              <w:t xml:space="preserve">,4000K，LED光源，H=12.5m，Q235B钢灯杆热镀锌喷塑，壁厚4mm，含单灯控制器、基础及管线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45</w:t>
            </w:r>
            <w:r>
              <w:rPr>
                <w:rFonts w:hint="default"/>
                <w:color w:val="auto"/>
                <w:highlight w:val="none"/>
                <w:lang w:val="en-US" w:eastAsia="zh-CN"/>
              </w:rPr>
              <w:t xml:space="preserve">000lm+7200lm</w:t>
            </w:r>
            <w:r>
              <w:rPr>
                <w:rFonts w:hint="eastAsia"/>
                <w:color w:val="auto"/>
                <w:highlight w:val="none"/>
                <w:lang w:val="en-US" w:eastAsia="zh-CN"/>
              </w:rPr>
              <w:t xml:space="preserve"> </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港丰公路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45</w:t>
            </w:r>
            <w:r>
              <w:rPr>
                <w:rFonts w:hint="default"/>
                <w:color w:val="auto"/>
                <w:highlight w:val="none"/>
                <w:lang w:val="en-US" w:eastAsia="zh-CN"/>
              </w:rPr>
              <w:t xml:space="preserve">000lm</w:t>
            </w:r>
            <w:r>
              <w:rPr>
                <w:rFonts w:hint="eastAsia"/>
                <w:color w:val="auto"/>
                <w:highlight w:val="none"/>
                <w:lang w:val="en-US" w:eastAsia="zh-CN"/>
              </w:rPr>
              <w:t xml:space="preserve">,4000k,</w:t>
            </w:r>
            <w:r>
              <w:rPr>
                <w:rFonts w:hint="default"/>
                <w:color w:val="auto"/>
                <w:highlight w:val="none"/>
                <w:lang w:val="en-US" w:eastAsia="zh-CN"/>
              </w:rPr>
              <w:t xml:space="preserve">LED光源，H=13m，Q235B钢灯杆热镀锌喷塑，壁厚4mm，含单灯控制器、基础及管线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27000lm,</w:t>
            </w:r>
            <w:r>
              <w:rPr>
                <w:rFonts w:hint="default"/>
                <w:color w:val="auto"/>
                <w:highlight w:val="none"/>
                <w:lang w:val="en-US" w:eastAsia="zh-CN"/>
              </w:rPr>
              <w:t xml:space="preserve">,4000K，LED光源，H=9.5m，Q235B钢灯杆热镀锌喷塑，壁厚4mm，含单灯控制器、基础及管线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324</w:t>
            </w:r>
            <w:r>
              <w:rPr>
                <w:rFonts w:hint="default"/>
                <w:color w:val="auto"/>
                <w:highlight w:val="none"/>
                <w:lang w:val="en-US" w:eastAsia="zh-CN"/>
              </w:rPr>
              <w:t xml:space="preserve">00lm+7200lm</w:t>
            </w:r>
            <w:r>
              <w:rPr>
                <w:rFonts w:hint="eastAsia"/>
                <w:color w:val="auto"/>
                <w:highlight w:val="none"/>
                <w:lang w:val="en-US" w:eastAsia="zh-CN"/>
              </w:rPr>
              <w:t xml:space="preserve"> </w:t>
            </w:r>
            <w:r>
              <w:rPr>
                <w:rFonts w:hint="default"/>
                <w:color w:val="auto"/>
                <w:highlight w:val="none"/>
                <w:lang w:val="en-US" w:eastAsia="zh-CN"/>
              </w:rPr>
              <w:t xml:space="preserve">,4000K，LED光源，H=11.5m，Q235B钢灯杆热镀锌喷塑，壁厚4mm，含单灯控制器、基础及管线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18000lm</w:t>
            </w:r>
            <w:r>
              <w:rPr>
                <w:rFonts w:hint="default"/>
                <w:color w:val="auto"/>
                <w:highlight w:val="none"/>
                <w:lang w:val="en-US" w:eastAsia="zh-CN"/>
              </w:rPr>
              <w:t xml:space="preserve">+</w:t>
            </w:r>
            <w:r>
              <w:rPr>
                <w:rFonts w:hint="eastAsia"/>
                <w:color w:val="auto"/>
                <w:highlight w:val="none"/>
                <w:lang w:val="en-US" w:eastAsia="zh-CN"/>
              </w:rPr>
              <w:t xml:space="preserve">7200lm</w:t>
            </w:r>
            <w:r>
              <w:rPr>
                <w:rFonts w:hint="default"/>
                <w:color w:val="auto"/>
                <w:highlight w:val="none"/>
                <w:lang w:val="en-US" w:eastAsia="zh-CN"/>
              </w:rPr>
              <w:t xml:space="preserve">,4000K，LED光源，H=9.5m，Q235B钢灯杆热镀锌喷塑，壁厚4mm，含单灯控制器、基础及管线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18000lm</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潘港南路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27000lm</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w:t>
            </w:r>
            <w:r>
              <w:rPr>
                <w:rFonts w:hint="default"/>
                <w:color w:val="auto"/>
                <w:highlight w:val="none"/>
                <w:lang w:val="en-US" w:eastAsia="zh-CN"/>
              </w:rPr>
              <w:t xml:space="preserve">00lm+7200lm</w:t>
            </w:r>
            <w:r>
              <w:rPr>
                <w:rFonts w:hint="eastAsia"/>
                <w:color w:val="auto"/>
                <w:highlight w:val="none"/>
                <w:lang w:val="en-US" w:eastAsia="zh-CN"/>
              </w:rPr>
              <w:t xml:space="preserve">.</w:t>
            </w:r>
            <w:r>
              <w:rPr>
                <w:rFonts w:hint="default"/>
                <w:color w:val="auto"/>
                <w:highlight w:val="none"/>
                <w:lang w:val="en-US" w:eastAsia="zh-CN"/>
              </w:rPr>
              <w:t xml:space="preserve">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岭南路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香南西路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216</w:t>
            </w:r>
            <w:r>
              <w:rPr>
                <w:rFonts w:hint="default"/>
                <w:color w:val="auto"/>
                <w:highlight w:val="none"/>
                <w:lang w:val="en-US" w:eastAsia="zh-CN"/>
              </w:rPr>
              <w:t xml:space="preserve">00lm+7200lm</w:t>
            </w:r>
            <w:r>
              <w:rPr>
                <w:rFonts w:hint="eastAsia"/>
                <w:color w:val="auto"/>
                <w:highlight w:val="none"/>
                <w:lang w:val="en-US" w:eastAsia="zh-CN"/>
              </w:rPr>
              <w:t xml:space="preserve"> </w:t>
            </w:r>
            <w:r>
              <w:rPr>
                <w:rFonts w:hint="default"/>
                <w:color w:val="auto"/>
                <w:highlight w:val="none"/>
                <w:lang w:val="en-US" w:eastAsia="zh-CN"/>
              </w:rPr>
              <w:t xml:space="preserve">,4000K，LED光源，杆高、材质、壁厚、灯杆颜色等参数与现状路灯一致，含单灯控制器、基础及管线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镇山路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18000lm</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宝岛路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14400lm</w:t>
            </w:r>
            <w:r>
              <w:rPr>
                <w:rFonts w:hint="default"/>
                <w:color w:val="auto"/>
                <w:highlight w:val="none"/>
                <w:lang w:val="en-US" w:eastAsia="zh-CN"/>
              </w:rPr>
              <w:t xml:space="preserve">,3000K，LED光源，H=9m，Q235B钢灯杆热镀锌喷塑，壁厚4mm，含单灯控制器、基础及管线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文星南路匝道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14400lm</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健康南路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10800lm</w:t>
            </w:r>
            <w:r>
              <w:rPr>
                <w:rFonts w:hint="default"/>
                <w:color w:val="auto"/>
                <w:highlight w:val="none"/>
                <w:lang w:val="en-US" w:eastAsia="zh-CN"/>
              </w:rPr>
              <w:t xml:space="preserve">,3000K，LED光源，H=7.5m，Q235B钢灯杆热镀锌喷塑，壁厚4mm，含单灯控制器、基础及管线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,14400lm</w:t>
            </w:r>
            <w:r>
              <w:rPr>
                <w:rFonts w:hint="default"/>
                <w:color w:val="auto"/>
                <w:highlight w:val="none"/>
                <w:lang w:val="en-US" w:eastAsia="zh-CN"/>
              </w:rPr>
              <w:t xml:space="preserve">,3000K，LED光源，H=6m，Q235B钢灯杆热镀锌喷塑，壁厚4mm，含单灯控制器、基础及管线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兴港路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w:t>
            </w:r>
            <w:r>
              <w:rPr>
                <w:rFonts w:hint="default"/>
                <w:color w:val="auto"/>
                <w:highlight w:val="none"/>
                <w:lang w:val="en-US" w:eastAsia="zh-CN"/>
              </w:rPr>
              <w:t xml:space="preserve">18000lm+3*10800lm+18*1875lm,</w:t>
            </w:r>
            <w:r>
              <w:rPr>
                <w:rFonts w:hint="eastAsia"/>
                <w:color w:val="auto"/>
                <w:highlight w:val="none"/>
                <w:lang w:val="en-US" w:eastAsia="zh-CN"/>
              </w:rPr>
              <w:t xml:space="preserve"> </w:t>
            </w:r>
            <w:r>
              <w:rPr>
                <w:rFonts w:hint="default"/>
                <w:color w:val="auto"/>
                <w:highlight w:val="none"/>
                <w:lang w:val="en-US" w:eastAsia="zh-CN"/>
              </w:rPr>
              <w:t xml:space="preserve">,4000K，LED光源，杆高、材质、壁厚、灯杆颜色等参数与现状路灯一致，含单灯控制器、基础及管线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AC220V，36000lm+3*18000lm+18*1875lm</w:t>
            </w:r>
            <w:r>
              <w:rPr>
                <w:rFonts w:hint="eastAsia"/>
                <w:color w:val="auto"/>
                <w:highlight w:val="none"/>
                <w:lang w:val="en-US" w:eastAsia="zh-CN"/>
              </w:rPr>
              <w:t xml:space="preserve"> </w:t>
            </w:r>
            <w:r>
              <w:rPr>
                <w:rFonts w:hint="default"/>
                <w:color w:val="auto"/>
                <w:highlight w:val="none"/>
                <w:lang w:val="en-US" w:eastAsia="zh-CN"/>
              </w:rPr>
              <w:t xml:space="preserve">,4000K，LED光源，杆高、材质、壁厚、灯杆颜色等参数与现状路灯一致，含单灯控制器、基础及管线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虎苑路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西墩路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双挑臂</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东隆西路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单挑臂</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天台南路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慢车道挑臂</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36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君秀路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电杆灯挑臂套件</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香山大街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从善路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中圩路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88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w:t>
            </w:r>
            <w:r>
              <w:rPr>
                <w:rFonts w:hint="eastAsia"/>
                <w:color w:val="auto"/>
                <w:highlight w:val="none"/>
                <w:lang w:val="en-US" w:eastAsia="zh-CN"/>
              </w:rPr>
              <w:t xml:space="preserve">32400lm</w:t>
            </w:r>
            <w:r>
              <w:rPr>
                <w:rFonts w:hint="default"/>
                <w:color w:val="auto"/>
                <w:highlight w:val="none"/>
                <w:lang w:val="en-US" w:eastAsia="zh-CN"/>
              </w:rPr>
              <w:t xml:space="preserve">,4000K，LED光源，中光束，100mm*60mm*4mm横担，Q235B，热镀锌喷塑，含单灯控制器及管线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w:t>
            </w:r>
            <w:r>
              <w:rPr>
                <w:rFonts w:hint="eastAsia"/>
                <w:color w:val="auto"/>
                <w:highlight w:val="none"/>
                <w:lang w:val="en-US" w:eastAsia="zh-CN"/>
              </w:rPr>
              <w:t xml:space="preserve"> 32400lm</w:t>
            </w:r>
            <w:r>
              <w:rPr>
                <w:rFonts w:hint="default"/>
                <w:color w:val="auto"/>
                <w:highlight w:val="none"/>
                <w:lang w:val="en-US" w:eastAsia="zh-CN"/>
              </w:rPr>
              <w:t xml:space="preserve">,4000K，LED光源，中光束，100mm*60mm*4mm横担，Q235B，热镀锌喷塑，含单灯控制器及管线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w:t>
            </w:r>
            <w:r>
              <w:rPr>
                <w:rFonts w:hint="eastAsia"/>
                <w:color w:val="auto"/>
                <w:highlight w:val="none"/>
                <w:lang w:val="en-US" w:eastAsia="zh-CN"/>
              </w:rPr>
              <w:t xml:space="preserve">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w:t>
            </w:r>
            <w:r>
              <w:rPr>
                <w:rFonts w:hint="eastAsia"/>
                <w:color w:val="auto"/>
                <w:highlight w:val="none"/>
                <w:lang w:val="en-US" w:eastAsia="zh-CN"/>
              </w:rPr>
              <w:t xml:space="preserve">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东海路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w:t>
            </w:r>
            <w:r>
              <w:rPr>
                <w:rFonts w:hint="eastAsia"/>
                <w:color w:val="auto"/>
                <w:highlight w:val="none"/>
                <w:lang w:val="en-US" w:eastAsia="zh-CN"/>
              </w:rPr>
              <w:t xml:space="preserve">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北大门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w:t>
            </w:r>
            <w:r>
              <w:rPr>
                <w:rFonts w:hint="eastAsia"/>
                <w:color w:val="auto"/>
                <w:highlight w:val="none"/>
                <w:lang w:val="en-US" w:eastAsia="zh-CN"/>
              </w:rPr>
              <w:t xml:space="preserve">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港华路（新开河桥）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w:t>
            </w:r>
            <w:r>
              <w:rPr>
                <w:rFonts w:hint="eastAsia"/>
                <w:color w:val="auto"/>
                <w:highlight w:val="none"/>
                <w:lang w:val="en-US" w:eastAsia="zh-CN"/>
              </w:rPr>
              <w:t xml:space="preserve">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59"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主要路口</w:t>
            </w:r>
            <w:r/>
          </w:p>
        </w:tc>
        <w:tc>
          <w:tcPr>
            <w:shd w:val="clear" w:color="auto" w:fill="auto"/>
            <w:tcBorders>
              <w:top w:val="single" w:color="000000" w:sz="4" w:space="0"/>
              <w:left w:val="single" w:color="000000" w:sz="4" w:space="0"/>
              <w:bottom w:val="single" w:color="000000" w:sz="4" w:space="0"/>
              <w:right w:val="single" w:color="000000" w:sz="4" w:space="0"/>
            </w:tcBorders>
            <w:tcW w:w="178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4242"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w:t>
            </w:r>
            <w:r>
              <w:rPr>
                <w:rFonts w:hint="eastAsia"/>
                <w:color w:val="auto"/>
                <w:highlight w:val="none"/>
                <w:lang w:val="en-US" w:eastAsia="zh-CN"/>
              </w:rPr>
              <w:t xml:space="preserve">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866" w:type="dxa"/>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32 </w:t>
            </w:r>
            <w:r/>
          </w:p>
        </w:tc>
      </w:tr>
    </w:tbl>
    <w:p>
      <w:pPr>
        <w:rPr>
          <w:rFonts w:hint="default"/>
          <w:color w:val="auto"/>
          <w:highlight w:val="none"/>
          <w:lang w:val="en-US" w:eastAsia="zh-CN"/>
        </w:rPr>
      </w:pPr>
      <w:r>
        <w:rPr>
          <w:rFonts w:hint="default"/>
          <w:color w:val="auto"/>
          <w:highlight w:val="none"/>
          <w:lang w:val="en-US" w:eastAsia="zh-CN"/>
        </w:rPr>
      </w:r>
      <w:r/>
    </w:p>
    <w:p>
      <w:pPr>
        <w:pStyle w:val="855"/>
        <w:ind w:left="0" w:firstLine="0"/>
        <w:rPr>
          <w:rFonts w:hint="eastAsia" w:cs="宋体"/>
          <w:b/>
          <w:bCs/>
          <w:color w:val="auto"/>
          <w:szCs w:val="24"/>
          <w:highlight w:val="none"/>
          <w:lang w:val="en-US" w:eastAsia="zh-CN"/>
        </w:rPr>
      </w:pPr>
      <w:r>
        <w:rPr>
          <w:rFonts w:hint="eastAsia" w:cs="宋体"/>
          <w:b/>
          <w:bCs/>
          <w:color w:val="auto"/>
          <w:szCs w:val="24"/>
          <w:highlight w:val="none"/>
        </w:rPr>
        <w:t xml:space="preserve">备注：管线基础合到灯杆灯具造价里，按杆算</w:t>
      </w:r>
      <w:r>
        <w:rPr>
          <w:rFonts w:hint="eastAsia" w:cs="宋体"/>
          <w:b/>
          <w:bCs/>
          <w:color w:val="auto"/>
          <w:szCs w:val="24"/>
          <w:highlight w:val="none"/>
          <w:lang w:val="en-US" w:eastAsia="zh-CN"/>
        </w:rPr>
        <w:t xml:space="preserve">.具体补的位置中标后按采购人指令执行。</w:t>
      </w:r>
      <w:r/>
    </w:p>
    <w:p>
      <w:pPr>
        <w:pStyle w:val="855"/>
        <w:ind w:left="0" w:firstLine="0"/>
        <w:rPr>
          <w:rFonts w:hint="eastAsia" w:cs="宋体"/>
          <w:b w:val="0"/>
          <w:bCs w:val="0"/>
          <w:color w:val="auto"/>
          <w:szCs w:val="24"/>
          <w:highlight w:val="none"/>
          <w:lang w:val="en-US" w:eastAsia="zh-CN"/>
        </w:rPr>
      </w:pPr>
      <w:r>
        <w:rPr>
          <w:rFonts w:hint="eastAsia" w:cs="宋体"/>
          <w:b w:val="0"/>
          <w:bCs w:val="0"/>
          <w:color w:val="auto"/>
          <w:szCs w:val="24"/>
          <w:highlight w:val="none"/>
          <w:lang w:val="en-US" w:eastAsia="zh-CN"/>
        </w:rPr>
        <w:t xml:space="preserve">备注2：补杆路灯每杆包含管线如下：</w:t>
      </w:r>
      <w:r/>
    </w:p>
    <w:p>
      <w:pPr>
        <w:pStyle w:val="855"/>
        <w:ind w:left="0" w:firstLine="0"/>
        <w:rPr>
          <w:rFonts w:hint="default" w:eastAsia="宋体" w:cs="宋体"/>
          <w:b w:val="0"/>
          <w:bCs w:val="0"/>
          <w:color w:val="auto"/>
          <w:szCs w:val="24"/>
          <w:highlight w:val="none"/>
          <w:lang w:val="en-US" w:eastAsia="zh-CN"/>
        </w:rPr>
      </w:pPr>
      <w:r>
        <w:rPr>
          <w:rFonts w:hint="eastAsia" w:cs="宋体"/>
          <w:b w:val="0"/>
          <w:bCs w:val="0"/>
          <w:color w:val="auto"/>
          <w:szCs w:val="24"/>
          <w:highlight w:val="none"/>
          <w:lang w:val="en-US" w:eastAsia="zh-CN"/>
        </w:rPr>
        <w:t xml:space="preserve">1、VV-0.6/1KV-5x16电力电缆60米；2、PE63实壁电力管（壁厚4mm，内径∅55mm）60米；3、整体热镀锌接地极（1.8米4mm厚4#热镀锌扁钢+2.5米5mm厚5#角钢+2套M12x30热镀锌螺栓）1根；4、BVR-0.45/0.75KV-16mm²黄绿接地线（含冷压铜鼻）0.5米；5、BVV-0.45/0.75KV-3x2.5护套线14米；6、挖沟槽土方19m³</w:t>
      </w:r>
      <w:r/>
    </w:p>
    <w:p>
      <w:pPr>
        <w:rPr>
          <w:rFonts w:cs="宋体"/>
          <w:b/>
          <w:bCs/>
          <w:color w:val="auto"/>
          <w:szCs w:val="24"/>
          <w:highlight w:val="none"/>
        </w:rPr>
      </w:pPr>
      <w:r>
        <w:rPr>
          <w:rFonts w:cs="宋体"/>
          <w:b/>
          <w:bCs/>
          <w:color w:val="auto"/>
          <w:szCs w:val="24"/>
          <w:highlight w:val="none"/>
        </w:rPr>
        <w:br w:type="page" w:clear="all"/>
      </w:r>
      <w:r/>
    </w:p>
    <w:tbl>
      <w:tblPr>
        <w:tblStyle w:val="757"/>
        <w:tblW w:w="9456" w:type="dxa"/>
        <w:tblInd w:w="93" w:type="dxa"/>
        <w:tblLayout w:type="autofit"/>
        <w:tblCellMar>
          <w:left w:w="108" w:type="dxa"/>
          <w:top w:w="0" w:type="dxa"/>
          <w:right w:w="108" w:type="dxa"/>
          <w:bottom w:w="0" w:type="dxa"/>
        </w:tblCellMar>
        <w:tblLook w:val="04A0" w:firstRow="1" w:lastRow="0" w:firstColumn="1" w:lastColumn="0" w:noHBand="0" w:noVBand="1"/>
      </w:tblPr>
      <w:tblGrid>
        <w:gridCol w:w="2059"/>
        <w:gridCol w:w="4326"/>
        <w:gridCol w:w="1016"/>
        <w:gridCol w:w="2056"/>
      </w:tblGrid>
      <w:tr>
        <w:trPr>
          <w:trHeight w:val="0"/>
          <w:tblHeader/>
        </w:trPr>
        <w:tc>
          <w:tcPr>
            <w:shd w:val="clear" w:color="auto" w:fill="auto"/>
            <w:tcBorders>
              <w:top w:val="none" w:color="000000" w:sz="4" w:space="0"/>
              <w:left w:val="none" w:color="000000" w:sz="4" w:space="0"/>
              <w:bottom w:val="none" w:color="000000" w:sz="4" w:space="0"/>
              <w:right w:val="none" w:color="000000" w:sz="4" w:space="0"/>
            </w:tcBorders>
            <w:tcW w:w="2059"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32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b/>
                <w:bCs/>
                <w:color w:val="auto"/>
                <w:sz w:val="21"/>
                <w:szCs w:val="21"/>
                <w:highlight w:val="none"/>
                <w:lang w:bidi="ar"/>
              </w:rPr>
              <w:t xml:space="preserve">更换电缆</w:t>
            </w:r>
            <w:r>
              <w:rPr>
                <w:rFonts w:hint="eastAsia" w:ascii="宋体" w:hAnsi="宋体" w:cs="宋体"/>
                <w:b/>
                <w:bCs/>
                <w:color w:val="auto"/>
                <w:sz w:val="21"/>
                <w:szCs w:val="21"/>
                <w:highlight w:val="none"/>
                <w:lang w:val="en-US" w:eastAsia="zh-CN" w:bidi="ar"/>
              </w:rPr>
              <w:t xml:space="preserve">统计</w:t>
            </w:r>
            <w:r>
              <w:rPr>
                <w:rFonts w:hint="eastAsia" w:ascii="宋体" w:hAnsi="宋体" w:cs="宋体"/>
                <w:b/>
                <w:bCs/>
                <w:color w:val="auto"/>
                <w:sz w:val="21"/>
                <w:szCs w:val="21"/>
                <w:highlight w:val="none"/>
                <w:lang w:bidi="ar"/>
              </w:rPr>
              <w:t xml:space="preserve">表</w:t>
            </w:r>
            <w:r/>
          </w:p>
        </w:tc>
        <w:tc>
          <w:tcPr>
            <w:shd w:val="clear" w:color="auto" w:fill="auto"/>
            <w:tcBorders>
              <w:top w:val="none" w:color="000000" w:sz="4" w:space="0"/>
              <w:left w:val="none" w:color="000000" w:sz="4" w:space="0"/>
              <w:bottom w:val="none" w:color="000000" w:sz="4" w:space="0"/>
              <w:right w:val="none" w:color="000000" w:sz="4" w:space="0"/>
            </w:tcBorders>
            <w:tcW w:w="101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05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长度（米）</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金港街道：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三</w:t>
            </w:r>
            <w:r>
              <w:rPr>
                <w:rFonts w:hint="eastAsia" w:ascii="宋体" w:hAnsi="宋体" w:cs="宋体"/>
                <w:color w:val="auto"/>
                <w:sz w:val="21"/>
                <w:szCs w:val="21"/>
                <w:highlight w:val="none"/>
                <w:lang w:val="en-US" w:eastAsia="zh-CN" w:bidi="ar"/>
              </w:rPr>
              <w:t xml:space="preserve">甲</w:t>
            </w:r>
            <w:r>
              <w:rPr>
                <w:rFonts w:hint="eastAsia" w:ascii="宋体" w:hAnsi="宋体" w:cs="宋体"/>
                <w:color w:val="auto"/>
                <w:sz w:val="21"/>
                <w:szCs w:val="21"/>
                <w:highlight w:val="none"/>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2200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天永路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1075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天台北路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1310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后塍街道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西墩路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470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人民北路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270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长江明珠路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德积街道</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护漕港路(天霸路-德申路)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元丰路(德申路南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491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友邦路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2454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环宇北路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1205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福中路 </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1300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tcPr>
          <w:p>
            <w:pPr>
              <w:ind w:left="0" w:right="0" w:firstLine="0"/>
              <w:jc w:val="center"/>
              <w:spacing w:line="24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326" w:type="dxa"/>
            <w:vAlign w:val="center"/>
            <w:textDirection w:val="lrTb"/>
            <w:noWrap/>
          </w:tcPr>
          <w:p>
            <w:pPr>
              <w:ind w:left="0" w:right="0" w:firstLine="0"/>
              <w:jc w:val="left"/>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6" w:type="dxa"/>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0"/>
        </w:trPr>
        <w:tc>
          <w:tcPr>
            <w:shd w:val="clear" w:color="auto" w:fill="auto"/>
            <w:tcBorders>
              <w:top w:val="none" w:color="000000" w:sz="4" w:space="0"/>
              <w:left w:val="none" w:color="000000" w:sz="4" w:space="0"/>
              <w:bottom w:val="none" w:color="000000" w:sz="4" w:space="0"/>
              <w:right w:val="none" w:color="000000" w:sz="4" w:space="0"/>
            </w:tcBorders>
            <w:tcW w:w="2059"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432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101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none" w:color="000000" w:sz="4" w:space="0"/>
              <w:left w:val="none" w:color="000000" w:sz="4" w:space="0"/>
              <w:bottom w:val="none" w:color="000000" w:sz="4" w:space="0"/>
              <w:right w:val="none" w:color="000000" w:sz="4" w:space="0"/>
            </w:tcBorders>
            <w:tcW w:w="205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0"/>
        </w:trPr>
        <w:tc>
          <w:tcPr>
            <w:gridSpan w:val="4"/>
            <w:shd w:val="clear" w:color="auto" w:fill="auto"/>
            <w:tcBorders>
              <w:top w:val="none" w:color="000000" w:sz="4" w:space="0"/>
              <w:left w:val="none" w:color="000000" w:sz="4" w:space="0"/>
              <w:bottom w:val="none" w:color="000000" w:sz="4" w:space="0"/>
              <w:right w:val="none" w:color="000000" w:sz="4" w:space="0"/>
            </w:tcBorders>
            <w:tcW w:w="2056" w:type="dxa"/>
            <w:vAlign w:val="center"/>
            <w:textDirection w:val="lrTb"/>
            <w:noWrap/>
          </w:tcPr>
          <w:p>
            <w:pPr>
              <w:ind w:left="0" w:right="0" w:firstLine="0"/>
              <w:jc w:val="center"/>
              <w:spacing w:line="24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含拆装</w:t>
            </w:r>
            <w:r/>
          </w:p>
        </w:tc>
      </w:tr>
    </w:tbl>
    <w:p>
      <w:pPr>
        <w:rPr>
          <w:rFonts w:cs="宋体"/>
          <w:b/>
          <w:bCs/>
          <w:color w:val="auto"/>
          <w:szCs w:val="24"/>
          <w:highlight w:val="none"/>
        </w:rPr>
      </w:pPr>
      <w:r>
        <w:rPr>
          <w:rFonts w:cs="宋体"/>
          <w:b/>
          <w:bCs/>
          <w:color w:val="auto"/>
          <w:szCs w:val="24"/>
          <w:highlight w:val="none"/>
        </w:rPr>
        <w:br w:type="page" w:clear="all"/>
      </w:r>
      <w:r/>
    </w:p>
    <w:p>
      <w:pPr>
        <w:pStyle w:val="855"/>
        <w:ind w:firstLine="0"/>
        <w:rPr>
          <w:rFonts w:cs="宋体"/>
          <w:color w:val="auto"/>
          <w:szCs w:val="24"/>
          <w:highlight w:val="none"/>
        </w:rPr>
      </w:pPr>
      <w:r>
        <w:rPr>
          <w:rFonts w:hint="eastAsia" w:cs="宋体"/>
          <w:b/>
          <w:bCs/>
          <w:color w:val="auto"/>
          <w:szCs w:val="24"/>
          <w:highlight w:val="none"/>
        </w:rPr>
        <w:t xml:space="preserve">四、附件部分</w:t>
      </w:r>
      <w:r/>
    </w:p>
    <w:p>
      <w:pPr>
        <w:pStyle w:val="1247"/>
        <w:jc w:val="center"/>
        <w:spacing w:before="240" w:after="240"/>
        <w:rPr>
          <w:rFonts w:ascii="宋体" w:hAnsi="宋体" w:eastAsia="宋体" w:cs="宋体"/>
          <w:b/>
          <w:bCs/>
          <w:color w:val="auto"/>
          <w:highlight w:val="none"/>
        </w:rPr>
      </w:pPr>
      <w:r>
        <w:rPr>
          <w:rFonts w:hint="eastAsia" w:ascii="宋体" w:hAnsi="宋体" w:eastAsia="宋体" w:cs="宋体"/>
          <w:b/>
          <w:bCs/>
          <w:color w:val="auto"/>
          <w:highlight w:val="none"/>
        </w:rPr>
        <w:t xml:space="preserve">附件一：备品备件清单</w:t>
      </w:r>
      <w:r/>
    </w:p>
    <w:tbl>
      <w:tblPr>
        <w:tblStyle w:val="757"/>
        <w:tblW w:w="9450" w:type="dxa"/>
        <w:jc w:val="center"/>
        <w:tblLayout w:type="autofit"/>
        <w:tblCellMar>
          <w:left w:w="108" w:type="dxa"/>
          <w:top w:w="0" w:type="dxa"/>
          <w:right w:w="108" w:type="dxa"/>
          <w:bottom w:w="0" w:type="dxa"/>
        </w:tblCellMar>
        <w:tblLook w:val="04A0" w:firstRow="1" w:lastRow="0" w:firstColumn="1" w:lastColumn="0" w:noHBand="0" w:noVBand="1"/>
      </w:tblPr>
      <w:tblGrid>
        <w:gridCol w:w="646"/>
        <w:gridCol w:w="2385"/>
        <w:gridCol w:w="1278"/>
        <w:gridCol w:w="4492"/>
        <w:gridCol w:w="649"/>
      </w:tblGrid>
      <w:tr>
        <w:trPr>
          <w:jc w:val="center"/>
          <w:trHeight w:val="312"/>
          <w:tblHeader/>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型号</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规格</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备品数量</w:t>
            </w:r>
            <w:r/>
          </w:p>
        </w:tc>
        <w:tc>
          <w:tcPr>
            <w:tcBorders>
              <w:top w:val="single" w:color="000000" w:sz="4" w:space="0"/>
              <w:left w:val="single" w:color="000000" w:sz="4" w:space="0"/>
              <w:bottom w:val="single" w:color="000000" w:sz="4" w:space="0"/>
              <w:right w:val="single" w:color="000000" w:sz="4" w:space="0"/>
            </w:tcBorders>
            <w:tcW w:w="649" w:type="dxa"/>
            <w:vAlign w:val="center"/>
            <w:vMerge w:val="restart"/>
            <w:textDirection w:val="lrTb"/>
            <w:noWrap w:val="false"/>
          </w:tcPr>
          <w:p>
            <w:pPr>
              <w:ind w:left="0" w:right="0" w:firstLine="0"/>
              <w:jc w:val="center"/>
              <w:spacing w:line="240" w:lineRule="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VV4*16+E16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500</w:t>
            </w:r>
            <w:r>
              <w:rPr>
                <w:rStyle w:val="1417"/>
                <w:rFonts w:hint="default"/>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VV4*10+E10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500</w:t>
            </w:r>
            <w:r>
              <w:rPr>
                <w:rStyle w:val="1417"/>
                <w:rFonts w:hint="default"/>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VV4*25+E16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500</w:t>
            </w:r>
            <w:r>
              <w:rPr>
                <w:rStyle w:val="1417"/>
                <w:rFonts w:hint="default"/>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花式灯杆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417"/>
                <w:rFonts w:hint="default"/>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普通灯杆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Style w:val="1417"/>
                <w:rFonts w:hint="default"/>
                <w:color w:val="auto"/>
                <w:sz w:val="21"/>
                <w:szCs w:val="21"/>
                <w:highlight w:val="none"/>
              </w:rPr>
              <w:t xml:space="preserve">杆</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不锈钢路灯控制箱36KW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417"/>
                <w:rFonts w:hint="default"/>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不锈钢路灯控制箱50KW</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417"/>
                <w:rFonts w:hint="default"/>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417"/>
                <w:rFonts w:hint="default"/>
                <w:color w:val="auto"/>
                <w:sz w:val="21"/>
                <w:szCs w:val="21"/>
                <w:highlight w:val="none"/>
              </w:rPr>
              <w:t xml:space="preserve">米路灯窨井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417"/>
                <w:rFonts w:hint="default"/>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0.8</w:t>
            </w:r>
            <w:r>
              <w:rPr>
                <w:rStyle w:val="1417"/>
                <w:rFonts w:hint="default"/>
                <w:color w:val="auto"/>
                <w:sz w:val="21"/>
                <w:szCs w:val="21"/>
                <w:highlight w:val="none"/>
              </w:rPr>
              <w:t xml:space="preserve">米路灯窨井</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Style w:val="1417"/>
                <w:rFonts w:hint="default"/>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单灯控制器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不低于总数的1%</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集中控制器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LED灯具</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每种规格</w:t>
            </w:r>
            <w:r/>
          </w:p>
        </w:tc>
        <w:tc>
          <w:tcPr>
            <w:tcBorders>
              <w:top w:val="single" w:color="000000" w:sz="4" w:space="0"/>
              <w:left w:val="single" w:color="000000" w:sz="4" w:space="0"/>
              <w:bottom w:val="single" w:color="000000" w:sz="4" w:space="0"/>
              <w:right w:val="single" w:color="000000" w:sz="4" w:space="0"/>
            </w:tcBorders>
            <w:tcW w:w="4492" w:type="dxa"/>
            <w:vAlign w:val="center"/>
            <w:textDirection w:val="lrTb"/>
            <w:noWrap w:val="false"/>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不低于总量的1%，数量不满5套，按5套计算</w:t>
            </w:r>
            <w:r/>
          </w:p>
        </w:tc>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spacing w:before="240" w:after="240"/>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813"/>
        <w:rPr>
          <w:rFonts w:ascii="宋体" w:eastAsia="宋体"/>
          <w:b/>
          <w:bCs/>
          <w:color w:val="auto"/>
          <w:sz w:val="24"/>
          <w:szCs w:val="24"/>
          <w:highlight w:val="none"/>
        </w:rPr>
      </w:pPr>
      <w:r>
        <w:rPr>
          <w:rFonts w:ascii="宋体" w:eastAsia="宋体"/>
          <w:b/>
          <w:bCs/>
          <w:color w:val="auto"/>
          <w:sz w:val="24"/>
          <w:szCs w:val="24"/>
          <w:highlight w:val="none"/>
        </w:rPr>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spacing w:before="240" w:after="240"/>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附件二：</w:t>
      </w:r>
      <w:r/>
    </w:p>
    <w:p>
      <w:pPr>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承诺书（格式一）</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 </w:t>
      </w:r>
      <w:r>
        <w:rPr>
          <w:rFonts w:hint="eastAsia" w:ascii="宋体" w:hAnsi="宋体" w:cs="宋体"/>
          <w:color w:val="auto"/>
          <w:sz w:val="21"/>
          <w:szCs w:val="21"/>
          <w:highlight w:val="none"/>
        </w:rPr>
        <w:t xml:space="preserve">在张家港保税区规划建设局的保税区路灯改造能源管理服务项目</w:t>
      </w:r>
      <w:r/>
    </w:p>
    <w:p>
      <w:pPr>
        <w:ind w:firstLine="482"/>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left="0" w:firstLine="42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若有幸中标，我单位保证自合同生效后15日内在张家港保税区范围内落实应急驻场条件，配备相应的抢修车辆停放场地、备品备件存放场所及值班值守人员，接到故障报修通知后30分钟内抵达现场开展抢修作业。若合同履约期间无法持续满足该应急响应要求，视为我方违约，愿意承担合同约定的全部违约责任。</w:t>
      </w:r>
      <w:r/>
    </w:p>
    <w:p>
      <w:pPr>
        <w:ind w:firstLine="47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723"/>
        <w:spacing w:before="240" w:after="240"/>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承诺书（格式二）</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在张家港保税区规划建设局的保税区路灯改造能源管理服务项目</w:t>
      </w:r>
      <w:r/>
    </w:p>
    <w:p>
      <w:pPr>
        <w:pStyle w:val="813"/>
        <w:rPr>
          <w:rFonts w:ascii="宋体" w:eastAsia="宋体"/>
          <w:color w:val="auto"/>
          <w:sz w:val="21"/>
          <w:szCs w:val="21"/>
          <w:highlight w:val="none"/>
        </w:rPr>
      </w:pPr>
      <w:r>
        <w:rPr>
          <w:rFonts w:ascii="宋体" w:eastAsia="宋体"/>
          <w:color w:val="auto"/>
          <w:sz w:val="21"/>
          <w:szCs w:val="21"/>
          <w:highlight w:val="none"/>
        </w:rPr>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7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若有幸中标，我单位保证按照招标文件要求承诺备品备件在中标后30个工作日内进仓库。</w:t>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 诺 书（格式三）</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w:t>
      </w:r>
      <w:r>
        <w:rPr>
          <w:rFonts w:hint="eastAsia" w:ascii="宋体" w:hAnsi="宋体" w:cs="宋体"/>
          <w:color w:val="auto"/>
          <w:sz w:val="21"/>
          <w:szCs w:val="21"/>
          <w:highlight w:val="none"/>
          <w:u w:val="single"/>
        </w:rPr>
        <w:t xml:space="preserve">保税区路灯改造能源管理服务项目（</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在规定期限内（中标后15日内）主动提供人员清单及相应证明（身份证、相关证书、驾驶证等复印件），车辆行驶证、产权证、车辆外观图片及车辆相关高度参数等相关证明材料（租赁的同时提供租赁协议复印件），并保证在投标文件中确定的人员及相关车辆设备，实际进场不减少与变更，并经采购单位确认后开展项目，同时保证提供的相关人员、车辆满足采购单位要求。</w:t>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jc w:val="left"/>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pStyle w:val="1247"/>
        <w:jc w:val="center"/>
        <w:keepLines w:val="0"/>
        <w:keepNext w:val="0"/>
        <w:pageBreakBefore w:val="0"/>
        <w:spacing w:before="240" w:after="24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47"/>
        <w:jc w:val="center"/>
        <w:keepLines w:val="0"/>
        <w:keepNext w:val="0"/>
        <w:pageBreakBefore w:val="0"/>
        <w:spacing w:before="240" w:after="240"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1"/>
          <w:szCs w:val="21"/>
          <w:highlight w:val="none"/>
        </w:rPr>
        <w:t xml:space="preserve">附件三：张家港保税区道路照明设施考核细则</w:t>
      </w:r>
      <w:r/>
    </w:p>
    <w:tbl>
      <w:tblPr>
        <w:tblStyle w:val="757"/>
        <w:tblW w:w="9354" w:type="dxa"/>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542"/>
        <w:gridCol w:w="1065"/>
        <w:gridCol w:w="1170"/>
        <w:gridCol w:w="3240"/>
        <w:gridCol w:w="2103"/>
        <w:gridCol w:w="1234"/>
      </w:tblGrid>
      <w:tr>
        <w:trPr>
          <w:jc w:val="center"/>
          <w:trHeight w:val="0"/>
        </w:trPr>
        <w:tc>
          <w:tcPr>
            <w:tcBorders>
              <w:top w:val="single" w:color="000000" w:sz="8" w:space="0"/>
              <w:left w:val="single" w:color="000000" w:sz="8" w:space="0"/>
              <w:bottom w:val="single" w:color="000000" w:sz="8" w:space="0"/>
              <w:right w:val="single" w:color="00000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类别</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项 目</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考核标准</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操作细则</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bottom w:val="single" w:color="808080" w:sz="8" w:space="0"/>
              <w:right w:val="single" w:color="808080" w:sz="8" w:space="0"/>
            </w:tcBorders>
            <w:tcMar>
              <w:left w:w="57" w:type="dxa"/>
              <w:top w:w="57" w:type="dxa"/>
              <w:right w:w="57" w:type="dxa"/>
              <w:bottom w:w="57" w:type="dxa"/>
            </w:tcMar>
            <w:tcW w:w="1065"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源</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位</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理</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求</w:t>
            </w:r>
            <w:r/>
          </w:p>
        </w:tc>
        <w:tc>
          <w:tcPr>
            <w:tcBorders>
              <w:bottom w:val="single" w:color="808080" w:sz="8" w:space="0"/>
              <w:right w:val="single" w:color="808080" w:sz="8" w:space="0"/>
            </w:tcBorders>
            <w:tcMar>
              <w:left w:w="57" w:type="dxa"/>
              <w:top w:w="57" w:type="dxa"/>
              <w:right w:w="57" w:type="dxa"/>
              <w:bottom w:w="57" w:type="dxa"/>
            </w:tcMar>
            <w:tcW w:w="1170"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实行24小时人员值班制，每班需配备人员6人（负责人1人、维护工2人）并配备GPRS集控巡查人员1人，操作电工待命1人，高空作业车驾驶员待命1人。发现人员缺岗的，扣除</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000元/次·人，班组人员全部不在岗的，扣除10000元/次。检查人员定位。</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发现人员缺岗的，扣除</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000元/次·人，班组人员全部不在岗的，扣除10000元/次。</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应配备用于路灯维修养护工程的施工机械设备，如高空、抢修作业车、防撞缓冲车、维修巡检车辆及相应的电工工具等，安装GPS车辆定位系统交张家港保税区规划建设局管理。</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未储备上述设备的，每少一样扣10000元/次。</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道路照明设施维护项目部工作人员实行岗位责任制，工作人员持证上岗且保持稳定，熟悉所管辖区域内道路照明设施供电、控制、线路等相关情况，作业时统一着装并配备必要的安全防护用品，能按操作规程进行维护作业。</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未实行岗位责任制扣2000元/次</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工作人员未持证上岗或人员不稳定扣2000元/次</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未统一着装并配备必要的安全防护用品扣2000元/次</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未按操作规程进行维护作业扣3000元/次</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能源管理单位必须准备充足的维修材料（如灯杆、灯具、电缆、镇流器、光源、控制箱等）。</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维修材料不充足，每缺一项扣10000元/次。（维修材料与各维护区域内设施相对应，如灯杆、灯具、控制箱等，与投标文件相符）</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能源管理单位值班电话对外公布并24小时开通，接待投诉时必须热情、诚恳、语气谦和，并做好详细记录。</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能源管理单位无值班电话或未24小时开通，扣1000元/次</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接听电话不文明引起投诉，每次扣200元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洁</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铁丝、绳索等缠绕物未及时清除的，每处扣200元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设置户外广告等悬挂物未及时发现或发现后未上报的，每杆扣200元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乱张贴、乱涂写未及时清除的，每杆扣200元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亮灯率</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亮灯率标准均为99％</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每低于1%，扣管护单位5000元，不足1%的按插入法计算；低于98%的，每低于0.1%，扣管护单位2000元。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bottom w:val="single" w:color="808080" w:sz="8" w:space="0"/>
              <w:right w:val="single" w:color="808080" w:sz="8" w:space="0"/>
            </w:tcBorders>
            <w:tcMar>
              <w:left w:w="57" w:type="dxa"/>
              <w:top w:w="57" w:type="dxa"/>
              <w:right w:w="57" w:type="dxa"/>
              <w:bottom w:w="57" w:type="dxa"/>
            </w:tcMar>
            <w:tcW w:w="1065"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设施完率≥99%</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配电箱柜等</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Mar>
              <w:left w:w="57" w:type="dxa"/>
              <w:top w:w="57" w:type="dxa"/>
              <w:right w:w="57" w:type="dxa"/>
              <w:bottom w:w="57" w:type="dxa"/>
            </w:tcMar>
            <w:tcW w:w="2103" w:type="dxa"/>
            <w:vAlign w:val="bottom"/>
            <w:vMerge w:val="restart"/>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设施内任一部件都必须完好运行，每月因设施故障导致熄灯的，均按照1%故障率计算，每个点每次计算一个1%，每月累计数为该月故障率</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每月抽查管护范围内路灯各项设施不少于管护总数的20%</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设施完好率每低于1%，扣管护单位5000元，不足1%的按插入法计算；低于98%的，每低于0.1%，扣管护单位2000元。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架空线路</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电缆线路</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照明器具</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高杆照明</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参照《道路照张家港市明设施维护质量标准》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专用灯杆</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三遥</w:t>
            </w:r>
            <w:r>
              <w:rPr>
                <w:rFonts w:hint="eastAsia" w:ascii="宋体" w:hAnsi="宋体" w:eastAsia="宋体" w:cs="宋体"/>
                <w:b/>
                <w:bCs/>
                <w:color w:val="auto"/>
                <w:sz w:val="21"/>
                <w:szCs w:val="21"/>
                <w:highlight w:val="none"/>
              </w:rPr>
              <w:t xml:space="preserve">集控</w:t>
            </w:r>
            <w:r>
              <w:rPr>
                <w:rFonts w:hint="eastAsia" w:ascii="宋体" w:hAnsi="宋体" w:eastAsia="宋体" w:cs="宋体"/>
                <w:color w:val="auto"/>
                <w:sz w:val="21"/>
                <w:szCs w:val="21"/>
                <w:highlight w:val="none"/>
              </w:rPr>
              <w:t xml:space="preserve">及时控器</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安全保护</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参照《张家港市道路照明设施维护质量标准》</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5</w:t>
            </w:r>
            <w:r/>
          </w:p>
        </w:tc>
        <w:tc>
          <w:tcPr>
            <w:tcBorders>
              <w:bottom w:val="single" w:color="808080" w:sz="8" w:space="0"/>
              <w:right w:val="single" w:color="808080" w:sz="8" w:space="0"/>
            </w:tcBorders>
            <w:tcMar>
              <w:left w:w="57" w:type="dxa"/>
              <w:top w:w="57" w:type="dxa"/>
              <w:right w:w="57" w:type="dxa"/>
              <w:bottom w:w="57" w:type="dxa"/>
            </w:tcMar>
            <w:tcW w:w="1065"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运行</w:t>
            </w:r>
            <w:r/>
          </w:p>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故障</w:t>
            </w:r>
            <w:r/>
          </w:p>
        </w:tc>
        <w:tc>
          <w:tcPr>
            <w:tcBorders>
              <w:bottom w:val="single" w:color="808080" w:sz="8" w:space="0"/>
              <w:right w:val="single" w:color="808080" w:sz="8" w:space="0"/>
            </w:tcBorders>
            <w:tcMar>
              <w:left w:w="57" w:type="dxa"/>
              <w:top w:w="57" w:type="dxa"/>
              <w:right w:w="57" w:type="dxa"/>
              <w:bottom w:w="57" w:type="dxa"/>
            </w:tcMar>
            <w:tcW w:w="1170" w:type="dxa"/>
            <w:vAlign w:val="center"/>
            <w:vMerge w:val="restart"/>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能源管理单位需要在白天开灯检修时，应事先经张家港保税区规划建设局批准。</w:t>
            </w:r>
            <w:r/>
          </w:p>
        </w:tc>
        <w:tc>
          <w:tcPr>
            <w:tcBorders>
              <w:bottom w:val="single" w:color="808080" w:sz="8" w:space="0"/>
              <w:right w:val="single" w:color="808080" w:sz="8" w:space="0"/>
            </w:tcBorders>
            <w:tcMar>
              <w:left w:w="57" w:type="dxa"/>
              <w:top w:w="57" w:type="dxa"/>
              <w:right w:w="57" w:type="dxa"/>
              <w:bottom w:w="57" w:type="dxa"/>
            </w:tcMar>
            <w:tcW w:w="2103" w:type="dxa"/>
            <w:vAlign w:val="bottom"/>
            <w:vMerge w:val="restart"/>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运行故障每次扣20000元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W w:w="542"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065"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W w:w="1170"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3240" w:type="dxa"/>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无因运行故障造成的成片或成线的灭灯。</w:t>
            </w:r>
            <w:r/>
          </w:p>
        </w:tc>
        <w:tc>
          <w:tcPr>
            <w:tcBorders>
              <w:bottom w:val="single" w:color="808080" w:sz="8" w:space="0"/>
              <w:right w:val="single" w:color="808080" w:sz="8" w:space="0"/>
            </w:tcBorders>
            <w:tcW w:w="2103" w:type="dxa"/>
            <w:vAlign w:val="center"/>
            <w:vMerge w:val="continue"/>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6</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完成社会承诺</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一般故障24小时内修复，复杂故障72小时内修复遇恶劣天气、工程量较大等特殊原因除外）</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投诉及故障处理结束后，应在24小时内将处理情况报保税区规划建设局，同时回复反映人。</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接收公安110联动指令的必须在30分钟赶到现场， 采取紧急措施，排除险情。</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12345或数字化城管派单的，按派单限定期限处理完成，无法完成的，需提前报规划建设局 同意。</w:t>
            </w:r>
            <w:r/>
          </w:p>
          <w:p>
            <w:pPr>
              <w:pStyle w:val="1247"/>
              <w:numPr>
                <w:ilvl w:val="0"/>
                <w:numId w:val="0"/>
              </w:numPr>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张家港保税区规划建设局交办的其它相关任务</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配合对路灯电费进行抄表，按时抄送管理部门，</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各类故障、事故未按期修复的，每拖延一天（24小时）扣除10000元/次（盏、套）天</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投诉未能及时修复或故障未能彻底修复引起重复投诉，每次扣3000元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抢修未能在规定时间内赶到现场的每次扣3000元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未及时回复的每次扣5000元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交办任务未按要求及时完成，每次扣5000元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不按时抄送及抄错扣10000元/处</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47"/>
              <w:ind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无重大安全责任事故</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安全措施未落实，每次扣5000元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发生全责或主责的人身伤害事故和重大财产损失，根据市安全生产管理规定相关要求执行；发生次责的根据事故造成危害程度确定</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发生责任死亡事故，中止合同。</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8</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台帐</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年度、月度维护作业计划（根据巡修频次制定）</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维护技术文件（路灯分布图、控制系统图、变压器、节电器等相关技术资料）</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维护管理台帐（值班制度、人员培训、应急预案等）</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巡查维修台帐</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安全工作台帐（制定安全生产责任制及网络图、人员培训、安全生产检查制度、安全操作规程、安全隐患排查等）</w:t>
            </w:r>
            <w:r/>
          </w:p>
        </w:tc>
        <w:tc>
          <w:tcPr>
            <w:tcBorders>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无相关台帐，每缺一项扣500元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未按计划进行巡修，每次扣500元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台帐不完整或数据不准确，每处扣200元</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在规定巡修周期内应发现并及时处理或汇报的设施问题，未及时处理或汇报，每处扣200元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9</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因偷盗或车损等非正常损坏的，需及时与 规划建设局联系，并立即组织修补，撞坏路灯设施（含事故逃逸）需立即组织处理现场,因偷盗造成的路灯设施损坏报警后需立即组织处理现场。能源管理单位应配合规划建设局报警并依相关法律确认费用承担主体追索</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能源管理单位不得擅自变更除灯具以外的设计、所用光源及规格品牌等均应事先报告规划建设局批准。</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能源管理单位及职工不得在照明设施上私拉乱接其他供用电设施。</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能源管理单位应注意发现下列情况并及时上报、配合处理：（1）擅自拆除、迁移道路照明设施</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（2）在道路照明设施附近堆放杂物、挖坑取土、兴建建（构）筑物</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（3）在道路照明灯杆上架设通信电缆和安置其他设施等违章行为</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（4）巡查发现私自接用路灯电源</w:t>
            </w:r>
            <w:r>
              <w:rPr>
                <w:rFonts w:hint="eastAsia" w:ascii="宋体" w:hAnsi="宋体" w:eastAsia="宋体" w:cs="宋体"/>
                <w:color w:val="auto"/>
                <w:sz w:val="21"/>
                <w:szCs w:val="21"/>
                <w:highlight w:val="none"/>
                <w:lang w:eastAsia="zh-CN"/>
              </w:rPr>
              <w:t xml:space="preserve">；</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能源管理单位需遵守文明施工相关规定，不得擅自开挖道路，确需开挖的应办理相关审批手续。</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发生非正常损坏未及时组织修复，每处扣10000元</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擅自改变照明设施的，每处扣10000元</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擅自转供其他用电设施的，每处扣10000元</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未能及时发现私接路灯用电的，每处扣20000元</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未能及时发现擅自拆除、迁移、私自接用路灯电源等危害公共照明设施行为的，每次扣50000元</w:t>
            </w:r>
            <w:r/>
          </w:p>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未遵守文明施工相关规定，每次扣2000元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10</w:t>
            </w:r>
            <w:r/>
          </w:p>
        </w:tc>
        <w:tc>
          <w:tcPr>
            <w:tcBorders>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维修及时考核要 求</w:t>
            </w:r>
            <w:r/>
          </w:p>
        </w:tc>
        <w:tc>
          <w:tcPr>
            <w:tcBorders>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bottom w:val="single" w:color="808080" w:sz="8" w:space="0"/>
              <w:right w:val="single" w:color="808080" w:sz="8" w:space="0"/>
            </w:tcBorders>
            <w:tcMar>
              <w:left w:w="57" w:type="dxa"/>
              <w:top w:w="57" w:type="dxa"/>
              <w:right w:w="57" w:type="dxa"/>
              <w:bottom w:w="57" w:type="dxa"/>
            </w:tcMar>
            <w:tcW w:w="3240"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规划建设局将养护中发现和存在的问题以限期整改意见书形式通知能源管理单位，能源管理单位需在规定期限内予以改正。</w:t>
            </w:r>
            <w:r/>
          </w:p>
        </w:tc>
        <w:tc>
          <w:tcPr>
            <w:tcBorders>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如超出期限七个工作日未改正的每次予以扣2000元，超过二周未改正的每次予以扣10000元。</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11</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大型活动保障</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灯能源管理单位应保障区域内举办的各类国际国内会议及大型节庆活动亮灯状况，活动前一周能源管理单位应反复检查养护区域内设施，及时排除或修复各类故障，要求亮灯率、设施完好率达到考核时指标，活动当天应安排工作人员现场保障</w:t>
            </w:r>
            <w:r>
              <w:rPr>
                <w:rFonts w:hint="eastAsia" w:ascii="宋体" w:hAnsi="宋体" w:eastAsia="宋体" w:cs="宋体"/>
                <w:b/>
                <w:bCs/>
                <w:color w:val="auto"/>
                <w:sz w:val="21"/>
                <w:szCs w:val="21"/>
                <w:highlight w:val="none"/>
              </w:rPr>
              <w:t xml:space="preserve">，在接到规划建设局的书面通知后未响应的，规划建设局有权委托他人维护，所发生的费用从能源管理单位维护费中扣除。</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2103" w:type="dxa"/>
            <w:vAlign w:val="center"/>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活动期间保障不力，每处扣10000元</w:t>
            </w:r>
            <w:r>
              <w:rPr>
                <w:rFonts w:hint="eastAsia" w:ascii="宋体" w:hAnsi="宋体" w:eastAsia="宋体" w:cs="宋体"/>
                <w:color w:val="auto"/>
                <w:sz w:val="21"/>
                <w:szCs w:val="21"/>
                <w:highlight w:val="none"/>
                <w:lang w:eastAsia="zh-CN"/>
              </w:rPr>
              <w:t xml:space="preserve">。</w:t>
            </w:r>
            <w:r/>
          </w:p>
        </w:tc>
        <w:tc>
          <w:tcPr>
            <w:tcBorders>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jc w:val="center"/>
          <w:trHeight w:val="0"/>
        </w:trPr>
        <w:tc>
          <w:tcPr>
            <w:tcBorders>
              <w:left w:val="single" w:color="808080" w:sz="8" w:space="0"/>
              <w:bottom w:val="single" w:color="808080" w:sz="8" w:space="0"/>
              <w:right w:val="single" w:color="808080" w:sz="8" w:space="0"/>
            </w:tcBorders>
            <w:tcMar>
              <w:left w:w="57" w:type="dxa"/>
              <w:top w:w="57" w:type="dxa"/>
              <w:right w:w="57" w:type="dxa"/>
              <w:bottom w:w="57" w:type="dxa"/>
            </w:tcMar>
            <w:tcW w:w="542"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065"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按时缴纳电费</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1170"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3240"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能源管理单位应该按时缴纳电费</w:t>
            </w:r>
            <w:r/>
          </w:p>
        </w:tc>
        <w:tc>
          <w:tcPr>
            <w:tcBorders>
              <w:top w:val="single" w:color="808080" w:sz="8" w:space="0"/>
              <w:bottom w:val="single" w:color="808080" w:sz="8" w:space="0"/>
              <w:right w:val="single" w:color="808080" w:sz="8" w:space="0"/>
            </w:tcBorders>
            <w:tcMar>
              <w:left w:w="57" w:type="dxa"/>
              <w:top w:w="57" w:type="dxa"/>
              <w:right w:w="57" w:type="dxa"/>
              <w:bottom w:w="57" w:type="dxa"/>
            </w:tcMar>
            <w:tcW w:w="2103" w:type="dxa"/>
            <w:vAlign w:val="bottom"/>
            <w:textDirection w:val="lrTb"/>
            <w:noWrap w:val="false"/>
          </w:tcPr>
          <w:p>
            <w:pPr>
              <w:pStyle w:val="1247"/>
              <w:ind w:firstLine="0"/>
              <w:jc w:val="both"/>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有一次延误电费缴纳承担滞纳金，并且罚款100000元</w:t>
            </w:r>
            <w:r>
              <w:rPr>
                <w:rFonts w:hint="eastAsia" w:ascii="宋体" w:hAnsi="宋体" w:eastAsia="宋体" w:cs="宋体"/>
                <w:color w:val="auto"/>
                <w:sz w:val="21"/>
                <w:szCs w:val="21"/>
                <w:highlight w:val="none"/>
                <w:lang w:eastAsia="zh-CN"/>
              </w:rPr>
              <w:t xml:space="preserve">。</w:t>
            </w:r>
            <w:r/>
          </w:p>
        </w:tc>
        <w:tc>
          <w:tcPr>
            <w:tcBorders>
              <w:bottom w:val="single" w:color="808080" w:sz="8" w:space="0"/>
              <w:right w:val="single" w:color="808080" w:sz="8" w:space="0"/>
            </w:tcBorders>
            <w:tcMar>
              <w:left w:w="57" w:type="dxa"/>
              <w:top w:w="57" w:type="dxa"/>
              <w:right w:w="57" w:type="dxa"/>
              <w:bottom w:w="57" w:type="dxa"/>
            </w:tcMar>
            <w:tcW w:w="1234" w:type="dxa"/>
            <w:vAlign w:val="center"/>
            <w:textDirection w:val="lrTb"/>
            <w:noWrap w:val="false"/>
          </w:tcPr>
          <w:p>
            <w:pPr>
              <w:pStyle w:val="1247"/>
              <w:ind w:firstLine="0"/>
              <w:jc w:val="cente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247"/>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eastAsia="zh-CN"/>
        </w:rPr>
        <w:t xml:space="preserve">：</w:t>
      </w:r>
      <w:r/>
    </w:p>
    <w:p>
      <w:pPr>
        <w:pStyle w:val="1247"/>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.保税区</w:t>
      </w:r>
      <w:r>
        <w:rPr>
          <w:rFonts w:hint="eastAsia" w:ascii="宋体" w:hAnsi="宋体" w:eastAsia="宋体" w:cs="宋体"/>
          <w:color w:val="auto"/>
          <w:sz w:val="21"/>
          <w:szCs w:val="21"/>
          <w:highlight w:val="none"/>
        </w:rPr>
        <w:t xml:space="preserve">规划建设局和金港、后塍及德积街道对道路照明设施的维修养护进行检查和考核，考核方式采取每月随机抽查的方法进行。</w:t>
      </w:r>
      <w:r/>
    </w:p>
    <w:p>
      <w:pPr>
        <w:pStyle w:val="1247"/>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中标后签订合同之日起，中标单位应对能源委托项目的所有灯具进行维修维护（规划建设局依照第1条进行检查考核），维修维护费用包含在整体报价中。</w:t>
      </w:r>
      <w:r/>
    </w:p>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1247"/>
        <w:ind w:left="-386" w:firstLine="420"/>
        <w:keepLines w:val="0"/>
        <w:keepNext w:val="0"/>
        <w:pageBreakBefore w:val="0"/>
        <w:spacing w:before="181" w:after="181"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7"/>
        <w:ind w:firstLine="422"/>
        <w:jc w:val="center"/>
        <w:keepLines w:val="0"/>
        <w:keepNext w:val="0"/>
        <w:pageBreakBefore w:val="0"/>
        <w:spacing w:before="240" w:after="24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附件四：张家港保税区道路照明设施维护质量标准</w:t>
      </w:r>
      <w:r/>
    </w:p>
    <w:tbl>
      <w:tblPr>
        <w:tblStyle w:val="757"/>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701"/>
        <w:gridCol w:w="6889"/>
      </w:tblGrid>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检查项目</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质量标准</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设施整洁</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路灯变压器、计量箱、控制箱、灯杆等相关设施外观整洁，无积污、无破损、无严重锈蚀、无乱张贴、乱涂写、乱牵乱挂等影响市容的情况</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无未经批准设置的户外广告或其他悬挂物品</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灯具、灯杆等应定期清洗。</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配电箱（柜）室</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配电室（箱）门窗清洁无破损，挂锁完好，室内整洁无异物，警告标志齐全，房屋无渗漏水现象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配电箱（柜）体保持完整无缺，不渗水、无积灰、无锈蚀，安装牢固；高压配电装置按电力系统要求定期进行巡修及实验</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箱内电器安装整齐牢固、无积灰积垢、线路排列整齐</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接触器、开关、熔断器等电器元件和导线，应绝缘良好，各零部件无变形缺损，运行正常，无异响</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电器各触点、熔断器无烧热变色</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配电柜仪表完好，指示正确，各部件联结紧固无松动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各路出线标志清楚，并有完整负荷分配图</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室内配电柜及附属设施应符合消防安全规程要求</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三相供电负荷应定期检测，不平衡度小于20％</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箱柜接地电阻符合相关电气规定，接地电阻≤4欧。</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架空线路</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电杆不歪斜，横担平直</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导线弧垂符合规定，无断股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瓷瓶完整无缺，无裂纹，瓷瓶绑线无松脱现象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拉线无锈蚀，无松弛现象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架空线路周围无影响线路正常运行的树木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所有横担、瓷瓶、抱箍、拉线等紧固螺栓无松动和锈蚀现象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混凝土杆身完整无裂缝、破损现象。</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电缆线路</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电缆线路（穿管地埋线路）的路面上应无开挖、新的建筑打桩、植树及有可能腐蚀电缆的化学物品</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电缆未端电压应不低于额定电压的20%</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电缆线路在地上部分的钢带、保护管、固定设备无锈蚀，标桩完整无缺</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接头紧固螺母（压接管）无松动、发热现象，绝缘包带无老化开裂，钢带接地良好</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分段的绝缘电阻不低于10兆欧</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灯箱座、人孔、手孔井内干净无异物，电缆标志牌齐全、字迹清楚</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巡视检查对有严重缺陷和损伤，并已无法处理的电缆（穿管导线）线路应分段或全部更新。</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照明器具</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灯具、灯架完好清洁、无断裂、脱焊及严重锈蚀，对严重影响照明安全的器件应予整修更换</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灯具引下线和管内穿线绝缘良好，无破皮、绝缘开裂等现象，引下线中间不能有接头</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灯具保持光亮无积污</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悬臂灯架引下线瓷瓶、熔断器完整无缺，所有紧固螺母牢固无松动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更换损坏的光源、电器元件应符合安装质量标准并与原设计规格一致。</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高杆照明</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灯盘、灯具等应符合照明器具维护要求</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传动机构钢丝绳无损伤、无锈蚀，接头无松动等现象，挂脱钩机构灵活可靠无异常，灯盘连接牢固</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电动机、变速箱支架牢固可靠，变速箱无油质污染、缺油等情况，齿轮无异常</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限位开关触点准确、控制电器触头无电蚀、接头接点完好无损</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导线应无受压、受夹、受损、老化等现象，各相工作电流正常</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灯杆、灯盘骨架无锈蚀，保护接地装置良好，接地电阻≤4欧。</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专用灯杆</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灯杆杆身倾斜不超过杆长1%</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金属灯杆杆身无破损、锈蚀现象，喷塑无脱落，油漆杆无油漆剥落</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灯杆基础周围土地坚实无松动凸筋</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基础法兰螺栓无松动</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金属灯杆保护接地良好，接地电阻≤4欧。</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单灯控制器及集中控制器</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无擅自拆除、移位、调整线路等改变集控终端数据信息的操作。</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安全保护</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保护接地线路连接可靠，无锈蚀</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接地电阻满足要求</w:t>
            </w:r>
            <w:r>
              <w:rPr>
                <w:rFonts w:hint="eastAsia" w:ascii="宋体" w:hAnsi="宋体" w:eastAsia="宋体" w:cs="宋体"/>
                <w:color w:val="auto"/>
                <w:sz w:val="21"/>
                <w:szCs w:val="21"/>
                <w:highlight w:val="none"/>
                <w:lang w:eastAsia="zh-CN"/>
              </w:rPr>
              <w:t xml:space="preserve">；</w:t>
            </w:r>
            <w:r/>
          </w:p>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剩余电流动作保护器运行正常。</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亮灯率</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亮灯率≥99%</w:t>
            </w:r>
            <w:r/>
          </w:p>
        </w:tc>
      </w:tr>
      <w:tr>
        <w:trPr>
          <w:jc w:val="center"/>
          <w:trHeight w:val="0"/>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ind w:left="0" w:right="0"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完好率</w:t>
            </w:r>
            <w:r/>
          </w:p>
        </w:tc>
        <w:tc>
          <w:tcPr>
            <w:tcBorders>
              <w:top w:val="single" w:color="auto" w:sz="4" w:space="0"/>
              <w:left w:val="single" w:color="auto" w:sz="4" w:space="0"/>
              <w:bottom w:val="single" w:color="auto" w:sz="4" w:space="0"/>
              <w:right w:val="single" w:color="auto" w:sz="4" w:space="0"/>
            </w:tcBorders>
            <w:tcW w:w="6889" w:type="dxa"/>
            <w:vAlign w:val="center"/>
            <w:textDirection w:val="lrTb"/>
            <w:noWrap w:val="false"/>
          </w:tcPr>
          <w:p>
            <w:pPr>
              <w:ind w:left="0" w:right="0" w:firstLine="0"/>
              <w:jc w:val="left"/>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完好率≥99%</w:t>
            </w:r>
            <w:r/>
          </w:p>
        </w:tc>
      </w:tr>
    </w:tbl>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98"/>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管护范围：张家港保税区及三个街道市政道路照明</w:t>
      </w:r>
      <w:r/>
    </w:p>
    <w:p>
      <w:pPr>
        <w:pStyle w:val="1198"/>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管护内容：</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（1）道路路灯；</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（2）负责所有路灯照明GPRS集控终端的维护；</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（3）负责路灯照明设施更换维修，确保亮灯效果；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负责对拥有产权的灯具、单灯控制器、集中控制器及相关控制设备的安装牢固情况的检查及维修外，还应对灯杆、管线、控制箱、箱变、接地设施及其其他相关设备安装牢固度的检查及维修（产权外设备的一般故障维修由</w:t>
      </w:r>
      <w:r>
        <w:rPr>
          <w:rFonts w:hint="eastAsia" w:ascii="宋体" w:hAnsi="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rPr>
        <w:t xml:space="preserve">单位负责）；</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（5）运行值班：</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除正常维护外，还需做好各项领导检查及节日保障活动；做好防盗工作，承担维护范围内发生的失窃、人为破坏等管护责任；</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（6）管护标准：确保路灯亮灯率在99%以上，设施完好率99%以上。一般故障24小时内修复，特殊事故72小时内修复。110、12345派单事件及时完成率100%。</w:t>
      </w:r>
      <w:r/>
    </w:p>
    <w:p>
      <w:pPr>
        <w:pStyle w:val="1198"/>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保洁工作：</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负责计量箱、控制箱、箱变及路灯灯杆及灯具的清洁工作；</w:t>
      </w:r>
      <w:r/>
    </w:p>
    <w:p>
      <w:pPr>
        <w:pStyle w:val="1198"/>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日常巡检：</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（1）实行24小时人员值班制，每班需配备人员6人（驾驶员1人、负责人1人、维护工2人）并配备GPRS集控巡查人员1人，高压操作电工待命1人。</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巡检人员每日都要对管辖内设备进行巡视检查，管理人员要保持24小时通讯畅通；</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（3）电气元件、电气设备、电缆、灯具、箱变等照明设施运行参数检测、漏电安全检测、灵敏度检测、绝缘检测、老化检测；易损易耗件更换，补足；</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（4）巡查设施运行情况、观察有无异常振动及噪声，检查电气控制柜中元件有无发黑的触点，电缆、电线是否有过热、变色、烧焦等现象；</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（5）养护期限内发生偷盗必须在第一时间内向采购单位管理人员反映，同时向辖区内派出所报案。</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（6）对运行时间超过十五年的设备应每年进行安全专项检查，检查结果报规划建设局。</w:t>
      </w:r>
      <w:r/>
    </w:p>
    <w:p>
      <w:pPr>
        <w:pStyle w:val="1198"/>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故障维修说明：</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（1）制定相关应急预案，如有意外事故发生应采取紧急处理措施，防止事故扩大化﹙如遇台风、洪涝等﹚；</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进行维修更换作业时，应尊重原设计，原样恢复。特殊情况下，经采购单位许可，方可使用替代品，但造价、品牌、质量不得低于原设计的材料设备质量标准；</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（3）现场须有足够的备品备件，备品备件使用后要立即补足；</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人员及</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委派人员均须服从采购单位代表及采购单位现场派驻人员的管理，采购单位现场派驻人员负责对</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日常维护工作进行监督、检查、维修工作量审核确定等工作。</w:t>
      </w:r>
      <w:r/>
    </w:p>
    <w:p>
      <w:pPr>
        <w:pStyle w:val="1198"/>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5</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路灯照明</w:t>
      </w:r>
      <w:r>
        <w:rPr>
          <w:rFonts w:hint="eastAsia" w:ascii="宋体" w:hAnsi="宋体" w:eastAsia="宋体" w:cs="宋体"/>
          <w:b/>
          <w:bCs/>
          <w:color w:val="auto"/>
          <w:sz w:val="21"/>
          <w:szCs w:val="21"/>
          <w:highlight w:val="none"/>
          <w:lang w:eastAsia="zh-CN"/>
        </w:rPr>
        <w:t xml:space="preserve">维保单位</w:t>
      </w:r>
      <w:r>
        <w:rPr>
          <w:rFonts w:hint="eastAsia" w:ascii="宋体" w:hAnsi="宋体" w:eastAsia="宋体" w:cs="宋体"/>
          <w:b/>
          <w:bCs/>
          <w:color w:val="auto"/>
          <w:sz w:val="21"/>
          <w:szCs w:val="21"/>
          <w:highlight w:val="none"/>
        </w:rPr>
        <w:t xml:space="preserve">内部管理要求</w:t>
      </w:r>
      <w:r>
        <w:rPr>
          <w:rFonts w:hint="eastAsia" w:ascii="宋体" w:hAnsi="宋体" w:eastAsia="宋体" w:cs="宋体"/>
          <w:b/>
          <w:bCs/>
          <w:color w:val="auto"/>
          <w:sz w:val="21"/>
          <w:szCs w:val="21"/>
          <w:highlight w:val="none"/>
          <w:lang w:val="en-US" w:eastAsia="zh-CN"/>
        </w:rPr>
        <w:t xml:space="preserve">:</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（1）机构及硬件设施</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路灯照明</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必须建立合理完善高效的运作管理体制。应建立由公司总经理领导、项目质量技术负责人负责的质量管理机构。采用项目法施工管理，根据路灯照明维修的特点、规模及项目施工要求成立项目经理部。</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应建立齐全规范的人员岗位管理、考勤值班、日常巡修制度、施工质量管理、服务承诺、安全生产管理、抢修应急预案、技术人员管理培训、设备材料管理、内部资料档案管理、财务管理等各项制度。</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必须具备固定的办公和工作场所，具备办公室、仓库、停车场等场所。</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必须配备用于路灯照明维护的施工机械设备，如路灯升降车、抢修车、维修巡检车辆、高空作业装备及相应的电工工具等。</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应建立和健全所管辖区域内路灯照明设施资料管理档案（控制系统图、分布图等），并根据变化及时修正，保证其准确性。</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各维修队伍应根据各自维修区域、维修总量及其特点制定完整合理的书面应急预案，建立反应迅速、运转高效的应急响应机制。明确各岗位职责，确保任何地点发生故障均能在30分钟内到达现场。</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必须准备充足的维修材料（如灯杆、灯具、电缆、镇流器、光源、控制箱等），以应对日常维修及突发事件需要。</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（2）工作人员要求</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工作人员必须熟悉路灯照明配电设备、所管辖区域内路灯照明控制线路网络的正确操作和维护方法，确保路灯照明配电设备安全运行无事故。</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工作人员必须按规定着统一标识服装，严格遵守各项安全操作规程和交通管理规则，作业时安全防护用品必须穿戴齐全。</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工作人员应按制定的计划认真巡修，并做好巡修记录。</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（3）安全、文明施工</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确定安全责任制度，总经理为安全第一责任人，全面负责照明维修人员、装备等安全工作，项目经理为安全负责人。</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en-US" w:eastAsia="zh-CN"/>
        </w:rPr>
        <w:t xml:space="preserve">维保单位</w:t>
      </w:r>
      <w:r>
        <w:rPr>
          <w:rFonts w:hint="eastAsia" w:ascii="宋体" w:hAnsi="宋体" w:eastAsia="宋体" w:cs="宋体"/>
          <w:color w:val="auto"/>
          <w:sz w:val="21"/>
          <w:szCs w:val="21"/>
          <w:highlight w:val="none"/>
        </w:rPr>
        <w:t xml:space="preserve">须自行投保足额公众责任险（覆盖第三方人身、财产损害赔偿）、雇主责任险 / 建筑工程团体意外伤害保险（覆盖全部在岗员工工作意外、工伤风险），全部保险费用由乙方承担；保险有效期须覆盖本项目全部服务周期，出险后所有赔偿、诉讼费用由乙方自行承担。 </w:t>
      </w:r>
      <w:r>
        <w:rPr>
          <w:rFonts w:hint="eastAsia" w:ascii="宋体" w:hAnsi="宋体" w:eastAsia="宋体" w:cs="宋体"/>
          <w:color w:val="auto"/>
          <w:sz w:val="21"/>
          <w:szCs w:val="21"/>
          <w:highlight w:val="none"/>
          <w:lang w:val="en-US" w:eastAsia="zh-CN"/>
        </w:rPr>
        <w:t xml:space="preserve"> </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建立完善的安全生产管理制度，包括①安全生产检查制度②电工安全操作规程③高空作业安全操作规程④安全行车的有关规定⑤员工安全生产教育培训制度。</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路灯照明设施因维护不到位引起的安全事故由</w:t>
      </w:r>
      <w:r>
        <w:rPr>
          <w:rFonts w:hint="eastAsia" w:ascii="宋体" w:hAnsi="宋体" w:eastAsia="宋体" w:cs="宋体"/>
          <w:color w:val="auto"/>
          <w:sz w:val="21"/>
          <w:szCs w:val="21"/>
          <w:highlight w:val="none"/>
          <w:lang w:val="en-US" w:eastAsia="zh-CN"/>
        </w:rPr>
        <w:t xml:space="preserve">维保</w:t>
      </w:r>
      <w:r>
        <w:rPr>
          <w:rFonts w:hint="eastAsia" w:ascii="宋体" w:hAnsi="宋体" w:eastAsia="宋体" w:cs="宋体"/>
          <w:color w:val="auto"/>
          <w:sz w:val="21"/>
          <w:szCs w:val="21"/>
          <w:highlight w:val="none"/>
        </w:rPr>
        <w:t xml:space="preserve">单位承担。</w:t>
      </w:r>
      <w:r/>
    </w:p>
    <w:p>
      <w:pPr>
        <w:pStyle w:val="1198"/>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路灯照明</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应严格执行安全施工的相关规定，施工人员必须持证上岗并进行安全教育，确保不发生人身伤亡事故和火灾事故。</w:t>
      </w:r>
      <w:r/>
    </w:p>
    <w:p>
      <w:pPr>
        <w:pStyle w:val="1390"/>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路灯照明</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必须建立完善的文明施工、环境保护措施，落实文明施工和环境保护相关责任人。因维修工作造成对采购方或者第三方财产损坏的，由</w:t>
      </w:r>
      <w:r>
        <w:rPr>
          <w:rFonts w:hint="eastAsia" w:ascii="宋体" w:hAnsi="宋体" w:eastAsia="宋体" w:cs="宋体"/>
          <w:color w:val="auto"/>
          <w:sz w:val="21"/>
          <w:szCs w:val="21"/>
          <w:highlight w:val="none"/>
          <w:lang w:eastAsia="zh-CN"/>
        </w:rPr>
        <w:t xml:space="preserve">维保单位</w:t>
      </w:r>
      <w:r>
        <w:rPr>
          <w:rFonts w:hint="eastAsia" w:ascii="宋体" w:hAnsi="宋体" w:eastAsia="宋体" w:cs="宋体"/>
          <w:color w:val="auto"/>
          <w:sz w:val="21"/>
          <w:szCs w:val="21"/>
          <w:highlight w:val="none"/>
        </w:rPr>
        <w:t xml:space="preserve">负责赔偿。</w:t>
      </w:r>
      <w:r/>
    </w:p>
    <w:p>
      <w:pPr>
        <w:ind w:firstLine="422"/>
        <w:spacing w:after="181"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ind w:firstLine="420"/>
        <w:keepLines w:val="0"/>
        <w:keepNext w:val="0"/>
        <w:pageBreakBefore w:val="0"/>
        <w:spacing w:line="360" w:lineRule="auto"/>
        <w:rPr>
          <w:rFonts w:hint="eastAsia" w:ascii="宋体" w:hAnsi="宋体" w:eastAsia="宋体" w:cs="宋体"/>
          <w:b/>
          <w:bCs/>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b/>
          <w:bCs/>
          <w:color w:val="auto"/>
          <w:sz w:val="21"/>
          <w:szCs w:val="21"/>
          <w:highlight w:val="none"/>
          <w:u w:val="none"/>
          <w:lang w:val="en-US" w:eastAsia="zh-CN"/>
        </w:rPr>
        <w:t xml:space="preserve">附件五、履约验收方案</w:t>
      </w:r>
      <w:r/>
    </w:p>
    <w:p>
      <w:pPr>
        <w:ind w:firstLine="422"/>
        <w:keepLines w:val="0"/>
        <w:keepNext w:val="0"/>
        <w:pageBreakBefore w:val="0"/>
        <w:spacing w:line="360" w:lineRule="auto"/>
        <w:rPr>
          <w:rFonts w:hint="default" w:ascii="宋体" w:hAnsi="宋体" w:eastAsia="宋体" w:cs="宋体"/>
          <w:b/>
          <w:bCs/>
          <w:color w:val="auto"/>
          <w:sz w:val="21"/>
          <w:szCs w:val="21"/>
          <w:highlight w:val="none"/>
          <w:u w:val="none"/>
          <w:lang w:val="en-US" w:eastAsia="zh-CN"/>
        </w:rPr>
      </w:pPr>
      <w:r>
        <w:rPr>
          <w:rFonts w:hint="eastAsia" w:ascii="宋体" w:hAnsi="宋体" w:eastAsia="宋体" w:cs="宋体"/>
          <w:b/>
          <w:bCs/>
          <w:color w:val="auto"/>
          <w:sz w:val="21"/>
          <w:szCs w:val="21"/>
          <w:highlight w:val="none"/>
          <w:u w:val="none"/>
          <w:lang w:val="en-US" w:eastAsia="zh-CN"/>
        </w:rPr>
        <w:t xml:space="preserve">一、验收方案概况</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（一）编制依据</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依据《中华人民共和国政府采购法》《中华人民共和国民法典》《江苏省政府采购履约验收管理办法》（苏财规〔2024〕7号）及本项目政府采购招标文件、投标响应文件、正式采购合同、</w:t>
      </w:r>
      <w:r>
        <w:rPr>
          <w:rFonts w:hint="eastAsia" w:ascii="宋体" w:hAnsi="宋体" w:eastAsia="宋体" w:cs="宋体"/>
          <w:b w:val="0"/>
          <w:bCs w:val="0"/>
          <w:color w:val="auto"/>
          <w:sz w:val="21"/>
          <w:szCs w:val="21"/>
          <w:highlight w:val="none"/>
        </w:rPr>
        <w:t xml:space="preserve">《城市道路照明施工及验收规程》(CJJ89-2012)和《城市道路照明技术规范》（DGJ32/TC 06-2011）要求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上述如有最新标准出台的，则按照最新标准执行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及其他行业技术标准等相关规定，结合项目能源管理服务、路灯改造、长效运维的服务特性，制定本履约验收方案。</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（二）项目概况</w:t>
      </w:r>
      <w:r/>
    </w:p>
    <w:p>
      <w:pPr>
        <w:pStyle w:val="1304"/>
        <w:ind w:firstLine="420"/>
        <w:keepLines w:val="0"/>
        <w:keepNext w:val="0"/>
        <w:pageBreakBefore w:val="0"/>
        <w:spacing w:line="360" w:lineRule="auto"/>
        <w:rPr>
          <w:rStyle w:val="992"/>
          <w:rFonts w:hint="eastAsia" w:ascii="宋体" w:hAnsi="宋体" w:eastAsia="宋体" w:cs="宋体"/>
          <w:b w:val="0"/>
          <w:bCs w:val="0"/>
          <w:iCs/>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本项目为张家港保税区路灯改造能源管理服务项目，对保税区及3个街道路灯总计约16588余盏灯具进行节能改造，属于政府采购公共服务类项目，主要内容包含辖区内路灯改造、相关设施改造、老旧灯具设备拆除、新型节能路灯安装改造、智能照明系统搭建、日常路灯运维、能耗监测、电费缴纳、节能效益保障、故障应急处置等一体化能源管理服务。 </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项目履约周期长、服务覆盖面广、涉及公共民生保障，采用分期分段验收+年度绩效验收+末期总体验收的模式开展履约验收工作，全面核查供应商合同履约情况、设备质量、服务效能、节能指标达成情况。</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（三）验收原则</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严格遵循《江苏省政府采购履约验收管理办法》要求，坚持依法依约、全面完整、客观真实、诚实信用、及时规范、公开透明原则，落实应验必验、验收必严、违约必究工作要求，杜绝形式化验收、虚假验收，全面核查项目硬件改造质量、软件系统功能、长效服务能力及节能履约成效。</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（四）适用范围</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方案适用于张家港保税区路灯改造能源管理服务项目全周期履约验收工作，涵盖路灯改造施工验收、设备安装验收、智能系统调试验收、日常运维服务阶段性验收、年度节能绩效验收、项目整体竣工总验收及所有合同约定的服务内容、指标、质保义务核查工作。</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二、验收主体及职责</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（一）采购人（验收责任主体）</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张家港保税区规划建设局为本项目履约验收工作法定责任主体，全面负责验收工作组织、统筹、监管，建立项目履约验收内控管理机制，把控验收全流程合规性，依法处置验收发现的违约、质量问题，承担验收主体责任。主要职责包括启动验收工作、组建验收小组、审核验收方案、确认验收结果、落实资金支付、归档验收资料、对接监督检查等。</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（二）项目验收小组</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根据《江苏省政府采购履约验收管理办法》第十五条规定，采购人组建专项验收小组，作为验收实施主体，具体开展核查、检测、评议工作 。</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（三）第三方专业机构（辅助验收）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本项目为技术复杂、专业性强的公共服务项目，针对节能数据核算、智能系统性能检测、路灯设备质量核验等专业内容，采购人委托具备合法资质的第三方检</w:t>
      </w:r>
      <w:r>
        <w:rPr>
          <w:rFonts w:hint="eastAsia" w:ascii="宋体" w:hAnsi="宋体" w:eastAsia="宋体" w:cs="宋体"/>
          <w:color w:val="auto"/>
          <w:sz w:val="21"/>
          <w:szCs w:val="21"/>
          <w:highlight w:val="none"/>
          <w:lang w:val="en-US" w:eastAsia="zh-CN"/>
        </w:rPr>
        <w:t xml:space="preserve">测评估机构参与验收，出具专业检测报告 ，作为验收核心依据之一，第三方机构对出具的专业意见真实性、有效性负责。</w:t>
      </w:r>
      <w:r/>
    </w:p>
    <w:p>
      <w:pPr>
        <w:pStyle w:val="813"/>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（四）供应商（履约配合主体）</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全面配合验收工作，完整提供项目施工资料、设备合格证、检测报告、运维台账、能耗数据、整改记录等全套验收资料，配合现场查验、设备调试、数据核验、满意度调研工作，对资料真实性、履约行为合规性负责，及时完成验收发现问题的整改闭环。</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三、验收方式与验收周期</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本项目能源管理服务长效履约、分期落地的特性，严格按照《江苏省政府采购履约验收管理办法》第九条、第二十条规定，采用分期分段验收+年度绩效验收+末期总体验收相结合的验收方式，杜绝一次性笼统验收，实现全周期履约管控。</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（一）阶段性验收（分段验收）</w:t>
      </w:r>
      <w:r/>
    </w:p>
    <w:p>
      <w:pPr>
        <w:spacing w:beforeAutospacing="0" w:afterAutospacing="0" w:line="360" w:lineRule="auto"/>
        <w:widowControl/>
        <w:rPr>
          <w:rFonts w:hint="default" w:eastAsia="宋体"/>
          <w:color w:val="auto"/>
          <w:highlight w:val="none"/>
          <w:lang w:val="en-US" w:eastAsia="zh-CN"/>
        </w:rPr>
      </w:pPr>
      <w:r>
        <w:rPr>
          <w:rFonts w:hint="eastAsia" w:ascii="宋体" w:eastAsia="宋体" w:cs="宋体"/>
          <w:color w:val="auto"/>
          <w:sz w:val="21"/>
          <w:szCs w:val="21"/>
          <w:highlight w:val="none"/>
          <w:lang w:val="en-US" w:eastAsia="zh-CN"/>
        </w:rPr>
        <w:t xml:space="preserve">首先核对</w:t>
      </w:r>
      <w:r>
        <w:rPr>
          <w:rFonts w:hint="eastAsia"/>
          <w:color w:val="auto"/>
          <w:highlight w:val="none"/>
        </w:rPr>
        <w:t xml:space="preserve">落实政府采购政策</w:t>
      </w:r>
      <w:r>
        <w:rPr>
          <w:rFonts w:hint="eastAsia"/>
          <w:color w:val="auto"/>
          <w:highlight w:val="none"/>
          <w:lang w:val="en-US" w:eastAsia="zh-CN"/>
        </w:rPr>
        <w:t xml:space="preserve">的承诺是否兑现核对如下内容：</w:t>
      </w:r>
      <w:r/>
    </w:p>
    <w:p>
      <w:pPr>
        <w:ind w:firstLine="420"/>
        <w:spacing w:beforeAutospacing="0" w:afterAutospacing="0" w:line="360" w:lineRule="auto"/>
        <w:widowControl/>
        <w:rPr>
          <w:rFonts w:hint="default" w:eastAsia="宋体"/>
          <w:color w:val="auto"/>
          <w:highlight w:val="none"/>
          <w:lang w:val="en-US" w:eastAsia="zh-CN"/>
        </w:rPr>
      </w:pPr>
      <w:r>
        <w:rPr>
          <w:rFonts w:hint="eastAsia"/>
          <w:color w:val="auto"/>
          <w:highlight w:val="none"/>
        </w:rPr>
        <w:t xml:space="preserve">本项目采购预算预留份额</w:t>
      </w:r>
      <w:r>
        <w:rPr>
          <w:rFonts w:hint="eastAsia"/>
          <w:color w:val="auto"/>
          <w:highlight w:val="none"/>
          <w:lang w:val="en-US" w:eastAsia="zh-CN"/>
        </w:rPr>
        <w:t xml:space="preserve">40</w:t>
      </w:r>
      <w:r>
        <w:rPr>
          <w:rFonts w:hint="eastAsia"/>
          <w:color w:val="auto"/>
          <w:highlight w:val="none"/>
        </w:rPr>
        <w:t xml:space="preserve">%面向中小企业采购</w:t>
      </w:r>
      <w:r>
        <w:rPr>
          <w:rFonts w:hint="eastAsia"/>
          <w:color w:val="auto"/>
          <w:highlight w:val="none"/>
          <w:lang w:eastAsia="zh-CN"/>
        </w:rPr>
        <w:t xml:space="preserve">，</w:t>
      </w:r>
      <w:r>
        <w:rPr>
          <w:rFonts w:hint="eastAsia"/>
          <w:color w:val="auto"/>
          <w:highlight w:val="none"/>
        </w:rPr>
        <w:t xml:space="preserve">供应商</w:t>
      </w:r>
      <w:r>
        <w:rPr>
          <w:rFonts w:hint="eastAsia"/>
          <w:color w:val="auto"/>
          <w:highlight w:val="none"/>
          <w:lang w:val="en-US" w:eastAsia="zh-CN"/>
        </w:rPr>
        <w:t xml:space="preserve">是否是</w:t>
      </w:r>
      <w:r/>
    </w:p>
    <w:p>
      <w:pPr>
        <w:ind w:firstLine="420"/>
        <w:spacing w:beforeAutospacing="0" w:afterAutospacing="0" w:line="360" w:lineRule="auto"/>
        <w:widowControl/>
        <w:rPr>
          <w:rFonts w:hint="eastAsia"/>
          <w:color w:val="auto"/>
          <w:highlight w:val="none"/>
        </w:rPr>
      </w:pPr>
      <w:r>
        <w:rPr>
          <w:rFonts w:hint="eastAsia"/>
          <w:color w:val="auto"/>
          <w:highlight w:val="none"/>
        </w:rPr>
        <w:t xml:space="preserve">①符合《政府采购促进中小企业发展管理办法》（财库〔2020〕46号）规定的中小企业（监狱企业、残疾人福利性单位均视同小型、微型企业）；</w:t>
      </w:r>
      <w:r/>
    </w:p>
    <w:p>
      <w:pPr>
        <w:ind w:firstLine="420"/>
        <w:spacing w:beforeAutospacing="0" w:afterAutospacing="0" w:line="360" w:lineRule="auto"/>
        <w:widowControl/>
        <w:rPr>
          <w:rFonts w:hint="eastAsia"/>
          <w:color w:val="auto"/>
          <w:highlight w:val="none"/>
        </w:rPr>
      </w:pPr>
      <w:r>
        <w:rPr>
          <w:rFonts w:hint="eastAsia"/>
          <w:color w:val="auto"/>
          <w:highlight w:val="none"/>
        </w:rPr>
        <w:t xml:space="preserve">②大型企业向一家或者多家中小企业分包，分包意向协议约定的由中小企业承担的合同份额应占到合同总金额的</w:t>
      </w:r>
      <w:r>
        <w:rPr>
          <w:rFonts w:hint="eastAsia"/>
          <w:color w:val="auto"/>
          <w:highlight w:val="none"/>
          <w:lang w:val="en-US" w:eastAsia="zh-CN"/>
        </w:rPr>
        <w:t xml:space="preserve">40</w:t>
      </w:r>
      <w:r>
        <w:rPr>
          <w:rFonts w:hint="eastAsia"/>
          <w:color w:val="auto"/>
          <w:highlight w:val="none"/>
        </w:rPr>
        <w:t xml:space="preserve">%以上（该</w:t>
      </w:r>
      <w:r>
        <w:rPr>
          <w:rFonts w:hint="eastAsia"/>
          <w:color w:val="auto"/>
          <w:highlight w:val="none"/>
          <w:lang w:val="en-US" w:eastAsia="zh-CN"/>
        </w:rPr>
        <w:t xml:space="preserve">40</w:t>
      </w:r>
      <w:r>
        <w:rPr>
          <w:rFonts w:hint="eastAsia"/>
          <w:color w:val="auto"/>
          <w:highlight w:val="none"/>
        </w:rPr>
        <w:t xml:space="preserve">%合同金额中，由小微企业承担为60%）；</w:t>
      </w:r>
      <w:r/>
    </w:p>
    <w:p>
      <w:pPr>
        <w:ind w:firstLine="420"/>
        <w:spacing w:beforeAutospacing="0" w:afterAutospacing="0" w:line="360" w:lineRule="auto"/>
        <w:widowControl/>
        <w:rPr>
          <w:rFonts w:hint="eastAsia" w:ascii="宋体" w:eastAsia="宋体" w:cs="宋体"/>
          <w:color w:val="auto"/>
          <w:sz w:val="21"/>
          <w:szCs w:val="21"/>
          <w:highlight w:val="none"/>
          <w:lang w:val="en-US" w:eastAsia="zh-CN"/>
        </w:rPr>
      </w:pPr>
      <w:r>
        <w:rPr>
          <w:rFonts w:hint="eastAsia"/>
          <w:color w:val="auto"/>
          <w:highlight w:val="none"/>
        </w:rPr>
        <w:t xml:space="preserve">③大型企业和中小企业联合体投标，且联合体协议约定</w:t>
      </w:r>
      <w:r>
        <w:rPr>
          <w:rFonts w:hint="eastAsia"/>
          <w:color w:val="auto"/>
          <w:highlight w:val="none"/>
          <w:lang w:val="en-US" w:eastAsia="zh-CN"/>
        </w:rPr>
        <w:t xml:space="preserve">中</w:t>
      </w:r>
      <w:r>
        <w:rPr>
          <w:rFonts w:hint="eastAsia"/>
          <w:color w:val="auto"/>
          <w:highlight w:val="none"/>
        </w:rPr>
        <w:t xml:space="preserve">小企业承担的的合同份额应占到合同总金额的</w:t>
      </w:r>
      <w:r>
        <w:rPr>
          <w:rFonts w:hint="eastAsia"/>
          <w:color w:val="auto"/>
          <w:highlight w:val="none"/>
          <w:lang w:val="en-US" w:eastAsia="zh-CN"/>
        </w:rPr>
        <w:t xml:space="preserve">40</w:t>
      </w:r>
      <w:r>
        <w:rPr>
          <w:rFonts w:hint="eastAsia"/>
          <w:color w:val="auto"/>
          <w:highlight w:val="none"/>
        </w:rPr>
        <w:t xml:space="preserve">%以上（该</w:t>
      </w:r>
      <w:r>
        <w:rPr>
          <w:rFonts w:hint="eastAsia"/>
          <w:color w:val="auto"/>
          <w:highlight w:val="none"/>
          <w:lang w:val="en-US" w:eastAsia="zh-CN"/>
        </w:rPr>
        <w:t xml:space="preserve">40</w:t>
      </w:r>
      <w:r>
        <w:rPr>
          <w:rFonts w:hint="eastAsia"/>
          <w:color w:val="auto"/>
          <w:highlight w:val="none"/>
        </w:rPr>
        <w:t xml:space="preserve">%合同金额中，由小微企业承担为60%）；也可以中小企业组成联合体投标。（组成联合体或者接受分包合同的中小企业与联合体内其他企业、分包企业之间不得存在直接控股、管理关系，小微企业不得将合同分包给大中型企业，中型企业不得将合同分包给大型企业</w:t>
      </w:r>
      <w:r>
        <w:rPr>
          <w:rFonts w:hint="eastAsia"/>
          <w:color w:val="auto"/>
          <w:highlight w:val="none"/>
          <w:lang w:eastAsia="zh-CN"/>
        </w:rPr>
        <w:t xml:space="preserve">）</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针对路灯改造分批施工、分批交付的特点，按施工标段、交付区域开展分段验收。每一批次路灯改造安装、系统调试完成，达到合同约定验收条件后， 启动验收，核查设备安装质量、亮化效果、基础功能、施工合规性，出具阶段性验收意见，合格后方可进入运维服务阶段。</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（二）年度绩效验收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履约期间，每年合同对应周期届满后开展年度专项验收，重点核查全年路灯运维服务质量、故障处置效率、设备完好率、能耗节约数据、系统运行稳定性、日常台账完整性，考核年度履约绩效，作为年度服务费支付依据。</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（三）末期总体验收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整体履约周期届满、所有合同义务履行完毕后，开展最终总体验收，汇总各阶段、各年度验收资料，全面核查整体改造质量、节能指标总达成情况、质保服务落实情况、问题整改闭环情况，出具项目总体验收结论。</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四、核心验收依据</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严格按照《江苏省政府采购履约验收管理办法》第十三条规定，以法定有效文件作为唯一验收依据，所有验收标准不得擅自变更、降低或扩大范围：</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政府采购招标文件、供应商投标响应文件、澄清答疑文件；本项目正式政府采购合同、补充协议及双方有效书面约定；国家、省市市政照明工程施工规范、节能照明技术标准、智能路灯系统技术规范；第三方专业检测报告、设备质量检测报告；</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项目封存样品、施工竣工资料、运维台账、故障处置记录等过程资料；日常监管考核记录。</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五、详细验收内容及标准</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结合项目改造+运维+节能的核心内容，分四大模块开展全覆盖验收，所有验收标准严格对标合同约定及行业规范。</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（一）路灯改造工程及设备验收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设备配置验收：核查改造路灯数量、型号、功率、材质、智能模块、控制系统配件等，完全匹配合同及投标承诺参数，设备具备合格证、质检报告、3C认证，无假冒伪劣、以次充好、参数不符情况。</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施工质量验收：检查路灯基础施工、灯杆安装、线路铺设、接地防护、防水处理等施工工艺，符合市政照明工程规范，灯杆稳固、线路规整、安全防护到位，无安全隐患，施工现场清理完毕。</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亮化功能验收：现场测试路灯照明亮度、均匀度、显色指数、开关控制功能，夜间亮化效果满足园区道路通行、公共区域照明需求，无大面积暗区、频闪、故障不亮等问题。</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智能系统验收：核查智能照明管控平台、远程开关、定时调控、故障报警、能耗监测、数据统计等功能，系统运行稳定、数据实时精准、操控响应及时，可实现全域路灯精细化管控。</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（二）日常运维服务验收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设备完好率：严格按照合同约定考核路灯设备完好率、亮灯率，达标率需满足合同及行业标准，故障路灯及时修复，无长期故障搁置情况。</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故障处置时效：核查故障报修、巡查记录、处置台账，一般故障、紧急故障修复时长符合合同约定，应急处置机制完善，极端天气、突发故障响应及时。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日常巡检养护：供应商按约定开展日常巡查、设备清洁、线路检修、系统维护、隐患排查，留存完整巡检台账、养护记录、隐患整改资料，养护频次、质量符合合同要求。</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人员设备保障：核查运维团队配置、驻场服务、维修设备、应急物资配备情况，满足项目长效运维需求，人员在岗履职、服务规范。</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资料完整性：核查项目全周期资料，包含施工竣工资料、设备档案、运维台账、能耗报告、整改记录、培训记录等，资料齐全、归档规范。</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质保履约情况：核查质保期服务承诺落实情况，质保机制健全，免费维修、设备更换、技术支持等义务全面履行。</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六、标准化验收流程</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严格按照《江苏省政府采购履约验收管理办法》规定的六步流程，规范化开展验收工作，全程留痕、全程合规。</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（一）启动验收，下发通知</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分段施工、年度服务、整体履约达到合同验收条件后，采购人进行验收筹备，向供应商正式下发《政府采购履约验收通知单》，明确验收时间、范围、内容、需准备资料及相关要求。供应商也可在履约达标后主动申请启动验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（二）组建验收小组，制定实施方案</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采购人确定合规验收小组及负责人，结合当期验收内容，制定专项验收实施方案，明确验收起止时间、验收范围、核查标准、人员分工、检测方式、评议规则，报采购人备案后实施。</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（三）资料初审与现场核验</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小组首先对供应商提交的全套履约资料进行初审，核查资料完整性、真实性、合规性；随后开展现场实地查验、设备测试、系统调试、能耗数据核验、满意度调研，同步委托第三方机构开展专业检测，全程做好文字、影像记录，留存原始验收台账。</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（四）综合评议，出具验收意见</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验收小组结合资料初审结果、现场核验情况、第三方检测报告 ，开展综合评议，对照合同约定逐项判定履约达标情况。按照少数服从多数原则出具书面验收意见，对不同意见如实记录存档，所有验收成员签字确认。</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（五）双方确认，公示结果</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与供应商对验收意见进行核对确认，无异议的签署《政府采购履约验收书》；存在异议的，双方协商解决，协商不成的依法依规处理。本项目为公共服务项目，验收结束后2个工作日内，在江苏政府采购网公开验收结果，接受社会监督。</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（六）问题整改与闭环核验</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发现轻微瑕疵、不影响整体履约质量的，明确整改时限、整改要求，督促供应商限期整改，验收小组复核闭环；验收存在质量不达标、指标未完成、服务违约等问题的，判定验收不合格，暂停资金支付，依据合同及法律法规追究违约责任，整改合格后重新组织验收。</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七、验收结果处置与资金支付</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（一）验收合格处置</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阶段性、年度、末期验收合格的，采购人按照合同约定及时支付对应服务款项、退还对应履约保证金，无拖延、拖欠、违规扣留情况，完整留存支付凭证及验收归档资料。</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（二）验收不合格处置</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1.轻微问题：限期整改、限时复核，整改到位前暂缓支付当期款项；</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2.一般违约：扣除对应履约违约金，责令限期整改，整改合格后方可继续履约及付款；</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3.严重违约：项目核心指标不达标、服务严重缺失、存在虚假履约等情况，依据合同解除服务约定、追究违约责任，上报财政部门纳入信用记录，依法依规处置。</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（三）特殊情形处置</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若供应商履约标准优于合同约定、实现技术升级、提升服务质量，且未增加财政资金成本、不影响项目整体运行质量的，由验收小组组织专家论证，论证通过后可视同验收合格，双方签订补充协议备案。</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八、档案管理与费用规范</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（一）验收档案管理</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验收全周期资料统一归档管理，包含验收方案、验收通知单、原始查验记录、检测报告、满意度问卷、验收意见、履约验收书、整改资料、公示截图、支付凭证等，档案真实完整、规范留存，不得伪造、篡改、隐匿、销毁，全程接受财政、审计、纪检部门监督检查。</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（二）验收费用规范</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验收过程中产生的第三方检测费、专业技术人员服务费等，合同有约定的按合同执行，无约定的由采购人承担 ；本单位参与验收的工作人员不领取劳务报酬，严格遵守费用管理规范。</w:t>
      </w:r>
      <w:r/>
    </w:p>
    <w:p>
      <w:pPr>
        <w:pStyle w:val="813"/>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九、监督管理与责任追究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（一）日常监督</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采购人将本项目履约验收纳入单位政府采购内控管理体系，主管预算单位常态化指导、核查验收工作；财政部门依法开展财会监督，重点核查验收制度落实、主体责任履行、问题处置、档案管理等情况。</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（二）信用管理</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对验收过程中出现的虚假验收、串通造假、供应商虚假履约、采购人拖欠款项等违规行为，如实上报财政部门，纳入政府采购信用档案，实施信用惩戒。</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（三）责任追究</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对未按规定组织验收、验收流于形式、违规操作、弄虚作假的相关单位及个人，由财政、纪检、审计部门依法依规追责；涉嫌违法犯罪的，移送司法机关处理。</w:t>
      </w:r>
      <w:r/>
    </w:p>
    <w:p>
      <w:pPr>
        <w:pStyle w:val="813"/>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附件</w:t>
      </w: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lang w:val="en-US" w:eastAsia="zh-CN"/>
        </w:rPr>
        <w:t xml:space="preserve"> ：        </w:t>
      </w:r>
      <w:r>
        <w:rPr>
          <w:rFonts w:hint="eastAsia" w:ascii="宋体" w:hAnsi="宋体" w:eastAsia="宋体" w:cs="宋体"/>
          <w:color w:val="auto"/>
          <w:sz w:val="24"/>
          <w:szCs w:val="24"/>
          <w:highlight w:val="none"/>
        </w:rPr>
        <w:t xml:space="preserve">张家港</w:t>
      </w:r>
      <w:r>
        <w:rPr>
          <w:rFonts w:hint="eastAsia" w:ascii="宋体" w:hAnsi="宋体" w:eastAsia="宋体" w:cs="宋体"/>
          <w:color w:val="auto"/>
          <w:sz w:val="24"/>
          <w:szCs w:val="24"/>
          <w:highlight w:val="none"/>
          <w:lang w:val="en-US" w:eastAsia="zh-CN"/>
        </w:rPr>
        <w:t xml:space="preserve">保税区</w:t>
      </w:r>
      <w:r>
        <w:rPr>
          <w:rFonts w:hint="eastAsia" w:ascii="宋体" w:hAnsi="宋体" w:eastAsia="宋体" w:cs="宋体"/>
          <w:color w:val="auto"/>
          <w:sz w:val="24"/>
          <w:szCs w:val="24"/>
          <w:highlight w:val="none"/>
        </w:rPr>
        <w:t xml:space="preserve">智慧照明管理平台</w:t>
      </w:r>
      <w:r>
        <w:rPr>
          <w:rFonts w:hint="eastAsia" w:ascii="宋体" w:hAnsi="宋体" w:eastAsia="宋体" w:cs="宋体"/>
          <w:color w:val="auto"/>
          <w:sz w:val="24"/>
          <w:szCs w:val="24"/>
          <w:highlight w:val="none"/>
          <w:lang w:val="en-US" w:eastAsia="zh-CN"/>
        </w:rPr>
        <w:t xml:space="preserve">要求</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1.平台功能</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⑴设备管理：管理配电柜、集中控制器、灯杆、灯具和单灯控制器等设备，能够进行终端设备的添加、删除、编辑和参数设置等。</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⑵实时控制：可实现回路、单灯开关灯和调光，既可单控也可组控和群控（组控和群控可自定义设置）。</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实时数据查询：自动可进行定时巡测也可随时手动巡测，查询当前光照度、配电柜和回路的信息包括电压、电流、功率因素、功率、温度、总能耗和开关灯状态；集中控制器的电池电压和信号强度；路灯的电压、电流、功率、功率因素、调光值、倾斜度、总能耗和终端控制器的通信质量信息包括信号强度，信噪比。</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⑷实时状态查询：可查询各灯杆的灯头形式、杆高、位置等基本信息；可查询控制箱、电源箱电气系统图及位置；可查询任意回路和单灯开关状态，告警状态，通信和控制设备的在线和离线状态等。</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⑸报警管理：具有对系统故障信息进行即时捕捉和告警功能，报警内容以软件、微信、邮件的方式进行报警提醒；可实现事件报警，事件订阅和工单管理功能；报警类型有集中控制器异常开灯、异常关灯、失电报警、缺相报警、漏电报警、欠流、欠压、过流、过压报警；单灯异常开灯、异常关灯、线路报警、漏电、灯杆倾斜、离线、欠流、欠压、过流、过压报警。</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⑹智能策略：可按一年日出日落经纬度以及按每日开光灯时间表执行基本的开光灯操作，支持时刻与经纬度相结合的控制方式，经纬度方式支持偏移开关调光策略，同时可自定义策略进行自动控制任意回路、单灯的开、关和调光，实现按需要进行照明，节约能源，延长灯具使用寿命的目标。</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⑺数据报表：可实现不同区域、不同时间段的资产统计、亮灯时间统计、能耗统计、节能率、当前总功率、上线率、亮灯率、区域亮灯率对比、故障统计和故障率、维修及时率和亮灯时间统计，同时支持导出和打印。</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⑻运行日志留存：采集电源工作温度、运行状态（数据偏离、调光值、故障、过载）等；并记录电源过压、欠压、异常断电、电源温度、工作时间等运行日志，存储时间不低于1年。</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⑼运维管理：实现故障自动生成工单并自动派发给运维人员功能，运维人员在接收到工单后可定位导航到对应故障点，处理完成后上传处理结果，管理员进行审核，形成闭环管理；同时规定工单的处理时间，未在处理时间内完成，则维修不及时，可作为考核养护人员的依据。</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⑽集成地理信息系统(GIS）：系统具有和真实地貌相符的卫星航拍图，提供地图缩放和平移等功能，提供方便的地图经纬度编辑以及数据统计功能；结合GIS地理信息，实现在地图模式下对每个控制点实现开关灯控制和调光、控制点资产信息、基础信息、运行信息、电气图片、现场图片、电参数信息等查询和展示；支持设备的单控、组控和群控。</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⑾应急管理：通过配置事故应急告警类型，实现夜晚批量灭灯、白天批量亮灯、大面积离线和大面积调光值偏低报警；</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⑿实时运行电参数偏差值分析管理功能：通过实施运行电参数偏差值分析管理，能够对所有控制点的控制输出状态和电参数运行情况进行实时的比对，为管理人员提供准确的故障分析信息。</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⒀区域权限设置：不同用户分配不同的区域权限，用户只能查看对应区域的设备，同时可设置不同用户的查看、控制、管理等功能权限。</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⒁角色权限：具有管理权限设置功能；能够划分不同角色，并且设置不同操作权限，权限可以动态改变或分配。</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⒂移动端：系统具备三种角色：安装者、运维者和管理者，不同角色只能看到对应功能的界面；安装者负责前期设备数据录入；运维者负责处理工单；管理者具备统计结果查看和控制操作。</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2.平台特性</w:t>
      </w:r>
      <w:r/>
    </w:p>
    <w:p>
      <w:pPr>
        <w:ind w:firstLine="24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⑴可支持Firefox、Chrome、IE等多浏览器。</w:t>
      </w:r>
      <w:r/>
    </w:p>
    <w:p>
      <w:pPr>
        <w:ind w:firstLine="24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⑵可扩展性：系统采用模块化设计的思路，</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同时系统支持SDK包、API接口等多种接口，软件管理平台和监控终端的通信接口协议标准化，具有开放性，即可兼容其他照明平台，也可以接入上级智慧城市平台。</w:t>
      </w:r>
      <w:r/>
    </w:p>
    <w:p>
      <w:pPr>
        <w:ind w:firstLine="24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⑶软件架构：系统采用B/S结构（浏览器方式），无需客户端软件通过浏览器就可直接接入，同时提供手机终端访问功能。</w:t>
      </w:r>
      <w:r/>
    </w:p>
    <w:p>
      <w:pPr>
        <w:ind w:firstLine="24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⑷简单性：分层设计，功能解耦，物理/位置无关。</w:t>
      </w:r>
      <w:r/>
    </w:p>
    <w:p>
      <w:pPr>
        <w:ind w:firstLine="24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⑸易操作性：界面友好，实现简易式操作。</w:t>
      </w:r>
      <w:r/>
    </w:p>
    <w:p>
      <w:pPr>
        <w:pStyle w:val="747"/>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张家港市智慧照明管理平台接入方案</w:t>
      </w:r>
      <w:r/>
    </w:p>
    <w:p>
      <w:pPr>
        <w:pStyle w:val="748"/>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张家港市智慧照明管理平台接入要求概述</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本次招标所涉及的</w:t>
      </w:r>
      <w:r>
        <w:rPr>
          <w:rFonts w:hint="eastAsia" w:ascii="宋体" w:hAnsi="宋体" w:eastAsia="宋体" w:cs="宋体"/>
          <w:color w:val="auto"/>
          <w:spacing w:val="7"/>
          <w:sz w:val="24"/>
          <w:szCs w:val="24"/>
          <w:highlight w:val="white"/>
        </w:rPr>
        <w:t xml:space="preserve">的路灯智能控制系统应能接入现有张家港市智慧照明管理平台，相关运行数据、路灯及回路运行状态等均应在张家港市智慧照明管理平台显示（中标单位需承担所有平台对接及开发所产生的费用，并提供相关承诺书），投标文件中提供承诺书和方案</w:t>
      </w:r>
      <w:r>
        <w:rPr>
          <w:rFonts w:hint="eastAsia" w:ascii="宋体" w:hAnsi="宋体" w:eastAsia="宋体" w:cs="宋体"/>
          <w:color w:val="auto"/>
          <w:sz w:val="24"/>
          <w:szCs w:val="24"/>
        </w:rPr>
        <w:t xml:space="preserve">；</w:t>
      </w:r>
      <w:r/>
    </w:p>
    <w:p>
      <w:pPr>
        <w:pStyle w:val="748"/>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张家港市智慧照明管理平台系统架构</w:t>
      </w:r>
      <w:r/>
    </w:p>
    <w:p>
      <w:pPr>
        <w:ind w:firstLine="508"/>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pacing w:val="7"/>
          <w:sz w:val="24"/>
          <w:szCs w:val="24"/>
          <w:highlight w:val="white"/>
        </w:rPr>
        <w:t xml:space="preserve">张家港市智慧照明管理平台</w:t>
      </w:r>
      <w:r>
        <w:rPr>
          <w:rFonts w:hint="eastAsia" w:ascii="宋体" w:hAnsi="宋体" w:eastAsia="宋体" w:cs="宋体"/>
          <w:color w:val="auto"/>
          <w:sz w:val="24"/>
          <w:szCs w:val="24"/>
        </w:rPr>
        <w:t xml:space="preserve">系统采用下图所示的多层架构，平台和设备之间为两层或三层结构，包括控制中心、区域控制器、终端控制器以及相互连接的通信传输网络。</w:t>
      </w:r>
      <w:r/>
    </w:p>
    <w:p>
      <w:pPr>
        <w:pStyle w:val="749"/>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5274310" cy="4180840"/>
                <wp:effectExtent l="0" t="0" r="2540" b="10160"/>
                <wp:docPr id="1" name="图片 1" descr="张家港协议规范-架构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张家港协议规范-架构图"/>
                        <pic:cNvPicPr>
                          <a:picLocks noChangeAspect="1"/>
                        </pic:cNvPicPr>
                        <pic:nvPr/>
                      </pic:nvPicPr>
                      <pic:blipFill>
                        <a:blip r:embed="rId15"/>
                        <a:stretch/>
                      </pic:blipFill>
                      <pic:spPr bwMode="auto">
                        <a:xfrm>
                          <a:off x="0" y="0"/>
                          <a:ext cx="5274310" cy="4180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29.2pt;mso-wrap-distance-left:0.0pt;mso-wrap-distance-top:0.0pt;mso-wrap-distance-right:0.0pt;mso-wrap-distance-bottom:0.0pt;" stroked="f">
                <v:path textboxrect="0,0,0,0"/>
                <v:imagedata r:id="rId15" o:title=""/>
              </v:shape>
            </w:pict>
          </mc:Fallback>
        </mc:AlternateContent>
      </w:r>
      <w:bookmarkStart w:id="201" w:name="_Toc5402"/>
      <w:r>
        <w:rPr>
          <w:rFonts w:hint="eastAsia" w:ascii="宋体" w:hAnsi="宋体" w:eastAsia="宋体" w:cs="宋体"/>
          <w:color w:val="auto"/>
          <w:sz w:val="24"/>
          <w:szCs w:val="24"/>
        </w:rPr>
        <w:t xml:space="preserve"> 2.1接口描述</w:t>
      </w:r>
      <w:bookmarkEnd w:id="201"/>
      <w:r/>
      <w:r/>
    </w:p>
    <w:p>
      <w:pPr>
        <w:numPr>
          <w:ilvl w:val="0"/>
          <w:numId w:val="11"/>
        </w:numPr>
        <w:ind w:left="1145" w:hanging="363"/>
        <w:jc w:val="both"/>
        <w:pageBreakBefore w:val="0"/>
        <w:spacing w:line="360" w:lineRule="auto"/>
        <w:widowControl w:val="off"/>
        <w:tabs>
          <w:tab w:val="left" w:pos="720" w:leader="none"/>
          <w:tab w:val="clear" w:pos="11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接口A：4G/5G、Cat1、以太网等，含光纤接口</w:t>
      </w:r>
      <w:r/>
    </w:p>
    <w:p>
      <w:pPr>
        <w:numPr>
          <w:ilvl w:val="0"/>
          <w:numId w:val="11"/>
        </w:numPr>
        <w:ind w:left="1145" w:hanging="363"/>
        <w:jc w:val="both"/>
        <w:pageBreakBefore w:val="0"/>
        <w:spacing w:line="360" w:lineRule="auto"/>
        <w:widowControl w:val="off"/>
        <w:tabs>
          <w:tab w:val="left" w:pos="720" w:leader="none"/>
          <w:tab w:val="clear" w:pos="11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接口B：HPLC、RS485、ZibBee、以太网等</w:t>
      </w:r>
      <w:r/>
    </w:p>
    <w:p>
      <w:pPr>
        <w:numPr>
          <w:ilvl w:val="0"/>
          <w:numId w:val="11"/>
        </w:numPr>
        <w:ind w:left="1145" w:hanging="363"/>
        <w:jc w:val="both"/>
        <w:pageBreakBefore w:val="0"/>
        <w:spacing w:line="360" w:lineRule="auto"/>
        <w:widowControl w:val="off"/>
        <w:tabs>
          <w:tab w:val="left" w:pos="720" w:leader="none"/>
          <w:tab w:val="clear" w:pos="11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接口C：内置、RS485、CAN等</w:t>
      </w:r>
      <w:r/>
    </w:p>
    <w:p>
      <w:pPr>
        <w:numPr>
          <w:ilvl w:val="0"/>
          <w:numId w:val="11"/>
        </w:numPr>
        <w:ind w:left="1145" w:hanging="363"/>
        <w:jc w:val="both"/>
        <w:pageBreakBefore w:val="0"/>
        <w:spacing w:line="360" w:lineRule="auto"/>
        <w:widowControl w:val="off"/>
        <w:tabs>
          <w:tab w:val="left" w:pos="720" w:leader="none"/>
          <w:tab w:val="clear" w:pos="11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接口D：内置、RS485、DI、DO、CAN等</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此构型的运行环境由平台、集中器、终端构成。</w:t>
      </w:r>
      <w:r/>
    </w:p>
    <w:p>
      <w:pPr>
        <w:pStyle w:val="749"/>
        <w:pageBreakBefore w:val="0"/>
        <w:spacing w:line="360" w:lineRule="auto"/>
        <w:widowControl w:val="off"/>
        <w:rPr>
          <w:rFonts w:hint="eastAsia" w:ascii="宋体" w:hAnsi="宋体" w:eastAsia="宋体" w:cs="宋体"/>
          <w:color w:val="auto"/>
          <w:sz w:val="24"/>
          <w:szCs w:val="24"/>
        </w:rPr>
      </w:pPr>
      <w:r/>
      <w:bookmarkStart w:id="202" w:name="_Toc7330"/>
      <w:r/>
      <w:bookmarkStart w:id="203" w:name="_Toc114470922"/>
      <w:r>
        <w:rPr>
          <w:rFonts w:hint="eastAsia" w:ascii="宋体" w:hAnsi="宋体" w:eastAsia="宋体" w:cs="宋体"/>
          <w:color w:val="auto"/>
          <w:sz w:val="24"/>
          <w:szCs w:val="24"/>
        </w:rPr>
        <w:t xml:space="preserve">2.2设备描述</w:t>
      </w:r>
      <w:bookmarkEnd w:id="202"/>
      <w:r/>
      <w:bookmarkEnd w:id="203"/>
      <w:r/>
      <w:r/>
    </w:p>
    <w:p>
      <w:pPr>
        <w:numPr>
          <w:ilvl w:val="0"/>
          <w:numId w:val="11"/>
        </w:numPr>
        <w:ind w:left="1145" w:hanging="363"/>
        <w:jc w:val="both"/>
        <w:pageBreakBefore w:val="0"/>
        <w:spacing w:line="360" w:lineRule="auto"/>
        <w:widowControl w:val="off"/>
        <w:tabs>
          <w:tab w:val="left" w:pos="720" w:leader="none"/>
          <w:tab w:val="clear" w:pos="11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区域控制器：一般安装在路灯控制箱或配电柜中，检测并控制由该控制箱供电的所有道路照明设施；采用接口A形式与监控中心通信。</w:t>
      </w:r>
      <w:r/>
    </w:p>
    <w:p>
      <w:pPr>
        <w:numPr>
          <w:ilvl w:val="0"/>
          <w:numId w:val="11"/>
        </w:numPr>
        <w:ind w:left="1145" w:hanging="363"/>
        <w:jc w:val="both"/>
        <w:pageBreakBefore w:val="0"/>
        <w:spacing w:line="360" w:lineRule="auto"/>
        <w:widowControl w:val="off"/>
        <w:tabs>
          <w:tab w:val="left" w:pos="720" w:leader="none"/>
          <w:tab w:val="clear" w:pos="11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终端控制器：安装在灯杆接线箱或灯头上等位置，对灯具进行检测与控制。</w:t>
      </w:r>
      <w:r/>
    </w:p>
    <w:p>
      <w:pPr>
        <w:numPr>
          <w:ilvl w:val="1"/>
          <w:numId w:val="12"/>
        </w:numPr>
        <w:ind w:left="1446" w:hanging="363"/>
        <w:jc w:val="both"/>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采用接口A直接与监控中心通信</w:t>
      </w:r>
      <w:r/>
    </w:p>
    <w:p>
      <w:pPr>
        <w:numPr>
          <w:ilvl w:val="1"/>
          <w:numId w:val="12"/>
        </w:numPr>
        <w:ind w:left="1446" w:hanging="363"/>
        <w:jc w:val="both"/>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或采用接口B接入区域控制中心，然后有区域控制器与监控中心通信</w:t>
      </w:r>
      <w:r/>
    </w:p>
    <w:p>
      <w:pPr>
        <w:pStyle w:val="749"/>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平台对接方案</w:t>
      </w:r>
      <w:r/>
    </w:p>
    <w:p>
      <w:pPr>
        <w:pStyle w:val="749"/>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接入要求概述</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建设平台如使用平台对接方案与张家港市智慧照明管理平台进行对接，应使用标准的API接口进行数据的对接。</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3.2接入安全要求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平台应满足大数据局相关网络安全要求，平台与市区原有平台之间应使用专用网络进行数据对接。</w:t>
      </w:r>
      <w:r/>
    </w:p>
    <w:p>
      <w:pPr>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cs="宋体"/>
          <w:color w:val="auto"/>
          <w:szCs w:val="24"/>
          <w:highlight w:val="none"/>
          <w:lang w:eastAsia="zh-CN"/>
        </w:rPr>
      </w:pPr>
      <w:r>
        <w:rPr>
          <w:rFonts w:hint="eastAsia" w:cs="宋体"/>
          <w:color w:val="auto"/>
          <w:szCs w:val="24"/>
          <w:highlight w:val="none"/>
          <w:lang w:eastAsia="zh-CN"/>
        </w:rPr>
        <w:br w:type="page" w:clear="all"/>
      </w:r>
      <w:bookmarkEnd w:id="187"/>
      <w:r/>
      <w:bookmarkEnd w:id="188"/>
      <w:r/>
      <w:bookmarkEnd w:id="189"/>
      <w:r/>
      <w:bookmarkEnd w:id="190"/>
      <w:r/>
      <w:bookmarkEnd w:id="191"/>
      <w:r/>
      <w:bookmarkEnd w:id="192"/>
      <w:r/>
      <w:bookmarkEnd w:id="193"/>
      <w:r/>
      <w:bookmarkEnd w:id="194"/>
      <w:r/>
      <w:bookmarkEnd w:id="195"/>
      <w:r/>
      <w:bookmarkEnd w:id="196"/>
      <w:r/>
      <w:bookmarkEnd w:id="197"/>
      <w:r/>
      <w:r/>
    </w:p>
    <w:p>
      <w:pPr>
        <w:pStyle w:val="747"/>
        <w:ind w:left="0" w:firstLine="0"/>
        <w:rPr>
          <w:color w:val="auto"/>
          <w:highlight w:val="none"/>
        </w:rPr>
      </w:pPr>
      <w:r/>
      <w:bookmarkStart w:id="204" w:name="_Toc3486"/>
      <w:r/>
      <w:bookmarkStart w:id="205" w:name="_Toc35244877"/>
      <w:r/>
      <w:bookmarkStart w:id="206" w:name="_Toc54119655"/>
      <w:r/>
      <w:bookmarkStart w:id="207" w:name="_Toc29567"/>
      <w:r/>
      <w:bookmarkStart w:id="208" w:name="_Toc22200"/>
      <w:r/>
      <w:bookmarkStart w:id="209" w:name="_Toc15433"/>
      <w:r/>
      <w:bookmarkStart w:id="210" w:name="_Toc21023"/>
      <w:r/>
      <w:bookmarkStart w:id="211" w:name="_Toc27773"/>
      <w:r/>
      <w:bookmarkStart w:id="212" w:name="_Toc2136"/>
      <w:r/>
      <w:bookmarkStart w:id="213" w:name="_Toc24299"/>
      <w:r/>
      <w:bookmarkStart w:id="214" w:name="_Toc18912"/>
      <w:r/>
      <w:bookmarkStart w:id="215" w:name="_Toc11500"/>
      <w:r/>
      <w:bookmarkStart w:id="216" w:name="_Toc256000011"/>
      <w:r/>
      <w:bookmarkStart w:id="217" w:name="_Toc3721"/>
      <w:r/>
      <w:bookmarkStart w:id="218" w:name="_Toc20020"/>
      <w:r/>
      <w:bookmarkStart w:id="219" w:name="_Toc18550"/>
      <w:r/>
      <w:bookmarkStart w:id="220" w:name="_Toc23915"/>
      <w:r/>
      <w:bookmarkStart w:id="221" w:name="_Toc583"/>
      <w:r/>
      <w:bookmarkStart w:id="222" w:name="_Toc35266029"/>
      <w:r/>
      <w:bookmarkStart w:id="223" w:name="_Toc38368129"/>
      <w:r/>
      <w:bookmarkStart w:id="224" w:name="_Toc54615247"/>
      <w:r/>
      <w:bookmarkStart w:id="225" w:name="_Toc6156"/>
      <w:r/>
      <w:bookmarkStart w:id="226" w:name="_Toc31618"/>
      <w:r/>
      <w:bookmarkStart w:id="227" w:name="_Toc49090575"/>
      <w:r/>
      <w:bookmarkStart w:id="228" w:name="_Toc26554093"/>
      <w:r/>
      <w:bookmarkStart w:id="229" w:name="_Toc120614281"/>
      <w:r>
        <w:rPr>
          <w:rFonts w:hint="eastAsia"/>
          <w:color w:val="auto"/>
          <w:highlight w:val="none"/>
        </w:rPr>
        <w:t xml:space="preserve">第五章 评标方法与评标标准</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一、评标方法与定标原则</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单位为排名第一的中标候选人。</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2、针对中小型企业、残疾人福利企业和监狱企业的评审：</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本项目为面向中小企业预留采购份额项目，不再执行价格评审优惠的扶持政策。</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投标人若进行</w:t>
      </w:r>
      <w:r>
        <w:rPr>
          <w:rFonts w:hint="eastAsia" w:ascii="宋体" w:hAnsi="宋体" w:eastAsia="宋体" w:cs="宋体"/>
          <w:color w:val="auto"/>
          <w:sz w:val="21"/>
          <w:szCs w:val="21"/>
          <w:highlight w:val="none"/>
          <w:lang w:val="en-US" w:eastAsia="zh-CN"/>
        </w:rPr>
        <w:t xml:space="preserve">联合体投标、</w:t>
      </w:r>
      <w:r>
        <w:rPr>
          <w:rFonts w:hint="eastAsia" w:ascii="宋体" w:hAnsi="宋体" w:eastAsia="宋体" w:cs="宋体"/>
          <w:color w:val="auto"/>
          <w:sz w:val="21"/>
          <w:szCs w:val="21"/>
          <w:highlight w:val="none"/>
          <w:lang w:eastAsia="zh-CN"/>
        </w:rPr>
        <w:t xml:space="preserve">分包，应提供</w:t>
      </w:r>
      <w:r>
        <w:rPr>
          <w:rFonts w:hint="eastAsia" w:ascii="宋体" w:hAnsi="宋体" w:eastAsia="宋体" w:cs="宋体"/>
          <w:color w:val="auto"/>
          <w:sz w:val="21"/>
          <w:szCs w:val="21"/>
          <w:highlight w:val="none"/>
          <w:lang w:val="en-US" w:eastAsia="zh-CN"/>
        </w:rPr>
        <w:t xml:space="preserve">联合体投标协议、</w:t>
      </w:r>
      <w:r>
        <w:rPr>
          <w:rFonts w:hint="eastAsia" w:ascii="宋体" w:hAnsi="宋体" w:eastAsia="宋体" w:cs="宋体"/>
          <w:color w:val="auto"/>
          <w:sz w:val="21"/>
          <w:szCs w:val="21"/>
          <w:highlight w:val="none"/>
          <w:lang w:eastAsia="zh-CN"/>
        </w:rPr>
        <w:t xml:space="preserve">分包意向协议（详见第</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lang w:eastAsia="zh-CN"/>
        </w:rPr>
        <w:t xml:space="preserve">章），并且</w:t>
      </w:r>
      <w:r>
        <w:rPr>
          <w:rFonts w:hint="eastAsia" w:ascii="宋体" w:hAnsi="宋体" w:eastAsia="宋体" w:cs="宋体"/>
          <w:color w:val="auto"/>
          <w:sz w:val="21"/>
          <w:szCs w:val="21"/>
          <w:highlight w:val="none"/>
          <w:lang w:val="en-US" w:eastAsia="zh-CN"/>
        </w:rPr>
        <w:t xml:space="preserve">联合体协议、</w:t>
      </w:r>
      <w:r>
        <w:rPr>
          <w:rFonts w:hint="eastAsia" w:ascii="宋体" w:hAnsi="宋体" w:eastAsia="宋体" w:cs="宋体"/>
          <w:color w:val="auto"/>
          <w:sz w:val="21"/>
          <w:szCs w:val="21"/>
          <w:highlight w:val="none"/>
          <w:lang w:eastAsia="zh-CN"/>
        </w:rPr>
        <w:t xml:space="preserve">分包意向协议中中小企业合同金额必须达到招标文件要求的比例；</w:t>
      </w:r>
      <w:r>
        <w:rPr>
          <w:rFonts w:hint="eastAsia" w:ascii="宋体" w:hAnsi="宋体" w:eastAsia="宋体" w:cs="宋体"/>
          <w:color w:val="auto"/>
          <w:sz w:val="21"/>
          <w:szCs w:val="21"/>
          <w:highlight w:val="none"/>
          <w:lang w:val="en-US" w:eastAsia="zh-CN"/>
        </w:rPr>
        <w:t xml:space="preserve">联合或分包的中小企业或</w:t>
      </w:r>
      <w:r>
        <w:rPr>
          <w:rFonts w:hint="eastAsia" w:ascii="宋体" w:hAnsi="宋体" w:eastAsia="宋体" w:cs="宋体"/>
          <w:color w:val="auto"/>
          <w:sz w:val="21"/>
          <w:szCs w:val="21"/>
          <w:highlight w:val="none"/>
          <w:lang w:eastAsia="zh-CN"/>
        </w:rPr>
        <w:t xml:space="preserve">残疾人福利性单位</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lang w:eastAsia="zh-CN"/>
        </w:rPr>
        <w:t xml:space="preserve">监狱企业，应提供《中小企业声明函》或《残疾人福利性单位声明函》或省级以上监狱管理局、戒毒管理局（含新疆生产建设兵团）出具的属于监狱企业的证明文件。</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投标人若未</w:t>
      </w:r>
      <w:r>
        <w:rPr>
          <w:rFonts w:hint="eastAsia" w:ascii="宋体" w:hAnsi="宋体" w:eastAsia="宋体" w:cs="宋体"/>
          <w:color w:val="auto"/>
          <w:sz w:val="21"/>
          <w:szCs w:val="21"/>
          <w:highlight w:val="none"/>
          <w:lang w:val="en-US" w:eastAsia="zh-CN"/>
        </w:rPr>
        <w:t xml:space="preserve">有联合体协议或</w:t>
      </w:r>
      <w:r>
        <w:rPr>
          <w:rFonts w:hint="eastAsia" w:ascii="宋体" w:hAnsi="宋体" w:eastAsia="宋体" w:cs="宋体"/>
          <w:color w:val="auto"/>
          <w:sz w:val="21"/>
          <w:szCs w:val="21"/>
          <w:highlight w:val="none"/>
          <w:lang w:eastAsia="zh-CN"/>
        </w:rPr>
        <w:t xml:space="preserve">分包</w:t>
      </w:r>
      <w:r>
        <w:rPr>
          <w:rFonts w:hint="eastAsia" w:ascii="宋体" w:hAnsi="宋体" w:eastAsia="宋体" w:cs="宋体"/>
          <w:color w:val="auto"/>
          <w:sz w:val="21"/>
          <w:szCs w:val="21"/>
          <w:highlight w:val="none"/>
          <w:lang w:val="en-US" w:eastAsia="zh-CN"/>
        </w:rPr>
        <w:t xml:space="preserve">协议</w:t>
      </w:r>
      <w:r>
        <w:rPr>
          <w:rFonts w:hint="eastAsia" w:ascii="宋体" w:hAnsi="宋体" w:eastAsia="宋体" w:cs="宋体"/>
          <w:color w:val="auto"/>
          <w:sz w:val="21"/>
          <w:szCs w:val="21"/>
          <w:highlight w:val="none"/>
          <w:lang w:eastAsia="zh-CN"/>
        </w:rPr>
        <w:t xml:space="preserve">，应提供《中小企业声明函》或《残疾人福利性单位声明函》或省级以上监狱管理局、戒毒管理局（含新疆生产建设兵团）出具的属于监狱企业的证明文件。</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服务类项目中供应商若使用退休人员，将不享受中小企业扶持政策。</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①填报“中小企业声明函”需严格按“工信部联企业〔2011〕300号通知中的《中小企业划型标准规定》进行。</w:t>
      </w:r>
      <w:r/>
    </w:p>
    <w:p>
      <w:pPr>
        <w:pStyle w:val="1242"/>
        <w:ind w:firstLine="420"/>
        <w:keepLines w:val="0"/>
        <w:keepNext w:val="0"/>
        <w:pageBreakBefore w:val="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②若供应商提供的声明函或认定证明为虚假材料，按“政府采购法”相关规定处理并报请政府监管部门给予行政处罚。</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rPr>
      </w:pPr>
      <w:r/>
      <w:bookmarkStart w:id="230" w:name="_Toc16617"/>
      <w:r/>
      <w:bookmarkStart w:id="231" w:name="_Toc11720"/>
      <w:r/>
      <w:bookmarkStart w:id="232" w:name="_Toc505611721"/>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二、评标标准</w:t>
      </w:r>
      <w:bookmarkEnd w:id="230"/>
      <w:r/>
      <w:bookmarkEnd w:id="231"/>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pacing w:val="0"/>
          <w:sz w:val="21"/>
          <w:szCs w:val="21"/>
          <w:highlight w:val="none"/>
        </w:rPr>
        <w:t xml:space="preserve">价格</w:t>
      </w:r>
      <w:r>
        <w:rPr>
          <w:rFonts w:hint="eastAsia" w:ascii="宋体" w:hAnsi="宋体" w:eastAsia="宋体" w:cs="宋体"/>
          <w:b/>
          <w:bCs/>
          <w:color w:val="auto"/>
          <w:spacing w:val="0"/>
          <w:sz w:val="21"/>
          <w:szCs w:val="21"/>
          <w:highlight w:val="none"/>
          <w:lang w:val="zh-TW"/>
        </w:rPr>
        <w:t xml:space="preserve">分</w:t>
      </w:r>
      <w:r>
        <w:rPr>
          <w:rFonts w:hint="eastAsia" w:ascii="宋体" w:hAnsi="宋体" w:eastAsia="宋体" w:cs="宋体"/>
          <w:b/>
          <w:bCs/>
          <w:color w:val="auto"/>
          <w:spacing w:val="0"/>
          <w:sz w:val="21"/>
          <w:szCs w:val="21"/>
          <w:highlight w:val="none"/>
          <w:lang w:val="en-US" w:eastAsia="zh-CN"/>
        </w:rPr>
        <w:t xml:space="preserve">25</w:t>
      </w:r>
      <w:r>
        <w:rPr>
          <w:rFonts w:hint="eastAsia" w:ascii="宋体" w:hAnsi="宋体" w:eastAsia="宋体" w:cs="宋体"/>
          <w:b/>
          <w:bCs/>
          <w:color w:val="auto"/>
          <w:spacing w:val="0"/>
          <w:sz w:val="21"/>
          <w:szCs w:val="21"/>
          <w:highlight w:val="none"/>
          <w:lang w:val="zh-TW"/>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分。其它投标单位的价格分统一按照下列公式计算：</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%*100（保留二位小数）。</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（二）技术</w:t>
      </w:r>
      <w:r>
        <w:rPr>
          <w:rFonts w:hint="eastAsia" w:ascii="宋体" w:hAnsi="宋体" w:eastAsia="宋体" w:cs="宋体"/>
          <w:b/>
          <w:bCs/>
          <w:color w:val="auto"/>
          <w:spacing w:val="0"/>
          <w:sz w:val="21"/>
          <w:szCs w:val="21"/>
          <w:highlight w:val="none"/>
          <w:lang w:val="zh-TW"/>
        </w:rPr>
        <w:t xml:space="preserve">方案</w:t>
      </w:r>
      <w:r>
        <w:rPr>
          <w:rFonts w:hint="eastAsia" w:ascii="宋体" w:hAnsi="宋体" w:eastAsia="宋体" w:cs="宋体"/>
          <w:b/>
          <w:bCs/>
          <w:color w:val="auto"/>
          <w:spacing w:val="0"/>
          <w:sz w:val="21"/>
          <w:szCs w:val="21"/>
          <w:highlight w:val="none"/>
        </w:rPr>
        <w:t xml:space="preserve">分</w:t>
      </w:r>
      <w:r>
        <w:rPr>
          <w:rFonts w:hint="eastAsia" w:ascii="宋体" w:hAnsi="宋体" w:eastAsia="宋体" w:cs="宋体"/>
          <w:b/>
          <w:bCs/>
          <w:color w:val="auto"/>
          <w:spacing w:val="0"/>
          <w:sz w:val="21"/>
          <w:szCs w:val="21"/>
          <w:highlight w:val="none"/>
          <w:lang w:val="en-US" w:eastAsia="zh-CN"/>
        </w:rPr>
        <w:t xml:space="preserve">35</w:t>
      </w:r>
      <w:r>
        <w:rPr>
          <w:rFonts w:hint="eastAsia" w:ascii="宋体" w:hAnsi="宋体" w:eastAsia="宋体" w:cs="宋体"/>
          <w:b/>
          <w:bCs/>
          <w:color w:val="auto"/>
          <w:spacing w:val="0"/>
          <w:sz w:val="21"/>
          <w:szCs w:val="21"/>
          <w:highlight w:val="none"/>
        </w:rPr>
        <w:t xml:space="preserve">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1.实地路况的勘测及调研方案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实地路况勘测及调研方案（方案内容包括但不限于路段照片、道路名称、灯杆类型、车道数量、人行道宽度、绿化带宽度等方面）进行综合评审：方案全部包含以上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2.节能改造方案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对张家港保税区市政道路照明情况提供的节能改造方案（方案内容包括但不限于对本项目的理解、重点难点分析、预防措施及解决方案等方面）进行综合评审，方案全部包含以上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3.智慧平台开发及接入方案</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开发建立张家港保税区的智慧照明管理平台，且</w:t>
      </w:r>
      <w:r>
        <w:rPr>
          <w:rFonts w:hint="eastAsia" w:ascii="宋体" w:hAnsi="宋体" w:eastAsia="宋体" w:cs="宋体"/>
          <w:color w:val="auto"/>
          <w:spacing w:val="0"/>
          <w:sz w:val="21"/>
          <w:szCs w:val="21"/>
          <w:highlight w:val="none"/>
        </w:rPr>
        <w:t xml:space="preserve">要能</w:t>
      </w:r>
      <w:r>
        <w:rPr>
          <w:rFonts w:hint="eastAsia" w:ascii="宋体" w:hAnsi="宋体" w:eastAsia="宋体" w:cs="宋体"/>
          <w:color w:val="auto"/>
          <w:spacing w:val="0"/>
          <w:sz w:val="21"/>
          <w:szCs w:val="21"/>
          <w:highlight w:val="none"/>
          <w:lang w:val="en-US" w:eastAsia="zh-CN"/>
        </w:rPr>
        <w:t xml:space="preserve">将数据推送到</w:t>
      </w:r>
      <w:r>
        <w:rPr>
          <w:rFonts w:hint="eastAsia" w:ascii="宋体" w:hAnsi="宋体" w:eastAsia="宋体" w:cs="宋体"/>
          <w:color w:val="auto"/>
          <w:spacing w:val="0"/>
          <w:sz w:val="21"/>
          <w:szCs w:val="21"/>
          <w:highlight w:val="none"/>
        </w:rPr>
        <w:t xml:space="preserve">张家港</w:t>
      </w:r>
      <w:r>
        <w:rPr>
          <w:rFonts w:hint="eastAsia" w:ascii="宋体" w:hAnsi="宋体" w:eastAsia="宋体" w:cs="宋体"/>
          <w:color w:val="auto"/>
          <w:sz w:val="21"/>
          <w:szCs w:val="21"/>
          <w:highlight w:val="none"/>
        </w:rPr>
        <w:t xml:space="preserve">市城管</w:t>
      </w:r>
      <w:r>
        <w:rPr>
          <w:rFonts w:hint="eastAsia" w:ascii="宋体" w:hAnsi="宋体" w:eastAsia="宋体" w:cs="宋体"/>
          <w:color w:val="auto"/>
          <w:sz w:val="21"/>
          <w:szCs w:val="21"/>
          <w:highlight w:val="none"/>
          <w:lang w:val="en-US" w:eastAsia="zh-CN"/>
        </w:rPr>
        <w:t xml:space="preserve">局</w:t>
      </w:r>
      <w:r>
        <w:rPr>
          <w:rFonts w:hint="eastAsia" w:ascii="宋体" w:hAnsi="宋体" w:eastAsia="宋体" w:cs="宋体"/>
          <w:color w:val="auto"/>
          <w:sz w:val="21"/>
          <w:szCs w:val="21"/>
          <w:highlight w:val="none"/>
        </w:rPr>
        <w:t xml:space="preserve">的智慧照明管理平台，所有操作与数据均应在张家港保税区智慧照明管理平台操作显示。根据投标单位针对本项目提供的智慧平台开发及接入方案进行综合评分。方案包含但不限于：智慧平台功能规划、技术实现路径、与路灯现有系统及设备兼容性、开发进度安排、安全保障措施等方面。方案完全包含上述内容，各方面阐述详细且完全满足项目需求，对智慧平台开发及接入有清晰、合理规划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分；方案内有部分内容缺少，或部分内容阐述不够详细、实质性意义稍欠，但整体仍能基本满足项目需求的得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分；方案内容简略，各方面描述均较模糊，基本无实质性意义，仅对智慧平台开发及接入有初步提及的得1分；未提供方案说明的不得分。【0/1/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4.施工组织设计方案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项目施工组织设计方案进行综合评分。方案包含但不限于：路灯改造施工进度计划、项目管理、项目组织结构、验收、质量管理、安全施工、文明施工等方面。方案完全包含上述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5.质量保证措施</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根据投标单位针对本项目提供的质量保证措施方案，方案包括但不限于</w:t>
      </w:r>
      <w:r>
        <w:rPr>
          <w:rFonts w:hint="eastAsia" w:ascii="宋体" w:hAnsi="宋体" w:cs="宋体"/>
          <w:color w:val="auto"/>
          <w:sz w:val="21"/>
          <w:szCs w:val="21"/>
          <w:highlight w:val="none"/>
          <w:lang w:val="en-US" w:eastAsia="zh-CN"/>
        </w:rPr>
        <w:t xml:space="preserve">质</w:t>
      </w:r>
      <w:r>
        <w:rPr>
          <w:rFonts w:hint="eastAsia" w:ascii="宋体" w:hAnsi="宋体" w:eastAsia="宋体" w:cs="宋体"/>
          <w:color w:val="auto"/>
          <w:sz w:val="21"/>
          <w:szCs w:val="21"/>
          <w:highlight w:val="none"/>
        </w:rPr>
        <w:t xml:space="preserve">量管理体系、质量控制（质量控制方案涵盖路灯灯具、材料、安装等质量控制的所有关键点）、质控人员配备、材料进场质控等方面进行综合评审，方案完全包含上述内容且完全满足项目需求的得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6.日常维护方案</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日常维护方案（日常维护方案包括但不限于运维人员配备、运维资料管理、日常巡查、日常维护、定期养护计划、培训方案、投诉响应时效等方面）进行综合评审，方案全部包含以上内容且完全满足项目需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分；方案内有部分内容缺少或部分内容无实质性意义的得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分；方案内容简略且基本无实质性意义的得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分；未提供方案说明的不得分。【0/</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7.应急预案</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根据投标单位针对本项目提供的应急抢险方案综合评分。包含但不限于：1.应急组织机构与职责； 2.各项应急措施(对恶劣天气影响、自然灾害、疫情影响的应急措施，设备故障的应急措施，停电致使相关设备无法正常工作的应急措施，人员人身安全的应急措施等）； 3.应急保障（人力、物资、通信等），方案完全包含上述内容且完全满足项目需求的得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分；方案内有部分内容缺少或部分内容无实质性意义的得3分；方案内容简略且基本无实质性意义的得1分；未提供方案说明的不得分。【0/1/3/</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8.项目移交方案3分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针对本项目提供的合同到期移交方案（项目移交方案包括但不限于项目移交计划、移交措施等方面）进行综合评审，方案全部包含以上内容且完全满足项目需求的得3分；方案内有部分内容缺少或部分内容无实质性意义的得2分，方案内容简略且基本无实质性意义的得1分,未提供方案说明的不得分。【0/1/2/3】</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商务分</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1.拟投入人员配备</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①拟投入项目经理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1人）</w:t>
      </w:r>
      <w:r>
        <w:rPr>
          <w:rFonts w:hint="eastAsia" w:ascii="宋体" w:hAnsi="宋体" w:eastAsia="宋体" w:cs="宋体"/>
          <w:color w:val="auto"/>
          <w:spacing w:val="0"/>
          <w:sz w:val="21"/>
          <w:szCs w:val="21"/>
          <w:highlight w:val="none"/>
        </w:rPr>
        <w:t xml:space="preserve">具有市政公用工程或机电工程专业一级建造师注册证书的得2分</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同时具有高级及以上专业技术职称证书的加1分，同时具有中级专业技术职称证书的加0.5分，本项最高3分；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②拟投入项目</w:t>
      </w:r>
      <w:r>
        <w:rPr>
          <w:rFonts w:hint="eastAsia" w:ascii="宋体" w:hAnsi="宋体" w:eastAsia="宋体" w:cs="宋体"/>
          <w:color w:val="auto"/>
          <w:spacing w:val="0"/>
          <w:sz w:val="21"/>
          <w:szCs w:val="21"/>
          <w:highlight w:val="none"/>
          <w:lang w:val="en-US" w:eastAsia="zh-CN"/>
        </w:rPr>
        <w:t xml:space="preserve">技术负责人（1人）</w:t>
      </w:r>
      <w:r>
        <w:rPr>
          <w:rFonts w:hint="eastAsia" w:ascii="宋体" w:hAnsi="宋体" w:eastAsia="宋体" w:cs="宋体"/>
          <w:color w:val="auto"/>
          <w:spacing w:val="0"/>
          <w:sz w:val="21"/>
          <w:szCs w:val="21"/>
          <w:highlight w:val="none"/>
        </w:rPr>
        <w:t xml:space="preserve">具有高级工程师及以上职称证书、网络工程师证书有1项得1分；满分</w:t>
      </w: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 = 3 \* GB3 \* MERGEFORMAT </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z w:val="21"/>
          <w:szCs w:val="21"/>
          <w:highlight w:val="none"/>
        </w:rPr>
        <w:t xml:space="preserve">③</w:t>
      </w:r>
      <w:r>
        <w:rPr>
          <w:rFonts w:hint="eastAsia" w:ascii="宋体" w:hAnsi="宋体" w:eastAsia="宋体" w:cs="宋体"/>
          <w:color w:val="auto"/>
          <w:spacing w:val="0"/>
          <w:sz w:val="21"/>
          <w:szCs w:val="21"/>
          <w:highlight w:val="none"/>
        </w:rPr>
        <w:fldChar w:fldCharType="end"/>
      </w:r>
      <w:r>
        <w:rPr>
          <w:rFonts w:hint="eastAsia" w:ascii="宋体" w:hAnsi="宋体" w:cs="宋体"/>
          <w:color w:val="auto"/>
          <w:spacing w:val="0"/>
          <w:sz w:val="21"/>
          <w:szCs w:val="21"/>
          <w:highlight w:val="none"/>
          <w:lang w:val="en-US" w:eastAsia="zh-CN"/>
        </w:rPr>
        <w:t xml:space="preserve">项目组成员有</w:t>
      </w:r>
      <w:r>
        <w:rPr>
          <w:rFonts w:hint="eastAsia" w:ascii="宋体" w:hAnsi="宋体" w:eastAsia="宋体" w:cs="宋体"/>
          <w:color w:val="auto"/>
          <w:spacing w:val="0"/>
          <w:sz w:val="21"/>
          <w:szCs w:val="21"/>
          <w:highlight w:val="none"/>
        </w:rPr>
        <w:t xml:space="preserve">IT服务工程师（ITSS）证书的，有1</w:t>
      </w:r>
      <w:r>
        <w:rPr>
          <w:rFonts w:hint="eastAsia" w:ascii="宋体" w:hAnsi="宋体" w:cs="宋体"/>
          <w:color w:val="auto"/>
          <w:spacing w:val="0"/>
          <w:sz w:val="21"/>
          <w:szCs w:val="21"/>
          <w:highlight w:val="none"/>
          <w:lang w:val="en-US" w:eastAsia="zh-CN"/>
        </w:rPr>
        <w:t xml:space="preserve">人</w:t>
      </w:r>
      <w:r>
        <w:rPr>
          <w:rFonts w:hint="eastAsia" w:ascii="宋体" w:hAnsi="宋体" w:eastAsia="宋体" w:cs="宋体"/>
          <w:color w:val="auto"/>
          <w:spacing w:val="0"/>
          <w:sz w:val="21"/>
          <w:szCs w:val="21"/>
          <w:highlight w:val="none"/>
        </w:rPr>
        <w:t xml:space="preserve">得1分；满分</w:t>
      </w:r>
      <w:r>
        <w:rPr>
          <w:rFonts w:hint="eastAsia" w:ascii="宋体" w:hAnsi="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 xml:space="preserve">④</w:t>
      </w:r>
      <w:r>
        <w:rPr>
          <w:rFonts w:hint="eastAsia" w:ascii="宋体" w:hAnsi="宋体" w:eastAsia="宋体" w:cs="宋体"/>
          <w:color w:val="auto"/>
          <w:spacing w:val="0"/>
          <w:sz w:val="21"/>
          <w:szCs w:val="21"/>
          <w:highlight w:val="none"/>
          <w:lang w:eastAsia="zh-CN"/>
        </w:rPr>
        <w:t xml:space="preserve">拟投入</w:t>
      </w:r>
      <w:r>
        <w:rPr>
          <w:rFonts w:hint="eastAsia" w:ascii="宋体" w:hAnsi="宋体" w:eastAsia="宋体" w:cs="宋体"/>
          <w:color w:val="auto"/>
          <w:spacing w:val="0"/>
          <w:sz w:val="21"/>
          <w:szCs w:val="21"/>
          <w:highlight w:val="none"/>
          <w:lang w:val="en-US" w:eastAsia="zh-CN"/>
        </w:rPr>
        <w:t xml:space="preserve">的安全管理人员，持有安全生产考核合格证C证，人员数量满足项目需求得1分，每增加1人，加1分，此项最高2分。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rPr>
        <w:t xml:space="preserve">本项最高</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rPr>
        <w:t xml:space="preserve">分（请在投标文件中提供上述人员相关证书的扫描件，以及投标单</w:t>
      </w:r>
      <w:r>
        <w:rPr>
          <w:rFonts w:hint="eastAsia" w:ascii="宋体" w:hAnsi="宋体" w:eastAsia="宋体" w:cs="宋体"/>
          <w:color w:val="auto"/>
          <w:sz w:val="21"/>
          <w:szCs w:val="21"/>
          <w:highlight w:val="none"/>
        </w:rPr>
        <w:t xml:space="preserve">位为上述人员缴纳的最近3个月中任一个月的社保证明材料。同一人仅认同一次）。未按要求提供或未提供不得分。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2.拟投入车辆设备配备</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投标单位拟投入车辆设备在完全满足招标文件要求的基础上每增加1辆符合招标要求的高空作业车加1分；最多得1分，每增加1辆符合招标要求的工程抢修车加1分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最多得1分。本项最多得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设备如自有的，请在投标文件中提供车辆行驶证、产权证的扫描件，以及车辆外观图片及车辆相关高度等参数的证明材料。如租赁的，请在投标文件中提供车辆租赁合同、车辆行驶证、产权证的扫描件，以及车辆外观图片及车辆相关高度等参数的证明材料。车辆相关高度参数证明材料中的车辆型号、车架号、发动机型号、车牌号需与行驶证或产权证中相关参数对应，不对应的不得分，未按要求提供或未提供的不得分。</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四</w:t>
      </w:r>
      <w:r>
        <w:rPr>
          <w:rFonts w:hint="eastAsia" w:ascii="宋体" w:hAnsi="宋体" w:eastAsia="宋体" w:cs="宋体"/>
          <w:b/>
          <w:bCs/>
          <w:color w:val="auto"/>
          <w:spacing w:val="0"/>
          <w:sz w:val="21"/>
          <w:szCs w:val="21"/>
          <w:highlight w:val="none"/>
        </w:rPr>
        <w:t xml:space="preserve">.</w:t>
      </w:r>
      <w:r>
        <w:rPr>
          <w:rFonts w:hint="eastAsia" w:ascii="宋体" w:hAnsi="宋体" w:cs="宋体"/>
          <w:b/>
          <w:bCs/>
          <w:color w:val="auto"/>
          <w:spacing w:val="0"/>
          <w:sz w:val="21"/>
          <w:szCs w:val="21"/>
          <w:highlight w:val="none"/>
          <w:lang w:val="en-US" w:eastAsia="zh-CN"/>
        </w:rPr>
        <w:t xml:space="preserve">履约能力</w:t>
      </w:r>
      <w:r>
        <w:rPr>
          <w:rFonts w:hint="eastAsia" w:ascii="宋体" w:hAnsi="宋体" w:eastAsia="宋体" w:cs="宋体"/>
          <w:b/>
          <w:bCs/>
          <w:color w:val="auto"/>
          <w:spacing w:val="0"/>
          <w:sz w:val="21"/>
          <w:szCs w:val="21"/>
          <w:highlight w:val="none"/>
          <w:lang w:val="en-US" w:eastAsia="zh-CN"/>
        </w:rPr>
        <w:t xml:space="preserve">6</w:t>
      </w:r>
      <w:r>
        <w:rPr>
          <w:rFonts w:hint="eastAsia" w:ascii="宋体" w:hAnsi="宋体" w:eastAsia="宋体" w:cs="宋体"/>
          <w:b/>
          <w:bCs/>
          <w:color w:val="auto"/>
          <w:spacing w:val="0"/>
          <w:sz w:val="21"/>
          <w:szCs w:val="21"/>
          <w:highlight w:val="none"/>
        </w:rPr>
        <w:t xml:space="preserve">分</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4.1路灯CQC认证证书</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LED灯具制造商生产的路灯产品获得CQC产品认证证书，且灯具使用温度Ta≥55℃的，灯具应具有控制端口调光功能和防腐性能，防腐等级应为WF2，得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分；有效证明材料：证书内需同时体现Ta值、控制端口调光、WF2方可得分。提供证书复印件并加盖公章，未提供不得分。</w:t>
      </w:r>
      <w:r/>
    </w:p>
    <w:p>
      <w:pPr>
        <w:ind w:firstLine="422"/>
        <w:keepLines w:val="0"/>
        <w:keepNext w:val="0"/>
        <w:pageBreakBefore w:val="0"/>
        <w:spacing w:line="400" w:lineRule="exact"/>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4.2单灯控制器CQC认证证书</w:t>
      </w:r>
      <w:r>
        <w:rPr>
          <w:rFonts w:hint="eastAsia" w:ascii="宋体" w:hAnsi="宋体" w:eastAsia="宋体" w:cs="宋体"/>
          <w:b/>
          <w:bCs/>
          <w:color w:val="auto"/>
          <w:spacing w:val="0"/>
          <w:sz w:val="21"/>
          <w:szCs w:val="21"/>
          <w:highlight w:val="none"/>
          <w:lang w:val="en-US" w:eastAsia="zh-CN"/>
        </w:rPr>
        <w:t xml:space="preserve">3</w:t>
      </w:r>
      <w:r>
        <w:rPr>
          <w:rFonts w:hint="eastAsia" w:ascii="宋体" w:hAnsi="宋体" w:eastAsia="宋体" w:cs="宋体"/>
          <w:b/>
          <w:bCs/>
          <w:color w:val="auto"/>
          <w:spacing w:val="0"/>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单灯控制器需获得CQC产品认证证书，且使用温度Ta≥</w:t>
      </w:r>
      <w:r>
        <w:rPr>
          <w:rFonts w:hint="eastAsia" w:ascii="宋体" w:hAnsi="宋体" w:eastAsia="宋体" w:cs="宋体"/>
          <w:color w:val="auto"/>
          <w:spacing w:val="0"/>
          <w:sz w:val="21"/>
          <w:szCs w:val="21"/>
          <w:highlight w:val="none"/>
          <w:lang w:eastAsia="zh-CN"/>
        </w:rPr>
        <w:t xml:space="preserve">6</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rPr>
        <w:t xml:space="preserve">℃的，防护等级</w:t>
      </w:r>
      <w:r>
        <w:rPr>
          <w:rFonts w:hint="eastAsia" w:ascii="宋体" w:hAnsi="宋体" w:cs="宋体"/>
          <w:color w:val="auto"/>
          <w:spacing w:val="0"/>
          <w:sz w:val="21"/>
          <w:szCs w:val="21"/>
          <w:highlight w:val="none"/>
          <w:lang w:val="en-US" w:eastAsia="zh-CN"/>
        </w:rPr>
        <w:t xml:space="preserve">不低于</w:t>
      </w:r>
      <w:r>
        <w:rPr>
          <w:rFonts w:hint="eastAsia" w:ascii="宋体" w:hAnsi="宋体" w:eastAsia="宋体" w:cs="宋体"/>
          <w:color w:val="auto"/>
          <w:spacing w:val="0"/>
          <w:sz w:val="21"/>
          <w:szCs w:val="21"/>
          <w:highlight w:val="none"/>
        </w:rPr>
        <w:t xml:space="preserve">IP67,得</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分，不提供不得分。有效证明材料：证书内需同时体现Ta值、IP等级可得分。提供证书复印件并加盖公章，未提供不得分。</w:t>
      </w:r>
      <w:bookmarkEnd w:id="232"/>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五、灯具照明质量水平（24分）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 </w:t>
      </w:r>
      <w:r>
        <w:rPr>
          <w:rFonts w:hint="eastAsia" w:ascii="宋体" w:hAnsi="宋体" w:eastAsia="宋体" w:cs="宋体"/>
          <w:b/>
          <w:bCs/>
          <w:color w:val="auto"/>
          <w:sz w:val="21"/>
          <w:szCs w:val="21"/>
          <w:highlight w:val="none"/>
        </w:rPr>
        <w:t xml:space="preserve">120W+40W</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LED灯具照明质量水平</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在满足以下灯具安装系统条件，灯具性能以及标准值评分如下：</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道路类型：主干路；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道路总宽度：15米，机动车道（4x3.75m）；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车道数：4；</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道路表面材料：沥青路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灯具布置方式：双侧对称布置；</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灯具安装高度：机动车道灯具：12m，非机动车道灯具：10m；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灯具安装间距：42~45m；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灯具挑臂长度：1.5m；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灯具仰角：5~15°</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维护系数：0.7</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机动车道路灯灯具光通量≥16800lm前提下，灯具输入功率（系统功耗）≤132W；满足非机动车道灯具光通量≥5600lm前提下，灯具输入功率（系统功耗）≤44W。整灯光效在此基础上根据报告数值进行评分，≥190lm/W得 1 分，≥180lm/W得 0.5 分，≥140lm/W得 0.25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（2）平均亮度 Lav（cd/m2）维持值≥2.0cd/m2，在此基础上根据报告数值进行评分，≥2.2（cd/m2）得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分，≥2.1（cd/m2）得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分，≥2.0（cd/m2）得0.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（3）亮度总均匀度 UO最小值≥0.4，在此基础上根据报告数值进行评分，≥ 0.6得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0.5得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 0.4得 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（4）亮度纵向均匀度 UL最小值≥0.7，在此基础上根据报告数值进行评分，≥ 0.85得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0.75得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0.7得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（5）平均照度 Eav（Lx）维持值≥30Lx，在此基础上根据报告数值进行评分，≥ 35Lx得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33Lx得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30Lx得 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（6）照度均匀度 UE最小值≥0.4，在此基础上根据报告数值进行评分，≥ 0.5得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0.45得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0.4得 0.</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（7）眩光限制阈值增量 TI（ %）最大初始值≤ 10%，在此基础上根据报告数值进行评分，≤ 5%得 1 分，≤ 7%得 0.5 分，≤ 10%得 0.25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rPr>
          <w:rFonts w:hint="eastAsia" w:ascii="宋体" w:hAnsi="宋体" w:eastAsia="宋体" w:cs="宋体"/>
          <w:strike w:val="0"/>
          <w:color w:val="auto"/>
          <w:sz w:val="21"/>
          <w:szCs w:val="21"/>
          <w:highlight w:val="none"/>
        </w:rPr>
        <w:t xml:space="preserve">以上7项照明指标评分项为评审基础指标。若7项中任意一项得0分的，则该总分项12分判为得0分。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有效证明文件：</w:t>
      </w:r>
      <w:r>
        <w:rPr>
          <w:rFonts w:hint="eastAsia" w:ascii="宋体" w:hAnsi="宋体" w:eastAsia="宋体" w:cs="宋体"/>
          <w:color w:val="auto"/>
          <w:sz w:val="21"/>
          <w:szCs w:val="21"/>
          <w:highlight w:val="none"/>
          <w:lang w:val="en-US" w:eastAsia="zh-CN"/>
        </w:rPr>
        <w:t xml:space="preserve">投标人须提供由具有CMA 检验检测资质、且检测能力范围包含道路 LED 照明光学性能的第三方检测机构出具的检测报告，报告须加盖 CMA 标志并支持通过扫描二维码进行真伪验证。</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投标时须同时提供：①检测报告原件扫描件；②该机构 CMA 资质认定证书及与本项目相关的完整能力附表页复印件（加盖公章）；上述资料不提供不得分。</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5.2</w:t>
      </w:r>
      <w:r>
        <w:rPr>
          <w:rFonts w:hint="eastAsia" w:ascii="宋体" w:hAnsi="宋体" w:eastAsia="宋体" w:cs="宋体"/>
          <w:b/>
          <w:bCs/>
          <w:color w:val="auto"/>
          <w:sz w:val="21"/>
          <w:szCs w:val="21"/>
          <w:highlight w:val="none"/>
        </w:rPr>
        <w:t xml:space="preserve"> 250W LED灯具照明质量水平</w:t>
      </w:r>
      <w:r>
        <w:rPr>
          <w:rFonts w:hint="eastAsia" w:ascii="宋体" w:hAnsi="宋体" w:eastAsia="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在满足以下灯具安装系统条件，灯具性能以及标准值评分如下：</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道路类型：主干路；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道路总宽度：35米，机动车道（4x3.75m）+中分带（5m）+机动车道（4x3.75m）</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车道数：8；</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道路表面材料：沥青路；</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灯具布置方式：双侧对称布置；</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灯具安装高度：13m；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灯具安装间距：40~43m；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灯具挑臂长度：1.5m；</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灯具仰角：5~15°</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维护系数：0.7</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（1）满足灯具光通量≥35000lm 前提下，灯具输入功率（系统功耗） ≤ 275W。整灯光效在此基础上根据报告数值进行评分，≥190lm/W得 1 分，≥180lm/W得 0.5 分，≥140lm/W得 0.25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（2）平均亮度 Lav（cd/m2）维持值≥ 2.0cd/m2，在此基础上根据报告数值进行评分，≥2.25（cd/m2）得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分，≥2.1（cd/m2）得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分，≥2.0（cd/m2）得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（3）亮度总均匀度 U0最小值≥ 0.4，在此基础上根据报告数值进行评分，≥ 0.65得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分，≥ 0.55得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0.4得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（4）亮度纵向均匀度 UL最小值≥ 0.7，在此基础上根据报告数值进行评分，≥ 0.85得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0.75得 </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 0.7得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平均照度 Eav（Lx）维持值≥ 30Lx，在此基础上根据报告数值进行评分，≥ 40Lx得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35Lx得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 30Lx得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照度均匀度 UE最小值≥ 0.4，在此基础上根据报告数值进行评分，≥ 0.55得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 0.5得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 0.4得 0.5 分，其他不得分。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眩光限制阈值增量 TI（ %）最大初始值≤ 10%，在此基础上根据报告数值进行评分，≤ 5%得 1 分，≤ 7%得 0.5 分，≤ 10%得 0.25 分，其他不得分。</w:t>
      </w:r>
      <w:r/>
    </w:p>
    <w:p>
      <w:pPr>
        <w:ind w:firstLine="420"/>
        <w:keepLines w:val="0"/>
        <w:keepNext w:val="0"/>
        <w:pageBreakBefore w:val="0"/>
        <w:spacing w:line="400" w:lineRule="exact"/>
        <w:widowControl w:val="off"/>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 xml:space="preserve">说明：以上7项照明指标评分项为评审基础指标。若7项中任意一项得0分的，则该总分项12分判为得0分。</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有效证明文件：</w:t>
      </w:r>
      <w:r>
        <w:rPr>
          <w:rFonts w:hint="eastAsia" w:ascii="宋体" w:hAnsi="宋体" w:eastAsia="宋体" w:cs="宋体"/>
          <w:color w:val="auto"/>
          <w:sz w:val="21"/>
          <w:szCs w:val="21"/>
          <w:highlight w:val="none"/>
          <w:lang w:val="en-US" w:eastAsia="zh-CN"/>
        </w:rPr>
        <w:t xml:space="preserve">投标人须提供由具有CMA 检验检测资质、且检测能力范围包含道路 LED 照明光学性能的第三方检测机构出具的检测报告，报告须加盖 CMA 标志并支持通过扫描二维码进行真伪验证。</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投标时须同时提供：①检测报告原件扫描件；②该机构 CMA 资质认定证书及与本项目相关的完整能力附表页复印件（加盖公章）；上述资料不提供不得分。</w:t>
      </w:r>
      <w:r/>
    </w:p>
    <w:p>
      <w:pPr>
        <w:spacing w:line="440" w:lineRule="exact"/>
        <w:rPr>
          <w:rFonts w:ascii="宋体" w:hAnsi="宋体" w:eastAsia="宋体" w:cs="宋体"/>
          <w:color w:val="auto"/>
          <w:spacing w:val="7"/>
          <w:highlight w:val="none"/>
        </w:rPr>
      </w:pPr>
      <w:r>
        <w:rPr>
          <w:rFonts w:ascii="宋体" w:hAnsi="宋体" w:eastAsia="宋体" w:cs="宋体"/>
          <w:color w:val="auto"/>
          <w:spacing w:val="7"/>
          <w:highlight w:val="none"/>
        </w:rPr>
        <w:br w:type="page" w:clear="all"/>
      </w:r>
      <w:bookmarkEnd w:id="222"/>
      <w:r/>
      <w:bookmarkEnd w:id="223"/>
      <w:r/>
      <w:bookmarkEnd w:id="224"/>
      <w:r/>
      <w:bookmarkEnd w:id="225"/>
      <w:r/>
      <w:bookmarkEnd w:id="226"/>
      <w:r/>
      <w:r/>
    </w:p>
    <w:p>
      <w:pPr>
        <w:pStyle w:val="747"/>
        <w:rPr>
          <w:color w:val="auto"/>
          <w:highlight w:val="none"/>
        </w:rPr>
      </w:pPr>
      <w:r/>
      <w:bookmarkStart w:id="233" w:name="_Toc38368132"/>
      <w:r/>
      <w:bookmarkStart w:id="234" w:name="_Toc695"/>
      <w:r/>
      <w:bookmarkStart w:id="235" w:name="_Toc18115"/>
      <w:r/>
      <w:bookmarkStart w:id="236" w:name="_Toc54615250"/>
      <w:r/>
      <w:bookmarkStart w:id="237" w:name="_Toc35266032"/>
      <w:r/>
      <w:bookmarkStart w:id="238" w:name="_Toc3925"/>
      <w:r>
        <w:rPr>
          <w:rFonts w:hint="eastAsia"/>
          <w:color w:val="auto"/>
          <w:highlight w:val="none"/>
        </w:rPr>
        <w:t xml:space="preserve">第六章 投标</w:t>
      </w:r>
      <w:bookmarkEnd w:id="227"/>
      <w:r/>
      <w:bookmarkEnd w:id="228"/>
      <w:r/>
      <w:bookmarkEnd w:id="229"/>
      <w:r>
        <w:rPr>
          <w:rFonts w:hint="eastAsia"/>
          <w:color w:val="auto"/>
          <w:highlight w:val="none"/>
        </w:rPr>
        <w:t xml:space="preserve">文件格式</w:t>
      </w:r>
      <w:bookmarkEnd w:id="233"/>
      <w:r/>
      <w:bookmarkEnd w:id="234"/>
      <w:r/>
      <w:bookmarkEnd w:id="235"/>
      <w:r/>
      <w:bookmarkEnd w:id="236"/>
      <w:r/>
      <w:bookmarkEnd w:id="237"/>
      <w:r/>
      <w:bookmarkEnd w:id="238"/>
      <w:r/>
      <w:r/>
    </w:p>
    <w:p>
      <w:pPr>
        <w:jc w:val="center"/>
        <w:spacing w:line="360" w:lineRule="auto"/>
        <w:rPr>
          <w:rFonts w:ascii="宋体" w:hAnsi="宋体"/>
          <w:b/>
          <w:bCs/>
          <w:color w:val="auto"/>
          <w:sz w:val="32"/>
          <w:szCs w:val="32"/>
          <w:highlight w:val="none"/>
        </w:rPr>
      </w:pPr>
      <w:r/>
      <w:bookmarkStart w:id="239" w:name="_Hlt26955039"/>
      <w:r/>
      <w:r/>
    </w:p>
    <w:p>
      <w:pPr>
        <w:jc w:val="center"/>
        <w:rPr>
          <w:color w:val="auto"/>
          <w:highlight w:val="none"/>
        </w:rPr>
      </w:pPr>
      <w:r/>
      <w:bookmarkStart w:id="240" w:name="_Toc29010"/>
      <w:r/>
      <w:bookmarkStart w:id="241" w:name="_Toc18049"/>
      <w:r>
        <w:rPr>
          <w:color w:val="auto"/>
          <w:highlight w:val="none"/>
        </w:rPr>
        <w:t xml:space="preserve">投标主要文件目录</w:t>
      </w:r>
      <w:bookmarkEnd w:id="240"/>
      <w:r/>
      <w:bookmarkEnd w:id="241"/>
      <w:r/>
      <w:r/>
    </w:p>
    <w:p>
      <w:pPr>
        <w:rPr>
          <w:color w:val="auto"/>
          <w:highlight w:val="none"/>
        </w:rPr>
      </w:pPr>
      <w:r/>
      <w:bookmarkStart w:id="242" w:name="_Toc15242"/>
      <w:r>
        <w:rPr>
          <w:color w:val="auto"/>
          <w:highlight w:val="none"/>
        </w:rPr>
        <w:t xml:space="preserve">一、封面</w:t>
      </w:r>
      <w:bookmarkEnd w:id="242"/>
      <w:r/>
      <w:r/>
    </w:p>
    <w:p>
      <w:pPr>
        <w:rPr>
          <w:color w:val="auto"/>
          <w:highlight w:val="none"/>
        </w:rPr>
      </w:pPr>
      <w:r/>
      <w:bookmarkStart w:id="243" w:name="_Toc9750"/>
      <w:r>
        <w:rPr>
          <w:color w:val="auto"/>
          <w:highlight w:val="none"/>
        </w:rPr>
        <w:t xml:space="preserve">二、投标函</w:t>
      </w:r>
      <w:bookmarkEnd w:id="243"/>
      <w:r/>
      <w:r/>
    </w:p>
    <w:p>
      <w:pPr>
        <w:rPr>
          <w:color w:val="auto"/>
          <w:highlight w:val="none"/>
        </w:rPr>
      </w:pPr>
      <w:r/>
      <w:bookmarkStart w:id="244" w:name="_Toc5193"/>
      <w:r>
        <w:rPr>
          <w:color w:val="auto"/>
          <w:highlight w:val="none"/>
        </w:rPr>
        <w:t xml:space="preserve">三、开标一览表</w:t>
      </w:r>
      <w:bookmarkEnd w:id="244"/>
      <w:r/>
      <w:r/>
    </w:p>
    <w:p>
      <w:pPr>
        <w:rPr>
          <w:color w:val="auto"/>
          <w:highlight w:val="none"/>
        </w:rPr>
      </w:pPr>
      <w:r/>
      <w:bookmarkStart w:id="245" w:name="_Toc25567"/>
      <w:r>
        <w:rPr>
          <w:color w:val="auto"/>
          <w:highlight w:val="none"/>
        </w:rPr>
        <w:t xml:space="preserve">四、资格证明文件</w:t>
      </w:r>
      <w:bookmarkEnd w:id="245"/>
      <w:r/>
      <w:r/>
    </w:p>
    <w:p>
      <w:pPr>
        <w:rPr>
          <w:color w:val="auto"/>
          <w:highlight w:val="none"/>
        </w:rPr>
      </w:pPr>
      <w:r>
        <w:rPr>
          <w:color w:val="auto"/>
          <w:highlight w:val="none"/>
        </w:rPr>
        <w:t xml:space="preserve">五、第四章项目需求中实质性要求响应对照表</w:t>
      </w:r>
      <w:r/>
    </w:p>
    <w:p>
      <w:pPr>
        <w:rPr>
          <w:color w:val="auto"/>
          <w:highlight w:val="none"/>
        </w:rPr>
      </w:pPr>
      <w:r/>
      <w:bookmarkStart w:id="246" w:name="_Toc25616"/>
      <w:r>
        <w:rPr>
          <w:rFonts w:hint="eastAsia"/>
          <w:color w:val="auto"/>
          <w:highlight w:val="none"/>
        </w:rPr>
        <w:t xml:space="preserve">六</w:t>
      </w:r>
      <w:r>
        <w:rPr>
          <w:color w:val="auto"/>
          <w:highlight w:val="none"/>
        </w:rPr>
        <w:t xml:space="preserve">、</w:t>
      </w:r>
      <w:bookmarkEnd w:id="246"/>
      <w:r>
        <w:rPr>
          <w:color w:val="auto"/>
          <w:highlight w:val="none"/>
        </w:rPr>
        <w:t xml:space="preserve">服务方案</w:t>
      </w:r>
      <w:r/>
    </w:p>
    <w:p>
      <w:pPr>
        <w:rPr>
          <w:color w:val="auto"/>
          <w:highlight w:val="none"/>
        </w:rPr>
      </w:pPr>
      <w:r>
        <w:rPr>
          <w:rFonts w:hint="eastAsia"/>
          <w:color w:val="auto"/>
          <w:highlight w:val="none"/>
        </w:rPr>
        <w:t xml:space="preserve">七</w:t>
      </w:r>
      <w:r>
        <w:rPr>
          <w:color w:val="auto"/>
          <w:highlight w:val="none"/>
        </w:rPr>
        <w:t xml:space="preserve">、投标人情况介绍</w:t>
      </w:r>
      <w:r/>
    </w:p>
    <w:p>
      <w:pPr>
        <w:rPr>
          <w:color w:val="auto"/>
          <w:highlight w:val="none"/>
        </w:rPr>
      </w:pPr>
      <w:r>
        <w:rPr>
          <w:rStyle w:val="992"/>
          <w:color w:val="auto"/>
          <w:highlight w:val="none"/>
        </w:rPr>
        <w:br w:type="page" w:clear="all"/>
      </w:r>
      <w:bookmarkStart w:id="247" w:name="_Toc795"/>
      <w:r/>
      <w:bookmarkStart w:id="248" w:name="_Toc11328"/>
      <w:r/>
      <w:bookmarkStart w:id="249" w:name="_Toc28279"/>
      <w:r>
        <w:rPr>
          <w:b/>
          <w:bCs/>
          <w:color w:val="auto"/>
          <w:sz w:val="36"/>
          <w:szCs w:val="40"/>
          <w:highlight w:val="none"/>
        </w:rPr>
        <w:t xml:space="preserve">一、封面</w:t>
      </w:r>
      <w:bookmarkEnd w:id="247"/>
      <w:r/>
      <w:bookmarkEnd w:id="248"/>
      <w:r/>
      <w:bookmarkEnd w:id="249"/>
      <w:r/>
      <w:r/>
    </w:p>
    <w:p>
      <w:pPr>
        <w:rPr>
          <w:color w:val="auto"/>
          <w:highlight w:val="none"/>
        </w:rPr>
      </w:pPr>
      <w:r>
        <w:rPr>
          <w:color w:val="auto"/>
          <w:highlight w:val="none"/>
        </w:rPr>
        <w:t xml:space="preserve">﻿ </w:t>
      </w:r>
      <w:r/>
    </w:p>
    <w:p>
      <w:pPr>
        <w:pStyle w:val="1204"/>
        <w:jc w:val="center"/>
        <w:spacing w:before="540" w:after="540"/>
        <w:rPr>
          <w:rStyle w:val="992"/>
          <w:rFonts w:ascii="宋体" w:hAnsi="宋体" w:cs="宋体"/>
          <w:color w:val="auto"/>
          <w:sz w:val="54"/>
          <w:szCs w:val="54"/>
          <w:highlight w:val="none"/>
        </w:rPr>
        <w:outlineLvl w:val="1"/>
      </w:pPr>
      <w:r/>
      <w:bookmarkStart w:id="250" w:name="_Toc11466"/>
      <w:r/>
      <w:bookmarkStart w:id="251" w:name="_Toc5639"/>
      <w:r>
        <w:rPr>
          <w:rStyle w:val="992"/>
          <w:rFonts w:ascii="宋体" w:hAnsi="宋体" w:cs="宋体"/>
          <w:color w:val="auto"/>
          <w:sz w:val="54"/>
          <w:szCs w:val="54"/>
          <w:highlight w:val="none"/>
        </w:rPr>
        <w:t xml:space="preserve">投 标 文 件</w:t>
      </w:r>
      <w:bookmarkEnd w:id="250"/>
      <w:r/>
      <w:bookmarkEnd w:id="251"/>
      <w:r/>
      <w:r/>
    </w:p>
    <w:p>
      <w:pPr>
        <w:pStyle w:val="1204"/>
        <w:spacing w:before="240" w:after="240"/>
        <w:rPr>
          <w:rStyle w:val="992"/>
          <w:rFonts w:ascii="宋体" w:hAnsi="宋体" w:cs="宋体"/>
          <w:color w:val="auto"/>
          <w:highlight w:val="none"/>
        </w:rPr>
      </w:pPr>
      <w:r>
        <w:rPr>
          <w:rStyle w:val="992"/>
          <w:rFonts w:ascii="宋体" w:hAnsi="宋体" w:cs="宋体"/>
          <w:color w:val="auto"/>
          <w:highlight w:val="none"/>
        </w:rPr>
        <w:t xml:space="preserve"> </w:t>
      </w:r>
      <w:r/>
    </w:p>
    <w:p>
      <w:pPr>
        <w:pStyle w:val="1204"/>
        <w:jc w:val="center"/>
        <w:spacing w:before="400" w:after="400"/>
        <w:rPr>
          <w:rStyle w:val="992"/>
          <w:rFonts w:ascii="宋体" w:hAnsi="宋体" w:cs="宋体"/>
          <w:color w:val="auto"/>
          <w:sz w:val="40"/>
          <w:szCs w:val="40"/>
          <w:highlight w:val="none"/>
        </w:rPr>
      </w:pPr>
      <w:r>
        <w:rPr>
          <w:rStyle w:val="992"/>
          <w:rFonts w:ascii="宋体" w:hAnsi="宋体" w:cs="宋体"/>
          <w:color w:val="auto"/>
          <w:sz w:val="40"/>
          <w:szCs w:val="40"/>
          <w:highlight w:val="none"/>
        </w:rPr>
        <w:t xml:space="preserve"> </w:t>
      </w:r>
      <w:r/>
    </w:p>
    <w:p>
      <w:pPr>
        <w:pStyle w:val="1204"/>
        <w:spacing w:before="240" w:after="240"/>
        <w:rPr>
          <w:rStyle w:val="992"/>
          <w:rFonts w:ascii="宋体" w:hAnsi="宋体" w:cs="宋体"/>
          <w:color w:val="auto"/>
          <w:highlight w:val="none"/>
        </w:rPr>
      </w:pPr>
      <w:r>
        <w:rPr>
          <w:rStyle w:val="992"/>
          <w:rFonts w:ascii="宋体" w:hAnsi="宋体" w:cs="宋体"/>
          <w:color w:val="auto"/>
          <w:highlight w:val="none"/>
        </w:rPr>
        <w:t xml:space="preserve"> </w:t>
      </w:r>
      <w:r/>
    </w:p>
    <w:p>
      <w:pPr>
        <w:pStyle w:val="1204"/>
        <w:jc w:val="center"/>
        <w:spacing w:before="360" w:after="360"/>
        <w:rPr>
          <w:rStyle w:val="992"/>
          <w:rFonts w:ascii="宋体" w:hAnsi="宋体" w:cs="宋体"/>
          <w:color w:val="auto"/>
          <w:sz w:val="36"/>
          <w:szCs w:val="36"/>
          <w:highlight w:val="none"/>
        </w:rPr>
        <w:outlineLvl w:val="1"/>
      </w:pPr>
      <w:r/>
      <w:bookmarkStart w:id="252" w:name="_Toc26027"/>
      <w:r/>
      <w:bookmarkStart w:id="253" w:name="_Toc22717"/>
      <w:r>
        <w:rPr>
          <w:rStyle w:val="992"/>
          <w:rFonts w:ascii="宋体" w:hAnsi="宋体" w:cs="宋体"/>
          <w:color w:val="auto"/>
          <w:sz w:val="36"/>
          <w:szCs w:val="36"/>
          <w:highlight w:val="none"/>
        </w:rPr>
        <w:t xml:space="preserve">项目名称：   </w:t>
      </w:r>
      <w:bookmarkEnd w:id="252"/>
      <w:r/>
      <w:bookmarkEnd w:id="253"/>
      <w:r/>
      <w:r/>
    </w:p>
    <w:p>
      <w:pPr>
        <w:pStyle w:val="1204"/>
        <w:jc w:val="center"/>
        <w:spacing w:before="360" w:after="360"/>
        <w:rPr>
          <w:rStyle w:val="992"/>
          <w:rFonts w:ascii="宋体" w:hAnsi="宋体" w:cs="宋体"/>
          <w:color w:val="auto"/>
          <w:sz w:val="36"/>
          <w:szCs w:val="36"/>
          <w:highlight w:val="none"/>
        </w:rPr>
        <w:outlineLvl w:val="1"/>
      </w:pPr>
      <w:r/>
      <w:bookmarkStart w:id="254" w:name="_Toc5574"/>
      <w:r/>
      <w:bookmarkStart w:id="255" w:name="_Toc17680"/>
      <w:r>
        <w:rPr>
          <w:rStyle w:val="992"/>
          <w:rFonts w:hint="eastAsia" w:ascii="宋体" w:hAnsi="宋体" w:cs="宋体"/>
          <w:color w:val="auto"/>
          <w:sz w:val="36"/>
          <w:szCs w:val="36"/>
          <w:highlight w:val="none"/>
        </w:rPr>
        <w:t xml:space="preserve">项目</w:t>
      </w:r>
      <w:r>
        <w:rPr>
          <w:rStyle w:val="992"/>
          <w:rFonts w:ascii="宋体" w:hAnsi="宋体" w:cs="宋体"/>
          <w:color w:val="auto"/>
          <w:sz w:val="36"/>
          <w:szCs w:val="36"/>
          <w:highlight w:val="none"/>
        </w:rPr>
        <w:t xml:space="preserve">编号：   </w:t>
      </w:r>
      <w:bookmarkEnd w:id="254"/>
      <w:r/>
      <w:bookmarkEnd w:id="255"/>
      <w:r/>
      <w:r/>
    </w:p>
    <w:p>
      <w:pPr>
        <w:pStyle w:val="1204"/>
        <w:jc w:val="center"/>
        <w:spacing w:before="360" w:after="360"/>
        <w:rPr>
          <w:rStyle w:val="992"/>
          <w:rFonts w:ascii="宋体" w:hAnsi="宋体" w:cs="宋体"/>
          <w:color w:val="auto"/>
          <w:sz w:val="36"/>
          <w:szCs w:val="36"/>
          <w:highlight w:val="none"/>
        </w:rPr>
      </w:pPr>
      <w:r>
        <w:rPr>
          <w:rStyle w:val="992"/>
          <w:rFonts w:ascii="宋体" w:hAnsi="宋体" w:cs="宋体"/>
          <w:color w:val="auto"/>
          <w:sz w:val="36"/>
          <w:szCs w:val="36"/>
          <w:highlight w:val="none"/>
        </w:rPr>
        <w:t xml:space="preserve"> </w:t>
      </w:r>
      <w:r/>
    </w:p>
    <w:p>
      <w:pPr>
        <w:pStyle w:val="1204"/>
        <w:jc w:val="center"/>
        <w:spacing w:before="360" w:after="360"/>
        <w:rPr>
          <w:rStyle w:val="992"/>
          <w:rFonts w:ascii="宋体" w:hAnsi="宋体" w:cs="宋体"/>
          <w:color w:val="auto"/>
          <w:sz w:val="36"/>
          <w:szCs w:val="36"/>
          <w:highlight w:val="none"/>
        </w:rPr>
      </w:pPr>
      <w:r>
        <w:rPr>
          <w:rStyle w:val="992"/>
          <w:rFonts w:ascii="宋体" w:hAnsi="宋体" w:cs="宋体"/>
          <w:color w:val="auto"/>
          <w:sz w:val="36"/>
          <w:szCs w:val="36"/>
          <w:highlight w:val="none"/>
        </w:rPr>
        <w:t xml:space="preserve"> </w:t>
      </w:r>
      <w:r/>
    </w:p>
    <w:p>
      <w:pPr>
        <w:pStyle w:val="1204"/>
        <w:jc w:val="center"/>
        <w:spacing w:before="360" w:after="360"/>
        <w:rPr>
          <w:rStyle w:val="992"/>
          <w:rFonts w:ascii="宋体" w:hAnsi="宋体" w:cs="宋体"/>
          <w:color w:val="auto"/>
          <w:sz w:val="36"/>
          <w:szCs w:val="36"/>
          <w:highlight w:val="none"/>
        </w:rPr>
        <w:outlineLvl w:val="1"/>
      </w:pPr>
      <w:r/>
      <w:bookmarkStart w:id="256" w:name="_Toc9092"/>
      <w:r/>
      <w:bookmarkStart w:id="257" w:name="_Toc5779"/>
      <w:r>
        <w:rPr>
          <w:rStyle w:val="992"/>
          <w:rFonts w:ascii="宋体" w:hAnsi="宋体" w:cs="宋体"/>
          <w:color w:val="auto"/>
          <w:sz w:val="36"/>
          <w:szCs w:val="36"/>
          <w:highlight w:val="none"/>
        </w:rPr>
        <w:t xml:space="preserve">投标人名称：   </w:t>
      </w:r>
      <w:bookmarkEnd w:id="256"/>
      <w:r/>
      <w:bookmarkEnd w:id="257"/>
      <w:r/>
      <w:r/>
    </w:p>
    <w:p>
      <w:pPr>
        <w:pStyle w:val="1204"/>
        <w:jc w:val="center"/>
        <w:spacing w:before="360" w:after="360"/>
        <w:rPr>
          <w:rStyle w:val="992"/>
          <w:rFonts w:ascii="宋体" w:hAnsi="宋体" w:cs="宋体"/>
          <w:color w:val="auto"/>
          <w:sz w:val="36"/>
          <w:szCs w:val="36"/>
          <w:highlight w:val="none"/>
        </w:rPr>
        <w:outlineLvl w:val="1"/>
      </w:pPr>
      <w:r/>
      <w:bookmarkStart w:id="258" w:name="_Toc534"/>
      <w:r/>
      <w:bookmarkStart w:id="259" w:name="_Toc22080"/>
      <w:r>
        <w:rPr>
          <w:rStyle w:val="992"/>
          <w:rFonts w:ascii="宋体" w:hAnsi="宋体" w:cs="宋体"/>
          <w:color w:val="auto"/>
          <w:sz w:val="36"/>
          <w:szCs w:val="36"/>
          <w:highlight w:val="none"/>
        </w:rPr>
        <w:t xml:space="preserve">日期：   </w:t>
      </w:r>
      <w:bookmarkEnd w:id="258"/>
      <w:r/>
      <w:bookmarkEnd w:id="259"/>
      <w:r/>
      <w:r/>
    </w:p>
    <w:p>
      <w:pPr>
        <w:pStyle w:val="1204"/>
        <w:spacing w:before="240" w:after="240"/>
        <w:rPr>
          <w:rStyle w:val="992"/>
          <w:rFonts w:ascii="宋体" w:hAnsi="宋体" w:cs="宋体"/>
          <w:color w:val="auto"/>
          <w:highlight w:val="none"/>
        </w:rPr>
      </w:pPr>
      <w:r>
        <w:rPr>
          <w:rStyle w:val="992"/>
          <w:rFonts w:ascii="宋体" w:hAnsi="宋体" w:cs="宋体"/>
          <w:color w:val="auto"/>
          <w:highlight w:val="none"/>
        </w:rPr>
        <w:t xml:space="preserve"> </w:t>
      </w:r>
      <w:r/>
    </w:p>
    <w:p>
      <w:pPr>
        <w:pStyle w:val="1383"/>
        <w:rPr>
          <w:rStyle w:val="992"/>
          <w:color w:val="auto"/>
          <w:highlight w:val="none"/>
        </w:rPr>
        <w:outlineLvl w:val="0"/>
      </w:pPr>
      <w:r>
        <w:rPr>
          <w:rStyle w:val="992"/>
          <w:color w:val="auto"/>
          <w:highlight w:val="none"/>
        </w:rPr>
        <w:br w:type="page" w:clear="all"/>
      </w:r>
      <w:bookmarkStart w:id="260" w:name="_Toc24046"/>
      <w:r/>
      <w:bookmarkStart w:id="261" w:name="_Toc3077"/>
      <w:r/>
      <w:bookmarkStart w:id="262" w:name="_Toc12462"/>
      <w:r/>
      <w:bookmarkStart w:id="263" w:name="_Toc15138"/>
      <w:r>
        <w:rPr>
          <w:rStyle w:val="992"/>
          <w:rFonts w:ascii="宋体" w:hAnsi="宋体" w:cs="宋体"/>
          <w:b/>
          <w:color w:val="auto"/>
          <w:sz w:val="32"/>
          <w:highlight w:val="none"/>
        </w:rPr>
        <w:t xml:space="preserve">二、投标函格式</w:t>
      </w:r>
      <w:bookmarkEnd w:id="260"/>
      <w:r/>
      <w:bookmarkEnd w:id="261"/>
      <w:r/>
      <w:bookmarkEnd w:id="262"/>
      <w:r/>
      <w:bookmarkEnd w:id="263"/>
      <w:r/>
      <w:r/>
    </w:p>
    <w:p>
      <w:pPr>
        <w:pStyle w:val="1159"/>
        <w:spacing w:line="440" w:lineRule="exact"/>
        <w:rPr>
          <w:rStyle w:val="992"/>
          <w:color w:val="auto"/>
          <w:spacing w:val="7"/>
          <w:highlight w:val="none"/>
        </w:rPr>
      </w:pPr>
      <w:r>
        <w:rPr>
          <w:rStyle w:val="992"/>
          <w:rFonts w:ascii="宋体" w:hAnsi="宋体" w:cs="宋体"/>
          <w:color w:val="auto"/>
          <w:highlight w:val="none"/>
        </w:rPr>
        <w:t xml:space="preserve">﻿ </w:t>
      </w:r>
      <w:r/>
    </w:p>
    <w:p>
      <w:pPr>
        <w:ind w:firstLine="4260"/>
        <w:spacing w:line="360" w:lineRule="auto"/>
        <w:rPr>
          <w:rFonts w:hint="eastAsia" w:ascii="宋体" w:hAnsi="宋体" w:eastAsia="宋体" w:cs="宋体"/>
          <w:b/>
          <w:bCs/>
          <w:color w:val="auto"/>
          <w:sz w:val="32"/>
          <w:szCs w:val="32"/>
          <w:highlight w:val="none"/>
          <w:lang w:val="en-US"/>
        </w:rPr>
      </w:pPr>
      <w:r>
        <w:rPr>
          <w:rFonts w:hint="eastAsia" w:ascii="宋体" w:hAnsi="宋体" w:eastAsia="宋体" w:cs="宋体"/>
          <w:b/>
          <w:bCs/>
          <w:color w:val="auto"/>
          <w:sz w:val="32"/>
          <w:szCs w:val="32"/>
          <w:highlight w:val="none"/>
          <w:lang w:val="en-US"/>
        </w:rPr>
        <w:t xml:space="preserve">投标函</w:t>
      </w:r>
      <w:r/>
    </w:p>
    <w:p>
      <w:pPr>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张家港保税区宏宇建设咨询有限公司</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号招标文件，正式授权下述签字人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（姓名和职务）代表我方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（投标人的名称），全权处理本次项目投标的有关事宜。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据此函，签字人兹宣布同意如下：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1、同意向贵方提供贵方可能另外要求的与投标有关的任何证据或资料；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2、我们完全理解贵方不一定将合同授予最低报价的投标人；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5、与本投标有关的正式通讯地址为：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    编：</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投标单位代表姓名：</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投标单位名称：</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公    章：</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pStyle w:val="1159"/>
        <w:spacing w:before="240" w:after="240"/>
        <w:rPr>
          <w:rStyle w:val="992"/>
          <w:rFonts w:ascii="宋体" w:hAnsi="宋体" w:cs="宋体"/>
          <w:color w:val="auto"/>
          <w:highlight w:val="none"/>
        </w:rPr>
      </w:pPr>
      <w:r>
        <w:rPr>
          <w:rStyle w:val="992"/>
          <w:rFonts w:ascii="宋体" w:hAnsi="宋体" w:cs="宋体"/>
          <w:color w:val="auto"/>
          <w:highlight w:val="none"/>
        </w:rPr>
        <w:t xml:space="preserve"> </w:t>
      </w:r>
      <w:r/>
    </w:p>
    <w:p>
      <w:pPr>
        <w:pStyle w:val="1225"/>
        <w:rPr>
          <w:rStyle w:val="992"/>
          <w:color w:val="auto"/>
          <w:highlight w:val="none"/>
        </w:rPr>
        <w:outlineLvl w:val="0"/>
      </w:pPr>
      <w:r>
        <w:rPr>
          <w:rStyle w:val="992"/>
          <w:color w:val="auto"/>
          <w:highlight w:val="none"/>
        </w:rPr>
        <w:br w:type="page" w:clear="all"/>
      </w:r>
      <w:bookmarkStart w:id="264" w:name="_Toc24631"/>
      <w:r/>
      <w:bookmarkStart w:id="265" w:name="_Toc30201"/>
      <w:r/>
      <w:bookmarkStart w:id="266" w:name="_Toc757"/>
      <w:r/>
      <w:bookmarkStart w:id="267" w:name="_Toc689"/>
      <w:r>
        <w:rPr>
          <w:rStyle w:val="992"/>
          <w:rFonts w:ascii="宋体" w:hAnsi="宋体" w:cs="宋体"/>
          <w:b/>
          <w:color w:val="auto"/>
          <w:sz w:val="32"/>
          <w:highlight w:val="none"/>
        </w:rPr>
        <w:t xml:space="preserve">三、开标一览表</w:t>
      </w:r>
      <w:bookmarkEnd w:id="264"/>
      <w:r/>
      <w:bookmarkEnd w:id="265"/>
      <w:r/>
      <w:bookmarkEnd w:id="266"/>
      <w:r/>
      <w:bookmarkEnd w:id="267"/>
      <w:r/>
      <w:r/>
    </w:p>
    <w:p>
      <w:pPr>
        <w:pStyle w:val="1159"/>
        <w:ind w:firstLine="420"/>
        <w:jc w:val="center"/>
        <w:spacing w:before="320" w:after="320"/>
        <w:rPr>
          <w:rStyle w:val="992"/>
          <w:rFonts w:ascii="宋体" w:hAnsi="宋体" w:cs="宋体"/>
          <w:b/>
          <w:bCs/>
          <w:color w:val="auto"/>
          <w:sz w:val="32"/>
          <w:szCs w:val="32"/>
          <w:highlight w:val="none"/>
        </w:rPr>
      </w:pPr>
      <w:r>
        <w:rPr>
          <w:rStyle w:val="992"/>
          <w:rFonts w:ascii="宋体" w:hAnsi="宋体" w:cs="宋体"/>
          <w:b/>
          <w:bCs/>
          <w:color w:val="auto"/>
          <w:sz w:val="32"/>
          <w:szCs w:val="32"/>
          <w:highlight w:val="none"/>
        </w:rPr>
        <w:t xml:space="preserve">﻿ </w:t>
      </w:r>
      <w:r>
        <w:rPr>
          <w:rStyle w:val="992"/>
          <w:rFonts w:hint="eastAsia" w:ascii="宋体" w:hAnsi="宋体" w:cs="宋体"/>
          <w:b/>
          <w:bCs/>
          <w:color w:val="auto"/>
          <w:sz w:val="32"/>
          <w:szCs w:val="32"/>
          <w:highlight w:val="none"/>
        </w:rPr>
        <w:t xml:space="preserve">开标一览表（总报价）</w:t>
      </w:r>
      <w:r/>
    </w:p>
    <w:p>
      <w:pPr>
        <w:pStyle w:val="1305"/>
        <w:spacing w:before="240" w:after="240"/>
        <w:rPr>
          <w:rStyle w:val="992"/>
          <w:rFonts w:ascii="宋体" w:hAnsi="宋体" w:cs="宋体"/>
          <w:color w:val="auto"/>
          <w:highlight w:val="none"/>
        </w:rPr>
      </w:pPr>
      <w:r>
        <w:rPr>
          <w:rStyle w:val="992"/>
          <w:rFonts w:ascii="宋体" w:hAnsi="宋体" w:cs="宋体"/>
          <w:color w:val="auto"/>
          <w:highlight w:val="none"/>
        </w:rPr>
        <w:t xml:space="preserve">投标</w:t>
      </w:r>
      <w:r>
        <w:rPr>
          <w:rStyle w:val="992"/>
          <w:rFonts w:hint="eastAsia" w:ascii="宋体" w:hAnsi="宋体" w:cs="宋体"/>
          <w:color w:val="auto"/>
          <w:highlight w:val="none"/>
        </w:rPr>
        <w:t xml:space="preserve">人</w:t>
      </w:r>
      <w:r>
        <w:rPr>
          <w:rStyle w:val="992"/>
          <w:rFonts w:ascii="宋体" w:hAnsi="宋体" w:cs="宋体"/>
          <w:color w:val="auto"/>
          <w:highlight w:val="none"/>
        </w:rPr>
        <w:t xml:space="preserve">全称（加盖公章）：</w:t>
      </w:r>
      <w:r/>
    </w:p>
    <w:p>
      <w:pPr>
        <w:pStyle w:val="1305"/>
        <w:spacing w:before="240" w:after="240"/>
        <w:rPr>
          <w:rStyle w:val="992"/>
          <w:rFonts w:ascii="宋体" w:hAnsi="宋体" w:cs="宋体"/>
          <w:color w:val="auto"/>
          <w:highlight w:val="none"/>
        </w:rPr>
      </w:pPr>
      <w:r>
        <w:rPr>
          <w:rStyle w:val="992"/>
          <w:rFonts w:hint="eastAsia" w:ascii="宋体" w:hAnsi="宋体" w:cs="宋体"/>
          <w:color w:val="auto"/>
          <w:highlight w:val="none"/>
        </w:rPr>
        <w:t xml:space="preserve">项目编号：</w:t>
      </w:r>
      <w:r>
        <w:rPr>
          <w:rStyle w:val="992"/>
          <w:rFonts w:ascii="宋体" w:hAnsi="宋体" w:cs="宋体"/>
          <w:color w:val="auto"/>
          <w:highlight w:val="none"/>
        </w:rPr>
        <w:t xml:space="preserve">    </w:t>
      </w:r>
      <w:r/>
    </w:p>
    <w:p>
      <w:pPr>
        <w:pStyle w:val="1305"/>
        <w:spacing w:before="240" w:after="240"/>
        <w:rPr>
          <w:rStyle w:val="992"/>
          <w:rFonts w:ascii="宋体" w:hAnsi="宋体" w:cs="宋体"/>
          <w:color w:val="auto"/>
          <w:highlight w:val="none"/>
        </w:rPr>
      </w:pPr>
      <w:r>
        <w:rPr>
          <w:rStyle w:val="992"/>
          <w:rFonts w:hint="eastAsia" w:ascii="宋体" w:hAnsi="宋体" w:cs="宋体"/>
          <w:color w:val="auto"/>
          <w:highlight w:val="none"/>
        </w:rPr>
        <w:t xml:space="preserve">分包号：</w:t>
      </w:r>
      <w:r/>
    </w:p>
    <w:tbl>
      <w:tblPr>
        <w:tblStyle w:val="757"/>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722"/>
        </w:trPr>
        <w:tc>
          <w:tcPr>
            <w:tcBorders>
              <w:bottom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305"/>
              <w:jc w:val="center"/>
              <w:rPr>
                <w:rStyle w:val="992"/>
                <w:rFonts w:ascii="宋体" w:hAnsi="宋体" w:cs="宋体"/>
                <w:color w:val="auto"/>
                <w:highlight w:val="none"/>
              </w:rPr>
            </w:pPr>
            <w:r>
              <w:rPr>
                <w:rStyle w:val="992"/>
                <w:rFonts w:ascii="宋体" w:hAnsi="宋体" w:cs="宋体"/>
                <w:color w:val="auto"/>
                <w:highlight w:val="none"/>
              </w:rPr>
              <w:t xml:space="preserve">项目名称</w:t>
            </w:r>
            <w:r/>
          </w:p>
        </w:tc>
        <w:tc>
          <w:tcPr>
            <w:tcBorders>
              <w:left w:val="single" w:color="000000" w:sz="6" w:space="0"/>
              <w:bottom w:val="single" w:color="000000" w:sz="6" w:space="0"/>
            </w:tcBorders>
            <w:tcMar>
              <w:left w:w="0" w:type="dxa"/>
              <w:top w:w="0" w:type="dxa"/>
              <w:right w:w="0" w:type="dxa"/>
              <w:bottom w:w="0" w:type="dxa"/>
            </w:tcMar>
            <w:tcW w:w="5257" w:type="dxa"/>
            <w:vAlign w:val="center"/>
            <w:textDirection w:val="lrTb"/>
            <w:noWrap w:val="false"/>
          </w:tcPr>
          <w:p>
            <w:pPr>
              <w:pStyle w:val="1305"/>
              <w:jc w:val="center"/>
              <w:rPr>
                <w:rStyle w:val="992"/>
                <w:rFonts w:ascii="宋体" w:hAnsi="宋体" w:cs="宋体"/>
                <w:color w:val="auto"/>
                <w:highlight w:val="none"/>
              </w:rPr>
            </w:pPr>
            <w:r>
              <w:rPr>
                <w:rStyle w:val="992"/>
                <w:rFonts w:hint="eastAsia" w:ascii="宋体" w:hAnsi="宋体" w:cs="宋体"/>
                <w:color w:val="auto"/>
                <w:highlight w:val="none"/>
              </w:rPr>
              <w:t xml:space="preserve">投标总报价</w:t>
            </w:r>
            <w:r>
              <w:rPr>
                <w:rStyle w:val="992"/>
                <w:rFonts w:ascii="宋体" w:hAnsi="宋体" w:cs="宋体"/>
                <w:color w:val="auto"/>
                <w:highlight w:val="none"/>
              </w:rPr>
              <w:t xml:space="preserve">（元）</w:t>
            </w:r>
            <w:r/>
          </w:p>
        </w:tc>
      </w:tr>
      <w:tr>
        <w:trPr>
          <w:trHeight w:val="647"/>
        </w:trPr>
        <w:tc>
          <w:tcPr>
            <w:tcBorders>
              <w:top w:val="single" w:color="000000" w:sz="6" w:space="0"/>
              <w:bottom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305"/>
              <w:jc w:val="both"/>
              <w:rPr>
                <w:rStyle w:val="992"/>
                <w:rFonts w:ascii="宋体" w:hAnsi="宋体" w:cs="宋体"/>
                <w:color w:val="auto"/>
                <w:highlight w:val="none"/>
              </w:rPr>
            </w:pPr>
            <w:r>
              <w:rPr>
                <w:rFonts w:ascii="宋体" w:hAnsi="宋体" w:cs="宋体"/>
                <w:color w:val="auto"/>
                <w:highlight w:val="none"/>
              </w:rPr>
            </w:r>
            <w:r/>
          </w:p>
        </w:tc>
        <w:tc>
          <w:tcPr>
            <w:tcBorders>
              <w:top w:val="single" w:color="000000" w:sz="6" w:space="0"/>
              <w:left w:val="single" w:color="000000" w:sz="6" w:space="0"/>
              <w:bottom w:val="single" w:color="000000" w:sz="6" w:space="0"/>
            </w:tcBorders>
            <w:tcMar>
              <w:left w:w="0" w:type="dxa"/>
              <w:top w:w="0" w:type="dxa"/>
              <w:right w:w="0" w:type="dxa"/>
              <w:bottom w:w="0" w:type="dxa"/>
            </w:tcMar>
            <w:tcW w:w="5257" w:type="dxa"/>
            <w:vAlign w:val="center"/>
            <w:textDirection w:val="lrTb"/>
            <w:noWrap w:val="false"/>
          </w:tcPr>
          <w:p>
            <w:pPr>
              <w:pStyle w:val="1305"/>
              <w:rPr>
                <w:rStyle w:val="992"/>
                <w:rFonts w:ascii="宋体" w:hAnsi="宋体" w:cs="宋体"/>
                <w:color w:val="auto"/>
                <w:highlight w:val="none"/>
              </w:rPr>
            </w:pPr>
            <w:r>
              <w:rPr>
                <w:rStyle w:val="992"/>
                <w:rFonts w:hint="eastAsia" w:ascii="宋体" w:hAnsi="宋体" w:cs="宋体"/>
                <w:color w:val="auto"/>
                <w:highlight w:val="none"/>
              </w:rPr>
              <w:t xml:space="preserve">小写：      （元人民币）</w:t>
            </w:r>
            <w:r/>
          </w:p>
        </w:tc>
      </w:tr>
      <w:tr>
        <w:trPr>
          <w:trHeight w:val="572"/>
        </w:trPr>
        <w:tc>
          <w:tcPr>
            <w:tcBorders>
              <w:top w:val="single" w:color="000000" w:sz="6" w:space="0"/>
              <w:right w:val="single" w:color="000000" w:sz="6" w:space="0"/>
            </w:tcBorders>
            <w:tcMar>
              <w:left w:w="0" w:type="dxa"/>
              <w:top w:w="0" w:type="dxa"/>
              <w:right w:w="0" w:type="dxa"/>
              <w:bottom w:w="0" w:type="dxa"/>
            </w:tcMar>
            <w:tcW w:w="3728" w:type="dxa"/>
            <w:vAlign w:val="center"/>
            <w:textDirection w:val="lrTb"/>
            <w:noWrap w:val="false"/>
          </w:tcPr>
          <w:p>
            <w:pPr>
              <w:pStyle w:val="1305"/>
              <w:rPr>
                <w:rStyle w:val="992"/>
                <w:rFonts w:ascii="宋体" w:hAnsi="宋体" w:cs="宋体"/>
                <w:color w:val="auto"/>
                <w:highlight w:val="none"/>
              </w:rPr>
            </w:pPr>
            <w:r>
              <w:rPr>
                <w:rStyle w:val="992"/>
                <w:rFonts w:ascii="宋体" w:hAnsi="宋体" w:cs="宋体"/>
                <w:color w:val="auto"/>
                <w:highlight w:val="none"/>
              </w:rPr>
              <w:t xml:space="preserve">投标</w:t>
            </w:r>
            <w:r>
              <w:rPr>
                <w:rStyle w:val="992"/>
                <w:rFonts w:hint="eastAsia" w:ascii="宋体" w:hAnsi="宋体" w:cs="宋体"/>
                <w:color w:val="auto"/>
                <w:highlight w:val="none"/>
              </w:rPr>
              <w:t xml:space="preserve">报价大写金额</w:t>
            </w:r>
            <w:r/>
          </w:p>
        </w:tc>
        <w:tc>
          <w:tcPr>
            <w:tcBorders>
              <w:top w:val="single" w:color="000000" w:sz="6" w:space="0"/>
              <w:left w:val="single" w:color="000000" w:sz="6" w:space="0"/>
            </w:tcBorders>
            <w:tcMar>
              <w:left w:w="0" w:type="dxa"/>
              <w:top w:w="0" w:type="dxa"/>
              <w:right w:w="0" w:type="dxa"/>
              <w:bottom w:w="0" w:type="dxa"/>
            </w:tcMar>
            <w:tcW w:w="5257" w:type="dxa"/>
            <w:vAlign w:val="center"/>
            <w:textDirection w:val="lrTb"/>
            <w:noWrap w:val="false"/>
          </w:tcPr>
          <w:p>
            <w:pPr>
              <w:pStyle w:val="1305"/>
              <w:rPr>
                <w:rStyle w:val="992"/>
                <w:rFonts w:ascii="宋体" w:hAnsi="宋体" w:cs="宋体"/>
                <w:color w:val="auto"/>
                <w:highlight w:val="none"/>
              </w:rPr>
            </w:pPr>
            <w:r>
              <w:rPr>
                <w:rStyle w:val="992"/>
                <w:rFonts w:ascii="宋体" w:hAnsi="宋体" w:cs="宋体"/>
                <w:color w:val="auto"/>
                <w:highlight w:val="none"/>
              </w:rPr>
              <w:t xml:space="preserve">  </w:t>
            </w:r>
            <w:r>
              <w:rPr>
                <w:rStyle w:val="992"/>
                <w:rFonts w:hint="eastAsia" w:ascii="宋体" w:hAnsi="宋体" w:cs="宋体"/>
                <w:color w:val="auto"/>
                <w:highlight w:val="none"/>
              </w:rPr>
              <w:t xml:space="preserve">金额大写</w:t>
            </w:r>
            <w:r>
              <w:rPr>
                <w:rStyle w:val="992"/>
                <w:rFonts w:ascii="宋体" w:hAnsi="宋体" w:cs="宋体"/>
                <w:color w:val="auto"/>
                <w:highlight w:val="none"/>
              </w:rPr>
              <w:t xml:space="preserve">  </w:t>
            </w:r>
            <w:r/>
          </w:p>
        </w:tc>
      </w:tr>
    </w:tbl>
    <w:p>
      <w:pPr>
        <w:pStyle w:val="1305"/>
        <w:spacing w:before="240" w:after="240"/>
        <w:rPr>
          <w:rStyle w:val="992"/>
          <w:rFonts w:ascii="宋体" w:hAnsi="宋体" w:cs="宋体"/>
          <w:color w:val="auto"/>
          <w:highlight w:val="none"/>
        </w:rPr>
      </w:pPr>
      <w:r>
        <w:rPr>
          <w:rStyle w:val="992"/>
          <w:rFonts w:ascii="宋体" w:hAnsi="宋体" w:cs="宋体"/>
          <w:color w:val="auto"/>
          <w:highlight w:val="none"/>
        </w:rPr>
        <w:t xml:space="preserve"> </w:t>
      </w:r>
      <w:r>
        <w:rPr>
          <w:rStyle w:val="992"/>
          <w:rFonts w:hint="eastAsia" w:ascii="宋体" w:hAnsi="宋体" w:cs="宋体"/>
          <w:color w:val="auto"/>
          <w:highlight w:val="none"/>
        </w:rPr>
        <w:t xml:space="preserve">                                           日期：  年   月   日</w:t>
      </w:r>
      <w:r/>
    </w:p>
    <w:p>
      <w:pPr>
        <w:pStyle w:val="1263"/>
        <w:rPr>
          <w:rStyle w:val="992"/>
          <w:color w:val="auto"/>
          <w:highlight w:val="none"/>
        </w:rPr>
        <w:outlineLvl w:val="0"/>
      </w:pPr>
      <w:r/>
      <w:bookmarkStart w:id="268" w:name="_Toc1415"/>
      <w:r/>
      <w:bookmarkStart w:id="269" w:name="_Toc3801"/>
      <w:r>
        <w:rPr>
          <w:rStyle w:val="992"/>
          <w:rFonts w:hint="eastAsia"/>
          <w:color w:val="auto"/>
          <w:highlight w:val="none"/>
        </w:rPr>
        <w:t xml:space="preserve">填写说明：</w:t>
      </w:r>
      <w:bookmarkEnd w:id="268"/>
      <w:r/>
      <w:bookmarkEnd w:id="269"/>
      <w:r/>
      <w:r/>
    </w:p>
    <w:p>
      <w:pPr>
        <w:pStyle w:val="1263"/>
        <w:numPr>
          <w:ilvl w:val="0"/>
          <w:numId w:val="13"/>
        </w:numPr>
        <w:rPr>
          <w:rStyle w:val="992"/>
          <w:i/>
          <w:iCs/>
          <w:color w:val="auto"/>
          <w:highlight w:val="none"/>
          <w:u w:val="single"/>
        </w:rPr>
        <w:outlineLvl w:val="0"/>
      </w:pPr>
      <w:r/>
      <w:bookmarkStart w:id="270" w:name="_Toc24830"/>
      <w:r/>
      <w:bookmarkStart w:id="271" w:name="_Toc19523"/>
      <w:r>
        <w:rPr>
          <w:rStyle w:val="992"/>
          <w:rFonts w:hint="eastAsia"/>
          <w:i/>
          <w:iCs/>
          <w:color w:val="auto"/>
          <w:highlight w:val="none"/>
          <w:u w:val="single"/>
        </w:rPr>
        <w:t xml:space="preserve">开标一览表必须加盖投标人公章（复印件无效）。</w:t>
      </w:r>
      <w:bookmarkEnd w:id="270"/>
      <w:r/>
      <w:bookmarkEnd w:id="271"/>
      <w:r/>
      <w:r/>
    </w:p>
    <w:p>
      <w:pPr>
        <w:pStyle w:val="1263"/>
        <w:numPr>
          <w:ilvl w:val="0"/>
          <w:numId w:val="13"/>
        </w:numPr>
        <w:rPr>
          <w:rStyle w:val="992"/>
          <w:i/>
          <w:iCs/>
          <w:color w:val="auto"/>
          <w:highlight w:val="none"/>
          <w:u w:val="single"/>
        </w:rPr>
        <w:outlineLvl w:val="0"/>
      </w:pPr>
      <w:r/>
      <w:bookmarkStart w:id="272" w:name="_Toc5936"/>
      <w:r/>
      <w:bookmarkStart w:id="273" w:name="_Toc30436"/>
      <w:r>
        <w:rPr>
          <w:rStyle w:val="992"/>
          <w:rFonts w:hint="eastAsia"/>
          <w:i/>
          <w:iCs/>
          <w:color w:val="auto"/>
          <w:highlight w:val="none"/>
          <w:u w:val="single"/>
        </w:rPr>
        <w:t xml:space="preserve">如有分包，投标人投任何一个包的标的，都需单独填写开标一览表。</w:t>
      </w:r>
      <w:bookmarkEnd w:id="272"/>
      <w:r/>
      <w:bookmarkEnd w:id="273"/>
      <w:r/>
      <w:r/>
    </w:p>
    <w:p>
      <w:pPr>
        <w:rPr>
          <w:rFonts w:ascii="宋体" w:hAnsi="宋体" w:eastAsia="宋体" w:cs="宋体"/>
          <w:color w:val="auto"/>
          <w:highlight w:val="none"/>
        </w:rPr>
      </w:pPr>
      <w:r>
        <w:rPr>
          <w:rFonts w:ascii="宋体" w:hAnsi="宋体" w:eastAsia="宋体" w:cs="宋体"/>
          <w:color w:val="auto"/>
          <w:highlight w:val="none"/>
        </w:rPr>
        <w:br w:type="page" w:clear="all"/>
      </w:r>
      <w:r/>
    </w:p>
    <w:p>
      <w:pPr>
        <w:pStyle w:val="1225"/>
        <w:rPr>
          <w:rStyle w:val="992"/>
          <w:rFonts w:ascii="宋体" w:hAnsi="宋体" w:cs="宋体"/>
          <w:b/>
          <w:color w:val="auto"/>
          <w:sz w:val="32"/>
          <w:highlight w:val="none"/>
        </w:rPr>
        <w:outlineLvl w:val="0"/>
      </w:pPr>
      <w:r/>
      <w:bookmarkStart w:id="274" w:name="_Toc31127"/>
      <w:r>
        <w:rPr>
          <w:rStyle w:val="992"/>
          <w:rFonts w:hint="eastAsia" w:ascii="宋体" w:hAnsi="宋体" w:cs="宋体"/>
          <w:b/>
          <w:color w:val="auto"/>
          <w:sz w:val="32"/>
          <w:highlight w:val="none"/>
        </w:rPr>
        <w:t xml:space="preserve">三、分项报价表</w:t>
      </w:r>
      <w:bookmarkEnd w:id="274"/>
      <w:r/>
      <w:r/>
    </w:p>
    <w:p>
      <w:pPr>
        <w:pStyle w:val="124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报价分析表（一）</w:t>
      </w:r>
      <w:r/>
    </w:p>
    <w:tbl>
      <w:tblPr>
        <w:tblStyle w:val="757"/>
        <w:tblpPr w:horzAnchor="page" w:tblpX="1486" w:vertAnchor="text" w:tblpY="479" w:leftFromText="180" w:topFromText="0" w:rightFromText="180" w:bottomFromText="0"/>
        <w:tblW w:w="9456" w:type="dxa"/>
        <w:tblInd w:w="0" w:type="dxa"/>
        <w:tblLayout w:type="autofit"/>
        <w:tblCellMar>
          <w:left w:w="108" w:type="dxa"/>
          <w:top w:w="0" w:type="dxa"/>
          <w:right w:w="108" w:type="dxa"/>
          <w:bottom w:w="0" w:type="dxa"/>
        </w:tblCellMar>
        <w:tblLook w:val="04A0" w:firstRow="1" w:lastRow="0" w:firstColumn="1" w:lastColumn="0" w:noHBand="0" w:noVBand="1"/>
      </w:tblPr>
      <w:tblGrid>
        <w:gridCol w:w="699"/>
        <w:gridCol w:w="3428"/>
        <w:gridCol w:w="702"/>
        <w:gridCol w:w="702"/>
        <w:gridCol w:w="1612"/>
        <w:gridCol w:w="1612"/>
        <w:gridCol w:w="702"/>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合价（万）</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备注</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节能改造部分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bidi="ar"/>
              </w:rPr>
              <w:t xml:space="preserve">传统灯具</w:t>
            </w:r>
            <w:r>
              <w:rPr>
                <w:rFonts w:hint="eastAsia" w:ascii="宋体" w:hAnsi="宋体" w:eastAsia="宋体" w:cs="宋体"/>
                <w:color w:val="auto"/>
                <w:sz w:val="24"/>
                <w:szCs w:val="24"/>
                <w:highlight w:val="none"/>
                <w:lang w:val="en-US" w:eastAsia="zh-CN" w:bidi="ar"/>
              </w:rPr>
              <w:t xml:space="preserve">及旧LED灯</w:t>
            </w:r>
            <w:r>
              <w:rPr>
                <w:rFonts w:hint="eastAsia" w:ascii="宋体" w:hAnsi="宋体" w:eastAsia="宋体" w:cs="宋体"/>
                <w:color w:val="auto"/>
                <w:sz w:val="24"/>
                <w:szCs w:val="24"/>
                <w:highlight w:val="none"/>
                <w:lang w:bidi="ar"/>
              </w:rPr>
              <w:t xml:space="preserve">节能改造费用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改造后的日常</w:t>
            </w:r>
            <w:r>
              <w:rPr>
                <w:rFonts w:hint="eastAsia" w:ascii="宋体" w:hAnsi="宋体" w:eastAsia="宋体" w:cs="宋体"/>
                <w:color w:val="auto"/>
                <w:sz w:val="24"/>
                <w:szCs w:val="24"/>
                <w:highlight w:val="none"/>
                <w:lang w:val="en-US" w:eastAsia="zh-CN" w:bidi="ar"/>
              </w:rPr>
              <w:t xml:space="preserve">运维</w:t>
            </w:r>
            <w:r>
              <w:rPr>
                <w:rFonts w:hint="eastAsia" w:ascii="宋体" w:hAnsi="宋体" w:eastAsia="宋体" w:cs="宋体"/>
                <w:color w:val="auto"/>
                <w:sz w:val="24"/>
                <w:szCs w:val="24"/>
                <w:highlight w:val="none"/>
                <w:lang w:bidi="ar"/>
              </w:rPr>
              <w:t xml:space="preserve">费用</w:t>
            </w:r>
            <w:r>
              <w:rPr>
                <w:rFonts w:hint="eastAsia" w:ascii="宋体" w:hAnsi="宋体" w:eastAsia="宋体" w:cs="宋体"/>
                <w:color w:val="auto"/>
                <w:sz w:val="24"/>
                <w:szCs w:val="24"/>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改造路灯</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电缆、补灯杆</w:t>
            </w:r>
            <w:r>
              <w:rPr>
                <w:rFonts w:hint="eastAsia" w:ascii="宋体" w:hAnsi="宋体" w:eastAsia="宋体" w:cs="宋体"/>
                <w:color w:val="auto"/>
                <w:sz w:val="24"/>
                <w:szCs w:val="24"/>
                <w:highlight w:val="none"/>
                <w:lang w:bidi="ar"/>
              </w:rPr>
              <w:t xml:space="preserve">费用（见</w:t>
            </w:r>
            <w:r>
              <w:rPr>
                <w:rFonts w:hint="eastAsia" w:ascii="宋体" w:hAnsi="宋体" w:eastAsia="宋体" w:cs="宋体"/>
                <w:color w:val="auto"/>
                <w:sz w:val="24"/>
                <w:szCs w:val="24"/>
                <w:highlight w:val="none"/>
                <w:lang w:val="en-US" w:eastAsia="zh-CN" w:bidi="ar"/>
              </w:rPr>
              <w:t xml:space="preserve">后附表）集控箱改造、电表改造、接地改造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改造后所用电费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8" w:type="dxa"/>
            <w:vAlign w:val="center"/>
            <w:textDirection w:val="lrTb"/>
            <w:noWrap/>
          </w:tcPr>
          <w:p>
            <w:pPr>
              <w:ind w:left="0" w:right="0" w:firstLine="0"/>
              <w:jc w:val="center"/>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tcPr>
          <w:p>
            <w:pPr>
              <w:ind w:left="0" w:right="0" w:firstLine="0"/>
              <w:jc w:val="right"/>
              <w:spacing w:line="24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ind w:left="0" w:right="0" w:firstLine="0"/>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1159"/>
        <w:jc w:val="center"/>
        <w:spacing w:before="320" w:after="32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改造路灯工程量清单报价表（二）</w:t>
      </w:r>
      <w:r/>
    </w:p>
    <w:tbl>
      <w:tblPr>
        <w:tblStyle w:val="757"/>
        <w:tblpPr w:horzAnchor="page" w:tblpX="1270" w:vertAnchor="text" w:tblpY="377" w:leftFromText="180" w:topFromText="0" w:rightFromText="180" w:bottomFromText="0"/>
        <w:tblW w:w="5029" w:type="pct"/>
        <w:tblInd w:w="0" w:type="dxa"/>
        <w:tblLayout w:type="fixed"/>
        <w:tblCellMar>
          <w:left w:w="108" w:type="dxa"/>
          <w:top w:w="0" w:type="dxa"/>
          <w:right w:w="108" w:type="dxa"/>
          <w:bottom w:w="0" w:type="dxa"/>
        </w:tblCellMar>
        <w:tblLook w:val="04A0" w:firstRow="1" w:lastRow="0" w:firstColumn="1" w:lastColumn="0" w:noHBand="0" w:noVBand="1"/>
      </w:tblPr>
      <w:tblGrid>
        <w:gridCol w:w="837"/>
        <w:gridCol w:w="902"/>
        <w:gridCol w:w="4192"/>
        <w:gridCol w:w="790"/>
        <w:gridCol w:w="1099"/>
        <w:gridCol w:w="791"/>
        <w:gridCol w:w="683"/>
      </w:tblGrid>
      <w:tr>
        <w:trPr>
          <w:trHeight w:val="690"/>
        </w:trPr>
        <w:tc>
          <w:tcPr>
            <w:shd w:val="clear" w:color="auto" w:fill="auto"/>
            <w:tcBorders>
              <w:top w:val="single" w:color="000000" w:sz="8"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bookmarkStart w:id="275" w:name="_Toc25290"/>
            <w:r>
              <w:rPr>
                <w:rFonts w:hint="eastAsia" w:ascii="宋体" w:hAnsi="宋体" w:eastAsia="宋体" w:cs="宋体"/>
                <w:b/>
                <w:bCs/>
                <w:color w:val="auto"/>
                <w:sz w:val="21"/>
                <w:szCs w:val="21"/>
                <w:highlight w:val="none"/>
                <w:lang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项目特征</w:t>
            </w:r>
            <w:r/>
          </w:p>
        </w:tc>
        <w:tc>
          <w:tcPr>
            <w:shd w:val="clear" w:color="auto" w:fill="auto"/>
            <w:tcBorders>
              <w:top w:val="single" w:color="000000" w:sz="8"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工程量</w:t>
            </w:r>
            <w:r/>
          </w:p>
        </w:tc>
        <w:tc>
          <w:tcPr>
            <w:shd w:val="clear" w:color="auto" w:fill="auto"/>
            <w:tcBorders>
              <w:top w:val="single" w:color="000000" w:sz="8" w:space="0"/>
              <w:left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color w:val="auto"/>
                <w:sz w:val="24"/>
                <w:szCs w:val="24"/>
                <w:highlight w:val="none"/>
                <w:lang w:bidi="ar"/>
              </w:rPr>
              <w:t xml:space="preserve">全费用综合单价</w:t>
            </w:r>
            <w:r/>
          </w:p>
        </w:tc>
        <w:tc>
          <w:tcPr>
            <w:shd w:val="clear" w:color="auto" w:fill="auto"/>
            <w:tcBorders>
              <w:top w:val="single" w:color="000000" w:sz="8"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合价</w:t>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none" w:color="000000" w:sz="4" w:space="0"/>
            </w:tcBorders>
            <w:tcW w:w="3756"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北海路路灯改造</w:t>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1、名称：LED单臂路灯2、灯具： AC220V,3000K,LED光源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288.35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渤海路南延路灯改造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10800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LED双臂路灯二</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1、名称：LED双臂路灯二</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3、灯杆h=10m，Q235B钢灯杆热镀锌喷塑,含单灯控制器接口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8"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8"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8"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4264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1182.6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1.C30混凝路灯基础（下口尺寸0.75*0.75m，上口尺寸0.8*0.8m，高度1.5m），含模板搭设与拆除；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东华路路灯改造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1036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黄海路路灯改造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3、灯杆h=11m，Q235B钢灯杆热镀锌喷塑,含单灯控制器接口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AC220V,13000K,LED光源,灯具光通量≥216001m;AC220V,3000K,LED光源,灯具光通量≥216001m;半截光型；AC220V,3000K,LED光源,灯具光通量≥216001m;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青海路南延路灯改造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AC220V,3000K,LED光源,灯具光通量≥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8"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8"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200KVA箱式变压器</w:t>
            </w:r>
            <w:r/>
          </w:p>
        </w:tc>
        <w:tc>
          <w:tcPr>
            <w:shd w:val="clear" w:color="auto" w:fill="auto"/>
            <w:tcBorders>
              <w:top w:val="single" w:color="000000" w:sz="4" w:space="0"/>
              <w:left w:val="single" w:color="000000" w:sz="4" w:space="0"/>
              <w:bottom w:val="single" w:color="000000" w:sz="8"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1.200KVA箱式变压器含附属高压电缆以及其它的全部附属设备安装以及相关调试以及供电局相关外部线路设计费用等。           2.含箱变基础等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3.竣工需要通过供电部门验收，符合供电部门的相关标准要求。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4.200KVA箱式变压器，干式节能型箱变，箱体热镀锌钢板喷塑+防腐木，高压柜进线柜、出线柜、电容柜、PT柜各一，四出；外线图内线图参见供电部门要求核准为准。</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8"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8"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8"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368.65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长江北路路灯改造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灯具光通量≥216001m;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10800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3、灯杆h=10.5m，Q235B钢灯杆热镀锌喷塑,含单灯控制器接口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4795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4850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1475.7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4043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non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长江路（十字港桥-长江北路）路灯改造</w:t>
            </w:r>
            <w:r/>
          </w:p>
        </w:tc>
        <w:tc>
          <w:tcPr>
            <w:shd w:val="clear" w:color="auto" w:fill="auto"/>
            <w:tcBorders>
              <w:top w:val="single" w:color="000000" w:sz="4" w:space="0"/>
              <w:left w:val="single" w:color="000000" w:sz="8"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c>
          <w:tcPr>
            <w:shd w:val="clear" w:color="auto" w:fill="auto"/>
            <w:tcBorders>
              <w:top w:val="single" w:color="000000" w:sz="4" w:space="0"/>
              <w:left w:val="single" w:color="000000" w:sz="8"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1、名称：LED双臂路灯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10800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3、灯杆h=12m，Q235B钢灯杆热镀锌喷塑,含单灯控制器接口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tabs>
                <w:tab w:val="left" w:pos="4830"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1、名称：LED四火中杆灯H=14m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3、H=14m，Q235B钢灯杆热镀锌喷塑，含单灯控制器接口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1、名称：LED三火中杆灯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21600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3、灯杆h=9m，Q235B钢灯杆热镀锌喷塑,含单灯控制器接口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1.名称:路灯计量控制箱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1765mmx950mx550mm,箱内安装单灯集中控制器（上行通信:支持4G无线接口及1000Mbps以太网接口主动连接上级平台系统,下行通信:支持HPLC宽带电力载波通信及2.4G无线双模通信方式,安装在路灯计量控制箱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2、.型号、规格：VV-0.6/1KV-4×35+1×16mm2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8565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1.名称：PE90实壁电力管,允许公差+0~0.03,壁厚5mm,内径∅80mm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DN80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 DN50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2.敷设方式：明敷,配5#5mm厚热镀锌扁钢抱箍支架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2500.25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 拆除</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1.名称:落地式路灯计量控制箱 拆除，撤旧物品运送至甲方指定仓库保存</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人（手）孔井500*500*1000mm</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手孔井500*500*1000mm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1.10cm厚C25混凝土垫层，含模板搭设与拆除；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4.500*500mm成品配筋砼井盖，含配套钢筋砼井圈；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1.10cm厚C15混凝土垫层，含模板搭设与拆除；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2.M10水泥砂浆砌筑MU15砼砖120mm井壁；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3.1.5cm厚1:2.5水水泥砂浆内外抹灰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4.2*M18预埋螺栓，C25砼回填控制箱；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牵拉管2*PE90实壁电力管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牵拉管4*PE90实壁电力管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1、4×PE90实壁电力管,允许公差+0~0.03,壁厚5mm,内径Φ80mm；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2、牵拉施工，工程量按延长米计算；</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路灯基础（LED双臂路灯、LED三火中杆灯）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路灯基础（LED四火中杆灯）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1.C30混凝路灯基础（下口尺寸0.9*0.9m，上口尺寸1*1m，高度1.8m），含模板搭设与拆除；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2.6*M22预埋螺栓，Φ8箍筋固定，含配套螺帽、垫片；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破除及恢复沥青路面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1、沥青路面拆除、垃圾外运、处置；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2、沥青路面恢复，C30砼浇筑恢复路基,加抗裂贴摊铺50mm改性细沥青面层；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破除及恢复道板路面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1、道板路面拆除、垃圾外运、处置；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2、道板路面恢复，C30砼浇筑恢复路基,原状恢复道板面层；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侧分带绿化恢复</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1、侧分带绿化原装恢复；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2、工程量按管沟延长米计量；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景新路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016"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4、整个工程综合考虑，结算不调整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4.挖填土另计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545.8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1598.5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73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h=12m</w:t>
            </w:r>
            <w:r/>
          </w:p>
        </w:tc>
        <w:tc>
          <w:tcPr>
            <w:shd w:val="clear" w:color="auto" w:fill="auto"/>
            <w:tcBorders>
              <w:top w:val="single" w:color="000000" w:sz="4" w:space="0"/>
              <w:left w:val="single" w:color="000000" w:sz="4" w:space="0"/>
              <w:bottom w:val="singl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h=12m,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c>
          <w:tcPr>
            <w:shd w:val="clear" w:color="auto" w:fill="auto"/>
            <w:tcBorders>
              <w:top w:val="single" w:color="000000" w:sz="4" w:space="0"/>
              <w:left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203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h=12m</w:t>
            </w:r>
            <w:r/>
          </w:p>
        </w:tc>
        <w:tc>
          <w:tcPr>
            <w:shd w:val="clear" w:color="auto" w:fill="auto"/>
            <w:tcBorders>
              <w:top w:val="single" w:color="000000" w:sz="4" w:space="0"/>
              <w:left w:val="single" w:color="000000" w:sz="4" w:space="0"/>
              <w:bottom w:val="singl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 h=12m,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挑臂长2.5米(含单灯控制器)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36000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non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LED路灯H=10m</w:t>
            </w:r>
            <w:r/>
          </w:p>
        </w:tc>
        <w:tc>
          <w:tcPr>
            <w:shd w:val="clear" w:color="auto" w:fill="auto"/>
            <w:tcBorders>
              <w:top w:val="single" w:color="000000" w:sz="4" w:space="0"/>
              <w:left w:val="single" w:color="000000" w:sz="4" w:space="0"/>
              <w:bottom w:val="non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1.名称：LED路灯H=10m,挑臂长2.0米(含一拖二单灯控制器)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21600</w:t>
            </w:r>
            <w:r>
              <w:rPr>
                <w:rFonts w:hint="eastAsia" w:ascii="宋体" w:hAnsi="宋体" w:eastAsia="宋体" w:cs="宋体"/>
                <w:color w:val="auto"/>
                <w:sz w:val="21"/>
                <w:szCs w:val="21"/>
                <w:highlight w:val="none"/>
                <w:lang w:bidi="ar"/>
              </w:rPr>
              <w:t xml:space="preserve">1m;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10800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16.含灯杆、灯架、灯具、法兰盘、熔断器、路灯编号及单灯控制器等安装 。</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non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non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 h=12m</w:t>
            </w:r>
            <w:r/>
          </w:p>
        </w:tc>
        <w:tc>
          <w:tcPr>
            <w:shd w:val="clear" w:color="auto" w:fill="auto"/>
            <w:tcBorders>
              <w:top w:val="single" w:color="000000" w:sz="4" w:space="0"/>
              <w:left w:val="single" w:color="000000" w:sz="4" w:space="0"/>
              <w:bottom w:val="non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H=12m,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余方弃置市政综合考虑。</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263.5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朝东圩港路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1、采用欧式箱变,箱变型号为ZBW-160kVA-10/0.4kV(户外型,高压柜为单台环网柜)。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189.7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1448.9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1613.8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LED路灯h=10m</w:t>
            </w:r>
            <w:r/>
          </w:p>
        </w:tc>
        <w:tc>
          <w:tcPr>
            <w:shd w:val="clear" w:color="auto" w:fill="auto"/>
            <w:tcBorders>
              <w:top w:val="single" w:color="000000" w:sz="4" w:space="0"/>
              <w:left w:val="single" w:color="000000" w:sz="4" w:space="0"/>
              <w:bottom w:val="singl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 h=10m,中光束,挑臂长2.0米(含单灯控制器)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H=10m</w:t>
            </w:r>
            <w:r/>
          </w:p>
        </w:tc>
        <w:tc>
          <w:tcPr>
            <w:shd w:val="clear" w:color="auto" w:fill="auto"/>
            <w:tcBorders>
              <w:top w:val="single" w:color="000000" w:sz="4" w:space="0"/>
              <w:left w:val="single" w:color="000000" w:sz="4" w:space="0"/>
              <w:bottom w:val="singl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,H=10m,</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21600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348.4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338.8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段山路</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016"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1、箱式变电站,箱变型号为ZBW-100kVA-10/0.4kV(户外型,高压柜为单台环网柜)。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2、城市照明自动监控系统终端</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安装在箱变内,由路灯管理部门负责安装、调试。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3、指挥信号灯及线路布置另见交通工程有关图纸,本工程仅预留电源及预埋管。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4、箱变低压母排出线应包封绝缘护套。</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5、要求电力调压装置输出自动稳压精度为±2%。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6、要求电力调压装置采用带时钟设置的PLC可编程序控制器,具有精确的额定运行电压时间、经济运行时间、停机时间等参数的设置。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7、各出线回路的漏电断路器的额定剩余电流为150mA,动作时间为0.2s。</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8、无功补偿由厂家配套,应具有动态跟踪分相进行补偿的功能,补偿后功率因数应≥0.9。</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9、本工程采用低压计量，计量系统应由供电部门确认后方可安装。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10、低压配电柜中根据其回路互感器配置电流表。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11、箱变需自带防盗设施。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12、工作内容含变压器及高低压柜等变电站内所有设备及线路的调试。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照明控制柜AL1、AL2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1.名称、型号：照明控制柜AL1、AL2,参考尺寸:(800x500x1600)。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2.端子接线;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3.成品单台系统配置:内配浪涌保护器，箱内按规定配线及配置。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4.柜体用2mm厚Q304不锈钢板制成,防护等级不低于IP54;柜体喷涂户外粉,内外表面颜色按业主要求;柜体要求特殊加工,整体坚固,并要求防水,且绝缘良好。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5.本控制柜对路灯有三种控制方式:现场手动、光时控、三遥远程监控,三种控制方式互相独立,三遥控制可实现远方控制中心统一管理控制,三遥监控终端箱选用产品必须与当地路灯管理部门现行系统兼容。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6、工作内容含送配电装置调试。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1、名称：防火堵洞</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2、材质：防水防火封堵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3、部位：进出线缆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配管SC100</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1.名称：热镀锌钢管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2.规格：SC100*4mm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885.9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配管PE63</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2.规格：De63*4.5mm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5065.6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电力电缆YJV-5X35mm2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1.名称：电力电缆YJV-5X35mm2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电缆终端头5X35mm2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1kV以下干包式电力电缆终端头制安截面5X35mm2(铜芯)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电力电缆YJV-0.6/1kV,5×16mm2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1.名称：电力电缆YJV-0.6/1kV,5×16mm2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5760.3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电缆终端头5×16mm2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1kV以下干包式电力电缆终端头制安截面5×16mm2(铜芯)</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配线BVV-0.5kV-3X2.5mm2</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1.名称：铜芯软导线BVV-0.5kV-3X2.5mm2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2.敷设方式：路灯管内敷设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LED路灯h=10m</w:t>
            </w:r>
            <w:r/>
          </w:p>
        </w:tc>
        <w:tc>
          <w:tcPr>
            <w:shd w:val="clear" w:color="auto" w:fill="auto"/>
            <w:tcBorders>
              <w:top w:val="single" w:color="000000" w:sz="4" w:space="0"/>
              <w:left w:val="single" w:color="000000" w:sz="4" w:space="0"/>
              <w:bottom w:val="singl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1.名称：LED路灯 h=10m,中光束,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挑臂长2.0米(含单灯控制器)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;钢板采用A3板;钢板厚度为4mm,底板厚度为20mm,底板孔距按设计图;灯臂为钢管,直径60mm,壁厚3.5mm。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16.含灯杆、灯架、灯具、法兰盘、熔断器、单灯控制器、路灯编号等安装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 h=12m</w:t>
            </w:r>
            <w:r/>
          </w:p>
        </w:tc>
        <w:tc>
          <w:tcPr>
            <w:shd w:val="clear" w:color="auto" w:fill="auto"/>
            <w:tcBorders>
              <w:top w:val="single" w:color="000000" w:sz="4" w:space="0"/>
              <w:left w:val="single" w:color="000000" w:sz="4" w:space="0"/>
              <w:bottom w:val="singl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1.名称：定向照明灯(LED灯具)H=12m,中光束,</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自带附件(含单灯控制器)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21600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312"/>
        </w:trPr>
        <w:tc>
          <w:tcPr>
            <w:shd w:val="clear" w:color="auto" w:fill="auto"/>
            <w:tcBorders>
              <w:top w:val="single" w:color="000000" w:sz="4" w:space="0"/>
              <w:left w:val="single" w:color="000000" w:sz="8" w:space="0"/>
              <w:bottom w:val="non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定向照明灯(LED灯具) h=12m</w:t>
            </w:r>
            <w:r/>
          </w:p>
        </w:tc>
        <w:tc>
          <w:tcPr>
            <w:shd w:val="clear" w:color="auto" w:fill="auto"/>
            <w:tcBorders>
              <w:top w:val="single" w:color="000000" w:sz="4" w:space="0"/>
              <w:left w:val="single" w:color="000000" w:sz="4" w:space="0"/>
              <w:bottom w:val="none" w:color="000000" w:sz="4" w:space="0"/>
              <w:right w:val="non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1.名称：定向照明灯(LED灯具)H=12m,中光束,自带附件(含一拖三单灯控制器)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2.灯杆为一次成型圆锥型杆,管径219mm,锥度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12:1000 ;钢板采用A3板;钢板厚度为4mm,底板厚度为20mm,底板孔距按设计图。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3.灯杆内外表面均需热镀锌处理后喷白色防紫外线塑层装饰,要求表面光洁圆滑,无针孔蜂窝、无流挂、无剥落现象。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4.灯杆配电门采用不可拆卸合页开门方式,并加装∅4防护链条,采用∅8沉头内三角螺丝上锁,内设置一个专用接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地螺栓,配电门须按设计图加工,要考虑防盗防水功能。灯柱配电门向人行道侧。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5.灯杆配电门内必需配置保险熔断器和接线端子,接线端子为插接式,并且要满足配电接线要求。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6.灯杆焊接部位必需通焊,不允许点焊、虚焊、漏缝,焊口不允许打磨。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7.灯具为高压铸铝一次成型结构,灯具开盖合页应采用灯体外壳一体铸铝成型结构;灯具内外壳表面要求光洁圆滑,无针孔蜂窝,灯具需密封的部位,必需使用耐高温、抗老化的硅胶防护圈</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8.光源采用 </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配线应采用双护套铜芯软导线。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9.灯头座应采用耐高温、抗老化的绝缘材料;灯具反光板应采用高纯度阳极氧化铝板。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10.灯具及灯杆紧固螺钉、螺母、门链条均为不锈钢件。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11.灯杆各部位尺寸详灯具厂家提供的技术资料。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12.施工时应根据实际到货情况核对安装孔位置,如孔位有异,需作相应调整。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13.PE线应与接地片可靠连接;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14.电缆均采用连接端子背靠背栓接,并用热缩套管封闭。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15.具体加工详图由供货厂家完成;施工单位应先提供灯具灯杆样板,待监理及建设单位认可后再采购安装。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16.含灯杆、灯架、灯具、法兰盘、熔断器、路灯编号、单灯控制器、避雷针及避雷引下线等安装 。</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non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挖管沟土方，人工配合机械挖土，沟底需坚固平整。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2352.9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管沟C15混凝土垫层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管沟回填土方，回填土压实系数≥0.85。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2316.4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箱变基础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1.挖土方(机械开挖人工配合)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2.底板、壁板采用C20防水混凝土,抗渗标号S6，无筋(含支模拆模)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3.过梁采用C20防水混凝土,抗渗标号S6，有筋(含支模拆模)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4.面层采用1:2水泥砂浆抹平,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5.通风百叶窗530*200mm(IP23),4个，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7.电缆进出口埋设SC100钢管,进线2根,出线20根,埋设深度不应小于0.5m。施工时钢管两端作成喇叭口并磨光;内壁防腐,外壁防渗漏;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8.L50X50X5热镀锌角钢接地极,长2.5m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9.接地母线,50×5热镀锌扁钢，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控制柜基础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1.挖土方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2.C15砼垫层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3.C20无筋砼基础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4.M16地脚螺丝(镀锌件)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6.接地母线,50×5不锈钢扁钢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路灯基础800*800*2000(h)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路灯基础800*800*2500(h)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1.挖基础土方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2.基础钢筋笼制安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3.M24双螺母地脚螺丝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4.φ20铜包钢接地极,长2.0m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5.接地母线,50×5不锈钢扁钢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6.C25砼基础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7.路灯底法兰盘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8.C20砼盖面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检查井800mmX800mmx1150mm(深)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1、挖基坑土方(人工配合机械)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2、C15代垫层100mm厚(含积水罐)；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3、Mu10页岩砖砌筑井壁（120mm厚）,水泥砂浆强度为M7.5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4、内壁用1:2.5水泥砂浆抹面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5、C25砼井座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6、C25钢筋砼盖板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7、回填土，回填土压实系数≥0.85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接地装置调试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整个工程接地系统调试</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D 江堤路（长江路-福临门工业园东南门）路灯改造</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016"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425"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none" w:color="000000" w:sz="4" w:space="0"/>
            </w:tcBorders>
            <w:tcW w:w="367" w:type="pct"/>
            <w:vAlign w:val="center"/>
            <w:textDirection w:val="lrTb"/>
            <w:noWrap w:val="false"/>
          </w:tcPr>
          <w:p>
            <w:pPr>
              <w:ind w:left="0" w:right="0" w:firstLine="0"/>
              <w:jc w:val="center"/>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1、名称：LED单臂路灯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2、灯具：  AC220V,</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18000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3、灯杆h=7m，Q235B钢灯杆热镀锌喷塑,含单灯控制器接口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4、含路灯接线盒安装，含熔断器 RT-14 6A 220V</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1、角钢接地极（热镀锌角钢，50x50x5，L=2500）制作安装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接地母线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1.名称：户外接地母线敷设-4*40mm2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1.名称:路灯分控箱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2.型号:2mm厚304不锈钢箱体,含系统图所有低压电器,箱体尺寸410mm*400mm*310mm,Q235 DN120钢立柱,热镀锌喷塑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3.规格:控制箱相关电器配置</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1、名称：电缆敷设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2、.型号、规格：VV-0.6/1KV-5x10mm2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路灯接线敷设,护套线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1、名称：路灯接线敷设,护套线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2、规格：BVV-0.45/0.75KV-3×2.5mm2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屏蔽信号线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1.名称：屏蔽信号线KVVP-2x0.75mm2敷设，使用部位为单灯控制器至灯头</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1.名称：PE63实壁电力管,壁厚允许公差+0~0.03,壁厚4mm,内径∅55mm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rPr>
                <w:rFonts w:hint="eastAsia" w:ascii="宋体" w:hAnsi="宋体" w:eastAsia="宋体" w:cs="宋体"/>
                <w:color w:val="auto"/>
                <w:sz w:val="21"/>
                <w:szCs w:val="21"/>
                <w:highlight w:val="none"/>
                <w:vertAlign w:val="superscript"/>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118.63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1.C30混凝路灯基础（下口尺寸0.75*0.75m，上口尺寸0.8*0.8m，高度1.3m），含模板搭设与拆除；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2.4*M20预埋螺栓，Φ8箍筋固定，含配套螺帽、垫片；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路灯分控箱基础，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报价含土方开挖回填等全部内容，投标单位自行勘探现场，综合考虑报价；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破除及恢复砼路面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1、砼路面拆除、垃圾外运、处置；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2、砼路面恢复，C30砼一次性浇筑恢复；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工程量按路面延长米计量；</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电缆拆除</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1、名称：电缆拆除， 撤旧电缆归中标单位所有，运离现场。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天妃路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Style w:val="1095"/>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3.规格:控制箱相关电器配置符合规范要求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left="0"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 </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21600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328.5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德兴路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16200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 </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65"/>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66"/>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both"/>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255.5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南海路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1、名称：LED双臂路灯</w:t>
            </w:r>
            <w:r/>
          </w:p>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18000</w:t>
            </w:r>
            <w:r>
              <w:rPr>
                <w:rFonts w:hint="eastAsia" w:ascii="宋体" w:hAnsi="宋体" w:eastAsia="宋体" w:cs="宋体"/>
                <w:color w:val="auto"/>
                <w:sz w:val="21"/>
                <w:szCs w:val="21"/>
                <w:highlight w:val="none"/>
                <w:lang w:bidi="ar"/>
              </w:rPr>
              <w:t xml:space="preserve">1m;</w:t>
            </w:r>
            <w:r>
              <w:rPr>
                <w:rFonts w:hint="eastAsia" w:ascii="宋体" w:hAnsi="宋体" w:eastAsia="宋体" w:cs="宋体"/>
                <w:color w:val="auto"/>
                <w:sz w:val="21"/>
                <w:szCs w:val="21"/>
                <w:highlight w:val="none"/>
                <w:lang w:bidi="ar"/>
              </w:rPr>
              <w:br/>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7200</w:t>
            </w:r>
            <w:r>
              <w:rPr>
                <w:rFonts w:hint="eastAsia" w:ascii="宋体" w:hAnsi="宋体" w:eastAsia="宋体" w:cs="宋体"/>
                <w:color w:val="auto"/>
                <w:sz w:val="21"/>
                <w:szCs w:val="21"/>
                <w:highlight w:val="none"/>
                <w:lang w:bidi="ar"/>
              </w:rPr>
              <w:t xml:space="preserve">1m;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3、双臂灯杆，杆高9m/6m,自带附件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27000</w:t>
            </w:r>
            <w:r>
              <w:rPr>
                <w:rFonts w:hint="eastAsia" w:ascii="宋体" w:hAnsi="宋体" w:eastAsia="宋体" w:cs="宋体"/>
                <w:color w:val="auto"/>
                <w:sz w:val="21"/>
                <w:szCs w:val="21"/>
                <w:highlight w:val="none"/>
                <w:lang w:bidi="ar"/>
              </w:rPr>
              <w:t xml:space="preserve">1m;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定向照明灯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1、名称：定向照明灯</w:t>
            </w:r>
            <w:r/>
          </w:p>
          <w:p>
            <w:pPr>
              <w:ind w:firstLine="0"/>
              <w:jc w:val="left"/>
              <w:keepLines w:val="0"/>
              <w:keepNext w:val="0"/>
              <w:pageBreakBefore w:val="0"/>
              <w:spacing w:line="340" w:lineRule="exact"/>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2、灯具：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bidi="ar"/>
              </w:rPr>
              <w:t xml:space="preserve"> AC220V,</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000K,LED光源</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bidi="ar"/>
              </w:rPr>
              <w:t xml:space="preserve">灯具光通量≥</w:t>
            </w:r>
            <w:r>
              <w:rPr>
                <w:rFonts w:hint="eastAsia" w:ascii="宋体" w:hAnsi="宋体" w:cs="宋体"/>
                <w:color w:val="auto"/>
                <w:sz w:val="21"/>
                <w:szCs w:val="21"/>
                <w:highlight w:val="none"/>
                <w:lang w:val="en-US" w:eastAsia="zh-CN" w:bidi="ar"/>
              </w:rPr>
              <w:t xml:space="preserve">32400</w:t>
            </w:r>
            <w:r>
              <w:rPr>
                <w:rFonts w:hint="eastAsia" w:ascii="宋体" w:hAnsi="宋体" w:eastAsia="宋体" w:cs="宋体"/>
                <w:color w:val="auto"/>
                <w:sz w:val="21"/>
                <w:szCs w:val="21"/>
                <w:highlight w:val="none"/>
                <w:lang w:bidi="ar"/>
              </w:rPr>
              <w:t xml:space="preserve">1m</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3、定向照明灯杆灯杆h=12m,自带附件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拆除旧路灯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bidi="ar"/>
              </w:rPr>
              <w:t xml:space="preserve">1、项目名称：拆除旧路灯，撤旧器材归中标单位运离现场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2、相关路灯型号投标单位现场核实</w:t>
            </w: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549"/>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2、.型号、规格：YJV-0.6/1KV-5x16mm2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 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巡逻道</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 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LED交会处路灯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1、名称：LED交会处路灯</w:t>
            </w:r>
            <w:r/>
          </w:p>
          <w:p>
            <w:pPr>
              <w:pStyle w:val="772"/>
              <w:rPr>
                <w:rFonts w:hint="eastAsia"/>
                <w:color w:val="auto"/>
                <w:lang w:val="en-US" w:eastAsia="zh-CN"/>
              </w:rPr>
            </w:pPr>
            <w:r>
              <w:rPr>
                <w:rFonts w:hint="eastAsia"/>
                <w:color w:val="auto"/>
                <w:lang w:val="en-US" w:eastAsia="zh-CN"/>
              </w:rPr>
              <w:t xml:space="preserve">2、灯具： </w:t>
            </w:r>
            <w:r>
              <w:rPr>
                <w:rFonts w:hint="eastAsia"/>
                <w:color w:val="auto"/>
              </w:rPr>
              <w:t xml:space="preserve"> AC220V,</w:t>
            </w:r>
            <w:r>
              <w:rPr>
                <w:rFonts w:hint="eastAsia"/>
                <w:color w:val="auto"/>
                <w:lang w:val="en-US" w:eastAsia="zh-CN"/>
              </w:rPr>
              <w:t xml:space="preserve">3</w:t>
            </w:r>
            <w:r>
              <w:rPr>
                <w:rFonts w:hint="eastAsia"/>
                <w:color w:val="auto"/>
              </w:rPr>
              <w:t xml:space="preserve">000K,LED光源</w:t>
            </w:r>
            <w:r>
              <w:rPr>
                <w:rFonts w:hint="eastAsia"/>
                <w:color w:val="auto"/>
                <w:lang w:val="en-US" w:eastAsia="zh-CN"/>
              </w:rPr>
              <w:t xml:space="preserve"> </w:t>
            </w:r>
            <w:r>
              <w:rPr>
                <w:rFonts w:hint="eastAsia"/>
                <w:color w:val="auto"/>
              </w:rPr>
              <w:t xml:space="preserve">灯具光通量≥</w:t>
            </w:r>
            <w:r>
              <w:rPr>
                <w:rFonts w:hint="eastAsia"/>
                <w:color w:val="auto"/>
                <w:lang w:val="en-US" w:eastAsia="zh-CN"/>
              </w:rPr>
              <w:t xml:space="preserve">18000</w:t>
            </w:r>
            <w:r>
              <w:rPr>
                <w:rFonts w:hint="eastAsia"/>
                <w:color w:val="auto"/>
              </w:rPr>
              <w:t xml:space="preserve">1m;</w:t>
            </w:r>
            <w:r/>
          </w:p>
          <w:p>
            <w:pPr>
              <w:pStyle w:val="772"/>
              <w:rPr>
                <w:rFonts w:hint="eastAsia"/>
                <w:color w:val="auto"/>
                <w:lang w:val="en-US" w:eastAsia="zh-CN"/>
              </w:rPr>
            </w:pPr>
            <w:r>
              <w:rPr>
                <w:rFonts w:hint="eastAsia"/>
                <w:color w:val="auto"/>
                <w:lang w:val="en-US" w:eastAsia="zh-CN"/>
              </w:rPr>
              <w:t xml:space="preserve">3、灯杆h=12m，挑臂长2.0米,仰角10度,自带附件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LED交会处路灯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1、名称：LED交会处路灯</w:t>
            </w:r>
            <w:r/>
          </w:p>
          <w:p>
            <w:pPr>
              <w:pStyle w:val="772"/>
              <w:rPr>
                <w:rFonts w:hint="eastAsia"/>
                <w:color w:val="auto"/>
                <w:lang w:val="en-US" w:eastAsia="zh-CN"/>
              </w:rPr>
            </w:pPr>
            <w:r>
              <w:rPr>
                <w:rFonts w:hint="eastAsia"/>
                <w:color w:val="auto"/>
                <w:lang w:val="en-US" w:eastAsia="zh-CN"/>
              </w:rPr>
              <w:t xml:space="preserve">2、灯具：</w:t>
            </w:r>
            <w:r>
              <w:rPr>
                <w:rFonts w:hint="eastAsia"/>
                <w:color w:val="auto"/>
              </w:rPr>
              <w:t xml:space="preserve"> AC220V,</w:t>
            </w:r>
            <w:r>
              <w:rPr>
                <w:rFonts w:hint="eastAsia"/>
                <w:color w:val="auto"/>
                <w:lang w:val="en-US" w:eastAsia="zh-CN"/>
              </w:rPr>
              <w:t xml:space="preserve">3</w:t>
            </w:r>
            <w:r>
              <w:rPr>
                <w:rFonts w:hint="eastAsia"/>
                <w:color w:val="auto"/>
              </w:rPr>
              <w:t xml:space="preserve">000K,LED光源</w:t>
            </w:r>
            <w:r>
              <w:rPr>
                <w:rFonts w:hint="eastAsia"/>
                <w:color w:val="auto"/>
                <w:lang w:val="en-US" w:eastAsia="zh-CN"/>
              </w:rPr>
              <w:t xml:space="preserve"> </w:t>
            </w:r>
            <w:r>
              <w:rPr>
                <w:rFonts w:hint="eastAsia"/>
                <w:color w:val="auto"/>
              </w:rPr>
              <w:t xml:space="preserve">灯具光通量≥</w:t>
            </w:r>
            <w:r>
              <w:rPr>
                <w:rFonts w:hint="eastAsia"/>
                <w:color w:val="auto"/>
                <w:lang w:val="en-US" w:eastAsia="zh-CN"/>
              </w:rPr>
              <w:t xml:space="preserve">18000</w:t>
            </w:r>
            <w:r>
              <w:rPr>
                <w:rFonts w:hint="eastAsia"/>
                <w:color w:val="auto"/>
              </w:rPr>
              <w:t xml:space="preserve">1m;</w:t>
            </w:r>
            <w:r/>
          </w:p>
          <w:p>
            <w:pPr>
              <w:pStyle w:val="772"/>
              <w:rPr>
                <w:rFonts w:hint="eastAsia"/>
                <w:color w:val="auto"/>
                <w:lang w:val="en-US" w:eastAsia="zh-CN"/>
              </w:rPr>
            </w:pPr>
            <w:r>
              <w:rPr>
                <w:rFonts w:hint="eastAsia"/>
                <w:color w:val="auto"/>
                <w:lang w:val="en-US" w:eastAsia="zh-CN"/>
              </w:rPr>
              <w:t xml:space="preserve">3、灯杆h=10m</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1、名称：LED单臂路灯</w:t>
            </w:r>
            <w:r/>
          </w:p>
          <w:p>
            <w:pPr>
              <w:pStyle w:val="772"/>
              <w:rPr>
                <w:rFonts w:hint="eastAsia"/>
                <w:color w:val="auto"/>
                <w:lang w:val="en-US" w:eastAsia="zh-CN"/>
              </w:rPr>
            </w:pPr>
            <w:r>
              <w:rPr>
                <w:rFonts w:hint="eastAsia"/>
                <w:color w:val="auto"/>
                <w:lang w:val="en-US" w:eastAsia="zh-CN"/>
              </w:rPr>
              <w:t xml:space="preserve">2、灯具：</w:t>
            </w:r>
            <w:r>
              <w:rPr>
                <w:rFonts w:hint="eastAsia"/>
                <w:color w:val="auto"/>
              </w:rPr>
              <w:t xml:space="preserve"> AC220V,</w:t>
            </w:r>
            <w:r>
              <w:rPr>
                <w:rFonts w:hint="eastAsia"/>
                <w:color w:val="auto"/>
                <w:lang w:val="en-US" w:eastAsia="zh-CN"/>
              </w:rPr>
              <w:t xml:space="preserve">3</w:t>
            </w:r>
            <w:r>
              <w:rPr>
                <w:rFonts w:hint="eastAsia"/>
                <w:color w:val="auto"/>
              </w:rPr>
              <w:t xml:space="preserve">000K,LED光源</w:t>
            </w:r>
            <w:r>
              <w:rPr>
                <w:rFonts w:hint="eastAsia"/>
                <w:color w:val="auto"/>
                <w:lang w:val="en-US" w:eastAsia="zh-CN"/>
              </w:rPr>
              <w:t xml:space="preserve"> </w:t>
            </w:r>
            <w:r>
              <w:rPr>
                <w:rFonts w:hint="eastAsia"/>
                <w:color w:val="auto"/>
              </w:rPr>
              <w:t xml:space="preserve">灯具光通量≥</w:t>
            </w:r>
            <w:r>
              <w:rPr>
                <w:rFonts w:hint="eastAsia"/>
                <w:color w:val="auto"/>
                <w:lang w:val="en-US" w:eastAsia="zh-CN"/>
              </w:rPr>
              <w:t xml:space="preserve">5400</w:t>
            </w:r>
            <w:r>
              <w:rPr>
                <w:rFonts w:hint="eastAsia"/>
                <w:color w:val="auto"/>
              </w:rPr>
              <w:t xml:space="preserve">1m;</w:t>
            </w:r>
            <w:r/>
          </w:p>
          <w:p>
            <w:pPr>
              <w:pStyle w:val="772"/>
              <w:rPr>
                <w:rFonts w:hint="eastAsia"/>
                <w:color w:val="auto"/>
                <w:lang w:val="en-US" w:eastAsia="zh-CN"/>
              </w:rPr>
            </w:pPr>
            <w:r>
              <w:rPr>
                <w:rFonts w:hint="eastAsia"/>
                <w:color w:val="auto"/>
                <w:lang w:val="en-US" w:eastAsia="zh-CN"/>
              </w:rPr>
              <w:t xml:space="preserve">3、灯杆h=6m</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pStyle w:val="772"/>
              <w:rPr>
                <w:rFonts w:hint="eastAsia"/>
                <w:color w:val="auto"/>
                <w:lang w:val="en-US" w:eastAsia="zh-CN"/>
              </w:rPr>
            </w:pPr>
            <w:r>
              <w:rPr>
                <w:rFonts w:hint="eastAsia"/>
                <w:color w:val="auto"/>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路灯基础800mmX800mm*2000mm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 </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1.名称：镀锌钢管 SC 100  4mm厚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2.敷设方式：埋地敷设（过接管）</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箱式变压器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1、箱式变电站,箱变型号为ZBW-100kVA-10/0.4kV(户外型,高压柜为单台环网柜)。</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2、城市照明自动监控系统终端</w:t>
            </w:r>
            <w:r>
              <w:rPr>
                <w:rFonts w:hint="eastAsia" w:ascii="宋体" w:hAnsi="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安装在箱变内,由路灯管理部门负责安装、调试。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3、指挥信号灯及线路布置另见交通工程有关图纸,本工程仅预留电源及预埋管。</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4、箱变低压母排出线应包封绝缘护套。</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5、要求电力调压装置输出自动稳压精度为±2%。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6、要求电力调压装置采用带时钟设置的PLC可编程序控制器,具有精确的额定运行电压时间、经济运行时间、停机时间等参数的设置。</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7、各出线回路的漏电断路器的额定剩余电流为150mA,动作时间为0.2s。</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8、无功补偿由厂家配套,应具有动态跟踪分相进行补偿的功能,补偿后功率因数应≥0.9。</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9、本工程采用低压计量，计量系统应由供电部门确认后方可安装。</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10、低压配电柜中根据其回路互感器配置电流表。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11、箱变需自带防盗设施。</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12、工作内容含变压器及高低压柜等变电站内所有设备及线路的调试。</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13、报价含箱变基础，含附属高压电缆以及其它的全部附属设备安装以及相关调试以及供电局相关外部线路设计费用等。竣工需要通过供电部门验收，符合供电部门的相关标准要求。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31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gridSpan w:val="5"/>
            <w:shd w:val="clear" w:color="auto" w:fill="auto"/>
            <w:tcBorders>
              <w:top w:val="single" w:color="000000" w:sz="4" w:space="0"/>
              <w:left w:val="single" w:color="000000" w:sz="8" w:space="0"/>
              <w:bottom w:val="single" w:color="000000" w:sz="4" w:space="0"/>
              <w:right w:val="singl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纬六路</w:t>
            </w:r>
            <w:r/>
          </w:p>
        </w:tc>
        <w:tc>
          <w:tcPr>
            <w:shd w:val="clear" w:color="auto" w:fill="auto"/>
            <w:tcBorders>
              <w:top w:val="single" w:color="000000" w:sz="4" w:space="0"/>
              <w:left w:val="single" w:color="000000" w:sz="8"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8"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1.名称:路灯计量控制箱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2.型号:2mm厚304不锈钢箱体,含系统图所有低压电器</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3.规格:控制箱相关电器配置，满足规范要求</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路灯计量控制箱基础</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1.10cm厚C15混凝土垫层，含模板搭设与拆除；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2.M10水泥砂浆砌筑MU15砼砖120mm井壁；</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3.1.5cm厚1:2.5水水泥砂浆内外抹灰</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4.2*M18预埋螺栓，C25砼回填控制箱；</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1、名称：LED单臂路灯</w:t>
            </w:r>
            <w:r/>
          </w:p>
          <w:p>
            <w:pPr>
              <w:pStyle w:val="772"/>
              <w:ind w:left="0" w:firstLine="0"/>
              <w:rPr>
                <w:rFonts w:hint="default"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2、灯具： </w:t>
            </w:r>
            <w:r>
              <w:rPr>
                <w:rFonts w:hint="eastAsia"/>
                <w:color w:val="auto"/>
              </w:rPr>
              <w:t xml:space="preserve"> AC220V,</w:t>
            </w:r>
            <w:r>
              <w:rPr>
                <w:rFonts w:hint="eastAsia"/>
                <w:color w:val="auto"/>
                <w:lang w:val="en-US" w:eastAsia="zh-CN"/>
              </w:rPr>
              <w:t xml:space="preserve">3</w:t>
            </w:r>
            <w:r>
              <w:rPr>
                <w:rFonts w:hint="eastAsia"/>
                <w:color w:val="auto"/>
              </w:rPr>
              <w:t xml:space="preserve">000K,LED光源</w:t>
            </w:r>
            <w:r>
              <w:rPr>
                <w:rFonts w:hint="eastAsia"/>
                <w:color w:val="auto"/>
                <w:lang w:val="en-US" w:eastAsia="zh-CN"/>
              </w:rPr>
              <w:t xml:space="preserve"> </w:t>
            </w:r>
            <w:r>
              <w:rPr>
                <w:rFonts w:hint="eastAsia"/>
                <w:color w:val="auto"/>
              </w:rPr>
              <w:t xml:space="preserve">灯具光通量≥</w:t>
            </w:r>
            <w:r>
              <w:rPr>
                <w:rFonts w:hint="eastAsia"/>
                <w:color w:val="auto"/>
                <w:lang w:val="en-US" w:eastAsia="zh-CN"/>
              </w:rPr>
              <w:t xml:space="preserve">18000</w:t>
            </w:r>
            <w:r>
              <w:rPr>
                <w:rFonts w:hint="eastAsia"/>
                <w:color w:val="auto"/>
              </w:rPr>
              <w:t xml:space="preserve">1m;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3、灯杆h=12m，挑臂长2.0米,灯杆间距35米,仰角10度,自带附件</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手孔井800mmX800mm（过街井）。报价含含土方开挖回填等全部内容，投标单位自行勘探现场，综合考虑报价。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1、名称：单灯控制器安装，通讯方式:4G Cat.1通讯方式,安装在灯具内或灯杆检修门内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 6</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单灯集中控制器</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单灯集中控制器（上行通信:支持4G无线接口及1000Mbps以太网接口主动连接上级平台系统,下行通信:支持HPLC宽带电力载波通信及2.4G无线双模通信方式,安装在路灯计量控制箱内），安装于路灯计量箱内，实现相关集中控制功能</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路灯基础800mmX800mm*2500mm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1.C30混凝土路灯基础，含模板搭设与拆除；</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2.4*M20预埋螺栓，Φ8箍筋固定，含配套螺帽、垫片；</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3.含土方开挖回填等全部内容，投标单位自行勘探现场，综合考虑报价；</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1、名称：电缆敷设</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2、.型号、规格：YJV-0.6/1KV-5x16mm2</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686"/>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护套线</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1、名称：路灯接线敷设,护套线</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2、规格：BVV-0.5KV-3×2.5mm2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接地母线-不锈钢扁钢</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1.名称：户外接地母线敷设(-不锈钢扁钢)-50*5mm2</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铜包钢接地极</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1、铜包钢接地极（2.0m,φ20）制作安装</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1.名称：PE63实壁电力管,壁厚允许公差+0~0.03,壁厚4mm,内径∅55mm</w:t>
            </w:r>
            <w:r/>
          </w:p>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2.敷设方式：埋地敷设</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0"/>
        </w:trPr>
        <w:tc>
          <w:tcPr>
            <w:shd w:val="clear" w:color="auto" w:fill="auto"/>
            <w:tcBorders>
              <w:top w:val="single" w:color="000000" w:sz="4" w:space="0"/>
              <w:left w:val="single" w:color="000000" w:sz="8" w:space="0"/>
              <w:bottom w:val="single" w:color="000000" w:sz="4" w:space="0"/>
              <w:right w:val="single" w:color="000000" w:sz="4" w:space="0"/>
            </w:tcBorders>
            <w:tcW w:w="450"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管沟土方</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val="false"/>
          </w:tcPr>
          <w:p>
            <w:pPr>
              <w:ind w:firstLine="0"/>
              <w:jc w:val="left"/>
              <w:keepLines w:val="0"/>
              <w:keepNext w:val="0"/>
              <w:pageBreakBefore w:val="0"/>
              <w:spacing w:line="34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1.管沟土方  (挖沟，回填土)</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M</w:t>
            </w:r>
            <w:r>
              <w:rPr>
                <w:rFonts w:hint="eastAsia" w:ascii="宋体" w:hAnsi="宋体" w:eastAsia="宋体" w:cs="宋体"/>
                <w:color w:val="auto"/>
                <w:sz w:val="21"/>
                <w:szCs w:val="21"/>
                <w:highlight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420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所有路灯涉及的路灯用电申请</w:t>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路灯用电申请，含供电公司提供表箱(三相)</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255" w:type="pct"/>
            <w:vAlign w:val="center"/>
            <w:textDirection w:val="lrTb"/>
            <w:noWrap/>
          </w:tcPr>
          <w:p>
            <w:pPr>
              <w:ind w:left="0" w:right="0" w:firstLine="0"/>
              <w:jc w:val="left"/>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425"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ind w:left="0" w:right="0" w:firstLine="0"/>
              <w:jc w:val="center"/>
              <w:keepLines w:val="0"/>
              <w:keepNext w:val="0"/>
              <w:pageBreakBefore w:val="0"/>
              <w:spacing w:line="34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pStyle w:val="1263"/>
        <w:rPr>
          <w:rStyle w:val="992"/>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bidi="ar"/>
        </w:rPr>
        <w:t xml:space="preserve">全费用单价人工、材料、机械、管理费、利润、税金及所有措施项目费、规费、风险费。</w:t>
      </w:r>
      <w:bookmarkEnd w:id="275"/>
      <w:r/>
      <w:r/>
    </w:p>
    <w:p>
      <w:pPr>
        <w:pStyle w:val="1263"/>
        <w:rPr>
          <w:rStyle w:val="992"/>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1263"/>
        <w:rPr>
          <w:rStyle w:val="992"/>
          <w:color w:val="auto"/>
          <w:highlight w:val="none"/>
        </w:rPr>
        <w:outlineLvl w:val="0"/>
      </w:pPr>
      <w:r>
        <w:rPr>
          <w:color w:val="auto"/>
          <w:highlight w:val="none"/>
        </w:rPr>
      </w:r>
      <w:r/>
    </w:p>
    <w:p>
      <w:pPr>
        <w:pStyle w:val="1263"/>
        <w:rPr>
          <w:rStyle w:val="992"/>
          <w:color w:val="auto"/>
          <w:highlight w:val="none"/>
        </w:rPr>
        <w:outlineLvl w:val="0"/>
      </w:pPr>
      <w:r>
        <w:rPr>
          <w:color w:val="auto"/>
          <w:highlight w:val="none"/>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1159"/>
        <w:ind w:firstLine="0"/>
        <w:jc w:val="center"/>
        <w:spacing w:before="320" w:after="32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路灯补杆清单报价表（三）</w:t>
      </w:r>
      <w:r/>
    </w:p>
    <w:tbl>
      <w:tblPr>
        <w:tblStyle w:val="757"/>
        <w:tblW w:w="488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7"/>
        <w:gridCol w:w="901"/>
        <w:gridCol w:w="1180"/>
        <w:gridCol w:w="3389"/>
        <w:gridCol w:w="410"/>
        <w:gridCol w:w="811"/>
        <w:gridCol w:w="945"/>
        <w:gridCol w:w="873"/>
      </w:tblGrid>
      <w:tr>
        <w:trPr>
          <w:jc w:val="center"/>
          <w:trHeight w:val="0"/>
        </w:trPr>
        <w:tc>
          <w:tcPr>
            <w:shd w:val="clear" w:color="auto" w:fill="auto"/>
            <w:tcBorders>
              <w:top w:val="single" w:color="000000" w:sz="4" w:space="0"/>
              <w:left w:val="single" w:color="000000" w:sz="4" w:space="0"/>
              <w:bottom w:val="non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道路名称</w:t>
            </w:r>
            <w:r/>
          </w:p>
        </w:tc>
        <w:tc>
          <w:tcPr>
            <w:shd w:val="clear" w:color="auto" w:fill="auto"/>
            <w:tcBorders>
              <w:top w:val="single" w:color="000000" w:sz="4" w:space="0"/>
              <w:left w:val="single" w:color="000000" w:sz="4" w:space="0"/>
              <w:bottom w:val="non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特征描述</w:t>
            </w:r>
            <w:r/>
          </w:p>
        </w:tc>
        <w:tc>
          <w:tcPr>
            <w:shd w:val="clear" w:color="auto" w:fill="auto"/>
            <w:tcBorders>
              <w:top w:val="single" w:color="000000" w:sz="4" w:space="0"/>
              <w:left w:val="single" w:color="000000" w:sz="4" w:space="0"/>
              <w:bottom w:val="non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单位</w:t>
            </w:r>
            <w:r/>
          </w:p>
        </w:tc>
        <w:tc>
          <w:tcPr>
            <w:shd w:val="clear" w:color="auto" w:fill="auto"/>
            <w:tcBorders>
              <w:top w:val="single" w:color="000000" w:sz="4" w:space="0"/>
              <w:left w:val="single" w:color="000000" w:sz="4" w:space="0"/>
              <w:bottom w:val="non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工程量</w:t>
            </w:r>
            <w:r/>
          </w:p>
        </w:tc>
        <w:tc>
          <w:tcPr>
            <w:shd w:val="clear" w:color="auto" w:fill="auto"/>
            <w:tcBorders>
              <w:top w:val="single" w:color="000000" w:sz="4" w:space="0"/>
              <w:left w:val="single" w:color="000000" w:sz="4" w:space="0"/>
              <w:bottom w:val="non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全费用综合单价</w:t>
            </w:r>
            <w:r/>
          </w:p>
        </w:tc>
        <w:tc>
          <w:tcPr>
            <w:shd w:val="clear" w:color="auto" w:fill="auto"/>
            <w:tcBorders>
              <w:top w:val="single" w:color="000000" w:sz="4" w:space="0"/>
              <w:left w:val="single" w:color="000000" w:sz="4" w:space="0"/>
              <w:bottom w:val="non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合价</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福建路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,3000K，LED光源，H=8.5m，Q235B钢灯杆热镀锌喷塑，壁厚4mm，含单灯控制器、基础及管线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中华路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36000lm+7200lm</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东新路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,14400lm</w:t>
            </w:r>
            <w:r>
              <w:rPr>
                <w:rFonts w:hint="default"/>
                <w:color w:val="auto"/>
                <w:highlight w:val="none"/>
                <w:lang w:val="en-US" w:eastAsia="zh-CN"/>
              </w:rPr>
              <w:t xml:space="preserve">,3000K，LED光源，H=10m，Q235B钢灯杆热镀锌喷塑，壁厚4mm，含单灯控制器、基础及管线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27000lm+7200lm</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18000lm+7200lm</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27000lm+7200lm</w:t>
            </w:r>
            <w:r>
              <w:rPr>
                <w:rFonts w:hint="default"/>
                <w:color w:val="auto"/>
                <w:highlight w:val="none"/>
                <w:lang w:val="en-US" w:eastAsia="zh-CN"/>
              </w:rPr>
              <w:t xml:space="preserve">,4000K，LED光源，H=12.5m，Q235B钢灯杆热镀锌喷塑，壁厚4mm，含单灯控制器、基础及管线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45000lm+7200lm</w:t>
            </w:r>
            <w:r>
              <w:rPr>
                <w:rFonts w:hint="default"/>
                <w:color w:val="auto"/>
                <w:highlight w:val="none"/>
                <w:lang w:val="en-US" w:eastAsia="zh-CN"/>
              </w:rPr>
              <w:t xml:space="preserve">,4000K，LED光源，H=12m，Q235B钢灯杆热镀锌喷塑，壁厚4mm，含单灯控制器、基础及管线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港丰公路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45000lm</w:t>
            </w:r>
            <w:r>
              <w:rPr>
                <w:rFonts w:hint="default"/>
                <w:color w:val="auto"/>
                <w:highlight w:val="none"/>
                <w:lang w:val="en-US" w:eastAsia="zh-CN"/>
              </w:rPr>
              <w:t xml:space="preserve">,4000K，LED光源，H=13m，Q235B钢灯杆热镀锌喷塑，壁厚4mm，含单灯控制器、基础及管线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27000lm</w:t>
            </w:r>
            <w:r>
              <w:rPr>
                <w:rFonts w:hint="default"/>
                <w:color w:val="auto"/>
                <w:highlight w:val="none"/>
                <w:lang w:val="en-US" w:eastAsia="zh-CN"/>
              </w:rPr>
              <w:t xml:space="preserve">,4000K，LED光源，H=9.5m，Q235B钢灯杆热镀锌喷塑，壁厚4mm，含单灯控制器、基础及管线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both"/>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32400lm+7200lm</w:t>
            </w:r>
            <w:r>
              <w:rPr>
                <w:rFonts w:hint="default"/>
                <w:color w:val="auto"/>
                <w:highlight w:val="none"/>
                <w:lang w:val="en-US" w:eastAsia="zh-CN"/>
              </w:rPr>
              <w:t xml:space="preserve">,4000K，LED光源，H=11.5m，Q235B钢灯杆热镀锌喷塑，壁厚4mm，含单灯控制器、基础及管线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18000lm</w:t>
            </w:r>
            <w:r>
              <w:rPr>
                <w:rFonts w:hint="default"/>
                <w:color w:val="auto"/>
                <w:highlight w:val="none"/>
                <w:lang w:val="en-US" w:eastAsia="zh-CN"/>
              </w:rPr>
              <w:t xml:space="preserve">+</w:t>
            </w:r>
            <w:r>
              <w:rPr>
                <w:rFonts w:hint="eastAsia"/>
                <w:color w:val="auto"/>
                <w:highlight w:val="none"/>
                <w:lang w:val="en-US" w:eastAsia="zh-CN"/>
              </w:rPr>
              <w:t xml:space="preserve">7200lm</w:t>
            </w:r>
            <w:r>
              <w:rPr>
                <w:rFonts w:hint="default"/>
                <w:color w:val="auto"/>
                <w:highlight w:val="none"/>
                <w:lang w:val="en-US" w:eastAsia="zh-CN"/>
              </w:rPr>
              <w:t xml:space="preserve">,4000K，LED光源，H=9.5m，Q235B钢灯杆热镀锌喷塑，壁厚4mm，含单灯控制器、基础及管线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18000lm</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潘港南路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27000lm</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14400lm+7200lm ,</w:t>
            </w:r>
            <w:r>
              <w:rPr>
                <w:rFonts w:hint="default"/>
                <w:color w:val="auto"/>
                <w:highlight w:val="none"/>
                <w:lang w:val="en-US" w:eastAsia="zh-CN"/>
              </w:rPr>
              <w:t xml:space="preserve">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岭南路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 </w:t>
            </w:r>
            <w:r>
              <w:rPr>
                <w:rFonts w:hint="default"/>
                <w:color w:val="auto"/>
                <w:highlight w:val="none"/>
                <w:lang w:val="en-US" w:eastAsia="zh-CN"/>
              </w:rPr>
              <w:t xml:space="preserve">,3000K，LED光源，杆高、材质、壁厚、灯杆颜色等参数与现状路灯一致，含单灯控制器、基础及管线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香南西路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LED双臂路灯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21600lm</w:t>
            </w:r>
            <w:r>
              <w:rPr>
                <w:rFonts w:hint="default"/>
                <w:color w:val="auto"/>
                <w:highlight w:val="none"/>
                <w:lang w:val="en-US" w:eastAsia="zh-CN"/>
              </w:rPr>
              <w:t xml:space="preserve">+</w:t>
            </w:r>
            <w:r>
              <w:rPr>
                <w:rFonts w:hint="eastAsia"/>
                <w:color w:val="auto"/>
                <w:highlight w:val="none"/>
                <w:lang w:val="en-US" w:eastAsia="zh-CN"/>
              </w:rPr>
              <w:t xml:space="preserve">7200lm</w:t>
            </w:r>
            <w:r>
              <w:rPr>
                <w:rFonts w:hint="default"/>
                <w:color w:val="auto"/>
                <w:highlight w:val="none"/>
                <w:lang w:val="en-US" w:eastAsia="zh-CN"/>
              </w:rPr>
              <w:t xml:space="preserve">,4000K，LED光源，杆高、材质、壁厚、灯杆颜色等参数与现状路灯一致，含单灯控制器、基础及管线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镇山路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18000lm </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宝岛路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14400lm</w:t>
            </w:r>
            <w:r>
              <w:rPr>
                <w:rFonts w:hint="default"/>
                <w:color w:val="auto"/>
                <w:highlight w:val="none"/>
                <w:lang w:val="en-US" w:eastAsia="zh-CN"/>
              </w:rPr>
              <w:t xml:space="preserve">,3000K，LED光源，H=9m，Q235B钢灯杆热镀锌喷塑，壁厚4mm，含单灯控制器、基础及管线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文星南路匝道</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14400lm</w:t>
            </w:r>
            <w:r>
              <w:rPr>
                <w:rFonts w:hint="default"/>
                <w:color w:val="auto"/>
                <w:highlight w:val="none"/>
                <w:lang w:val="en-US" w:eastAsia="zh-CN"/>
              </w:rPr>
              <w:t xml:space="preserve">,4000K，LED光源，H=9m，Q235B钢灯杆热镀锌喷塑，壁厚4mm，含单灯控制器、基础及管线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健康南路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 </w:t>
            </w:r>
            <w:r>
              <w:rPr>
                <w:rFonts w:hint="default"/>
                <w:color w:val="auto"/>
                <w:highlight w:val="none"/>
                <w:lang w:val="en-US" w:eastAsia="zh-CN"/>
              </w:rPr>
              <w:t xml:space="preserve">,3000K，LED光源，H=7.5m，Q235B钢灯杆热镀锌喷塑，壁厚4mm，含单灯控制器、基础及管线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双河路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晨德路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LED单臂路灯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14400lm</w:t>
            </w:r>
            <w:r>
              <w:rPr>
                <w:rFonts w:hint="default"/>
                <w:color w:val="auto"/>
                <w:highlight w:val="none"/>
                <w:lang w:val="en-US" w:eastAsia="zh-CN"/>
              </w:rPr>
              <w:t xml:space="preserve">,3000K，LED光源，H=6m，Q235B钢灯杆热镀锌喷塑，壁厚4mm，含单灯控制器、基础及管线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兴港路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AC220V，18000lm+3*10800lm+18*1875lm,4000K，LED光源，杆高、材质、壁厚、灯杆颜色等参数与现状路灯一致，含单灯控制器、基础及管线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造型灯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AC220V，36000lm+3*18000lm+18*1875lm</w:t>
            </w:r>
            <w:r>
              <w:rPr>
                <w:rFonts w:hint="eastAsia"/>
                <w:color w:val="auto"/>
                <w:highlight w:val="none"/>
                <w:lang w:val="en-US" w:eastAsia="zh-CN"/>
              </w:rPr>
              <w:t xml:space="preserve">,</w:t>
            </w:r>
            <w:r>
              <w:rPr>
                <w:rFonts w:hint="default"/>
                <w:color w:val="auto"/>
                <w:highlight w:val="none"/>
                <w:lang w:val="en-US" w:eastAsia="zh-CN"/>
              </w:rPr>
              <w:t xml:space="preserve">4000K，LED光源，杆高、材质、壁厚、灯杆颜色等参数与现状路灯一致，含单灯控制器、基础及管线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虎苑路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西墩路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10800lm</w:t>
            </w:r>
            <w:r>
              <w:rPr>
                <w:rFonts w:hint="default"/>
                <w:color w:val="auto"/>
                <w:highlight w:val="none"/>
                <w:lang w:val="en-US" w:eastAsia="zh-CN"/>
              </w:rPr>
              <w:t xml:space="preserve">,3000K，LED光源，尺寸按实际，Q235B,热镀锌喷塑，壁厚4mm，含热镀锌抱箍及螺栓套件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双挑臂</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东隆西路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单挑臂</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天台南路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慢车道挑臂</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君秀路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电杆灯挑臂套件</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尺寸按实际，Q235B，热镀锌喷塑，壁厚4mm，含热镀锌抱箍及螺栓套件</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上海路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香山大街</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挑臂装饰球</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304不锈钢装饰球，⌀120mm,厚1mm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从善路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restart"/>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中圩路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转接头（小转大）</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vMerge w:val="continue"/>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管口盖帽</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殷家埭路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祥云路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转接头（方转圆）</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尺寸按实际，Q235B钢热镀锌喷塑，壁厚5mm</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88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中兴南路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AC220V，3*32400lm,</w:t>
            </w:r>
            <w:r>
              <w:rPr>
                <w:rFonts w:hint="eastAsia"/>
                <w:color w:val="auto"/>
                <w:highlight w:val="none"/>
                <w:lang w:val="en-US" w:eastAsia="zh-CN"/>
              </w:rPr>
              <w:t xml:space="preserve"> </w:t>
            </w:r>
            <w:r>
              <w:rPr>
                <w:rFonts w:hint="default"/>
                <w:color w:val="auto"/>
                <w:highlight w:val="none"/>
                <w:lang w:val="en-US" w:eastAsia="zh-CN"/>
              </w:rPr>
              <w:t xml:space="preserve">,4000K，LED光源，中光束，100mm*60mm*4mm横担，Q235B，热镀锌喷塑，含单灯控制器及管线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w:t>
            </w:r>
            <w:r>
              <w:rPr>
                <w:rFonts w:hint="eastAsia"/>
                <w:color w:val="auto"/>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金桥路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投光灯及灯盘</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3*32400lm,</w:t>
            </w:r>
            <w:r>
              <w:rPr>
                <w:rFonts w:hint="default"/>
                <w:color w:val="auto"/>
                <w:highlight w:val="none"/>
                <w:lang w:val="en-US" w:eastAsia="zh-CN"/>
              </w:rPr>
              <w:t xml:space="preserve">,4000K，LED光源，中光束，100mm*60mm*4mm横担，Q235B，热镀锌喷塑，含单灯控制器及管线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金港路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AC220V，4*32400lm</w:t>
            </w:r>
            <w:r>
              <w:rPr>
                <w:rFonts w:hint="eastAsia"/>
                <w:color w:val="auto"/>
                <w:highlight w:val="none"/>
                <w:lang w:val="en-US" w:eastAsia="zh-CN"/>
              </w:rPr>
              <w:t xml:space="preserve"> </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华达路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4*32400lm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东海路</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4*32400lm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北大门</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AC220V，4*32400lm</w:t>
            </w:r>
            <w:r>
              <w:rPr>
                <w:rFonts w:hint="eastAsia"/>
                <w:color w:val="auto"/>
                <w:highlight w:val="none"/>
                <w:lang w:val="en-US" w:eastAsia="zh-CN"/>
              </w:rPr>
              <w:t xml:space="preserve"> </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港华路（新开河桥）</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w:t>
            </w:r>
            <w:r>
              <w:rPr>
                <w:rFonts w:hint="eastAsia"/>
                <w:color w:val="auto"/>
                <w:highlight w:val="none"/>
                <w:lang w:val="en-US" w:eastAsia="zh-CN"/>
              </w:rPr>
              <w:t xml:space="preserve"> 4*32400lm</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4</w:t>
            </w:r>
            <w:r>
              <w:rPr>
                <w:rFonts w:hint="eastAsia"/>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主要路口</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中杆灯</w:t>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AC220V，4*32400lm</w:t>
            </w:r>
            <w:r>
              <w:rPr>
                <w:rFonts w:hint="eastAsia"/>
                <w:color w:val="auto"/>
                <w:highlight w:val="none"/>
                <w:lang w:val="en-US" w:eastAsia="zh-CN"/>
              </w:rPr>
              <w:t xml:space="preserve"> </w:t>
            </w:r>
            <w:r>
              <w:rPr>
                <w:rFonts w:hint="default"/>
                <w:color w:val="auto"/>
                <w:highlight w:val="none"/>
                <w:lang w:val="en-US" w:eastAsia="zh-CN"/>
              </w:rPr>
              <w:t xml:space="preserve">,4000K，LED光源，中光束，H=14m，Q235B钢灯杆热镀锌喷塑，壁厚6mm，含单灯控制器、基础及管线</w:t>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杆</w:t>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eastAsia"/>
                <w:color w:val="auto"/>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7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27" w:type="pct"/>
            <w:vAlign w:val="center"/>
            <w:textDirection w:val="lrTb"/>
            <w:noWrap w:val="false"/>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49"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2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ind w:left="0" w:right="0" w:firstLine="0"/>
              <w:jc w:val="center"/>
              <w:spacing w:line="240" w:lineRule="auto"/>
              <w:rPr>
                <w:rFonts w:hint="default"/>
                <w:color w:val="auto"/>
                <w:highlight w:val="none"/>
                <w:lang w:val="en-US" w:eastAsia="zh-CN"/>
              </w:rPr>
            </w:pPr>
            <w:r>
              <w:rPr>
                <w:rFonts w:hint="default"/>
                <w:color w:val="auto"/>
                <w:highlight w:val="none"/>
                <w:lang w:val="en-US" w:eastAsia="zh-CN"/>
              </w:rPr>
            </w:r>
            <w:r/>
          </w:p>
        </w:tc>
      </w:tr>
    </w:tbl>
    <w:p>
      <w:pPr>
        <w:pStyle w:val="855"/>
        <w:ind w:left="0" w:firstLine="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bidi="ar"/>
        </w:rPr>
        <w:t xml:space="preserve">全费用单价含管线、基础、杆的人工、材料、机械、管理费、利润、税金及所有措施项目费、规费、风险费。</w:t>
      </w:r>
      <w:r/>
    </w:p>
    <w:p>
      <w:pPr>
        <w:pStyle w:val="855"/>
        <w:ind w:left="0" w:firstLine="0"/>
        <w:rPr>
          <w:rFonts w:hint="eastAsia" w:cs="宋体"/>
          <w:b w:val="0"/>
          <w:bCs w:val="0"/>
          <w:color w:val="auto"/>
          <w:szCs w:val="24"/>
          <w:highlight w:val="none"/>
          <w:lang w:val="en-US" w:eastAsia="zh-CN"/>
        </w:rPr>
      </w:pPr>
      <w:r>
        <w:rPr>
          <w:rFonts w:hint="eastAsia" w:cs="宋体"/>
          <w:b w:val="0"/>
          <w:bCs w:val="0"/>
          <w:color w:val="auto"/>
          <w:szCs w:val="24"/>
          <w:highlight w:val="none"/>
          <w:lang w:val="en-US" w:eastAsia="zh-CN"/>
        </w:rPr>
        <w:t xml:space="preserve">备注2：补杆路灯每杆包含管线如下：</w:t>
      </w:r>
      <w:r/>
    </w:p>
    <w:p>
      <w:pPr>
        <w:pStyle w:val="855"/>
        <w:ind w:firstLine="0"/>
        <w:rPr>
          <w:rFonts w:hint="default" w:eastAsia="宋体" w:cs="宋体"/>
          <w:b w:val="0"/>
          <w:bCs w:val="0"/>
          <w:color w:val="auto"/>
          <w:szCs w:val="24"/>
          <w:highlight w:val="none"/>
          <w:lang w:val="en-US" w:eastAsia="zh-CN"/>
        </w:rPr>
      </w:pPr>
      <w:r>
        <w:rPr>
          <w:rFonts w:hint="eastAsia" w:cs="宋体"/>
          <w:b w:val="0"/>
          <w:bCs w:val="0"/>
          <w:color w:val="auto"/>
          <w:szCs w:val="24"/>
          <w:highlight w:val="none"/>
          <w:lang w:val="en-US" w:eastAsia="zh-CN"/>
        </w:rPr>
        <w:t xml:space="preserve">1、VV-0.6/1KV-5x16电力电缆60米；2、PE63实壁电力管（壁厚4mm，内径∅55mm）60米；3、整体热镀锌接地极（1.8米4mm厚4#热镀锌扁钢+2.5米5mm厚5#角钢+2套M12x30热镀锌螺栓）1根；4、BVR-0.45/0.75KV-16mm²黄绿接地线（含冷压铜鼻）0.5米；5、BVV-0.45/0.75KV-3x2.5护套线14米；6、挖沟槽土方19m³</w:t>
      </w:r>
      <w:r/>
    </w:p>
    <w:p>
      <w:pPr>
        <w:pStyle w:val="1159"/>
        <w:jc w:val="both"/>
        <w:spacing w:before="320" w:after="32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pStyle w:val="1159"/>
        <w:jc w:val="both"/>
        <w:spacing w:before="320" w:after="320"/>
        <w:rPr>
          <w:rStyle w:val="992"/>
          <w:rFonts w:hint="eastAsia" w:ascii="宋体" w:hAnsi="宋体" w:eastAsia="宋体" w:cs="宋体"/>
          <w:b/>
          <w:bCs/>
          <w:color w:val="auto"/>
          <w:sz w:val="24"/>
          <w:szCs w:val="24"/>
          <w:highlight w:val="none"/>
        </w:rPr>
      </w:pPr>
      <w:r>
        <w:rPr>
          <w:rStyle w:val="992"/>
          <w:color w:val="auto"/>
          <w:highlight w:val="none"/>
        </w:rPr>
        <w:br w:type="page" w:clear="all"/>
      </w:r>
      <w:r>
        <w:rPr>
          <w:rFonts w:hint="eastAsia" w:ascii="宋体" w:hAnsi="宋体" w:eastAsia="宋体" w:cs="宋体"/>
          <w:b/>
          <w:bCs/>
          <w:color w:val="auto"/>
          <w:sz w:val="24"/>
          <w:szCs w:val="24"/>
          <w:highlight w:val="none"/>
          <w:lang w:val="en-US" w:eastAsia="zh-CN" w:bidi="ar-SA"/>
        </w:rPr>
        <w:t xml:space="preserve">更换电缆清单报价表（四）</w:t>
      </w:r>
      <w:r/>
    </w:p>
    <w:tbl>
      <w:tblPr>
        <w:tblStyle w:val="757"/>
        <w:tblW w:w="4883" w:type="pct"/>
        <w:tblInd w:w="0" w:type="dxa"/>
        <w:tblLayout w:type="autofit"/>
        <w:tblCellMar>
          <w:left w:w="108" w:type="dxa"/>
          <w:top w:w="0" w:type="dxa"/>
          <w:right w:w="108" w:type="dxa"/>
          <w:bottom w:w="0" w:type="dxa"/>
        </w:tblCellMar>
        <w:tblLook w:val="04A0" w:firstRow="1" w:lastRow="0" w:firstColumn="1" w:lastColumn="0" w:noHBand="0" w:noVBand="1"/>
      </w:tblPr>
      <w:tblGrid>
        <w:gridCol w:w="1266"/>
        <w:gridCol w:w="2730"/>
        <w:gridCol w:w="658"/>
        <w:gridCol w:w="1323"/>
        <w:gridCol w:w="1764"/>
        <w:gridCol w:w="1283"/>
      </w:tblGrid>
      <w:tr>
        <w:trP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lang w:bidi="ar"/>
              </w:rPr>
              <w:t xml:space="preserve">长度（米）</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default" w:ascii="宋体" w:hAnsi="宋体" w:eastAsia="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全费用综合单价</w:t>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default" w:ascii="宋体" w:hAnsi="宋体" w:cs="宋体"/>
                <w:b/>
                <w:bCs/>
                <w:color w:val="auto"/>
                <w:sz w:val="22"/>
                <w:szCs w:val="22"/>
                <w:highlight w:val="none"/>
                <w:lang w:val="en-US" w:eastAsia="zh-CN" w:bidi="ar"/>
              </w:rPr>
            </w:pPr>
            <w:r>
              <w:rPr>
                <w:rFonts w:hint="eastAsia" w:ascii="宋体" w:hAnsi="宋体" w:cs="宋体"/>
                <w:b/>
                <w:bCs/>
                <w:color w:val="auto"/>
                <w:sz w:val="22"/>
                <w:szCs w:val="22"/>
                <w:highlight w:val="none"/>
                <w:lang w:val="en-US" w:eastAsia="zh-CN" w:bidi="ar"/>
              </w:rPr>
              <w:t xml:space="preserve">总价</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金港街道：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三</w:t>
            </w:r>
            <w:r>
              <w:rPr>
                <w:rFonts w:hint="eastAsia" w:ascii="宋体" w:hAnsi="宋体" w:cs="宋体"/>
                <w:color w:val="auto"/>
                <w:sz w:val="21"/>
                <w:szCs w:val="21"/>
                <w:highlight w:val="none"/>
                <w:lang w:val="en-US" w:eastAsia="zh-CN" w:bidi="ar"/>
              </w:rPr>
              <w:t xml:space="preserve">甲</w:t>
            </w:r>
            <w:r>
              <w:rPr>
                <w:rFonts w:hint="eastAsia" w:ascii="宋体" w:hAnsi="宋体" w:cs="宋体"/>
                <w:color w:val="auto"/>
                <w:sz w:val="21"/>
                <w:szCs w:val="21"/>
                <w:highlight w:val="none"/>
                <w:lang w:bidi="ar"/>
              </w:rPr>
              <w:t xml:space="preserve">里路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天永路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1075</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天台北路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1310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后塍街道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西墩路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人民北路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长江明珠路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德积街道</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护漕港路(天霸路-德申路)</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元丰路(德申路南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友邦路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2454</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环宇北路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vMerge w:val="continue"/>
            <w:textDirection w:val="lrTb"/>
            <w:noWrap/>
          </w:tcPr>
          <w:p>
            <w:pPr>
              <w:ind w:left="0" w:right="0" w:firstLine="0"/>
              <w:jc w:val="center"/>
              <w:spacing w:line="240" w:lineRule="auto"/>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福中路 </w:t>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5*16 </w:t>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ind w:left="0" w:right="0" w:firstLine="0"/>
              <w:jc w:val="center"/>
              <w:spacing w:line="24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left="0" w:right="0" w:firstLine="0"/>
              <w:jc w:val="left"/>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left="0" w:right="0" w:firstLine="0"/>
              <w:jc w:val="center"/>
              <w:spacing w:line="240" w:lineRule="auto"/>
              <w:rPr>
                <w:rFonts w:ascii="宋体" w:hAnsi="宋体" w:cs="宋体"/>
                <w:b/>
                <w:color w:val="auto"/>
                <w:sz w:val="21"/>
                <w:szCs w:val="21"/>
                <w:highlight w:val="none"/>
              </w:rPr>
            </w:pPr>
            <w:r>
              <w:rPr>
                <w:rFonts w:ascii="宋体" w:hAnsi="宋体" w:cs="宋体"/>
                <w:b/>
                <w:color w:val="auto"/>
                <w:sz w:val="21"/>
                <w:szCs w:val="21"/>
                <w:highlight w:val="none"/>
              </w:rPr>
            </w:r>
            <w:r/>
          </w:p>
        </w:tc>
      </w:tr>
    </w:tbl>
    <w:p>
      <w:p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bidi="ar"/>
        </w:rPr>
        <w:t xml:space="preserve">全费用单价含拆除、安装的人工、材料、机械、管理费、利润、税金及所有措施项目费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规费、风险费。</w:t>
      </w:r>
      <w:r/>
    </w:p>
    <w:p>
      <w:pPr>
        <w:pStyle w:val="1263"/>
        <w:rPr>
          <w:rStyle w:val="992"/>
          <w:color w:val="auto"/>
          <w:highlight w:val="none"/>
        </w:rPr>
        <w:outlineLvl w:val="0"/>
      </w:pPr>
      <w:r>
        <w:rPr>
          <w:rStyle w:val="992"/>
          <w:color w:val="auto"/>
          <w:highlight w:val="none"/>
        </w:rPr>
        <w:br w:type="page" w:clear="all"/>
      </w:r>
      <w:bookmarkStart w:id="276" w:name="_Toc32613"/>
      <w:r/>
      <w:bookmarkStart w:id="277" w:name="_Toc13295"/>
      <w:r/>
      <w:bookmarkStart w:id="278" w:name="_Toc10284"/>
      <w:r/>
      <w:bookmarkStart w:id="279" w:name="_Toc10307"/>
      <w:r>
        <w:rPr>
          <w:rStyle w:val="992"/>
          <w:rFonts w:ascii="宋体" w:hAnsi="宋体" w:cs="宋体"/>
          <w:b/>
          <w:color w:val="auto"/>
          <w:sz w:val="32"/>
          <w:highlight w:val="none"/>
        </w:rPr>
        <w:t xml:space="preserve">四、资格证明文件</w:t>
      </w:r>
      <w:bookmarkEnd w:id="276"/>
      <w:r/>
      <w:bookmarkEnd w:id="277"/>
      <w:r/>
      <w:bookmarkEnd w:id="278"/>
      <w:r/>
      <w:bookmarkEnd w:id="279"/>
      <w:r/>
      <w:r/>
    </w:p>
    <w:p>
      <w:pPr>
        <w:pStyle w:val="1091"/>
        <w:numPr>
          <w:ilvl w:val="0"/>
          <w:numId w:val="0"/>
        </w:numPr>
        <w:ind w:left="105" w:firstLine="482"/>
        <w:spacing w:line="400" w:lineRule="exact"/>
        <w:rPr>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0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2.财务状况报告（成立不满一年不需提供）（若供应商为分公司，可提供总公司财务状况报告）；</w:t>
      </w:r>
      <w:r/>
    </w:p>
    <w:p>
      <w:pPr>
        <w:pStyle w:val="10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0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10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109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6.授权委托书（被授权人非法定代表人的，应提供授权委托书；被授权人是法定代表人的，应提供法定代表人身份证明书）（格式见后）；</w:t>
      </w:r>
      <w:r/>
    </w:p>
    <w:p>
      <w:pPr>
        <w:pStyle w:val="1091"/>
        <w:numPr>
          <w:ilvl w:val="0"/>
          <w:numId w:val="0"/>
        </w:numPr>
        <w:ind w:left="0" w:firstLine="600"/>
        <w:spacing w:line="440" w:lineRule="exact"/>
        <w:rPr>
          <w:rFonts w:hint="eastAsia"/>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1091"/>
        <w:numPr>
          <w:ilvl w:val="0"/>
          <w:numId w:val="0"/>
        </w:numPr>
        <w:ind w:left="105" w:firstLine="480"/>
        <w:spacing w:line="440" w:lineRule="exact"/>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8.中小企业声明函等</w:t>
      </w:r>
      <w:r/>
    </w:p>
    <w:p>
      <w:pPr>
        <w:pStyle w:val="1091"/>
        <w:numPr>
          <w:ilvl w:val="0"/>
          <w:numId w:val="0"/>
        </w:numPr>
        <w:ind w:left="105" w:firstLine="480"/>
        <w:spacing w:line="440" w:lineRule="exact"/>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9。联合体协议书（如有）</w:t>
      </w:r>
      <w:r/>
    </w:p>
    <w:p>
      <w:pPr>
        <w:pStyle w:val="1091"/>
        <w:numPr>
          <w:ilvl w:val="0"/>
          <w:numId w:val="0"/>
        </w:numPr>
        <w:ind w:left="105" w:firstLine="480"/>
        <w:spacing w:line="440" w:lineRule="exact"/>
        <w:rPr>
          <w:rFonts w:hint="eastAsia"/>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10.分包意向协议书（如有）</w:t>
      </w:r>
      <w:r/>
    </w:p>
    <w:p>
      <w:pPr>
        <w:pStyle w:val="1091"/>
        <w:numPr>
          <w:ilvl w:val="0"/>
          <w:numId w:val="0"/>
        </w:numPr>
        <w:ind w:left="105" w:firstLine="480"/>
        <w:spacing w:line="440" w:lineRule="exact"/>
        <w:rPr>
          <w:rFonts w:hint="default"/>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11.承诺书（格式见后）</w:t>
      </w:r>
      <w:r/>
    </w:p>
    <w:p>
      <w:pPr>
        <w:rPr>
          <w:rStyle w:val="992"/>
          <w:rFonts w:ascii="宋体" w:hAnsi="宋体" w:cs="宋体"/>
          <w:b/>
          <w:color w:val="auto"/>
          <w:sz w:val="28"/>
          <w:highlight w:val="none"/>
        </w:rPr>
      </w:pPr>
      <w:r>
        <w:rPr>
          <w:rStyle w:val="992"/>
          <w:rFonts w:ascii="宋体" w:hAnsi="宋体" w:cs="宋体"/>
          <w:b/>
          <w:color w:val="auto"/>
          <w:sz w:val="28"/>
          <w:highlight w:val="none"/>
        </w:rPr>
        <w:br w:type="page" w:clear="all"/>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具备履行合同所必需的设备和专业技术能力的书面声明</w:t>
      </w:r>
      <w:r/>
    </w:p>
    <w:p>
      <w:pPr>
        <w:jc w:val="cente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我单位具备履行本项采购合同所必需的设备和专业技术能力。</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320"/>
        <w:spacing w:line="360" w:lineRule="auto"/>
        <w:rPr>
          <w:rFonts w:ascii="宋体" w:hAnsi="宋体" w:cs="宋体"/>
          <w:color w:val="auto"/>
          <w:highlight w:val="none"/>
        </w:rPr>
      </w:pPr>
      <w:r>
        <w:rPr>
          <w:rFonts w:hint="eastAsia" w:ascii="宋体" w:hAnsi="宋体" w:cs="宋体"/>
          <w:color w:val="auto"/>
          <w:sz w:val="24"/>
          <w:szCs w:val="24"/>
          <w:highlight w:val="none"/>
        </w:rPr>
        <w:t xml:space="preserve">投标单位（加盖公章）：</w:t>
      </w:r>
      <w:r/>
    </w:p>
    <w:p>
      <w:pPr>
        <w:rPr>
          <w:rStyle w:val="992"/>
          <w:rFonts w:ascii="宋体" w:hAnsi="宋体" w:cs="宋体"/>
          <w:color w:val="auto"/>
          <w:highlight w:val="none"/>
        </w:rPr>
      </w:pPr>
      <w:r>
        <w:rPr>
          <w:rStyle w:val="992"/>
          <w:rFonts w:ascii="宋体" w:hAnsi="宋体" w:cs="宋体"/>
          <w:color w:val="auto"/>
          <w:highlight w:val="none"/>
        </w:rPr>
        <w:br w:type="page" w:clear="all"/>
      </w:r>
      <w:r/>
    </w:p>
    <w:p>
      <w:pPr>
        <w:pStyle w:val="1288"/>
        <w:spacing w:line="440" w:lineRule="exact"/>
        <w:rPr>
          <w:rStyle w:val="992"/>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参加政府采购活动前3年内在经营活动中没有重大违法记录的书面声明</w:t>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jc w:val="center"/>
        <w:spacing w:line="360" w:lineRule="auto"/>
        <w:rPr>
          <w:rFonts w:ascii="宋体" w:hAnsi="宋体" w:cs="宋体"/>
          <w:b/>
          <w:color w:val="auto"/>
          <w:sz w:val="48"/>
          <w:szCs w:val="48"/>
          <w:highlight w:val="none"/>
        </w:rPr>
      </w:pPr>
      <w:r>
        <w:rPr>
          <w:rFonts w:ascii="宋体" w:hAnsi="宋体" w:cs="宋体"/>
          <w:b/>
          <w:color w:val="auto"/>
          <w:sz w:val="48"/>
          <w:szCs w:val="48"/>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pStyle w:val="1338"/>
        <w:ind w:firstLine="456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投标单位（加盖公章）：</w:t>
      </w:r>
      <w:r/>
    </w:p>
    <w:p>
      <w:pPr>
        <w:ind w:firstLine="480"/>
        <w:spacing w:line="360" w:lineRule="auto"/>
        <w:rPr>
          <w:color w:val="auto"/>
          <w:sz w:val="24"/>
          <w:highlight w:val="none"/>
        </w:rPr>
      </w:pPr>
      <w:r>
        <w:rPr>
          <w:color w:val="auto"/>
          <w:sz w:val="24"/>
          <w:highlight w:val="none"/>
        </w:rPr>
      </w:r>
      <w:r/>
    </w:p>
    <w:p>
      <w:pPr>
        <w:rPr>
          <w:rStyle w:val="992"/>
          <w:rFonts w:ascii="Times New Roman" w:hAnsi="Times New Roman" w:eastAsia="Times New Roman"/>
          <w:color w:val="auto"/>
          <w:highlight w:val="none"/>
        </w:rPr>
      </w:pPr>
      <w:r>
        <w:rPr>
          <w:rStyle w:val="992"/>
          <w:rFonts w:ascii="Times New Roman" w:hAnsi="Times New Roman" w:eastAsia="Times New Roman"/>
          <w:color w:val="auto"/>
          <w:highlight w:val="none"/>
        </w:rPr>
        <w:br w:type="page" w:clear="all"/>
      </w:r>
      <w:r/>
    </w:p>
    <w:p>
      <w:pPr>
        <w:pStyle w:val="1345"/>
        <w:jc w:val="center"/>
        <w:spacing w:before="320" w:after="320"/>
        <w:rPr>
          <w:rStyle w:val="992"/>
          <w:rFonts w:eastAsia="宋体"/>
          <w:color w:val="auto"/>
          <w:highlight w:val="none"/>
        </w:rPr>
        <w:outlineLvl w:val="1"/>
      </w:pPr>
      <w:r/>
      <w:bookmarkStart w:id="280" w:name="_Toc32389"/>
      <w:r>
        <w:rPr>
          <w:rStyle w:val="992"/>
          <w:rFonts w:hint="eastAsia" w:eastAsia="宋体"/>
          <w:b/>
          <w:bCs/>
          <w:color w:val="auto"/>
          <w:sz w:val="32"/>
          <w:szCs w:val="32"/>
          <w:highlight w:val="none"/>
        </w:rPr>
        <w:t xml:space="preserve">1、</w:t>
      </w:r>
      <w:r>
        <w:rPr>
          <w:rStyle w:val="992"/>
          <w:b/>
          <w:bCs/>
          <w:color w:val="auto"/>
          <w:sz w:val="32"/>
          <w:szCs w:val="32"/>
          <w:highlight w:val="none"/>
        </w:rPr>
        <w:t xml:space="preserve">授权委托书</w:t>
      </w:r>
      <w:bookmarkEnd w:id="280"/>
      <w:r/>
      <w:r/>
    </w:p>
    <w:p>
      <w:pPr>
        <w:pStyle w:val="1345"/>
        <w:ind w:firstLine="499"/>
        <w:spacing w:before="240" w:after="240" w:line="440" w:lineRule="exact"/>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本授权书声明：</w:t>
      </w:r>
      <w:r>
        <w:rPr>
          <w:rStyle w:val="992"/>
          <w:rFonts w:hint="eastAsia" w:ascii="宋体" w:hAnsi="宋体" w:eastAsia="宋体" w:cs="宋体"/>
          <w:color w:val="auto"/>
          <w:sz w:val="24"/>
          <w:szCs w:val="24"/>
          <w:highlight w:val="none"/>
          <w:u w:val="single"/>
        </w:rPr>
        <w:t xml:space="preserve">                </w:t>
      </w:r>
      <w:r>
        <w:rPr>
          <w:rStyle w:val="992"/>
          <w:rFonts w:hint="eastAsia" w:ascii="宋体" w:hAnsi="宋体" w:eastAsia="宋体" w:cs="宋体"/>
          <w:color w:val="auto"/>
          <w:sz w:val="24"/>
          <w:szCs w:val="24"/>
          <w:highlight w:val="none"/>
        </w:rPr>
        <w:t xml:space="preserve">（供应商名称）授权</w:t>
      </w:r>
      <w:r>
        <w:rPr>
          <w:rStyle w:val="992"/>
          <w:rFonts w:hint="eastAsia" w:ascii="宋体" w:hAnsi="宋体" w:eastAsia="宋体" w:cs="宋体"/>
          <w:color w:val="auto"/>
          <w:sz w:val="24"/>
          <w:szCs w:val="24"/>
          <w:highlight w:val="none"/>
          <w:u w:val="single"/>
        </w:rPr>
        <w:t xml:space="preserve">        </w:t>
      </w:r>
      <w:r>
        <w:rPr>
          <w:rStyle w:val="992"/>
          <w:rFonts w:hint="eastAsia" w:ascii="宋体" w:hAnsi="宋体" w:eastAsia="宋体" w:cs="宋体"/>
          <w:color w:val="auto"/>
          <w:sz w:val="24"/>
          <w:szCs w:val="24"/>
          <w:highlight w:val="none"/>
        </w:rPr>
        <w:t xml:space="preserve">(被授权人的姓名)（被授权人身份证号码</w:t>
      </w:r>
      <w:r>
        <w:rPr>
          <w:rStyle w:val="992"/>
          <w:rFonts w:hint="eastAsia" w:ascii="宋体" w:hAnsi="宋体" w:eastAsia="宋体" w:cs="宋体"/>
          <w:color w:val="auto"/>
          <w:sz w:val="24"/>
          <w:szCs w:val="24"/>
          <w:highlight w:val="none"/>
          <w:u w:val="single"/>
        </w:rPr>
        <w:t xml:space="preserve">：         </w:t>
      </w:r>
      <w:r>
        <w:rPr>
          <w:rStyle w:val="992"/>
          <w:rFonts w:hint="eastAsia" w:ascii="宋体" w:hAnsi="宋体" w:eastAsia="宋体" w:cs="宋体"/>
          <w:color w:val="auto"/>
          <w:sz w:val="24"/>
          <w:szCs w:val="24"/>
          <w:highlight w:val="none"/>
        </w:rPr>
        <w:t xml:space="preserve">）为我方就</w:t>
      </w:r>
      <w:r>
        <w:rPr>
          <w:rStyle w:val="992"/>
          <w:rFonts w:hint="eastAsia" w:ascii="宋体" w:hAnsi="宋体" w:eastAsia="宋体" w:cs="宋体"/>
          <w:color w:val="auto"/>
          <w:sz w:val="24"/>
          <w:szCs w:val="24"/>
          <w:highlight w:val="none"/>
          <w:u w:val="single"/>
        </w:rPr>
        <w:t xml:space="preserve">              （项目编号：     ）</w:t>
      </w:r>
      <w:r>
        <w:rPr>
          <w:rStyle w:val="992"/>
          <w:rFonts w:hint="eastAsia" w:ascii="宋体" w:hAnsi="宋体" w:eastAsia="宋体" w:cs="宋体"/>
          <w:color w:val="auto"/>
          <w:sz w:val="24"/>
          <w:szCs w:val="24"/>
          <w:highlight w:val="none"/>
        </w:rPr>
        <w:t xml:space="preserve">项目采购活动的合法代理人，以本单位名义全权处理一切与该项目采购有关的事务，其代表本单位处理相关事项所产生的一切责任由本单位承担。</w:t>
      </w:r>
      <w:r/>
    </w:p>
    <w:p>
      <w:pPr>
        <w:pStyle w:val="1345"/>
        <w:ind w:firstLine="499"/>
        <w:spacing w:before="240" w:after="240" w:line="440" w:lineRule="exact"/>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本授权书于</w:t>
      </w:r>
      <w:r>
        <w:rPr>
          <w:rStyle w:val="992"/>
          <w:rFonts w:hint="eastAsia" w:ascii="宋体" w:hAnsi="宋体" w:eastAsia="宋体" w:cs="宋体"/>
          <w:color w:val="auto"/>
          <w:sz w:val="24"/>
          <w:szCs w:val="24"/>
          <w:highlight w:val="none"/>
          <w:u w:val="single"/>
        </w:rPr>
        <w:t xml:space="preserve">   年  月   日</w:t>
      </w:r>
      <w:r>
        <w:rPr>
          <w:rStyle w:val="992"/>
          <w:rFonts w:hint="eastAsia" w:ascii="宋体" w:hAnsi="宋体" w:eastAsia="宋体" w:cs="宋体"/>
          <w:color w:val="auto"/>
          <w:sz w:val="24"/>
          <w:szCs w:val="24"/>
          <w:highlight w:val="none"/>
        </w:rPr>
        <w:t xml:space="preserve">起生效，特此声明。  </w:t>
      </w:r>
      <w:r/>
    </w:p>
    <w:p>
      <w:pPr>
        <w:pStyle w:val="1345"/>
        <w:spacing w:before="240" w:after="240"/>
        <w:rPr>
          <w:rStyle w:val="9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45"/>
        <w:ind w:firstLine="357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被授权人联系电话：（手机）   </w:t>
      </w:r>
      <w:r/>
    </w:p>
    <w:p>
      <w:pPr>
        <w:pStyle w:val="1345"/>
        <w:ind w:firstLine="357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授权单位名称：   （加盖公章）</w:t>
      </w:r>
      <w:r/>
    </w:p>
    <w:p>
      <w:pPr>
        <w:pStyle w:val="1345"/>
        <w:ind w:firstLine="357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单位地址：    </w:t>
      </w:r>
      <w:r/>
    </w:p>
    <w:p>
      <w:pPr>
        <w:pStyle w:val="1345"/>
        <w:ind w:firstLine="3600"/>
        <w:spacing w:before="240" w:after="240"/>
        <w:rPr>
          <w:rFonts w:hint="eastAsia" w:ascii="宋体" w:hAnsi="宋体" w:eastAsia="宋体" w:cs="宋体"/>
          <w:color w:val="auto"/>
          <w:szCs w:val="24"/>
          <w:highlight w:val="none"/>
        </w:rPr>
      </w:pPr>
      <w:r>
        <w:rPr>
          <w:rStyle w:val="992"/>
          <w:rFonts w:hint="eastAsia" w:ascii="宋体" w:hAnsi="宋体" w:eastAsia="宋体" w:cs="宋体"/>
          <w:color w:val="auto"/>
          <w:sz w:val="24"/>
          <w:szCs w:val="24"/>
          <w:highlight w:val="none"/>
        </w:rPr>
        <w:t xml:space="preserve">日期：   年   月   日</w:t>
      </w:r>
      <w:r/>
    </w:p>
    <w:p>
      <w:pPr>
        <w:jc w:val="left"/>
        <w:widowControl/>
        <w:rPr>
          <w:rFonts w:hint="eastAsia" w:ascii="宋体" w:hAnsi="宋体"/>
          <w:color w:val="auto"/>
          <w:szCs w:val="21"/>
          <w:highlight w:val="none"/>
        </w:rPr>
      </w:pPr>
      <w:r>
        <w:rPr>
          <w:rFonts w:hint="eastAsia" w:ascii="宋体" w:hAnsi="宋体"/>
          <w:color w:val="auto"/>
          <w:szCs w:val="21"/>
          <w:highlight w:val="none"/>
        </w:rPr>
      </w:r>
      <w:r/>
    </w:p>
    <w:p>
      <w:pPr>
        <w:pStyle w:val="1345"/>
        <w:jc w:val="center"/>
        <w:spacing w:before="320" w:after="320"/>
        <w:rPr>
          <w:rStyle w:val="992"/>
          <w:rFonts w:hint="eastAsia" w:eastAsia="宋体"/>
          <w:b/>
          <w:bCs/>
          <w:color w:val="auto"/>
          <w:sz w:val="32"/>
          <w:szCs w:val="32"/>
          <w:highlight w:val="none"/>
        </w:rPr>
        <w:outlineLvl w:val="1"/>
      </w:pPr>
      <w:r/>
      <w:bookmarkStart w:id="281" w:name="_Toc19377"/>
      <w:r>
        <w:rPr>
          <w:rStyle w:val="992"/>
          <w:rFonts w:hint="eastAsia" w:eastAsia="宋体"/>
          <w:b/>
          <w:bCs/>
          <w:color w:val="auto"/>
          <w:sz w:val="32"/>
          <w:szCs w:val="32"/>
          <w:highlight w:val="none"/>
        </w:rPr>
        <w:t xml:space="preserve">2、法定代表人身份证明书</w:t>
      </w:r>
      <w:bookmarkEnd w:id="281"/>
      <w:r/>
      <w:r/>
    </w:p>
    <w:p>
      <w:pPr>
        <w:pStyle w:val="1345"/>
        <w:ind w:firstLine="499"/>
        <w:spacing w:before="240" w:after="240" w:line="440" w:lineRule="exact"/>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兹证明</w:t>
      </w:r>
      <w:r>
        <w:rPr>
          <w:rStyle w:val="992"/>
          <w:rFonts w:hint="eastAsia" w:ascii="宋体" w:hAnsi="宋体" w:eastAsia="宋体" w:cs="宋体"/>
          <w:color w:val="auto"/>
          <w:sz w:val="24"/>
          <w:szCs w:val="24"/>
          <w:highlight w:val="none"/>
          <w:u w:val="single"/>
        </w:rPr>
        <w:t xml:space="preserve">              </w:t>
      </w:r>
      <w:r>
        <w:rPr>
          <w:rStyle w:val="992"/>
          <w:rFonts w:hint="eastAsia" w:ascii="宋体" w:hAnsi="宋体" w:eastAsia="宋体" w:cs="宋体"/>
          <w:color w:val="auto"/>
          <w:sz w:val="24"/>
          <w:szCs w:val="24"/>
          <w:highlight w:val="none"/>
        </w:rPr>
        <w:t xml:space="preserve">（姓名）（法定代表人身份证号码</w:t>
      </w:r>
      <w:r>
        <w:rPr>
          <w:rStyle w:val="992"/>
          <w:rFonts w:hint="eastAsia" w:ascii="宋体" w:hAnsi="宋体" w:eastAsia="宋体" w:cs="宋体"/>
          <w:color w:val="auto"/>
          <w:sz w:val="24"/>
          <w:szCs w:val="24"/>
          <w:highlight w:val="none"/>
          <w:u w:val="single"/>
        </w:rPr>
        <w:t xml:space="preserve">：         </w:t>
      </w:r>
      <w:r>
        <w:rPr>
          <w:rStyle w:val="992"/>
          <w:rFonts w:hint="eastAsia" w:ascii="宋体" w:hAnsi="宋体" w:eastAsia="宋体" w:cs="宋体"/>
          <w:color w:val="auto"/>
          <w:sz w:val="24"/>
          <w:szCs w:val="24"/>
          <w:highlight w:val="none"/>
        </w:rPr>
        <w:t xml:space="preserve">）担任</w:t>
      </w:r>
      <w:r>
        <w:rPr>
          <w:rStyle w:val="992"/>
          <w:rFonts w:hint="eastAsia" w:ascii="宋体" w:hAnsi="宋体" w:eastAsia="宋体" w:cs="宋体"/>
          <w:color w:val="auto"/>
          <w:sz w:val="24"/>
          <w:szCs w:val="24"/>
          <w:highlight w:val="none"/>
          <w:u w:val="single"/>
        </w:rPr>
        <w:t xml:space="preserve">            </w:t>
      </w:r>
      <w:r>
        <w:rPr>
          <w:rStyle w:val="992"/>
          <w:rFonts w:hint="eastAsia" w:ascii="宋体" w:hAnsi="宋体" w:eastAsia="宋体" w:cs="宋体"/>
          <w:color w:val="auto"/>
          <w:sz w:val="24"/>
          <w:szCs w:val="24"/>
          <w:highlight w:val="none"/>
        </w:rPr>
        <w:t xml:space="preserve">(供应商名称)</w:t>
      </w:r>
      <w:r>
        <w:rPr>
          <w:rStyle w:val="992"/>
          <w:rFonts w:hint="eastAsia" w:ascii="宋体" w:hAnsi="宋体" w:eastAsia="宋体" w:cs="宋体"/>
          <w:color w:val="auto"/>
          <w:sz w:val="24"/>
          <w:szCs w:val="24"/>
          <w:highlight w:val="none"/>
          <w:u w:val="single"/>
        </w:rPr>
        <w:t xml:space="preserve">      （职位 ）</w:t>
      </w:r>
      <w:r>
        <w:rPr>
          <w:rStyle w:val="992"/>
          <w:rFonts w:hint="eastAsia" w:ascii="宋体" w:hAnsi="宋体" w:eastAsia="宋体" w:cs="宋体"/>
          <w:color w:val="auto"/>
          <w:sz w:val="24"/>
          <w:szCs w:val="24"/>
          <w:highlight w:val="none"/>
        </w:rPr>
        <w:t xml:space="preserve">，是我单位的法定代表人。 </w:t>
      </w:r>
      <w:r/>
    </w:p>
    <w:p>
      <w:pPr>
        <w:pStyle w:val="1345"/>
        <w:ind w:firstLine="50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特此证明。  </w:t>
      </w:r>
      <w:r/>
    </w:p>
    <w:p>
      <w:pPr>
        <w:pStyle w:val="1345"/>
        <w:ind w:firstLine="500"/>
        <w:spacing w:before="240" w:after="240"/>
        <w:rPr>
          <w:rStyle w:val="9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345"/>
        <w:ind w:firstLine="24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                        </w:t>
      </w:r>
      <w:r/>
    </w:p>
    <w:p>
      <w:pPr>
        <w:pStyle w:val="1345"/>
        <w:ind w:firstLine="357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法定代表人联系电话：（手机）   </w:t>
      </w:r>
      <w:r/>
    </w:p>
    <w:p>
      <w:pPr>
        <w:pStyle w:val="1345"/>
        <w:ind w:firstLine="357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单位名称：   （加盖公章）</w:t>
      </w:r>
      <w:r/>
    </w:p>
    <w:p>
      <w:pPr>
        <w:pStyle w:val="1345"/>
        <w:ind w:firstLine="357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单位地址：    </w:t>
      </w:r>
      <w:r/>
    </w:p>
    <w:p>
      <w:pPr>
        <w:pStyle w:val="1345"/>
        <w:ind w:firstLine="3600"/>
        <w:spacing w:before="240" w:after="240"/>
        <w:rPr>
          <w:rStyle w:val="992"/>
          <w:rFonts w:hint="eastAsia"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rPr>
        <w:t xml:space="preserve">日期：   年   月   日</w:t>
      </w:r>
      <w:r/>
    </w:p>
    <w:p>
      <w:pPr>
        <w:ind w:firstLine="3600"/>
        <w:keepLines w:val="0"/>
        <w:keepNext w:val="0"/>
        <w:pageBreakBefore w:val="0"/>
        <w:spacing w:before="240" w:after="240" w:line="360" w:lineRule="auto"/>
        <w:widowControl w:val="off"/>
        <w:rPr>
          <w:rFonts w:hint="eastAsia" w:ascii="Times New Roman" w:hAnsi="Times New Roman" w:eastAsia="Times New Roman"/>
          <w:bCs/>
          <w:i/>
          <w:color w:val="auto"/>
          <w:sz w:val="24"/>
          <w:szCs w:val="24"/>
          <w:highlight w:val="none"/>
          <w:u w:val="single"/>
        </w:rPr>
      </w:pPr>
      <w:r>
        <w:rPr>
          <w:rFonts w:hint="eastAsia" w:ascii="Times New Roman" w:hAnsi="Times New Roman" w:eastAsia="Times New Roman"/>
          <w:bCs/>
          <w:i/>
          <w:color w:val="auto"/>
          <w:sz w:val="24"/>
          <w:szCs w:val="24"/>
          <w:highlight w:val="none"/>
          <w:u w:val="single"/>
        </w:rPr>
        <w:t xml:space="preserve">授权委托书（被授权人非法定代表人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ind w:firstLine="420"/>
        <w:jc w:val="center"/>
        <w:spacing w:line="360" w:lineRule="auto"/>
        <w:rPr>
          <w:rStyle w:val="992"/>
          <w:rFonts w:ascii="Times New Roman" w:hAnsi="Times New Roman" w:eastAsia="Times New Roman"/>
          <w:color w:val="auto"/>
          <w:highlight w:val="none"/>
        </w:rPr>
      </w:pPr>
      <w:r>
        <w:rPr>
          <w:rFonts w:ascii="Times New Roman" w:hAnsi="Times New Roman" w:eastAsia="Times New Roman"/>
          <w:color w:val="auto"/>
          <w:highlight w:val="none"/>
        </w:rPr>
      </w:r>
      <w:r/>
    </w:p>
    <w:p>
      <w:pPr>
        <w:ind w:firstLine="562"/>
        <w:jc w:val="center"/>
        <w:spacing w:line="360" w:lineRule="auto"/>
        <w:rPr>
          <w:rFonts w:ascii="宋体" w:hAnsi="宋体"/>
          <w:b/>
          <w:color w:val="auto"/>
          <w:sz w:val="32"/>
          <w:szCs w:val="32"/>
          <w:highlight w:val="none"/>
        </w:rPr>
        <w:outlineLvl w:val="1"/>
      </w:pPr>
      <w:r/>
      <w:bookmarkStart w:id="282" w:name="_Toc13190"/>
      <w:r/>
      <w:bookmarkStart w:id="283" w:name="_Toc26739"/>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82"/>
      <w:r/>
      <w:bookmarkEnd w:id="283"/>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ind w:firstLine="480"/>
        <w:spacing w:line="360" w:lineRule="auto"/>
        <w:rPr>
          <w:rFonts w:hint="eastAsia" w:ascii="宋体" w:hAnsi="宋体" w:cs="宋体"/>
          <w:color w:val="auto"/>
          <w:sz w:val="24"/>
          <w:szCs w:val="24"/>
          <w:highlight w:val="none"/>
        </w:rPr>
      </w:pPr>
      <w:r/>
      <w:bookmarkStart w:id="284" w:name="_Toc14114"/>
      <w:r/>
      <w:bookmarkStart w:id="285" w:name="_Toc12431"/>
      <w:r/>
      <w:bookmarkStart w:id="286" w:name="_Toc12095"/>
      <w:r/>
      <w:bookmarkStart w:id="287" w:name="_Toc15106"/>
      <w:r>
        <w:rPr>
          <w:rFonts w:hint="eastAsia" w:ascii="宋体" w:hAnsi="宋体" w:cs="宋体"/>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280"/>
        <w:spacing w:line="360" w:lineRule="auto"/>
        <w:rPr>
          <w:rFonts w:ascii="宋体" w:hAnsi="宋体" w:cs="宋体"/>
          <w:color w:val="auto"/>
          <w:highlight w:val="none"/>
        </w:rPr>
      </w:pPr>
      <w:r>
        <w:rPr>
          <w:rFonts w:hint="eastAsia" w:ascii="宋体" w:hAnsi="宋体" w:cs="宋体"/>
          <w:color w:val="auto"/>
          <w:sz w:val="24"/>
          <w:szCs w:val="24"/>
          <w:highlight w:val="none"/>
        </w:rPr>
        <w:t xml:space="preserve">投标单位（加盖公章）：</w:t>
      </w:r>
      <w:r/>
    </w:p>
    <w:p>
      <w:pPr>
        <w:rPr>
          <w:rStyle w:val="992"/>
          <w:b/>
          <w:bCs/>
          <w:color w:val="auto"/>
          <w:sz w:val="32"/>
          <w:szCs w:val="32"/>
          <w:highlight w:val="none"/>
        </w:rPr>
      </w:pPr>
      <w:r>
        <w:rPr>
          <w:b/>
          <w:bCs/>
          <w:color w:val="auto"/>
          <w:sz w:val="32"/>
          <w:szCs w:val="32"/>
          <w:highlight w:val="none"/>
        </w:rPr>
      </w:r>
      <w:r/>
    </w:p>
    <w:p>
      <w:pPr>
        <w:pStyle w:val="1386"/>
        <w:rPr>
          <w:rFonts w:hint="eastAsia" w:ascii="宋体" w:hAnsi="宋体" w:eastAsia="宋体" w:cs="宋体"/>
          <w:color w:val="auto"/>
          <w:highlight w:val="none"/>
          <w:lang w:eastAsia="zh-CN"/>
        </w:rPr>
        <w:outlineLvl w:val="0"/>
      </w:pPr>
      <w:r>
        <w:rPr>
          <w:rStyle w:val="992"/>
          <w:b/>
          <w:bCs/>
          <w:color w:val="auto"/>
          <w:sz w:val="32"/>
          <w:szCs w:val="32"/>
          <w:highlight w:val="none"/>
        </w:rPr>
        <w:br w:type="page" w:clear="all"/>
      </w:r>
      <w:bookmarkEnd w:id="284"/>
      <w:r>
        <w:rPr>
          <w:rFonts w:ascii="宋体" w:hAnsi="宋体" w:eastAsia="宋体" w:cs="宋体"/>
          <w:b/>
          <w:color w:val="auto"/>
          <w:sz w:val="32"/>
          <w:highlight w:val="none"/>
        </w:rPr>
        <w:t xml:space="preserve">中小企业声明函</w:t>
      </w:r>
      <w:r>
        <w:rPr>
          <w:rFonts w:hint="eastAsia" w:ascii="宋体" w:hAnsi="宋体" w:eastAsia="宋体" w:cs="宋体"/>
          <w:b/>
          <w:color w:val="auto"/>
          <w:sz w:val="32"/>
          <w:highlight w:val="none"/>
          <w:lang w:eastAsia="zh-CN"/>
        </w:rPr>
        <w:t xml:space="preserve">等</w:t>
      </w:r>
      <w:r/>
    </w:p>
    <w:p>
      <w:pPr>
        <w:pStyle w:val="1380"/>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中小企业声明函（服务） </w:t>
      </w:r>
      <w:r/>
    </w:p>
    <w:p>
      <w:pPr>
        <w:pStyle w:val="1380"/>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 (财库〔2020〕46号)的规定，本公司参加 </w:t>
      </w:r>
      <w:r>
        <w:rPr>
          <w:rFonts w:hint="eastAsia" w:ascii="宋体" w:hAnsi="宋体" w:eastAsia="宋体" w:cs="宋体"/>
          <w:color w:val="auto"/>
          <w:sz w:val="24"/>
          <w:szCs w:val="24"/>
          <w:highlight w:val="none"/>
          <w:u w:val="single"/>
          <w:lang w:val="en-US" w:eastAsia="zh-CN"/>
        </w:rPr>
        <w:t xml:space="preserve">江苏省张家港保税区规划建设局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lang w:val="en-US" w:eastAsia="zh-CN"/>
        </w:rPr>
        <w:t xml:space="preserve">保税区路灯改造能源管理服务项目</w:t>
      </w:r>
      <w:r>
        <w:rPr>
          <w:rFonts w:hint="eastAsia" w:ascii="宋体" w:hAnsi="宋体" w:eastAsia="宋体" w:cs="宋体"/>
          <w:color w:val="auto"/>
          <w:sz w:val="24"/>
          <w:szCs w:val="24"/>
          <w:highlight w:val="none"/>
        </w:rPr>
        <w:t xml:space="preserve">（项目名称）采购活动，服务全部由符合政策要求的中小企业承接。相关企业（含联合体中的中小企业、签订分包意向协议的中小企业）的具体情况如下：</w:t>
      </w:r>
      <w:r/>
    </w:p>
    <w:p>
      <w:pPr>
        <w:pStyle w:val="1360"/>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u w:val="single"/>
          <w:lang w:eastAsia="zh-CN"/>
        </w:rPr>
        <w:t xml:space="preserve">保税区路灯改造能源管理服务项目</w:t>
      </w:r>
      <w:r>
        <w:rPr>
          <w:rFonts w:hint="eastAsia" w:ascii="宋体" w:hAnsi="宋体" w:eastAsia="宋体" w:cs="宋体"/>
          <w:i/>
          <w:iCs/>
          <w:color w:val="auto"/>
          <w:highlight w:val="none"/>
          <w:u w:val="single"/>
        </w:rPr>
        <w:t xml:space="preserve">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 </w:t>
      </w:r>
      <w:r>
        <w:rPr>
          <w:rFonts w:hint="eastAsia" w:ascii="宋体" w:hAnsi="宋体" w:eastAsia="宋体" w:cs="宋体"/>
          <w:color w:val="auto"/>
          <w:highlight w:val="none"/>
          <w:u w:val="single"/>
        </w:rPr>
        <w:t xml:space="preserve"> 其他未列明</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 行业；承建（承接）企业为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rPr>
          <w:rFonts w:hint="eastAsia" w:ascii="宋体" w:hAnsi="宋体" w:eastAsia="宋体" w:cs="宋体"/>
          <w:i/>
          <w:iCs/>
          <w:color w:val="auto"/>
          <w:highlight w:val="none"/>
          <w:u w:val="single"/>
        </w:rPr>
        <w:t xml:space="preserve">）</w:t>
      </w:r>
      <w:r>
        <w:rPr>
          <w:rFonts w:hint="eastAsia" w:ascii="宋体" w:hAnsi="宋体" w:eastAsia="宋体" w:cs="宋体"/>
          <w:color w:val="auto"/>
          <w:highlight w:val="none"/>
        </w:rPr>
        <w:t xml:space="preserve">；</w:t>
      </w:r>
      <w:r/>
    </w:p>
    <w:p>
      <w:pPr>
        <w:pStyle w:val="1380"/>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380"/>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本企业对上述声明内容的真实性负责。如有虚假，将依法承担相应责任。 </w:t>
      </w:r>
      <w:r/>
    </w:p>
    <w:p>
      <w:pPr>
        <w:pStyle w:val="1380"/>
        <w:jc w:val="center"/>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企业名称（盖章）：   </w:t>
      </w:r>
      <w:r/>
    </w:p>
    <w:p>
      <w:pPr>
        <w:pStyle w:val="1380"/>
        <w:jc w:val="right"/>
        <w:spacing w:before="240" w:after="240"/>
        <w:rPr>
          <w:rFonts w:ascii="宋体" w:hAnsi="宋体" w:eastAsia="宋体" w:cs="宋体"/>
          <w:color w:val="auto"/>
          <w:highlight w:val="none"/>
        </w:rPr>
      </w:pPr>
      <w:r>
        <w:rPr>
          <w:rFonts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年   月   日</w:t>
      </w:r>
      <w:r>
        <w:rPr>
          <w:rFonts w:ascii="宋体" w:hAnsi="宋体" w:eastAsia="宋体" w:cs="宋体"/>
          <w:color w:val="auto"/>
          <w:highlight w:val="none"/>
        </w:rPr>
        <w:t xml:space="preserve">   </w:t>
      </w:r>
      <w:r/>
    </w:p>
    <w:p>
      <w:pPr>
        <w:pStyle w:val="1380"/>
        <w:spacing w:before="240" w:after="24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备注：1.从业人员、营业收入、资产总额填报上一年度数据，无上一年度数据的新成立企业可不填报。</w:t>
      </w:r>
      <w:r/>
    </w:p>
    <w:p>
      <w:pPr>
        <w:pStyle w:val="1380"/>
        <w:spacing w:before="240" w:after="24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应</w:t>
      </w:r>
      <w:r>
        <w:rPr>
          <w:rFonts w:ascii="宋体" w:hAnsi="宋体" w:eastAsia="宋体" w:cs="宋体"/>
          <w:color w:val="auto"/>
          <w:sz w:val="24"/>
          <w:szCs w:val="24"/>
          <w:highlight w:val="none"/>
        </w:rPr>
        <w:t xml:space="preserve">对照</w:t>
      </w:r>
      <w:r>
        <w:rPr>
          <w:rFonts w:hint="eastAsia" w:ascii="宋体" w:hAnsi="宋体" w:eastAsia="宋体" w:cs="宋体"/>
          <w:color w:val="auto"/>
          <w:sz w:val="24"/>
          <w:szCs w:val="24"/>
          <w:highlight w:val="none"/>
        </w:rPr>
        <w:t xml:space="preserve">《工业和信息化部、国家统计局、国家发展和改革委员会、财政部关于印发中小企业划型标准规定的通知》（工信部企业[2011]300号)的规定</w:t>
      </w:r>
      <w:r>
        <w:rPr>
          <w:rFonts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对承接企业</w:t>
      </w:r>
      <w:r>
        <w:rPr>
          <w:rFonts w:ascii="宋体" w:hAnsi="宋体" w:eastAsia="宋体" w:cs="宋体"/>
          <w:b/>
          <w:bCs/>
          <w:color w:val="auto"/>
          <w:sz w:val="24"/>
          <w:szCs w:val="24"/>
          <w:highlight w:val="none"/>
        </w:rPr>
        <w:t xml:space="preserve">的企业</w:t>
      </w:r>
      <w:r>
        <w:rPr>
          <w:rFonts w:hint="eastAsia" w:ascii="宋体" w:hAnsi="宋体" w:eastAsia="宋体" w:cs="宋体"/>
          <w:b/>
          <w:bCs/>
          <w:color w:val="auto"/>
          <w:sz w:val="24"/>
          <w:szCs w:val="24"/>
          <w:highlight w:val="none"/>
        </w:rPr>
        <w:t xml:space="preserve">规模类型（中型企业、小型企业、微型企业）进行勾选或明确，如供应商未进行勾选或明确的，自行承担《中小企业声明函》可能不被认可的不利后果。</w:t>
      </w:r>
      <w:r/>
    </w:p>
    <w:p>
      <w:pPr>
        <w:pStyle w:val="1380"/>
        <w:spacing w:before="240" w:after="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《中小企业声明函》中所填的行业应与本采购标的对应的中小企业划分标准所属行业一致，</w:t>
      </w:r>
      <w:r>
        <w:rPr>
          <w:rFonts w:hint="eastAsia" w:ascii="宋体" w:hAnsi="宋体" w:eastAsia="宋体" w:cs="宋体"/>
          <w:b/>
          <w:bCs/>
          <w:color w:val="auto"/>
          <w:sz w:val="24"/>
          <w:szCs w:val="24"/>
          <w:highlight w:val="none"/>
        </w:rPr>
        <w:t xml:space="preserve">本采购标的对应的中小企业划分标准所属行业，以招标文件第四章《招标书》规定为准。</w:t>
      </w:r>
      <w:r>
        <w:rPr>
          <w:rFonts w:ascii="宋体" w:hAnsi="宋体" w:eastAsia="宋体" w:cs="宋体"/>
          <w:color w:val="auto"/>
          <w:sz w:val="24"/>
          <w:szCs w:val="24"/>
          <w:highlight w:val="none"/>
        </w:rPr>
        <w:t xml:space="preserve"> </w:t>
      </w:r>
      <w:r/>
    </w:p>
    <w:p>
      <w:pPr>
        <w:pStyle w:val="1380"/>
        <w:spacing w:before="240" w:after="240"/>
        <w:rPr>
          <w:rStyle w:val="992"/>
          <w:rFonts w:ascii="宋体" w:hAnsi="宋体" w:eastAsia="宋体" w:cs="宋体"/>
          <w:b/>
          <w:bCs/>
          <w:color w:val="auto"/>
          <w:sz w:val="24"/>
          <w:szCs w:val="24"/>
          <w:highlight w:val="none"/>
        </w:rPr>
      </w:pPr>
      <w:r>
        <w:rPr>
          <w:rStyle w:val="992"/>
          <w:rFonts w:hint="eastAsia" w:ascii="宋体" w:hAnsi="宋体" w:eastAsia="宋体" w:cs="宋体"/>
          <w:color w:val="auto"/>
          <w:sz w:val="24"/>
          <w:szCs w:val="24"/>
          <w:highlight w:val="none"/>
          <w:lang w:val="en-US"/>
        </w:rPr>
        <w:t xml:space="preserve">4</w:t>
      </w:r>
      <w:r>
        <w:rPr>
          <w:rStyle w:val="992"/>
          <w:rFonts w:hint="eastAsia" w:ascii="宋体" w:hAnsi="宋体" w:eastAsia="宋体" w:cs="宋体"/>
          <w:color w:val="auto"/>
          <w:sz w:val="24"/>
          <w:szCs w:val="24"/>
          <w:highlight w:val="none"/>
        </w:rPr>
        <w:t xml:space="preserve">.</w:t>
      </w:r>
      <w:r>
        <w:rPr>
          <w:rStyle w:val="992"/>
          <w:rFonts w:ascii="宋体" w:hAnsi="宋体" w:eastAsia="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992"/>
          <w:rFonts w:hint="eastAsia" w:ascii="宋体" w:hAnsi="宋体" w:eastAsia="宋体" w:cs="宋体"/>
          <w:color w:val="auto"/>
          <w:sz w:val="24"/>
          <w:szCs w:val="24"/>
          <w:highlight w:val="none"/>
        </w:rPr>
        <w:t xml:space="preserve">，</w:t>
      </w:r>
      <w:r>
        <w:rPr>
          <w:b/>
          <w:color w:val="auto"/>
          <w:highlight w:val="none"/>
        </w:rPr>
        <w:t xml:space="preserve">才可享受规定的中小企业扶持政策</w:t>
      </w:r>
      <w:r>
        <w:rPr>
          <w:rStyle w:val="992"/>
          <w:rFonts w:ascii="宋体" w:hAnsi="宋体" w:eastAsia="宋体" w:cs="宋体"/>
          <w:color w:val="auto"/>
          <w:sz w:val="24"/>
          <w:szCs w:val="24"/>
          <w:highlight w:val="none"/>
        </w:rPr>
        <w:t xml:space="preserve">。</w:t>
      </w:r>
      <w:r>
        <w:rPr>
          <w:rStyle w:val="992"/>
          <w:rFonts w:ascii="宋体" w:hAnsi="宋体" w:eastAsia="宋体" w:cs="宋体"/>
          <w:b/>
          <w:bCs/>
          <w:color w:val="auto"/>
          <w:sz w:val="24"/>
          <w:szCs w:val="24"/>
          <w:highlight w:val="none"/>
        </w:rPr>
        <w:t xml:space="preserve">服务类项目中供应商若使用退休人员，将不享受相应扶持政策。</w:t>
      </w:r>
      <w:r/>
    </w:p>
    <w:p>
      <w:pPr>
        <w:pStyle w:val="1380"/>
        <w:spacing w:before="240" w:after="240"/>
        <w:rPr>
          <w:rStyle w:val="992"/>
          <w:rFonts w:ascii="宋体" w:hAnsi="宋体" w:eastAsia="宋体" w:cs="宋体"/>
          <w:color w:val="auto"/>
          <w:sz w:val="24"/>
          <w:szCs w:val="24"/>
          <w:highlight w:val="none"/>
        </w:rPr>
      </w:pPr>
      <w:r>
        <w:rPr>
          <w:rStyle w:val="992"/>
          <w:rFonts w:hint="eastAsia" w:ascii="宋体" w:hAnsi="宋体" w:eastAsia="宋体" w:cs="宋体"/>
          <w:color w:val="auto"/>
          <w:sz w:val="24"/>
          <w:szCs w:val="24"/>
          <w:highlight w:val="none"/>
          <w:lang w:val="en-US" w:eastAsia="zh-CN"/>
        </w:rPr>
        <w:t xml:space="preserve">5</w:t>
      </w:r>
      <w:r>
        <w:rPr>
          <w:rStyle w:val="992"/>
          <w:rFonts w:hint="eastAsia" w:ascii="宋体" w:hAnsi="宋体" w:eastAsia="宋体" w:cs="宋体"/>
          <w:color w:val="auto"/>
          <w:sz w:val="24"/>
          <w:szCs w:val="24"/>
          <w:highlight w:val="none"/>
        </w:rPr>
        <w:t xml:space="preserve">.供应商享受中小企业扶持政策的，《中小企业声明函》将随中标结果同时公告</w:t>
      </w:r>
      <w:r>
        <w:rPr>
          <w:rStyle w:val="992"/>
          <w:rFonts w:ascii="宋体" w:hAnsi="宋体" w:eastAsia="宋体" w:cs="宋体"/>
          <w:color w:val="auto"/>
          <w:sz w:val="24"/>
          <w:szCs w:val="24"/>
          <w:highlight w:val="none"/>
        </w:rPr>
        <w:t xml:space="preserve">。 </w:t>
      </w:r>
      <w:r/>
    </w:p>
    <w:p>
      <w:pPr>
        <w:pStyle w:val="1380"/>
        <w:spacing w:before="240" w:after="240"/>
        <w:rPr>
          <w:rStyle w:val="992"/>
          <w:rFonts w:ascii="宋体" w:hAnsi="宋体" w:eastAsia="宋体" w:cs="宋体"/>
          <w:color w:val="auto"/>
          <w:sz w:val="24"/>
          <w:szCs w:val="24"/>
          <w:highlight w:val="none"/>
        </w:rPr>
      </w:pPr>
      <w:r>
        <w:rPr>
          <w:rStyle w:val="992"/>
          <w:rFonts w:ascii="宋体" w:hAnsi="宋体" w:eastAsia="宋体" w:cs="宋体"/>
          <w:color w:val="auto"/>
          <w:sz w:val="24"/>
          <w:szCs w:val="24"/>
          <w:highlight w:val="none"/>
        </w:rPr>
        <w:br w:type="page" w:clear="all"/>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附：中小企业划型标准规定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80"/>
        <w:spacing w:before="240" w:after="240"/>
        <w:rPr>
          <w:rFonts w:ascii="宋体" w:hAnsi="宋体" w:eastAsia="宋体" w:cs="宋体"/>
          <w:color w:val="auto"/>
          <w:highlight w:val="none"/>
        </w:rPr>
      </w:pPr>
      <w:r>
        <w:rPr>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363"/>
        <w:spacing w:line="440" w:lineRule="exact"/>
        <w:rPr>
          <w:rFonts w:ascii="宋体" w:hAnsi="宋体" w:eastAsia="宋体" w:cs="宋体"/>
          <w:b/>
          <w:bCs/>
          <w:color w:val="auto"/>
          <w:sz w:val="32"/>
          <w:szCs w:val="32"/>
          <w:highlight w:val="none"/>
        </w:rPr>
      </w:pPr>
      <w:r>
        <w:rPr>
          <w:color w:val="auto"/>
          <w:highlight w:val="none"/>
        </w:rPr>
        <w:br w:type="page" w:clear="all"/>
      </w:r>
      <w:r/>
    </w:p>
    <w:p>
      <w:pPr>
        <w:pStyle w:val="1363"/>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63"/>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残疾人福利性单位声明函 </w:t>
      </w:r>
      <w:r/>
    </w:p>
    <w:p>
      <w:pPr>
        <w:pStyle w:val="1363"/>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张家港保税区宏宇建设咨询有限公司：</w:t>
      </w:r>
      <w:r>
        <w:rPr>
          <w:rFonts w:ascii="宋体" w:hAnsi="宋体" w:eastAsia="宋体" w:cs="宋体"/>
          <w:color w:val="auto"/>
          <w:highlight w:val="none"/>
        </w:rPr>
        <w:t xml:space="preserve"> </w:t>
      </w:r>
      <w:r/>
    </w:p>
    <w:p>
      <w:pPr>
        <w:pStyle w:val="1363"/>
        <w:ind w:firstLine="480"/>
        <w:keepLines w:val="0"/>
        <w:keepNext w:val="0"/>
        <w:pageBreakBefore w:val="0"/>
        <w:spacing w:line="360" w:lineRule="auto"/>
        <w:widowControl/>
        <w:rPr>
          <w:rFonts w:ascii="宋体" w:hAnsi="宋体" w:eastAsia="宋体" w:cs="宋体"/>
          <w:color w:val="auto"/>
          <w:highlight w:val="none"/>
        </w:rPr>
      </w:pPr>
      <w:r>
        <w:rPr>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单位的</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363"/>
        <w:ind w:firstLine="480"/>
        <w:keepLines w:val="0"/>
        <w:keepNext w:val="0"/>
        <w:pageBreakBefore w:val="0"/>
        <w:spacing w:line="360" w:lineRule="auto"/>
        <w:widowControl/>
        <w:rPr>
          <w:rFonts w:ascii="宋体" w:hAnsi="宋体" w:eastAsia="宋体" w:cs="宋体"/>
          <w:color w:val="auto"/>
          <w:highlight w:val="none"/>
        </w:rPr>
      </w:pPr>
      <w:r>
        <w:rPr>
          <w:rFonts w:ascii="宋体" w:hAnsi="宋体" w:eastAsia="宋体" w:cs="宋体"/>
          <w:color w:val="auto"/>
          <w:highlight w:val="none"/>
        </w:rPr>
        <w:t xml:space="preserve">本单位对上述声明的真实性负责。如有虚假，将依法承担相应责任。 </w:t>
      </w:r>
      <w:r/>
    </w:p>
    <w:p>
      <w:pPr>
        <w:pStyle w:val="1363"/>
        <w:jc w:val="center"/>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1363"/>
        <w:jc w:val="center"/>
        <w:spacing w:before="240" w:after="24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单位名称（盖章）：   </w:t>
      </w:r>
      <w:r/>
    </w:p>
    <w:p>
      <w:pPr>
        <w:pStyle w:val="1363"/>
        <w:jc w:val="right"/>
        <w:spacing w:before="240" w:after="240"/>
        <w:rPr>
          <w:rFonts w:ascii="宋体" w:hAnsi="宋体" w:eastAsia="宋体" w:cs="宋体"/>
          <w:color w:val="auto"/>
          <w:highlight w:val="none"/>
        </w:rPr>
      </w:pPr>
      <w:r>
        <w:rPr>
          <w:rFonts w:ascii="宋体" w:hAnsi="宋体" w:eastAsia="宋体" w:cs="宋体"/>
          <w:color w:val="auto"/>
          <w:highlight w:val="none"/>
        </w:rPr>
        <w:t xml:space="preserve">日期：</w:t>
      </w:r>
      <w:r>
        <w:rPr>
          <w:rFonts w:hint="eastAsia" w:ascii="宋体" w:hAnsi="宋体" w:eastAsia="宋体" w:cs="宋体"/>
          <w:color w:val="auto"/>
          <w:highlight w:val="none"/>
          <w:lang w:val="en-US" w:eastAsia="zh-CN"/>
        </w:rPr>
        <w:t xml:space="preserve">   年   月    日</w:t>
      </w:r>
      <w:r>
        <w:rPr>
          <w:rFonts w:ascii="宋体" w:hAnsi="宋体" w:eastAsia="宋体" w:cs="宋体"/>
          <w:color w:val="auto"/>
          <w:highlight w:val="none"/>
        </w:rPr>
        <w:t xml:space="preserve">   </w:t>
      </w:r>
      <w:r/>
    </w:p>
    <w:p>
      <w:pPr>
        <w:pStyle w:val="1363"/>
        <w:spacing w:before="240" w:after="240"/>
        <w:rPr>
          <w:rFonts w:ascii="宋体" w:hAnsi="宋体" w:eastAsia="宋体" w:cs="宋体"/>
          <w:color w:val="auto"/>
          <w:highlight w:val="none"/>
        </w:rPr>
      </w:pPr>
      <w:r>
        <w:rPr>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63"/>
        <w:spacing w:before="240" w:after="240"/>
        <w:rPr>
          <w:rFonts w:ascii="宋体" w:hAnsi="宋体" w:eastAsia="宋体" w:cs="宋体"/>
          <w:color w:val="auto"/>
          <w:highlight w:val="none"/>
        </w:rPr>
      </w:pPr>
      <w:r>
        <w:rPr>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363"/>
        <w:spacing w:before="240" w:after="240"/>
        <w:rPr>
          <w:rFonts w:ascii="宋体" w:hAnsi="宋体" w:eastAsia="宋体" w:cs="宋体"/>
          <w:color w:val="auto"/>
          <w:highlight w:val="none"/>
        </w:rPr>
      </w:pPr>
      <w:r>
        <w:rPr>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363"/>
        <w:spacing w:before="240" w:after="240"/>
        <w:rPr>
          <w:rFonts w:ascii="宋体" w:hAnsi="宋体" w:eastAsia="宋体" w:cs="宋体"/>
          <w:color w:val="auto"/>
          <w:highlight w:val="none"/>
        </w:rPr>
      </w:pPr>
      <w:r>
        <w:rPr>
          <w:rFonts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178"/>
        <w:rPr>
          <w:color w:val="auto"/>
          <w:highlight w:val="none"/>
        </w:rPr>
        <w:outlineLvl w:val="0"/>
      </w:pPr>
      <w:r>
        <w:rPr>
          <w:color w:val="auto"/>
          <w:highlight w:val="none"/>
        </w:rPr>
        <w:br w:type="page" w:clear="all"/>
      </w:r>
      <w:r/>
    </w:p>
    <w:p>
      <w:pPr>
        <w:jc w:val="center"/>
        <w:rPr>
          <w:color w:val="auto"/>
          <w:sz w:val="32"/>
          <w:szCs w:val="32"/>
          <w:highlight w:val="none"/>
        </w:rPr>
      </w:pPr>
      <w:r>
        <w:rPr>
          <w:rFonts w:hint="eastAsia"/>
          <w:color w:val="auto"/>
          <w:sz w:val="32"/>
          <w:szCs w:val="32"/>
          <w:highlight w:val="none"/>
        </w:rPr>
        <w:t xml:space="preserve">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（证明文件）</w:t>
      </w:r>
      <w:r/>
    </w:p>
    <w:p>
      <w:pPr>
        <w:pStyle w:val="855"/>
        <w:rPr>
          <w:rFonts w:ascii="等线" w:hAnsi="等线" w:eastAsia="等线"/>
          <w:color w:val="auto"/>
          <w:sz w:val="21"/>
          <w:highlight w:val="none"/>
        </w:rPr>
      </w:pPr>
      <w:r>
        <w:rPr>
          <w:rFonts w:ascii="等线" w:hAnsi="等线" w:eastAsia="等线"/>
          <w:color w:val="auto"/>
          <w:sz w:val="21"/>
          <w:highlight w:val="none"/>
        </w:rPr>
      </w:r>
      <w:r/>
    </w:p>
    <w:p>
      <w:pPr>
        <w:pStyle w:val="855"/>
        <w:ind w:firstLine="0"/>
        <w:rPr>
          <w:rFonts w:ascii="等线" w:hAnsi="等线" w:eastAsia="等线"/>
          <w:color w:val="auto"/>
          <w:sz w:val="21"/>
          <w:highlight w:val="none"/>
        </w:rPr>
      </w:pPr>
      <w:r>
        <w:rPr>
          <w:rFonts w:ascii="等线" w:hAnsi="等线" w:eastAsia="等线"/>
          <w:color w:val="auto"/>
          <w:sz w:val="21"/>
          <w:highlight w:val="none"/>
        </w:rPr>
      </w:r>
      <w:r/>
    </w:p>
    <w:p>
      <w:pPr>
        <w:pStyle w:val="855"/>
        <w:rPr>
          <w:rFonts w:ascii="等线" w:hAnsi="等线" w:eastAsia="等线"/>
          <w:color w:val="auto"/>
          <w:sz w:val="21"/>
          <w:highlight w:val="none"/>
        </w:rPr>
      </w:pPr>
      <w:r>
        <w:rPr>
          <w:rFonts w:ascii="等线" w:hAnsi="等线" w:eastAsia="等线"/>
          <w:color w:val="auto"/>
          <w:sz w:val="21"/>
          <w:highlight w:val="none"/>
        </w:rPr>
      </w:r>
      <w:r/>
    </w:p>
    <w:p>
      <w:pPr>
        <w:pStyle w:val="855"/>
        <w:rPr>
          <w:rFonts w:ascii="等线" w:hAnsi="等线" w:eastAsia="等线"/>
          <w:color w:val="auto"/>
          <w:sz w:val="21"/>
          <w:highlight w:val="none"/>
        </w:rPr>
      </w:pPr>
      <w:r>
        <w:rPr>
          <w:rFonts w:ascii="等线" w:hAnsi="等线" w:eastAsia="等线"/>
          <w:color w:val="auto"/>
          <w:sz w:val="21"/>
          <w:highlight w:val="none"/>
        </w:rPr>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pStyle w:val="1161"/>
        <w:rPr>
          <w:rStyle w:val="992"/>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161"/>
        <w:rPr>
          <w:rStyle w:val="992"/>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161"/>
        <w:rPr>
          <w:rStyle w:val="992"/>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rPr>
          <w:rStyle w:val="992"/>
          <w:rFonts w:ascii="宋体" w:hAnsi="宋体" w:eastAsia="宋体" w:cs="宋体"/>
          <w:b/>
          <w:color w:val="auto"/>
          <w:sz w:val="28"/>
          <w:highlight w:val="none"/>
        </w:rPr>
      </w:pPr>
      <w:r>
        <w:rPr>
          <w:rStyle w:val="992"/>
          <w:rFonts w:ascii="宋体" w:hAnsi="宋体" w:eastAsia="宋体" w:cs="宋体"/>
          <w:b/>
          <w:color w:val="auto"/>
          <w:sz w:val="28"/>
          <w:highlight w:val="none"/>
        </w:rPr>
        <w:br w:type="page" w:clear="all"/>
      </w:r>
      <w:r/>
    </w:p>
    <w:p>
      <w:pPr>
        <w:pStyle w:val="1161"/>
        <w:rPr>
          <w:rStyle w:val="992"/>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pStyle w:val="1386"/>
        <w:rPr>
          <w:rFonts w:ascii="宋体" w:hAnsi="宋体" w:eastAsia="宋体" w:cs="宋体"/>
          <w:b/>
          <w:color w:val="auto"/>
          <w:sz w:val="32"/>
          <w:highlight w:val="none"/>
        </w:rPr>
        <w:outlineLvl w:val="0"/>
      </w:pPr>
      <w:r>
        <w:rPr>
          <w:rFonts w:hint="eastAsia" w:ascii="宋体" w:hAnsi="宋体" w:eastAsia="宋体" w:cs="宋体"/>
          <w:b/>
          <w:color w:val="auto"/>
          <w:sz w:val="32"/>
          <w:highlight w:val="none"/>
        </w:rPr>
        <w:t xml:space="preserve">分包意向协议书（若进行分包需提供）</w:t>
      </w:r>
      <w:r/>
    </w:p>
    <w:p>
      <w:pPr>
        <w:ind w:left="0" w:firstLine="315"/>
        <w:jc w:val="center"/>
        <w:spacing w:line="360" w:lineRule="auto"/>
        <w:rPr>
          <w:rFonts w:ascii="宋体" w:hAnsi="宋体"/>
          <w:b/>
          <w:color w:val="auto"/>
          <w:sz w:val="21"/>
          <w:szCs w:val="21"/>
          <w:highlight w:val="none"/>
        </w:rPr>
      </w:pPr>
      <w:r>
        <w:rPr>
          <w:rFonts w:ascii="宋体" w:hAnsi="宋体"/>
          <w:b/>
          <w:color w:val="auto"/>
          <w:sz w:val="21"/>
          <w:szCs w:val="21"/>
          <w:highlight w:val="none"/>
        </w:rPr>
      </w:r>
      <w:r/>
    </w:p>
    <w:p>
      <w:pPr>
        <w:jc w:val="center"/>
        <w:rPr>
          <w:rFonts w:hint="eastAsia"/>
          <w:color w:val="auto"/>
          <w:sz w:val="32"/>
          <w:szCs w:val="32"/>
          <w:highlight w:val="none"/>
        </w:rPr>
      </w:pPr>
      <w:r>
        <w:rPr>
          <w:rFonts w:hint="eastAsia"/>
          <w:color w:val="auto"/>
          <w:sz w:val="32"/>
          <w:szCs w:val="32"/>
          <w:highlight w:val="none"/>
        </w:rPr>
        <w:t xml:space="preserve">分包意向协议书</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（乙公司全称）</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（……公司全称）</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（甲公司全称）、（乙公司全称）、（……公司全称）自愿达成分包意向，参加</w:t>
      </w:r>
      <w:r>
        <w:rPr>
          <w:rFonts w:hint="eastAsia" w:ascii="宋体" w:hAnsi="宋体" w:eastAsia="宋体" w:cs="宋体"/>
          <w:color w:val="auto"/>
          <w:sz w:val="24"/>
          <w:szCs w:val="24"/>
          <w:highlight w:val="none"/>
          <w:u w:val="single"/>
        </w:rPr>
        <w:t xml:space="preserve">（采购项目编号） （采购项目名称）</w:t>
      </w:r>
      <w:r>
        <w:rPr>
          <w:rFonts w:hint="eastAsia" w:ascii="宋体" w:hAnsi="宋体" w:eastAsia="宋体" w:cs="宋体"/>
          <w:color w:val="auto"/>
          <w:sz w:val="24"/>
          <w:szCs w:val="24"/>
          <w:highlight w:val="none"/>
        </w:rPr>
        <w:t xml:space="preserve">的投标活动。经各方充分协商一致，就项目的投标和合同实施阶段的有关事务协商一致订立意向如下：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一、分包意向各方关系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为投标单位，</w:t>
      </w:r>
      <w:r>
        <w:rPr>
          <w:rFonts w:hint="eastAsia" w:ascii="宋体" w:hAnsi="宋体" w:eastAsia="宋体" w:cs="宋体"/>
          <w:color w:val="auto"/>
          <w:sz w:val="24"/>
          <w:szCs w:val="24"/>
          <w:highlight w:val="none"/>
          <w:u w:val="single"/>
        </w:rPr>
        <w:t xml:space="preserve">（乙公司全称）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（……公司全称）</w:t>
      </w:r>
      <w:r>
        <w:rPr>
          <w:rFonts w:hint="eastAsia" w:ascii="宋体" w:hAnsi="宋体" w:eastAsia="宋体" w:cs="宋体"/>
          <w:color w:val="auto"/>
          <w:sz w:val="24"/>
          <w:szCs w:val="24"/>
          <w:highlight w:val="none"/>
        </w:rPr>
        <w:t xml:space="preserve">为分包意向单位，</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以投标单位的身份参加本项目的投标。若中标，</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与采购人签订政府采购合同。承接分包意向的各单位与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签订分包合同。</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就采购项目和分包项目向采购人负责，分包供应商就分包项目承担责任。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二、有关事项约定如下：</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1.如中标，分包意向单位分别与</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签订合同，并就中标项目分包部分向采购人负责，有连带的和各自的法律责任。</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2.分包意向单位1</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3.分包意向单位2</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4.分包意向单位3</w:t>
      </w:r>
      <w:r>
        <w:rPr>
          <w:rFonts w:hint="eastAsia" w:ascii="宋体" w:hAnsi="宋体" w:eastAsia="宋体" w:cs="宋体"/>
          <w:color w:val="auto"/>
          <w:sz w:val="24"/>
          <w:szCs w:val="24"/>
          <w:highlight w:val="none"/>
          <w:u w:val="single"/>
        </w:rPr>
        <w:t xml:space="preserve">     （公司全称）</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（大型、中型、小型、微型）</w:t>
      </w:r>
      <w:r>
        <w:rPr>
          <w:rFonts w:hint="eastAsia" w:ascii="宋体" w:hAnsi="宋体" w:eastAsia="宋体" w:cs="宋体"/>
          <w:color w:val="auto"/>
          <w:sz w:val="24"/>
          <w:szCs w:val="24"/>
          <w:highlight w:val="none"/>
        </w:rPr>
        <w:t xml:space="preserve">企业，将承担以下分包工作：</w:t>
      </w:r>
      <w:r>
        <w:rPr>
          <w:rFonts w:hint="eastAsia" w:ascii="宋体" w:hAnsi="宋体" w:eastAsia="宋体" w:cs="宋体"/>
          <w:color w:val="auto"/>
          <w:sz w:val="24"/>
          <w:szCs w:val="24"/>
          <w:highlight w:val="none"/>
          <w:u w:val="single"/>
        </w:rPr>
        <w:t xml:space="preserve">  （具体分包工作内容）</w:t>
      </w:r>
      <w:r>
        <w:rPr>
          <w:rFonts w:hint="eastAsia" w:ascii="宋体" w:hAnsi="宋体" w:eastAsia="宋体" w:cs="宋体"/>
          <w:color w:val="auto"/>
          <w:sz w:val="24"/>
          <w:szCs w:val="24"/>
          <w:highlight w:val="none"/>
        </w:rPr>
        <w:t xml:space="preserve">，该部分工作内容占合同总金额的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三、如中标，分包意向单位不得以任何理由提出终止本意向协议。</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四、本意向协议书在自签订之日起生效，投标有效期结束之日失效。如中标，有效期延续至政府采购合同履行完毕之日。</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五、其他补充内容</w:t>
      </w:r>
      <w:r/>
    </w:p>
    <w:p>
      <w:pPr>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六、本意向协议书正本一式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u w:val="single"/>
        </w:rPr>
        <w:t xml:space="preserve">（甲公司全称）</w:t>
      </w:r>
      <w:r>
        <w:rPr>
          <w:rFonts w:hint="eastAsia" w:ascii="宋体" w:hAnsi="宋体" w:eastAsia="宋体" w:cs="宋体"/>
          <w:color w:val="auto"/>
          <w:sz w:val="24"/>
          <w:szCs w:val="24"/>
          <w:highlight w:val="none"/>
        </w:rPr>
        <w:t xml:space="preserve">及各分包意向单位各一份。</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1.各方成员在本意向协议书上共同盖章确认</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2.本意向协议书内容不得擅自修改，并将作为签订合同的附件之一。</w:t>
      </w:r>
      <w:r/>
    </w:p>
    <w:p>
      <w:pPr>
        <w:ind w:left="0" w:firstLine="42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3.小微企业不得将合同分包给大中型企业，中型企业不得将合同分包给大型企业。</w:t>
      </w:r>
      <w:r/>
    </w:p>
    <w:p>
      <w:pPr>
        <w:ind w:left="0" w:firstLine="315"/>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ind w:left="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firstLine="315"/>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……公司（盖章）： </w:t>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83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161"/>
        <w:rPr>
          <w:rStyle w:val="992"/>
          <w:rFonts w:ascii="宋体" w:hAnsi="宋体" w:eastAsia="宋体" w:cs="宋体"/>
          <w:b/>
          <w:color w:val="auto"/>
          <w:sz w:val="28"/>
          <w:highlight w:val="none"/>
        </w:rPr>
        <w:outlineLvl w:val="0"/>
      </w:pPr>
      <w:r>
        <w:rPr>
          <w:rFonts w:ascii="宋体" w:hAnsi="宋体" w:eastAsia="宋体" w:cs="宋体"/>
          <w:b/>
          <w:color w:val="auto"/>
          <w:sz w:val="28"/>
          <w:highlight w:val="none"/>
        </w:rPr>
      </w:r>
      <w:r/>
    </w:p>
    <w:p>
      <w:pPr>
        <w:jc w:val="center"/>
        <w:spacing w:line="560" w:lineRule="exact"/>
        <w:rPr>
          <w:rFonts w:hint="default"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rPr>
        <w:t xml:space="preserve">联合体协议</w:t>
      </w:r>
      <w:r>
        <w:rPr>
          <w:rFonts w:hint="eastAsia" w:ascii="黑体" w:hAnsi="黑体" w:eastAsia="黑体"/>
          <w:b/>
          <w:color w:val="auto"/>
          <w:sz w:val="32"/>
          <w:szCs w:val="32"/>
          <w:highlight w:val="none"/>
          <w:lang w:eastAsia="zh-CN"/>
        </w:rPr>
        <w:t xml:space="preserve">（</w:t>
      </w:r>
      <w:r>
        <w:rPr>
          <w:rFonts w:hint="eastAsia" w:ascii="黑体" w:hAnsi="黑体" w:eastAsia="黑体"/>
          <w:b/>
          <w:color w:val="auto"/>
          <w:sz w:val="32"/>
          <w:szCs w:val="32"/>
          <w:highlight w:val="none"/>
          <w:lang w:val="en-US" w:eastAsia="zh-CN"/>
        </w:rPr>
        <w:t xml:space="preserve">联合体投标需提供）</w:t>
      </w:r>
      <w:r/>
    </w:p>
    <w:p>
      <w:pPr>
        <w:spacing w:line="560" w:lineRule="exact"/>
        <w:rPr>
          <w:rFonts w:hint="eastAsia" w:ascii="宋体" w:hAnsi="宋体"/>
          <w:color w:val="auto"/>
          <w:sz w:val="24"/>
          <w:szCs w:val="21"/>
          <w:highlight w:val="none"/>
        </w:rPr>
      </w:pPr>
      <w:r>
        <w:rPr>
          <w:rFonts w:hint="eastAsia" w:ascii="宋体" w:hAnsi="宋体"/>
          <w:color w:val="auto"/>
          <w:sz w:val="24"/>
          <w:highlight w:val="none"/>
        </w:rPr>
        <w:t xml:space="preserve">（联合体中各供应商全称）在此达成以下协议：</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1、我们</w:t>
      </w:r>
      <w:r>
        <w:rPr>
          <w:rFonts w:hint="eastAsia" w:ascii="宋体" w:hAnsi="宋体"/>
          <w:color w:val="auto"/>
          <w:sz w:val="24"/>
          <w:highlight w:val="none"/>
          <w:u w:val="single"/>
        </w:rPr>
        <w:t xml:space="preserve"> （供应商1），（供应商2） ，……</w:t>
      </w:r>
      <w:r>
        <w:rPr>
          <w:rFonts w:hint="eastAsia" w:ascii="宋体" w:hAnsi="宋体"/>
          <w:color w:val="auto"/>
          <w:sz w:val="24"/>
          <w:highlight w:val="none"/>
        </w:rPr>
        <w:t xml:space="preserve">自愿组成联合体，参加张家港保税区宏宇建设咨询有限公司组织的采购编号为</w:t>
      </w:r>
      <w:r>
        <w:rPr>
          <w:rFonts w:hint="eastAsia" w:ascii="宋体" w:hAnsi="宋体"/>
          <w:color w:val="auto"/>
          <w:sz w:val="24"/>
          <w:highlight w:val="none"/>
          <w:u w:val="single"/>
        </w:rPr>
        <w:t xml:space="preserve">（编号全称），（项目全称）</w:t>
      </w:r>
      <w:r>
        <w:rPr>
          <w:rFonts w:hint="eastAsia" w:ascii="宋体" w:hAnsi="宋体"/>
          <w:color w:val="auto"/>
          <w:sz w:val="24"/>
          <w:highlight w:val="none"/>
        </w:rPr>
        <w:t xml:space="preserve">项目的政府采购活动，我联合体指定</w:t>
      </w:r>
      <w:r>
        <w:rPr>
          <w:rFonts w:hint="eastAsia" w:ascii="宋体" w:hAnsi="宋体"/>
          <w:color w:val="auto"/>
          <w:sz w:val="24"/>
          <w:highlight w:val="none"/>
          <w:u w:val="single"/>
        </w:rPr>
        <w:t xml:space="preserve">（供应商*）</w:t>
      </w:r>
      <w:r>
        <w:rPr>
          <w:rFonts w:hint="eastAsia" w:ascii="宋体" w:hAnsi="宋体"/>
          <w:color w:val="auto"/>
          <w:sz w:val="24"/>
          <w:highlight w:val="none"/>
        </w:rPr>
        <w:t xml:space="preserve">为牵头单位（牵头单位必须为联合体成员）。</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t xml:space="preserve">2、若我们联合中标、成交，（供应商单位1全称）实施项目中（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）部分工作，并承担相应的责任。（供应商单位2全称）实施项目中（</w:t>
      </w:r>
      <w:r>
        <w:rPr>
          <w:rFonts w:hint="eastAsia" w:ascii="宋体" w:hAnsi="宋体"/>
          <w:color w:val="auto"/>
          <w:sz w:val="24"/>
          <w:highlight w:val="none"/>
          <w:u w:val="single"/>
        </w:rPr>
        <w:t xml:space="preserve">工作内容</w:t>
      </w:r>
      <w:r>
        <w:rPr>
          <w:rFonts w:hint="eastAsia" w:ascii="宋体" w:hAnsi="宋体"/>
          <w:color w:val="auto"/>
          <w:sz w:val="24"/>
          <w:highlight w:val="none"/>
        </w:rPr>
        <w:t xml:space="preserve">）部分工作，并承担相应的责任。（注：联合体中各供应商都应明示所承担的工作和相应的责任）。</w:t>
      </w:r>
      <w:r/>
    </w:p>
    <w:p>
      <w:pPr>
        <w:ind w:firstLine="645"/>
        <w:spacing w:line="560" w:lineRule="exact"/>
        <w:rPr>
          <w:rFonts w:hint="eastAsia" w:ascii="宋体" w:hAnsi="宋体"/>
          <w:color w:val="auto"/>
          <w:sz w:val="24"/>
          <w:highlight w:val="none"/>
          <w:u w:val="single"/>
        </w:rPr>
      </w:pPr>
      <w:r>
        <w:rPr>
          <w:rFonts w:hint="eastAsia" w:ascii="宋体" w:hAnsi="宋体"/>
          <w:color w:val="auto"/>
          <w:sz w:val="24"/>
          <w:highlight w:val="none"/>
        </w:rPr>
        <w:t xml:space="preserve">3、其中</w:t>
      </w:r>
      <w:r>
        <w:rPr>
          <w:rFonts w:hint="eastAsia" w:ascii="宋体" w:hAnsi="宋体"/>
          <w:color w:val="auto"/>
          <w:sz w:val="24"/>
          <w:highlight w:val="none"/>
          <w:u w:val="single"/>
        </w:rPr>
        <w:t xml:space="preserve">（供应商单位1）全称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（供应商单位2）全称</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（大型、中型、小型、微型企业/残疾人福利性单位/监狱企业）</w:t>
      </w:r>
      <w:r>
        <w:rPr>
          <w:rFonts w:hint="eastAsia" w:ascii="宋体" w:hAnsi="宋体"/>
          <w:color w:val="auto"/>
          <w:sz w:val="24"/>
          <w:highlight w:val="none"/>
        </w:rPr>
        <w:t xml:space="preserve">企业，且我们约定该公司/单位所承担的合同金额将占本项目合同总金额的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（注：联合体中各供应商都应明示企业类型及所承担的份额）。</w:t>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ind w:firstLine="645"/>
        <w:jc w:val="right"/>
        <w:spacing w:line="560" w:lineRule="exact"/>
        <w:rPr>
          <w:rFonts w:hint="eastAsia" w:ascii="宋体" w:hAnsi="宋体"/>
          <w:color w:val="auto"/>
          <w:sz w:val="24"/>
          <w:highlight w:val="none"/>
        </w:rPr>
      </w:pPr>
      <w:r>
        <w:rPr>
          <w:rFonts w:hint="eastAsia" w:ascii="宋体" w:hAnsi="宋体"/>
          <w:color w:val="auto"/>
          <w:sz w:val="24"/>
          <w:highlight w:val="none"/>
        </w:rPr>
        <w:t xml:space="preserve">联合体中各供应商全称（公章）：     </w:t>
      </w:r>
      <w:r/>
    </w:p>
    <w:p>
      <w:pPr>
        <w:pStyle w:val="1161"/>
        <w:jc w:val="right"/>
        <w:rPr>
          <w:rFonts w:hint="eastAsia" w:ascii="宋体" w:hAnsi="宋体"/>
          <w:color w:val="auto"/>
          <w:sz w:val="24"/>
          <w:highlight w:val="none"/>
        </w:rPr>
        <w:outlineLvl w:val="0"/>
      </w:pPr>
      <w:r>
        <w:rPr>
          <w:rFonts w:hint="eastAsia" w:ascii="宋体" w:hAnsi="宋体"/>
          <w:color w:val="auto"/>
          <w:sz w:val="24"/>
          <w:highlight w:val="none"/>
        </w:rPr>
        <w:t xml:space="preserve">日期：</w:t>
      </w:r>
      <w:r/>
    </w:p>
    <w:p>
      <w:pPr>
        <w:pStyle w:val="1161"/>
        <w:rPr>
          <w:rStyle w:val="992"/>
          <w:rFonts w:ascii="宋体" w:hAnsi="宋体" w:eastAsia="宋体" w:cs="宋体"/>
          <w:b/>
          <w:color w:val="auto"/>
          <w:sz w:val="32"/>
          <w:highlight w:val="none"/>
        </w:rPr>
        <w:outlineLvl w:val="0"/>
      </w:pPr>
      <w:r>
        <w:rPr>
          <w:rFonts w:ascii="宋体" w:hAnsi="宋体" w:eastAsia="宋体" w:cs="宋体"/>
          <w:b/>
          <w:color w:val="auto"/>
          <w:sz w:val="32"/>
          <w:highlight w:val="none"/>
        </w:rPr>
      </w:r>
      <w:r/>
    </w:p>
    <w:p>
      <w:pPr>
        <w:jc w:val="center"/>
        <w:spacing w:before="240" w:after="240"/>
        <w:widowControl/>
        <w:rPr>
          <w:rStyle w:val="992"/>
          <w:b/>
          <w:bCs/>
          <w:color w:val="auto"/>
          <w:sz w:val="32"/>
          <w:szCs w:val="32"/>
          <w:highlight w:val="none"/>
        </w:rPr>
      </w:pPr>
      <w:r>
        <w:rPr>
          <w:rStyle w:val="992"/>
          <w:b/>
          <w:bCs/>
          <w:color w:val="auto"/>
          <w:sz w:val="32"/>
          <w:szCs w:val="32"/>
          <w:highlight w:val="none"/>
        </w:rPr>
        <w:br w:type="page" w:clear="all"/>
      </w:r>
      <w:r/>
    </w:p>
    <w:p>
      <w:pPr>
        <w:jc w:val="center"/>
        <w:spacing w:before="240" w:after="240"/>
        <w:widowControl/>
        <w:rPr>
          <w:rStyle w:val="992"/>
          <w:rFonts w:hint="default"/>
          <w:b/>
          <w:bCs/>
          <w:color w:val="auto"/>
          <w:sz w:val="32"/>
          <w:szCs w:val="32"/>
          <w:highlight w:val="none"/>
          <w:lang w:val="en-US"/>
        </w:rPr>
      </w:pPr>
      <w:r>
        <w:rPr>
          <w:rStyle w:val="992"/>
          <w:rFonts w:hint="eastAsia"/>
          <w:b/>
          <w:bCs/>
          <w:color w:val="auto"/>
          <w:sz w:val="32"/>
          <w:szCs w:val="32"/>
          <w:highlight w:val="none"/>
          <w:lang w:val="en-US"/>
        </w:rPr>
        <w:t xml:space="preserve">承诺书</w:t>
      </w:r>
      <w:r/>
    </w:p>
    <w:p>
      <w:pPr>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承诺书（格式一）</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 </w:t>
      </w:r>
      <w:r>
        <w:rPr>
          <w:rFonts w:hint="eastAsia" w:ascii="宋体" w:hAnsi="宋体" w:cs="宋体"/>
          <w:color w:val="auto"/>
          <w:sz w:val="21"/>
          <w:szCs w:val="21"/>
          <w:highlight w:val="none"/>
        </w:rPr>
        <w:t xml:space="preserve">在张家港保税区规划建设局的保税区路灯改造能源管理服务项目</w:t>
      </w:r>
      <w:r/>
    </w:p>
    <w:p>
      <w:pPr>
        <w:ind w:firstLine="482"/>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left="0" w:firstLine="42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若有幸中标，我单位保证自合同生效后15日内在张家港保税区范围内落实应急驻场条件，配备相应的抢修车辆停放场地、备品备件存放场所及值班值守人员，接到故障报修通知后30分钟内抵达现场开展抢修作业。若合同履约期间无法持续满足该应急响应要求，视为我方违约，愿意承担合同约定的全部违约责任。</w:t>
      </w:r>
      <w:r/>
    </w:p>
    <w:p>
      <w:pPr>
        <w:ind w:firstLine="47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firstLine="723"/>
        <w:spacing w:before="240" w:after="240"/>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承诺书（格式二）</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在张家港保税区规划建设局的保税区路灯改造能源管理服务项目</w:t>
      </w:r>
      <w:r/>
    </w:p>
    <w:p>
      <w:pPr>
        <w:pStyle w:val="813"/>
        <w:rPr>
          <w:rFonts w:ascii="宋体" w:eastAsia="宋体"/>
          <w:color w:val="auto"/>
          <w:sz w:val="21"/>
          <w:szCs w:val="21"/>
          <w:highlight w:val="none"/>
        </w:rPr>
      </w:pPr>
      <w:r>
        <w:rPr>
          <w:rFonts w:ascii="宋体" w:eastAsia="宋体"/>
          <w:color w:val="auto"/>
          <w:sz w:val="21"/>
          <w:szCs w:val="21"/>
          <w:highlight w:val="none"/>
        </w:rPr>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7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若有幸中标，我单位保证按照招标文件要求承诺备品备件在中标后30个工作日内进仓库。</w:t>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ind w:firstLine="723"/>
        <w:jc w:val="center"/>
        <w:spacing w:before="240" w:after="240"/>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承 诺 书（格式三）</w:t>
      </w:r>
      <w:r/>
    </w:p>
    <w:p>
      <w:pPr>
        <w:jc w:val="left"/>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张家港保税区规划建设局：</w:t>
      </w:r>
      <w:r/>
    </w:p>
    <w:p>
      <w:pPr>
        <w:ind w:firstLine="482"/>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在张家港保税区规划建设局的</w:t>
      </w:r>
      <w:r>
        <w:rPr>
          <w:rFonts w:hint="eastAsia" w:ascii="宋体" w:hAnsi="宋体" w:cs="宋体"/>
          <w:color w:val="auto"/>
          <w:sz w:val="21"/>
          <w:szCs w:val="21"/>
          <w:highlight w:val="none"/>
          <w:u w:val="single"/>
        </w:rPr>
        <w:t xml:space="preserve">保税区路灯改造能源管理服务项目（</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号招标文件）采购过程中，根据招标文件规定，现承诺：</w:t>
      </w:r>
      <w:r/>
    </w:p>
    <w:p>
      <w:pPr>
        <w:ind w:firstLine="42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若有幸中标，我单位保证按照招标文件要求承诺在规定期限内（中标后15日内）主动提供人员清单及相应证明（身份证、相关证书、驾驶证等复印件），车辆行驶证、产权证、车辆外观图片及车辆相关高度参数等相关证明材料（租赁的同时提供租赁协议复印件），并保证在投标文件中确定的人员及相关车辆设备，实际进场不减少与变更，并经采购单位确认后开展项目，同时保证提供的相关人员、车辆满足采购单位要求。</w:t>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ind w:firstLine="472"/>
        <w:spacing w:before="240" w:after="240"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p>
      <w:pPr>
        <w:jc w:val="left"/>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投标单位（公章）：</w:t>
      </w:r>
      <w:r>
        <w:rPr>
          <w:rFonts w:hint="eastAsia" w:ascii="宋体" w:hAnsi="宋体" w:cs="宋体"/>
          <w:color w:val="auto"/>
          <w:sz w:val="21"/>
          <w:szCs w:val="21"/>
          <w:highlight w:val="none"/>
          <w:u w:val="single"/>
        </w:rPr>
        <w:t xml:space="preserve">                        </w:t>
      </w:r>
      <w:r/>
    </w:p>
    <w:p>
      <w:pPr>
        <w:ind w:firstLine="2040"/>
        <w:spacing w:before="240" w:after="24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二○二六年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rPr>
          <w:rStyle w:val="992"/>
          <w:b/>
          <w:bCs/>
          <w:color w:val="auto"/>
          <w:sz w:val="32"/>
          <w:szCs w:val="32"/>
          <w:highlight w:val="none"/>
        </w:rPr>
      </w:pPr>
      <w:r>
        <w:rPr>
          <w:rStyle w:val="992"/>
          <w:b/>
          <w:bCs/>
          <w:color w:val="auto"/>
          <w:sz w:val="32"/>
          <w:szCs w:val="32"/>
          <w:highlight w:val="none"/>
        </w:rPr>
        <w:br w:type="page" w:clear="all"/>
      </w:r>
      <w:r/>
    </w:p>
    <w:p>
      <w:pPr>
        <w:rPr>
          <w:rStyle w:val="992"/>
          <w:b/>
          <w:bCs/>
          <w:color w:val="auto"/>
          <w:sz w:val="32"/>
          <w:szCs w:val="32"/>
          <w:highlight w:val="none"/>
        </w:rPr>
      </w:pPr>
      <w:r>
        <w:rPr>
          <w:b/>
          <w:bCs/>
          <w:color w:val="auto"/>
          <w:sz w:val="32"/>
          <w:szCs w:val="32"/>
          <w:highlight w:val="none"/>
        </w:rPr>
      </w:r>
      <w:r/>
    </w:p>
    <w:p>
      <w:pPr>
        <w:rPr>
          <w:rStyle w:val="992"/>
          <w:b/>
          <w:bCs/>
          <w:color w:val="auto"/>
          <w:sz w:val="32"/>
          <w:szCs w:val="32"/>
          <w:highlight w:val="none"/>
        </w:rPr>
      </w:pPr>
      <w:r>
        <w:rPr>
          <w:b/>
          <w:bCs/>
          <w:color w:val="auto"/>
          <w:sz w:val="32"/>
          <w:szCs w:val="32"/>
          <w:highlight w:val="none"/>
        </w:rPr>
      </w:r>
      <w:r/>
    </w:p>
    <w:p>
      <w:pPr>
        <w:pStyle w:val="1161"/>
        <w:rPr>
          <w:rStyle w:val="992"/>
          <w:color w:val="auto"/>
          <w:highlight w:val="none"/>
        </w:rPr>
        <w:outlineLvl w:val="0"/>
      </w:pPr>
      <w:r/>
      <w:bookmarkStart w:id="288" w:name="_Toc2973"/>
      <w:r>
        <w:rPr>
          <w:rStyle w:val="992"/>
          <w:rFonts w:ascii="宋体" w:hAnsi="宋体" w:cs="宋体"/>
          <w:b/>
          <w:color w:val="auto"/>
          <w:sz w:val="32"/>
          <w:highlight w:val="none"/>
        </w:rPr>
        <w:t xml:space="preserve">五、第四章项目需求中实质性要求响应对照表</w:t>
      </w:r>
      <w:bookmarkEnd w:id="285"/>
      <w:r/>
      <w:bookmarkEnd w:id="286"/>
      <w:r/>
      <w:bookmarkEnd w:id="287"/>
      <w:r/>
      <w:bookmarkEnd w:id="288"/>
      <w:r/>
      <w:r/>
    </w:p>
    <w:p>
      <w:pPr>
        <w:pStyle w:val="1315"/>
        <w:ind w:firstLine="482"/>
        <w:spacing w:line="440" w:lineRule="exact"/>
        <w:rPr>
          <w:rFonts w:ascii="宋体" w:hAnsi="宋体" w:eastAsia="宋体" w:cs="宋体"/>
          <w:b/>
          <w:bCs/>
          <w:color w:val="auto"/>
          <w:highlight w:val="none"/>
        </w:rPr>
      </w:pPr>
      <w:r>
        <w:rPr>
          <w:rFonts w:ascii="宋体" w:hAnsi="宋体" w:eastAsia="宋体" w:cs="宋体"/>
          <w:b/>
          <w:bCs/>
          <w:color w:val="auto"/>
          <w:highlight w:val="none"/>
        </w:rPr>
      </w:r>
      <w:r/>
    </w:p>
    <w:p>
      <w:pPr>
        <w:pStyle w:val="1315"/>
        <w:ind w:firstLine="482"/>
        <w:spacing w:line="440" w:lineRule="exact"/>
        <w:rPr>
          <w:rFonts w:ascii="宋体" w:hAnsi="宋体" w:eastAsia="宋体" w:cs="宋体"/>
          <w:b/>
          <w:bCs/>
          <w:color w:val="auto"/>
          <w:highlight w:val="none"/>
        </w:rPr>
      </w:pPr>
      <w:r>
        <w:rPr>
          <w:rFonts w:hint="eastAsia" w:ascii="宋体" w:hAnsi="宋体" w:eastAsia="宋体" w:cs="宋体"/>
          <w:b/>
          <w:bCs/>
          <w:color w:val="auto"/>
          <w:highlight w:val="none"/>
        </w:rPr>
        <w:t xml:space="preserve">1、商务条款的实质性格式</w:t>
      </w:r>
      <w:r>
        <w:rPr>
          <w:rFonts w:ascii="宋体" w:hAnsi="宋体" w:eastAsia="宋体" w:cs="宋体"/>
          <w:b/>
          <w:bCs/>
          <w:color w:val="auto"/>
          <w:highlight w:val="none"/>
        </w:rPr>
        <w:t xml:space="preserve"> </w:t>
      </w:r>
      <w:r/>
    </w:p>
    <w:tbl>
      <w:tblPr>
        <w:tblStyle w:val="757"/>
        <w:tblW w:w="8019"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商务条款</w:t>
            </w:r>
            <w:r>
              <w:rPr>
                <w:rFonts w:ascii="宋体" w:hAnsi="宋体" w:eastAsia="宋体" w:cs="宋体"/>
                <w:color w:val="auto"/>
                <w:highlight w:val="none"/>
              </w:rPr>
              <w:t xml:space="preserve">的实质性要求</w:t>
            </w:r>
            <w:r/>
          </w:p>
          <w:p>
            <w:pPr>
              <w:pStyle w:val="1315"/>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4"/>
              <w:ind w:firstLine="500"/>
              <w:spacing w:line="440" w:lineRule="exact"/>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r>
      <w:tr>
        <w:trPr>
          <w:trHeight w:val="488"/>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4"/>
              <w:ind w:firstLine="500"/>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r>
      <w:tr>
        <w:trPr>
          <w:trHeight w:val="504"/>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44" w:type="dxa"/>
            <w:vAlign w:val="center"/>
            <w:textDirection w:val="lrTb"/>
            <w:noWrap w:val="false"/>
          </w:tcPr>
          <w:p>
            <w:pPr>
              <w:pStyle w:val="1304"/>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62"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9"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315"/>
        <w:ind w:firstLine="482"/>
        <w:rPr>
          <w:rFonts w:ascii="宋体" w:hAnsi="宋体" w:eastAsia="宋体" w:cs="宋体"/>
          <w:b/>
          <w:bCs/>
          <w:color w:val="auto"/>
          <w:highlight w:val="none"/>
        </w:rPr>
      </w:pPr>
      <w:r>
        <w:rPr>
          <w:rFonts w:ascii="宋体" w:hAnsi="宋体" w:eastAsia="宋体" w:cs="宋体"/>
          <w:b/>
          <w:bCs/>
          <w:color w:val="auto"/>
          <w:highlight w:val="none"/>
        </w:rPr>
      </w:r>
      <w:r/>
    </w:p>
    <w:p>
      <w:pPr>
        <w:pStyle w:val="1315"/>
        <w:ind w:firstLine="482"/>
        <w:rPr>
          <w:rFonts w:ascii="宋体" w:hAnsi="宋体" w:eastAsia="宋体" w:cs="宋体"/>
          <w:b/>
          <w:bCs/>
          <w:color w:val="auto"/>
          <w:highlight w:val="none"/>
        </w:rPr>
      </w:pPr>
      <w:r>
        <w:rPr>
          <w:rFonts w:hint="eastAsia" w:ascii="宋体" w:hAnsi="宋体" w:eastAsia="宋体" w:cs="宋体"/>
          <w:b/>
          <w:bCs/>
          <w:color w:val="auto"/>
          <w:highlight w:val="none"/>
        </w:rPr>
        <w:t xml:space="preserve">2、技术要求的实质性格式</w:t>
      </w:r>
      <w:r/>
    </w:p>
    <w:tbl>
      <w:tblPr>
        <w:tblStyle w:val="757"/>
        <w:tblW w:w="8052"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技术要求</w:t>
            </w:r>
            <w:r>
              <w:rPr>
                <w:rFonts w:ascii="宋体" w:hAnsi="宋体" w:eastAsia="宋体" w:cs="宋体"/>
                <w:color w:val="auto"/>
                <w:highlight w:val="none"/>
              </w:rPr>
              <w:t xml:space="preserve">的实质性要求</w:t>
            </w:r>
            <w:r/>
          </w:p>
          <w:p>
            <w:pPr>
              <w:pStyle w:val="1315"/>
              <w:jc w:val="center"/>
              <w:rPr>
                <w:rFonts w:ascii="宋体" w:hAnsi="宋体" w:eastAsia="宋体" w:cs="宋体"/>
                <w:color w:val="auto"/>
                <w:highlight w:val="non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正偏离、符合或负偏离</w:t>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5"/>
              <w:rPr>
                <w:rFonts w:ascii="宋体" w:hAnsi="宋体" w:eastAsia="宋体" w:cs="宋体"/>
                <w:i/>
                <w:color w:val="auto"/>
                <w:highlight w:val="none"/>
                <w:u w:val="single"/>
              </w:rPr>
            </w:pPr>
            <w:r>
              <w:rPr>
                <w:rFonts w:ascii="宋体" w:hAnsi="宋体" w:eastAsia="宋体" w:cs="宋体"/>
                <w:i/>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5"/>
              <w:rPr>
                <w:rFonts w:ascii="宋体" w:hAnsi="宋体" w:cs="宋体"/>
                <w:b/>
                <w:i/>
                <w:iCs/>
                <w:color w:val="auto"/>
                <w:highlight w:val="none"/>
                <w:u w:val="single"/>
              </w:rPr>
            </w:pPr>
            <w:r>
              <w:rPr>
                <w:rFonts w:ascii="宋体" w:hAnsi="宋体" w:cs="宋体"/>
                <w:b/>
                <w:i/>
                <w:iCs/>
                <w:color w:val="auto"/>
                <w:highlight w:val="none"/>
                <w:u w:val="singl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r>
      <w:tr>
        <w:trPr>
          <w:trHeight w:val="25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5"/>
              <w:jc w:val="center"/>
              <w:rPr>
                <w:rFonts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5"/>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r>
      <w:tr>
        <w:trPr>
          <w:trHeight w:val="26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510" w:type="dxa"/>
            <w:vAlign w:val="center"/>
            <w:textDirection w:val="lrTb"/>
            <w:noWrap w:val="false"/>
          </w:tcPr>
          <w:p>
            <w:pPr>
              <w:pStyle w:val="1315"/>
              <w:rPr>
                <w:rFonts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34" w:type="dxa"/>
            <w:vAlign w:val="center"/>
            <w:textDirection w:val="lrTb"/>
            <w:noWrap w:val="false"/>
          </w:tcPr>
          <w:p>
            <w:pPr>
              <w:pStyle w:val="1315"/>
              <w:jc w:val="center"/>
              <w:rPr>
                <w:rFonts w:ascii="宋体" w:hAnsi="宋体" w:eastAsia="宋体" w:cs="宋体"/>
                <w:color w:val="auto"/>
                <w:highlight w:val="none"/>
              </w:rPr>
            </w:pPr>
            <w:r>
              <w:rPr>
                <w:rFonts w:ascii="宋体" w:hAnsi="宋体" w:eastAsia="宋体" w:cs="宋体"/>
                <w:color w:val="auto"/>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r/>
    </w:p>
    <w:p>
      <w:pPr>
        <w:pStyle w:val="1315"/>
        <w:rPr>
          <w:rFonts w:ascii="宋体" w:hAnsi="宋体" w:eastAsia="宋体" w:cs="宋体"/>
          <w:color w:val="auto"/>
          <w:highlight w:val="none"/>
        </w:rPr>
      </w:pPr>
      <w:r>
        <w:rPr>
          <w:rFonts w:ascii="宋体" w:hAnsi="宋体" w:eastAsia="宋体" w:cs="宋体"/>
          <w:color w:val="auto"/>
          <w:highlight w:val="none"/>
        </w:rPr>
      </w:r>
      <w:r/>
    </w:p>
    <w:p>
      <w:pPr>
        <w:pStyle w:val="1315"/>
        <w:ind w:firstLine="482"/>
        <w:rPr>
          <w:rFonts w:ascii="宋体" w:hAnsi="宋体" w:eastAsia="宋体" w:cs="宋体"/>
          <w:b/>
          <w:bCs/>
          <w:color w:val="auto"/>
          <w:highlight w:val="none"/>
        </w:rPr>
      </w:pPr>
      <w:r>
        <w:rPr>
          <w:rFonts w:ascii="宋体" w:hAnsi="宋体" w:eastAsia="宋体" w:cs="宋体"/>
          <w:b/>
          <w:bCs/>
          <w:color w:val="auto"/>
          <w:highlight w:val="none"/>
        </w:rPr>
      </w:r>
      <w:r/>
    </w:p>
    <w:p>
      <w:pPr>
        <w:rPr>
          <w:rStyle w:val="992"/>
          <w:rFonts w:ascii="宋体" w:hAnsi="宋体" w:cs="宋体"/>
          <w:b/>
          <w:color w:val="auto"/>
          <w:sz w:val="32"/>
          <w:highlight w:val="none"/>
        </w:rPr>
      </w:pPr>
      <w:r/>
      <w:bookmarkStart w:id="289" w:name="_Toc2823"/>
      <w:r/>
      <w:bookmarkStart w:id="290" w:name="_Toc20809"/>
      <w:r/>
      <w:bookmarkStart w:id="291" w:name="_Toc20216"/>
      <w:r>
        <w:rPr>
          <w:rStyle w:val="992"/>
          <w:rFonts w:hint="eastAsia" w:ascii="宋体" w:hAnsi="宋体" w:cs="宋体"/>
          <w:b/>
          <w:color w:val="auto"/>
          <w:sz w:val="32"/>
          <w:highlight w:val="none"/>
        </w:rPr>
        <w:br w:type="page" w:clear="all"/>
      </w:r>
      <w:r/>
    </w:p>
    <w:p>
      <w:pPr>
        <w:pStyle w:val="1201"/>
        <w:rPr>
          <w:rStyle w:val="992"/>
          <w:color w:val="auto"/>
          <w:highlight w:val="none"/>
        </w:rPr>
      </w:pPr>
      <w:r>
        <w:rPr>
          <w:rStyle w:val="992"/>
          <w:rFonts w:hint="eastAsia" w:ascii="宋体" w:hAnsi="宋体" w:cs="宋体"/>
          <w:b/>
          <w:color w:val="auto"/>
          <w:sz w:val="32"/>
          <w:highlight w:val="none"/>
        </w:rPr>
        <w:t xml:space="preserve">六、</w:t>
      </w:r>
      <w:r>
        <w:rPr>
          <w:rStyle w:val="992"/>
          <w:rFonts w:ascii="宋体" w:hAnsi="宋体" w:cs="宋体"/>
          <w:b/>
          <w:color w:val="auto"/>
          <w:sz w:val="32"/>
          <w:highlight w:val="none"/>
        </w:rPr>
        <w:t xml:space="preserve">服务方案</w:t>
      </w:r>
      <w:bookmarkEnd w:id="289"/>
      <w:r/>
      <w:bookmarkEnd w:id="290"/>
      <w:r/>
      <w:bookmarkEnd w:id="291"/>
      <w:r/>
      <w:r/>
    </w:p>
    <w:p>
      <w:pPr>
        <w:pStyle w:val="1294"/>
        <w:jc w:val="center"/>
        <w:keepLines/>
        <w:keepNext/>
        <w:spacing w:before="260" w:after="260" w:line="415" w:lineRule="auto"/>
        <w:rPr>
          <w:rStyle w:val="992"/>
          <w:rFonts w:ascii="宋体" w:hAnsi="宋体"/>
          <w:b/>
          <w:bCs/>
          <w:color w:val="auto"/>
          <w:sz w:val="28"/>
          <w:szCs w:val="28"/>
          <w:highlight w:val="none"/>
        </w:rPr>
        <w:outlineLvl w:val="1"/>
      </w:pPr>
      <w:r/>
      <w:bookmarkStart w:id="292" w:name="_Toc10503"/>
      <w:r/>
      <w:bookmarkStart w:id="293" w:name="_Toc22126"/>
      <w:r/>
      <w:bookmarkStart w:id="294" w:name="_Toc43285583"/>
      <w:r/>
      <w:bookmarkStart w:id="295" w:name="_Toc35266041"/>
      <w:r>
        <w:rPr>
          <w:rStyle w:val="992"/>
          <w:rFonts w:hint="eastAsia" w:ascii="宋体" w:hAnsi="宋体"/>
          <w:b/>
          <w:bCs/>
          <w:color w:val="auto"/>
          <w:sz w:val="28"/>
          <w:szCs w:val="28"/>
          <w:highlight w:val="none"/>
        </w:rPr>
        <w:t xml:space="preserve">服务方案</w:t>
      </w:r>
      <w:bookmarkEnd w:id="292"/>
      <w:r/>
      <w:bookmarkEnd w:id="293"/>
      <w:r/>
      <w:bookmarkEnd w:id="294"/>
      <w:r/>
      <w:bookmarkEnd w:id="295"/>
      <w:r/>
      <w:r/>
    </w:p>
    <w:p>
      <w:pPr>
        <w:pStyle w:val="1294"/>
        <w:jc w:val="left"/>
        <w:spacing w:line="360" w:lineRule="auto"/>
        <w:rPr>
          <w:rStyle w:val="992"/>
          <w:rFonts w:ascii="宋体" w:hAnsi="宋体"/>
          <w:color w:val="auto"/>
          <w:sz w:val="24"/>
          <w:szCs w:val="24"/>
          <w:highlight w:val="none"/>
        </w:rPr>
      </w:pPr>
      <w:r>
        <w:rPr>
          <w:rFonts w:ascii="宋体" w:hAnsi="宋体"/>
          <w:color w:val="auto"/>
          <w:sz w:val="24"/>
          <w:szCs w:val="24"/>
          <w:highlight w:val="none"/>
        </w:rPr>
      </w:r>
      <w:r/>
    </w:p>
    <w:p>
      <w:pPr>
        <w:pStyle w:val="1294"/>
        <w:jc w:val="center"/>
        <w:spacing w:line="360" w:lineRule="auto"/>
        <w:rPr>
          <w:rStyle w:val="992"/>
          <w:rFonts w:ascii="宋体" w:hAnsi="宋体" w:cs="Arial"/>
          <w:color w:val="auto"/>
          <w:sz w:val="24"/>
          <w:szCs w:val="21"/>
          <w:highlight w:val="none"/>
        </w:rPr>
        <w:outlineLvl w:val="1"/>
      </w:pPr>
      <w:r/>
      <w:bookmarkStart w:id="296" w:name="_Toc15946"/>
      <w:r/>
      <w:bookmarkStart w:id="297" w:name="_Toc10971"/>
      <w:r>
        <w:rPr>
          <w:rStyle w:val="992"/>
          <w:rFonts w:hint="eastAsia" w:ascii="宋体" w:hAnsi="宋体" w:cs="Arial"/>
          <w:color w:val="auto"/>
          <w:sz w:val="24"/>
          <w:szCs w:val="21"/>
          <w:highlight w:val="none"/>
        </w:rPr>
        <w:t xml:space="preserve">（服务方案的内容编排等由投标人自定）</w:t>
      </w:r>
      <w:bookmarkEnd w:id="296"/>
      <w:r/>
      <w:bookmarkEnd w:id="297"/>
      <w:r/>
      <w:r/>
    </w:p>
    <w:p>
      <w:pPr>
        <w:pStyle w:val="1260"/>
        <w:rPr>
          <w:rFonts w:ascii="宋体" w:hAnsi="宋体" w:eastAsia="宋体" w:cs="宋体"/>
          <w:color w:val="auto"/>
          <w:highlight w:val="none"/>
          <w:lang w:bidi="ar"/>
        </w:rPr>
        <w:outlineLvl w:val="0"/>
      </w:pPr>
      <w:r>
        <w:rPr>
          <w:rStyle w:val="992"/>
          <w:color w:val="auto"/>
          <w:highlight w:val="none"/>
        </w:rPr>
        <w:br w:type="page" w:clear="all"/>
      </w:r>
      <w:bookmarkStart w:id="298" w:name="_Toc29047"/>
      <w:r/>
      <w:bookmarkStart w:id="299" w:name="_Toc1005"/>
      <w:r/>
      <w:bookmarkStart w:id="300" w:name="_Toc22359"/>
      <w:r/>
      <w:bookmarkStart w:id="301" w:name="_Toc29323"/>
      <w:r>
        <w:rPr>
          <w:rStyle w:val="992"/>
          <w:rFonts w:hint="eastAsia" w:ascii="宋体" w:hAnsi="宋体" w:cs="宋体"/>
          <w:b/>
          <w:color w:val="auto"/>
          <w:sz w:val="32"/>
          <w:highlight w:val="none"/>
        </w:rPr>
        <w:t xml:space="preserve">七</w:t>
      </w:r>
      <w:r>
        <w:rPr>
          <w:rStyle w:val="992"/>
          <w:rFonts w:ascii="宋体" w:hAnsi="宋体" w:cs="宋体"/>
          <w:b/>
          <w:color w:val="auto"/>
          <w:sz w:val="32"/>
          <w:highlight w:val="none"/>
        </w:rPr>
        <w:t xml:space="preserve">、投标人情况介绍</w:t>
      </w:r>
      <w:bookmarkEnd w:id="298"/>
      <w:r>
        <w:rPr>
          <w:rStyle w:val="992"/>
          <w:rFonts w:hint="eastAsia" w:ascii="宋体" w:hAnsi="宋体" w:cs="Arial"/>
          <w:color w:val="auto"/>
          <w:szCs w:val="21"/>
          <w:highlight w:val="none"/>
        </w:rPr>
        <w:t xml:space="preserve">（内容自定，可参考如下）</w:t>
      </w:r>
      <w:bookmarkEnd w:id="299"/>
      <w:r/>
      <w:bookmarkEnd w:id="300"/>
      <w:r/>
      <w:bookmarkEnd w:id="301"/>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1.类似业绩</w:t>
      </w:r>
      <w:r/>
    </w:p>
    <w:p>
      <w:pPr>
        <w:spacing w:line="440" w:lineRule="exact"/>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2.相关证书</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3.检测报告</w:t>
      </w:r>
      <w:r/>
    </w:p>
    <w:p>
      <w:pPr>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w:t>
      </w:r>
      <w:bookmarkEnd w:id="239"/>
      <w:r/>
      <w:r/>
    </w:p>
    <w:p>
      <w:pPr>
        <w:rPr>
          <w:rFonts w:ascii="宋体" w:hAnsi="宋体"/>
          <w:b/>
          <w:bCs/>
          <w:color w:val="auto"/>
          <w:sz w:val="20"/>
          <w:szCs w:val="32"/>
          <w:highlight w:val="none"/>
        </w:rPr>
      </w:pPr>
      <w:r>
        <w:rPr>
          <w:rFonts w:ascii="宋体" w:hAnsi="宋体"/>
          <w:b/>
          <w:bCs/>
          <w:color w:val="auto"/>
          <w:sz w:val="20"/>
          <w:szCs w:val="32"/>
          <w:highlight w:val="none"/>
        </w:rPr>
      </w:r>
      <w:r/>
    </w:p>
    <w:sectPr>
      <w:footnotePr/>
      <w:endnotePr/>
      <w:type w:val="nextPage"/>
      <w:pgSz w:w="11906" w:h="16838" w:orient="portrait"/>
      <w:pgMar w:top="1440" w:right="1269" w:bottom="1440" w:left="13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方正黑体_GBK">
    <w:panose1 w:val="020B0503020202020204"/>
  </w:font>
  <w:font w:name="等线">
    <w:panose1 w:val="02010600030101010101"/>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微软雅黑">
    <w:panose1 w:val="020B0503020204020204"/>
  </w:font>
  <w:font w:name="Calibri">
    <w:panose1 w:val="020F0502020204030204"/>
  </w:font>
  <w:font w:name="华文仿宋">
    <w:panose1 w:val="0201060004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60"/>
      </w:rPr>
      <w:framePr w:wrap="around" w:vAnchor="text" w:hAnchor="margin" w:xAlign="center" w:y="1"/>
    </w:pPr>
    <w:r>
      <w:fldChar w:fldCharType="begin"/>
    </w:r>
    <w:r>
      <w:rPr>
        <w:rStyle w:val="1060"/>
        <w:highlight w:val="white"/>
      </w:rPr>
      <w:instrText xml:space="preserve">PAGE  </w:instrText>
    </w:r>
    <w:r>
      <w:fldChar w:fldCharType="separate"/>
    </w:r>
    <w:r>
      <w:rPr>
        <w:rStyle w:val="1060"/>
        <w:highlight w:val="white"/>
      </w:rPr>
      <w:t xml:space="preserve">1</w:t>
    </w:r>
    <w:r>
      <w:fldChar w:fldCharType="end"/>
    </w:r>
    <w:r/>
  </w:p>
  <w:p>
    <w:pPr>
      <w:pStyle w:val="10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rPr>
        <w:rStyle w:val="1060"/>
      </w:rPr>
      <w:framePr w:wrap="around" w:vAnchor="text" w:hAnchor="margin" w:xAlign="center" w:y="1"/>
    </w:pPr>
    <w:r>
      <w:fldChar w:fldCharType="begin"/>
    </w:r>
    <w:r>
      <w:rPr>
        <w:rStyle w:val="1060"/>
        <w:highlight w:val="white"/>
      </w:rPr>
      <w:instrText xml:space="preserve">PAGE  </w:instrText>
    </w:r>
    <w:r>
      <w:fldChar w:fldCharType="end"/>
    </w:r>
    <w:r/>
  </w:p>
  <w:p>
    <w:pPr>
      <w:pStyle w:val="10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143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29"/>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left="0" w:firstLine="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9"/>
      <w:isLgl w:val="false"/>
      <w:suff w:val="tab"/>
      <w:lvlText w:val="第%1章"/>
      <w:lvlJc w:val="left"/>
      <w:pPr>
        <w:ind w:left="709" w:hanging="425"/>
      </w:pPr>
      <w:rPr>
        <w:rFonts w:hint="eastAsia" w:eastAsia="宋体"/>
        <w:sz w:val="28"/>
        <w:lang w:val="en-US"/>
      </w:rPr>
    </w:lvl>
    <w:lvl w:ilvl="1">
      <w:start w:val="1"/>
      <w:numFmt w:val="decimal"/>
      <w:pStyle w:val="1168"/>
      <w:isLgl w:val="false"/>
      <w:suff w:val="tab"/>
      <w:lvlText w:val="%1.%2"/>
      <w:lvlJc w:val="left"/>
      <w:pPr>
        <w:ind w:left="880" w:hanging="879"/>
      </w:pPr>
      <w:rPr>
        <w:rFonts w:hint="eastAsia" w:ascii="宋体" w:hAnsi="宋体" w:eastAsia="宋体"/>
        <w:sz w:val="28"/>
      </w:rPr>
    </w:lvl>
    <w:lvl w:ilvl="2">
      <w:start w:val="1"/>
      <w:numFmt w:val="decimal"/>
      <w:pStyle w:val="1167"/>
      <w:isLgl w:val="false"/>
      <w:suff w:val="tab"/>
      <w:lvlText w:val="%1.%2.%3"/>
      <w:lvlJc w:val="left"/>
      <w:pPr>
        <w:ind w:left="5444" w:hanging="1191"/>
      </w:pPr>
      <w:rPr>
        <w:rFonts w:hint="eastAsia" w:ascii="宋体" w:hAnsi="宋体" w:eastAsia="宋体"/>
        <w:sz w:val="28"/>
      </w:rPr>
    </w:lvl>
    <w:lvl w:ilvl="3">
      <w:start w:val="1"/>
      <w:numFmt w:val="decimal"/>
      <w:pStyle w:val="1166"/>
      <w:isLgl w:val="false"/>
      <w:suff w:val="tab"/>
      <w:lvlText w:val="%1.%2.%3.%4"/>
      <w:lvlJc w:val="left"/>
      <w:pPr>
        <w:ind w:left="1275" w:hanging="1644"/>
      </w:pPr>
      <w:rPr>
        <w:rFonts w:hint="eastAsia" w:ascii="宋体" w:hAnsi="宋体" w:eastAsia="宋体"/>
        <w:sz w:val="28"/>
      </w:rPr>
    </w:lvl>
    <w:lvl w:ilvl="4">
      <w:start w:val="1"/>
      <w:numFmt w:val="decimal"/>
      <w:pStyle w:val="1208"/>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
    <w:multiLevelType w:val="hybridMultilevel"/>
    <w:lvl w:ilvl="0">
      <w:start w:val="1"/>
      <w:numFmt w:val="bullet"/>
      <w:pStyle w:val="1125"/>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bullet"/>
      <w:isLgl w:val="false"/>
      <w:suff w:val="tab"/>
      <w:lvlText w:val=""/>
      <w:lvlJc w:val="left"/>
      <w:pPr>
        <w:ind w:left="1140" w:hanging="360"/>
        <w:tabs>
          <w:tab w:val="left" w:pos="1140" w:leader="none"/>
        </w:tabs>
      </w:pPr>
      <w:rPr>
        <w:rFonts w:ascii="Symbol" w:hAnsi="Symbol" w:cs="Symbol"/>
        <w:sz w:val="20"/>
      </w:rPr>
    </w:lvl>
    <w:lvl w:ilvl="1">
      <w:start w:val="1"/>
      <w:numFmt w:val="bullet"/>
      <w:isLgl w:val="false"/>
      <w:suff w:val="tab"/>
      <w:lvlText w:val="o"/>
      <w:lvlJc w:val="left"/>
      <w:pPr>
        <w:ind w:left="1860" w:hanging="360"/>
        <w:tabs>
          <w:tab w:val="left" w:pos="1860" w:leader="none"/>
        </w:tabs>
      </w:pPr>
      <w:rPr>
        <w:rFonts w:ascii="Courier New" w:hAnsi="Courier New" w:cs="Courier New"/>
        <w:sz w:val="20"/>
      </w:rPr>
    </w:lvl>
    <w:lvl w:ilvl="2">
      <w:start w:val="1"/>
      <w:numFmt w:val="bullet"/>
      <w:isLgl w:val="false"/>
      <w:suff w:val="tab"/>
      <w:lvlText w:val=""/>
      <w:lvlJc w:val="left"/>
      <w:pPr>
        <w:ind w:left="2580" w:hanging="360"/>
        <w:tabs>
          <w:tab w:val="left" w:pos="2580" w:leader="none"/>
        </w:tabs>
      </w:pPr>
      <w:rPr>
        <w:rFonts w:ascii="Wingdings" w:hAnsi="Wingdings" w:cs="Wingdings"/>
        <w:sz w:val="20"/>
      </w:rPr>
    </w:lvl>
    <w:lvl w:ilvl="3">
      <w:start w:val="1"/>
      <w:numFmt w:val="bullet"/>
      <w:isLgl w:val="false"/>
      <w:suff w:val="tab"/>
      <w:lvlText w:val=""/>
      <w:lvlJc w:val="left"/>
      <w:pPr>
        <w:ind w:left="3300" w:hanging="360"/>
        <w:tabs>
          <w:tab w:val="left" w:pos="3300" w:leader="none"/>
        </w:tabs>
      </w:pPr>
      <w:rPr>
        <w:rFonts w:hint="default" w:ascii="Wingdings" w:hAnsi="Wingdings" w:cs="Wingdings"/>
        <w:sz w:val="20"/>
      </w:rPr>
    </w:lvl>
    <w:lvl w:ilvl="4">
      <w:start w:val="1"/>
      <w:numFmt w:val="bullet"/>
      <w:isLgl w:val="false"/>
      <w:suff w:val="tab"/>
      <w:lvlText w:val=""/>
      <w:lvlJc w:val="left"/>
      <w:pPr>
        <w:ind w:left="4020" w:hanging="360"/>
        <w:tabs>
          <w:tab w:val="left" w:pos="4020" w:leader="none"/>
        </w:tabs>
      </w:pPr>
      <w:rPr>
        <w:rFonts w:hint="default" w:ascii="Wingdings" w:hAnsi="Wingdings" w:cs="Wingdings"/>
        <w:sz w:val="20"/>
      </w:rPr>
    </w:lvl>
    <w:lvl w:ilvl="5">
      <w:start w:val="1"/>
      <w:numFmt w:val="bullet"/>
      <w:isLgl w:val="false"/>
      <w:suff w:val="tab"/>
      <w:lvlText w:val=""/>
      <w:lvlJc w:val="left"/>
      <w:pPr>
        <w:ind w:left="4740" w:hanging="360"/>
        <w:tabs>
          <w:tab w:val="left" w:pos="4740" w:leader="none"/>
        </w:tabs>
      </w:pPr>
      <w:rPr>
        <w:rFonts w:hint="default" w:ascii="Wingdings" w:hAnsi="Wingdings" w:cs="Wingdings"/>
        <w:sz w:val="20"/>
      </w:rPr>
    </w:lvl>
    <w:lvl w:ilvl="6">
      <w:start w:val="1"/>
      <w:numFmt w:val="bullet"/>
      <w:isLgl w:val="false"/>
      <w:suff w:val="tab"/>
      <w:lvlText w:val=""/>
      <w:lvlJc w:val="left"/>
      <w:pPr>
        <w:ind w:left="5460" w:hanging="360"/>
        <w:tabs>
          <w:tab w:val="left" w:pos="5460" w:leader="none"/>
        </w:tabs>
      </w:pPr>
      <w:rPr>
        <w:rFonts w:hint="default" w:ascii="Wingdings" w:hAnsi="Wingdings" w:cs="Wingdings"/>
        <w:sz w:val="20"/>
      </w:rPr>
    </w:lvl>
    <w:lvl w:ilvl="7">
      <w:start w:val="1"/>
      <w:numFmt w:val="bullet"/>
      <w:isLgl w:val="false"/>
      <w:suff w:val="tab"/>
      <w:lvlText w:val=""/>
      <w:lvlJc w:val="left"/>
      <w:pPr>
        <w:ind w:left="6180" w:hanging="360"/>
        <w:tabs>
          <w:tab w:val="left" w:pos="6180" w:leader="none"/>
        </w:tabs>
      </w:pPr>
      <w:rPr>
        <w:rFonts w:hint="default" w:ascii="Wingdings" w:hAnsi="Wingdings" w:cs="Wingdings"/>
        <w:sz w:val="20"/>
      </w:rPr>
    </w:lvl>
    <w:lvl w:ilvl="8">
      <w:start w:val="1"/>
      <w:numFmt w:val="bullet"/>
      <w:isLgl w:val="false"/>
      <w:suff w:val="tab"/>
      <w:lvlText w:val=""/>
      <w:lvlJc w:val="left"/>
      <w:pPr>
        <w:ind w:left="6900" w:hanging="360"/>
        <w:tabs>
          <w:tab w:val="left" w:pos="6900" w:leader="none"/>
        </w:tabs>
      </w:pPr>
      <w:rPr>
        <w:rFonts w:hint="default" w:ascii="Wingdings" w:hAnsi="Wingdings" w:cs="Wingdings"/>
        <w:sz w:val="20"/>
      </w:rPr>
    </w:lvl>
  </w:abstractNum>
  <w:abstractNum w:abstractNumId="3">
    <w:multiLevelType w:val="hybridMultilevel"/>
    <w:lvl w:ilvl="0">
      <w:start w:val="1"/>
      <w:numFmt w:val="decimal"/>
      <w:pStyle w:val="1005"/>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88"/>
      <w:isLgl w:val="false"/>
      <w:suff w:val="nothing"/>
      <w:lvlText w:val=""/>
      <w:lvlJc w:val="left"/>
      <w:pPr>
        <w:ind w:left="0" w:firstLine="0"/>
        <w:tabs>
          <w:tab w:val="left" w:pos="0" w:leader="none"/>
        </w:tabs>
      </w:pPr>
    </w:lvl>
    <w:lvl w:ilvl="6">
      <w:start w:val="1"/>
      <w:numFmt w:val="decimal"/>
      <w:pStyle w:val="989"/>
      <w:isLgl w:val="false"/>
      <w:suff w:val="nothing"/>
      <w:lvlText w:val=""/>
      <w:lvlJc w:val="left"/>
      <w:pPr>
        <w:ind w:left="0" w:firstLine="0"/>
        <w:tabs>
          <w:tab w:val="left" w:pos="0" w:leader="none"/>
        </w:tabs>
      </w:pPr>
    </w:lvl>
    <w:lvl w:ilvl="7">
      <w:start w:val="1"/>
      <w:numFmt w:val="decimal"/>
      <w:pStyle w:val="990"/>
      <w:isLgl w:val="false"/>
      <w:suff w:val="nothing"/>
      <w:lvlText w:val=""/>
      <w:lvlJc w:val="left"/>
      <w:pPr>
        <w:ind w:left="0" w:firstLine="0"/>
        <w:tabs>
          <w:tab w:val="left" w:pos="0" w:leader="none"/>
        </w:tabs>
      </w:pPr>
    </w:lvl>
    <w:lvl w:ilvl="8">
      <w:start w:val="1"/>
      <w:numFmt w:val="decimal"/>
      <w:pStyle w:val="991"/>
      <w:isLgl w:val="false"/>
      <w:suff w:val="nothing"/>
      <w:lvlText w:val=""/>
      <w:lvlJc w:val="left"/>
      <w:pPr>
        <w:ind w:left="0" w:firstLine="0"/>
        <w:tabs>
          <w:tab w:val="left" w:pos="0" w:leader="none"/>
        </w:tabs>
      </w:pPr>
    </w:lvl>
  </w:abstractNum>
  <w:abstractNum w:abstractNumId="6">
    <w:multiLevelType w:val="hybridMultilevel"/>
    <w:lvl w:ilvl="0">
      <w:start w:val="1"/>
      <w:numFmt w:val="decimal"/>
      <w:pStyle w:val="1258"/>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18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8">
    <w:multiLevelType w:val="hybridMultilevel"/>
    <w:lvl w:ilvl="0">
      <w:start w:val="1"/>
      <w:numFmt w:val="upperLetter"/>
      <w:pStyle w:val="1252"/>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abstractNum w:abstractNumId="11">
    <w:multiLevelType w:val="hybridMultilevel"/>
    <w:lvl w:ilvl="0">
      <w:start w:val="1"/>
      <w:numFmt w:val="decimal"/>
      <w:pStyle w:val="1091"/>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1"/>
  </w:num>
  <w:num w:numId="5">
    <w:abstractNumId w:val="0"/>
  </w:num>
  <w:num w:numId="6">
    <w:abstractNumId w:val="7"/>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2"/>
  </w:num>
  <w:num w:numId="11">
    <w:abstractNumId w:val="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link w:val="992"/>
    <w:uiPriority w:val="0"/>
    <w:qFormat/>
    <w:pPr>
      <w:ind w:firstLine="420"/>
      <w:jc w:val="both"/>
      <w:spacing w:line="360" w:lineRule="auto"/>
      <w:widowControl w:val="off"/>
    </w:pPr>
    <w:rPr>
      <w:rFonts w:hint="default" w:ascii="Calibri" w:hAnsi="Calibri" w:eastAsia="宋体" w:cs="Times New Roman"/>
      <w:sz w:val="21"/>
      <w:szCs w:val="22"/>
      <w:lang w:val="en-US" w:eastAsia="zh-CN" w:bidi="ar-SA"/>
    </w:rPr>
  </w:style>
  <w:style w:type="paragraph" w:styleId="747">
    <w:name w:val="Heading 1"/>
    <w:basedOn w:val="746"/>
    <w:next w:val="746"/>
    <w:link w:val="856"/>
    <w:uiPriority w:val="9"/>
    <w:qFormat/>
    <w:pPr>
      <w:jc w:val="center"/>
      <w:keepLines/>
      <w:keepNext/>
      <w:spacing w:before="0" w:after="0" w:line="360" w:lineRule="auto"/>
      <w:outlineLvl w:val="0"/>
    </w:pPr>
    <w:rPr>
      <w:rFonts w:ascii="Arial" w:hAnsi="Arial" w:cs="Arial"/>
      <w:b/>
      <w:sz w:val="32"/>
      <w:szCs w:val="40"/>
    </w:rPr>
  </w:style>
  <w:style w:type="paragraph" w:styleId="748">
    <w:name w:val="Heading 2"/>
    <w:basedOn w:val="746"/>
    <w:next w:val="746"/>
    <w:link w:val="857"/>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58"/>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59"/>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60"/>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61"/>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862"/>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63"/>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864"/>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Normal Indent"/>
    <w:basedOn w:val="746"/>
    <w:next w:val="746"/>
    <w:uiPriority w:val="0"/>
    <w:qFormat/>
    <w:pPr>
      <w:ind w:left="420" w:firstLine="4772"/>
    </w:pPr>
  </w:style>
  <w:style w:type="paragraph" w:styleId="760">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6"/>
    <w:link w:val="1405"/>
    <w:uiPriority w:val="99"/>
    <w:semiHidden/>
    <w:unhideWhenUsed/>
    <w:qFormat/>
    <w:pPr>
      <w:jc w:val="left"/>
    </w:pPr>
  </w:style>
  <w:style w:type="paragraph" w:styleId="762">
    <w:name w:val="Body Text"/>
    <w:basedOn w:val="746"/>
    <w:uiPriority w:val="0"/>
    <w:qFormat/>
    <w:pPr>
      <w:jc w:val="left"/>
      <w:spacing w:after="60"/>
      <w:tabs>
        <w:tab w:val="right" w:pos="2520" w:leader="none"/>
        <w:tab w:val="left" w:pos="2880" w:leader="none"/>
      </w:tabs>
    </w:pPr>
    <w:rPr>
      <w:sz w:val="22"/>
      <w:szCs w:val="20"/>
    </w:rPr>
  </w:style>
  <w:style w:type="paragraph" w:styleId="763">
    <w:name w:val="Body Text Indent"/>
    <w:basedOn w:val="746"/>
    <w:next w:val="764"/>
    <w:uiPriority w:val="0"/>
    <w:qFormat/>
    <w:pPr>
      <w:ind w:firstLine="645"/>
    </w:pPr>
    <w:rPr>
      <w:rFonts w:ascii="楷体_GB2312" w:hAnsi="宋体" w:eastAsia="楷体_GB2312" w:cs="宋体"/>
      <w:sz w:val="32"/>
      <w:szCs w:val="32"/>
    </w:rPr>
  </w:style>
  <w:style w:type="paragraph" w:styleId="764">
    <w:name w:val="envelope return"/>
    <w:basedOn w:val="746"/>
    <w:uiPriority w:val="99"/>
    <w:qFormat/>
    <w:rPr>
      <w:rFonts w:ascii="Arial" w:hAnsi="Arial"/>
    </w:rPr>
  </w:style>
  <w:style w:type="paragraph" w:styleId="765">
    <w:name w:val="Block Text"/>
    <w:basedOn w:val="747"/>
    <w:next w:val="746"/>
    <w:uiPriority w:val="0"/>
    <w:qFormat/>
    <w:pPr>
      <w:ind w:left="420" w:right="33" w:firstLine="2560"/>
      <w:spacing w:before="0" w:after="0"/>
    </w:pPr>
    <w:rPr>
      <w:rFonts w:ascii="Times New Roman" w:hAnsi="Times New Roman" w:cs="Times New Roman"/>
    </w:rPr>
  </w:style>
  <w:style w:type="paragraph" w:styleId="766">
    <w:name w:val="toc 5"/>
    <w:basedOn w:val="746"/>
    <w:next w:val="746"/>
    <w:uiPriority w:val="39"/>
    <w:unhideWhenUsed/>
    <w:qFormat/>
    <w:pPr>
      <w:ind w:left="1134"/>
      <w:spacing w:after="57"/>
    </w:pPr>
  </w:style>
  <w:style w:type="paragraph" w:styleId="767">
    <w:name w:val="toc 3"/>
    <w:basedOn w:val="746"/>
    <w:next w:val="746"/>
    <w:uiPriority w:val="39"/>
    <w:unhideWhenUsed/>
    <w:qFormat/>
    <w:pPr>
      <w:ind w:left="567"/>
      <w:spacing w:after="57"/>
    </w:pPr>
  </w:style>
  <w:style w:type="paragraph" w:styleId="768">
    <w:name w:val="toc 8"/>
    <w:basedOn w:val="746"/>
    <w:next w:val="746"/>
    <w:uiPriority w:val="39"/>
    <w:unhideWhenUsed/>
    <w:qFormat/>
    <w:pPr>
      <w:ind w:left="1984"/>
      <w:spacing w:after="57"/>
    </w:pPr>
  </w:style>
  <w:style w:type="paragraph" w:styleId="769">
    <w:name w:val="endnote text"/>
    <w:basedOn w:val="746"/>
    <w:link w:val="981"/>
    <w:uiPriority w:val="99"/>
    <w:semiHidden/>
    <w:unhideWhenUsed/>
    <w:qFormat/>
    <w:rPr>
      <w:sz w:val="20"/>
    </w:rPr>
  </w:style>
  <w:style w:type="paragraph" w:styleId="770">
    <w:name w:val="Balloon Text"/>
    <w:basedOn w:val="746"/>
    <w:link w:val="1404"/>
    <w:uiPriority w:val="99"/>
    <w:semiHidden/>
    <w:unhideWhenUsed/>
    <w:qFormat/>
    <w:rPr>
      <w:sz w:val="18"/>
      <w:szCs w:val="18"/>
    </w:rPr>
  </w:style>
  <w:style w:type="paragraph" w:styleId="771">
    <w:name w:val="Footer"/>
    <w:basedOn w:val="746"/>
    <w:link w:val="873"/>
    <w:uiPriority w:val="99"/>
    <w:unhideWhenUsed/>
    <w:qFormat/>
    <w:pPr>
      <w:tabs>
        <w:tab w:val="center" w:pos="7143" w:leader="none"/>
        <w:tab w:val="right" w:pos="14287" w:leader="none"/>
      </w:tabs>
    </w:pPr>
  </w:style>
  <w:style w:type="paragraph" w:styleId="772">
    <w:name w:val="Header"/>
    <w:basedOn w:val="746"/>
    <w:link w:val="871"/>
    <w:uiPriority w:val="99"/>
    <w:unhideWhenUsed/>
    <w:qFormat/>
    <w:pPr>
      <w:tabs>
        <w:tab w:val="center" w:pos="7143" w:leader="none"/>
        <w:tab w:val="right" w:pos="14287" w:leader="none"/>
      </w:tabs>
    </w:pPr>
  </w:style>
  <w:style w:type="paragraph" w:styleId="773">
    <w:name w:val="toc 1"/>
    <w:basedOn w:val="746"/>
    <w:next w:val="746"/>
    <w:uiPriority w:val="39"/>
    <w:unhideWhenUsed/>
    <w:qFormat/>
    <w:pPr>
      <w:spacing w:after="57"/>
    </w:pPr>
  </w:style>
  <w:style w:type="paragraph" w:styleId="774">
    <w:name w:val="toc 4"/>
    <w:basedOn w:val="746"/>
    <w:next w:val="746"/>
    <w:uiPriority w:val="39"/>
    <w:unhideWhenUsed/>
    <w:qFormat/>
    <w:pPr>
      <w:ind w:left="850"/>
      <w:spacing w:after="57"/>
    </w:pPr>
  </w:style>
  <w:style w:type="paragraph" w:styleId="775">
    <w:name w:val="Subtitle"/>
    <w:basedOn w:val="746"/>
    <w:next w:val="746"/>
    <w:link w:val="866"/>
    <w:uiPriority w:val="11"/>
    <w:qFormat/>
    <w:pPr>
      <w:spacing w:before="200" w:after="200"/>
    </w:pPr>
    <w:rPr>
      <w:sz w:val="24"/>
      <w:szCs w:val="24"/>
    </w:rPr>
  </w:style>
  <w:style w:type="paragraph" w:styleId="776">
    <w:name w:val="footnote text"/>
    <w:basedOn w:val="747"/>
    <w:next w:val="765"/>
    <w:link w:val="980"/>
    <w:uiPriority w:val="99"/>
    <w:semiHidden/>
    <w:unhideWhenUsed/>
    <w:qFormat/>
    <w:pPr>
      <w:spacing w:after="40"/>
    </w:pPr>
    <w:rPr>
      <w:sz w:val="18"/>
    </w:rPr>
  </w:style>
  <w:style w:type="paragraph" w:styleId="777">
    <w:name w:val="toc 6"/>
    <w:basedOn w:val="746"/>
    <w:next w:val="746"/>
    <w:uiPriority w:val="39"/>
    <w:unhideWhenUsed/>
    <w:qFormat/>
    <w:pPr>
      <w:ind w:left="1417"/>
      <w:spacing w:after="57"/>
    </w:pPr>
  </w:style>
  <w:style w:type="paragraph" w:styleId="778">
    <w:name w:val="table of figures"/>
    <w:basedOn w:val="746"/>
    <w:next w:val="746"/>
    <w:uiPriority w:val="99"/>
    <w:unhideWhenUsed/>
    <w:qFormat/>
  </w:style>
  <w:style w:type="paragraph" w:styleId="779">
    <w:name w:val="toc 2"/>
    <w:basedOn w:val="746"/>
    <w:next w:val="746"/>
    <w:uiPriority w:val="39"/>
    <w:unhideWhenUsed/>
    <w:qFormat/>
    <w:pPr>
      <w:ind w:left="283"/>
      <w:spacing w:after="57"/>
    </w:pPr>
  </w:style>
  <w:style w:type="paragraph" w:styleId="780">
    <w:name w:val="toc 9"/>
    <w:basedOn w:val="746"/>
    <w:next w:val="746"/>
    <w:uiPriority w:val="39"/>
    <w:unhideWhenUsed/>
    <w:qFormat/>
    <w:pPr>
      <w:ind w:left="2268"/>
      <w:spacing w:after="57"/>
    </w:pPr>
  </w:style>
  <w:style w:type="paragraph" w:styleId="781">
    <w:name w:val="Normal (Web)"/>
    <w:basedOn w:val="746"/>
    <w:uiPriority w:val="0"/>
    <w:qFormat/>
    <w:pPr>
      <w:jc w:val="left"/>
      <w:spacing w:beforeAutospacing="1" w:afterAutospacing="1"/>
    </w:pPr>
    <w:rPr>
      <w:sz w:val="24"/>
    </w:rPr>
  </w:style>
  <w:style w:type="paragraph" w:styleId="782">
    <w:name w:val="Title"/>
    <w:basedOn w:val="746"/>
    <w:next w:val="746"/>
    <w:link w:val="865"/>
    <w:uiPriority w:val="10"/>
    <w:qFormat/>
    <w:pPr>
      <w:contextualSpacing/>
      <w:spacing w:before="300" w:after="200"/>
    </w:pPr>
    <w:rPr>
      <w:sz w:val="48"/>
      <w:szCs w:val="48"/>
    </w:rPr>
  </w:style>
  <w:style w:type="paragraph" w:styleId="783">
    <w:name w:val="annotation subject"/>
    <w:basedOn w:val="761"/>
    <w:next w:val="761"/>
    <w:link w:val="1406"/>
    <w:uiPriority w:val="99"/>
    <w:semiHidden/>
    <w:unhideWhenUsed/>
    <w:qFormat/>
    <w:rPr>
      <w:b/>
      <w:bCs/>
    </w:rPr>
  </w:style>
  <w:style w:type="table" w:styleId="784">
    <w:name w:val="Table Grid"/>
    <w:basedOn w:val="7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basedOn w:val="756"/>
    <w:uiPriority w:val="0"/>
    <w:qFormat/>
    <w:rPr>
      <w:b/>
    </w:rPr>
  </w:style>
  <w:style w:type="character" w:styleId="786">
    <w:name w:val="endnote reference"/>
    <w:uiPriority w:val="99"/>
    <w:semiHidden/>
    <w:unhideWhenUsed/>
    <w:qFormat/>
    <w:rPr>
      <w:vertAlign w:val="superscript"/>
    </w:rPr>
  </w:style>
  <w:style w:type="character" w:styleId="787">
    <w:name w:val="FollowedHyperlink"/>
    <w:basedOn w:val="756"/>
    <w:uiPriority w:val="99"/>
    <w:semiHidden/>
    <w:unhideWhenUsed/>
    <w:qFormat/>
    <w:rPr>
      <w:color w:val="333333"/>
      <w:u w:val="none"/>
    </w:rPr>
  </w:style>
  <w:style w:type="character" w:styleId="788">
    <w:name w:val="Emphasis"/>
    <w:basedOn w:val="756"/>
    <w:uiPriority w:val="20"/>
    <w:qFormat/>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annotation reference"/>
    <w:basedOn w:val="756"/>
    <w:uiPriority w:val="99"/>
    <w:semiHidden/>
    <w:unhideWhenUsed/>
    <w:qFormat/>
    <w:rPr>
      <w:sz w:val="21"/>
      <w:szCs w:val="21"/>
    </w:rPr>
  </w:style>
  <w:style w:type="character" w:styleId="791">
    <w:name w:val="footnote reference"/>
    <w:uiPriority w:val="99"/>
    <w:unhideWhenUsed/>
    <w:qFormat/>
    <w:rPr>
      <w:vertAlign w:val="superscript"/>
    </w:rPr>
  </w:style>
  <w:style w:type="character" w:styleId="792" w:customStyle="1">
    <w:name w:val="标题 1 字符"/>
    <w:uiPriority w:val="9"/>
    <w:qFormat/>
    <w:rPr>
      <w:rFonts w:ascii="Calibri" w:hAnsi="Calibri" w:eastAsia="宋体" w:cs="Times New Roman"/>
      <w:b/>
      <w:bCs/>
      <w:sz w:val="44"/>
      <w:szCs w:val="44"/>
    </w:rPr>
  </w:style>
  <w:style w:type="table" w:styleId="793"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12" w:customStyle="1">
    <w:name w:val="TOC Heading"/>
    <w:uiPriority w:val="39"/>
    <w:unhideWhenUsed/>
    <w:qFormat/>
    <w:rPr>
      <w:rFonts w:hint="default" w:ascii="Times New Roman" w:hAnsi="Times New Roman" w:eastAsia="宋体" w:cs="Times New Roman"/>
    </w:rPr>
  </w:style>
  <w:style w:type="paragraph" w:styleId="813" w:customStyle="1">
    <w:name w:val="正文文本首行缩进 21"/>
    <w:basedOn w:val="763"/>
    <w:uiPriority w:val="0"/>
    <w:qFormat/>
    <w:pPr>
      <w:ind w:firstLine="420"/>
    </w:pPr>
  </w:style>
  <w:style w:type="paragraph" w:styleId="814" w:customStyle="1">
    <w:name w:val="TOAHeading"/>
    <w:basedOn w:val="815"/>
    <w:next w:val="746"/>
    <w:uiPriority w:val="0"/>
    <w:qFormat/>
    <w:pPr>
      <w:spacing w:before="120"/>
    </w:pPr>
    <w:rPr>
      <w:rFonts w:ascii="Arial" w:hAnsi="Arial"/>
      <w:sz w:val="24"/>
      <w:szCs w:val="20"/>
    </w:rPr>
  </w:style>
  <w:style w:type="paragraph" w:styleId="815" w:default="1" w:customStyle="1">
    <w:name w:val="Normal"/>
    <w:next w:val="816"/>
    <w:uiPriority w:val="0"/>
    <w:qFormat/>
    <w:pPr>
      <w:jc w:val="both"/>
      <w:widowControl w:val="off"/>
    </w:pPr>
    <w:rPr>
      <w:rFonts w:hint="default" w:ascii="Calibri" w:hAnsi="Calibri" w:eastAsia="宋体" w:cs="Times New Roman"/>
      <w:sz w:val="21"/>
      <w:szCs w:val="22"/>
      <w:lang w:val="en-US" w:eastAsia="zh-CN" w:bidi="ar-SA"/>
    </w:rPr>
  </w:style>
  <w:style w:type="paragraph" w:styleId="816" w:customStyle="1">
    <w:name w:val="Body Text Indent1"/>
    <w:basedOn w:val="815"/>
    <w:uiPriority w:val="0"/>
    <w:unhideWhenUsed/>
    <w:qFormat/>
    <w:pPr>
      <w:ind w:left="420"/>
      <w:spacing w:after="120"/>
    </w:pPr>
    <w:rPr>
      <w:sz w:val="20"/>
    </w:rPr>
  </w:style>
  <w:style w:type="paragraph" w:styleId="817" w:customStyle="1">
    <w:name w:val="TOC 标题11"/>
    <w:next w:val="746"/>
    <w:uiPriority w:val="0"/>
    <w:qFormat/>
    <w:rPr>
      <w:rFonts w:hint="default" w:ascii="宋体" w:hAnsi="宋体" w:eastAsia="宋体" w:cs="宋体"/>
      <w:sz w:val="32"/>
      <w:lang w:val="en-US" w:eastAsia="zh-CN" w:bidi="ar-SA"/>
    </w:rPr>
  </w:style>
  <w:style w:type="character" w:styleId="818" w:customStyle="1">
    <w:name w:val="Heading 1 Char"/>
    <w:basedOn w:val="756"/>
    <w:uiPriority w:val="9"/>
    <w:qFormat/>
    <w:rPr>
      <w:rFonts w:ascii="Arial" w:hAnsi="Arial" w:eastAsia="Arial" w:cs="Arial"/>
      <w:sz w:val="40"/>
      <w:szCs w:val="40"/>
    </w:rPr>
  </w:style>
  <w:style w:type="character" w:styleId="819" w:customStyle="1">
    <w:name w:val="Heading 2 Char"/>
    <w:basedOn w:val="756"/>
    <w:uiPriority w:val="9"/>
    <w:qFormat/>
    <w:rPr>
      <w:rFonts w:ascii="Arial" w:hAnsi="Arial" w:eastAsia="Arial" w:cs="Arial"/>
      <w:sz w:val="34"/>
    </w:rPr>
  </w:style>
  <w:style w:type="character" w:styleId="820" w:customStyle="1">
    <w:name w:val="Heading 3 Char"/>
    <w:basedOn w:val="756"/>
    <w:uiPriority w:val="9"/>
    <w:qFormat/>
    <w:rPr>
      <w:rFonts w:ascii="Arial" w:hAnsi="Arial" w:eastAsia="Arial" w:cs="Arial"/>
      <w:sz w:val="30"/>
      <w:szCs w:val="30"/>
    </w:rPr>
  </w:style>
  <w:style w:type="character" w:styleId="821" w:customStyle="1">
    <w:name w:val="Heading 4 Char"/>
    <w:basedOn w:val="756"/>
    <w:uiPriority w:val="9"/>
    <w:qFormat/>
    <w:rPr>
      <w:rFonts w:ascii="Arial" w:hAnsi="Arial" w:eastAsia="Arial" w:cs="Arial"/>
      <w:b/>
      <w:bCs/>
      <w:sz w:val="26"/>
      <w:szCs w:val="26"/>
    </w:rPr>
  </w:style>
  <w:style w:type="character" w:styleId="822" w:customStyle="1">
    <w:name w:val="Heading 5 Char"/>
    <w:basedOn w:val="756"/>
    <w:uiPriority w:val="9"/>
    <w:qFormat/>
    <w:rPr>
      <w:rFonts w:ascii="Arial" w:hAnsi="Arial" w:eastAsia="Arial" w:cs="Arial"/>
      <w:b/>
      <w:bCs/>
      <w:sz w:val="24"/>
      <w:szCs w:val="24"/>
    </w:rPr>
  </w:style>
  <w:style w:type="character" w:styleId="823" w:customStyle="1">
    <w:name w:val="Heading 6 Char"/>
    <w:basedOn w:val="756"/>
    <w:uiPriority w:val="9"/>
    <w:qFormat/>
    <w:rPr>
      <w:rFonts w:ascii="Arial" w:hAnsi="Arial" w:eastAsia="Arial" w:cs="Arial"/>
      <w:b/>
      <w:bCs/>
      <w:sz w:val="22"/>
      <w:szCs w:val="22"/>
    </w:rPr>
  </w:style>
  <w:style w:type="character" w:styleId="824" w:customStyle="1">
    <w:name w:val="Heading 7 Char"/>
    <w:basedOn w:val="756"/>
    <w:uiPriority w:val="9"/>
    <w:qFormat/>
    <w:rPr>
      <w:rFonts w:ascii="Arial" w:hAnsi="Arial" w:eastAsia="Arial" w:cs="Arial"/>
      <w:b/>
      <w:bCs/>
      <w:i/>
      <w:iCs/>
      <w:sz w:val="22"/>
      <w:szCs w:val="22"/>
    </w:rPr>
  </w:style>
  <w:style w:type="character" w:styleId="825" w:customStyle="1">
    <w:name w:val="Heading 8 Char"/>
    <w:basedOn w:val="756"/>
    <w:uiPriority w:val="9"/>
    <w:qFormat/>
    <w:rPr>
      <w:rFonts w:ascii="Arial" w:hAnsi="Arial" w:eastAsia="Arial" w:cs="Arial"/>
      <w:i/>
      <w:iCs/>
      <w:sz w:val="22"/>
      <w:szCs w:val="22"/>
    </w:rPr>
  </w:style>
  <w:style w:type="character" w:styleId="826" w:customStyle="1">
    <w:name w:val="Heading 9 Char"/>
    <w:basedOn w:val="756"/>
    <w:uiPriority w:val="9"/>
    <w:qFormat/>
    <w:rPr>
      <w:rFonts w:ascii="Arial" w:hAnsi="Arial" w:eastAsia="Arial" w:cs="Arial"/>
      <w:i/>
      <w:iCs/>
      <w:sz w:val="21"/>
      <w:szCs w:val="21"/>
    </w:rPr>
  </w:style>
  <w:style w:type="character" w:styleId="827" w:customStyle="1">
    <w:name w:val="Title Char"/>
    <w:basedOn w:val="756"/>
    <w:uiPriority w:val="10"/>
    <w:qFormat/>
    <w:rPr>
      <w:sz w:val="48"/>
      <w:szCs w:val="48"/>
    </w:rPr>
  </w:style>
  <w:style w:type="character" w:styleId="828" w:customStyle="1">
    <w:name w:val="Subtitle Char"/>
    <w:basedOn w:val="756"/>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character" w:styleId="831" w:customStyle="1">
    <w:name w:val="Header Char"/>
    <w:basedOn w:val="756"/>
    <w:uiPriority w:val="99"/>
    <w:qFormat/>
  </w:style>
  <w:style w:type="character" w:styleId="832" w:customStyle="1">
    <w:name w:val="Caption Char"/>
    <w:uiPriority w:val="99"/>
    <w:qFormat/>
  </w:style>
  <w:style w:type="table" w:styleId="833"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清单表 6 彩色1"/>
    <w:basedOn w:val="75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清单表 7 彩色1"/>
    <w:basedOn w:val="75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
    <w:uiPriority w:val="39"/>
    <w:unhideWhenUsed/>
    <w:qFormat/>
    <w:rPr>
      <w:rFonts w:hint="default" w:ascii="Times New Roman" w:hAnsi="Times New Roman" w:eastAsia="宋体" w:cs="Times New Roman"/>
      <w:lang w:val="en-US" w:eastAsia="zh-CN" w:bidi="ar-SA"/>
    </w:rPr>
  </w:style>
  <w:style w:type="paragraph" w:styleId="855" w:customStyle="1">
    <w:name w:val="首行缩进"/>
    <w:basedOn w:val="746"/>
    <w:next w:val="746"/>
    <w:uiPriority w:val="0"/>
    <w:qFormat/>
    <w:pPr>
      <w:ind w:firstLine="480"/>
      <w:jc w:val="left"/>
      <w:spacing w:line="360" w:lineRule="auto"/>
    </w:pPr>
    <w:rPr>
      <w:rFonts w:ascii="宋体" w:hAnsi="宋体"/>
      <w:sz w:val="24"/>
    </w:rPr>
  </w:style>
  <w:style w:type="character" w:styleId="856" w:customStyle="1">
    <w:name w:val="标题 1 Char2"/>
    <w:link w:val="747"/>
    <w:uiPriority w:val="9"/>
    <w:qFormat/>
    <w:rPr>
      <w:rFonts w:ascii="Arial" w:hAnsi="Arial" w:eastAsia="宋体" w:cs="Arial"/>
      <w:b/>
      <w:sz w:val="32"/>
      <w:szCs w:val="40"/>
    </w:rPr>
  </w:style>
  <w:style w:type="character" w:styleId="857" w:customStyle="1">
    <w:name w:val="标题 2 Char2"/>
    <w:link w:val="748"/>
    <w:uiPriority w:val="9"/>
    <w:qFormat/>
    <w:rPr>
      <w:rFonts w:ascii="Arial" w:hAnsi="Arial" w:eastAsia="Arial" w:cs="Arial"/>
      <w:sz w:val="34"/>
    </w:rPr>
  </w:style>
  <w:style w:type="character" w:styleId="858" w:customStyle="1">
    <w:name w:val="标题 3 Char2"/>
    <w:link w:val="749"/>
    <w:uiPriority w:val="9"/>
    <w:qFormat/>
    <w:rPr>
      <w:rFonts w:ascii="Arial" w:hAnsi="Arial" w:eastAsia="Arial" w:cs="Arial"/>
      <w:sz w:val="30"/>
      <w:szCs w:val="30"/>
    </w:rPr>
  </w:style>
  <w:style w:type="character" w:styleId="859" w:customStyle="1">
    <w:name w:val="标题 4 Char2"/>
    <w:link w:val="750"/>
    <w:uiPriority w:val="9"/>
    <w:qFormat/>
    <w:rPr>
      <w:rFonts w:ascii="Arial" w:hAnsi="Arial" w:eastAsia="Arial" w:cs="Arial"/>
      <w:b/>
      <w:bCs/>
      <w:sz w:val="26"/>
      <w:szCs w:val="26"/>
    </w:rPr>
  </w:style>
  <w:style w:type="character" w:styleId="860" w:customStyle="1">
    <w:name w:val="标题 5 Char2"/>
    <w:link w:val="751"/>
    <w:uiPriority w:val="9"/>
    <w:qFormat/>
    <w:rPr>
      <w:rFonts w:ascii="Arial" w:hAnsi="Arial" w:eastAsia="Arial" w:cs="Arial"/>
      <w:b/>
      <w:bCs/>
      <w:sz w:val="24"/>
      <w:szCs w:val="24"/>
    </w:rPr>
  </w:style>
  <w:style w:type="character" w:styleId="861" w:customStyle="1">
    <w:name w:val="标题 6 Char2"/>
    <w:link w:val="752"/>
    <w:uiPriority w:val="9"/>
    <w:qFormat/>
    <w:rPr>
      <w:rFonts w:ascii="Arial" w:hAnsi="Arial" w:eastAsia="Arial" w:cs="Arial"/>
      <w:b/>
      <w:bCs/>
      <w:sz w:val="22"/>
      <w:szCs w:val="22"/>
    </w:rPr>
  </w:style>
  <w:style w:type="character" w:styleId="862" w:customStyle="1">
    <w:name w:val="标题 7 Char"/>
    <w:link w:val="753"/>
    <w:uiPriority w:val="9"/>
    <w:qFormat/>
    <w:rPr>
      <w:rFonts w:ascii="Arial" w:hAnsi="Arial" w:eastAsia="Arial" w:cs="Arial"/>
      <w:b/>
      <w:bCs/>
      <w:i/>
      <w:iCs/>
      <w:sz w:val="22"/>
      <w:szCs w:val="22"/>
    </w:rPr>
  </w:style>
  <w:style w:type="character" w:styleId="863" w:customStyle="1">
    <w:name w:val="标题 8 Char"/>
    <w:link w:val="754"/>
    <w:uiPriority w:val="9"/>
    <w:qFormat/>
    <w:rPr>
      <w:rFonts w:ascii="Arial" w:hAnsi="Arial" w:eastAsia="Arial" w:cs="Arial"/>
      <w:i/>
      <w:iCs/>
      <w:sz w:val="22"/>
      <w:szCs w:val="22"/>
    </w:rPr>
  </w:style>
  <w:style w:type="character" w:styleId="864" w:customStyle="1">
    <w:name w:val="标题 9 Char"/>
    <w:link w:val="755"/>
    <w:uiPriority w:val="9"/>
    <w:qFormat/>
    <w:rPr>
      <w:rFonts w:ascii="Arial" w:hAnsi="Arial" w:eastAsia="Arial" w:cs="Arial"/>
      <w:i/>
      <w:iCs/>
      <w:sz w:val="21"/>
      <w:szCs w:val="21"/>
    </w:rPr>
  </w:style>
  <w:style w:type="character" w:styleId="865" w:customStyle="1">
    <w:name w:val="标题 Char1"/>
    <w:link w:val="782"/>
    <w:uiPriority w:val="10"/>
    <w:qFormat/>
    <w:rPr>
      <w:sz w:val="48"/>
      <w:szCs w:val="48"/>
    </w:rPr>
  </w:style>
  <w:style w:type="character" w:styleId="866" w:customStyle="1">
    <w:name w:val="副标题 Char"/>
    <w:link w:val="775"/>
    <w:uiPriority w:val="11"/>
    <w:qFormat/>
    <w:rPr>
      <w:sz w:val="24"/>
      <w:szCs w:val="24"/>
    </w:rPr>
  </w:style>
  <w:style w:type="paragraph" w:styleId="867">
    <w:name w:val="Quote"/>
    <w:basedOn w:val="746"/>
    <w:next w:val="746"/>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746"/>
    <w:next w:val="746"/>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character" w:styleId="871" w:customStyle="1">
    <w:name w:val="页眉 Char1"/>
    <w:link w:val="772"/>
    <w:uiPriority w:val="99"/>
    <w:qFormat/>
  </w:style>
  <w:style w:type="character" w:styleId="872" w:customStyle="1">
    <w:name w:val="Footer Char"/>
    <w:uiPriority w:val="99"/>
    <w:qFormat/>
  </w:style>
  <w:style w:type="character" w:styleId="873" w:customStyle="1">
    <w:name w:val="页脚 Char1"/>
    <w:link w:val="771"/>
    <w:uiPriority w:val="99"/>
    <w:qFormat/>
  </w:style>
  <w:style w:type="table" w:styleId="8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脚注文本 Char"/>
    <w:link w:val="776"/>
    <w:uiPriority w:val="99"/>
    <w:qFormat/>
    <w:rPr>
      <w:sz w:val="18"/>
    </w:rPr>
  </w:style>
  <w:style w:type="character" w:styleId="981" w:customStyle="1">
    <w:name w:val="尾注文本 Char"/>
    <w:link w:val="769"/>
    <w:uiPriority w:val="99"/>
    <w:qFormat/>
    <w:rPr>
      <w:sz w:val="20"/>
    </w:rPr>
  </w:style>
  <w:style w:type="paragraph" w:styleId="982" w:customStyle="1">
    <w:name w:val="TOC 标题12"/>
    <w:uiPriority w:val="39"/>
    <w:unhideWhenUsed/>
    <w:qFormat/>
    <w:rPr>
      <w:rFonts w:hint="default" w:ascii="Times New Roman" w:hAnsi="Times New Roman" w:eastAsia="宋体" w:cs="Times New Roman"/>
      <w:lang w:val="en-US" w:eastAsia="zh-CN" w:bidi="ar-SA"/>
    </w:rPr>
  </w:style>
  <w:style w:type="paragraph" w:styleId="983" w:customStyle="1">
    <w:name w:val="标题 11"/>
    <w:basedOn w:val="746"/>
    <w:next w:val="746"/>
    <w:link w:val="994"/>
    <w:uiPriority w:val="9"/>
    <w:qFormat/>
    <w:pPr>
      <w:jc w:val="center"/>
      <w:keepNext/>
      <w:outlineLvl w:val="0"/>
    </w:pPr>
    <w:rPr>
      <w:rFonts w:ascii="楷体_GB2312" w:hAnsi="宋体" w:eastAsia="楷体_GB2312"/>
      <w:sz w:val="28"/>
      <w:szCs w:val="28"/>
    </w:rPr>
  </w:style>
  <w:style w:type="paragraph" w:styleId="984" w:customStyle="1">
    <w:name w:val="标题 21"/>
    <w:basedOn w:val="746"/>
    <w:link w:val="995"/>
    <w:uiPriority w:val="0"/>
    <w:qFormat/>
    <w:pPr>
      <w:jc w:val="center"/>
      <w:keepLines/>
      <w:keepNext/>
      <w:spacing w:before="260" w:after="260" w:line="415" w:lineRule="auto"/>
      <w:outlineLvl w:val="1"/>
    </w:pPr>
    <w:rPr>
      <w:rFonts w:ascii="Arial" w:hAnsi="Arial" w:eastAsia="幼圆"/>
      <w:b/>
      <w:bCs/>
      <w:sz w:val="44"/>
      <w:szCs w:val="44"/>
    </w:rPr>
  </w:style>
  <w:style w:type="paragraph" w:styleId="985" w:customStyle="1">
    <w:name w:val="标题 31"/>
    <w:basedOn w:val="746"/>
    <w:link w:val="996"/>
    <w:uiPriority w:val="9"/>
    <w:qFormat/>
    <w:pPr>
      <w:keepLines/>
      <w:keepNext/>
      <w:spacing w:before="260" w:after="260" w:line="415" w:lineRule="auto"/>
      <w:outlineLvl w:val="2"/>
    </w:pPr>
    <w:rPr>
      <w:b/>
      <w:bCs/>
      <w:sz w:val="32"/>
      <w:szCs w:val="32"/>
    </w:rPr>
  </w:style>
  <w:style w:type="paragraph" w:styleId="986" w:customStyle="1">
    <w:name w:val="标题 41"/>
    <w:basedOn w:val="746"/>
    <w:link w:val="997"/>
    <w:uiPriority w:val="9"/>
    <w:qFormat/>
    <w:pPr>
      <w:keepLines/>
      <w:keepNext/>
      <w:spacing w:before="280" w:after="290" w:line="376" w:lineRule="auto"/>
      <w:outlineLvl w:val="3"/>
    </w:pPr>
    <w:rPr>
      <w:rFonts w:ascii="Arial" w:hAnsi="Arial" w:eastAsia="黑体"/>
      <w:b/>
      <w:bCs/>
      <w:sz w:val="28"/>
      <w:szCs w:val="28"/>
    </w:rPr>
  </w:style>
  <w:style w:type="paragraph" w:styleId="987" w:customStyle="1">
    <w:name w:val="标题 51"/>
    <w:basedOn w:val="746"/>
    <w:link w:val="998"/>
    <w:uiPriority w:val="0"/>
    <w:qFormat/>
    <w:pPr>
      <w:keepNext/>
      <w:outlineLvl w:val="4"/>
    </w:pPr>
    <w:rPr>
      <w:rFonts w:ascii="宋体" w:hAnsi="宋体"/>
      <w:color w:val="000000"/>
      <w:sz w:val="28"/>
      <w:szCs w:val="28"/>
    </w:rPr>
  </w:style>
  <w:style w:type="paragraph" w:styleId="988" w:customStyle="1">
    <w:name w:val="标题 61"/>
    <w:basedOn w:val="746"/>
    <w:next w:val="746"/>
    <w:link w:val="999"/>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89" w:customStyle="1">
    <w:name w:val="标题 71"/>
    <w:basedOn w:val="746"/>
    <w:next w:val="746"/>
    <w:link w:val="1000"/>
    <w:uiPriority w:val="0"/>
    <w:qFormat/>
    <w:pPr>
      <w:numPr>
        <w:ilvl w:val="6"/>
        <w:numId w:val="1"/>
      </w:numPr>
      <w:keepLines/>
      <w:keepNext/>
      <w:spacing w:before="240" w:after="64" w:line="319" w:lineRule="auto"/>
      <w:outlineLvl w:val="6"/>
    </w:pPr>
    <w:rPr>
      <w:b/>
      <w:bCs/>
      <w:sz w:val="24"/>
    </w:rPr>
  </w:style>
  <w:style w:type="paragraph" w:styleId="990" w:customStyle="1">
    <w:name w:val="标题 81"/>
    <w:basedOn w:val="746"/>
    <w:next w:val="746"/>
    <w:link w:val="1001"/>
    <w:uiPriority w:val="0"/>
    <w:qFormat/>
    <w:pPr>
      <w:numPr>
        <w:ilvl w:val="7"/>
        <w:numId w:val="1"/>
      </w:numPr>
      <w:keepLines/>
      <w:keepNext/>
      <w:spacing w:before="240" w:after="64" w:line="319" w:lineRule="auto"/>
      <w:outlineLvl w:val="7"/>
    </w:pPr>
    <w:rPr>
      <w:rFonts w:ascii="Arial" w:hAnsi="Arial" w:eastAsia="黑体"/>
      <w:sz w:val="24"/>
    </w:rPr>
  </w:style>
  <w:style w:type="paragraph" w:styleId="991" w:customStyle="1">
    <w:name w:val="标题 91"/>
    <w:basedOn w:val="746"/>
    <w:next w:val="746"/>
    <w:link w:val="1002"/>
    <w:uiPriority w:val="0"/>
    <w:qFormat/>
    <w:pPr>
      <w:numPr>
        <w:ilvl w:val="8"/>
        <w:numId w:val="1"/>
      </w:numPr>
      <w:keepLines/>
      <w:keepNext/>
      <w:spacing w:before="240" w:after="64" w:line="319" w:lineRule="auto"/>
      <w:outlineLvl w:val="8"/>
    </w:pPr>
    <w:rPr>
      <w:rFonts w:ascii="Arial" w:hAnsi="Arial" w:eastAsia="黑体"/>
      <w:szCs w:val="21"/>
    </w:rPr>
  </w:style>
  <w:style w:type="character" w:styleId="992" w:customStyle="1">
    <w:name w:val="默认段落字体11"/>
    <w:link w:val="746"/>
    <w:uiPriority w:val="1"/>
    <w:unhideWhenUsed/>
    <w:qFormat/>
    <w:rPr>
      <w:rFonts w:ascii="Calibri" w:hAnsi="Calibri" w:eastAsia="宋体" w:cs="Times New Roman"/>
      <w:sz w:val="21"/>
      <w:szCs w:val="22"/>
      <w:lang w:val="en-US" w:eastAsia="zh-CN" w:bidi="ar-SA"/>
    </w:rPr>
  </w:style>
  <w:style w:type="table" w:styleId="993" w:customStyle="1">
    <w:name w:val="普通表格1"/>
    <w:uiPriority w:val="0"/>
    <w:semiHidden/>
    <w:qFormat/>
    <w:tblPr>
      <w:tblCellMar>
        <w:left w:w="0" w:type="dxa"/>
        <w:top w:w="0" w:type="dxa"/>
        <w:right w:w="0" w:type="dxa"/>
        <w:bottom w:w="0" w:type="dxa"/>
      </w:tblCellMar>
    </w:tblPr>
  </w:style>
  <w:style w:type="character" w:styleId="994" w:customStyle="1">
    <w:name w:val="标题 1 字符1"/>
    <w:link w:val="983"/>
    <w:uiPriority w:val="9"/>
    <w:qFormat/>
    <w:rPr>
      <w:rFonts w:ascii="楷体_GB2312" w:hAnsi="宋体" w:eastAsia="楷体_GB2312" w:cs="宋体"/>
      <w:sz w:val="28"/>
      <w:szCs w:val="28"/>
    </w:rPr>
  </w:style>
  <w:style w:type="character" w:styleId="995" w:customStyle="1">
    <w:name w:val="标题 2 字符"/>
    <w:link w:val="984"/>
    <w:uiPriority w:val="0"/>
    <w:qFormat/>
    <w:rPr>
      <w:rFonts w:ascii="Arial" w:hAnsi="Arial" w:eastAsia="幼圆" w:cs="Arial"/>
      <w:b/>
      <w:bCs/>
      <w:sz w:val="44"/>
      <w:szCs w:val="44"/>
    </w:rPr>
  </w:style>
  <w:style w:type="character" w:styleId="996" w:customStyle="1">
    <w:name w:val="标题 3 字符"/>
    <w:link w:val="985"/>
    <w:uiPriority w:val="9"/>
    <w:qFormat/>
    <w:rPr>
      <w:b/>
      <w:bCs/>
      <w:sz w:val="32"/>
      <w:szCs w:val="32"/>
    </w:rPr>
  </w:style>
  <w:style w:type="character" w:styleId="997" w:customStyle="1">
    <w:name w:val="标题 4 字符"/>
    <w:link w:val="986"/>
    <w:uiPriority w:val="9"/>
    <w:qFormat/>
    <w:rPr>
      <w:rFonts w:ascii="Arial" w:hAnsi="Arial" w:eastAsia="黑体" w:cs="Arial"/>
      <w:b/>
      <w:bCs/>
      <w:sz w:val="28"/>
      <w:szCs w:val="28"/>
    </w:rPr>
  </w:style>
  <w:style w:type="character" w:styleId="998" w:customStyle="1">
    <w:name w:val="标题 5 字符"/>
    <w:link w:val="987"/>
    <w:uiPriority w:val="0"/>
    <w:qFormat/>
    <w:rPr>
      <w:rFonts w:ascii="宋体" w:hAnsi="宋体" w:cs="宋体"/>
      <w:color w:val="000000"/>
      <w:sz w:val="28"/>
      <w:szCs w:val="28"/>
    </w:rPr>
  </w:style>
  <w:style w:type="character" w:styleId="999" w:customStyle="1">
    <w:name w:val="标题 6 字符"/>
    <w:link w:val="988"/>
    <w:uiPriority w:val="0"/>
    <w:qFormat/>
    <w:rPr>
      <w:rFonts w:ascii="Arial" w:hAnsi="Arial" w:eastAsia="黑体"/>
      <w:b/>
      <w:bCs/>
      <w:sz w:val="24"/>
      <w:szCs w:val="24"/>
    </w:rPr>
  </w:style>
  <w:style w:type="character" w:styleId="1000" w:customStyle="1">
    <w:name w:val="标题 7 字符"/>
    <w:link w:val="989"/>
    <w:uiPriority w:val="0"/>
    <w:qFormat/>
    <w:rPr>
      <w:b/>
      <w:bCs/>
      <w:sz w:val="24"/>
      <w:szCs w:val="24"/>
    </w:rPr>
  </w:style>
  <w:style w:type="character" w:styleId="1001" w:customStyle="1">
    <w:name w:val="标题 8 字符"/>
    <w:link w:val="990"/>
    <w:uiPriority w:val="0"/>
    <w:qFormat/>
    <w:rPr>
      <w:rFonts w:ascii="Arial" w:hAnsi="Arial" w:eastAsia="黑体"/>
      <w:sz w:val="24"/>
      <w:szCs w:val="24"/>
    </w:rPr>
  </w:style>
  <w:style w:type="character" w:styleId="1002" w:customStyle="1">
    <w:name w:val="标题 9 字符"/>
    <w:link w:val="991"/>
    <w:uiPriority w:val="0"/>
    <w:qFormat/>
    <w:rPr>
      <w:rFonts w:ascii="Arial" w:hAnsi="Arial" w:eastAsia="黑体"/>
      <w:sz w:val="21"/>
      <w:szCs w:val="21"/>
    </w:rPr>
  </w:style>
  <w:style w:type="paragraph" w:styleId="1003" w:customStyle="1">
    <w:name w:val="列表 311"/>
    <w:basedOn w:val="746"/>
    <w:uiPriority w:val="0"/>
    <w:qFormat/>
    <w:pPr>
      <w:ind w:hanging="200"/>
    </w:pPr>
    <w:rPr>
      <w:szCs w:val="21"/>
    </w:rPr>
  </w:style>
  <w:style w:type="paragraph" w:styleId="1004" w:customStyle="1">
    <w:name w:val="目录 71"/>
    <w:basedOn w:val="746"/>
    <w:next w:val="746"/>
    <w:uiPriority w:val="39"/>
    <w:qFormat/>
    <w:pPr>
      <w:ind w:left="1260"/>
      <w:jc w:val="left"/>
    </w:pPr>
    <w:rPr>
      <w:rFonts w:cs="Calibri"/>
      <w:sz w:val="18"/>
      <w:szCs w:val="18"/>
    </w:rPr>
  </w:style>
  <w:style w:type="paragraph" w:styleId="1005" w:customStyle="1">
    <w:name w:val="列表编号1"/>
    <w:basedOn w:val="746"/>
    <w:uiPriority w:val="0"/>
    <w:qFormat/>
    <w:pPr>
      <w:numPr>
        <w:ilvl w:val="0"/>
        <w:numId w:val="2"/>
      </w:numPr>
      <w:ind w:left="0" w:firstLine="0"/>
      <w:tabs>
        <w:tab w:val="clear" w:pos="420" w:leader="none"/>
      </w:tabs>
    </w:pPr>
    <w:rPr>
      <w:szCs w:val="20"/>
    </w:rPr>
  </w:style>
  <w:style w:type="paragraph" w:styleId="1006" w:customStyle="1">
    <w:name w:val="正文缩进1"/>
    <w:basedOn w:val="746"/>
    <w:next w:val="746"/>
    <w:link w:val="1007"/>
    <w:uiPriority w:val="99"/>
    <w:qFormat/>
    <w:pPr>
      <w:ind w:firstLine="420"/>
    </w:pPr>
    <w:rPr>
      <w:szCs w:val="21"/>
    </w:rPr>
  </w:style>
  <w:style w:type="character" w:styleId="1007" w:customStyle="1">
    <w:name w:val="正文缩进 字符"/>
    <w:link w:val="1006"/>
    <w:uiPriority w:val="99"/>
    <w:qFormat/>
    <w:rPr>
      <w:rFonts w:eastAsia="宋体"/>
      <w:sz w:val="21"/>
      <w:szCs w:val="21"/>
      <w:lang w:val="en-US" w:eastAsia="zh-CN" w:bidi="ar-SA"/>
    </w:rPr>
  </w:style>
  <w:style w:type="paragraph" w:styleId="1008" w:customStyle="1">
    <w:name w:val="文档结构图1"/>
    <w:basedOn w:val="746"/>
    <w:link w:val="1009"/>
    <w:uiPriority w:val="99"/>
    <w:qFormat/>
    <w:pPr>
      <w:shd w:val="clear" w:color="auto" w:fill="000080"/>
    </w:pPr>
    <w:rPr>
      <w:szCs w:val="21"/>
    </w:rPr>
  </w:style>
  <w:style w:type="character" w:styleId="1009" w:customStyle="1">
    <w:name w:val="文档结构图 字符"/>
    <w:link w:val="1008"/>
    <w:uiPriority w:val="99"/>
    <w:qFormat/>
    <w:rPr>
      <w:sz w:val="21"/>
      <w:szCs w:val="21"/>
      <w:shd w:val="clear" w:color="auto" w:fill="000080"/>
    </w:rPr>
  </w:style>
  <w:style w:type="paragraph" w:styleId="1010" w:customStyle="1">
    <w:name w:val="引文目录标题1"/>
    <w:basedOn w:val="746"/>
    <w:next w:val="746"/>
    <w:uiPriority w:val="0"/>
    <w:qFormat/>
    <w:pPr>
      <w:spacing w:before="120"/>
    </w:pPr>
    <w:rPr>
      <w:rFonts w:ascii="Arial" w:hAnsi="Arial" w:cs="Arial"/>
      <w:sz w:val="24"/>
    </w:rPr>
  </w:style>
  <w:style w:type="paragraph" w:styleId="1011" w:customStyle="1">
    <w:name w:val="批注文字1"/>
    <w:basedOn w:val="746"/>
    <w:link w:val="1012"/>
    <w:uiPriority w:val="99"/>
    <w:qFormat/>
    <w:pPr>
      <w:jc w:val="left"/>
    </w:pPr>
    <w:rPr>
      <w:szCs w:val="21"/>
    </w:rPr>
  </w:style>
  <w:style w:type="character" w:styleId="1012" w:customStyle="1">
    <w:name w:val="批注文字 字符"/>
    <w:link w:val="1011"/>
    <w:uiPriority w:val="99"/>
    <w:qFormat/>
    <w:rPr>
      <w:sz w:val="21"/>
      <w:szCs w:val="21"/>
    </w:rPr>
  </w:style>
  <w:style w:type="paragraph" w:styleId="1013" w:customStyle="1">
    <w:name w:val="正文文本 31"/>
    <w:basedOn w:val="746"/>
    <w:uiPriority w:val="0"/>
    <w:qFormat/>
    <w:rPr>
      <w:rFonts w:ascii="仿宋_GB2312" w:hAnsi="宋体" w:eastAsia="仿宋_GB2312" w:cs="宋体"/>
      <w:sz w:val="32"/>
      <w:szCs w:val="32"/>
    </w:rPr>
  </w:style>
  <w:style w:type="paragraph" w:styleId="1014" w:customStyle="1">
    <w:name w:val="正文文本1"/>
    <w:basedOn w:val="746"/>
    <w:link w:val="1015"/>
    <w:uiPriority w:val="99"/>
    <w:qFormat/>
    <w:rPr>
      <w:rFonts w:ascii="楷体_GB2312" w:hAnsi="宋体" w:eastAsia="楷体_GB2312"/>
      <w:sz w:val="28"/>
      <w:szCs w:val="28"/>
    </w:rPr>
  </w:style>
  <w:style w:type="character" w:styleId="1015" w:customStyle="1">
    <w:name w:val="正文文本 字符"/>
    <w:link w:val="1014"/>
    <w:uiPriority w:val="99"/>
    <w:qFormat/>
    <w:rPr>
      <w:rFonts w:ascii="楷体_GB2312" w:hAnsi="宋体" w:eastAsia="楷体_GB2312" w:cs="宋体"/>
      <w:sz w:val="28"/>
      <w:szCs w:val="28"/>
    </w:rPr>
  </w:style>
  <w:style w:type="paragraph" w:styleId="1016" w:customStyle="1">
    <w:name w:val="正文文本缩进1"/>
    <w:basedOn w:val="746"/>
    <w:next w:val="746"/>
    <w:uiPriority w:val="0"/>
    <w:qFormat/>
    <w:pPr>
      <w:ind w:firstLine="645"/>
    </w:pPr>
    <w:rPr>
      <w:rFonts w:ascii="楷体_GB2312" w:hAnsi="宋体" w:eastAsia="楷体_GB2312" w:cs="宋体"/>
      <w:sz w:val="32"/>
      <w:szCs w:val="32"/>
    </w:rPr>
  </w:style>
  <w:style w:type="paragraph" w:styleId="1017" w:customStyle="1">
    <w:name w:val="列表 211"/>
    <w:basedOn w:val="746"/>
    <w:uiPriority w:val="0"/>
    <w:qFormat/>
    <w:pPr>
      <w:ind w:hanging="200"/>
    </w:pPr>
    <w:rPr>
      <w:szCs w:val="21"/>
    </w:rPr>
  </w:style>
  <w:style w:type="paragraph" w:styleId="1018" w:customStyle="1">
    <w:name w:val="HTML 地址1"/>
    <w:basedOn w:val="746"/>
    <w:uiPriority w:val="0"/>
    <w:qFormat/>
    <w:rPr>
      <w:i/>
      <w:iCs/>
      <w:szCs w:val="21"/>
    </w:rPr>
  </w:style>
  <w:style w:type="paragraph" w:styleId="1019" w:customStyle="1">
    <w:name w:val="目录 51"/>
    <w:basedOn w:val="746"/>
    <w:next w:val="746"/>
    <w:uiPriority w:val="39"/>
    <w:qFormat/>
    <w:pPr>
      <w:ind w:left="840"/>
      <w:jc w:val="left"/>
    </w:pPr>
    <w:rPr>
      <w:rFonts w:cs="Calibri"/>
      <w:sz w:val="18"/>
      <w:szCs w:val="18"/>
    </w:rPr>
  </w:style>
  <w:style w:type="paragraph" w:styleId="1020" w:customStyle="1">
    <w:name w:val="目录 31"/>
    <w:basedOn w:val="746"/>
    <w:next w:val="746"/>
    <w:uiPriority w:val="39"/>
    <w:qFormat/>
    <w:pPr>
      <w:ind w:left="420"/>
      <w:jc w:val="left"/>
    </w:pPr>
    <w:rPr>
      <w:rFonts w:cs="Calibri"/>
      <w:i/>
      <w:iCs/>
      <w:sz w:val="20"/>
      <w:szCs w:val="20"/>
    </w:rPr>
  </w:style>
  <w:style w:type="paragraph" w:styleId="1021" w:customStyle="1">
    <w:name w:val="纯文本1"/>
    <w:basedOn w:val="746"/>
    <w:link w:val="1022"/>
    <w:uiPriority w:val="99"/>
    <w:qFormat/>
    <w:rPr>
      <w:rFonts w:ascii="宋体" w:hAnsi="宋体"/>
      <w:szCs w:val="21"/>
    </w:rPr>
  </w:style>
  <w:style w:type="character" w:styleId="1022" w:customStyle="1">
    <w:name w:val="纯文本 字符"/>
    <w:link w:val="1021"/>
    <w:uiPriority w:val="99"/>
    <w:qFormat/>
    <w:rPr>
      <w:rFonts w:ascii="宋体" w:hAnsi="宋体" w:cs="Courier New"/>
      <w:sz w:val="21"/>
      <w:szCs w:val="21"/>
    </w:rPr>
  </w:style>
  <w:style w:type="paragraph" w:styleId="1023" w:customStyle="1">
    <w:name w:val="目录 81"/>
    <w:basedOn w:val="746"/>
    <w:next w:val="746"/>
    <w:uiPriority w:val="39"/>
    <w:qFormat/>
    <w:pPr>
      <w:ind w:left="1470"/>
      <w:jc w:val="left"/>
    </w:pPr>
    <w:rPr>
      <w:rFonts w:cs="Calibri"/>
      <w:sz w:val="18"/>
      <w:szCs w:val="18"/>
    </w:rPr>
  </w:style>
  <w:style w:type="paragraph" w:styleId="1024" w:customStyle="1">
    <w:name w:val="日期1"/>
    <w:basedOn w:val="746"/>
    <w:next w:val="746"/>
    <w:link w:val="1025"/>
    <w:uiPriority w:val="0"/>
    <w:qFormat/>
    <w:rPr>
      <w:sz w:val="24"/>
    </w:rPr>
  </w:style>
  <w:style w:type="character" w:styleId="1025" w:customStyle="1">
    <w:name w:val="日期 字符"/>
    <w:link w:val="1024"/>
    <w:uiPriority w:val="0"/>
    <w:qFormat/>
    <w:rPr>
      <w:sz w:val="24"/>
      <w:szCs w:val="24"/>
    </w:rPr>
  </w:style>
  <w:style w:type="paragraph" w:styleId="1026" w:customStyle="1">
    <w:name w:val="正文文本缩进 21"/>
    <w:basedOn w:val="746"/>
    <w:uiPriority w:val="0"/>
    <w:qFormat/>
    <w:pPr>
      <w:ind w:left="630" w:firstLine="645"/>
    </w:pPr>
    <w:rPr>
      <w:rFonts w:ascii="Arial" w:hAnsi="Arial" w:eastAsia="仿宋_GB2312" w:cs="Arial"/>
      <w:sz w:val="32"/>
      <w:szCs w:val="32"/>
    </w:rPr>
  </w:style>
  <w:style w:type="paragraph" w:styleId="1027" w:customStyle="1">
    <w:name w:val="批注框文本1"/>
    <w:basedOn w:val="746"/>
    <w:link w:val="1028"/>
    <w:uiPriority w:val="99"/>
    <w:qFormat/>
    <w:rPr>
      <w:sz w:val="18"/>
      <w:szCs w:val="18"/>
    </w:rPr>
  </w:style>
  <w:style w:type="character" w:styleId="1028" w:customStyle="1">
    <w:name w:val="批注框文本 字符"/>
    <w:link w:val="1027"/>
    <w:uiPriority w:val="99"/>
    <w:qFormat/>
    <w:rPr>
      <w:sz w:val="18"/>
      <w:szCs w:val="18"/>
    </w:rPr>
  </w:style>
  <w:style w:type="paragraph" w:styleId="1029" w:customStyle="1">
    <w:name w:val="页脚1"/>
    <w:basedOn w:val="746"/>
    <w:link w:val="1030"/>
    <w:uiPriority w:val="99"/>
    <w:qFormat/>
    <w:pPr>
      <w:jc w:val="left"/>
      <w:tabs>
        <w:tab w:val="center" w:pos="4153" w:leader="none"/>
        <w:tab w:val="right" w:pos="8306" w:leader="none"/>
      </w:tabs>
    </w:pPr>
    <w:rPr>
      <w:sz w:val="18"/>
      <w:szCs w:val="18"/>
    </w:rPr>
  </w:style>
  <w:style w:type="character" w:styleId="1030" w:customStyle="1">
    <w:name w:val="页脚 字符"/>
    <w:link w:val="1029"/>
    <w:uiPriority w:val="99"/>
    <w:qFormat/>
    <w:rPr>
      <w:sz w:val="18"/>
      <w:szCs w:val="18"/>
    </w:rPr>
  </w:style>
  <w:style w:type="paragraph" w:styleId="1031" w:customStyle="1">
    <w:name w:val="页眉1"/>
    <w:basedOn w:val="746"/>
    <w:link w:val="1032"/>
    <w:uiPriority w:val="99"/>
    <w:qFormat/>
    <w:pPr>
      <w:jc w:val="center"/>
      <w:tabs>
        <w:tab w:val="center" w:pos="4153" w:leader="none"/>
        <w:tab w:val="right" w:pos="8306" w:leader="none"/>
      </w:tabs>
      <w:pBdr>
        <w:bottom w:val="single" w:color="000000" w:sz="6" w:space="1"/>
      </w:pBdr>
    </w:pPr>
    <w:rPr>
      <w:sz w:val="18"/>
      <w:szCs w:val="18"/>
    </w:rPr>
  </w:style>
  <w:style w:type="character" w:styleId="1032" w:customStyle="1">
    <w:name w:val="页眉 字符"/>
    <w:link w:val="1031"/>
    <w:uiPriority w:val="99"/>
    <w:qFormat/>
    <w:rPr>
      <w:sz w:val="18"/>
      <w:szCs w:val="18"/>
    </w:rPr>
  </w:style>
  <w:style w:type="paragraph" w:styleId="1033" w:customStyle="1">
    <w:name w:val="目录 11"/>
    <w:basedOn w:val="746"/>
    <w:next w:val="746"/>
    <w:uiPriority w:val="39"/>
    <w:qFormat/>
    <w:pPr>
      <w:jc w:val="left"/>
      <w:spacing w:before="120" w:after="120"/>
    </w:pPr>
    <w:rPr>
      <w:rFonts w:cs="Calibri"/>
      <w:b/>
      <w:bCs/>
      <w:caps/>
      <w:sz w:val="20"/>
      <w:szCs w:val="20"/>
    </w:rPr>
  </w:style>
  <w:style w:type="paragraph" w:styleId="1034" w:customStyle="1">
    <w:name w:val="目录 41"/>
    <w:basedOn w:val="746"/>
    <w:next w:val="746"/>
    <w:uiPriority w:val="39"/>
    <w:qFormat/>
    <w:pPr>
      <w:ind w:left="630"/>
      <w:jc w:val="left"/>
    </w:pPr>
    <w:rPr>
      <w:rFonts w:cs="Calibri"/>
      <w:sz w:val="18"/>
      <w:szCs w:val="18"/>
    </w:rPr>
  </w:style>
  <w:style w:type="paragraph" w:styleId="1035" w:customStyle="1">
    <w:name w:val="副标题1"/>
    <w:basedOn w:val="746"/>
    <w:next w:val="746"/>
    <w:link w:val="1036"/>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36" w:customStyle="1">
    <w:name w:val="副标题 字符"/>
    <w:link w:val="1035"/>
    <w:uiPriority w:val="0"/>
    <w:qFormat/>
    <w:rPr>
      <w:rFonts w:ascii="Cambria" w:hAnsi="Cambria"/>
      <w:b/>
      <w:bCs/>
      <w:sz w:val="32"/>
      <w:szCs w:val="32"/>
    </w:rPr>
  </w:style>
  <w:style w:type="paragraph" w:styleId="1037" w:customStyle="1">
    <w:name w:val="列表1"/>
    <w:basedOn w:val="746"/>
    <w:uiPriority w:val="99"/>
    <w:qFormat/>
    <w:pPr>
      <w:ind w:left="200" w:hanging="200"/>
    </w:pPr>
    <w:rPr>
      <w:szCs w:val="21"/>
    </w:rPr>
  </w:style>
  <w:style w:type="paragraph" w:styleId="1038" w:customStyle="1">
    <w:name w:val="脚注文本1"/>
    <w:basedOn w:val="746"/>
    <w:uiPriority w:val="0"/>
    <w:qFormat/>
    <w:pPr>
      <w:jc w:val="left"/>
      <w:widowControl/>
    </w:pPr>
    <w:rPr>
      <w:sz w:val="20"/>
      <w:szCs w:val="20"/>
    </w:rPr>
  </w:style>
  <w:style w:type="paragraph" w:styleId="1039" w:customStyle="1">
    <w:name w:val="目录 61"/>
    <w:basedOn w:val="746"/>
    <w:next w:val="746"/>
    <w:uiPriority w:val="39"/>
    <w:qFormat/>
    <w:pPr>
      <w:ind w:left="1050"/>
      <w:jc w:val="left"/>
    </w:pPr>
    <w:rPr>
      <w:rFonts w:cs="Calibri"/>
      <w:sz w:val="18"/>
      <w:szCs w:val="18"/>
    </w:rPr>
  </w:style>
  <w:style w:type="paragraph" w:styleId="1040" w:customStyle="1">
    <w:name w:val="正文文本缩进 31"/>
    <w:basedOn w:val="746"/>
    <w:uiPriority w:val="0"/>
    <w:qFormat/>
    <w:pPr>
      <w:ind w:left="645" w:firstLine="645"/>
    </w:pPr>
    <w:rPr>
      <w:rFonts w:ascii="Arial" w:hAnsi="Arial" w:eastAsia="仿宋_GB2312" w:cs="Arial"/>
      <w:color w:val="ffff00"/>
      <w:sz w:val="32"/>
      <w:szCs w:val="32"/>
    </w:rPr>
  </w:style>
  <w:style w:type="paragraph" w:styleId="1041" w:customStyle="1">
    <w:name w:val="图表目录1"/>
    <w:basedOn w:val="746"/>
    <w:next w:val="746"/>
    <w:uiPriority w:val="0"/>
    <w:qFormat/>
    <w:pPr>
      <w:ind w:left="840" w:hanging="420"/>
    </w:pPr>
    <w:rPr>
      <w:szCs w:val="21"/>
    </w:rPr>
  </w:style>
  <w:style w:type="paragraph" w:styleId="1042" w:customStyle="1">
    <w:name w:val="目录 21"/>
    <w:basedOn w:val="746"/>
    <w:next w:val="746"/>
    <w:uiPriority w:val="39"/>
    <w:qFormat/>
    <w:pPr>
      <w:ind w:left="210"/>
      <w:jc w:val="left"/>
    </w:pPr>
    <w:rPr>
      <w:rFonts w:cs="Calibri"/>
      <w:smallCaps/>
      <w:sz w:val="20"/>
      <w:szCs w:val="20"/>
    </w:rPr>
  </w:style>
  <w:style w:type="paragraph" w:styleId="1043" w:customStyle="1">
    <w:name w:val="目录 91"/>
    <w:basedOn w:val="746"/>
    <w:next w:val="746"/>
    <w:uiPriority w:val="39"/>
    <w:qFormat/>
    <w:pPr>
      <w:ind w:left="1680"/>
      <w:jc w:val="left"/>
    </w:pPr>
    <w:rPr>
      <w:rFonts w:cs="Calibri"/>
      <w:sz w:val="18"/>
      <w:szCs w:val="18"/>
    </w:rPr>
  </w:style>
  <w:style w:type="paragraph" w:styleId="1044" w:customStyle="1">
    <w:name w:val="正文文本 21"/>
    <w:basedOn w:val="746"/>
    <w:uiPriority w:val="0"/>
    <w:qFormat/>
    <w:pPr>
      <w:jc w:val="center"/>
      <w:widowControl/>
    </w:pPr>
    <w:rPr>
      <w:rFonts w:ascii="楷体_GB2312" w:hAnsi="宋体" w:eastAsia="楷体_GB2312" w:cs="宋体"/>
      <w:sz w:val="28"/>
      <w:szCs w:val="28"/>
    </w:rPr>
  </w:style>
  <w:style w:type="paragraph" w:styleId="1045" w:customStyle="1">
    <w:name w:val="列表 41"/>
    <w:basedOn w:val="746"/>
    <w:uiPriority w:val="0"/>
    <w:qFormat/>
    <w:pPr>
      <w:ind w:left="100" w:hanging="200"/>
    </w:pPr>
    <w:rPr>
      <w:szCs w:val="21"/>
    </w:rPr>
  </w:style>
  <w:style w:type="paragraph" w:styleId="1046" w:customStyle="1">
    <w:name w:val="HTML 预设格式1"/>
    <w:basedOn w:val="7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47" w:customStyle="1">
    <w:name w:val="普通(网站)1"/>
    <w:basedOn w:val="746"/>
    <w:link w:val="1048"/>
    <w:uiPriority w:val="99"/>
    <w:qFormat/>
    <w:pPr>
      <w:jc w:val="left"/>
      <w:spacing w:before="100" w:beforeAutospacing="1" w:after="100" w:afterAutospacing="1"/>
      <w:widowControl/>
    </w:pPr>
    <w:rPr>
      <w:rFonts w:ascii="宋体" w:hAnsi="宋体"/>
      <w:sz w:val="24"/>
    </w:rPr>
  </w:style>
  <w:style w:type="character" w:styleId="1048" w:customStyle="1">
    <w:name w:val="普通(网站) 字符"/>
    <w:link w:val="1047"/>
    <w:uiPriority w:val="99"/>
    <w:qFormat/>
    <w:rPr>
      <w:rFonts w:ascii="宋体" w:hAnsi="宋体" w:cs="宋体"/>
      <w:sz w:val="24"/>
      <w:szCs w:val="24"/>
    </w:rPr>
  </w:style>
  <w:style w:type="paragraph" w:styleId="1049" w:customStyle="1">
    <w:name w:val="列表接续 31"/>
    <w:basedOn w:val="746"/>
    <w:uiPriority w:val="0"/>
    <w:qFormat/>
    <w:pPr>
      <w:ind w:left="1260"/>
      <w:spacing w:after="120"/>
    </w:pPr>
    <w:rPr>
      <w:szCs w:val="20"/>
    </w:rPr>
  </w:style>
  <w:style w:type="paragraph" w:styleId="1050" w:customStyle="1">
    <w:name w:val="索引 11"/>
    <w:basedOn w:val="746"/>
    <w:next w:val="746"/>
    <w:uiPriority w:val="0"/>
    <w:qFormat/>
    <w:pPr>
      <w:spacing w:line="240" w:lineRule="atLeast"/>
    </w:pPr>
    <w:rPr>
      <w:b/>
      <w:bCs/>
      <w:szCs w:val="21"/>
    </w:rPr>
  </w:style>
  <w:style w:type="paragraph" w:styleId="1051" w:customStyle="1">
    <w:name w:val="标题11"/>
    <w:basedOn w:val="746"/>
    <w:link w:val="1052"/>
    <w:uiPriority w:val="0"/>
    <w:qFormat/>
    <w:pPr>
      <w:jc w:val="center"/>
      <w:spacing w:before="240" w:after="60"/>
      <w:outlineLvl w:val="0"/>
    </w:pPr>
    <w:rPr>
      <w:rFonts w:ascii="Arial" w:hAnsi="Arial" w:eastAsia="黑体"/>
      <w:b/>
      <w:bCs/>
      <w:sz w:val="44"/>
      <w:szCs w:val="32"/>
    </w:rPr>
  </w:style>
  <w:style w:type="character" w:styleId="1052" w:customStyle="1">
    <w:name w:val="标题 字符1"/>
    <w:link w:val="1051"/>
    <w:uiPriority w:val="0"/>
    <w:qFormat/>
    <w:rPr>
      <w:rFonts w:ascii="Arial" w:hAnsi="Arial" w:eastAsia="黑体" w:cs="Arial"/>
      <w:b/>
      <w:bCs/>
      <w:sz w:val="44"/>
      <w:szCs w:val="32"/>
    </w:rPr>
  </w:style>
  <w:style w:type="paragraph" w:styleId="1053" w:customStyle="1">
    <w:name w:val="批注主题1"/>
    <w:basedOn w:val="1011"/>
    <w:next w:val="1011"/>
    <w:link w:val="1054"/>
    <w:uiPriority w:val="99"/>
    <w:qFormat/>
    <w:rPr>
      <w:b/>
      <w:bCs/>
    </w:rPr>
  </w:style>
  <w:style w:type="character" w:styleId="1054" w:customStyle="1">
    <w:name w:val="批注主题 字符"/>
    <w:link w:val="1053"/>
    <w:uiPriority w:val="99"/>
    <w:qFormat/>
    <w:rPr>
      <w:b/>
      <w:bCs/>
      <w:sz w:val="21"/>
      <w:szCs w:val="21"/>
    </w:rPr>
  </w:style>
  <w:style w:type="paragraph" w:styleId="1055" w:customStyle="1">
    <w:name w:val="正文首行缩进11"/>
    <w:basedOn w:val="746"/>
    <w:link w:val="1056"/>
    <w:uiPriority w:val="0"/>
    <w:qFormat/>
    <w:pPr>
      <w:ind w:firstLine="200"/>
      <w:spacing w:line="360" w:lineRule="auto"/>
    </w:pPr>
    <w:rPr>
      <w:rFonts w:ascii="仿宋_GB2312" w:hAnsi="宋体" w:eastAsia="仿宋_GB2312"/>
      <w:sz w:val="30"/>
      <w:szCs w:val="30"/>
    </w:rPr>
  </w:style>
  <w:style w:type="character" w:styleId="1056" w:customStyle="1">
    <w:name w:val="正文首行缩进 字符"/>
    <w:link w:val="1055"/>
    <w:uiPriority w:val="0"/>
    <w:qFormat/>
    <w:rPr>
      <w:rFonts w:ascii="仿宋_GB2312" w:hAnsi="宋体" w:eastAsia="仿宋_GB2312" w:cs="宋体"/>
      <w:sz w:val="30"/>
      <w:szCs w:val="30"/>
    </w:rPr>
  </w:style>
  <w:style w:type="paragraph" w:styleId="1057" w:customStyle="1">
    <w:name w:val="正文首行缩进 21"/>
    <w:basedOn w:val="1016"/>
    <w:uiPriority w:val="0"/>
    <w:qFormat/>
    <w:pPr>
      <w:ind w:firstLine="200"/>
      <w:spacing w:line="360" w:lineRule="auto"/>
    </w:pPr>
    <w:rPr>
      <w:rFonts w:ascii="宋体" w:eastAsia="宋体"/>
      <w:sz w:val="21"/>
      <w:szCs w:val="20"/>
    </w:rPr>
  </w:style>
  <w:style w:type="table" w:styleId="1058" w:customStyle="1">
    <w:name w:val="网格型1"/>
    <w:basedOn w:val="993"/>
    <w:uiPriority w:val="39"/>
    <w:qFormat/>
    <w:rPr>
      <w:rFonts w:ascii="Calibri" w:hAnsi="Calibri"/>
    </w:rPr>
    <w:tblPr/>
  </w:style>
  <w:style w:type="character" w:styleId="1059" w:customStyle="1">
    <w:name w:val="要点1"/>
    <w:uiPriority w:val="22"/>
    <w:qFormat/>
    <w:rPr>
      <w:b/>
      <w:bCs/>
    </w:rPr>
  </w:style>
  <w:style w:type="character" w:styleId="1060" w:customStyle="1">
    <w:name w:val="页码1"/>
    <w:uiPriority w:val="0"/>
    <w:qFormat/>
  </w:style>
  <w:style w:type="character" w:styleId="1061" w:customStyle="1">
    <w:name w:val="已访问的超链接1"/>
    <w:uiPriority w:val="99"/>
    <w:qFormat/>
    <w:rPr>
      <w:color w:val="800080"/>
      <w:u w:val="single"/>
    </w:rPr>
  </w:style>
  <w:style w:type="character" w:styleId="1062" w:customStyle="1">
    <w:name w:val="强调1"/>
    <w:uiPriority w:val="20"/>
    <w:qFormat/>
    <w:rPr>
      <w:i/>
      <w:iCs/>
    </w:rPr>
  </w:style>
  <w:style w:type="character" w:styleId="1063" w:customStyle="1">
    <w:name w:val="超链接1"/>
    <w:uiPriority w:val="99"/>
    <w:qFormat/>
    <w:rPr>
      <w:color w:val="0000ff"/>
      <w:u w:val="single"/>
    </w:rPr>
  </w:style>
  <w:style w:type="character" w:styleId="1064" w:customStyle="1">
    <w:name w:val="批注引用1"/>
    <w:uiPriority w:val="99"/>
    <w:qFormat/>
    <w:rPr>
      <w:sz w:val="21"/>
      <w:szCs w:val="21"/>
    </w:rPr>
  </w:style>
  <w:style w:type="character" w:styleId="1065" w:customStyle="1">
    <w:name w:val="列出段落 Char"/>
    <w:link w:val="1066"/>
    <w:uiPriority w:val="0"/>
    <w:qFormat/>
    <w:rPr>
      <w:rFonts w:ascii="Calibri" w:hAnsi="Calibri"/>
      <w:sz w:val="22"/>
    </w:rPr>
  </w:style>
  <w:style w:type="paragraph" w:styleId="1066" w:customStyle="1">
    <w:name w:val="2"/>
    <w:basedOn w:val="746"/>
    <w:next w:val="1067"/>
    <w:link w:val="1065"/>
    <w:uiPriority w:val="0"/>
    <w:qFormat/>
    <w:pPr>
      <w:ind w:firstLine="420"/>
    </w:pPr>
    <w:rPr>
      <w:sz w:val="22"/>
      <w:szCs w:val="20"/>
    </w:rPr>
  </w:style>
  <w:style w:type="paragraph" w:styleId="1067" w:customStyle="1">
    <w:name w:val="列出段落1"/>
    <w:basedOn w:val="746"/>
    <w:uiPriority w:val="34"/>
    <w:qFormat/>
    <w:pPr>
      <w:contextualSpacing/>
      <w:ind w:left="720"/>
      <w:jc w:val="left"/>
      <w:widowControl/>
    </w:pPr>
    <w:rPr>
      <w:rFonts w:cs="宋体"/>
      <w:sz w:val="24"/>
      <w:lang w:eastAsia="en-US"/>
    </w:rPr>
  </w:style>
  <w:style w:type="character" w:styleId="1068" w:customStyle="1">
    <w:name w:val="标题 6 Char1"/>
    <w:uiPriority w:val="0"/>
    <w:semiHidden/>
    <w:qFormat/>
    <w:rPr>
      <w:rFonts w:ascii="Cambria" w:hAnsi="Cambria" w:eastAsia="宋体" w:cs="Times New Roman"/>
      <w:b/>
      <w:bCs/>
      <w:sz w:val="24"/>
      <w:szCs w:val="24"/>
    </w:rPr>
  </w:style>
  <w:style w:type="character" w:styleId="1069" w:customStyle="1">
    <w:name w:val="标题 3 Char1"/>
    <w:uiPriority w:val="99"/>
    <w:semiHidden/>
    <w:qFormat/>
    <w:rPr>
      <w:b/>
      <w:bCs/>
      <w:sz w:val="32"/>
      <w:szCs w:val="32"/>
    </w:rPr>
  </w:style>
  <w:style w:type="character" w:styleId="1070" w:customStyle="1">
    <w:name w:val="普通(网站) Char1"/>
    <w:uiPriority w:val="99"/>
    <w:semiHidden/>
    <w:qFormat/>
    <w:rPr>
      <w:sz w:val="18"/>
      <w:szCs w:val="18"/>
    </w:rPr>
  </w:style>
  <w:style w:type="character" w:styleId="1071" w:customStyle="1">
    <w:name w:val="font91"/>
    <w:uiPriority w:val="0"/>
    <w:qFormat/>
    <w:rPr>
      <w:rFonts w:ascii="Times New Roman" w:hAnsi="Times New Roman" w:cs="Times New Roman"/>
      <w:color w:val="000000"/>
      <w:sz w:val="20"/>
      <w:szCs w:val="20"/>
      <w:u w:val="none"/>
    </w:rPr>
  </w:style>
  <w:style w:type="character" w:styleId="1072" w:customStyle="1">
    <w:name w:val="标题 5 Char"/>
    <w:uiPriority w:val="0"/>
    <w:qFormat/>
    <w:rPr>
      <w:b/>
      <w:bCs/>
      <w:sz w:val="28"/>
      <w:szCs w:val="28"/>
    </w:rPr>
  </w:style>
  <w:style w:type="character" w:styleId="1073" w:customStyle="1">
    <w:name w:val="副标题 字符1"/>
    <w:uiPriority w:val="11"/>
    <w:qFormat/>
    <w:rPr>
      <w:b/>
      <w:bCs/>
      <w:sz w:val="32"/>
      <w:szCs w:val="32"/>
    </w:rPr>
  </w:style>
  <w:style w:type="character" w:styleId="1074" w:customStyle="1">
    <w:name w:val="标题 3 Char"/>
    <w:uiPriority w:val="0"/>
    <w:qFormat/>
    <w:rPr>
      <w:b/>
      <w:bCs/>
      <w:sz w:val="32"/>
      <w:szCs w:val="32"/>
    </w:rPr>
  </w:style>
  <w:style w:type="character" w:styleId="1075" w:customStyle="1">
    <w:name w:val="正文样式 Char"/>
    <w:link w:val="1076"/>
    <w:uiPriority w:val="0"/>
    <w:qFormat/>
    <w:rPr>
      <w:rFonts w:ascii="宋体" w:hAnsi="宋体"/>
      <w:sz w:val="24"/>
      <w:szCs w:val="24"/>
    </w:rPr>
  </w:style>
  <w:style w:type="paragraph" w:styleId="1076" w:customStyle="1">
    <w:name w:val="正文样式"/>
    <w:basedOn w:val="746"/>
    <w:link w:val="1075"/>
    <w:uiPriority w:val="0"/>
    <w:qFormat/>
    <w:pPr>
      <w:ind w:firstLine="480"/>
      <w:spacing w:line="360" w:lineRule="auto"/>
    </w:pPr>
    <w:rPr>
      <w:rFonts w:ascii="宋体" w:hAnsi="宋体"/>
      <w:sz w:val="24"/>
    </w:rPr>
  </w:style>
  <w:style w:type="character" w:styleId="1077" w:customStyle="1">
    <w:name w:val="表格非标题文字 Char"/>
    <w:link w:val="1078"/>
    <w:uiPriority w:val="99"/>
    <w:qFormat/>
    <w:rPr>
      <w:rFonts w:ascii="Futura Bk" w:hAnsi="Futura Bk"/>
      <w:sz w:val="18"/>
      <w:szCs w:val="21"/>
      <w:lang w:val="en-US" w:eastAsia="zh-CN" w:bidi="ar-SA"/>
    </w:rPr>
  </w:style>
  <w:style w:type="paragraph" w:styleId="1078" w:customStyle="1">
    <w:name w:val="表格非标题文字"/>
    <w:link w:val="1077"/>
    <w:uiPriority w:val="99"/>
    <w:qFormat/>
    <w:pPr>
      <w:spacing w:before="80" w:after="40"/>
    </w:pPr>
    <w:rPr>
      <w:rFonts w:hint="default" w:ascii="Futura Bk" w:hAnsi="Futura Bk" w:eastAsia="宋体" w:cs="Times New Roman"/>
      <w:sz w:val="18"/>
      <w:szCs w:val="21"/>
      <w:lang w:val="en-US" w:eastAsia="zh-CN" w:bidi="ar-SA"/>
    </w:rPr>
  </w:style>
  <w:style w:type="character" w:styleId="1079" w:customStyle="1">
    <w:name w:val="页脚 Char"/>
    <w:uiPriority w:val="99"/>
    <w:qFormat/>
    <w:rPr>
      <w:sz w:val="18"/>
      <w:szCs w:val="18"/>
    </w:rPr>
  </w:style>
  <w:style w:type="character" w:styleId="1080" w:customStyle="1">
    <w:name w:val="标题 1 Char1"/>
    <w:uiPriority w:val="99"/>
    <w:qFormat/>
    <w:rPr>
      <w:b/>
      <w:bCs/>
      <w:sz w:val="44"/>
      <w:szCs w:val="44"/>
    </w:rPr>
  </w:style>
  <w:style w:type="character" w:styleId="1081" w:customStyle="1">
    <w:name w:val="正文（绿盟科技） Char"/>
    <w:link w:val="1082"/>
    <w:uiPriority w:val="99"/>
    <w:qFormat/>
    <w:rPr>
      <w:rFonts w:ascii="Arial" w:hAnsi="Arial"/>
      <w:sz w:val="21"/>
      <w:szCs w:val="22"/>
      <w:lang w:val="en-US" w:eastAsia="zh-CN" w:bidi="ar-SA"/>
    </w:rPr>
  </w:style>
  <w:style w:type="paragraph" w:styleId="1082" w:customStyle="1">
    <w:name w:val="正文（绿盟科技）"/>
    <w:link w:val="1081"/>
    <w:uiPriority w:val="99"/>
    <w:qFormat/>
    <w:pPr>
      <w:spacing w:line="300" w:lineRule="auto"/>
    </w:pPr>
    <w:rPr>
      <w:rFonts w:hint="default" w:ascii="Arial" w:hAnsi="Arial" w:eastAsia="宋体" w:cs="Times New Roman"/>
      <w:sz w:val="21"/>
      <w:szCs w:val="22"/>
      <w:lang w:val="en-US" w:eastAsia="zh-CN" w:bidi="ar-SA"/>
    </w:rPr>
  </w:style>
  <w:style w:type="character" w:styleId="1083" w:customStyle="1">
    <w:name w:val="font01"/>
    <w:uiPriority w:val="0"/>
    <w:qFormat/>
    <w:rPr>
      <w:rFonts w:hint="eastAsia" w:ascii="宋体" w:hAnsi="宋体" w:eastAsia="宋体" w:cs="宋体"/>
      <w:color w:val="000000"/>
      <w:sz w:val="20"/>
      <w:szCs w:val="20"/>
      <w:u w:val="none"/>
    </w:rPr>
  </w:style>
  <w:style w:type="character" w:styleId="1084" w:customStyle="1">
    <w:name w:val="列出段落字符"/>
    <w:uiPriority w:val="34"/>
    <w:qFormat/>
    <w:rPr>
      <w:rFonts w:ascii="Calibri" w:hAnsi="Calibri" w:eastAsia="宋体" w:cs="Times New Roman"/>
      <w:sz w:val="24"/>
      <w:szCs w:val="24"/>
    </w:rPr>
  </w:style>
  <w:style w:type="character" w:styleId="1085" w:customStyle="1">
    <w:name w:val="标题 Char"/>
    <w:uiPriority w:val="0"/>
    <w:qFormat/>
    <w:rPr>
      <w:rFonts w:ascii="Cambria" w:hAnsi="Cambria" w:cs="Times New Roman"/>
      <w:b/>
      <w:bCs/>
      <w:sz w:val="32"/>
      <w:szCs w:val="32"/>
    </w:rPr>
  </w:style>
  <w:style w:type="character" w:styleId="1086" w:customStyle="1">
    <w:name w:val="apple-converted-space"/>
    <w:basedOn w:val="992"/>
    <w:uiPriority w:val="0"/>
    <w:qFormat/>
    <w:rPr>
      <w:rFonts w:ascii="Calibri" w:hAnsi="Calibri" w:eastAsia="宋体" w:cs="Times New Roman"/>
      <w:sz w:val="21"/>
      <w:szCs w:val="22"/>
      <w:lang w:val="en-US" w:eastAsia="zh-CN" w:bidi="ar-SA"/>
    </w:rPr>
  </w:style>
  <w:style w:type="character" w:styleId="1087" w:customStyle="1">
    <w:name w:val="font101"/>
    <w:uiPriority w:val="0"/>
    <w:qFormat/>
    <w:rPr>
      <w:rFonts w:ascii="Tahoma" w:hAnsi="Tahoma" w:eastAsia="Tahoma" w:cs="Tahoma"/>
      <w:color w:val="000000"/>
      <w:sz w:val="22"/>
      <w:szCs w:val="22"/>
      <w:u w:val="none"/>
    </w:rPr>
  </w:style>
  <w:style w:type="character" w:styleId="1088" w:customStyle="1">
    <w:name w:val="标题 字符"/>
    <w:uiPriority w:val="10"/>
    <w:qFormat/>
    <w:rPr>
      <w:rFonts w:ascii="Cambria" w:hAnsi="Cambria" w:eastAsia="宋体" w:cs="Times New Roman"/>
      <w:b/>
      <w:bCs/>
      <w:sz w:val="32"/>
      <w:szCs w:val="32"/>
    </w:rPr>
  </w:style>
  <w:style w:type="character" w:styleId="1089" w:customStyle="1">
    <w:name w:val="apple-style-span"/>
    <w:uiPriority w:val="0"/>
    <w:qFormat/>
  </w:style>
  <w:style w:type="character" w:styleId="1090" w:customStyle="1">
    <w:name w:val="样式1 Char"/>
    <w:link w:val="1091"/>
    <w:uiPriority w:val="0"/>
    <w:qFormat/>
    <w:rPr>
      <w:rFonts w:ascii="宋体" w:hAnsi="宋体"/>
      <w:sz w:val="21"/>
      <w:szCs w:val="21"/>
    </w:rPr>
  </w:style>
  <w:style w:type="paragraph" w:styleId="1091" w:customStyle="1">
    <w:name w:val="样式1"/>
    <w:basedOn w:val="746"/>
    <w:link w:val="1090"/>
    <w:uiPriority w:val="0"/>
    <w:qFormat/>
    <w:pPr>
      <w:numPr>
        <w:ilvl w:val="0"/>
        <w:numId w:val="3"/>
      </w:numPr>
    </w:pPr>
    <w:rPr>
      <w:rFonts w:ascii="宋体" w:hAnsi="宋体"/>
      <w:szCs w:val="21"/>
    </w:rPr>
  </w:style>
  <w:style w:type="character" w:styleId="1092" w:customStyle="1">
    <w:name w:val="font61"/>
    <w:uiPriority w:val="0"/>
    <w:qFormat/>
    <w:rPr>
      <w:rFonts w:hint="eastAsia" w:ascii="宋体" w:hAnsi="宋体" w:eastAsia="宋体" w:cs="宋体"/>
      <w:i/>
      <w:color w:val="000000"/>
      <w:sz w:val="20"/>
      <w:szCs w:val="20"/>
      <w:u w:val="single"/>
    </w:rPr>
  </w:style>
  <w:style w:type="character" w:styleId="1093" w:customStyle="1">
    <w:name w:val="普通正文 Char"/>
    <w:link w:val="1094"/>
    <w:uiPriority w:val="0"/>
    <w:qFormat/>
    <w:rPr>
      <w:rFonts w:ascii="Arial" w:hAnsi="Arial" w:cs="Arial"/>
      <w:sz w:val="24"/>
      <w:szCs w:val="24"/>
    </w:rPr>
  </w:style>
  <w:style w:type="paragraph" w:styleId="1094" w:customStyle="1">
    <w:name w:val="普通正文"/>
    <w:basedOn w:val="746"/>
    <w:link w:val="1093"/>
    <w:uiPriority w:val="0"/>
    <w:qFormat/>
    <w:pPr>
      <w:ind w:firstLine="480"/>
      <w:jc w:val="left"/>
      <w:spacing w:before="120" w:after="120" w:line="360" w:lineRule="auto"/>
    </w:pPr>
    <w:rPr>
      <w:rFonts w:ascii="Arial" w:hAnsi="Arial"/>
      <w:sz w:val="24"/>
    </w:rPr>
  </w:style>
  <w:style w:type="character" w:styleId="1095" w:customStyle="1">
    <w:name w:val="页眉 Char"/>
    <w:uiPriority w:val="99"/>
    <w:qFormat/>
    <w:rPr>
      <w:sz w:val="18"/>
      <w:szCs w:val="18"/>
    </w:rPr>
  </w:style>
  <w:style w:type="character" w:styleId="1096" w:customStyle="1">
    <w:name w:val="Item List Char Char"/>
    <w:link w:val="1097"/>
    <w:uiPriority w:val="99"/>
    <w:qFormat/>
    <w:rPr>
      <w:rFonts w:ascii="Arial" w:hAnsi="Arial" w:cs="Arial"/>
      <w:lang w:eastAsia="en-US"/>
    </w:rPr>
  </w:style>
  <w:style w:type="paragraph" w:styleId="1097" w:customStyle="1">
    <w:name w:val="Item List"/>
    <w:basedOn w:val="746"/>
    <w:link w:val="109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98" w:customStyle="1">
    <w:name w:val="批注框文本 Char"/>
    <w:uiPriority w:val="99"/>
    <w:qFormat/>
    <w:rPr>
      <w:sz w:val="18"/>
      <w:szCs w:val="18"/>
    </w:rPr>
  </w:style>
  <w:style w:type="character" w:styleId="1099" w:customStyle="1">
    <w:name w:val="标题 2 Char"/>
    <w:uiPriority w:val="9"/>
    <w:qFormat/>
    <w:rPr>
      <w:rFonts w:ascii="Cambria" w:hAnsi="Cambria" w:eastAsia="宋体" w:cs="Times New Roman"/>
      <w:b/>
      <w:bCs/>
      <w:sz w:val="32"/>
      <w:szCs w:val="32"/>
    </w:rPr>
  </w:style>
  <w:style w:type="character" w:styleId="1100" w:customStyle="1">
    <w:name w:val="列出段落 Char1"/>
    <w:link w:val="1101"/>
    <w:uiPriority w:val="34"/>
    <w:qFormat/>
    <w:rPr>
      <w:rFonts w:ascii="Calibri" w:hAnsi="Calibri"/>
      <w:sz w:val="21"/>
      <w:szCs w:val="22"/>
    </w:rPr>
  </w:style>
  <w:style w:type="paragraph" w:styleId="1101" w:customStyle="1">
    <w:name w:val="列出段落112"/>
    <w:basedOn w:val="746"/>
    <w:link w:val="1100"/>
    <w:uiPriority w:val="34"/>
    <w:qFormat/>
    <w:pPr>
      <w:ind w:firstLine="420"/>
    </w:pPr>
  </w:style>
  <w:style w:type="character" w:styleId="1102" w:customStyle="1">
    <w:name w:val="font41"/>
    <w:basedOn w:val="992"/>
    <w:uiPriority w:val="0"/>
    <w:qFormat/>
    <w:rPr>
      <w:rFonts w:hint="eastAsia" w:ascii="宋体" w:hAnsi="宋体" w:eastAsia="宋体" w:cs="宋体"/>
      <w:color w:val="000000"/>
      <w:sz w:val="18"/>
      <w:szCs w:val="18"/>
      <w:u w:val="none"/>
      <w:lang w:val="en-US" w:eastAsia="zh-CN" w:bidi="ar-SA"/>
    </w:rPr>
  </w:style>
  <w:style w:type="character" w:styleId="1103" w:customStyle="1">
    <w:name w:val="font131"/>
    <w:uiPriority w:val="0"/>
    <w:qFormat/>
    <w:rPr>
      <w:rFonts w:hint="eastAsia" w:ascii="宋体" w:hAnsi="宋体" w:eastAsia="宋体" w:cs="宋体"/>
      <w:color w:val="000000"/>
      <w:sz w:val="20"/>
      <w:szCs w:val="20"/>
      <w:u w:val="none"/>
    </w:rPr>
  </w:style>
  <w:style w:type="character" w:styleId="1104" w:customStyle="1">
    <w:name w:val="标题 5 Char1"/>
    <w:uiPriority w:val="0"/>
    <w:semiHidden/>
    <w:qFormat/>
    <w:rPr>
      <w:b/>
      <w:bCs/>
      <w:sz w:val="28"/>
      <w:szCs w:val="28"/>
    </w:rPr>
  </w:style>
  <w:style w:type="character" w:styleId="1105" w:customStyle="1">
    <w:name w:val="标题 7 Char1"/>
    <w:uiPriority w:val="0"/>
    <w:semiHidden/>
    <w:qFormat/>
    <w:rPr>
      <w:b/>
      <w:bCs/>
      <w:sz w:val="24"/>
      <w:szCs w:val="24"/>
    </w:rPr>
  </w:style>
  <w:style w:type="character" w:styleId="1106" w:customStyle="1">
    <w:name w:val="modeltitle"/>
    <w:basedOn w:val="992"/>
    <w:uiPriority w:val="0"/>
    <w:qFormat/>
    <w:rPr>
      <w:rFonts w:ascii="Calibri" w:hAnsi="Calibri" w:eastAsia="宋体" w:cs="Times New Roman"/>
      <w:sz w:val="21"/>
      <w:szCs w:val="22"/>
      <w:lang w:val="en-US" w:eastAsia="zh-CN" w:bidi="ar-SA"/>
    </w:rPr>
  </w:style>
  <w:style w:type="character" w:styleId="1107" w:customStyle="1">
    <w:name w:val="intro1"/>
    <w:uiPriority w:val="0"/>
    <w:qFormat/>
    <w:rPr>
      <w:rFonts w:ascii="Trebuchet MS"/>
      <w:sz w:val="21"/>
      <w:szCs w:val="21"/>
    </w:rPr>
  </w:style>
  <w:style w:type="character" w:styleId="1108" w:customStyle="1">
    <w:name w:val="默认段落字体1"/>
    <w:uiPriority w:val="0"/>
    <w:semiHidden/>
    <w:qFormat/>
    <w:rPr>
      <w:rFonts w:ascii="Calibri" w:hAnsi="Calibri"/>
      <w:sz w:val="21"/>
      <w:szCs w:val="22"/>
      <w:lang w:val="en-US" w:eastAsia="zh-CN" w:bidi="ar-SA"/>
    </w:rPr>
  </w:style>
  <w:style w:type="character" w:styleId="1109" w:customStyle="1">
    <w:name w:val="日期 Char"/>
    <w:uiPriority w:val="0"/>
    <w:qFormat/>
    <w:rPr>
      <w:rFonts w:eastAsia="宋体"/>
      <w:sz w:val="24"/>
      <w:szCs w:val="24"/>
    </w:rPr>
  </w:style>
  <w:style w:type="character" w:styleId="1110" w:customStyle="1">
    <w:name w:val="font132"/>
    <w:uiPriority w:val="0"/>
    <w:qFormat/>
    <w:rPr>
      <w:rFonts w:hint="eastAsia" w:ascii="宋体" w:hAnsi="宋体" w:eastAsia="宋体" w:cs="宋体"/>
      <w:color w:val="000000"/>
      <w:sz w:val="22"/>
      <w:szCs w:val="22"/>
      <w:u w:val="none"/>
    </w:rPr>
  </w:style>
  <w:style w:type="character" w:styleId="1111" w:customStyle="1">
    <w:name w:val="标题 2 Char1"/>
    <w:uiPriority w:val="99"/>
    <w:semiHidden/>
    <w:qFormat/>
    <w:rPr>
      <w:rFonts w:ascii="Cambria" w:hAnsi="Cambria" w:eastAsia="宋体" w:cs="Times New Roman"/>
      <w:b/>
      <w:bCs/>
      <w:sz w:val="32"/>
      <w:szCs w:val="32"/>
    </w:rPr>
  </w:style>
  <w:style w:type="character" w:styleId="1112" w:customStyle="1">
    <w:name w:val="font112"/>
    <w:uiPriority w:val="0"/>
    <w:qFormat/>
    <w:rPr>
      <w:rFonts w:hint="eastAsia" w:ascii="宋体" w:hAnsi="宋体" w:eastAsia="宋体" w:cs="宋体"/>
      <w:color w:val="000000"/>
      <w:sz w:val="22"/>
      <w:szCs w:val="22"/>
      <w:u w:val="none"/>
    </w:rPr>
  </w:style>
  <w:style w:type="character" w:styleId="1113" w:customStyle="1">
    <w:name w:val="标题 4 Char"/>
    <w:uiPriority w:val="0"/>
    <w:qFormat/>
    <w:rPr>
      <w:rFonts w:ascii="Cambria" w:hAnsi="Cambria" w:eastAsia="宋体" w:cs="Times New Roman"/>
      <w:b/>
      <w:bCs/>
      <w:sz w:val="28"/>
      <w:szCs w:val="28"/>
    </w:rPr>
  </w:style>
  <w:style w:type="character" w:styleId="1114" w:customStyle="1">
    <w:name w:val="标题 8 Char1"/>
    <w:uiPriority w:val="0"/>
    <w:semiHidden/>
    <w:qFormat/>
    <w:rPr>
      <w:rFonts w:ascii="Cambria" w:hAnsi="Cambria" w:eastAsia="宋体" w:cs="Times New Roman"/>
      <w:sz w:val="24"/>
      <w:szCs w:val="24"/>
    </w:rPr>
  </w:style>
  <w:style w:type="character" w:styleId="1115" w:customStyle="1">
    <w:name w:val="标题 4 Char1"/>
    <w:uiPriority w:val="99"/>
    <w:semiHidden/>
    <w:qFormat/>
    <w:rPr>
      <w:rFonts w:ascii="Cambria" w:hAnsi="Cambria" w:eastAsia="宋体" w:cs="Times New Roman"/>
      <w:b/>
      <w:bCs/>
      <w:sz w:val="28"/>
      <w:szCs w:val="28"/>
    </w:rPr>
  </w:style>
  <w:style w:type="character" w:styleId="1116" w:customStyle="1">
    <w:name w:val="font51"/>
    <w:basedOn w:val="992"/>
    <w:uiPriority w:val="0"/>
    <w:qFormat/>
    <w:rPr>
      <w:rFonts w:hint="eastAsia" w:ascii="宋体" w:hAnsi="宋体" w:eastAsia="宋体" w:cs="宋体"/>
      <w:i/>
      <w:color w:val="000000"/>
      <w:sz w:val="20"/>
      <w:szCs w:val="20"/>
      <w:u w:val="single"/>
      <w:lang w:val="en-US" w:eastAsia="zh-CN" w:bidi="ar-SA"/>
    </w:rPr>
  </w:style>
  <w:style w:type="character" w:styleId="1117" w:customStyle="1">
    <w:name w:val="font5 Char"/>
    <w:uiPriority w:val="0"/>
    <w:qFormat/>
    <w:rPr>
      <w:rFonts w:ascii="宋体" w:eastAsia="宋体"/>
      <w:sz w:val="28"/>
      <w:szCs w:val="28"/>
      <w:lang w:val="en-US" w:eastAsia="zh-CN"/>
    </w:rPr>
  </w:style>
  <w:style w:type="character" w:styleId="1118" w:customStyle="1">
    <w:name w:val="js-正文 Char"/>
    <w:link w:val="1119"/>
    <w:uiPriority w:val="0"/>
    <w:qFormat/>
    <w:rPr>
      <w:sz w:val="24"/>
      <w:szCs w:val="24"/>
    </w:rPr>
  </w:style>
  <w:style w:type="paragraph" w:styleId="1119" w:customStyle="1">
    <w:name w:val="js-正文"/>
    <w:basedOn w:val="746"/>
    <w:link w:val="1118"/>
    <w:uiPriority w:val="0"/>
    <w:qFormat/>
    <w:pPr>
      <w:ind w:firstLine="480"/>
      <w:spacing w:line="360" w:lineRule="auto"/>
    </w:pPr>
    <w:rPr>
      <w:sz w:val="24"/>
    </w:rPr>
  </w:style>
  <w:style w:type="character" w:styleId="1120" w:customStyle="1">
    <w:name w:val="文档结构图 Char"/>
    <w:uiPriority w:val="99"/>
    <w:qFormat/>
    <w:rPr>
      <w:rFonts w:ascii="宋体" w:eastAsia="宋体"/>
      <w:sz w:val="18"/>
      <w:szCs w:val="18"/>
    </w:rPr>
  </w:style>
  <w:style w:type="character" w:styleId="1121" w:customStyle="1">
    <w:name w:val="font121"/>
    <w:uiPriority w:val="0"/>
    <w:qFormat/>
    <w:rPr>
      <w:rFonts w:ascii="宋体-简" w:hAnsi="宋体-简" w:eastAsia="宋体-简" w:cs="宋体-简"/>
      <w:i/>
      <w:color w:val="000000"/>
      <w:sz w:val="20"/>
      <w:szCs w:val="20"/>
      <w:u w:val="single"/>
    </w:rPr>
  </w:style>
  <w:style w:type="character" w:styleId="1122" w:customStyle="1">
    <w:name w:val="font81"/>
    <w:uiPriority w:val="0"/>
    <w:qFormat/>
    <w:rPr>
      <w:rFonts w:hint="eastAsia" w:ascii="宋体" w:hAnsi="宋体" w:eastAsia="宋体" w:cs="宋体"/>
      <w:color w:val="000000"/>
      <w:sz w:val="20"/>
      <w:szCs w:val="20"/>
      <w:u w:val="none"/>
    </w:rPr>
  </w:style>
  <w:style w:type="character" w:styleId="1123" w:customStyle="1">
    <w:name w:val="标题 9 Char1"/>
    <w:uiPriority w:val="0"/>
    <w:semiHidden/>
    <w:qFormat/>
    <w:rPr>
      <w:rFonts w:ascii="Cambria" w:hAnsi="Cambria" w:eastAsia="宋体" w:cs="Times New Roman"/>
      <w:sz w:val="21"/>
      <w:szCs w:val="21"/>
    </w:rPr>
  </w:style>
  <w:style w:type="character" w:styleId="1124" w:customStyle="1">
    <w:name w:val="Item List in Table Char Char"/>
    <w:link w:val="1125"/>
    <w:uiPriority w:val="99"/>
    <w:qFormat/>
    <w:rPr>
      <w:rFonts w:ascii="Arial" w:hAnsi="Arial"/>
      <w:sz w:val="18"/>
      <w:szCs w:val="22"/>
      <w:lang w:val="en-US" w:eastAsia="zh-CN" w:bidi="ar-SA"/>
    </w:rPr>
  </w:style>
  <w:style w:type="paragraph" w:styleId="1125" w:customStyle="1">
    <w:name w:val="Item List in Table"/>
    <w:link w:val="1124"/>
    <w:uiPriority w:val="99"/>
    <w:qFormat/>
    <w:pPr>
      <w:numPr>
        <w:ilvl w:val="0"/>
        <w:numId w:val="4"/>
      </w:numPr>
      <w:jc w:val="both"/>
      <w:spacing w:before="40" w:after="40"/>
    </w:pPr>
    <w:rPr>
      <w:rFonts w:hint="default" w:ascii="Arial" w:hAnsi="Arial" w:eastAsia="宋体" w:cs="Times New Roman"/>
      <w:sz w:val="18"/>
      <w:szCs w:val="22"/>
      <w:lang w:val="en-US" w:eastAsia="zh-CN" w:bidi="ar-SA"/>
    </w:rPr>
  </w:style>
  <w:style w:type="character" w:styleId="1126" w:customStyle="1">
    <w:name w:val="Table Text Char"/>
    <w:link w:val="1127"/>
    <w:uiPriority w:val="99"/>
    <w:qFormat/>
    <w:rPr>
      <w:rFonts w:ascii="Arial" w:hAnsi="Arial"/>
      <w:sz w:val="18"/>
      <w:szCs w:val="18"/>
      <w:lang w:val="en-US" w:eastAsia="zh-CN" w:bidi="ar-SA"/>
    </w:rPr>
  </w:style>
  <w:style w:type="paragraph" w:styleId="1127" w:customStyle="1">
    <w:name w:val="Table Text"/>
    <w:link w:val="1126"/>
    <w:uiPriority w:val="99"/>
    <w:qFormat/>
    <w:pPr>
      <w:spacing w:before="80" w:after="80"/>
    </w:pPr>
    <w:rPr>
      <w:rFonts w:hint="default" w:ascii="Arial" w:hAnsi="Arial" w:eastAsia="宋体" w:cs="Times New Roman"/>
      <w:sz w:val="18"/>
      <w:szCs w:val="18"/>
      <w:lang w:val="en-US" w:eastAsia="zh-CN" w:bidi="ar-SA"/>
    </w:rPr>
  </w:style>
  <w:style w:type="character" w:styleId="1128" w:customStyle="1">
    <w:name w:val="正文首行缩进 Char Char"/>
    <w:link w:val="1129"/>
    <w:uiPriority w:val="0"/>
    <w:qFormat/>
    <w:rPr>
      <w:szCs w:val="24"/>
    </w:rPr>
  </w:style>
  <w:style w:type="paragraph" w:styleId="1129" w:customStyle="1">
    <w:name w:val="正文首行缩进1"/>
    <w:basedOn w:val="1014"/>
    <w:link w:val="1128"/>
    <w:uiPriority w:val="0"/>
    <w:qFormat/>
    <w:pPr>
      <w:ind w:firstLine="420"/>
      <w:spacing w:after="120"/>
    </w:pPr>
    <w:rPr>
      <w:rFonts w:ascii="Times New Roman" w:hAnsi="Times New Roman" w:eastAsia="宋体"/>
      <w:sz w:val="20"/>
      <w:szCs w:val="24"/>
    </w:rPr>
  </w:style>
  <w:style w:type="character" w:styleId="1130" w:customStyle="1">
    <w:name w:val="表格 Char Char"/>
    <w:link w:val="1131"/>
    <w:uiPriority w:val="0"/>
    <w:qFormat/>
    <w:rPr>
      <w:rFonts w:ascii="宋体" w:hAnsi="宋体" w:cs="宋体"/>
    </w:rPr>
  </w:style>
  <w:style w:type="paragraph" w:styleId="1131" w:customStyle="1">
    <w:name w:val="表格"/>
    <w:basedOn w:val="746"/>
    <w:link w:val="1130"/>
    <w:uiPriority w:val="0"/>
    <w:qFormat/>
    <w:pPr>
      <w:ind w:firstLine="21"/>
    </w:pPr>
    <w:rPr>
      <w:rFonts w:ascii="宋体" w:hAnsi="宋体"/>
      <w:sz w:val="20"/>
      <w:szCs w:val="20"/>
    </w:rPr>
  </w:style>
  <w:style w:type="character" w:styleId="1132" w:customStyle="1">
    <w:name w:val="标题 1 Char"/>
    <w:uiPriority w:val="0"/>
    <w:qFormat/>
    <w:rPr>
      <w:b/>
      <w:bCs/>
      <w:sz w:val="44"/>
      <w:szCs w:val="44"/>
    </w:rPr>
  </w:style>
  <w:style w:type="character" w:styleId="1133" w:customStyle="1">
    <w:name w:val="批注文字 Char1"/>
    <w:uiPriority w:val="99"/>
    <w:qFormat/>
    <w:rPr>
      <w:rFonts w:ascii="Times New Roman" w:hAnsi="Times New Roman" w:eastAsia="宋体" w:cs="Times New Roman"/>
      <w:szCs w:val="24"/>
    </w:rPr>
  </w:style>
  <w:style w:type="character" w:styleId="1134" w:customStyle="1">
    <w:name w:val="副标题 Char1"/>
    <w:uiPriority w:val="11"/>
    <w:qFormat/>
    <w:rPr>
      <w:rFonts w:ascii="Cambria" w:hAnsi="Cambria" w:cs="Times New Roman"/>
      <w:b/>
      <w:bCs/>
      <w:sz w:val="32"/>
      <w:szCs w:val="32"/>
    </w:rPr>
  </w:style>
  <w:style w:type="character" w:styleId="1135" w:customStyle="1">
    <w:name w:val="正文首行缩进 Char"/>
    <w:uiPriority w:val="0"/>
    <w:qFormat/>
    <w:rPr>
      <w:rFonts w:ascii="Times New Roman" w:hAnsi="Times New Roman" w:eastAsia="宋体" w:cs="Times New Roman"/>
      <w:szCs w:val="20"/>
    </w:rPr>
  </w:style>
  <w:style w:type="character" w:styleId="1136" w:customStyle="1">
    <w:name w:val="正文文本 Char"/>
    <w:uiPriority w:val="0"/>
    <w:qFormat/>
    <w:rPr>
      <w:rFonts w:ascii="Calibri" w:hAnsi="Calibri" w:eastAsia="宋体" w:cs="Times New Roman"/>
    </w:rPr>
  </w:style>
  <w:style w:type="character" w:styleId="1137" w:customStyle="1">
    <w:name w:val="标题 6 Char"/>
    <w:uiPriority w:val="0"/>
    <w:qFormat/>
    <w:rPr>
      <w:rFonts w:ascii="Cambria" w:hAnsi="Cambria" w:eastAsia="宋体" w:cs="Times New Roman"/>
      <w:b/>
      <w:bCs/>
      <w:sz w:val="24"/>
      <w:szCs w:val="24"/>
    </w:rPr>
  </w:style>
  <w:style w:type="character" w:styleId="1138" w:customStyle="1">
    <w:name w:val="正文首行缩进 Char1"/>
    <w:basedOn w:val="1136"/>
    <w:uiPriority w:val="99"/>
    <w:semiHidden/>
    <w:qFormat/>
    <w:rPr>
      <w:rFonts w:ascii="Calibri" w:hAnsi="Calibri" w:eastAsia="宋体" w:cs="Times New Roman"/>
    </w:rPr>
  </w:style>
  <w:style w:type="character" w:styleId="1139" w:customStyle="1">
    <w:name w:val="font71"/>
    <w:basedOn w:val="992"/>
    <w:uiPriority w:val="0"/>
    <w:qFormat/>
    <w:rPr>
      <w:rFonts w:hint="eastAsia" w:ascii="宋体" w:hAnsi="宋体" w:eastAsia="宋体" w:cs="宋体"/>
      <w:color w:val="000000"/>
      <w:sz w:val="20"/>
      <w:szCs w:val="20"/>
      <w:u w:val="none"/>
      <w:lang w:val="en-US" w:eastAsia="zh-CN" w:bidi="ar-SA"/>
    </w:rPr>
  </w:style>
  <w:style w:type="character" w:styleId="1140" w:customStyle="1">
    <w:name w:val="批注主题 Char"/>
    <w:uiPriority w:val="99"/>
    <w:qFormat/>
    <w:rPr>
      <w:b/>
      <w:bCs/>
    </w:rPr>
  </w:style>
  <w:style w:type="character" w:styleId="1141" w:customStyle="1">
    <w:name w:val="as-productsummary-addonupgrade"/>
    <w:uiPriority w:val="0"/>
    <w:qFormat/>
  </w:style>
  <w:style w:type="paragraph" w:styleId="1142" w:customStyle="1">
    <w:name w:val="Char Char Char Char Char Char Char Char"/>
    <w:basedOn w:val="746"/>
    <w:uiPriority w:val="0"/>
    <w:qFormat/>
    <w:pPr>
      <w:jc w:val="left"/>
      <w:spacing w:after="160" w:line="240" w:lineRule="exact"/>
      <w:widowControl/>
    </w:pPr>
    <w:rPr>
      <w:rFonts w:ascii="Verdana" w:hAnsi="Verdana" w:cs="宋体"/>
      <w:sz w:val="20"/>
      <w:szCs w:val="20"/>
      <w:lang w:eastAsia="en-US"/>
    </w:rPr>
  </w:style>
  <w:style w:type="paragraph" w:styleId="1143" w:customStyle="1">
    <w:name w:val="段"/>
    <w:next w:val="1144"/>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44" w:customStyle="1">
    <w:name w:val="正文 A"/>
    <w:next w:val="114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145" w:customStyle="1">
    <w:name w:val="xl117"/>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6" w:customStyle="1">
    <w:name w:val="Char Char Char"/>
    <w:basedOn w:val="746"/>
    <w:uiPriority w:val="0"/>
    <w:qFormat/>
    <w:pPr>
      <w:jc w:val="left"/>
      <w:widowControl/>
    </w:pPr>
    <w:rPr>
      <w:rFonts w:ascii="Tahoma" w:hAnsi="Tahoma" w:cs="宋体"/>
      <w:sz w:val="24"/>
      <w:szCs w:val="20"/>
    </w:rPr>
  </w:style>
  <w:style w:type="paragraph" w:styleId="1147"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148"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149" w:customStyle="1">
    <w:name w:val="xl11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0" w:customStyle="1">
    <w:name w:val="xl85"/>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1" w:customStyle="1">
    <w:name w:val="彩色列表 - 强调文字颜色 11"/>
    <w:basedOn w:val="746"/>
    <w:uiPriority w:val="34"/>
    <w:qFormat/>
    <w:pPr>
      <w:ind w:firstLine="420"/>
    </w:pPr>
    <w:rPr>
      <w:rFonts w:ascii="Cambria" w:hAnsi="Cambria"/>
      <w:sz w:val="24"/>
    </w:rPr>
  </w:style>
  <w:style w:type="paragraph" w:styleId="1152" w:customStyle="1">
    <w:name w:val="标题1"/>
    <w:basedOn w:val="746"/>
    <w:next w:val="746"/>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53" w:customStyle="1">
    <w:name w:val="Char5 Char Char Char Char Char Char1"/>
    <w:basedOn w:val="746"/>
    <w:uiPriority w:val="0"/>
    <w:qFormat/>
    <w:rPr>
      <w:rFonts w:ascii="Tahoma" w:hAnsi="Tahoma"/>
      <w:sz w:val="24"/>
      <w:szCs w:val="20"/>
    </w:rPr>
  </w:style>
  <w:style w:type="paragraph" w:styleId="1154" w:customStyle="1">
    <w:name w:val="默认段落字体 Para Char Char"/>
    <w:basedOn w:val="746"/>
    <w:uiPriority w:val="0"/>
    <w:qFormat/>
    <w:pPr>
      <w:spacing w:before="156" w:after="156"/>
    </w:pPr>
    <w:rPr>
      <w:szCs w:val="20"/>
    </w:rPr>
  </w:style>
  <w:style w:type="paragraph" w:styleId="1155" w:customStyle="1">
    <w:name w:val="xl120"/>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56" w:customStyle="1">
    <w:name w:val="标题8"/>
    <w:basedOn w:val="990"/>
    <w:uiPriority w:val="0"/>
    <w:qFormat/>
    <w:pPr>
      <w:numPr>
        <w:ilvl w:val="0"/>
        <w:numId w:val="0"/>
      </w:numPr>
      <w:keepLines w:val="0"/>
      <w:keepNext w:val="0"/>
      <w:spacing w:before="0" w:after="0" w:line="360" w:lineRule="auto"/>
    </w:pPr>
    <w:rPr>
      <w:rFonts w:eastAsia="仿宋_GB2312"/>
      <w:sz w:val="30"/>
    </w:rPr>
  </w:style>
  <w:style w:type="paragraph" w:styleId="1157" w:customStyle="1">
    <w:name w:val="_Style 7"/>
    <w:basedOn w:val="746"/>
    <w:uiPriority w:val="99"/>
    <w:qFormat/>
    <w:pPr>
      <w:ind w:firstLine="420"/>
    </w:pPr>
    <w:rPr>
      <w:szCs w:val="20"/>
    </w:rPr>
  </w:style>
  <w:style w:type="paragraph" w:styleId="115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59"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160" w:customStyle="1">
    <w:name w:val="font14"/>
    <w:basedOn w:val="746"/>
    <w:uiPriority w:val="0"/>
    <w:qFormat/>
    <w:pPr>
      <w:jc w:val="left"/>
      <w:spacing w:before="100" w:beforeAutospacing="1" w:after="100" w:afterAutospacing="1"/>
      <w:widowControl/>
    </w:pPr>
    <w:rPr>
      <w:rFonts w:ascii="宋体" w:hAnsi="宋体" w:cs="宋体"/>
      <w:color w:val="000000"/>
      <w:sz w:val="22"/>
    </w:rPr>
  </w:style>
  <w:style w:type="paragraph" w:styleId="1161"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162" w:customStyle="1">
    <w:name w:val="Char Char Char Char Char Char Char"/>
    <w:basedOn w:val="746"/>
    <w:uiPriority w:val="0"/>
    <w:qFormat/>
    <w:pPr>
      <w:ind w:left="432" w:hanging="432"/>
      <w:tabs>
        <w:tab w:val="left" w:pos="432" w:leader="none"/>
      </w:tabs>
    </w:pPr>
    <w:rPr>
      <w:rFonts w:ascii="Tahoma" w:hAnsi="Tahoma"/>
      <w:sz w:val="24"/>
      <w:szCs w:val="20"/>
    </w:rPr>
  </w:style>
  <w:style w:type="paragraph" w:styleId="1163" w:customStyle="1">
    <w:name w:val="xl30"/>
    <w:basedOn w:val="746"/>
    <w:uiPriority w:val="0"/>
    <w:qFormat/>
    <w:pPr>
      <w:jc w:val="center"/>
      <w:spacing w:before="100" w:beforeAutospacing="1" w:after="100" w:afterAutospacing="1"/>
      <w:widowControl/>
    </w:pPr>
    <w:rPr>
      <w:rFonts w:ascii="宋体" w:hAnsi="宋体" w:cs="宋体"/>
      <w:b/>
      <w:bCs/>
      <w:sz w:val="36"/>
      <w:szCs w:val="36"/>
    </w:rPr>
  </w:style>
  <w:style w:type="paragraph" w:styleId="1164" w:customStyle="1">
    <w:name w:val="Char Char Char Char Char Char Char2"/>
    <w:basedOn w:val="746"/>
    <w:uiPriority w:val="0"/>
    <w:qFormat/>
    <w:pPr>
      <w:ind w:left="432" w:hanging="432"/>
      <w:tabs>
        <w:tab w:val="left" w:pos="432" w:leader="none"/>
      </w:tabs>
    </w:pPr>
    <w:rPr>
      <w:rFonts w:ascii="Tahoma" w:hAnsi="Tahoma"/>
      <w:sz w:val="24"/>
      <w:szCs w:val="20"/>
    </w:rPr>
  </w:style>
  <w:style w:type="paragraph" w:styleId="1165" w:customStyle="1">
    <w:name w:val="font5"/>
    <w:basedOn w:val="746"/>
    <w:uiPriority w:val="0"/>
    <w:qFormat/>
    <w:pPr>
      <w:jc w:val="left"/>
      <w:spacing w:before="100" w:beforeAutospacing="1" w:after="100" w:afterAutospacing="1"/>
      <w:widowControl/>
    </w:pPr>
    <w:rPr>
      <w:rFonts w:ascii="宋体" w:hAnsi="宋体" w:cs="宋体"/>
      <w:sz w:val="28"/>
      <w:szCs w:val="28"/>
    </w:rPr>
  </w:style>
  <w:style w:type="paragraph" w:styleId="1166" w:customStyle="1">
    <w:name w:val="四级标题"/>
    <w:basedOn w:val="1167"/>
    <w:uiPriority w:val="0"/>
    <w:qFormat/>
    <w:pPr>
      <w:numPr>
        <w:ilvl w:val="3"/>
      </w:numPr>
      <w:outlineLvl w:val="3"/>
    </w:pPr>
  </w:style>
  <w:style w:type="paragraph" w:styleId="1167" w:customStyle="1">
    <w:name w:val="三级标题"/>
    <w:basedOn w:val="1168"/>
    <w:uiPriority w:val="0"/>
    <w:qFormat/>
    <w:pPr>
      <w:numPr>
        <w:ilvl w:val="2"/>
      </w:numPr>
      <w:ind w:left="1191"/>
      <w:spacing w:before="50" w:after="50"/>
      <w:outlineLvl w:val="2"/>
    </w:pPr>
    <w:rPr>
      <w:sz w:val="24"/>
    </w:rPr>
  </w:style>
  <w:style w:type="paragraph" w:styleId="1168" w:customStyle="1">
    <w:name w:val="二级标题"/>
    <w:basedOn w:val="1169"/>
    <w:uiPriority w:val="0"/>
    <w:qFormat/>
    <w:pPr>
      <w:numPr>
        <w:ilvl w:val="1"/>
      </w:numPr>
      <w:outlineLvl w:val="1"/>
    </w:pPr>
    <w:rPr>
      <w:lang w:eastAsia="zh-CN"/>
    </w:rPr>
  </w:style>
  <w:style w:type="paragraph" w:styleId="1169" w:customStyle="1">
    <w:name w:val="一级标题"/>
    <w:basedOn w:val="746"/>
    <w:uiPriority w:val="0"/>
    <w:qFormat/>
    <w:pPr>
      <w:numPr>
        <w:ilvl w:val="0"/>
        <w:numId w:val="5"/>
      </w:numPr>
      <w:ind w:firstLine="0"/>
      <w:jc w:val="left"/>
      <w:widowControl/>
      <w:outlineLvl w:val="0"/>
    </w:pPr>
    <w:rPr>
      <w:rFonts w:ascii="宋体" w:hAnsi="宋体"/>
      <w:b/>
      <w:sz w:val="30"/>
      <w:lang w:eastAsia="en-US" w:bidi="en-US"/>
    </w:rPr>
  </w:style>
  <w:style w:type="paragraph" w:styleId="1170" w:customStyle="1">
    <w:name w:val="TOC 标题2"/>
    <w:basedOn w:val="983"/>
    <w:next w:val="746"/>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7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172" w:customStyle="1">
    <w:name w:val="p25"/>
    <w:basedOn w:val="746"/>
    <w:uiPriority w:val="0"/>
    <w:qFormat/>
    <w:pPr>
      <w:jc w:val="left"/>
      <w:widowControl/>
    </w:pPr>
    <w:rPr>
      <w:rFonts w:ascii="宋体" w:hAnsi="宋体" w:cs="宋体"/>
      <w:sz w:val="26"/>
      <w:szCs w:val="26"/>
    </w:rPr>
  </w:style>
  <w:style w:type="paragraph" w:styleId="1173" w:customStyle="1">
    <w:name w:val="xl118"/>
    <w:basedOn w:val="74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4" w:customStyle="1">
    <w:name w:val="xl80"/>
    <w:basedOn w:val="746"/>
    <w:uiPriority w:val="0"/>
    <w:qFormat/>
    <w:pPr>
      <w:jc w:val="center"/>
      <w:spacing w:before="100" w:beforeAutospacing="1" w:after="100" w:afterAutospacing="1"/>
      <w:widowControl/>
    </w:pPr>
    <w:rPr>
      <w:rFonts w:ascii="宋体" w:hAnsi="宋体" w:cs="宋体"/>
      <w:color w:val="000000"/>
      <w:sz w:val="24"/>
    </w:rPr>
  </w:style>
  <w:style w:type="paragraph" w:styleId="1175" w:customStyle="1">
    <w:name w:val="xl10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6" w:customStyle="1">
    <w:name w:val="xl102"/>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7" w:customStyle="1">
    <w:name w:val="样式 样式 标题1 + 行距: 单倍行距 + 段前: 7.8 磅 段后: 7.8 磅"/>
    <w:basedOn w:val="746"/>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7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17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180"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81" w:customStyle="1">
    <w:name w:val="Char 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182"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83" w:customStyle="1">
    <w:name w:val="xl108"/>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4" w:customStyle="1">
    <w:name w:val="1 Char Char Char Char Char Char Char"/>
    <w:basedOn w:val="746"/>
    <w:uiPriority w:val="0"/>
    <w:qFormat/>
    <w:pPr>
      <w:spacing w:line="360" w:lineRule="auto"/>
    </w:pPr>
    <w:rPr>
      <w:rFonts w:ascii="仿宋_GB2312" w:hAnsi="宋体" w:eastAsia="仿宋_GB2312" w:cs="宋体"/>
      <w:szCs w:val="21"/>
    </w:rPr>
  </w:style>
  <w:style w:type="paragraph" w:styleId="1185"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186" w:customStyle="1">
    <w:name w:val="xl96"/>
    <w:basedOn w:val="746"/>
    <w:uiPriority w:val="0"/>
    <w:qFormat/>
    <w:pPr>
      <w:jc w:val="center"/>
      <w:spacing w:before="100" w:beforeAutospacing="1" w:after="100" w:afterAutospacing="1"/>
      <w:widowControl/>
    </w:pPr>
    <w:rPr>
      <w:rFonts w:ascii="宋体" w:hAnsi="宋体" w:cs="宋体"/>
      <w:b/>
      <w:bCs/>
      <w:color w:val="000000"/>
      <w:sz w:val="24"/>
    </w:rPr>
  </w:style>
  <w:style w:type="paragraph" w:styleId="1187" w:customStyle="1">
    <w:name w:val="1"/>
    <w:basedOn w:val="746"/>
    <w:next w:val="1067"/>
    <w:uiPriority w:val="34"/>
    <w:qFormat/>
    <w:pPr>
      <w:ind w:firstLine="420"/>
    </w:pPr>
  </w:style>
  <w:style w:type="paragraph" w:styleId="1188" w:customStyle="1">
    <w:name w:val="样式2"/>
    <w:basedOn w:val="746"/>
    <w:uiPriority w:val="0"/>
    <w:qFormat/>
    <w:pPr>
      <w:numPr>
        <w:ilvl w:val="0"/>
        <w:numId w:val="6"/>
      </w:numPr>
      <w:spacing w:line="288" w:lineRule="auto"/>
    </w:pPr>
  </w:style>
  <w:style w:type="paragraph" w:styleId="1189"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0"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91"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192" w:customStyle="1">
    <w:name w:val="font21"/>
    <w:basedOn w:val="746"/>
    <w:uiPriority w:val="0"/>
    <w:qFormat/>
    <w:pPr>
      <w:jc w:val="left"/>
      <w:spacing w:before="100" w:beforeAutospacing="1" w:after="100" w:afterAutospacing="1"/>
      <w:widowControl/>
    </w:pPr>
    <w:rPr>
      <w:rFonts w:ascii="宋体" w:hAnsi="宋体" w:cs="宋体"/>
      <w:b/>
      <w:bCs/>
      <w:color w:val="000000"/>
      <w:sz w:val="18"/>
      <w:szCs w:val="18"/>
    </w:rPr>
  </w:style>
  <w:style w:type="paragraph" w:styleId="1193" w:customStyle="1">
    <w:name w:val="正文蓝"/>
    <w:basedOn w:val="1006"/>
    <w:uiPriority w:val="0"/>
    <w:qFormat/>
    <w:pPr>
      <w:ind w:firstLine="482"/>
      <w:spacing w:line="288" w:lineRule="auto"/>
    </w:pPr>
    <w:rPr>
      <w:rFonts w:ascii="仿宋_GB2312" w:hAnsi="宋体" w:eastAsia="仿宋_GB2312" w:cs="宋体"/>
      <w:bCs/>
      <w:color w:val="0000ff"/>
      <w:sz w:val="24"/>
      <w:szCs w:val="20"/>
    </w:rPr>
  </w:style>
  <w:style w:type="paragraph" w:styleId="1194">
    <w:name w:val="List Paragraph"/>
    <w:basedOn w:val="746"/>
    <w:uiPriority w:val="0"/>
    <w:qFormat/>
    <w:pPr>
      <w:ind w:firstLine="200"/>
    </w:pPr>
    <w:rPr>
      <w:rFonts w:cs="Arial"/>
    </w:rPr>
  </w:style>
  <w:style w:type="paragraph" w:styleId="1195"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196" w:customStyle="1">
    <w:name w:val="xl69"/>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7" w:customStyle="1">
    <w:name w:val="列表 21"/>
    <w:basedOn w:val="746"/>
    <w:uiPriority w:val="0"/>
    <w:qFormat/>
    <w:pPr>
      <w:contextualSpacing/>
      <w:ind w:left="100" w:hanging="200"/>
    </w:pPr>
  </w:style>
  <w:style w:type="paragraph" w:styleId="1198"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199" w:customStyle="1">
    <w:name w:val="xl97"/>
    <w:basedOn w:val="746"/>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00"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201"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202"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03" w:customStyle="1">
    <w:name w:val="font8"/>
    <w:basedOn w:val="746"/>
    <w:uiPriority w:val="0"/>
    <w:qFormat/>
    <w:pPr>
      <w:jc w:val="left"/>
      <w:spacing w:before="100" w:beforeAutospacing="1" w:after="100" w:afterAutospacing="1"/>
      <w:widowControl/>
    </w:pPr>
    <w:rPr>
      <w:rFonts w:ascii="宋体" w:hAnsi="宋体" w:cs="宋体"/>
      <w:sz w:val="22"/>
    </w:rPr>
  </w:style>
  <w:style w:type="paragraph" w:styleId="120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05" w:customStyle="1">
    <w:name w:val="indent-fix3"/>
    <w:basedOn w:val="746"/>
    <w:uiPriority w:val="0"/>
    <w:qFormat/>
    <w:pPr>
      <w:jc w:val="left"/>
      <w:spacing w:before="100" w:beforeAutospacing="1" w:after="100" w:afterAutospacing="1"/>
      <w:widowControl/>
    </w:pPr>
    <w:rPr>
      <w:rFonts w:ascii="宋体" w:hAnsi="宋体" w:cs="宋体"/>
      <w:sz w:val="24"/>
    </w:rPr>
  </w:style>
  <w:style w:type="paragraph" w:styleId="1206" w:customStyle="1">
    <w:name w:val="首行缩进_0"/>
    <w:basedOn w:val="1207"/>
    <w:uiPriority w:val="0"/>
    <w:qFormat/>
    <w:pPr>
      <w:ind w:firstLine="480"/>
      <w:jc w:val="left"/>
      <w:spacing w:line="360" w:lineRule="auto"/>
    </w:pPr>
    <w:rPr>
      <w:rFonts w:ascii="宋体" w:hAnsi="宋体"/>
      <w:sz w:val="24"/>
    </w:rPr>
  </w:style>
  <w:style w:type="paragraph" w:styleId="1207" w:customStyle="1">
    <w:name w:val="Normal_0"/>
    <w:next w:val="12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8" w:customStyle="1">
    <w:name w:val="五级标题"/>
    <w:basedOn w:val="1166"/>
    <w:uiPriority w:val="0"/>
    <w:qFormat/>
    <w:pPr>
      <w:numPr>
        <w:ilvl w:val="4"/>
      </w:numPr>
      <w:ind w:right="278"/>
      <w:outlineLvl w:val="4"/>
    </w:pPr>
  </w:style>
  <w:style w:type="paragraph" w:styleId="1209" w:customStyle="1">
    <w:name w:val="列表 31"/>
    <w:basedOn w:val="746"/>
    <w:uiPriority w:val="0"/>
    <w:qFormat/>
    <w:pPr>
      <w:contextualSpacing/>
      <w:ind w:left="100" w:hanging="200"/>
    </w:pPr>
  </w:style>
  <w:style w:type="paragraph" w:styleId="1210" w:customStyle="1">
    <w:name w:val="xl72"/>
    <w:basedOn w:val="746"/>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11">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212"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13"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14" w:customStyle="1">
    <w:name w:val="标书正文"/>
    <w:basedOn w:val="746"/>
    <w:uiPriority w:val="99"/>
    <w:qFormat/>
    <w:pPr>
      <w:ind w:firstLine="431"/>
      <w:jc w:val="left"/>
      <w:spacing w:before="120" w:after="120" w:line="360" w:lineRule="auto"/>
      <w:widowControl/>
    </w:pPr>
    <w:rPr>
      <w:sz w:val="22"/>
      <w:szCs w:val="21"/>
      <w:lang w:eastAsia="en-US"/>
    </w:rPr>
  </w:style>
  <w:style w:type="paragraph" w:styleId="1215" w:customStyle="1">
    <w:name w:val="默认段落字体 Para Char Char Char Char"/>
    <w:basedOn w:val="746"/>
    <w:uiPriority w:val="0"/>
    <w:qFormat/>
    <w:rPr>
      <w:rFonts w:ascii="Arial" w:hAnsi="Arial" w:cs="Arial"/>
      <w:szCs w:val="21"/>
    </w:rPr>
  </w:style>
  <w:style w:type="paragraph" w:styleId="1216" w:customStyle="1">
    <w:name w:val="xl98"/>
    <w:basedOn w:val="746"/>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17" w:customStyle="1">
    <w:name w:val="Body Text(ch)"/>
    <w:basedOn w:val="746"/>
    <w:next w:val="1014"/>
    <w:uiPriority w:val="0"/>
    <w:qFormat/>
    <w:pPr>
      <w:spacing w:after="120"/>
    </w:pPr>
    <w:rPr>
      <w:rFonts w:ascii="宋体" w:hAnsi="宋体" w:cs="宋体"/>
      <w:bCs/>
      <w:iCs/>
    </w:rPr>
  </w:style>
  <w:style w:type="paragraph" w:styleId="1218"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219" w:customStyle="1">
    <w:name w:val="xl93"/>
    <w:basedOn w:val="74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20" w:customStyle="1">
    <w:name w:val="Main_heading"/>
    <w:basedOn w:val="746"/>
    <w:next w:val="746"/>
    <w:uiPriority w:val="0"/>
    <w:qFormat/>
    <w:pPr>
      <w:jc w:val="left"/>
      <w:spacing w:before="240" w:after="240" w:line="240" w:lineRule="atLeast"/>
      <w:widowControl/>
    </w:pPr>
    <w:rPr>
      <w:rFonts w:eastAsia="MS Mincho"/>
      <w:b/>
      <w:sz w:val="28"/>
      <w:szCs w:val="20"/>
      <w:lang w:eastAsia="ja-JP"/>
    </w:rPr>
  </w:style>
  <w:style w:type="paragraph" w:styleId="1221" w:customStyle="1">
    <w:name w:val="xl70"/>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223" w:customStyle="1">
    <w:name w:val="标题3"/>
    <w:basedOn w:val="746"/>
    <w:next w:val="746"/>
    <w:uiPriority w:val="0"/>
    <w:qFormat/>
    <w:pPr>
      <w:ind w:firstLine="624"/>
      <w:spacing w:line="590" w:lineRule="atLeast"/>
    </w:pPr>
    <w:rPr>
      <w:rFonts w:ascii="方正黑体_GBK" w:hAnsi="宋体" w:eastAsia="方正黑体_GBK" w:cs="宋体"/>
      <w:sz w:val="32"/>
      <w:szCs w:val="32"/>
    </w:rPr>
  </w:style>
  <w:style w:type="paragraph" w:styleId="1224" w:customStyle="1">
    <w:name w:val="xl75"/>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5"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226" w:customStyle="1">
    <w:name w:val="table_1stline"/>
    <w:basedOn w:val="746"/>
    <w:uiPriority w:val="0"/>
    <w:qFormat/>
    <w:pPr>
      <w:jc w:val="left"/>
      <w:spacing w:before="120"/>
      <w:widowControl/>
    </w:pPr>
    <w:rPr>
      <w:bCs/>
      <w:sz w:val="20"/>
      <w:szCs w:val="20"/>
      <w:lang w:val="de-DE" w:eastAsia="de-DE"/>
    </w:rPr>
  </w:style>
  <w:style w:type="paragraph" w:styleId="1227" w:customStyle="1">
    <w:name w:val="_Style 235"/>
    <w:basedOn w:val="1014"/>
    <w:next w:val="1055"/>
    <w:uiPriority w:val="0"/>
    <w:qFormat/>
    <w:pPr>
      <w:ind w:firstLine="420"/>
      <w:jc w:val="center"/>
      <w:spacing w:after="120"/>
    </w:pPr>
    <w:rPr>
      <w:rFonts w:ascii="Times New Roman" w:hAnsi="Times New Roman" w:eastAsia="宋体"/>
      <w:position w:val="6"/>
      <w:sz w:val="21"/>
      <w:szCs w:val="24"/>
    </w:rPr>
  </w:style>
  <w:style w:type="paragraph" w:styleId="1228" w:customStyle="1">
    <w:name w:val="列出段落111"/>
    <w:basedOn w:val="746"/>
    <w:uiPriority w:val="72"/>
    <w:qFormat/>
    <w:pPr>
      <w:ind w:firstLine="420"/>
      <w:jc w:val="left"/>
      <w:widowControl/>
    </w:pPr>
    <w:rPr>
      <w:sz w:val="24"/>
      <w:szCs w:val="20"/>
    </w:rPr>
  </w:style>
  <w:style w:type="paragraph" w:styleId="1229" w:customStyle="1">
    <w:name w:val="列出段落11"/>
    <w:basedOn w:val="746"/>
    <w:uiPriority w:val="99"/>
    <w:qFormat/>
    <w:pPr>
      <w:ind w:firstLine="420"/>
    </w:pPr>
  </w:style>
  <w:style w:type="paragraph" w:styleId="1230" w:customStyle="1">
    <w:name w:val="xl64"/>
    <w:basedOn w:val="746"/>
    <w:uiPriority w:val="0"/>
    <w:qFormat/>
    <w:pPr>
      <w:jc w:val="left"/>
      <w:spacing w:before="100" w:beforeAutospacing="1" w:after="100" w:afterAutospacing="1"/>
      <w:widowControl/>
    </w:pPr>
    <w:rPr>
      <w:rFonts w:ascii="宋体" w:hAnsi="宋体" w:cs="宋体"/>
      <w:color w:val="000000"/>
      <w:sz w:val="24"/>
    </w:rPr>
  </w:style>
  <w:style w:type="paragraph" w:styleId="1231" w:customStyle="1">
    <w:name w:val="xl103"/>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xl104"/>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3" w:customStyle="1">
    <w:name w:val="Char5 Char Char Char Char Char Char"/>
    <w:basedOn w:val="746"/>
    <w:uiPriority w:val="0"/>
    <w:qFormat/>
    <w:rPr>
      <w:rFonts w:ascii="Tahoma" w:hAnsi="Tahoma"/>
      <w:sz w:val="24"/>
      <w:szCs w:val="20"/>
    </w:rPr>
  </w:style>
  <w:style w:type="paragraph" w:styleId="1234" w:customStyle="1">
    <w:name w:val="xl89"/>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5" w:customStyle="1">
    <w:name w:val="xl67"/>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6" w:customStyle="1">
    <w:name w:val="4"/>
    <w:basedOn w:val="746"/>
    <w:next w:val="1040"/>
    <w:uiPriority w:val="0"/>
    <w:qFormat/>
    <w:pPr>
      <w:ind w:firstLine="420"/>
      <w:spacing w:line="360" w:lineRule="auto"/>
    </w:pPr>
    <w:rPr>
      <w:color w:val="ff0000"/>
      <w:sz w:val="24"/>
    </w:rPr>
  </w:style>
  <w:style w:type="paragraph" w:styleId="1237"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38"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39" w:customStyle="1">
    <w:name w:val="xl10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40"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241" w:customStyle="1">
    <w:name w:val="Char Char Char1 Char Char Char Char"/>
    <w:basedOn w:val="746"/>
    <w:uiPriority w:val="0"/>
    <w:qFormat/>
    <w:pPr>
      <w:jc w:val="left"/>
      <w:spacing w:after="160" w:line="240" w:lineRule="exact"/>
      <w:widowControl/>
    </w:pPr>
    <w:rPr>
      <w:rFonts w:ascii="宋体" w:hAnsi="宋体" w:cs="宋体"/>
      <w:b/>
      <w:sz w:val="28"/>
      <w:szCs w:val="28"/>
    </w:rPr>
  </w:style>
  <w:style w:type="paragraph" w:styleId="124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243" w:customStyle="1">
    <w:name w:val="xl90"/>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4" w:customStyle="1">
    <w:name w:val="font15"/>
    <w:basedOn w:val="746"/>
    <w:uiPriority w:val="0"/>
    <w:qFormat/>
    <w:pPr>
      <w:jc w:val="left"/>
      <w:spacing w:before="100" w:beforeAutospacing="1" w:after="100" w:afterAutospacing="1"/>
      <w:widowControl/>
    </w:pPr>
    <w:rPr>
      <w:rFonts w:ascii="宋体" w:hAnsi="宋体" w:cs="宋体"/>
      <w:sz w:val="18"/>
      <w:szCs w:val="18"/>
    </w:rPr>
  </w:style>
  <w:style w:type="paragraph" w:styleId="1245" w:customStyle="1">
    <w:name w:val="可研 + 首行缩进:  2 字符"/>
    <w:basedOn w:val="746"/>
    <w:uiPriority w:val="0"/>
    <w:qFormat/>
    <w:pPr>
      <w:ind w:firstLine="200"/>
      <w:spacing w:before="120" w:line="288" w:lineRule="auto"/>
    </w:pPr>
    <w:rPr>
      <w:rFonts w:eastAsia="仿宋_GB2312"/>
      <w:sz w:val="24"/>
      <w:szCs w:val="20"/>
    </w:rPr>
  </w:style>
  <w:style w:type="paragraph" w:styleId="1246" w:customStyle="1">
    <w:name w:val="Char5 Char Char Char Char Char Char3"/>
    <w:basedOn w:val="746"/>
    <w:uiPriority w:val="0"/>
    <w:qFormat/>
    <w:rPr>
      <w:rFonts w:ascii="Tahoma" w:hAnsi="Tahoma"/>
      <w:sz w:val="24"/>
      <w:szCs w:val="20"/>
    </w:rPr>
  </w:style>
  <w:style w:type="paragraph" w:styleId="1247"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24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24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50" w:customStyle="1">
    <w:name w:val="table_lines"/>
    <w:basedOn w:val="746"/>
    <w:uiPriority w:val="0"/>
    <w:qFormat/>
    <w:pPr>
      <w:jc w:val="left"/>
      <w:widowControl/>
    </w:pPr>
    <w:rPr>
      <w:sz w:val="20"/>
      <w:szCs w:val="20"/>
      <w:lang w:val="de-DE" w:eastAsia="de-DE"/>
    </w:rPr>
  </w:style>
  <w:style w:type="paragraph" w:styleId="1251" w:customStyle="1">
    <w:name w:val="xl101"/>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2" w:customStyle="1">
    <w:name w:val="附录1"/>
    <w:uiPriority w:val="0"/>
    <w:qFormat/>
    <w:pPr>
      <w:numPr>
        <w:ilvl w:val="0"/>
        <w:numId w:val="7"/>
      </w:numPr>
      <w:spacing w:before="240" w:line="600" w:lineRule="atLeast"/>
    </w:pPr>
    <w:rPr>
      <w:rFonts w:hint="default" w:ascii="Times New Roman" w:hAnsi="Times New Roman" w:eastAsia="宋体" w:cs="Times New Roman"/>
      <w:b/>
      <w:i/>
      <w:iCs/>
      <w:sz w:val="28"/>
      <w:szCs w:val="28"/>
      <w:lang w:val="en-US" w:eastAsia="zh-CN" w:bidi="ar-SA"/>
    </w:rPr>
  </w:style>
  <w:style w:type="paragraph" w:styleId="1253"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25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55" w:customStyle="1">
    <w:name w:val="Char Char1 Char Char Char Char Char Char Char Char"/>
    <w:basedOn w:val="746"/>
    <w:uiPriority w:val="0"/>
    <w:qFormat/>
    <w:pPr>
      <w:jc w:val="left"/>
      <w:spacing w:after="160" w:line="240" w:lineRule="exact"/>
      <w:widowControl/>
    </w:pPr>
    <w:rPr>
      <w:rFonts w:ascii="Verdana" w:hAnsi="Verdana" w:cs="宋体"/>
      <w:sz w:val="20"/>
      <w:szCs w:val="20"/>
      <w:lang w:eastAsia="en-US"/>
    </w:rPr>
  </w:style>
  <w:style w:type="paragraph" w:styleId="1256" w:customStyle="1">
    <w:name w:val="xl111"/>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57" w:customStyle="1">
    <w:name w:val="列出段落31"/>
    <w:basedOn w:val="746"/>
    <w:uiPriority w:val="72"/>
    <w:qFormat/>
    <w:pPr>
      <w:ind w:firstLine="420"/>
      <w:jc w:val="left"/>
      <w:widowControl/>
    </w:pPr>
    <w:rPr>
      <w:rFonts w:ascii="Cambria" w:hAnsi="Cambria"/>
      <w:sz w:val="24"/>
    </w:rPr>
  </w:style>
  <w:style w:type="paragraph" w:styleId="1258" w:customStyle="1">
    <w:name w:val="Item Step in Table"/>
    <w:uiPriority w:val="0"/>
    <w:qFormat/>
    <w:pPr>
      <w:numPr>
        <w:ilvl w:val="0"/>
        <w:numId w:val="8"/>
      </w:numPr>
      <w:jc w:val="both"/>
      <w:spacing w:before="40" w:after="40"/>
    </w:pPr>
    <w:rPr>
      <w:rFonts w:hint="default" w:ascii="Arial" w:hAnsi="Arial" w:eastAsia="宋体" w:cs="Arial"/>
      <w:sz w:val="18"/>
      <w:szCs w:val="18"/>
      <w:lang w:val="en-US" w:eastAsia="zh-CN" w:bidi="ar-SA"/>
    </w:rPr>
  </w:style>
  <w:style w:type="paragraph" w:styleId="1259" w:customStyle="1">
    <w:name w:val="xl86"/>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0"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261" w:customStyle="1">
    <w:name w:val="xl100"/>
    <w:basedOn w:val="74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62" w:customStyle="1">
    <w:name w:val="Char Char Char Char Char Char Char1"/>
    <w:basedOn w:val="746"/>
    <w:uiPriority w:val="0"/>
    <w:qFormat/>
    <w:pPr>
      <w:ind w:left="432" w:hanging="432"/>
      <w:tabs>
        <w:tab w:val="left" w:pos="432" w:leader="none"/>
      </w:tabs>
    </w:pPr>
    <w:rPr>
      <w:rFonts w:ascii="Tahoma" w:hAnsi="Tahoma"/>
      <w:sz w:val="24"/>
      <w:szCs w:val="20"/>
    </w:rPr>
  </w:style>
  <w:style w:type="paragraph" w:styleId="1263"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64" w:customStyle="1">
    <w:name w:val="xl76"/>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5" w:customStyle="1">
    <w:name w:val="Char Char1 Char Char Char Char Char Char Char"/>
    <w:basedOn w:val="746"/>
    <w:uiPriority w:val="0"/>
    <w:qFormat/>
    <w:rPr>
      <w:rFonts w:ascii="Tahoma" w:hAnsi="Tahoma" w:cs="Tahoma"/>
      <w:sz w:val="24"/>
    </w:rPr>
  </w:style>
  <w:style w:type="paragraph" w:styleId="1266" w:customStyle="1">
    <w:name w:val="xl121"/>
    <w:basedOn w:val="746"/>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67" w:customStyle="1">
    <w:name w:val="font13"/>
    <w:basedOn w:val="746"/>
    <w:uiPriority w:val="0"/>
    <w:qFormat/>
    <w:pPr>
      <w:jc w:val="left"/>
      <w:spacing w:before="100" w:beforeAutospacing="1" w:after="100" w:afterAutospacing="1"/>
      <w:widowControl/>
    </w:pPr>
    <w:rPr>
      <w:rFonts w:ascii="宋体" w:hAnsi="宋体" w:cs="宋体"/>
      <w:b/>
      <w:bCs/>
      <w:color w:val="000000"/>
      <w:sz w:val="28"/>
      <w:szCs w:val="28"/>
    </w:rPr>
  </w:style>
  <w:style w:type="paragraph" w:styleId="1268" w:customStyle="1">
    <w:name w:val="Char1 Char Char Char"/>
    <w:basedOn w:val="746"/>
    <w:uiPriority w:val="0"/>
    <w:qFormat/>
    <w:rPr>
      <w:rFonts w:ascii="Tahoma" w:hAnsi="Tahoma" w:cs="Tahoma"/>
      <w:sz w:val="24"/>
      <w:szCs w:val="20"/>
    </w:rPr>
  </w:style>
  <w:style w:type="paragraph" w:styleId="1269"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0" w:customStyle="1">
    <w:name w:val="xl112"/>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71" w:customStyle="1">
    <w:name w:val="xl71"/>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2" w:customStyle="1">
    <w:name w:val="Item List_3"/>
    <w:basedOn w:val="1273"/>
    <w:uiPriority w:val="99"/>
    <w:semiHidden/>
    <w:qFormat/>
    <w:pPr>
      <w:tabs>
        <w:tab w:val="left" w:pos="360" w:leader="none"/>
        <w:tab w:val="left" w:pos="840" w:leader="none"/>
        <w:tab w:val="left" w:pos="1134" w:leader="none"/>
      </w:tabs>
    </w:pPr>
  </w:style>
  <w:style w:type="paragraph" w:styleId="1273" w:customStyle="1">
    <w:name w:val="Item List_2"/>
    <w:basedOn w:val="1097"/>
    <w:uiPriority w:val="99"/>
    <w:qFormat/>
    <w:pPr>
      <w:ind w:left="840" w:hanging="420"/>
      <w:tabs>
        <w:tab w:val="left" w:pos="360" w:leader="none"/>
        <w:tab w:val="left" w:pos="840" w:leader="none"/>
      </w:tabs>
    </w:pPr>
  </w:style>
  <w:style w:type="paragraph" w:styleId="127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275" w:customStyle="1">
    <w:name w:val="xl114"/>
    <w:basedOn w:val="746"/>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76" w:customStyle="1">
    <w:name w:val="xl7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7" w:customStyle="1">
    <w:name w:val="Char Char Char Char"/>
    <w:basedOn w:val="1008"/>
    <w:uiPriority w:val="0"/>
    <w:qFormat/>
    <w:pPr>
      <w:spacing w:line="360" w:lineRule="auto"/>
    </w:pPr>
    <w:rPr>
      <w:rFonts w:ascii="Tahoma" w:hAnsi="Tahoma"/>
      <w:sz w:val="24"/>
      <w:szCs w:val="24"/>
    </w:rPr>
  </w:style>
  <w:style w:type="paragraph" w:styleId="1278" w:customStyle="1">
    <w:name w:val="font7"/>
    <w:basedOn w:val="746"/>
    <w:uiPriority w:val="0"/>
    <w:qFormat/>
    <w:pPr>
      <w:jc w:val="left"/>
      <w:spacing w:before="100" w:beforeAutospacing="1" w:after="100" w:afterAutospacing="1"/>
      <w:widowControl/>
    </w:pPr>
    <w:rPr>
      <w:rFonts w:ascii="宋体" w:hAnsi="宋体" w:cs="宋体"/>
      <w:sz w:val="18"/>
      <w:szCs w:val="18"/>
    </w:rPr>
  </w:style>
  <w:style w:type="paragraph" w:styleId="1279" w:customStyle="1">
    <w:name w:val="p0"/>
    <w:basedOn w:val="746"/>
    <w:uiPriority w:val="99"/>
    <w:qFormat/>
    <w:pPr>
      <w:widowControl/>
    </w:pPr>
    <w:rPr>
      <w:rFonts w:cs="宋体"/>
      <w:szCs w:val="21"/>
    </w:rPr>
  </w:style>
  <w:style w:type="paragraph" w:styleId="1280" w:customStyle="1">
    <w:name w:val="Char5 Char Char Char Char Char Char2"/>
    <w:basedOn w:val="746"/>
    <w:uiPriority w:val="0"/>
    <w:qFormat/>
    <w:rPr>
      <w:rFonts w:ascii="Tahoma" w:hAnsi="Tahoma"/>
      <w:sz w:val="24"/>
      <w:szCs w:val="20"/>
    </w:rPr>
  </w:style>
  <w:style w:type="paragraph" w:styleId="1281" w:customStyle="1">
    <w:name w:val="xl92"/>
    <w:basedOn w:val="746"/>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82" w:customStyle="1">
    <w:name w:val="默认段落字体 Para Char Char Char Char Char Char Char Char Char1 Char Char Char Char Char Char Char"/>
    <w:basedOn w:val="1008"/>
    <w:uiPriority w:val="0"/>
    <w:qFormat/>
    <w:rPr>
      <w:rFonts w:ascii="Tahoma" w:hAnsi="Tahoma" w:cs="Tahoma"/>
      <w:sz w:val="24"/>
      <w:szCs w:val="24"/>
    </w:rPr>
  </w:style>
  <w:style w:type="paragraph" w:styleId="1283" w:customStyle="1">
    <w:name w:val="xl81"/>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4" w:customStyle="1">
    <w:name w:val="样式3"/>
    <w:basedOn w:val="1021"/>
    <w:uiPriority w:val="0"/>
    <w:qFormat/>
    <w:rPr>
      <w:rFonts w:cs="宋体"/>
    </w:rPr>
  </w:style>
  <w:style w:type="paragraph" w:styleId="1285" w:customStyle="1">
    <w:name w:val="font12"/>
    <w:basedOn w:val="746"/>
    <w:uiPriority w:val="0"/>
    <w:qFormat/>
    <w:pPr>
      <w:jc w:val="left"/>
      <w:spacing w:before="100" w:beforeAutospacing="1" w:after="100" w:afterAutospacing="1"/>
      <w:widowControl/>
    </w:pPr>
    <w:rPr>
      <w:rFonts w:ascii="宋体" w:hAnsi="宋体" w:cs="宋体"/>
      <w:sz w:val="18"/>
      <w:szCs w:val="18"/>
    </w:rPr>
  </w:style>
  <w:style w:type="paragraph" w:styleId="1286" w:customStyle="1">
    <w:name w:val="xl65"/>
    <w:basedOn w:val="746"/>
    <w:uiPriority w:val="0"/>
    <w:qFormat/>
    <w:pPr>
      <w:jc w:val="left"/>
      <w:spacing w:before="100" w:beforeAutospacing="1" w:after="100" w:afterAutospacing="1"/>
      <w:widowControl/>
    </w:pPr>
    <w:rPr>
      <w:rFonts w:ascii="宋体" w:hAnsi="宋体" w:cs="宋体"/>
      <w:b/>
      <w:bCs/>
      <w:color w:val="000000"/>
      <w:sz w:val="24"/>
    </w:rPr>
  </w:style>
  <w:style w:type="paragraph" w:styleId="1287" w:customStyle="1">
    <w:name w:val="font20"/>
    <w:basedOn w:val="746"/>
    <w:uiPriority w:val="0"/>
    <w:qFormat/>
    <w:pPr>
      <w:jc w:val="left"/>
      <w:spacing w:before="100" w:beforeAutospacing="1" w:after="100" w:afterAutospacing="1"/>
      <w:widowControl/>
    </w:pPr>
    <w:rPr>
      <w:rFonts w:ascii="Tahoma" w:hAnsi="Tahoma" w:cs="Tahoma"/>
      <w:b/>
      <w:bCs/>
      <w:color w:val="000000"/>
      <w:sz w:val="18"/>
      <w:szCs w:val="18"/>
    </w:rPr>
  </w:style>
  <w:style w:type="paragraph" w:styleId="1288"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89" w:customStyle="1">
    <w:name w:val="Char Char Char Char1"/>
    <w:basedOn w:val="1008"/>
    <w:uiPriority w:val="0"/>
    <w:qFormat/>
    <w:pPr>
      <w:spacing w:line="360" w:lineRule="auto"/>
    </w:pPr>
    <w:rPr>
      <w:rFonts w:ascii="Tahoma" w:hAnsi="Tahoma" w:cs="Tahoma"/>
      <w:sz w:val="24"/>
      <w:szCs w:val="24"/>
    </w:rPr>
  </w:style>
  <w:style w:type="paragraph" w:styleId="1290" w:customStyle="1">
    <w:name w:val="Char"/>
    <w:basedOn w:val="746"/>
    <w:uiPriority w:val="0"/>
    <w:qFormat/>
    <w:rPr>
      <w:rFonts w:ascii="Tahoma" w:hAnsi="Tahoma"/>
      <w:sz w:val="24"/>
      <w:szCs w:val="20"/>
    </w:rPr>
  </w:style>
  <w:style w:type="paragraph" w:styleId="1291" w:customStyle="1">
    <w:name w:val="xl107"/>
    <w:basedOn w:val="74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2" w:customStyle="1">
    <w:name w:val="列表内容"/>
    <w:basedOn w:val="746"/>
    <w:next w:val="746"/>
    <w:uiPriority w:val="0"/>
    <w:qFormat/>
    <w:pPr>
      <w:ind w:left="840" w:hanging="420"/>
      <w:jc w:val="left"/>
      <w:widowControl/>
      <w:tabs>
        <w:tab w:val="left" w:pos="840" w:leader="none"/>
      </w:tabs>
    </w:pPr>
    <w:rPr>
      <w:sz w:val="18"/>
    </w:rPr>
  </w:style>
  <w:style w:type="paragraph" w:styleId="1293" w:customStyle="1">
    <w:name w:val="正文文本_0"/>
    <w:basedOn w:val="1294"/>
    <w:uiPriority w:val="0"/>
    <w:qFormat/>
    <w:pPr>
      <w:spacing w:line="400" w:lineRule="exact"/>
    </w:pPr>
    <w:rPr>
      <w:sz w:val="24"/>
    </w:rPr>
  </w:style>
  <w:style w:type="paragraph" w:styleId="1294" w:customStyle="1">
    <w:name w:val="正文_1"/>
    <w:next w:val="1293"/>
    <w:uiPriority w:val="0"/>
    <w:qFormat/>
    <w:pPr>
      <w:jc w:val="both"/>
      <w:widowControl w:val="off"/>
    </w:pPr>
    <w:rPr>
      <w:rFonts w:hint="default" w:ascii="Times New Roman" w:hAnsi="Times New Roman" w:eastAsia="宋体" w:cs="Times New Roman"/>
      <w:sz w:val="21"/>
      <w:lang w:val="en-US" w:eastAsia="zh-CN" w:bidi="ar-SA"/>
    </w:rPr>
  </w:style>
  <w:style w:type="paragraph" w:styleId="1295" w:customStyle="1">
    <w:name w:val="xl95"/>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297" w:customStyle="1">
    <w:name w:val="标书内容123"/>
    <w:basedOn w:val="746"/>
    <w:uiPriority w:val="99"/>
    <w:qFormat/>
    <w:pPr>
      <w:ind w:left="432"/>
      <w:jc w:val="left"/>
      <w:spacing w:line="360" w:lineRule="auto"/>
      <w:widowControl/>
    </w:pPr>
    <w:rPr>
      <w:sz w:val="24"/>
    </w:rPr>
  </w:style>
  <w:style w:type="paragraph" w:styleId="1298" w:customStyle="1">
    <w:name w:val="font18"/>
    <w:basedOn w:val="746"/>
    <w:uiPriority w:val="0"/>
    <w:qFormat/>
    <w:pPr>
      <w:jc w:val="left"/>
      <w:spacing w:before="100" w:beforeAutospacing="1" w:after="100" w:afterAutospacing="1"/>
      <w:widowControl/>
    </w:pPr>
    <w:rPr>
      <w:rFonts w:ascii="宋体" w:hAnsi="宋体" w:cs="宋体"/>
      <w:sz w:val="18"/>
      <w:szCs w:val="18"/>
    </w:rPr>
  </w:style>
  <w:style w:type="paragraph" w:styleId="129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300" w:customStyle="1">
    <w:name w:val="xl122"/>
    <w:basedOn w:val="746"/>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01" w:customStyle="1">
    <w:name w:val="标题2"/>
    <w:basedOn w:val="984"/>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302" w:customStyle="1">
    <w:name w:val="Char Char Char Char Char Char Char Char Char Char"/>
    <w:basedOn w:val="746"/>
    <w:uiPriority w:val="0"/>
    <w:qFormat/>
    <w:pPr>
      <w:spacing w:line="360" w:lineRule="auto"/>
    </w:pPr>
    <w:rPr>
      <w:sz w:val="24"/>
      <w:szCs w:val="20"/>
    </w:rPr>
  </w:style>
  <w:style w:type="paragraph" w:styleId="1303" w:customStyle="1">
    <w:name w:val="font11"/>
    <w:basedOn w:val="746"/>
    <w:uiPriority w:val="0"/>
    <w:qFormat/>
    <w:pPr>
      <w:jc w:val="left"/>
      <w:spacing w:before="100" w:beforeAutospacing="1" w:after="100" w:afterAutospacing="1"/>
      <w:widowControl/>
    </w:pPr>
    <w:rPr>
      <w:rFonts w:ascii="宋体" w:hAnsi="宋体" w:cs="宋体"/>
      <w:b/>
      <w:bCs/>
      <w:sz w:val="18"/>
      <w:szCs w:val="18"/>
    </w:rPr>
  </w:style>
  <w:style w:type="paragraph" w:styleId="130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06" w:customStyle="1">
    <w:name w:val="Char Char Char Char Char Char Char Char Char"/>
    <w:basedOn w:val="746"/>
    <w:uiPriority w:val="0"/>
    <w:qFormat/>
    <w:rPr>
      <w:rFonts w:ascii="Tahoma" w:hAnsi="Tahoma" w:cs="Tahoma"/>
      <w:sz w:val="24"/>
      <w:szCs w:val="20"/>
    </w:rPr>
  </w:style>
  <w:style w:type="paragraph" w:styleId="1307" w:customStyle="1">
    <w:name w:val="xl82"/>
    <w:basedOn w:val="746"/>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8" w:customStyle="1">
    <w:name w:val="xl115"/>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09" w:customStyle="1">
    <w:name w:val="Char1"/>
    <w:basedOn w:val="746"/>
    <w:uiPriority w:val="0"/>
    <w:qFormat/>
    <w:pPr>
      <w:ind w:left="840" w:hanging="420"/>
      <w:tabs>
        <w:tab w:val="left" w:pos="840" w:leader="none"/>
      </w:tabs>
    </w:pPr>
    <w:rPr>
      <w:sz w:val="24"/>
    </w:rPr>
  </w:style>
  <w:style w:type="paragraph" w:styleId="1310"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313" w:customStyle="1">
    <w:name w:val="WPSOffice手动目录 1"/>
    <w:uiPriority w:val="0"/>
    <w:qFormat/>
    <w:rPr>
      <w:rFonts w:hint="default" w:ascii="Times New Roman" w:hAnsi="Times New Roman" w:eastAsia="宋体" w:cs="Times New Roman"/>
      <w:lang w:val="en-US" w:eastAsia="zh-CN" w:bidi="ar-SA"/>
    </w:rPr>
  </w:style>
  <w:style w:type="paragraph" w:styleId="131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15"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16"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17" w:customStyle="1">
    <w:name w:val="xl7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19" w:customStyle="1">
    <w:name w:val="Char Char"/>
    <w:basedOn w:val="746"/>
    <w:uiPriority w:val="0"/>
    <w:qFormat/>
    <w:pPr>
      <w:ind w:left="360"/>
      <w:jc w:val="left"/>
      <w:spacing w:before="100" w:beforeAutospacing="1" w:after="100" w:afterAutospacing="1" w:line="360" w:lineRule="auto"/>
      <w:widowControl/>
    </w:pPr>
    <w:rPr>
      <w:szCs w:val="20"/>
    </w:rPr>
  </w:style>
  <w:style w:type="paragraph" w:styleId="1320" w:customStyle="1">
    <w:name w:val="Char Char Char1 Char Char Char Char1"/>
    <w:basedOn w:val="746"/>
    <w:uiPriority w:val="0"/>
    <w:qFormat/>
    <w:pPr>
      <w:jc w:val="left"/>
      <w:spacing w:after="160" w:line="240" w:lineRule="exact"/>
      <w:widowControl/>
    </w:pPr>
    <w:rPr>
      <w:rFonts w:ascii="宋体" w:hAnsi="宋体"/>
      <w:b/>
      <w:sz w:val="28"/>
      <w:szCs w:val="28"/>
    </w:rPr>
  </w:style>
  <w:style w:type="paragraph" w:styleId="1321"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22" w:customStyle="1">
    <w:name w:val="xl106"/>
    <w:basedOn w:val="746"/>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324"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325" w:customStyle="1">
    <w:name w:val="font9"/>
    <w:basedOn w:val="746"/>
    <w:uiPriority w:val="0"/>
    <w:qFormat/>
    <w:pPr>
      <w:jc w:val="left"/>
      <w:spacing w:before="100" w:beforeAutospacing="1" w:after="100" w:afterAutospacing="1"/>
      <w:widowControl/>
    </w:pPr>
    <w:rPr>
      <w:rFonts w:ascii="宋体" w:hAnsi="宋体" w:cs="宋体"/>
      <w:sz w:val="20"/>
      <w:szCs w:val="20"/>
    </w:rPr>
  </w:style>
  <w:style w:type="paragraph" w:styleId="1326" w:customStyle="1">
    <w:name w:val="xl91"/>
    <w:basedOn w:val="746"/>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Normal_0_0_0_0"/>
    <w:basedOn w:val="746"/>
    <w:uiPriority w:val="0"/>
    <w:qFormat/>
    <w:pPr>
      <w:jc w:val="left"/>
      <w:widowControl/>
    </w:pPr>
    <w:rPr>
      <w:rFonts w:ascii="Times New Roman" w:hAnsi="Times New Roman" w:eastAsia="Times New Roman"/>
      <w:sz w:val="24"/>
      <w:szCs w:val="24"/>
    </w:rPr>
  </w:style>
  <w:style w:type="paragraph" w:styleId="132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3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331" w:customStyle="1">
    <w:name w:val="xl7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32" w:customStyle="1">
    <w:name w:val="文档正文"/>
    <w:basedOn w:val="746"/>
    <w:uiPriority w:val="0"/>
    <w:qFormat/>
    <w:pPr>
      <w:ind w:firstLine="567"/>
      <w:spacing w:line="480" w:lineRule="atLeast"/>
    </w:pPr>
    <w:rPr>
      <w:rFonts w:ascii="仿宋_GB2312" w:eastAsia="仿宋_GB2312"/>
      <w:b/>
      <w:bCs/>
      <w:sz w:val="28"/>
      <w:szCs w:val="20"/>
    </w:rPr>
  </w:style>
  <w:style w:type="paragraph" w:styleId="1333" w:customStyle="1">
    <w:name w:val="正文格式"/>
    <w:basedOn w:val="746"/>
    <w:uiPriority w:val="0"/>
    <w:qFormat/>
    <w:pPr>
      <w:ind w:firstLine="482"/>
      <w:spacing w:line="400" w:lineRule="exact"/>
      <w:widowControl/>
    </w:pPr>
    <w:rPr>
      <w:rFonts w:ascii="Arial" w:hAnsi="Arial" w:eastAsia="新宋体" w:cs="Arial"/>
      <w:sz w:val="24"/>
      <w:szCs w:val="20"/>
    </w:rPr>
  </w:style>
  <w:style w:type="paragraph" w:styleId="1334"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customStyle="1">
    <w:name w:val="xl9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6" w:customStyle="1">
    <w:name w:val="font16"/>
    <w:basedOn w:val="746"/>
    <w:uiPriority w:val="0"/>
    <w:qFormat/>
    <w:pPr>
      <w:jc w:val="left"/>
      <w:spacing w:before="100" w:beforeAutospacing="1" w:after="100" w:afterAutospacing="1"/>
      <w:widowControl/>
    </w:pPr>
    <w:rPr>
      <w:rFonts w:ascii="宋体" w:hAnsi="宋体" w:cs="宋体"/>
      <w:color w:val="000000"/>
      <w:sz w:val="22"/>
    </w:rPr>
  </w:style>
  <w:style w:type="paragraph" w:styleId="1337" w:customStyle="1">
    <w:name w:val="xl6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8"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339" w:customStyle="1">
    <w:name w:val="xl110"/>
    <w:basedOn w:val="74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40"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41"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342"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43" w:customStyle="1">
    <w:name w:val="普通 (Web)"/>
    <w:basedOn w:val="746"/>
    <w:uiPriority w:val="0"/>
    <w:qFormat/>
    <w:pPr>
      <w:jc w:val="left"/>
      <w:spacing w:before="100" w:beforeAutospacing="1" w:after="100" w:afterAutospacing="1"/>
      <w:widowControl/>
    </w:pPr>
    <w:rPr>
      <w:rFonts w:ascii="宋体" w:hAnsi="宋体" w:cs="宋体"/>
      <w:sz w:val="24"/>
    </w:rPr>
  </w:style>
  <w:style w:type="paragraph" w:styleId="1344"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45"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34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7" w:customStyle="1">
    <w:name w:val="xl8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349" w:customStyle="1">
    <w:name w:val="font6"/>
    <w:basedOn w:val="746"/>
    <w:uiPriority w:val="0"/>
    <w:qFormat/>
    <w:pPr>
      <w:jc w:val="left"/>
      <w:spacing w:before="100" w:beforeAutospacing="1" w:after="100" w:afterAutospacing="1"/>
      <w:widowControl/>
    </w:pPr>
    <w:rPr>
      <w:rFonts w:ascii="宋体" w:hAnsi="宋体" w:cs="宋体"/>
      <w:sz w:val="28"/>
      <w:szCs w:val="28"/>
      <w:u w:val="single"/>
    </w:rPr>
  </w:style>
  <w:style w:type="paragraph" w:styleId="1350" w:customStyle="1">
    <w:name w:val="xl99"/>
    <w:basedOn w:val="74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51" w:customStyle="1">
    <w:name w:val="font10"/>
    <w:basedOn w:val="746"/>
    <w:uiPriority w:val="0"/>
    <w:qFormat/>
    <w:pPr>
      <w:jc w:val="left"/>
      <w:spacing w:before="100" w:beforeAutospacing="1" w:after="100" w:afterAutospacing="1"/>
      <w:widowControl/>
    </w:pPr>
    <w:rPr>
      <w:rFonts w:ascii="Tahoma" w:hAnsi="Tahoma" w:cs="Tahoma"/>
      <w:b/>
      <w:bCs/>
      <w:sz w:val="18"/>
      <w:szCs w:val="18"/>
    </w:rPr>
  </w:style>
  <w:style w:type="paragraph" w:styleId="1352" w:customStyle="1">
    <w:name w:val="font17"/>
    <w:basedOn w:val="746"/>
    <w:uiPriority w:val="0"/>
    <w:qFormat/>
    <w:pPr>
      <w:jc w:val="left"/>
      <w:spacing w:before="100" w:beforeAutospacing="1" w:after="100" w:afterAutospacing="1"/>
      <w:widowControl/>
    </w:pPr>
    <w:rPr>
      <w:rFonts w:ascii="宋体" w:hAnsi="宋体" w:cs="宋体"/>
      <w:color w:val="ff0000"/>
      <w:sz w:val="22"/>
    </w:rPr>
  </w:style>
  <w:style w:type="paragraph" w:styleId="1353" w:customStyle="1">
    <w:name w:val="Char Char Char Char Char Char Char Char Char Char Char Char Char Char Char Char Char Char"/>
    <w:basedOn w:val="746"/>
    <w:uiPriority w:val="0"/>
    <w:qFormat/>
    <w:pPr>
      <w:jc w:val="center"/>
      <w:spacing w:line="480" w:lineRule="exact"/>
    </w:pPr>
    <w:rPr>
      <w:color w:val="000000"/>
      <w:sz w:val="28"/>
      <w:szCs w:val="52"/>
    </w:rPr>
  </w:style>
  <w:style w:type="paragraph" w:styleId="1354" w:customStyle="1">
    <w:name w:val="报告正文"/>
    <w:basedOn w:val="746"/>
    <w:uiPriority w:val="0"/>
    <w:qFormat/>
    <w:pPr>
      <w:ind w:firstLine="567"/>
    </w:pPr>
    <w:rPr>
      <w:rFonts w:ascii="Arial Narrow" w:hAnsi="Arial Narrow" w:eastAsia="仿宋_GB2312"/>
      <w:sz w:val="28"/>
      <w:szCs w:val="20"/>
    </w:rPr>
  </w:style>
  <w:style w:type="paragraph" w:styleId="1355"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56" w:customStyle="1">
    <w:name w:val="纯文本2"/>
    <w:basedOn w:val="746"/>
    <w:uiPriority w:val="0"/>
    <w:qFormat/>
    <w:rPr>
      <w:rFonts w:ascii="宋体" w:hAnsi="Courier New" w:eastAsia="楷体_GB2312"/>
      <w:sz w:val="26"/>
      <w:szCs w:val="20"/>
    </w:rPr>
  </w:style>
  <w:style w:type="paragraph" w:styleId="1357" w:customStyle="1">
    <w:name w:val="xl84"/>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8"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361" w:customStyle="1">
    <w:name w:val="font19"/>
    <w:basedOn w:val="746"/>
    <w:uiPriority w:val="0"/>
    <w:qFormat/>
    <w:pPr>
      <w:jc w:val="left"/>
      <w:spacing w:before="100" w:beforeAutospacing="1" w:after="100" w:afterAutospacing="1"/>
      <w:widowControl/>
    </w:pPr>
    <w:rPr>
      <w:rFonts w:ascii="宋体" w:hAnsi="宋体" w:cs="宋体"/>
      <w:sz w:val="18"/>
      <w:szCs w:val="18"/>
    </w:rPr>
  </w:style>
  <w:style w:type="paragraph" w:styleId="1362" w:customStyle="1">
    <w:name w:val="标题5"/>
    <w:basedOn w:val="987"/>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363"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64" w:customStyle="1">
    <w:name w:val="列出段落2"/>
    <w:basedOn w:val="746"/>
    <w:uiPriority w:val="99"/>
    <w:qFormat/>
    <w:pPr>
      <w:ind w:firstLine="420"/>
      <w:jc w:val="left"/>
      <w:widowControl/>
    </w:pPr>
    <w:rPr>
      <w:sz w:val="24"/>
    </w:rPr>
  </w:style>
  <w:style w:type="paragraph" w:styleId="1365" w:customStyle="1">
    <w:name w:val="xl113"/>
    <w:basedOn w:val="746"/>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6" w:customStyle="1">
    <w:name w:val="Char5 Char Char Char Char Char Char4"/>
    <w:basedOn w:val="746"/>
    <w:uiPriority w:val="0"/>
    <w:qFormat/>
    <w:rPr>
      <w:rFonts w:ascii="Tahoma" w:hAnsi="Tahoma"/>
      <w:sz w:val="24"/>
      <w:szCs w:val="20"/>
    </w:rPr>
  </w:style>
  <w:style w:type="paragraph" w:styleId="1367" w:customStyle="1">
    <w:name w:val="reader-word-layer"/>
    <w:basedOn w:val="746"/>
    <w:uiPriority w:val="0"/>
    <w:qFormat/>
    <w:pPr>
      <w:jc w:val="left"/>
      <w:spacing w:before="100" w:beforeAutospacing="1" w:after="100" w:afterAutospacing="1"/>
      <w:widowControl/>
    </w:pPr>
    <w:rPr>
      <w:sz w:val="24"/>
    </w:rPr>
  </w:style>
  <w:style w:type="paragraph" w:styleId="1368" w:customStyle="1">
    <w:name w:val="Normal_0_1_0"/>
    <w:basedOn w:val="746"/>
    <w:uiPriority w:val="0"/>
    <w:qFormat/>
    <w:pPr>
      <w:jc w:val="left"/>
      <w:widowControl/>
    </w:pPr>
    <w:rPr>
      <w:rFonts w:ascii="Times New Roman" w:hAnsi="Times New Roman" w:eastAsia="Times New Roman"/>
      <w:sz w:val="24"/>
      <w:szCs w:val="24"/>
    </w:rPr>
  </w:style>
  <w:style w:type="paragraph" w:styleId="1369" w:customStyle="1">
    <w:name w:val="标题6"/>
    <w:basedOn w:val="988"/>
    <w:uiPriority w:val="0"/>
    <w:qFormat/>
    <w:pPr>
      <w:numPr>
        <w:ilvl w:val="0"/>
        <w:numId w:val="0"/>
      </w:numPr>
      <w:keepLines w:val="0"/>
      <w:keepNext w:val="0"/>
      <w:spacing w:before="0" w:after="0" w:line="360" w:lineRule="auto"/>
    </w:pPr>
    <w:rPr>
      <w:rFonts w:eastAsia="仿宋_GB2312"/>
      <w:b w:val="0"/>
      <w:sz w:val="30"/>
    </w:rPr>
  </w:style>
  <w:style w:type="paragraph" w:styleId="1370" w:customStyle="1">
    <w:name w:val="正文文本_0_0"/>
    <w:basedOn w:val="1371"/>
    <w:uiPriority w:val="0"/>
    <w:qFormat/>
    <w:pPr>
      <w:spacing w:line="400" w:lineRule="exact"/>
    </w:pPr>
    <w:rPr>
      <w:sz w:val="24"/>
    </w:rPr>
  </w:style>
  <w:style w:type="paragraph" w:styleId="1371" w:customStyle="1">
    <w:name w:val="正文_2"/>
    <w:next w:val="1370"/>
    <w:uiPriority w:val="0"/>
    <w:qFormat/>
    <w:pPr>
      <w:jc w:val="both"/>
      <w:widowControl w:val="off"/>
    </w:pPr>
    <w:rPr>
      <w:rFonts w:hint="default" w:ascii="Times New Roman" w:hAnsi="Times New Roman" w:eastAsia="宋体" w:cs="Times New Roman"/>
      <w:sz w:val="21"/>
      <w:lang w:val="en-US" w:eastAsia="zh-CN" w:bidi="ar-SA"/>
    </w:rPr>
  </w:style>
  <w:style w:type="paragraph" w:styleId="1372"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73" w:customStyle="1">
    <w:name w:val="xl73"/>
    <w:basedOn w:val="746"/>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74" w:customStyle="1">
    <w:name w:val="font0"/>
    <w:basedOn w:val="746"/>
    <w:uiPriority w:val="0"/>
    <w:qFormat/>
    <w:pPr>
      <w:jc w:val="left"/>
      <w:spacing w:before="100" w:beforeAutospacing="1" w:after="100" w:afterAutospacing="1"/>
      <w:widowControl/>
    </w:pPr>
    <w:rPr>
      <w:rFonts w:ascii="宋体" w:hAnsi="宋体" w:cs="宋体"/>
      <w:color w:val="000000"/>
      <w:sz w:val="22"/>
    </w:rPr>
  </w:style>
  <w:style w:type="paragraph" w:styleId="1375" w:customStyle="1">
    <w:name w:val="Char3"/>
    <w:basedOn w:val="1008"/>
    <w:uiPriority w:val="0"/>
    <w:qFormat/>
    <w:pPr>
      <w:spacing w:line="360" w:lineRule="auto"/>
    </w:pPr>
    <w:rPr>
      <w:rFonts w:ascii="Tahoma" w:hAnsi="Tahoma" w:cs="Tahoma"/>
      <w:sz w:val="24"/>
      <w:szCs w:val="24"/>
    </w:rPr>
  </w:style>
  <w:style w:type="paragraph" w:styleId="1376" w:customStyle="1">
    <w:name w:val="xl79"/>
    <w:basedOn w:val="74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7"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381" w:customStyle="1">
    <w:name w:val="Char21"/>
    <w:basedOn w:val="746"/>
    <w:uiPriority w:val="0"/>
    <w:qFormat/>
    <w:pPr>
      <w:tabs>
        <w:tab w:val="left" w:pos="360" w:leader="none"/>
      </w:tabs>
    </w:pPr>
    <w:rPr>
      <w:sz w:val="24"/>
    </w:rPr>
  </w:style>
  <w:style w:type="paragraph" w:styleId="138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84" w:customStyle="1">
    <w:name w:val="标题9"/>
    <w:basedOn w:val="991"/>
    <w:uiPriority w:val="0"/>
    <w:qFormat/>
    <w:pPr>
      <w:numPr>
        <w:ilvl w:val="0"/>
        <w:numId w:val="0"/>
      </w:numPr>
      <w:keepLines w:val="0"/>
      <w:keepNext w:val="0"/>
      <w:spacing w:before="0" w:after="0" w:line="360" w:lineRule="auto"/>
    </w:pPr>
    <w:rPr>
      <w:rFonts w:eastAsia="仿宋_GB2312"/>
      <w:sz w:val="30"/>
    </w:rPr>
  </w:style>
  <w:style w:type="paragraph" w:styleId="1385"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8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387" w:customStyle="1">
    <w:name w:val="xl87"/>
    <w:basedOn w:val="746"/>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88"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389" w:customStyle="1">
    <w:name w:val="Char2"/>
    <w:basedOn w:val="746"/>
    <w:uiPriority w:val="0"/>
    <w:qFormat/>
    <w:rPr>
      <w:rFonts w:ascii="仿宋_GB2312" w:eastAsia="仿宋_GB2312"/>
      <w:b/>
      <w:sz w:val="32"/>
      <w:szCs w:val="32"/>
    </w:rPr>
  </w:style>
  <w:style w:type="paragraph" w:styleId="139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91" w:customStyle="1">
    <w:name w:val="xl116"/>
    <w:basedOn w:val="746"/>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92"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393" w:customStyle="1">
    <w:name w:val="xl83"/>
    <w:basedOn w:val="746"/>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395"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96"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97" w:customStyle="1">
    <w:name w:val="xl6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8"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400"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40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402" w:customStyle="1">
    <w:name w:val="正文1"/>
    <w:basedOn w:val="746"/>
    <w:next w:val="746"/>
    <w:uiPriority w:val="0"/>
    <w:qFormat/>
    <w:pPr>
      <w:ind w:left="420"/>
      <w:spacing w:line="300" w:lineRule="auto"/>
      <w:widowControl/>
    </w:pPr>
  </w:style>
  <w:style w:type="character" w:styleId="1403" w:customStyle="1">
    <w:name w:val="fontstyle01"/>
    <w:basedOn w:val="756"/>
    <w:uiPriority w:val="0"/>
    <w:qFormat/>
    <w:rPr>
      <w:rFonts w:ascii="华文仿宋" w:hAnsi="华文仿宋" w:eastAsia="华文仿宋" w:cs="华文仿宋"/>
      <w:color w:val="000000"/>
      <w:sz w:val="16"/>
      <w:szCs w:val="16"/>
    </w:rPr>
  </w:style>
  <w:style w:type="character" w:styleId="1404" w:customStyle="1">
    <w:name w:val="批注框文本 Char1"/>
    <w:basedOn w:val="756"/>
    <w:link w:val="770"/>
    <w:uiPriority w:val="99"/>
    <w:semiHidden/>
    <w:qFormat/>
    <w:rPr>
      <w:rFonts w:ascii="Calibri" w:hAnsi="Calibri"/>
      <w:sz w:val="18"/>
      <w:szCs w:val="18"/>
    </w:rPr>
  </w:style>
  <w:style w:type="character" w:styleId="1405" w:customStyle="1">
    <w:name w:val="批注文字 Char"/>
    <w:basedOn w:val="756"/>
    <w:link w:val="761"/>
    <w:uiPriority w:val="99"/>
    <w:semiHidden/>
    <w:qFormat/>
    <w:rPr>
      <w:rFonts w:ascii="Calibri" w:hAnsi="Calibri"/>
      <w:sz w:val="21"/>
      <w:szCs w:val="22"/>
    </w:rPr>
  </w:style>
  <w:style w:type="character" w:styleId="1406" w:customStyle="1">
    <w:name w:val="批注主题 Char1"/>
    <w:basedOn w:val="1405"/>
    <w:link w:val="783"/>
    <w:uiPriority w:val="99"/>
    <w:semiHidden/>
    <w:qFormat/>
    <w:rPr>
      <w:rFonts w:ascii="Calibri" w:hAnsi="Calibri"/>
      <w:b/>
      <w:bCs/>
      <w:sz w:val="21"/>
      <w:szCs w:val="22"/>
    </w:rPr>
  </w:style>
  <w:style w:type="paragraph" w:styleId="1407"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1408" w:customStyle="1">
    <w:name w:val="表格正文"/>
    <w:basedOn w:val="1324"/>
    <w:uiPriority w:val="0"/>
    <w:qFormat/>
    <w:pPr>
      <w:jc w:val="left"/>
    </w:pPr>
    <w:rPr>
      <w:rFonts w:ascii="宋体" w:hAnsi="宋体" w:eastAsia="宋体"/>
      <w:sz w:val="24"/>
      <w:szCs w:val="24"/>
    </w:rPr>
  </w:style>
  <w:style w:type="paragraph" w:styleId="1409" w:customStyle="1">
    <w:name w:val="正文2"/>
    <w:basedOn w:val="746"/>
    <w:uiPriority w:val="0"/>
    <w:qFormat/>
    <w:pPr>
      <w:ind w:firstLine="420"/>
    </w:pPr>
    <w:rPr>
      <w:rFonts w:ascii="Times New Roman" w:hAnsi="Times New Roman"/>
      <w:sz w:val="28"/>
      <w:szCs w:val="24"/>
    </w:rPr>
  </w:style>
  <w:style w:type="paragraph" w:styleId="1410" w:customStyle="1">
    <w:name w:val="Table Paragraph"/>
    <w:basedOn w:val="746"/>
    <w:uiPriority w:val="1"/>
    <w:qFormat/>
  </w:style>
  <w:style w:type="paragraph" w:styleId="1411" w:customStyle="1">
    <w:name w:val="Body Text First Indent 21"/>
    <w:basedOn w:val="746"/>
    <w:uiPriority w:val="0"/>
    <w:qFormat/>
    <w:pPr>
      <w:ind w:left="200" w:firstLine="420"/>
      <w:spacing w:after="120"/>
    </w:pPr>
    <w:rPr>
      <w:rFonts w:ascii="仿宋_GB2312" w:eastAsia="仿宋_GB2312" w:cs="仿宋_GB2312"/>
      <w:sz w:val="32"/>
      <w:szCs w:val="32"/>
    </w:rPr>
  </w:style>
  <w:style w:type="paragraph" w:styleId="1412" w:customStyle="1">
    <w:name w:val="页脚11"/>
    <w:basedOn w:val="746"/>
    <w:uiPriority w:val="99"/>
    <w:unhideWhenUsed/>
    <w:qFormat/>
    <w:pPr>
      <w:tabs>
        <w:tab w:val="center" w:pos="7143" w:leader="none"/>
        <w:tab w:val="right" w:pos="14287" w:leader="none"/>
      </w:tabs>
    </w:pPr>
  </w:style>
  <w:style w:type="paragraph" w:styleId="1413" w:customStyle="1">
    <w:name w:val="标题 411"/>
    <w:basedOn w:val="746"/>
    <w:next w:val="746"/>
    <w:uiPriority w:val="0"/>
    <w:unhideWhenUsed/>
    <w:qFormat/>
    <w:pPr>
      <w:keepLines/>
      <w:keepNext/>
      <w:spacing w:before="280" w:after="290" w:line="374" w:lineRule="auto"/>
      <w:outlineLvl w:val="3"/>
    </w:pPr>
    <w:rPr>
      <w:rFonts w:ascii="Arial" w:hAnsi="Arial" w:eastAsia="黑体" w:cs="Arial"/>
      <w:b/>
      <w:bCs/>
      <w:sz w:val="28"/>
      <w:szCs w:val="28"/>
    </w:rPr>
  </w:style>
  <w:style w:type="character" w:styleId="1414" w:customStyle="1">
    <w:name w:val="10"/>
    <w:uiPriority w:val="0"/>
    <w:qFormat/>
    <w:rPr>
      <w:rFonts w:ascii="Times New Roman" w:hAnsi="Times New Roman" w:cs="Times New Roman"/>
    </w:rPr>
  </w:style>
  <w:style w:type="character" w:styleId="1415" w:customStyle="1">
    <w:name w:val="active16"/>
    <w:basedOn w:val="756"/>
    <w:uiPriority w:val="0"/>
    <w:qFormat/>
    <w:rPr>
      <w:color w:val="ffffff"/>
      <w:shd w:val="clear" w:color="auto" w:fill="0f5bb9"/>
    </w:rPr>
  </w:style>
  <w:style w:type="character" w:styleId="1416" w:customStyle="1">
    <w:name w:val="active"/>
    <w:basedOn w:val="756"/>
    <w:uiPriority w:val="0"/>
    <w:qFormat/>
    <w:rPr>
      <w:color w:val="ffffff"/>
      <w:shd w:val="clear" w:color="auto" w:fill="0f5bb9"/>
    </w:rPr>
  </w:style>
  <w:style w:type="character" w:styleId="1417" w:customStyle="1">
    <w:name w:val="font31"/>
    <w:basedOn w:val="756"/>
    <w:uiPriority w:val="0"/>
    <w:qFormat/>
    <w:rPr>
      <w:rFonts w:hint="eastAsia" w:ascii="宋体" w:hAnsi="宋体" w:eastAsia="宋体" w:cs="宋体"/>
      <w:color w:val="000000"/>
      <w:sz w:val="24"/>
      <w:szCs w:val="24"/>
      <w:u w:val="none"/>
    </w:rPr>
  </w:style>
  <w:style w:type="paragraph" w:styleId="1418" w:customStyle="1">
    <w:name w:val="修订2"/>
    <w:hidden/>
    <w:uiPriority w:val="99"/>
    <w:unhideWhenUsed/>
    <w:qFormat/>
    <w:rPr>
      <w:rFonts w:hint="default" w:ascii="Calibri" w:hAnsi="Calibri" w:eastAsia="宋体" w:cs="Times New Roman"/>
      <w:sz w:val="21"/>
      <w:szCs w:val="22"/>
      <w:lang w:val="en-US" w:eastAsia="zh-CN" w:bidi="ar-SA"/>
    </w:rPr>
  </w:style>
  <w:style w:type="paragraph" w:styleId="1419" w:customStyle="1">
    <w:name w:val="修订3"/>
    <w:hidden/>
    <w:uiPriority w:val="99"/>
    <w:unhideWhenUsed/>
    <w:qFormat/>
    <w:rPr>
      <w:rFonts w:hint="default" w:ascii="Calibri" w:hAnsi="Calibri" w:eastAsia="宋体" w:cs="Times New Roman"/>
      <w:sz w:val="21"/>
      <w:szCs w:val="22"/>
      <w:lang w:val="en-US" w:eastAsia="zh-CN" w:bidi="ar-SA"/>
    </w:rPr>
  </w:style>
  <w:style w:type="numbering" w:styleId="121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朱小燕</cp:lastModifiedBy>
  <cp:revision>13</cp:revision>
  <dcterms:created xsi:type="dcterms:W3CDTF">2026-05-15T02:02:00Z</dcterms:created>
  <dcterms:modified xsi:type="dcterms:W3CDTF">2026-10-15T01:55:03Z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503F55E8812447798741B620C826625B_13</vt:lpwstr>
  </property>
  <property fmtid="{D5CDD505-2E9C-101B-9397-08002B2CF9AE}" pid="4" name="KSOTemplateDocerSaveRecord">
    <vt:lpwstr>eyJoZGlkIjoiNzc0YzI1NGQ5NzRhM2ZhNTc5MDNkNTgyN2RhM2FlOWUiLCJ1c2VySWQiOiIyNDc4OTg0NzAifQ==</vt:lpwstr>
  </property>
</Properties>
</file>