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8"/>
        <w:ind w:firstLine="319"/>
        <w:rPr>
          <w:rFonts w:asciiTheme="minorEastAsia" w:hAnsiTheme="minorEastAsia" w:eastAsiaTheme="minorEastAsia"/>
          <w:highlight w:val="none"/>
        </w:rPr>
      </w:pPr>
      <w:r/>
      <w:bookmarkStart w:id="657" w:name="_GoBack"/>
      <w:r/>
      <w:r/>
    </w:p>
    <w:p>
      <w:pPr>
        <w:pStyle w:val="1178"/>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91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17"/>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91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1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1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160"/>
          <w:rFonts w:hint="default" w:ascii="宋体" w:hAnsi="宋体" w:eastAsia="宋体"/>
          <w:b/>
          <w:bCs/>
          <w:sz w:val="30"/>
          <w:szCs w:val="30"/>
          <w:highlight w:val="none"/>
          <w:lang w:val="en-US" w:eastAsia="zh-CN"/>
        </w:rPr>
      </w:pPr>
      <w:r>
        <w:rPr>
          <w:rStyle w:val="1160"/>
          <w:rFonts w:ascii="宋体" w:hAnsi="宋体"/>
          <w:b/>
          <w:bCs/>
          <w:sz w:val="30"/>
          <w:szCs w:val="30"/>
          <w:highlight w:val="none"/>
        </w:rPr>
        <w:t xml:space="preserve">项目编号：</w:t>
      </w:r>
      <w:r>
        <w:rPr>
          <w:rStyle w:val="1160"/>
          <w:rFonts w:hint="eastAsia" w:ascii="宋体" w:hAnsi="宋体"/>
          <w:b/>
          <w:bCs/>
          <w:sz w:val="30"/>
          <w:szCs w:val="30"/>
          <w:highlight w:val="none"/>
          <w:lang w:eastAsia="zh-CN"/>
        </w:rPr>
        <w:t xml:space="preserve">JSZC-320321-DSJS-C2026-0003</w:t>
      </w:r>
      <w:r/>
    </w:p>
    <w:p>
      <w:pPr>
        <w:jc w:val="center"/>
        <w:rPr>
          <w:rStyle w:val="1160"/>
          <w:rFonts w:hint="eastAsia" w:ascii="宋体" w:hAnsi="宋体" w:eastAsia="宋体"/>
          <w:b/>
          <w:bCs/>
          <w:sz w:val="30"/>
          <w:szCs w:val="30"/>
          <w:highlight w:val="none"/>
          <w:lang w:eastAsia="zh-CN"/>
        </w:rPr>
      </w:pPr>
      <w:r>
        <w:rPr>
          <w:rStyle w:val="1160"/>
          <w:rFonts w:ascii="宋体" w:hAnsi="宋体"/>
          <w:b/>
          <w:bCs/>
          <w:sz w:val="30"/>
          <w:szCs w:val="30"/>
          <w:highlight w:val="none"/>
        </w:rPr>
        <w:t xml:space="preserve">项目名称：</w:t>
      </w:r>
      <w:r>
        <w:rPr>
          <w:rStyle w:val="1160"/>
          <w:rFonts w:hint="eastAsia" w:ascii="宋体" w:hAnsi="宋体"/>
          <w:b/>
          <w:bCs/>
          <w:sz w:val="30"/>
          <w:szCs w:val="30"/>
          <w:highlight w:val="none"/>
          <w:lang w:eastAsia="zh-CN"/>
        </w:rPr>
        <w:t xml:space="preserve">2026年丰县梁寨镇大棚建设与光伏设备安装工程</w:t>
      </w:r>
      <w:r/>
    </w:p>
    <w:p>
      <w:pPr>
        <w:jc w:val="center"/>
        <w:rPr>
          <w:rStyle w:val="1160"/>
          <w:rFonts w:hint="eastAsia" w:eastAsia="宋体"/>
          <w:sz w:val="30"/>
          <w:szCs w:val="30"/>
          <w:highlight w:val="none"/>
          <w:lang w:eastAsia="zh-CN"/>
        </w:rPr>
      </w:pPr>
      <w:r>
        <w:rPr>
          <w:rStyle w:val="1160"/>
          <w:rFonts w:ascii="宋体" w:hAnsi="宋体"/>
          <w:b/>
          <w:bCs/>
          <w:sz w:val="30"/>
          <w:szCs w:val="30"/>
          <w:highlight w:val="none"/>
        </w:rPr>
        <w:t xml:space="preserve">采购人：</w:t>
      </w:r>
      <w:r>
        <w:rPr>
          <w:rFonts w:hint="eastAsia" w:cs="华文中宋"/>
          <w:b/>
          <w:bCs/>
          <w:sz w:val="32"/>
          <w:szCs w:val="32"/>
          <w:highlight w:val="none"/>
          <w:lang w:eastAsia="zh-CN"/>
        </w:rPr>
        <w:t xml:space="preserve">丰县梁寨镇人民政府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917"/>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160"/>
          <w:rFonts w:hint="eastAsia" w:ascii="宋体" w:hAnsi="宋体" w:eastAsia="宋体"/>
          <w:sz w:val="30"/>
          <w:szCs w:val="30"/>
          <w:highlight w:val="none"/>
          <w:lang w:eastAsia="zh-CN"/>
        </w:rPr>
      </w:pPr>
      <w:r>
        <w:rPr>
          <w:rStyle w:val="1160"/>
          <w:rFonts w:hint="eastAsia" w:ascii="宋体" w:hAnsi="宋体"/>
          <w:b/>
          <w:bCs/>
          <w:sz w:val="30"/>
          <w:szCs w:val="30"/>
          <w:highlight w:val="none"/>
          <w:lang w:val="en-US" w:eastAsia="zh-CN"/>
        </w:rPr>
        <w:t xml:space="preserve">采购</w:t>
      </w:r>
      <w:r>
        <w:rPr>
          <w:rStyle w:val="1160"/>
          <w:rFonts w:ascii="宋体" w:hAnsi="宋体"/>
          <w:b/>
          <w:bCs/>
          <w:sz w:val="30"/>
          <w:szCs w:val="30"/>
          <w:highlight w:val="none"/>
        </w:rPr>
        <w:t xml:space="preserve">代理机构：</w:t>
      </w:r>
      <w:r>
        <w:rPr>
          <w:rStyle w:val="1160"/>
          <w:rFonts w:hint="eastAsia" w:ascii="宋体" w:hAnsi="宋体"/>
          <w:b/>
          <w:bCs/>
          <w:sz w:val="30"/>
          <w:szCs w:val="30"/>
          <w:highlight w:val="none"/>
          <w:lang w:eastAsia="zh-CN"/>
        </w:rPr>
        <w:t xml:space="preserve">江苏大设建设有限公司</w:t>
      </w:r>
      <w:r/>
    </w:p>
    <w:p>
      <w:pPr>
        <w:jc w:val="center"/>
        <w:rPr>
          <w:rStyle w:val="1160"/>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160"/>
          <w:rFonts w:ascii="宋体" w:hAnsi="宋体"/>
          <w:b/>
          <w:bCs/>
          <w:sz w:val="30"/>
          <w:szCs w:val="30"/>
          <w:highlight w:val="none"/>
        </w:rPr>
        <w:t xml:space="preserve">二</w:t>
      </w:r>
      <w:r>
        <w:rPr>
          <w:b/>
          <w:bCs/>
          <w:sz w:val="32"/>
          <w:szCs w:val="32"/>
          <w:highlight w:val="none"/>
        </w:rPr>
        <w:t xml:space="preserve">〇</w:t>
      </w:r>
      <w:r>
        <w:rPr>
          <w:rStyle w:val="1160"/>
          <w:rFonts w:ascii="宋体" w:hAnsi="宋体"/>
          <w:b/>
          <w:bCs/>
          <w:sz w:val="30"/>
          <w:szCs w:val="30"/>
          <w:highlight w:val="none"/>
        </w:rPr>
        <w:t xml:space="preserve">二</w:t>
      </w:r>
      <w:r>
        <w:rPr>
          <w:rStyle w:val="1160"/>
          <w:rFonts w:hint="eastAsia" w:ascii="宋体" w:hAnsi="宋体"/>
          <w:b/>
          <w:bCs/>
          <w:sz w:val="30"/>
          <w:szCs w:val="30"/>
          <w:highlight w:val="none"/>
          <w:lang w:val="en-US" w:eastAsia="zh-CN"/>
        </w:rPr>
        <w:t xml:space="preserve">六</w:t>
      </w:r>
      <w:r>
        <w:rPr>
          <w:rStyle w:val="1160"/>
          <w:rFonts w:ascii="宋体" w:hAnsi="宋体"/>
          <w:b/>
          <w:bCs/>
          <w:sz w:val="30"/>
          <w:szCs w:val="30"/>
          <w:highlight w:val="none"/>
        </w:rPr>
        <w:t xml:space="preserve">年</w:t>
      </w:r>
      <w:r>
        <w:rPr>
          <w:rStyle w:val="1160"/>
          <w:rFonts w:hint="eastAsia" w:ascii="宋体" w:hAnsi="宋体"/>
          <w:b/>
          <w:bCs/>
          <w:sz w:val="30"/>
          <w:szCs w:val="30"/>
          <w:highlight w:val="none"/>
          <w:lang w:val="en-US" w:eastAsia="zh-CN"/>
        </w:rPr>
        <w:t xml:space="preserve">十一</w:t>
      </w:r>
      <w:r>
        <w:rPr>
          <w:rStyle w:val="1160"/>
          <w:rFonts w:hint="eastAsia" w:ascii="宋体" w:hAnsi="宋体"/>
          <w:b/>
          <w:bCs/>
          <w:sz w:val="30"/>
          <w:szCs w:val="30"/>
          <w:highlight w:val="none"/>
        </w:rPr>
        <w:t xml:space="preserve">月</w:t>
      </w:r>
      <w:r/>
    </w:p>
    <w:p>
      <w:pPr>
        <w:pStyle w:val="939"/>
        <w:rPr>
          <w:highlight w:val="none"/>
        </w:rPr>
      </w:pPr>
      <w:r>
        <w:rPr>
          <w:highlight w:val="none"/>
        </w:rPr>
      </w:r>
      <w:r/>
    </w:p>
    <w:p>
      <w:pPr>
        <w:pStyle w:val="881"/>
        <w:jc w:val="center"/>
        <w:rPr>
          <w:highlight w:val="none"/>
        </w:rPr>
      </w:pPr>
      <w:r>
        <w:rPr>
          <w:sz w:val="36"/>
          <w:szCs w:val="36"/>
          <w:highlight w:val="none"/>
        </w:rPr>
        <w:t xml:space="preserve">竞争性磋商文件</w:t>
      </w:r>
      <w:r/>
    </w:p>
    <w:p>
      <w:pPr>
        <w:pStyle w:val="881"/>
        <w:jc w:val="center"/>
        <w:rPr>
          <w:sz w:val="24"/>
          <w:szCs w:val="24"/>
          <w:highlight w:val="none"/>
        </w:rPr>
      </w:pPr>
      <w:r>
        <w:rPr>
          <w:sz w:val="24"/>
          <w:szCs w:val="24"/>
          <w:highlight w:val="none"/>
        </w:rPr>
      </w:r>
      <w:r/>
    </w:p>
    <w:p>
      <w:pPr>
        <w:pStyle w:val="881"/>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JSZC-320321-DSJS-C2026-0003</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u w:val="single"/>
          <w:lang w:val="en-US" w:eastAsia="zh-CN"/>
        </w:rPr>
      </w:pPr>
      <w:r/>
      <w:bookmarkStart w:id="0" w:name="_Toc13194"/>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2026年丰县梁寨镇大棚建设与光伏设备安装工程</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881"/>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丰县梁寨镇人民政府</w:t>
      </w:r>
      <w:r/>
    </w:p>
    <w:p>
      <w:pPr>
        <w:pStyle w:val="881"/>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2026年丰县梁寨镇大棚建设与光伏设备安装工程</w:t>
      </w:r>
      <w:r/>
    </w:p>
    <w:p>
      <w:pPr>
        <w:pStyle w:val="881"/>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JSZC-320321-DSJS-C2026-0003</w:t>
      </w:r>
      <w:r/>
    </w:p>
    <w:p>
      <w:pPr>
        <w:pStyle w:val="881"/>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881"/>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881"/>
        <w:ind w:firstLine="480"/>
        <w:spacing w:line="460" w:lineRule="exact"/>
        <w:rPr>
          <w:b w:val="0"/>
          <w:sz w:val="24"/>
          <w:highlight w:val="none"/>
        </w:rPr>
      </w:pPr>
      <w:r>
        <w:rPr>
          <w:sz w:val="24"/>
          <w:highlight w:val="none"/>
        </w:rPr>
        <w:t xml:space="preserve">六、供应商资格条件：</w:t>
      </w:r>
      <w:r/>
    </w:p>
    <w:p>
      <w:pPr>
        <w:pStyle w:val="881"/>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881"/>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881"/>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同时具</w:t>
      </w:r>
      <w:r>
        <w:rPr>
          <w:rFonts w:hint="eastAsia" w:cs="Times New Roman"/>
          <w:b/>
          <w:sz w:val="24"/>
          <w:highlight w:val="none"/>
          <w:lang w:val="en-US" w:eastAsia="zh-CN" w:bidi="en-US"/>
        </w:rPr>
        <w:t xml:space="preserve">备</w:t>
      </w:r>
      <w:r>
        <w:rPr>
          <w:rFonts w:hint="eastAsia" w:ascii="Times New Roman" w:hAnsi="Times New Roman" w:eastAsia="宋体" w:cs="Times New Roman"/>
          <w:b/>
          <w:sz w:val="24"/>
          <w:highlight w:val="none"/>
          <w:lang w:val="en-US" w:eastAsia="zh-CN" w:bidi="en-US"/>
        </w:rPr>
        <w:t xml:space="preserve">电力工程施工总承包叁级（含）以上资质或输变电工程专业承包叁级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以上资质和承装（修、试）电力设施许可证伍级（含）以上资质；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具</w:t>
      </w:r>
      <w:r>
        <w:rPr>
          <w:rFonts w:hint="eastAsia" w:cs="Times New Roman"/>
          <w:b/>
          <w:sz w:val="24"/>
          <w:highlight w:val="none"/>
          <w:lang w:val="en-US" w:eastAsia="zh-CN" w:bidi="en-US"/>
        </w:rPr>
        <w:t xml:space="preserve">备</w:t>
      </w:r>
      <w:r>
        <w:rPr>
          <w:rFonts w:hint="eastAsia" w:ascii="Times New Roman" w:hAnsi="Times New Roman" w:eastAsia="宋体" w:cs="Times New Roman"/>
          <w:b/>
          <w:sz w:val="24"/>
          <w:highlight w:val="none"/>
          <w:lang w:val="en-US" w:eastAsia="zh-CN" w:bidi="en-US"/>
        </w:rPr>
        <w:t xml:space="preserve">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w:t>
      </w:r>
      <w:r>
        <w:rPr>
          <w:rFonts w:hint="eastAsia" w:cs="Times New Roman"/>
          <w:b/>
          <w:sz w:val="24"/>
          <w:highlight w:val="none"/>
          <w:lang w:val="en-US" w:eastAsia="zh-CN" w:bidi="en-US"/>
        </w:rPr>
        <w:t xml:space="preserve">供应商拟选派</w:t>
      </w:r>
      <w:r>
        <w:rPr>
          <w:rFonts w:hint="eastAsia" w:ascii="Times New Roman" w:hAnsi="Times New Roman" w:eastAsia="宋体" w:cs="Times New Roman"/>
          <w:b/>
          <w:sz w:val="24"/>
          <w:highlight w:val="none"/>
          <w:lang w:val="en-US" w:eastAsia="zh-CN" w:bidi="en-US"/>
        </w:rPr>
        <w:t xml:space="preserve">项目负责人具有机电工程专业贰级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881"/>
        <w:ind w:firstLine="482"/>
        <w:spacing w:line="460" w:lineRule="exact"/>
        <w:rPr>
          <w:rFonts w:hint="eastAsia"/>
          <w:b/>
          <w:bCs w:val="0"/>
          <w:sz w:val="24"/>
          <w:highlight w:val="none"/>
        </w:rPr>
      </w:pPr>
      <w:r>
        <w:rPr>
          <w:rFonts w:hint="eastAsia"/>
          <w:b/>
          <w:bCs w:val="0"/>
          <w:sz w:val="24"/>
          <w:highlight w:val="none"/>
        </w:rPr>
        <w:t xml:space="preserve">说明：</w:t>
      </w:r>
      <w:r/>
    </w:p>
    <w:p>
      <w:pPr>
        <w:pStyle w:val="881"/>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881"/>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881"/>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881"/>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881"/>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881"/>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881"/>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881"/>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881"/>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881"/>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881"/>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881"/>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881"/>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881"/>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1"/>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881"/>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81"/>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881"/>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881"/>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6</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881"/>
        <w:ind w:firstLine="480"/>
        <w:spacing w:line="400" w:lineRule="exact"/>
        <w:rPr>
          <w:b w:val="0"/>
          <w:sz w:val="24"/>
          <w:highlight w:val="none"/>
        </w:rPr>
      </w:pPr>
      <w:r>
        <w:rPr>
          <w:sz w:val="24"/>
          <w:highlight w:val="none"/>
        </w:rPr>
        <w:t xml:space="preserve">十、报价要求：</w:t>
      </w:r>
      <w:r/>
    </w:p>
    <w:p>
      <w:pPr>
        <w:pStyle w:val="881"/>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81"/>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881"/>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w:t>
      </w:r>
      <w:r>
        <w:rPr>
          <w:rFonts w:hint="eastAsia"/>
          <w:b w:val="0"/>
          <w:bCs/>
          <w:sz w:val="24"/>
          <w:highlight w:val="none"/>
          <w:lang w:val="en-US" w:eastAsia="zh-CN"/>
        </w:rPr>
        <w:t xml:space="preserve">已</w:t>
      </w:r>
      <w:r>
        <w:rPr>
          <w:rFonts w:hint="eastAsia"/>
          <w:b w:val="0"/>
          <w:bCs/>
          <w:sz w:val="24"/>
          <w:highlight w:val="none"/>
        </w:rPr>
        <w:t xml:space="preserve">包括在本项目的报价中而不予支付。采购人不支付报价以外的任何费用。</w:t>
      </w:r>
      <w:r/>
    </w:p>
    <w:p>
      <w:pPr>
        <w:pStyle w:val="881"/>
        <w:ind w:firstLine="480"/>
        <w:spacing w:line="460" w:lineRule="exact"/>
        <w:rPr>
          <w:rFonts w:hint="eastAsia"/>
          <w:b w:val="0"/>
          <w:bCs/>
          <w:sz w:val="24"/>
          <w:highlight w:val="none"/>
        </w:rPr>
      </w:pPr>
      <w:r>
        <w:rPr>
          <w:rFonts w:hint="eastAsia"/>
          <w:b w:val="0"/>
          <w:bCs/>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 磋商保证金</w:t>
      </w:r>
      <w:r/>
    </w:p>
    <w:p>
      <w:pPr>
        <w:ind w:firstLine="480"/>
        <w:jc w:val="both"/>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十一、供应商提交磋商保证金</w:t>
      </w:r>
      <w:r/>
    </w:p>
    <w:p>
      <w:pPr>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1、磋商保证金交纳数额和形式：不需交纳。</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881"/>
        <w:ind w:firstLine="480"/>
        <w:spacing w:line="460" w:lineRule="exact"/>
        <w:rPr>
          <w:color w:val="000000"/>
          <w:sz w:val="24"/>
          <w:highlight w:val="none"/>
        </w:rPr>
      </w:pPr>
      <w:r>
        <w:rPr>
          <w:color w:val="000000"/>
          <w:sz w:val="24"/>
          <w:highlight w:val="none"/>
        </w:rPr>
        <w:t xml:space="preserve">十</w:t>
      </w:r>
      <w:r>
        <w:rPr>
          <w:rFonts w:hint="eastAsia"/>
          <w:color w:val="000000"/>
          <w:sz w:val="24"/>
          <w:highlight w:val="none"/>
          <w:lang w:val="en-US" w:eastAsia="zh-CN"/>
        </w:rPr>
        <w:t xml:space="preserve">二</w:t>
      </w:r>
      <w:r>
        <w:rPr>
          <w:color w:val="000000"/>
          <w:sz w:val="24"/>
          <w:highlight w:val="none"/>
        </w:rPr>
        <w:t xml:space="preserve">、提交响应文件要求</w:t>
      </w:r>
      <w:r/>
    </w:p>
    <w:p>
      <w:pPr>
        <w:ind w:firstLine="480"/>
        <w:jc w:val="both"/>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（一）</w:t>
      </w:r>
      <w:r>
        <w:rPr>
          <w:rFonts w:hint="eastAsia" w:ascii="宋体" w:hAnsi="宋体" w:eastAsia="宋体" w:cs="Times New Roman"/>
          <w:bCs/>
          <w:color w:val="000000"/>
          <w:sz w:val="24"/>
          <w:szCs w:val="24"/>
          <w:highlight w:val="none"/>
          <w:lang w:val="en-US" w:eastAsia="zh-CN" w:bidi="ar-SA"/>
        </w:rPr>
        <w:t xml:space="preserve">本项目通过“苏采云”系统进行电子采购，即供应商响应文件从政府采购客户端工具制作并通过“苏采云”系统提交。</w:t>
      </w:r>
      <w:r/>
    </w:p>
    <w:p>
      <w:pPr>
        <w:ind w:firstLine="480"/>
        <w:jc w:val="both"/>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widowControl w:val="off"/>
        <w:rPr>
          <w:rFonts w:hint="default"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使用需要第三方认证的电子签名、数据电文，通过互联网方式提交首次响应文件。即：使用“电子签名认证证书（CA数字证书）”登录“苏采云”系统（网址：https://jszfcg.jsczt.cn/jszc/login/；或进入徐州政府采购网（网址：https://czj.xz.gov.cn/zfcg/index.html）--业务工作--用户登录，点击“苏采云”进入系统），按照要求通过互联网方式提交首次响应文件。</w:t>
      </w:r>
      <w:r/>
    </w:p>
    <w:p>
      <w:pPr>
        <w:ind w:firstLine="482"/>
        <w:jc w:val="both"/>
        <w:spacing w:line="360" w:lineRule="auto"/>
        <w:rPr>
          <w:rFonts w:hint="default" w:ascii="宋体" w:hAnsi="宋体" w:eastAsia="宋体" w:cs="Times New Roman"/>
          <w:b w:val="0"/>
          <w:bCs/>
          <w:color w:val="000000"/>
          <w:sz w:val="24"/>
          <w:highlight w:val="none"/>
          <w:lang w:val="en-US" w:eastAsia="zh-CN" w:bidi="ar-SA"/>
        </w:rPr>
      </w:pPr>
      <w:r>
        <w:rPr>
          <w:rFonts w:hint="default" w:ascii="宋体" w:hAnsi="宋体" w:eastAsia="宋体" w:cs="Times New Roman"/>
          <w:b w:val="0"/>
          <w:bCs/>
          <w:color w:val="000000"/>
          <w:sz w:val="24"/>
          <w:highlight w:val="none"/>
          <w:lang w:val="en-US" w:eastAsia="zh-CN" w:bidi="ar-SA"/>
        </w:rPr>
        <w:t xml:space="preserve">“苏采云”系统使用要求：</w:t>
      </w:r>
      <w:r/>
    </w:p>
    <w:p>
      <w:pPr>
        <w:ind w:firstLine="480"/>
        <w:jc w:val="both"/>
        <w:spacing w:line="360" w:lineRule="auto"/>
        <w:rPr>
          <w:rFonts w:hint="default" w:ascii="宋体" w:hAnsi="宋体" w:eastAsia="宋体" w:cs="Times New Roman"/>
          <w:b w:val="0"/>
          <w:bCs/>
          <w:color w:val="000000"/>
          <w:sz w:val="24"/>
          <w:highlight w:val="none"/>
          <w:lang w:val="en-US" w:eastAsia="zh-CN" w:bidi="ar-SA"/>
        </w:rPr>
      </w:pPr>
      <w:r>
        <w:rPr>
          <w:rFonts w:hint="default" w:ascii="宋体" w:hAnsi="宋体" w:eastAsia="宋体" w:cs="Times New Roman"/>
          <w:b w:val="0"/>
          <w:bCs/>
          <w:color w:val="000000"/>
          <w:sz w:val="24"/>
          <w:highlight w:val="none"/>
          <w:lang w:val="en-US" w:eastAsia="zh-CN" w:bidi="ar-SA"/>
        </w:rPr>
        <w:t xml:space="preserve">1、使用谷歌浏览器参与不见面开标及磋商环节。</w:t>
      </w:r>
      <w:r/>
    </w:p>
    <w:p>
      <w:pPr>
        <w:ind w:firstLine="480"/>
        <w:jc w:val="both"/>
        <w:spacing w:line="360" w:lineRule="auto"/>
        <w:rPr>
          <w:rFonts w:hint="default" w:ascii="宋体" w:hAnsi="宋体" w:eastAsia="宋体" w:cs="Times New Roman"/>
          <w:b w:val="0"/>
          <w:bCs/>
          <w:color w:val="000000"/>
          <w:sz w:val="24"/>
          <w:highlight w:val="none"/>
          <w:lang w:val="en-US" w:eastAsia="zh-CN" w:bidi="ar-SA"/>
        </w:rPr>
      </w:pPr>
      <w:r>
        <w:rPr>
          <w:rFonts w:hint="default" w:ascii="宋体" w:hAnsi="宋体" w:eastAsia="宋体" w:cs="Times New Roman"/>
          <w:b w:val="0"/>
          <w:bCs/>
          <w:color w:val="000000"/>
          <w:sz w:val="24"/>
          <w:highlight w:val="none"/>
          <w:lang w:val="en-US" w:eastAsia="zh-CN" w:bidi="ar-SA"/>
        </w:rPr>
        <w:t xml:space="preserve">2、电脑需提前准备好麦克风、音响，摄像头，提前检查保证能够正常使用。</w:t>
      </w:r>
      <w:r/>
    </w:p>
    <w:p>
      <w:pPr>
        <w:ind w:firstLine="480"/>
        <w:jc w:val="both"/>
        <w:spacing w:line="360" w:lineRule="auto"/>
        <w:rPr>
          <w:rFonts w:hint="default" w:ascii="宋体" w:hAnsi="宋体" w:eastAsia="宋体" w:cs="Times New Roman"/>
          <w:b w:val="0"/>
          <w:bCs/>
          <w:color w:val="000000"/>
          <w:sz w:val="24"/>
          <w:highlight w:val="none"/>
          <w:lang w:val="en-US" w:eastAsia="zh-CN" w:bidi="ar-SA"/>
        </w:rPr>
      </w:pPr>
      <w:r>
        <w:rPr>
          <w:rFonts w:hint="default" w:ascii="宋体" w:hAnsi="宋体" w:eastAsia="宋体" w:cs="Times New Roman"/>
          <w:b w:val="0"/>
          <w:bCs/>
          <w:color w:val="000000"/>
          <w:sz w:val="24"/>
          <w:highlight w:val="none"/>
          <w:lang w:val="en-US" w:eastAsia="zh-CN" w:bidi="ar-SA"/>
        </w:rPr>
        <w:t xml:space="preserve">3、操作系统至少win7以上，建议使用win10操作系统。</w:t>
      </w:r>
      <w:r/>
    </w:p>
    <w:p>
      <w:pPr>
        <w:pStyle w:val="881"/>
        <w:ind w:firstLine="48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2026年11月16日09:30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881"/>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881"/>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881"/>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2026年11月16日09:30</w:t>
      </w:r>
      <w:r>
        <w:rPr>
          <w:rFonts w:hint="eastAsia"/>
          <w:b/>
          <w:bCs w:val="0"/>
          <w:color w:val="000000"/>
          <w:sz w:val="24"/>
          <w:highlight w:val="none"/>
        </w:rPr>
        <w:t xml:space="preserve">）前。</w:t>
      </w:r>
      <w:r/>
    </w:p>
    <w:p>
      <w:pPr>
        <w:pStyle w:val="881"/>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“苏采云”系统（网址：</w:t>
      </w:r>
      <w:r>
        <w:rPr>
          <w:rFonts w:hint="eastAsia" w:ascii="宋体" w:hAnsi="宋体" w:eastAsia="宋体" w:cs="Times New Roman"/>
          <w:color w:val="000000"/>
          <w:sz w:val="24"/>
          <w:highlight w:val="none"/>
          <w:lang w:val="en-US" w:eastAsia="zh-CN" w:bidi="ar-SA"/>
        </w:rPr>
        <w:t xml:space="preserve">https://jszfcg.jsczt.cn/jszc/login/</w:t>
      </w:r>
      <w:r>
        <w:rPr>
          <w:rFonts w:hint="default" w:ascii="宋体" w:hAnsi="宋体" w:eastAsia="宋体" w:cs="Times New Roman"/>
          <w:color w:val="000000"/>
          <w:sz w:val="24"/>
          <w:highlight w:val="none"/>
          <w:lang w:val="en-US" w:eastAsia="zh-CN" w:bidi="ar-SA"/>
        </w:rPr>
        <w:t xml:space="preserve">）“开标大厅”或进入徐州政府采购网（网址：</w:t>
      </w:r>
      <w:r>
        <w:rPr>
          <w:rFonts w:hint="eastAsia" w:ascii="宋体" w:hAnsi="宋体" w:eastAsia="宋体" w:cs="Times New Roman"/>
          <w:color w:val="000000"/>
          <w:sz w:val="24"/>
          <w:highlight w:val="none"/>
          <w:lang w:val="en-US" w:eastAsia="zh-CN" w:bidi="ar-SA"/>
        </w:rPr>
        <w:t xml:space="preserve">https://czj.xz.gov.cn/zfcg/index.html</w:t>
      </w:r>
      <w:r>
        <w:rPr>
          <w:rFonts w:hint="default" w:ascii="宋体" w:hAnsi="宋体" w:eastAsia="宋体" w:cs="Times New Roman"/>
          <w:color w:val="000000"/>
          <w:sz w:val="24"/>
          <w:highlight w:val="none"/>
          <w:lang w:val="en-US" w:eastAsia="zh-CN" w:bidi="ar-SA"/>
        </w:rPr>
        <w:t xml:space="preserve">）-业务工作-用户登录，点击“苏采云”进入系统“开标大厅”。 </w:t>
      </w:r>
      <w:r/>
    </w:p>
    <w:p>
      <w:pPr>
        <w:pStyle w:val="881"/>
        <w:ind w:firstLine="48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2026年11月16日09:30</w:t>
      </w:r>
      <w:r>
        <w:rPr>
          <w:rFonts w:hint="eastAsia"/>
          <w:b/>
          <w:bCs w:val="0"/>
          <w:color w:val="000000"/>
          <w:sz w:val="24"/>
          <w:highlight w:val="none"/>
        </w:rPr>
        <w:t xml:space="preserve">。</w:t>
      </w:r>
      <w:r/>
    </w:p>
    <w:p>
      <w:pPr>
        <w:pStyle w:val="881"/>
        <w:ind w:firstLine="48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“苏采云”系统（网址：</w:t>
      </w:r>
      <w:r>
        <w:rPr>
          <w:rFonts w:hint="eastAsia" w:ascii="宋体" w:hAnsi="宋体" w:eastAsia="宋体" w:cs="Times New Roman"/>
          <w:color w:val="000000"/>
          <w:sz w:val="24"/>
          <w:highlight w:val="none"/>
          <w:lang w:val="en-US" w:eastAsia="zh-CN" w:bidi="ar-SA"/>
        </w:rPr>
        <w:t xml:space="preserve">https://jszfcg.jsczt.cn/jszc/login/</w:t>
      </w:r>
      <w:r>
        <w:rPr>
          <w:rFonts w:hint="default" w:ascii="宋体" w:hAnsi="宋体" w:eastAsia="宋体" w:cs="Times New Roman"/>
          <w:color w:val="000000"/>
          <w:sz w:val="24"/>
          <w:highlight w:val="none"/>
          <w:lang w:val="en-US" w:eastAsia="zh-CN" w:bidi="ar-SA"/>
        </w:rPr>
        <w:t xml:space="preserve">）“开标大厅”或进入徐州政府采购网（网址：</w:t>
      </w:r>
      <w:r>
        <w:rPr>
          <w:rFonts w:hint="eastAsia" w:ascii="宋体" w:hAnsi="宋体" w:eastAsia="宋体" w:cs="Times New Roman"/>
          <w:color w:val="000000"/>
          <w:sz w:val="24"/>
          <w:highlight w:val="none"/>
          <w:lang w:val="en-US" w:eastAsia="zh-CN" w:bidi="ar-SA"/>
        </w:rPr>
        <w:t xml:space="preserve">https://czj.xz.gov.cn/zfcg/index.html</w:t>
      </w:r>
      <w:r>
        <w:rPr>
          <w:rFonts w:hint="default" w:ascii="宋体" w:hAnsi="宋体" w:eastAsia="宋体" w:cs="Times New Roman"/>
          <w:color w:val="000000"/>
          <w:sz w:val="24"/>
          <w:highlight w:val="none"/>
          <w:lang w:val="en-US" w:eastAsia="zh-CN" w:bidi="ar-SA"/>
        </w:rPr>
        <w:t xml:space="preserve">）-业务工作-用户登录，点击“苏采云”进入系统“开标大厅”。 </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（七）不接受不按要求加盖公章（电子签章）的首次响应文件。电子签章相关要求见“苏采云”系统。</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bCs/>
          <w:color w:val="000000"/>
          <w:sz w:val="24"/>
          <w:highlight w:val="none"/>
          <w:lang w:val="en-US" w:eastAsia="zh-CN" w:bidi="ar-SA"/>
        </w:rPr>
        <w:t xml:space="preserve">（八）首次响应文件解密：到达开启时间，</w:t>
      </w:r>
      <w:r>
        <w:rPr>
          <w:rFonts w:hint="default" w:ascii="宋体" w:hAnsi="宋体" w:eastAsia="宋体" w:cs="Times New Roman"/>
          <w:color w:val="000000"/>
          <w:sz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default" w:ascii="宋体" w:hAnsi="宋体" w:eastAsia="宋体" w:cs="Times New Roman"/>
          <w:b/>
          <w:bCs/>
          <w:color w:val="000000"/>
          <w:sz w:val="24"/>
          <w:highlight w:val="none"/>
          <w:lang w:val="en-US" w:eastAsia="zh-CN" w:bidi="ar-SA"/>
        </w:rPr>
        <w:t xml:space="preserve">开启时间后30分钟内</w:t>
      </w:r>
      <w:r>
        <w:rPr>
          <w:rFonts w:hint="default" w:ascii="宋体" w:hAnsi="宋体" w:eastAsia="宋体" w:cs="Times New Roman"/>
          <w:color w:val="000000"/>
          <w:sz w:val="24"/>
          <w:highlight w:val="none"/>
          <w:lang w:val="en-US" w:eastAsia="zh-CN" w:bidi="ar-SA"/>
        </w:rPr>
        <w:t xml:space="preserve">，通过“苏采云”系统（使用“CA数字证书”）解密。</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（九）采购文件（后缀名为“.kedt”）、供应商操作手册及政府采购客户端工具可通过“苏采云”系统（网址：</w:t>
      </w:r>
      <w:r>
        <w:rPr>
          <w:rFonts w:hint="default" w:ascii="宋体" w:hAnsi="宋体" w:eastAsia="宋体" w:cs="Times New Roman"/>
          <w:color w:val="000000"/>
          <w:sz w:val="24"/>
          <w:highlight w:val="none"/>
          <w:lang w:val="en-US" w:eastAsia="zh-CN" w:bidi="ar-SA"/>
        </w:rPr>
        <w:fldChar w:fldCharType="begin"/>
      </w:r>
      <w:r>
        <w:rPr>
          <w:rFonts w:hint="default" w:ascii="宋体" w:hAnsi="宋体" w:eastAsia="宋体" w:cs="Times New Roman"/>
          <w:color w:val="000000"/>
          <w:sz w:val="24"/>
          <w:highlight w:val="none"/>
          <w:lang w:val="en-US" w:eastAsia="zh-CN" w:bidi="ar-SA"/>
        </w:rPr>
        <w:instrText xml:space="preserve">HYPERLINK "http://jszfcg.jsczt.cn/"</w:instrText>
      </w:r>
      <w:r>
        <w:rPr>
          <w:rFonts w:hint="default" w:ascii="宋体" w:hAnsi="宋体" w:eastAsia="宋体" w:cs="Times New Roman"/>
          <w:color w:val="000000"/>
          <w:sz w:val="24"/>
          <w:highlight w:val="none"/>
          <w:lang w:val="en-US" w:eastAsia="zh-CN" w:bidi="ar-SA"/>
        </w:rPr>
        <w:fldChar w:fldCharType="separate"/>
      </w:r>
      <w:r>
        <w:rPr>
          <w:rFonts w:hint="eastAsia" w:ascii="宋体" w:hAnsi="宋体" w:eastAsia="宋体" w:cs="Times New Roman"/>
          <w:color w:val="000000"/>
          <w:sz w:val="24"/>
          <w:highlight w:val="none"/>
          <w:lang w:val="en-US" w:eastAsia="zh-CN" w:bidi="ar-SA"/>
        </w:rPr>
        <w:t xml:space="preserve">https://jszfcg.jsczt.cn/jszc/login</w:t>
      </w:r>
      <w:r>
        <w:rPr>
          <w:rFonts w:hint="default" w:ascii="宋体" w:hAnsi="宋体" w:eastAsia="宋体" w:cs="Times New Roman"/>
          <w:color w:val="000000"/>
          <w:sz w:val="24"/>
          <w:highlight w:val="none"/>
          <w:lang w:val="en-US" w:eastAsia="zh-CN" w:bidi="ar-SA"/>
        </w:rPr>
        <w:t xml:space="preserve">/</w:t>
      </w:r>
      <w:r>
        <w:rPr>
          <w:rFonts w:hint="default" w:ascii="宋体" w:hAnsi="宋体" w:eastAsia="宋体" w:cs="Times New Roman"/>
          <w:color w:val="000000"/>
          <w:sz w:val="24"/>
          <w:highlight w:val="none"/>
          <w:lang w:val="en-US" w:eastAsia="zh-CN" w:bidi="ar-SA"/>
        </w:rPr>
        <w:fldChar w:fldCharType="end"/>
      </w:r>
      <w:r>
        <w:rPr>
          <w:rFonts w:hint="default" w:ascii="宋体" w:hAnsi="宋体" w:eastAsia="宋体" w:cs="Times New Roman"/>
          <w:color w:val="000000"/>
          <w:sz w:val="24"/>
          <w:highlight w:val="none"/>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line="360" w:lineRule="auto"/>
        <w:rPr>
          <w:rFonts w:hint="eastAsia"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（十）相关说明: 供应商在“苏采云”系统中提交首次响应文件的时间即为数据电文（响应文件，下同）的发送时间和接收时间。</w:t>
      </w:r>
      <w:r/>
    </w:p>
    <w:p>
      <w:pPr>
        <w:pStyle w:val="881"/>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三</w:t>
      </w:r>
      <w:r>
        <w:rPr>
          <w:b/>
          <w:bCs w:val="0"/>
          <w:color w:val="000000"/>
          <w:sz w:val="24"/>
          <w:highlight w:val="none"/>
        </w:rPr>
        <w:t xml:space="preserve">、响应文件编制要求</w:t>
      </w:r>
      <w:r/>
    </w:p>
    <w:p>
      <w:pPr>
        <w:pStyle w:val="881"/>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881"/>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881"/>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881"/>
        <w:ind w:firstLine="480"/>
        <w:spacing w:line="460" w:lineRule="exact"/>
        <w:rPr>
          <w:rFonts w:hint="eastAsia"/>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81"/>
        <w:ind w:firstLine="480"/>
        <w:spacing w:line="460" w:lineRule="exact"/>
        <w:rPr>
          <w:rFonts w:hint="eastAsia" w:eastAsia="宋体"/>
          <w:b w:val="0"/>
          <w:bCs/>
          <w:sz w:val="24"/>
          <w:highlight w:val="none"/>
          <w:lang w:val="en-US" w:eastAsia="zh-CN"/>
        </w:rPr>
      </w:pPr>
      <w:r>
        <w:rPr>
          <w:rFonts w:hint="eastAsia"/>
          <w:b w:val="0"/>
          <w:bCs/>
          <w:sz w:val="24"/>
          <w:highlight w:val="none"/>
          <w:lang w:val="en-US" w:eastAsia="zh-CN"/>
        </w:rPr>
        <w:t xml:space="preserve">3、《关于符合本国产品标准的声明函》（加盖电子签章，格式见《磋商文件》附件）</w:t>
      </w:r>
      <w:r>
        <w:rPr>
          <w:rFonts w:hint="eastAsia"/>
          <w:b/>
          <w:bCs/>
          <w:sz w:val="24"/>
          <w:highlight w:val="none"/>
          <w:lang w:val="en-US" w:eastAsia="zh-CN"/>
        </w:rPr>
        <w:t xml:space="preserve">（请填写完整，如不填写完整或未按要求填写的，视为非本国产品）</w:t>
      </w:r>
      <w:r>
        <w:rPr>
          <w:rFonts w:hint="eastAsia"/>
          <w:b w:val="0"/>
          <w:bCs/>
          <w:sz w:val="24"/>
          <w:highlight w:val="none"/>
          <w:lang w:val="en-US" w:eastAsia="zh-CN"/>
        </w:rPr>
        <w:t xml:space="preserve">）。</w:t>
      </w:r>
      <w:r/>
    </w:p>
    <w:p>
      <w:pPr>
        <w:pStyle w:val="881"/>
        <w:ind w:firstLine="480"/>
        <w:spacing w:line="460" w:lineRule="exact"/>
        <w:rPr>
          <w:b w:val="0"/>
          <w:bCs/>
          <w:sz w:val="24"/>
          <w:highlight w:val="none"/>
        </w:rPr>
      </w:pPr>
      <w:r>
        <w:rPr>
          <w:rFonts w:hint="eastAsia"/>
          <w:b w:val="0"/>
          <w:bCs/>
          <w:sz w:val="24"/>
          <w:highlight w:val="none"/>
          <w:lang w:val="en-US" w:eastAsia="zh-CN"/>
        </w:rPr>
        <w:t xml:space="preserve">4</w:t>
      </w:r>
      <w:r>
        <w:rPr>
          <w:rFonts w:hint="eastAsia"/>
          <w:b w:val="0"/>
          <w:bCs/>
          <w:sz w:val="24"/>
          <w:highlight w:val="none"/>
        </w:rPr>
        <w:t xml:space="preserve">、供应商认为需要提供的其他资料的扫描件（如有）。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885"/>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hAnsi="宋体" w:cs="宋体"/>
          <w:sz w:val="24"/>
          <w:szCs w:val="24"/>
          <w:highlight w:val="none"/>
          <w:lang w:val="en-US" w:eastAsia="zh-CN"/>
        </w:rPr>
        <w:t xml:space="preserve">时间</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w:t>
      </w:r>
      <w:r>
        <w:rPr>
          <w:rFonts w:hint="eastAsia" w:hAnsi="宋体" w:cs="宋体"/>
          <w:sz w:val="24"/>
          <w:szCs w:val="24"/>
          <w:highlight w:val="none"/>
          <w:lang w:val="en-US" w:eastAsia="zh-CN"/>
        </w:rPr>
        <w:t xml:space="preserve">上一</w:t>
      </w:r>
      <w:r>
        <w:rPr>
          <w:rFonts w:hint="eastAsia" w:ascii="宋体" w:hAnsi="宋体" w:cs="宋体"/>
          <w:sz w:val="24"/>
          <w:szCs w:val="24"/>
          <w:highlight w:val="none"/>
          <w:lang w:eastAsia="zh-CN"/>
        </w:rPr>
        <w:t xml:space="preserve">年度财务审计报告；</w:t>
      </w:r>
      <w:r/>
    </w:p>
    <w:p>
      <w:pPr>
        <w:pStyle w:val="886"/>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w:t>
      </w:r>
      <w:r>
        <w:rPr>
          <w:rFonts w:hint="eastAsia" w:ascii="宋体" w:hAnsi="宋体" w:cs="宋体"/>
          <w:sz w:val="24"/>
          <w:highlight w:val="none"/>
          <w:lang w:val="en-US" w:eastAsia="zh-CN"/>
        </w:rPr>
        <w:t xml:space="preserve">时间</w:t>
      </w:r>
      <w:r>
        <w:rPr>
          <w:rFonts w:hint="eastAsia" w:ascii="宋体" w:hAnsi="宋体" w:cs="宋体"/>
          <w:sz w:val="24"/>
          <w:highlight w:val="none"/>
        </w:rPr>
        <w:t xml:space="preserve">（不含“首次响应文件提交的截止时间”当月）的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881"/>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供应商同时具</w:t>
      </w:r>
      <w:r>
        <w:rPr>
          <w:rFonts w:hint="eastAsia" w:cs="Times New Roman"/>
          <w:b/>
          <w:bCs/>
          <w:sz w:val="24"/>
          <w:highlight w:val="none"/>
          <w:lang w:val="en-US" w:eastAsia="zh-CN"/>
        </w:rPr>
        <w:t xml:space="preserve">备</w:t>
      </w:r>
      <w:r>
        <w:rPr>
          <w:rFonts w:hint="eastAsia" w:ascii="Times New Roman" w:hAnsi="Times New Roman" w:eastAsia="宋体" w:cs="Times New Roman"/>
          <w:b/>
          <w:bCs/>
          <w:sz w:val="24"/>
          <w:highlight w:val="none"/>
          <w:lang w:val="en-US" w:eastAsia="zh-CN"/>
        </w:rPr>
        <w:t xml:space="preserve">电力工程施工总承包叁级（含）以上资质或输变电工程专业承包叁级（含）以上资质和承装（修、试）电力设施许可证伍级（含）以上资质证书扫描件；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拟选派项目负责人（注册建造师）具备机电工程专业贰级（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pStyle w:val="885"/>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885"/>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881"/>
        <w:ind w:firstLine="482"/>
        <w:jc w:val="left"/>
        <w:spacing w:line="312" w:lineRule="auto"/>
        <w:widowControl/>
        <w:rPr>
          <w:rStyle w:val="1160"/>
          <w:rFonts w:hint="eastAsia" w:ascii="宋体" w:hAnsi="宋体" w:eastAsia="宋体" w:cs="宋体"/>
          <w:b/>
          <w:bCs w:val="0"/>
          <w:sz w:val="24"/>
          <w:highlight w:val="none"/>
          <w:lang w:val="en-US" w:eastAsia="zh-CN"/>
        </w:rPr>
      </w:pPr>
      <w:r>
        <w:rPr>
          <w:rStyle w:val="1160"/>
          <w:rFonts w:hint="eastAsia" w:ascii="宋体" w:hAnsi="宋体" w:eastAsia="宋体" w:cs="宋体"/>
          <w:b/>
          <w:bCs w:val="0"/>
          <w:sz w:val="24"/>
          <w:highlight w:val="none"/>
          <w:lang w:val="en-US" w:eastAsia="zh-CN"/>
        </w:rPr>
        <w:t xml:space="preserve">注：中小微企业，应当同时符合以下条件：</w:t>
      </w:r>
      <w:r/>
    </w:p>
    <w:p>
      <w:pPr>
        <w:pStyle w:val="881"/>
        <w:ind w:firstLine="480"/>
        <w:jc w:val="left"/>
        <w:spacing w:line="312" w:lineRule="auto"/>
        <w:widowControl/>
        <w:rPr>
          <w:rStyle w:val="1160"/>
          <w:rFonts w:hint="eastAsia" w:ascii="宋体" w:hAnsi="宋体" w:eastAsia="宋体" w:cs="宋体"/>
          <w:b w:val="0"/>
          <w:bCs/>
          <w:sz w:val="24"/>
          <w:highlight w:val="none"/>
        </w:rPr>
      </w:pPr>
      <w:r>
        <w:rPr>
          <w:rStyle w:val="1160"/>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81"/>
        <w:ind w:firstLine="480"/>
        <w:jc w:val="left"/>
        <w:spacing w:line="312" w:lineRule="auto"/>
        <w:widowControl/>
        <w:rPr>
          <w:rStyle w:val="1160"/>
          <w:rFonts w:hint="eastAsia" w:ascii="宋体" w:hAnsi="宋体" w:eastAsia="宋体" w:cs="宋体"/>
          <w:b w:val="0"/>
          <w:bCs/>
          <w:sz w:val="24"/>
          <w:highlight w:val="none"/>
        </w:rPr>
      </w:pPr>
      <w:r>
        <w:rPr>
          <w:rStyle w:val="1160"/>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81"/>
        <w:ind w:firstLine="480"/>
        <w:jc w:val="left"/>
        <w:spacing w:line="312" w:lineRule="auto"/>
        <w:widowControl/>
        <w:rPr>
          <w:rStyle w:val="1160"/>
          <w:rFonts w:hint="eastAsia" w:ascii="宋体" w:hAnsi="宋体" w:eastAsia="宋体" w:cs="宋体"/>
          <w:b w:val="0"/>
          <w:bCs/>
          <w:sz w:val="24"/>
          <w:highlight w:val="none"/>
        </w:rPr>
      </w:pPr>
      <w:r>
        <w:rPr>
          <w:rStyle w:val="1160"/>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技术规格响应表</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106"/>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2"/>
        </w:numPr>
        <w:ind w:firstLine="480"/>
        <w:spacing w:line="360" w:lineRule="auto"/>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注：</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rPr>
          <w:rFonts w:hint="default" w:ascii="宋体" w:hAnsi="宋体" w:eastAsia="宋体" w:cs="Times New Roman"/>
          <w:color w:val="000000"/>
          <w:sz w:val="24"/>
          <w:highlight w:val="none"/>
          <w:lang w:val="en-US" w:eastAsia="zh-CN" w:bidi="ar-SA"/>
        </w:rPr>
      </w:pPr>
      <w:r>
        <w:rPr>
          <w:rFonts w:hint="default" w:ascii="宋体" w:hAnsi="宋体" w:eastAsia="宋体" w:cs="Times New Roman"/>
          <w:color w:val="000000"/>
          <w:sz w:val="24"/>
          <w:highlight w:val="none"/>
          <w:lang w:val="en-US" w:eastAsia="zh-CN" w:bidi="ar-SA"/>
        </w:rPr>
        <w:t xml:space="preserve">2、采购人索取成交供应商的响应文件，须在双方签订政府采购合同后，由采购代理机构提供给采购人。</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881"/>
        <w:ind w:firstLine="480"/>
        <w:spacing w:line="460" w:lineRule="exact"/>
        <w:rPr>
          <w:rFonts w:ascii="宋体" w:hAnsi="宋体"/>
          <w:b/>
          <w:bCs/>
          <w:sz w:val="24"/>
          <w:highlight w:val="none"/>
        </w:rPr>
      </w:pPr>
      <w:r>
        <w:rPr>
          <w:sz w:val="24"/>
          <w:highlight w:val="none"/>
        </w:rPr>
        <w:t xml:space="preserve">十</w:t>
      </w:r>
      <w:r>
        <w:rPr>
          <w:rFonts w:hint="eastAsia"/>
          <w:sz w:val="24"/>
          <w:highlight w:val="none"/>
          <w:lang w:val="en-US" w:eastAsia="zh-CN"/>
        </w:rPr>
        <w:t xml:space="preserve">四</w:t>
      </w:r>
      <w:r>
        <w:rPr>
          <w:sz w:val="24"/>
          <w:highlight w:val="none"/>
        </w:rPr>
        <w:t xml:space="preserve">、评审程序</w:t>
      </w:r>
      <w:r/>
    </w:p>
    <w:p>
      <w:pPr>
        <w:pStyle w:val="885"/>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885"/>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885"/>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885"/>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885"/>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886"/>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885"/>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885"/>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885"/>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ind w:firstLine="480"/>
        <w:jc w:val="both"/>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十五、评审程序</w:t>
      </w:r>
      <w:r/>
    </w:p>
    <w:p>
      <w:pPr>
        <w:ind w:firstLine="480"/>
        <w:jc w:val="both"/>
        <w:spacing w:line="360" w:lineRule="auto"/>
        <w:rPr>
          <w:rFonts w:hint="default" w:ascii="宋体" w:hAnsi="宋体" w:eastAsia="宋体" w:cs="Times New Roman"/>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w:t>
      </w:r>
      <w:r>
        <w:rPr>
          <w:rFonts w:hint="default" w:ascii="宋体" w:hAnsi="宋体" w:eastAsia="宋体" w:cs="Times New Roman"/>
          <w:color w:val="000000"/>
          <w:sz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Times New Roman"/>
          <w:color w:val="000000"/>
          <w:sz w:val="24"/>
          <w:highlight w:val="none"/>
          <w:lang w:val="en-US" w:eastAsia="zh-CN" w:bidi="ar-SA"/>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Times New Roman"/>
          <w:color w:val="000000"/>
          <w:sz w:val="24"/>
          <w:highlight w:val="none"/>
          <w:lang w:val="en-US" w:eastAsia="zh-CN" w:bidi="ar-SA"/>
        </w:rPr>
        <w:t xml:space="preserve"> 磋商结束后，磋商小组应当要求所有参加磋商的供应商在规定时间内进行最后报价。供应商可按照磋商小组的要求在磋商现场（</w:t>
      </w:r>
      <w:r>
        <w:rPr>
          <w:rFonts w:hint="eastAsia" w:ascii="宋体" w:hAnsi="宋体" w:eastAsia="宋体" w:cs="Times New Roman"/>
          <w:b/>
          <w:bCs/>
          <w:color w:val="000000"/>
          <w:sz w:val="24"/>
          <w:highlight w:val="none"/>
          <w:lang w:val="en-US" w:eastAsia="zh-CN" w:bidi="ar-SA"/>
        </w:rPr>
        <w:t xml:space="preserve">即“苏采云”系统</w:t>
      </w:r>
      <w:r>
        <w:rPr>
          <w:rFonts w:hint="eastAsia" w:ascii="宋体" w:hAnsi="宋体" w:eastAsia="宋体" w:cs="Times New Roman"/>
          <w:b/>
          <w:bCs/>
          <w:color w:val="000000"/>
          <w:sz w:val="24"/>
          <w:szCs w:val="24"/>
          <w:highlight w:val="none"/>
          <w:lang w:val="en-US" w:eastAsia="zh-CN" w:bidi="ar-SA"/>
        </w:rPr>
        <w:t xml:space="preserve">开标大厅</w:t>
      </w:r>
      <w:r>
        <w:rPr>
          <w:rFonts w:hint="eastAsia" w:ascii="宋体" w:hAnsi="宋体" w:eastAsia="宋体" w:cs="Times New Roman"/>
          <w:b/>
          <w:bCs/>
          <w:color w:val="000000"/>
          <w:sz w:val="24"/>
          <w:highlight w:val="none"/>
          <w:lang w:val="en-US" w:eastAsia="zh-CN" w:bidi="ar-SA"/>
        </w:rPr>
        <w:t xml:space="preserve">中</w:t>
      </w:r>
      <w:r>
        <w:rPr>
          <w:rFonts w:hint="eastAsia" w:ascii="宋体" w:hAnsi="宋体" w:eastAsia="宋体" w:cs="Times New Roman"/>
          <w:color w:val="000000"/>
          <w:sz w:val="24"/>
          <w:highlight w:val="none"/>
          <w:lang w:val="en-US" w:eastAsia="zh-CN" w:bidi="ar-SA"/>
        </w:rPr>
        <w:t xml:space="preserve">）进行报价，首轮报价不公开，本项目二次报价为最终报价。</w:t>
      </w:r>
      <w:r/>
    </w:p>
    <w:p>
      <w:pPr>
        <w:ind w:firstLine="480"/>
        <w:jc w:val="both"/>
        <w:spacing w:line="360" w:lineRule="auto"/>
        <w:rPr>
          <w:rFonts w:hint="default" w:ascii="宋体" w:hAnsi="宋体" w:eastAsia="宋体" w:cs="Times New Roman"/>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rPr>
          <w:rFonts w:hint="default" w:ascii="宋体" w:hAnsi="宋体" w:eastAsia="宋体" w:cs="Times New Roman"/>
          <w:color w:val="000000"/>
          <w:sz w:val="24"/>
          <w:highlight w:val="none"/>
          <w:lang w:val="en-US" w:eastAsia="zh-CN" w:bidi="ar-SA"/>
        </w:rPr>
        <w:t xml:space="preserve">磋商小组应当根据综合评分情况，按照评审得分由高到低顺序推荐</w:t>
      </w:r>
      <w:r>
        <w:rPr>
          <w:rFonts w:hint="eastAsia" w:ascii="宋体" w:hAnsi="宋体" w:eastAsia="宋体" w:cs="Times New Roman"/>
          <w:color w:val="000000"/>
          <w:sz w:val="24"/>
          <w:highlight w:val="none"/>
          <w:lang w:val="en-US" w:eastAsia="zh-CN" w:bidi="ar-SA"/>
        </w:rPr>
        <w:t xml:space="preserve">3名</w:t>
      </w:r>
      <w:r>
        <w:rPr>
          <w:rFonts w:hint="default" w:ascii="宋体" w:hAnsi="宋体" w:eastAsia="宋体" w:cs="Times New Roman"/>
          <w:color w:val="000000"/>
          <w:sz w:val="24"/>
          <w:highlight w:val="none"/>
          <w:lang w:val="en-US" w:eastAsia="zh-CN" w:bidi="ar-SA"/>
        </w:rPr>
        <w:t xml:space="preserve">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技术部分</w:t>
      </w:r>
      <w:r>
        <w:rPr>
          <w:rFonts w:hint="eastAsia" w:ascii="宋体" w:hAnsi="宋体" w:eastAsia="宋体" w:cs="Times New Roman"/>
          <w:color w:val="000000"/>
          <w:sz w:val="24"/>
          <w:highlight w:val="none"/>
          <w:lang w:val="en-US" w:eastAsia="zh-CN" w:bidi="ar-SA"/>
        </w:rPr>
        <w:t xml:space="preserve">（得分）</w:t>
      </w:r>
      <w:r>
        <w:rPr>
          <w:rFonts w:hint="default" w:ascii="宋体" w:hAnsi="宋体" w:eastAsia="宋体" w:cs="Times New Roman"/>
          <w:color w:val="000000"/>
          <w:sz w:val="24"/>
          <w:highlight w:val="none"/>
          <w:lang w:val="en-US" w:eastAsia="zh-CN" w:bidi="ar-SA"/>
        </w:rPr>
        <w:t xml:space="preserve">顺序推荐。</w:t>
      </w:r>
      <w:r/>
    </w:p>
    <w:p>
      <w:pPr>
        <w:ind w:firstLine="480"/>
        <w:jc w:val="both"/>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）实施政府采购异常低价审查的有关要求：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关于推动解决政府采购异常低价问题的通知》（财库〔2026〕2号）、徐州市财政局《转发财政部关于推动解决政府采购异常低价问题的通知》（徐财购〔2026〕3号）规定，评审中出现下列情形之一的，评审（评标）委员会应当启动异常低价投标（响应）审查程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firstLine="480"/>
        <w:jc w:val="both"/>
        <w:spacing w:line="360" w:lineRule="auto"/>
        <w:rPr>
          <w:rFonts w:hint="default" w:ascii="宋体" w:hAnsi="宋体" w:eastAsia="宋体" w:cs="Times New Roman"/>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ascii="宋体" w:hAnsi="宋体" w:eastAsia="宋体" w:cs="Times New Roman"/>
          <w:color w:val="000000"/>
          <w:sz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一）</w:t>
      </w:r>
      <w:r>
        <w:rPr>
          <w:rFonts w:ascii="宋体" w:hAnsi="宋体" w:eastAsia="宋体" w:cs="Times New Roman"/>
          <w:color w:val="000000"/>
          <w:sz w:val="24"/>
          <w:szCs w:val="24"/>
          <w:highlight w:val="none"/>
        </w:rPr>
        <w:t xml:space="preserve">相关内容和要求见：</w:t>
      </w:r>
      <w:r>
        <w:rPr>
          <w:rFonts w:hint="eastAsia" w:ascii="宋体" w:hAnsi="宋体" w:eastAsia="宋体" w:cs="Times New Roman"/>
          <w:color w:val="000000"/>
          <w:sz w:val="24"/>
          <w:szCs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81"/>
        <w:ind w:firstLine="480"/>
        <w:spacing w:line="460" w:lineRule="exact"/>
        <w:rPr>
          <w:b w:val="0"/>
          <w:sz w:val="24"/>
          <w:highlight w:val="none"/>
        </w:rPr>
      </w:pPr>
      <w:r>
        <w:rPr>
          <w:sz w:val="24"/>
          <w:highlight w:val="none"/>
        </w:rPr>
        <w:t xml:space="preserve">十</w:t>
      </w:r>
      <w:r>
        <w:rPr>
          <w:rFonts w:hint="eastAsia"/>
          <w:sz w:val="24"/>
          <w:highlight w:val="none"/>
          <w:lang w:val="en-US" w:eastAsia="zh-CN"/>
        </w:rPr>
        <w:t xml:space="preserve">六</w:t>
      </w:r>
      <w:r>
        <w:rPr>
          <w:sz w:val="24"/>
          <w:highlight w:val="none"/>
        </w:rPr>
        <w:t xml:space="preserve">、评审方法和评审标准</w:t>
      </w:r>
      <w:r/>
    </w:p>
    <w:p>
      <w:pPr>
        <w:pStyle w:val="881"/>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881"/>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881"/>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81"/>
        <w:ind w:firstLine="480"/>
        <w:spacing w:line="460" w:lineRule="exact"/>
        <w:rPr>
          <w:rFonts w:hint="eastAsia" w:ascii="Times New Roman" w:hAnsi="Times New Roman" w:eastAsia="宋体" w:cs="Times New Roman"/>
          <w:b/>
          <w:bCs w:val="0"/>
          <w:sz w:val="24"/>
          <w:highlight w:val="none"/>
          <w:lang w:val="en-US" w:eastAsia="zh-CN" w:bidi="ar-SA"/>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81"/>
        <w:numPr>
          <w:ilvl w:val="0"/>
          <w:numId w:val="0"/>
        </w:numPr>
        <w:ind w:firstLine="480"/>
        <w:spacing w:line="460" w:lineRule="exact"/>
        <w:rPr>
          <w:rFonts w:hint="eastAsia"/>
          <w:b/>
          <w:bCs w:val="0"/>
          <w:sz w:val="24"/>
          <w:highlight w:val="none"/>
        </w:rPr>
      </w:pPr>
      <w:r>
        <w:rPr>
          <w:rFonts w:hint="eastAsia" w:ascii="Times New Roman" w:hAnsi="Times New Roman" w:eastAsia="宋体" w:cs="Times New Roman"/>
          <w:b/>
          <w:bCs w:val="0"/>
          <w:sz w:val="24"/>
          <w:highlight w:val="none"/>
          <w:lang w:val="en-US" w:eastAsia="zh-CN" w:bidi="ar-SA"/>
        </w:rPr>
        <w:t xml:space="preserve">十</w:t>
      </w:r>
      <w:r>
        <w:rPr>
          <w:rFonts w:hint="eastAsia" w:cs="Times New Roman"/>
          <w:b/>
          <w:bCs w:val="0"/>
          <w:sz w:val="24"/>
          <w:highlight w:val="none"/>
          <w:lang w:val="en-US" w:eastAsia="zh-CN" w:bidi="ar-SA"/>
        </w:rPr>
        <w:t xml:space="preserve">七</w:t>
      </w:r>
      <w:r>
        <w:rPr>
          <w:rFonts w:hint="eastAsia" w:ascii="Times New Roman" w:hAnsi="Times New Roman" w:eastAsia="宋体" w:cs="Times New Roman"/>
          <w:b/>
          <w:bCs w:val="0"/>
          <w:sz w:val="24"/>
          <w:highlight w:val="none"/>
          <w:lang w:val="en-US" w:eastAsia="zh-CN" w:bidi="ar-SA"/>
        </w:rPr>
        <w:t xml:space="preserve">、</w:t>
      </w:r>
      <w:r>
        <w:rPr>
          <w:rFonts w:hint="eastAsia"/>
          <w:b/>
          <w:bCs w:val="0"/>
          <w:sz w:val="24"/>
          <w:highlight w:val="none"/>
        </w:rPr>
        <w:t xml:space="preserve">有下列情形之一的，其响应无效：</w:t>
      </w:r>
      <w:r/>
    </w:p>
    <w:p>
      <w:pPr>
        <w:pStyle w:val="881"/>
        <w:ind w:firstLine="480"/>
        <w:spacing w:line="460" w:lineRule="exact"/>
        <w:rPr>
          <w:b w:val="0"/>
          <w:bCs/>
          <w:sz w:val="24"/>
          <w:highlight w:val="none"/>
        </w:rPr>
      </w:pPr>
      <w:r>
        <w:rPr>
          <w:b w:val="0"/>
          <w:bCs/>
          <w:sz w:val="24"/>
          <w:highlight w:val="none"/>
        </w:rPr>
        <w:t xml:space="preserve">1、电子响应文件未按规定期限提交的； </w:t>
      </w:r>
      <w:r/>
    </w:p>
    <w:p>
      <w:pPr>
        <w:pStyle w:val="881"/>
        <w:ind w:firstLine="480"/>
        <w:spacing w:line="460" w:lineRule="exact"/>
        <w:rPr>
          <w:b w:val="0"/>
          <w:bCs/>
          <w:sz w:val="24"/>
          <w:highlight w:val="none"/>
        </w:rPr>
      </w:pPr>
      <w:r>
        <w:rPr>
          <w:b w:val="0"/>
          <w:bCs/>
          <w:sz w:val="24"/>
          <w:highlight w:val="none"/>
        </w:rPr>
        <w:t xml:space="preserve">2、电子响应文件未按磋商文件要求签章的； </w:t>
      </w:r>
      <w:r/>
    </w:p>
    <w:p>
      <w:pPr>
        <w:pStyle w:val="881"/>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881"/>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881"/>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881"/>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881"/>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881"/>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881"/>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881"/>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881"/>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881"/>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881"/>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881"/>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881"/>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881"/>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81"/>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881"/>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881"/>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881"/>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862"/>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881"/>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81"/>
        <w:ind w:firstLine="480"/>
        <w:spacing w:line="460" w:lineRule="exact"/>
        <w:rPr>
          <w:rFonts w:ascii="宋体" w:hAnsi="宋体"/>
          <w:b w:val="0"/>
          <w:bCs/>
          <w:sz w:val="24"/>
          <w:highlight w:val="none"/>
        </w:rPr>
      </w:pPr>
      <w:r>
        <w:rPr>
          <w:rFonts w:hint="eastAsia" w:ascii="宋体" w:hAnsi="宋体"/>
          <w:b w:val="0"/>
          <w:bCs/>
          <w:sz w:val="24"/>
          <w:highlight w:val="none"/>
          <w:lang w:val="en-US" w:eastAsia="zh-CN"/>
        </w:rPr>
        <w:t xml:space="preserve">二十</w:t>
      </w:r>
      <w:r>
        <w:rPr>
          <w:rFonts w:ascii="宋体" w:hAnsi="宋体"/>
          <w:b w:val="0"/>
          <w:bCs/>
          <w:sz w:val="24"/>
          <w:highlight w:val="none"/>
        </w:rPr>
        <w:t xml:space="preserve">、采购人与成交供应商应当在成交通知书发出之日起30</w:t>
      </w:r>
      <w:r>
        <w:rPr>
          <w:rFonts w:hint="eastAsia" w:ascii="宋体" w:hAnsi="宋体"/>
          <w:b w:val="0"/>
          <w:bCs/>
          <w:sz w:val="24"/>
          <w:highlight w:val="none"/>
          <w:lang w:val="en-US" w:eastAsia="zh-CN"/>
        </w:rPr>
        <w:t xml:space="preserve">日</w:t>
      </w:r>
      <w:r>
        <w:rPr>
          <w:rFonts w:ascii="宋体" w:hAnsi="宋体"/>
          <w:b w:val="0"/>
          <w:bCs/>
          <w:sz w:val="24"/>
          <w:highlight w:val="none"/>
        </w:rPr>
        <w:t xml:space="preserve">内，按照《磋商文件》确定的合同文本以及采购标的、规格型号、采购金额、采购数量、技术和服务要求等事项签订政府采购合同。</w:t>
      </w:r>
      <w:r/>
    </w:p>
    <w:p>
      <w:pPr>
        <w:pStyle w:val="881"/>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81"/>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881"/>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881"/>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6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123"/>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123"/>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886"/>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886"/>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886"/>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886"/>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宋焕焕</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18260708947</w:t>
      </w:r>
      <w:r/>
    </w:p>
    <w:p>
      <w:pPr>
        <w:pStyle w:val="886"/>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徐州市丰县欢口镇中山路66号</w:t>
      </w:r>
      <w:r/>
    </w:p>
    <w:p>
      <w:pPr>
        <w:pStyle w:val="886"/>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924"/>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八</w:t>
      </w:r>
      <w:r>
        <w:rPr>
          <w:rFonts w:hint="eastAsia" w:ascii="宋体" w:hAnsi="宋体" w:eastAsia="宋体" w:cs="宋体"/>
          <w:b/>
          <w:bCs/>
          <w:sz w:val="28"/>
          <w:szCs w:val="28"/>
          <w:highlight w:val="none"/>
          <w:lang w:val="en-US" w:eastAsia="zh-CN" w:bidi="ar-SA"/>
        </w:rPr>
        <w:t xml:space="preserve">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88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886"/>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丰县梁寨镇人民政府</w:t>
      </w:r>
      <w:r/>
    </w:p>
    <w:p>
      <w:pPr>
        <w:pStyle w:val="886"/>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丰县梁寨镇人民政府政府驻地</w:t>
      </w:r>
      <w:r/>
    </w:p>
    <w:p>
      <w:pPr>
        <w:pStyle w:val="886"/>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王军华</w:t>
      </w:r>
      <w:r/>
    </w:p>
    <w:p>
      <w:pPr>
        <w:pStyle w:val="886"/>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13775901799</w:t>
      </w:r>
      <w:r/>
    </w:p>
    <w:p>
      <w:pPr>
        <w:pStyle w:val="88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886"/>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江苏大设建设有限公司</w:t>
      </w:r>
      <w:r/>
    </w:p>
    <w:p>
      <w:pPr>
        <w:pStyle w:val="886"/>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徐州市丰县欢口镇中山路66号</w:t>
      </w:r>
      <w:r>
        <w:rPr>
          <w:rFonts w:hint="eastAsia" w:ascii="宋体" w:hAnsi="宋体" w:eastAsia="宋体" w:cs="宋体"/>
          <w:sz w:val="24"/>
          <w:szCs w:val="24"/>
          <w:highlight w:val="none"/>
          <w:lang w:val="en-US" w:eastAsia="zh-CN"/>
        </w:rPr>
        <w:tab/>
      </w:r>
      <w:r/>
    </w:p>
    <w:p>
      <w:pPr>
        <w:pStyle w:val="886"/>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宋焕焕</w:t>
      </w:r>
      <w:r/>
    </w:p>
    <w:p>
      <w:pPr>
        <w:pStyle w:val="886"/>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18260708947</w:t>
      </w:r>
      <w:r/>
    </w:p>
    <w:p>
      <w:pPr>
        <w:pStyle w:val="924"/>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九</w:t>
      </w:r>
      <w:r>
        <w:rPr>
          <w:rFonts w:hint="eastAsia" w:ascii="宋体" w:hAnsi="宋体" w:eastAsia="宋体" w:cs="宋体"/>
          <w:b/>
          <w:bCs/>
          <w:sz w:val="28"/>
          <w:szCs w:val="28"/>
          <w:highlight w:val="none"/>
          <w:lang w:val="en-US" w:eastAsia="zh-CN" w:bidi="ar-SA"/>
        </w:rPr>
        <w:t xml:space="preserve">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886"/>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886"/>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88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83"/>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⑥本国产品应当符合以下条件：</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（一）在中国境内生产</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产品应当在中国境内生产，即在中华人民共和国关境内实现从原材料、组件到产品的属性改变。</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1.为确保产品在运输或者储存期间保持某种状态而进行的操作；</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2.为产品运输或者销售进行的包装或者展示；</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3.在产品或者其包装上粘贴或者印刷品牌、标志、标识以及其他用于区别的标记；</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4.简单的上漆、磨光和分装；</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5.其他不属于属性改变的情形。</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（二）在中国境内生产的组件成本占比达到规定比例</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产品在中国境内生产的组件成本占比应当达到规定比例，计算公式为：</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9"/>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9" o:title=""/>
              </v:shape>
            </w:pict>
          </mc:Fallback>
        </mc:AlternateConten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（三）特定产品的关键组件、关键工序符合相关要求</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2、本国产品标准的适用范围</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3、对本国产品的支持政策</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具体以《国务院办公厅关于在政府采购中实施本国产品标准及相关政策的通知》（国办发〔2025〕34号）规定为准。</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注：中国境内生产的组件成本核算基本规则</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一、产品的一级组件是指直接组成产品的组件。产品的二级组件是指直接组成产品一级组件的组件。一级组件不可分解的，视同二级组件。</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8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三、产品总成本和组件成本以相关会计核算数据、采购合同、进货记录等为基础进行计算。</w:t>
      </w:r>
      <w:r/>
    </w:p>
    <w:p>
      <w:pPr>
        <w:pStyle w:val="883"/>
        <w:numPr>
          <w:ilvl w:val="0"/>
          <w:numId w:val="0"/>
        </w:numPr>
        <w:ind w:firstLine="480"/>
        <w:keepLines w:val="0"/>
        <w:keepNext w:val="0"/>
        <w:pageBreakBefore w:val="0"/>
        <w:spacing w:line="360" w:lineRule="auto"/>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四、需要对成本核算规则予以进一步明确的其他有关事项，由财政部会同有关部门另行规定。</w:t>
      </w:r>
      <w:r/>
    </w:p>
    <w:p>
      <w:pPr>
        <w:pStyle w:val="886"/>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886"/>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88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925"/>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hint="eastAsia" w:ascii="宋体" w:hAnsi="宋体"/>
          <w:sz w:val="24"/>
          <w:highlight w:val="none"/>
          <w:lang w:val="en-US" w:eastAsia="zh-CN"/>
        </w:rPr>
        <w:t xml:space="preserve">《技术规格响应表》</w:t>
      </w:r>
      <w:r/>
    </w:p>
    <w:p>
      <w:pPr>
        <w:pStyle w:val="886"/>
        <w:ind w:firstLine="480"/>
        <w:spacing w:line="360" w:lineRule="auto"/>
        <w:rPr>
          <w:rFonts w:hint="eastAsia"/>
          <w:highlight w:val="none"/>
          <w:lang w:val="en-US" w:eastAsia="zh-CN"/>
        </w:rPr>
      </w:pPr>
      <w:r>
        <w:rPr>
          <w:rFonts w:hint="eastAsia" w:ascii="宋体" w:hAnsi="宋体"/>
          <w:sz w:val="24"/>
          <w:highlight w:val="none"/>
          <w:lang w:val="en-US" w:eastAsia="zh-CN"/>
        </w:rPr>
        <w:t xml:space="preserve">14、</w:t>
      </w:r>
      <w:r>
        <w:rPr>
          <w:rFonts w:hint="eastAsia" w:ascii="宋体" w:hAnsi="宋体"/>
          <w:sz w:val="24"/>
          <w:highlight w:val="none"/>
        </w:rPr>
        <w:t xml:space="preserve">预付款保函支付条款</w:t>
      </w:r>
      <w:r/>
    </w:p>
    <w:p>
      <w:pPr>
        <w:pStyle w:val="886"/>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、招标代理服务费收费标准</w:t>
      </w:r>
      <w:r/>
    </w:p>
    <w:p>
      <w:pPr>
        <w:pStyle w:val="928"/>
        <w:ind w:firstLine="480"/>
        <w:rPr>
          <w:rFonts w:hint="default"/>
          <w:highlight w:val="none"/>
          <w:lang w:val="en-US" w:eastAsia="zh-CN"/>
        </w:rPr>
      </w:pPr>
      <w:r>
        <w:rPr>
          <w:rFonts w:hint="eastAsia" w:ascii="宋体" w:hAnsi="宋体" w:eastAsia="宋体" w:cs="Times New Roman"/>
          <w:sz w:val="24"/>
          <w:highlight w:val="none"/>
          <w:lang w:val="en-US" w:eastAsia="zh-CN"/>
        </w:rPr>
        <w:t xml:space="preserve">16、</w:t>
      </w:r>
      <w:r>
        <w:rPr>
          <w:rFonts w:hint="eastAsia" w:ascii="宋体" w:hAnsi="宋体" w:eastAsia="宋体" w:cs="宋体"/>
          <w:caps w:val="0"/>
          <w:sz w:val="24"/>
          <w:szCs w:val="22"/>
          <w:highlight w:val="none"/>
          <w:lang w:val="en-US" w:eastAsia="zh-CN" w:bidi="ar-SA"/>
        </w:rPr>
        <w:t xml:space="preserve">关于符合本国产品标准的声明函</w:t>
      </w:r>
      <w:r/>
    </w:p>
    <w:p>
      <w:pPr>
        <w:pStyle w:val="886"/>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863"/>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892"/>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918"/>
        <w:tblW w:w="9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8468"/>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8468"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p>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8468"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r>
      <w:tr>
        <w:trPr>
          <w:trHeight w:val="1581"/>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总体施工方案(</w:t>
            </w:r>
            <w:r>
              <w:rPr>
                <w:rFonts w:hint="eastAsia" w:ascii="宋体" w:hAnsi="宋体" w:eastAsia="宋体" w:cs="宋体"/>
                <w:color w:val="000000"/>
                <w:sz w:val="21"/>
                <w:szCs w:val="21"/>
                <w:highlight w:val="none"/>
                <w:shd w:val="clear" w:color="auto" w:fill="auto"/>
                <w:lang w:val="en-US" w:eastAsia="zh-CN"/>
              </w:rPr>
              <w:t xml:space="preserve">10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根据供应商提供的施工方案及工艺方法，从全面性、可行性、针对性进行打分。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3</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3</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3</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3</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10</w:t>
            </w:r>
            <w:r>
              <w:rPr>
                <w:rFonts w:hint="default" w:ascii="宋体" w:hAnsi="宋体" w:eastAsia="宋体" w:cs="宋体"/>
                <w:color w:val="000000"/>
                <w:sz w:val="21"/>
                <w:szCs w:val="21"/>
                <w:highlight w:val="none"/>
                <w:shd w:val="clear" w:color="auto" w:fill="auto"/>
              </w:rPr>
              <w:t xml:space="preserve">分，最低得0分。</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工程进度计划安排及保证措施</w:t>
            </w:r>
            <w:r/>
          </w:p>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根据供应商提供的工程进度计划安排及保证措施，从全面性、可行性、针对性进行打分。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rPr>
              <w:t xml:space="preserve">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施工质量保证措施及目标</w:t>
            </w:r>
            <w:r/>
          </w:p>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分）</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根据供应商提供的施工质量保证措施及目标，从全面性、可行性、针对性进行打分。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lang w:val="en-US" w:eastAsia="zh-CN"/>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lang w:val="en-US" w:eastAsia="zh-CN"/>
              </w:rPr>
              <w:t xml:space="preserve">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安全文明施工保证措施(</w:t>
            </w: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分)</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根据供应商提供的安全文明施工保证措施，从全面性、可行性、针对性进行打分。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rPr>
              <w:t xml:space="preserve">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劳动力、机械设备和材料投入</w:t>
            </w:r>
            <w:r/>
          </w:p>
          <w:p>
            <w:pPr>
              <w:jc w:val="center"/>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rPr>
              <w:t xml:space="preserve">分</w:t>
            </w:r>
            <w:r>
              <w:rPr>
                <w:rFonts w:hint="default" w:ascii="宋体" w:hAnsi="宋体" w:eastAsia="宋体" w:cs="宋体"/>
                <w:color w:val="000000"/>
                <w:sz w:val="21"/>
                <w:szCs w:val="21"/>
                <w:highlight w:val="none"/>
                <w:shd w:val="clear" w:color="auto" w:fill="auto"/>
                <w:lang w:val="en-US" w:eastAsia="zh-CN"/>
              </w:rPr>
              <w:t xml:space="preserve">）</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根据供应商提供的劳动力、机械设备和材料</w:t>
            </w:r>
            <w:r>
              <w:rPr>
                <w:rFonts w:hint="eastAsia" w:ascii="宋体" w:hAnsi="宋体" w:eastAsia="宋体" w:cs="宋体"/>
                <w:color w:val="000000"/>
                <w:sz w:val="21"/>
                <w:szCs w:val="21"/>
                <w:highlight w:val="none"/>
                <w:shd w:val="clear" w:color="auto" w:fill="auto"/>
                <w:lang w:eastAsia="zh-CN"/>
              </w:rPr>
              <w:t xml:space="preserve">投入</w:t>
            </w:r>
            <w:r>
              <w:rPr>
                <w:rFonts w:hint="default" w:ascii="宋体" w:hAnsi="宋体" w:eastAsia="宋体" w:cs="宋体"/>
                <w:color w:val="000000"/>
                <w:sz w:val="21"/>
                <w:szCs w:val="21"/>
                <w:highlight w:val="none"/>
                <w:shd w:val="clear" w:color="auto" w:fill="auto"/>
              </w:rPr>
              <w:t xml:space="preserve">计划及保证措施，从全面性、可行性、针对性进行打分。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rPr>
              <w:t xml:space="preserve">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扬尘污染防治方案</w:t>
            </w:r>
            <w:r/>
          </w:p>
          <w:p>
            <w:pPr>
              <w:jc w:val="center"/>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（6分）</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根据供应商提供的扬尘污染防治方案，从内容的全面性、可行性、针对性进行评价。</w:t>
            </w:r>
            <w:r/>
          </w:p>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方案内容全面具体详实、切实可行、针对性强的，得6分。</w:t>
            </w:r>
            <w:r/>
          </w:p>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方案内容较全面、较可行、针对性较强的，得4分。</w:t>
            </w:r>
            <w:r/>
          </w:p>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方案内容一般、可行性、针对性一般的得2分。</w:t>
            </w:r>
            <w:r/>
          </w:p>
          <w:p>
            <w:pPr>
              <w:jc w:val="both"/>
              <w:spacing w:line="400" w:lineRule="atLeast"/>
              <w:widowControl w:val="off"/>
              <w:rPr>
                <w:rFonts w:hint="eastAsia"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方案内容较差或未提供的得0分。</w:t>
            </w:r>
            <w:r/>
          </w:p>
          <w:p>
            <w:pPr>
              <w:jc w:val="both"/>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本项最高得6分，最低得0分。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项目实施的重点、难点和解决方案（</w:t>
            </w:r>
            <w:r>
              <w:rPr>
                <w:rFonts w:hint="eastAsia" w:ascii="宋体" w:hAnsi="宋体" w:eastAsia="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rPr>
              <w:t xml:space="preserve">分）</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根据供应商提供的</w:t>
            </w:r>
            <w:r>
              <w:rPr>
                <w:rFonts w:hint="eastAsia" w:ascii="宋体" w:hAnsi="宋体" w:eastAsia="宋体" w:cs="宋体"/>
                <w:color w:val="000000"/>
                <w:sz w:val="21"/>
                <w:szCs w:val="21"/>
                <w:highlight w:val="none"/>
                <w:shd w:val="clear" w:color="auto" w:fill="auto"/>
                <w:lang w:eastAsia="zh-CN"/>
              </w:rPr>
              <w:t xml:space="preserve">本项目</w:t>
            </w:r>
            <w:r>
              <w:rPr>
                <w:rFonts w:hint="eastAsia" w:ascii="宋体" w:hAnsi="宋体" w:eastAsia="宋体" w:cs="宋体"/>
                <w:color w:val="000000"/>
                <w:sz w:val="21"/>
                <w:szCs w:val="21"/>
                <w:highlight w:val="none"/>
                <w:shd w:val="clear" w:color="auto" w:fill="auto"/>
              </w:rPr>
              <w:t xml:space="preserve">实施的重点、难点和解决方案</w:t>
            </w:r>
            <w:r>
              <w:rPr>
                <w:rFonts w:hint="default" w:ascii="宋体" w:hAnsi="宋体" w:eastAsia="宋体" w:cs="宋体"/>
                <w:color w:val="000000"/>
                <w:sz w:val="21"/>
                <w:szCs w:val="21"/>
                <w:highlight w:val="none"/>
                <w:shd w:val="clear" w:color="auto" w:fill="auto"/>
              </w:rPr>
              <w:t xml:space="preserve">，从全面性、可行性、针对性进行打分。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全面性（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分）：全面详实的得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分，基本具备的得2分，欠缺的得1分；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可行性（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分）：切实可行的得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分，基本可行的</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分，可行性欠缺的得1分； </w:t>
            </w:r>
            <w:r/>
          </w:p>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针对性（</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分）：针对性强的得</w:t>
            </w:r>
            <w:r>
              <w:rPr>
                <w:rFonts w:hint="eastAsia" w:ascii="宋体" w:hAnsi="宋体" w:eastAsia="宋体" w:cs="宋体"/>
                <w:color w:val="000000"/>
                <w:sz w:val="21"/>
                <w:szCs w:val="21"/>
                <w:highlight w:val="none"/>
                <w:shd w:val="clear" w:color="auto" w:fill="auto"/>
                <w:lang w:val="en-US" w:eastAsia="zh-CN"/>
              </w:rPr>
              <w:t xml:space="preserve">4</w:t>
            </w:r>
            <w:r>
              <w:rPr>
                <w:rFonts w:hint="default" w:ascii="宋体" w:hAnsi="宋体" w:eastAsia="宋体" w:cs="宋体"/>
                <w:color w:val="000000"/>
                <w:sz w:val="21"/>
                <w:szCs w:val="21"/>
                <w:highlight w:val="none"/>
                <w:shd w:val="clear" w:color="auto" w:fill="auto"/>
              </w:rPr>
              <w:t xml:space="preserve">分，针对性一般的得</w:t>
            </w:r>
            <w:r>
              <w:rPr>
                <w:rFonts w:hint="eastAsia" w:ascii="宋体" w:hAnsi="宋体" w:eastAsia="宋体" w:cs="宋体"/>
                <w:color w:val="000000"/>
                <w:sz w:val="21"/>
                <w:szCs w:val="21"/>
                <w:highlight w:val="none"/>
                <w:shd w:val="clear" w:color="auto" w:fill="auto"/>
                <w:lang w:val="en-US" w:eastAsia="zh-CN"/>
              </w:rPr>
              <w:t xml:space="preserve">2</w:t>
            </w:r>
            <w:r>
              <w:rPr>
                <w:rFonts w:hint="default" w:ascii="宋体" w:hAnsi="宋体" w:eastAsia="宋体" w:cs="宋体"/>
                <w:color w:val="000000"/>
                <w:sz w:val="21"/>
                <w:szCs w:val="21"/>
                <w:highlight w:val="none"/>
                <w:shd w:val="clear" w:color="auto" w:fill="auto"/>
              </w:rPr>
              <w:t xml:space="preserve">分，针对性不强的得1分； </w:t>
            </w:r>
            <w:r/>
          </w:p>
          <w:p>
            <w:pPr>
              <w:jc w:val="both"/>
              <w:spacing w:line="400" w:lineRule="atLeast"/>
              <w:widowControl w:val="off"/>
              <w:rPr>
                <w:rFonts w:hint="eastAsia" w:ascii="宋体" w:hAnsi="宋体" w:eastAsia="宋体" w:cs="宋体"/>
                <w:color w:val="000000"/>
                <w:sz w:val="21"/>
                <w:szCs w:val="21"/>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shd w:val="clear" w:color="auto" w:fill="auto"/>
              </w:rPr>
              <w:t xml:space="preserve">未提供的得0分，本项最高得</w:t>
            </w:r>
            <w:r>
              <w:rPr>
                <w:rFonts w:hint="eastAsia" w:ascii="宋体" w:hAnsi="宋体" w:eastAsia="宋体" w:cs="宋体"/>
                <w:color w:val="000000"/>
                <w:sz w:val="21"/>
                <w:szCs w:val="21"/>
                <w:highlight w:val="none"/>
                <w:shd w:val="clear" w:color="auto" w:fill="auto"/>
                <w:lang w:val="en-US" w:eastAsia="zh-CN"/>
              </w:rPr>
              <w:t xml:space="preserve">12</w:t>
            </w:r>
            <w:r>
              <w:rPr>
                <w:rFonts w:hint="default" w:ascii="宋体" w:hAnsi="宋体" w:eastAsia="宋体" w:cs="宋体"/>
                <w:color w:val="000000"/>
                <w:sz w:val="21"/>
                <w:szCs w:val="21"/>
                <w:highlight w:val="none"/>
                <w:shd w:val="clear" w:color="auto" w:fill="auto"/>
              </w:rPr>
              <w:t xml:space="preserve">分，最低得0分。</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供应商业绩（4分）</w:t>
            </w:r>
            <w:r/>
          </w:p>
        </w:tc>
        <w:tc>
          <w:tcPr>
            <w:shd w:val="clear" w:color="auto" w:fill="fefefe"/>
            <w:tcMar>
              <w:left w:w="108" w:type="dxa"/>
              <w:top w:w="0" w:type="dxa"/>
              <w:right w:w="108" w:type="dxa"/>
              <w:bottom w:w="0" w:type="dxa"/>
            </w:tcMar>
            <w:tcW w:w="8468" w:type="dxa"/>
            <w:vAlign w:val="center"/>
            <w:textDirection w:val="lrTb"/>
            <w:noWrap w:val="false"/>
          </w:tcPr>
          <w:p>
            <w:pPr>
              <w:jc w:val="both"/>
              <w:spacing w:line="400" w:lineRule="atLeast"/>
              <w:widowControl w:val="off"/>
              <w:rPr>
                <w:rFonts w:hint="default"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自</w:t>
            </w:r>
            <w:r>
              <w:rPr>
                <w:rFonts w:hint="eastAsia" w:ascii="宋体" w:hAnsi="宋体" w:eastAsia="宋体" w:cs="宋体"/>
                <w:color w:val="000000"/>
                <w:sz w:val="21"/>
                <w:szCs w:val="21"/>
                <w:highlight w:val="none"/>
                <w:shd w:val="clear" w:color="auto" w:fill="auto"/>
                <w:lang w:val="en-US" w:eastAsia="zh-CN"/>
              </w:rPr>
              <w:t xml:space="preserve">2023</w:t>
            </w:r>
            <w:r>
              <w:rPr>
                <w:rFonts w:hint="eastAsia" w:ascii="宋体" w:hAnsi="宋体" w:eastAsia="宋体" w:cs="宋体"/>
                <w:color w:val="000000"/>
                <w:sz w:val="21"/>
                <w:szCs w:val="21"/>
                <w:highlight w:val="none"/>
                <w:shd w:val="clear" w:color="auto" w:fill="auto"/>
              </w:rPr>
              <w:t xml:space="preserve">年</w:t>
            </w:r>
            <w:r>
              <w:rPr>
                <w:rFonts w:hint="eastAsia" w:ascii="宋体" w:hAnsi="宋体" w:cs="宋体"/>
                <w:color w:val="000000"/>
                <w:sz w:val="21"/>
                <w:szCs w:val="21"/>
                <w:highlight w:val="none"/>
                <w:shd w:val="clear" w:color="auto" w:fill="auto"/>
                <w:lang w:val="en-US" w:eastAsia="zh-CN"/>
              </w:rPr>
              <w:t xml:space="preserve">11</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shd w:val="clear" w:color="auto" w:fill="auto"/>
                <w:lang w:val="en-US"/>
              </w:rPr>
              <w:t xml:space="preserve">1</w:t>
            </w:r>
            <w:r>
              <w:rPr>
                <w:rFonts w:hint="eastAsia" w:ascii="宋体" w:hAnsi="宋体" w:eastAsia="宋体" w:cs="宋体"/>
                <w:color w:val="000000"/>
                <w:sz w:val="21"/>
                <w:szCs w:val="21"/>
                <w:highlight w:val="none"/>
                <w:shd w:val="clear" w:color="auto" w:fill="auto"/>
              </w:rPr>
              <w:t xml:space="preserve">日（时间以竣工验收的时间为准）以来供应商承担过</w:t>
            </w:r>
            <w:r>
              <w:rPr>
                <w:rFonts w:hint="eastAsia" w:ascii="宋体" w:hAnsi="宋体" w:eastAsia="宋体" w:cs="宋体"/>
                <w:color w:val="000000"/>
                <w:sz w:val="21"/>
                <w:szCs w:val="21"/>
                <w:highlight w:val="none"/>
                <w:shd w:val="clear" w:color="auto" w:fill="auto"/>
                <w:lang w:val="en-US" w:eastAsia="zh-CN"/>
              </w:rPr>
              <w:t xml:space="preserve">相关</w:t>
            </w:r>
            <w:r>
              <w:rPr>
                <w:rFonts w:hint="eastAsia" w:ascii="宋体" w:hAnsi="宋体" w:eastAsia="宋体" w:cs="宋体"/>
                <w:color w:val="000000"/>
                <w:sz w:val="21"/>
                <w:szCs w:val="21"/>
                <w:highlight w:val="none"/>
                <w:shd w:val="clear" w:color="auto" w:fill="auto"/>
              </w:rPr>
              <w:t xml:space="preserve">业绩，每提供1份</w:t>
            </w:r>
            <w:r>
              <w:rPr>
                <w:rFonts w:hint="eastAsia" w:ascii="宋体" w:hAnsi="宋体" w:eastAsia="宋体" w:cs="宋体"/>
                <w:color w:val="000000"/>
                <w:sz w:val="21"/>
                <w:szCs w:val="21"/>
                <w:highlight w:val="none"/>
                <w:shd w:val="clear" w:color="auto" w:fill="auto"/>
                <w:lang w:eastAsia="zh-CN"/>
              </w:rPr>
              <w:t xml:space="preserve">业绩证明材料</w:t>
            </w:r>
            <w:r>
              <w:rPr>
                <w:rFonts w:hint="eastAsia" w:ascii="宋体" w:hAnsi="宋体" w:eastAsia="宋体" w:cs="宋体"/>
                <w:color w:val="000000"/>
                <w:sz w:val="21"/>
                <w:szCs w:val="21"/>
                <w:highlight w:val="none"/>
                <w:shd w:val="clear" w:color="auto" w:fill="auto"/>
              </w:rPr>
              <w:t xml:space="preserve">得2分，最高4分。</w:t>
            </w:r>
            <w:r/>
          </w:p>
          <w:p>
            <w:pPr>
              <w:jc w:val="both"/>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注：证明材料以</w:t>
            </w:r>
            <w:r>
              <w:rPr>
                <w:rFonts w:hint="eastAsia" w:ascii="宋体" w:hAnsi="宋体" w:eastAsia="宋体" w:cs="宋体"/>
                <w:color w:val="000000"/>
                <w:sz w:val="21"/>
                <w:szCs w:val="21"/>
                <w:highlight w:val="none"/>
                <w:shd w:val="clear" w:color="auto" w:fill="auto"/>
              </w:rPr>
              <w:t xml:space="preserve">合同、竣工验收证明原件的扫描件</w:t>
            </w:r>
            <w:r>
              <w:rPr>
                <w:rFonts w:hint="eastAsia" w:ascii="宋体" w:hAnsi="宋体" w:eastAsia="宋体" w:cs="宋体"/>
                <w:color w:val="000000"/>
                <w:sz w:val="21"/>
                <w:szCs w:val="21"/>
                <w:highlight w:val="none"/>
                <w:shd w:val="clear" w:color="auto" w:fill="auto"/>
                <w:lang w:eastAsia="zh-CN"/>
              </w:rPr>
              <w:t xml:space="preserve">为准</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二</w:t>
            </w:r>
            <w:r>
              <w:rPr>
                <w:rFonts w:hint="eastAsia" w:ascii="宋体" w:hAnsi="宋体" w:eastAsia="宋体" w:cs="宋体"/>
                <w:color w:val="000000"/>
                <w:sz w:val="21"/>
                <w:szCs w:val="21"/>
                <w:highlight w:val="none"/>
                <w:shd w:val="clear" w:color="auto" w:fill="auto"/>
                <w:lang w:eastAsia="zh-CN"/>
              </w:rPr>
              <w:t xml:space="preserve">者缺一不可，否</w:t>
            </w:r>
            <w:r>
              <w:rPr>
                <w:rFonts w:hint="eastAsia" w:ascii="宋体" w:hAnsi="宋体" w:eastAsia="宋体" w:cs="宋体"/>
                <w:color w:val="000000"/>
                <w:sz w:val="21"/>
                <w:szCs w:val="21"/>
                <w:highlight w:val="none"/>
                <w:shd w:val="clear" w:color="auto" w:fill="auto"/>
              </w:rPr>
              <w:t xml:space="preserve">则不得分。</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证明材料</w:t>
            </w:r>
            <w:r>
              <w:rPr>
                <w:rFonts w:hint="eastAsia" w:ascii="宋体" w:hAnsi="宋体" w:eastAsia="宋体" w:cs="宋体"/>
                <w:color w:val="000000"/>
                <w:sz w:val="21"/>
                <w:szCs w:val="21"/>
                <w:highlight w:val="none"/>
                <w:shd w:val="clear" w:color="auto" w:fill="auto"/>
                <w:lang w:eastAsia="zh-CN"/>
              </w:rPr>
              <w:t xml:space="preserve">须</w:t>
            </w:r>
            <w:r>
              <w:rPr>
                <w:rFonts w:hint="eastAsia" w:ascii="宋体" w:hAnsi="宋体" w:eastAsia="宋体" w:cs="宋体"/>
                <w:color w:val="000000"/>
                <w:sz w:val="21"/>
                <w:szCs w:val="21"/>
                <w:highlight w:val="none"/>
                <w:shd w:val="clear" w:color="auto" w:fill="auto"/>
              </w:rPr>
              <w:t xml:space="preserve">加盖供应商电子签章。</w:t>
            </w:r>
            <w:r>
              <w:rPr>
                <w:rFonts w:hint="eastAsia" w:ascii="宋体" w:hAnsi="宋体" w:eastAsia="宋体" w:cs="宋体"/>
                <w:color w:val="000000"/>
                <w:sz w:val="21"/>
                <w:szCs w:val="21"/>
                <w:highlight w:val="none"/>
                <w:shd w:val="clear" w:color="auto" w:fill="auto"/>
                <w:lang w:eastAsia="zh-CN"/>
              </w:rPr>
              <w:t xml:space="preserve">）</w:t>
            </w:r>
            <w:r/>
          </w:p>
        </w:tc>
      </w:tr>
    </w:tbl>
    <w:p>
      <w:pPr>
        <w:pStyle w:val="886"/>
        <w:widowControl w:val="off"/>
        <w:rPr>
          <w:rFonts w:ascii="宋体" w:hAnsi="宋体"/>
          <w:color w:val="auto"/>
          <w:sz w:val="21"/>
          <w:szCs w:val="24"/>
          <w:highlight w:val="none"/>
        </w:rPr>
      </w:pPr>
      <w:r>
        <w:rPr>
          <w:rFonts w:ascii="宋体" w:hAnsi="宋体"/>
          <w:color w:val="auto"/>
          <w:sz w:val="21"/>
          <w:szCs w:val="24"/>
          <w:highlight w:val="none"/>
        </w:rPr>
      </w:r>
      <w:r/>
    </w:p>
    <w:p>
      <w:pPr>
        <w:pStyle w:val="886"/>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909"/>
        <w:rPr>
          <w:rFonts w:hint="eastAsia"/>
          <w:highlight w:val="none"/>
        </w:rPr>
      </w:pPr>
      <w:r>
        <w:rPr>
          <w:rFonts w:hint="eastAsia"/>
          <w:highlight w:val="none"/>
        </w:rPr>
      </w:r>
      <w:r/>
    </w:p>
    <w:p>
      <w:pPr>
        <w:pStyle w:val="877"/>
        <w:rPr>
          <w:rFonts w:hint="eastAsia"/>
          <w:highlight w:val="none"/>
        </w:rPr>
      </w:pPr>
      <w:r>
        <w:rPr>
          <w:rFonts w:hint="eastAsia"/>
          <w:highlight w:val="none"/>
        </w:rPr>
      </w:r>
      <w:r/>
    </w:p>
    <w:p>
      <w:pPr>
        <w:rPr>
          <w:rFonts w:hint="eastAsia"/>
          <w:highlight w:val="none"/>
        </w:rPr>
      </w:pPr>
      <w:r>
        <w:rPr>
          <w:rFonts w:hint="eastAsia"/>
          <w:highlight w:val="none"/>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883"/>
        <w:ind w:firstLine="482"/>
        <w:spacing w:line="360" w:lineRule="auto"/>
        <w:rPr>
          <w:rFonts w:hint="eastAsia" w:ascii="宋体" w:hAnsi="宋体" w:cs="宋体"/>
          <w:b/>
          <w:bCs/>
          <w:sz w:val="24"/>
          <w:szCs w:val="24"/>
          <w:highlight w:val="none"/>
          <w:lang w:val="en-US" w:eastAsia="zh-CN"/>
        </w:rPr>
      </w:pPr>
      <w:r/>
      <w:bookmarkStart w:id="7" w:name="_Toc10140"/>
      <w:r/>
      <w:bookmarkStart w:id="8" w:name="OLE_LINK13"/>
      <w:r/>
      <w:bookmarkStart w:id="9" w:name="_Toc520459881"/>
      <w:r/>
      <w:bookmarkStart w:id="10" w:name="_Toc521664931"/>
      <w:r/>
      <w:bookmarkStart w:id="11" w:name="OLE_LINK14"/>
      <w:r>
        <w:rPr>
          <w:rFonts w:ascii="宋体" w:hAnsi="宋体"/>
          <w:b/>
          <w:sz w:val="24"/>
          <w:highlight w:val="none"/>
        </w:rPr>
        <w:t xml:space="preserve">一</w:t>
      </w:r>
      <w:r>
        <w:rPr>
          <w:rFonts w:hint="eastAsia" w:ascii="宋体" w:hAnsi="宋体"/>
          <w:b/>
          <w:sz w:val="24"/>
          <w:highlight w:val="none"/>
          <w:lang w:eastAsia="zh-CN"/>
        </w:rPr>
        <w:t xml:space="preserve">、</w:t>
      </w:r>
      <w:r>
        <w:rPr>
          <w:rFonts w:hint="eastAsia" w:ascii="宋体" w:hAnsi="宋体" w:cs="宋体"/>
          <w:b/>
          <w:bCs/>
          <w:sz w:val="24"/>
          <w:highlight w:val="none"/>
        </w:rPr>
        <w:t xml:space="preserve">本项目预算金额</w:t>
      </w:r>
      <w:r>
        <w:rPr>
          <w:rFonts w:hint="eastAsia" w:ascii="宋体" w:hAnsi="宋体" w:cs="宋体"/>
          <w:b/>
          <w:bCs/>
          <w:sz w:val="24"/>
          <w:highlight w:val="none"/>
          <w:lang w:val="en-US" w:eastAsia="zh-CN"/>
        </w:rPr>
        <w:t xml:space="preserve">3092782.05元，最高限价2940000.00元，本项目</w:t>
      </w:r>
      <w:r>
        <w:rPr>
          <w:rFonts w:hint="eastAsia" w:ascii="宋体" w:hAnsi="宋体" w:cs="宋体"/>
          <w:b/>
          <w:bCs/>
          <w:sz w:val="24"/>
          <w:highlight w:val="none"/>
        </w:rPr>
        <w:t xml:space="preserve">不接受超过</w:t>
      </w:r>
      <w:r>
        <w:rPr>
          <w:rFonts w:hint="eastAsia" w:ascii="宋体" w:hAnsi="宋体" w:cs="宋体"/>
          <w:b/>
          <w:bCs/>
          <w:sz w:val="24"/>
          <w:highlight w:val="none"/>
          <w:lang w:val="en-US" w:eastAsia="zh-CN"/>
        </w:rPr>
        <w:t xml:space="preserve">最高限价</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1、工程名称：</w:t>
      </w:r>
      <w:r>
        <w:rPr>
          <w:rFonts w:hint="eastAsia" w:cs="Times New Roman"/>
          <w:sz w:val="24"/>
          <w:highlight w:val="none"/>
          <w:lang w:eastAsia="zh-CN"/>
        </w:rPr>
        <w:t xml:space="preserve">2026年丰县梁寨镇大棚建设与光伏设备安装工程</w:t>
      </w:r>
      <w:r>
        <w:rPr>
          <w:rFonts w:ascii="Times New Roman" w:hAnsi="Times New Roman" w:eastAsia="宋体" w:cs="Times New Roman"/>
          <w:sz w:val="24"/>
          <w:highlight w:val="none"/>
        </w:rPr>
        <w:t xml:space="preserve"> </w:t>
      </w:r>
      <w:r/>
    </w:p>
    <w:p>
      <w:pPr>
        <w:ind w:firstLine="480"/>
        <w:spacing w:line="312"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2、建设地点：</w:t>
      </w:r>
      <w:r>
        <w:rPr>
          <w:rFonts w:hint="eastAsia" w:cs="Times New Roman"/>
          <w:sz w:val="24"/>
          <w:highlight w:val="none"/>
          <w:lang w:val="en-US" w:eastAsia="zh-CN"/>
        </w:rPr>
        <w:t xml:space="preserve">丰县梁寨大集</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3、工程标段划分：本招标工程共分</w:t>
      </w:r>
      <w:r>
        <w:rPr>
          <w:rFonts w:hint="eastAsia" w:ascii="Times New Roman" w:hAnsi="Times New Roman" w:eastAsia="宋体" w:cs="Times New Roman"/>
          <w:sz w:val="24"/>
          <w:highlight w:val="none"/>
          <w:lang w:val="en-US" w:eastAsia="zh-CN"/>
        </w:rPr>
        <w:t xml:space="preserve">一</w:t>
      </w:r>
      <w:r>
        <w:rPr>
          <w:rFonts w:hint="eastAsia" w:ascii="Times New Roman" w:hAnsi="Times New Roman" w:eastAsia="宋体" w:cs="Times New Roman"/>
          <w:sz w:val="24"/>
          <w:highlight w:val="none"/>
        </w:rPr>
        <w:t xml:space="preserve">个标段</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  </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4、工程</w:t>
      </w:r>
      <w:r>
        <w:rPr>
          <w:rFonts w:hint="eastAsia" w:ascii="Times New Roman" w:hAnsi="Times New Roman" w:eastAsia="宋体" w:cs="Times New Roman"/>
          <w:sz w:val="24"/>
          <w:highlight w:val="none"/>
          <w:lang w:val="en-US" w:eastAsia="zh-CN"/>
        </w:rPr>
        <w:t xml:space="preserve">内容：本项目为</w:t>
      </w:r>
      <w:r>
        <w:rPr>
          <w:rFonts w:hint="eastAsia" w:cs="Times New Roman"/>
          <w:sz w:val="24"/>
          <w:highlight w:val="none"/>
          <w:lang w:val="en-US" w:eastAsia="zh-CN"/>
        </w:rPr>
        <w:t xml:space="preserve">2026年丰县梁寨镇大棚建设与光伏设备安装工程</w:t>
      </w:r>
      <w:r>
        <w:rPr>
          <w:rFonts w:hint="eastAsia" w:ascii="Times New Roman" w:hAnsi="Times New Roman" w:eastAsia="宋体" w:cs="Times New Roman"/>
          <w:sz w:val="24"/>
          <w:highlight w:val="none"/>
          <w:lang w:val="en-US" w:eastAsia="zh-CN"/>
        </w:rPr>
        <w:t xml:space="preserve">，本工程主要包含太阳能光伏组件安装、轻钢支架安装、电缆敷设、电网对接、接地极安装、2年运维服务等内容，详见工程量清单及图纸所包含的全部内容。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5、现场条件：具备施工条件，施工用水用电自行考虑。</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6、承包方式：</w:t>
      </w:r>
      <w:r>
        <w:rPr>
          <w:rFonts w:hint="eastAsia" w:ascii="Times New Roman" w:hAnsi="Times New Roman" w:eastAsia="宋体" w:cs="Times New Roman"/>
          <w:sz w:val="24"/>
          <w:highlight w:val="none"/>
          <w:lang w:eastAsia="zh-CN"/>
        </w:rPr>
        <w:t xml:space="preserve">施工总承包</w:t>
      </w:r>
      <w:r>
        <w:rPr>
          <w:rFonts w:hint="eastAsia" w:cs="Times New Roman"/>
          <w:sz w:val="24"/>
          <w:highlight w:val="none"/>
          <w:lang w:eastAsia="zh-CN"/>
        </w:rPr>
        <w:t xml:space="preserve">，本项目报价内含提供验收合格后2年内的免费运维服务。</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7、要求质量标准：合格，通过相关部门验收。未达到质量要求的，无法取证的，承包人负责无条件返工，直至达到要求，所发生的费用由承包人承担，承包人还应赔偿因此给发包人造成的损失。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50</w:t>
      </w:r>
      <w:r>
        <w:rPr>
          <w:rFonts w:hint="eastAsia" w:ascii="Times New Roman" w:hAnsi="Times New Roman" w:eastAsia="宋体" w:cs="Times New Roman"/>
          <w:sz w:val="24"/>
          <w:highlight w:val="none"/>
        </w:rPr>
        <w:t xml:space="preserve">日历天。</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11、保修期内乙方的维修或维护响应时间不得超过2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0"/>
        <w:spacing w:line="312" w:lineRule="auto"/>
        <w:rPr>
          <w:rFonts w:hint="eastAsia" w:cs="Times New Roman"/>
          <w:sz w:val="24"/>
          <w:highlight w:val="none"/>
          <w:lang w:val="en-US" w:eastAsia="zh-CN"/>
        </w:rPr>
      </w:pPr>
      <w:r>
        <w:rPr>
          <w:rFonts w:hint="eastAsia" w:cs="Times New Roman"/>
          <w:sz w:val="24"/>
          <w:highlight w:val="none"/>
          <w:lang w:val="en-US" w:eastAsia="zh-CN"/>
        </w:rPr>
        <w:t xml:space="preserve">12、现场勘查：供应商根据自身情况选择是否勘察现场（采购人建议供应商进行勘察现场），供应商根据勘察现场情况结合工程量清单进行报价（供应商自行对现场进行勘察，如有疑问请向现场勘察联系人进行咨询），未到现场勘察，由此出现的问题由供应商自负。供应商自行勘察现场后，图纸设计遗漏、清单漏项和不足、配电房内外所有无法满足接入和运转条件的补充等问题均由供应商自行考虑在报价内，采购人不另行支付费用。</w:t>
      </w:r>
      <w:r/>
    </w:p>
    <w:p>
      <w:pPr>
        <w:numPr>
          <w:ilvl w:val="0"/>
          <w:numId w:val="0"/>
        </w:numPr>
        <w:ind w:left="0" w:right="0" w:firstLine="482"/>
        <w:keepLines w:val="0"/>
        <w:keepNext w:val="0"/>
        <w:spacing w:before="0" w:after="0"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三、工程量清单报价</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(一)  工程量清单详见本项目磋商公告附件。</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(二) 《已标价的工程量清单》报价要求</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1、报价内容</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1.1 响应报价应包括竞争性</w:t>
      </w:r>
      <w:r>
        <w:rPr>
          <w:rFonts w:hint="eastAsia" w:ascii="宋体" w:hAnsi="宋体" w:cs="宋体"/>
          <w:b w:val="0"/>
          <w:bCs w:val="0"/>
          <w:sz w:val="24"/>
          <w:szCs w:val="24"/>
          <w:highlight w:val="none"/>
          <w:lang w:val="en-US" w:eastAsia="zh-CN" w:bidi="ar"/>
        </w:rPr>
        <w:t xml:space="preserve">磋商</w:t>
      </w:r>
      <w:r>
        <w:rPr>
          <w:rFonts w:hint="eastAsia" w:ascii="宋体" w:hAnsi="宋体" w:eastAsia="宋体" w:cs="宋体"/>
          <w:b w:val="0"/>
          <w:bCs w:val="0"/>
          <w:sz w:val="24"/>
          <w:szCs w:val="24"/>
          <w:highlight w:val="none"/>
          <w:lang w:val="en-US" w:eastAsia="zh-CN" w:bidi="ar"/>
        </w:rPr>
        <w:t xml:space="preserve">文件中所确定的范围内工程量清单中所含的全部内容，以及为完成上述内容所需的全部费用。</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注：供应商必须按采购人提供的工程量清单进行报价，否则视为对竞争性招标文件商务条款的实质性偏离。供应商不得修改工程量清单中的分部分项内容及数量，否则视为不响应招标文件。</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1.2 供应商应按采购人提供的工程量清单填报价格。填写的项目名称、项目特征、计量单位、工程量必须与采购人提供的一致。</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1.5 技术参数、项目实施方案所描述的技术措施所发生的费用，视为已体现在供应商报价的非实体性消耗所发生的费用中。</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1.8 垃圾外运，在报价中综合考虑。</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1.10地方关系协调费投标人自行考虑，就此项采购人不支付任何费用。</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1.13 场地障碍物（包括地表、地下及围档增设开口）清除（包含挖填等处理）、场地内的积水处理、周边关系、第三方关系的协调及其它的一切相关配合等均在报价中考虑。</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sz w:val="24"/>
          <w:szCs w:val="22"/>
          <w:highlight w:val="none"/>
          <w:lang w:eastAsia="en-US"/>
        </w:rPr>
        <w:t xml:space="preserve">2、报价方式</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2.1 本工程采用固定单价合同（除另有规定外）。工程量清单项目价款采用单价计价方式，综合单价为不含增值税的税前全费用价格，包括人工费（含社会保险费、住房公积金）、材料费、施工机具使用费、管理费、利润及约定的风险费用。供应商应充分考虑施工期间各类建材的市场风险，并计入总报价，供应商在计算报价时应考虑一定的风险系数。</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2.2 价格风险约定：</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2.2.1 对于法律、法规、规章或有关政策出台导致工程税金、人工费等发生变化的，应按照有关规定执行。</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2.2.2 本工程对物价波动引起的价格风险约定如下</w:t>
      </w:r>
      <w:r>
        <w:rPr>
          <w:rFonts w:hint="eastAsia" w:ascii="Times New Roman" w:hAnsi="Times New Roman" w:eastAsia="宋体" w:cs="Times New Roman"/>
          <w:sz w:val="24"/>
          <w:szCs w:val="20"/>
          <w:highlight w:val="none"/>
          <w:lang w:eastAsia="zh-CN"/>
        </w:rPr>
        <w:t xml:space="preserve">：</w:t>
      </w:r>
      <w:r>
        <w:rPr>
          <w:rFonts w:hint="eastAsia" w:ascii="Cambria" w:hAnsi="Times New Roman" w:eastAsia="宋体" w:cs="Times New Roman"/>
          <w:b w:val="0"/>
          <w:sz w:val="24"/>
          <w:szCs w:val="22"/>
          <w:highlight w:val="none"/>
          <w:lang w:val="en-US" w:eastAsia="zh-CN"/>
        </w:rPr>
        <w:t xml:space="preserve">因本项目工期较短，</w:t>
      </w:r>
      <w:r>
        <w:rPr>
          <w:rFonts w:hint="eastAsia" w:ascii="Times New Roman" w:hAnsi="Times New Roman" w:eastAsia="宋体" w:cs="Times New Roman"/>
          <w:sz w:val="24"/>
          <w:szCs w:val="20"/>
          <w:highlight w:val="none"/>
          <w:lang w:eastAsia="zh-CN"/>
        </w:rPr>
        <w:t xml:space="preserve">供应商应充分考虑施工期间各类建材的市场风险，充分考虑政策性关于人工、机械费用等方面调整，并计入总报价，供应商所填写的单价和合价在合同实施期间不因市场变化因素而变动，结算不再调整</w:t>
      </w:r>
      <w:r>
        <w:rPr>
          <w:rFonts w:hint="eastAsia" w:ascii="Times New Roman" w:hAnsi="Times New Roman" w:eastAsia="宋体" w:cs="Times New Roman"/>
          <w:sz w:val="16"/>
          <w:szCs w:val="16"/>
          <w:highlight w:val="none"/>
          <w:lang w:eastAsia="zh-CN"/>
        </w:rPr>
        <w:t xml:space="preserve">，</w:t>
      </w:r>
      <w:r>
        <w:rPr>
          <w:rFonts w:hint="default" w:ascii="Times New Roman" w:hAnsi="Times New Roman" w:eastAsia="宋体" w:cs="Times New Roman"/>
          <w:sz w:val="21"/>
          <w:szCs w:val="24"/>
          <w:highlight w:val="none"/>
          <w:lang w:eastAsia="zh-CN"/>
        </w:rPr>
        <w:t xml:space="preserve">法律法规及政策性强制调整的，从其规定</w:t>
      </w:r>
      <w:r>
        <w:rPr>
          <w:rFonts w:hint="eastAsia" w:ascii="Times New Roman" w:hAnsi="Times New Roman" w:eastAsia="宋体" w:cs="Times New Roman"/>
          <w:sz w:val="24"/>
          <w:szCs w:val="20"/>
          <w:highlight w:val="none"/>
          <w:lang w:eastAsia="zh-CN"/>
        </w:rPr>
        <w:t xml:space="preserve">。</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sz w:val="24"/>
          <w:szCs w:val="22"/>
          <w:highlight w:val="none"/>
          <w:lang w:eastAsia="en-US"/>
        </w:rPr>
        <w:t xml:space="preserve">3、报价的计价方法</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供应商应在提交响应文件的同时，完整提交与已标价工程量清单中综合单价及合价一致的费用构成明细表，包括分部分项工程项目清单综合单价分析表、措施项目清单构成明细分析表等，相关表格应符合《建设工程工程量清单计价标准》（GB/T 50500-2024）附录E的规定。</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sz w:val="24"/>
          <w:szCs w:val="22"/>
          <w:highlight w:val="none"/>
          <w:lang w:eastAsia="en-US"/>
        </w:rPr>
        <w:t xml:space="preserve">4、报价编制依据及要求</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详见清单，根据工程量清单报价。本工程建筑安装工程费执行现行国家标准《建设工程工程量清单计价标准》（GB/T 50500-2024）及配套工程量计算标准（含《市政工程工程量计算标准》GB/T 50857-2024 等）、《江苏省住房和城乡建设厅关于实施〈建设工程工程量清单计价标准〉（GB/T 50500-2024）及9本工程量计算标准有关事宜的公告》（〔2025〕第</w:t>
      </w:r>
      <w:r>
        <w:rPr>
          <w:rFonts w:hint="default" w:ascii="Times New Roman" w:hAnsi="Times New Roman" w:eastAsia="宋体" w:cs="Times New Roman"/>
          <w:b w:val="0"/>
          <w:sz w:val="24"/>
          <w:szCs w:val="22"/>
          <w:highlight w:val="none"/>
          <w:lang w:eastAsia="en-US"/>
        </w:rPr>
        <w:t xml:space="preserve">12号）、《江苏省建设工程费用组成规则》，并参考《江苏省市政工程计价定额》（2014）、《江苏省建筑与装饰工程计价表》（2014版）、《江苏省安装工程计价表》（2014版）、《江苏省建设工程费用定额》（2014版）及营改增后调整内容（苏建价〔2016〕154号、苏建函价〔2019〕178号）、《企业安全生产费用提取和使用管理办法》（财资〔2022〕136号）、《关于在工程造价中按规定计列建筑业全过程安全生产环保措施费用等使用管理办法的通知》（苏建价〔2022〕136号）等有关文件规定及采购人提供的施工图纸。</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4.1 不可竞争费用：安全生产措施费（单独列项、足额计取，费率不得低于江苏省费用参考下限值，竞标时不得删减让利）和增值税。规费不再单独列项，社会保险费、住房公积金已按江苏省费用组成规则分别计入人工单价和企业管理费。</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4.2 本工程的其他规定：</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4.2.1 最高投标限价编制价格参考2026年第0</w:t>
      </w:r>
      <w:r>
        <w:rPr>
          <w:rFonts w:hint="eastAsia" w:ascii="Times New Roman" w:hAnsi="Times New Roman" w:eastAsia="宋体" w:cs="Times New Roman"/>
          <w:b w:val="0"/>
          <w:sz w:val="24"/>
          <w:szCs w:val="22"/>
          <w:highlight w:val="none"/>
          <w:lang w:val="en-US" w:eastAsia="zh-CN"/>
        </w:rPr>
        <w:t xml:space="preserve">9</w:t>
      </w:r>
      <w:r>
        <w:rPr>
          <w:rFonts w:hint="default" w:ascii="Times New Roman" w:hAnsi="Times New Roman" w:eastAsia="宋体" w:cs="Times New Roman"/>
          <w:b w:val="0"/>
          <w:sz w:val="24"/>
          <w:szCs w:val="22"/>
          <w:highlight w:val="none"/>
          <w:lang w:eastAsia="en-US"/>
        </w:rPr>
        <w:t xml:space="preserve">期《徐州工程造价信息》中的指导价，供应商的材料价格根据市场行情自主报价。</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4.2.2 最高投标限价人工费执行苏建函价〔2026〕</w:t>
      </w:r>
      <w:r>
        <w:rPr>
          <w:rFonts w:hint="eastAsia" w:ascii="Times New Roman" w:hAnsi="Times New Roman" w:eastAsia="宋体" w:cs="Times New Roman"/>
          <w:b w:val="0"/>
          <w:sz w:val="24"/>
          <w:szCs w:val="22"/>
          <w:highlight w:val="none"/>
          <w:lang w:val="en-US" w:eastAsia="zh-CN"/>
        </w:rPr>
        <w:t xml:space="preserve">185</w:t>
      </w:r>
      <w:r>
        <w:rPr>
          <w:rFonts w:hint="default" w:ascii="Times New Roman" w:hAnsi="Times New Roman" w:eastAsia="宋体" w:cs="Times New Roman"/>
          <w:b w:val="0"/>
          <w:sz w:val="24"/>
          <w:szCs w:val="22"/>
          <w:highlight w:val="none"/>
          <w:lang w:eastAsia="en-US"/>
        </w:rPr>
        <w:t xml:space="preserve">号文件。</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4.2.3 暂估价材料的单价由采购人提供，材料单价组成中应包括场外运输与采购保管费。供应商根据该单价计算相应分部分项工程和措施项目的综合单价，并在《分部分项工程项目清单与计价表》（表E.2.1）“其中：材料暂估价”列及《材料暂估单价及调整表》（表E.2.3）中列出暂估材料的数量、单价、合价和汇总价格，该汇总价格不计入其他项目费合计中。</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4.3 建筑安装工程造价的组成：</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4.3.1 分部分项工程费：按现行国家标准《建设工程工程量清单计价标准》（GB/T 50500-2024）及配套工程量计算标准、江苏省上述计价依据及有关文件规定，以工程量乘以不含增值税的税前全费用综合单价计算。</w:t>
      </w:r>
      <w:r/>
    </w:p>
    <w:p>
      <w:pPr>
        <w:ind w:firstLine="480"/>
        <w:jc w:val="left"/>
        <w:keepLines w:val="0"/>
        <w:keepNext w:val="0"/>
        <w:pageBreakBefore w:val="0"/>
        <w:spacing w:before="0" w:after="0" w:line="312" w:lineRule="auto"/>
        <w:widowControl/>
        <w:rPr>
          <w:rFonts w:hint="eastAsia" w:ascii="Times New Roman" w:hAnsi="Times New Roman" w:eastAsia="宋体" w:cs="Times New Roman"/>
          <w:sz w:val="24"/>
          <w:szCs w:val="22"/>
          <w:highlight w:val="none"/>
          <w:lang w:eastAsia="zh-CN"/>
        </w:rPr>
      </w:pPr>
      <w:r>
        <w:rPr>
          <w:rFonts w:hint="default" w:ascii="Times New Roman" w:hAnsi="Times New Roman" w:eastAsia="宋体" w:cs="Times New Roman"/>
          <w:b w:val="0"/>
          <w:sz w:val="24"/>
          <w:szCs w:val="22"/>
          <w:highlight w:val="none"/>
          <w:lang w:eastAsia="en-US"/>
        </w:rPr>
        <w:t xml:space="preserve">4.3.2 措施项目费：措施项目清单以“项”为计量单位。除安全生产措施费外，其它措施项目均由供应商自主报价，其完整性、准确性由供应商负责，结算时不再重新计量</w:t>
      </w:r>
      <w:r>
        <w:rPr>
          <w:rFonts w:hint="eastAsia" w:ascii="Times New Roman" w:hAnsi="Times New Roman" w:eastAsia="宋体" w:cs="Times New Roman"/>
          <w:b w:val="0"/>
          <w:sz w:val="24"/>
          <w:szCs w:val="22"/>
          <w:highlight w:val="none"/>
          <w:lang w:eastAsia="zh-CN"/>
        </w:rPr>
        <w:t xml:space="preserve">。</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eastAsia" w:ascii="Times New Roman" w:hAnsi="Times New Roman" w:eastAsia="宋体" w:cs="Times New Roman"/>
          <w:b w:val="0"/>
          <w:sz w:val="24"/>
          <w:szCs w:val="22"/>
          <w:highlight w:val="none"/>
          <w:lang w:val="en-US" w:eastAsia="zh-CN"/>
        </w:rPr>
        <w:t xml:space="preserve">4.3.3</w:t>
      </w:r>
      <w:r>
        <w:rPr>
          <w:rFonts w:hint="default" w:ascii="Times New Roman" w:hAnsi="Times New Roman" w:eastAsia="宋体" w:cs="Times New Roman"/>
          <w:b w:val="0"/>
          <w:sz w:val="24"/>
          <w:szCs w:val="22"/>
          <w:highlight w:val="none"/>
          <w:lang w:eastAsia="en-US"/>
        </w:rPr>
        <w:t xml:space="preserve">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eastAsia" w:ascii="Times New Roman" w:hAnsi="Times New Roman" w:eastAsia="宋体" w:cs="Times New Roman"/>
          <w:b w:val="0"/>
          <w:sz w:val="24"/>
          <w:szCs w:val="22"/>
          <w:highlight w:val="none"/>
          <w:lang w:val="en-US" w:eastAsia="zh-CN"/>
        </w:rPr>
        <w:t xml:space="preserve">4.3.4</w:t>
      </w:r>
      <w:r>
        <w:rPr>
          <w:rFonts w:hint="default" w:ascii="Times New Roman" w:hAnsi="Times New Roman" w:eastAsia="宋体" w:cs="Times New Roman"/>
          <w:b w:val="0"/>
          <w:sz w:val="24"/>
          <w:szCs w:val="22"/>
          <w:highlight w:val="none"/>
          <w:lang w:eastAsia="en-US"/>
        </w:rPr>
        <w:t xml:space="preserve">检验试验费：因本工程需要所做的全部检验、试验及检测相关费用，由供应商自行考虑风险并计入响应报价中，结算时不予调整。</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4.3.</w:t>
      </w:r>
      <w:r>
        <w:rPr>
          <w:rFonts w:hint="eastAsia" w:ascii="Times New Roman" w:hAnsi="Times New Roman" w:eastAsia="宋体" w:cs="Times New Roman"/>
          <w:b w:val="0"/>
          <w:sz w:val="24"/>
          <w:szCs w:val="22"/>
          <w:highlight w:val="none"/>
          <w:lang w:val="en-US" w:eastAsia="zh-CN"/>
        </w:rPr>
        <w:t xml:space="preserve">5</w:t>
      </w:r>
      <w:r>
        <w:rPr>
          <w:rFonts w:hint="default" w:ascii="Times New Roman" w:hAnsi="Times New Roman" w:eastAsia="宋体" w:cs="Times New Roman"/>
          <w:b w:val="0"/>
          <w:sz w:val="24"/>
          <w:szCs w:val="22"/>
          <w:highlight w:val="none"/>
          <w:lang w:eastAsia="en-US"/>
        </w:rPr>
        <w:t xml:space="preserve"> 其他项目费</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（1）暂列金额：无</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（2）暂估价：本项包括材料（设备）暂估价和专业工程暂估价。</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① 材料（设备）暂估价：暂估价材料的单价由采购人提供，材料单价组成中应包括场外运输与采购保管费。供应商根据该单价计算相应分部分项工程和措施项目的综合单价，并在《分部分项工程项目清单与计价表》（表E.2.1）“其中：材料暂估价”列中列出，暂估价材料汇总价格不计入其他项目费合计中。</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暂估价详见清单《材料（设备）暂估价格表》，结算时根据采购人认可的价格按合同约定调整。</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② 专业工程暂估价（含税）是必然发生但暂时不能确定价格的专业工程。发包人拟单独发包的专业工程，不得以暂估价的形式列入主体工程</w:t>
      </w:r>
      <w:r>
        <w:rPr>
          <w:rFonts w:hint="eastAsia" w:ascii="Times New Roman" w:hAnsi="Times New Roman" w:eastAsia="宋体" w:cs="Times New Roman"/>
          <w:b w:val="0"/>
          <w:sz w:val="24"/>
          <w:szCs w:val="22"/>
          <w:highlight w:val="none"/>
          <w:lang w:eastAsia="zh-CN"/>
        </w:rPr>
        <w:t xml:space="preserve">招标文件</w:t>
      </w:r>
      <w:r>
        <w:rPr>
          <w:rFonts w:hint="default" w:ascii="Times New Roman" w:hAnsi="Times New Roman" w:eastAsia="宋体" w:cs="Times New Roman"/>
          <w:b w:val="0"/>
          <w:sz w:val="24"/>
          <w:szCs w:val="22"/>
          <w:highlight w:val="none"/>
          <w:lang w:eastAsia="en-US"/>
        </w:rPr>
        <w:t xml:space="preserve">的其他项目工程量清单中，发包人应与专业工程承包人另行签订施工合同。专业工程暂估价为含税价格，在计算增值税计税基础时不应包含。</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本工程专业工程及其暂估价为：详见清单《专业工程暂估价格表》</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（3）计日工：按采购人在工程量清单中列明的项目、名称、计量单位和合理暂估数量，由供应商自主确定综合单价报价。</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（4）总承包服务费：本工程不计取。</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4.3.</w:t>
      </w:r>
      <w:r>
        <w:rPr>
          <w:rFonts w:hint="eastAsia" w:ascii="Times New Roman" w:hAnsi="Times New Roman" w:eastAsia="宋体" w:cs="Times New Roman"/>
          <w:b w:val="0"/>
          <w:sz w:val="24"/>
          <w:szCs w:val="22"/>
          <w:highlight w:val="none"/>
          <w:lang w:val="en-US" w:eastAsia="zh-CN"/>
        </w:rPr>
        <w:t xml:space="preserve">6</w:t>
      </w:r>
      <w:r>
        <w:rPr>
          <w:rFonts w:hint="default" w:ascii="Times New Roman" w:hAnsi="Times New Roman" w:eastAsia="宋体" w:cs="Times New Roman"/>
          <w:b w:val="0"/>
          <w:sz w:val="24"/>
          <w:szCs w:val="22"/>
          <w:highlight w:val="none"/>
          <w:lang w:eastAsia="en-US"/>
        </w:rPr>
        <w:t xml:space="preserve">规费：按《建设工程工程量清单计价标准》（GB/T 50500-2024）及《江苏省建设工程费用组成规则》，规费不再单独列项，社会保险费、住房公积金已分别计入人工单价和企业管理费；涉及环境保护税的，按国家税法及有关规定执行。</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4.3.</w:t>
      </w:r>
      <w:r>
        <w:rPr>
          <w:rFonts w:hint="eastAsia" w:ascii="Times New Roman" w:hAnsi="Times New Roman" w:eastAsia="宋体" w:cs="Times New Roman"/>
          <w:b w:val="0"/>
          <w:sz w:val="24"/>
          <w:szCs w:val="22"/>
          <w:highlight w:val="none"/>
          <w:lang w:val="en-US" w:eastAsia="zh-CN"/>
        </w:rPr>
        <w:t xml:space="preserve">7</w:t>
      </w:r>
      <w:r>
        <w:rPr>
          <w:rFonts w:hint="default" w:ascii="Times New Roman" w:hAnsi="Times New Roman" w:eastAsia="宋体" w:cs="Times New Roman"/>
          <w:b w:val="0"/>
          <w:sz w:val="24"/>
          <w:szCs w:val="22"/>
          <w:highlight w:val="none"/>
          <w:lang w:eastAsia="en-US"/>
        </w:rPr>
        <w:t xml:space="preserve"> 增值税：按（分部分项工程费＋措施项目费＋其它项目费－专业工程暂估价－除税甲供材料费－除税甲供设备费）×9%计取。</w:t>
      </w:r>
      <w:r/>
    </w:p>
    <w:p>
      <w:pPr>
        <w:ind w:firstLine="480"/>
        <w:jc w:val="left"/>
        <w:keepLines w:val="0"/>
        <w:keepNext w:val="0"/>
        <w:pageBreakBefore w:val="0"/>
        <w:spacing w:before="0" w:after="0" w:line="312" w:lineRule="auto"/>
        <w:widowControl/>
        <w:rPr>
          <w:rFonts w:hint="default" w:ascii="Times New Roman" w:hAnsi="Times New Roman" w:eastAsia="宋体" w:cs="Times New Roman"/>
          <w:b w:val="0"/>
          <w:bCs/>
          <w:sz w:val="24"/>
          <w:szCs w:val="22"/>
          <w:highlight w:val="none"/>
          <w:lang w:eastAsia="en-US"/>
        </w:rPr>
      </w:pPr>
      <w:r>
        <w:rPr>
          <w:rFonts w:hint="default" w:ascii="Times New Roman" w:hAnsi="Times New Roman" w:eastAsia="宋体" w:cs="Times New Roman"/>
          <w:b w:val="0"/>
          <w:bCs/>
          <w:sz w:val="24"/>
          <w:szCs w:val="22"/>
          <w:highlight w:val="none"/>
          <w:lang w:eastAsia="en-US"/>
        </w:rPr>
        <w:t xml:space="preserve">（三）响应文件要求</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1、首次响应文件中提供《已标价的工程量清单》文件。</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1.1 按照《工程量清单》编制《已标价的工程量清单》。</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1.2 随《已标价的工程量清单》一并提交与综合单价、合价一致的费用构成明细表（综合单价分析表、措施项目清单构成明细分析表等，表格样式符合GB/T 50500-2024附录E）。</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sz w:val="24"/>
          <w:szCs w:val="22"/>
          <w:highlight w:val="none"/>
          <w:lang w:eastAsia="en-US"/>
        </w:rPr>
        <w:t xml:space="preserve">5、项目相关要求：</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5.1 供应商报价时需考虑完成本项目内容所涉及的人工费、材料费、机械费、税费、验收等相关的一切费用。</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5.2 供应商应根据本项目实际情况，合理配置人员，除项目经理外，安全员、质检员、施工员、预算员、材料员等人员应经验丰富，确保项目顺利实施。</w:t>
      </w:r>
      <w:r/>
    </w:p>
    <w:p>
      <w:pPr>
        <w:ind w:firstLine="480"/>
        <w:jc w:val="left"/>
        <w:keepLines w:val="0"/>
        <w:keepNext w:val="0"/>
        <w:pageBreakBefore w:val="0"/>
        <w:spacing w:before="0" w:after="0" w:line="312" w:lineRule="auto"/>
        <w:widowControl/>
        <w:rPr>
          <w:rFonts w:hint="default" w:ascii="Times New Roman" w:hAnsi="Times New Roman" w:eastAsia="宋体" w:cs="Times New Roman"/>
          <w:sz w:val="24"/>
          <w:szCs w:val="22"/>
          <w:highlight w:val="none"/>
          <w:lang w:eastAsia="en-US"/>
        </w:rPr>
      </w:pPr>
      <w:r>
        <w:rPr>
          <w:rFonts w:hint="default" w:ascii="Times New Roman" w:hAnsi="Times New Roman" w:eastAsia="宋体" w:cs="Times New Roman"/>
          <w:b w:val="0"/>
          <w:sz w:val="24"/>
          <w:szCs w:val="22"/>
          <w:highlight w:val="none"/>
          <w:lang w:eastAsia="en-US"/>
        </w:rPr>
        <w:t xml:space="preserve">5.3 供应商对项目现场和周围环境进行实地踏勘，合理编制本项目施工方案，施工方案应至少包含：施工进度计划和各阶段进度的保证措施、施工方案及质量保证措施、安全文明施工及劳动力、机械设备和材料投入计划等。</w:t>
      </w:r>
      <w:r/>
    </w:p>
    <w:p>
      <w:pPr>
        <w:numPr>
          <w:ilvl w:val="0"/>
          <w:numId w:val="0"/>
        </w:numPr>
        <w:ind w:left="0" w:right="0" w:firstLine="482"/>
        <w:keepLines w:val="0"/>
        <w:keepNext w:val="0"/>
        <w:spacing w:before="0" w:after="0"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四、项目相关要求</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2、承包人对工程建设期间扬尘治理工作负主体责任。应制定施工现场扬尘污染防治专项方案，按照承包工程范围做好扬尘污染防治措施的落实。方案必须符合我市关于扬尘管控的相关规定要求。</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numPr>
          <w:ilvl w:val="0"/>
          <w:numId w:val="0"/>
        </w:numPr>
        <w:ind w:left="0" w:right="0" w:firstLine="482"/>
        <w:keepLines w:val="0"/>
        <w:keepNext w:val="0"/>
        <w:spacing w:before="0" w:after="0"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五、服务要求 </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1、质保期服务：执行国家相关标准。质保期外，工程质量出现问题，中标人应主动提供维修方案，只收取材料费。 </w:t>
      </w:r>
      <w:r/>
    </w:p>
    <w:p>
      <w:pPr>
        <w:numPr>
          <w:ilvl w:val="0"/>
          <w:numId w:val="0"/>
        </w:numPr>
        <w:ind w:left="0" w:right="0" w:firstLine="480"/>
        <w:keepLines w:val="0"/>
        <w:keepNext w:val="0"/>
        <w:spacing w:before="0" w:after="0" w:line="360" w:lineRule="auto"/>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2、质保期内，如发生故障，采购人通知成交供应商服务人员时，相关服务人员要在</w:t>
      </w:r>
      <w:r>
        <w:rPr>
          <w:rFonts w:hint="eastAsia" w:ascii="宋体" w:hAnsi="宋体" w:cs="宋体"/>
          <w:b w:val="0"/>
          <w:bCs w:val="0"/>
          <w:sz w:val="24"/>
          <w:szCs w:val="24"/>
          <w:highlight w:val="none"/>
          <w:lang w:val="en-US" w:eastAsia="zh-CN" w:bidi="ar"/>
        </w:rPr>
        <w:t xml:space="preserve">24</w:t>
      </w:r>
      <w:r>
        <w:rPr>
          <w:rFonts w:hint="eastAsia" w:ascii="宋体" w:hAnsi="宋体" w:eastAsia="宋体" w:cs="宋体"/>
          <w:b w:val="0"/>
          <w:bCs w:val="0"/>
          <w:sz w:val="24"/>
          <w:szCs w:val="24"/>
          <w:highlight w:val="none"/>
          <w:lang w:val="en-US" w:eastAsia="zh-CN" w:bidi="ar"/>
        </w:rPr>
        <w:t xml:space="preserve">小时内到达现场配合采购人处理问题，进行更换或进行必要的维修。                                                                                                                                            </w:t>
      </w:r>
      <w:r/>
    </w:p>
    <w:p>
      <w:pPr>
        <w:numPr>
          <w:ilvl w:val="0"/>
          <w:numId w:val="0"/>
        </w:numPr>
        <w:ind w:left="0" w:right="0" w:firstLine="480"/>
        <w:keepLines w:val="0"/>
        <w:keepNext w:val="0"/>
        <w:spacing w:before="0" w:after="0" w:line="360" w:lineRule="auto"/>
        <w:rPr>
          <w:rFonts w:hint="default" w:cs="Times New Roman"/>
          <w:sz w:val="24"/>
          <w:highlight w:val="none"/>
          <w:lang w:val="en-US" w:eastAsia="zh-CN"/>
        </w:rPr>
      </w:pPr>
      <w:r>
        <w:rPr>
          <w:rFonts w:hint="eastAsia" w:ascii="宋体" w:hAnsi="宋体" w:eastAsia="宋体" w:cs="宋体"/>
          <w:b w:val="0"/>
          <w:bCs w:val="0"/>
          <w:sz w:val="24"/>
          <w:szCs w:val="24"/>
          <w:highlight w:val="none"/>
          <w:lang w:val="en-US" w:eastAsia="zh-CN" w:bidi="ar"/>
        </w:rPr>
        <w:t xml:space="preserve">3、供应商需根据本项目特征及自身情况编制施工方案。</w:t>
      </w:r>
      <w:r/>
    </w:p>
    <w:p>
      <w:pPr>
        <w:ind w:firstLine="482"/>
        <w:spacing w:line="312" w:lineRule="auto"/>
        <w:rPr>
          <w:rFonts w:ascii="宋体" w:hAnsi="宋体" w:eastAsia="宋体" w:cs="仿宋"/>
          <w:b/>
          <w:bCs/>
          <w:sz w:val="24"/>
          <w:szCs w:val="24"/>
          <w:highlight w:val="none"/>
          <w:lang w:eastAsia="zh-CN"/>
        </w:rPr>
        <w:outlineLvl w:val="9"/>
      </w:pPr>
      <w:r/>
      <w:bookmarkStart w:id="13" w:name="_Toc11874"/>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lang w:val="en-US" w:eastAsia="zh-CN"/>
        </w:rPr>
        <w:t xml:space="preserve">、技术标准和要求</w:t>
      </w:r>
      <w:bookmarkEnd w:id="13"/>
      <w:r/>
      <w:bookmarkStart w:id="14" w:name="_Toc349557651"/>
      <w:r/>
      <w:bookmarkEnd w:id="14"/>
      <w:r/>
      <w:bookmarkStart w:id="15" w:name="_Toc349555826"/>
      <w:r/>
      <w:bookmarkEnd w:id="15"/>
      <w:r/>
      <w:bookmarkStart w:id="16" w:name="_Toc9565"/>
      <w:r>
        <w:rPr>
          <w:rFonts w:hint="eastAsia" w:cs="Times New Roman"/>
          <w:b/>
          <w:bCs/>
          <w:sz w:val="24"/>
          <w:highlight w:val="none"/>
          <w:lang w:val="en-US" w:eastAsia="zh-CN"/>
        </w:rPr>
        <w:t xml:space="preserve">：</w:t>
      </w:r>
      <w:r>
        <w:rPr>
          <w:rFonts w:hint="eastAsia" w:ascii="宋体" w:hAnsi="宋体" w:eastAsia="宋体" w:cs="仿宋"/>
          <w:b/>
          <w:bCs/>
          <w:sz w:val="24"/>
          <w:szCs w:val="24"/>
          <w:highlight w:val="none"/>
          <w:lang w:eastAsia="zh-CN"/>
        </w:rPr>
        <w:t xml:space="preserve">设计及施工需要执行的标准</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GB50052-2015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供配电系统设计规范</w:t>
      </w:r>
      <w:r>
        <w:rPr>
          <w:rFonts w:hint="eastAsia" w:ascii="宋体" w:hAnsi="宋体" w:eastAsia="宋体" w:cs="仿宋"/>
          <w:color w:val="000000"/>
          <w:sz w:val="24"/>
          <w:szCs w:val="24"/>
          <w:highlight w:val="none"/>
          <w:lang w:eastAsia="zh-CN"/>
        </w:rPr>
        <w:t xml:space="preserve">》</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GB50054-2011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低压配电设计规范</w:t>
      </w:r>
      <w:r>
        <w:rPr>
          <w:rFonts w:hint="eastAsia" w:ascii="宋体" w:hAnsi="宋体" w:eastAsia="宋体" w:cs="仿宋"/>
          <w:color w:val="000000"/>
          <w:sz w:val="24"/>
          <w:szCs w:val="24"/>
          <w:highlight w:val="none"/>
          <w:lang w:eastAsia="zh-CN"/>
        </w:rPr>
        <w:t xml:space="preserve">》</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GB50057-2010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建筑防雷设计规范</w:t>
      </w:r>
      <w:r>
        <w:rPr>
          <w:rFonts w:hint="eastAsia" w:ascii="宋体" w:hAnsi="宋体" w:eastAsia="宋体" w:cs="仿宋"/>
          <w:color w:val="000000"/>
          <w:sz w:val="24"/>
          <w:szCs w:val="24"/>
          <w:highlight w:val="none"/>
          <w:lang w:eastAsia="zh-CN"/>
        </w:rPr>
        <w:t xml:space="preserve">》</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GB50794-2012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光伏发电站施工规范</w:t>
      </w:r>
      <w:r>
        <w:rPr>
          <w:rFonts w:hint="eastAsia" w:ascii="宋体" w:hAnsi="宋体" w:eastAsia="宋体" w:cs="仿宋"/>
          <w:color w:val="000000"/>
          <w:sz w:val="24"/>
          <w:szCs w:val="24"/>
          <w:highlight w:val="none"/>
          <w:lang w:eastAsia="zh-CN"/>
        </w:rPr>
        <w:t xml:space="preserve">》</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GB/T29319-2012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光伏发电系统接入配电网技术规定</w:t>
      </w:r>
      <w:r>
        <w:rPr>
          <w:rFonts w:hint="eastAsia" w:ascii="宋体" w:hAnsi="宋体" w:eastAsia="宋体" w:cs="仿宋"/>
          <w:color w:val="000000"/>
          <w:sz w:val="24"/>
          <w:szCs w:val="24"/>
          <w:highlight w:val="none"/>
          <w:lang w:eastAsia="zh-CN"/>
        </w:rPr>
        <w:t xml:space="preserve">》</w:t>
      </w:r>
      <w:r/>
    </w:p>
    <w:p>
      <w:pPr>
        <w:numPr>
          <w:ilvl w:val="0"/>
          <w:numId w:val="3"/>
        </w:numPr>
        <w:ind w:left="567" w:firstLine="33"/>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GB/Z19964-2012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光伏发电站接入电力系统技术规定</w:t>
      </w:r>
      <w:r>
        <w:rPr>
          <w:rFonts w:hint="eastAsia" w:ascii="宋体" w:hAnsi="宋体" w:eastAsia="宋体" w:cs="仿宋"/>
          <w:color w:val="000000"/>
          <w:sz w:val="24"/>
          <w:szCs w:val="24"/>
          <w:highlight w:val="none"/>
          <w:lang w:eastAsia="zh-CN"/>
        </w:rPr>
        <w:t xml:space="preserve">》</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7.</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GB 50794-2012   《光伏发电站施工规范》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8.</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GB  50796-2012   《光伏发电工程验收规范》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9.</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GB  50168-2018  《电缆线路施工及验收规范》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10.</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GB  50169-2016   《电气装置安装工程接地装置施工及验收规范》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11.</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JGJ46-2005  《施工现场临时用电安装规范》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12.</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T/HZPVA 001—2019   《屋顶分布式光伏发电项目验收规范》</w:t>
      </w:r>
      <w:r/>
    </w:p>
    <w:p>
      <w:pPr>
        <w:contextualSpacing/>
        <w:ind w:left="0" w:firstLine="60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w:t>
      </w:r>
      <w:r>
        <w:rPr>
          <w:rFonts w:hint="default" w:ascii="宋体" w:hAnsi="宋体" w:eastAsia="宋体" w:cs="仿宋"/>
          <w:color w:val="000000"/>
          <w:sz w:val="24"/>
          <w:szCs w:val="24"/>
          <w:highlight w:val="none"/>
          <w:lang w:val="en-US" w:eastAsia="zh-CN" w:bidi="ar-SA"/>
        </w:rPr>
        <w:t xml:space="preserve">3.</w:t>
      </w:r>
      <w:r>
        <w:rPr>
          <w:rFonts w:hint="eastAsia" w:ascii="宋体" w:hAnsi="宋体" w:cs="仿宋"/>
          <w:color w:val="000000"/>
          <w:sz w:val="24"/>
          <w:szCs w:val="24"/>
          <w:highlight w:val="none"/>
          <w:lang w:val="en-US" w:eastAsia="zh-CN" w:bidi="ar-SA"/>
        </w:rPr>
        <w:t xml:space="preserve">  </w:t>
      </w:r>
      <w:r>
        <w:rPr>
          <w:rFonts w:hint="eastAsia" w:ascii="宋体" w:hAnsi="宋体" w:eastAsia="宋体" w:cs="仿宋"/>
          <w:color w:val="000000"/>
          <w:sz w:val="24"/>
          <w:szCs w:val="24"/>
          <w:highlight w:val="none"/>
          <w:lang w:val="en-US" w:eastAsia="zh-CN" w:bidi="ar-SA"/>
        </w:rPr>
        <w:t xml:space="preserve">其他现行规范等。</w:t>
      </w:r>
      <w:r/>
    </w:p>
    <w:p>
      <w:pPr>
        <w:contextualSpacing/>
        <w:ind w:firstLine="72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在项目实施过程中出台的新规范标准应参照执行。</w:t>
      </w:r>
      <w:r/>
    </w:p>
    <w:p>
      <w:pPr>
        <w:numPr>
          <w:ilvl w:val="0"/>
          <w:numId w:val="0"/>
        </w:numPr>
        <w:ind w:left="84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1、</w:t>
      </w:r>
      <w:r>
        <w:rPr>
          <w:rFonts w:hint="eastAsia" w:ascii="宋体" w:hAnsi="宋体" w:eastAsia="宋体" w:cs="仿宋"/>
          <w:b/>
          <w:bCs/>
          <w:sz w:val="24"/>
          <w:szCs w:val="24"/>
          <w:highlight w:val="none"/>
          <w:lang w:val="en-US" w:eastAsia="en-US" w:bidi="ar-SA"/>
        </w:rPr>
        <w:t xml:space="preserve">光伏组件</w:t>
      </w:r>
      <w:r/>
    </w:p>
    <w:p>
      <w:pPr>
        <w:numPr>
          <w:ilvl w:val="0"/>
          <w:numId w:val="0"/>
        </w:numPr>
        <w:ind w:left="72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1.</w:t>
      </w:r>
      <w:r>
        <w:rPr>
          <w:rFonts w:hint="eastAsia" w:ascii="宋体" w:hAnsi="宋体" w:cs="仿宋"/>
          <w:b/>
          <w:bCs/>
          <w:sz w:val="24"/>
          <w:szCs w:val="24"/>
          <w:highlight w:val="none"/>
          <w:lang w:val="en-US" w:eastAsia="zh-CN" w:bidi="ar-SA"/>
        </w:rPr>
        <w:t xml:space="preserve">1</w:t>
      </w:r>
      <w:r>
        <w:rPr>
          <w:rFonts w:hint="eastAsia" w:ascii="宋体" w:hAnsi="宋体" w:eastAsia="宋体" w:cs="仿宋"/>
          <w:b/>
          <w:bCs/>
          <w:sz w:val="24"/>
          <w:szCs w:val="24"/>
          <w:highlight w:val="none"/>
          <w:lang w:val="en-US" w:eastAsia="en-US" w:bidi="ar-SA"/>
        </w:rPr>
        <w:t xml:space="preserve">组件规格</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本项目采用单晶硅光伏组件，初步设计采用峰值功率</w:t>
      </w:r>
      <w:r>
        <w:rPr>
          <w:rFonts w:hint="eastAsia" w:ascii="宋体" w:hAnsi="宋体" w:cs="仿宋"/>
          <w:bCs/>
          <w:sz w:val="24"/>
          <w:szCs w:val="24"/>
          <w:highlight w:val="none"/>
          <w:lang w:val="en-US" w:eastAsia="zh-CN"/>
        </w:rPr>
        <w:t xml:space="preserve">735</w:t>
      </w:r>
      <w:r>
        <w:rPr>
          <w:rFonts w:hint="eastAsia" w:ascii="宋体" w:hAnsi="宋体" w:eastAsia="宋体" w:cs="仿宋"/>
          <w:bCs/>
          <w:sz w:val="24"/>
          <w:szCs w:val="24"/>
          <w:highlight w:val="none"/>
          <w:lang w:eastAsia="zh-CN"/>
        </w:rPr>
        <w:t xml:space="preserve">W/块的组件，投标人可以进行选型优化，以达到更优的系统效率，但要求选用组件功率差0</w:t>
      </w:r>
      <w:r>
        <w:rPr>
          <w:rFonts w:hint="eastAsia" w:ascii="宋体" w:hAnsi="宋体" w:cs="仿宋"/>
          <w:bCs/>
          <w:sz w:val="24"/>
          <w:szCs w:val="24"/>
          <w:highlight w:val="none"/>
          <w:lang w:val="en-US" w:eastAsia="zh-CN"/>
        </w:rPr>
        <w:t xml:space="preserve">~</w:t>
      </w:r>
      <w:r>
        <w:rPr>
          <w:rFonts w:hint="eastAsia" w:ascii="宋体" w:hAnsi="宋体" w:eastAsia="宋体" w:cs="仿宋"/>
          <w:bCs/>
          <w:sz w:val="24"/>
          <w:szCs w:val="24"/>
          <w:highlight w:val="none"/>
          <w:lang w:eastAsia="zh-CN"/>
        </w:rPr>
        <w:t xml:space="preserve">+</w:t>
      </w:r>
      <w:r>
        <w:rPr>
          <w:rFonts w:hint="eastAsia" w:ascii="宋体" w:hAnsi="宋体" w:cs="仿宋"/>
          <w:bCs/>
          <w:sz w:val="24"/>
          <w:szCs w:val="24"/>
          <w:highlight w:val="none"/>
          <w:lang w:val="en-US" w:eastAsia="zh-CN"/>
        </w:rPr>
        <w:t xml:space="preserve">3%</w:t>
      </w:r>
      <w:r>
        <w:rPr>
          <w:rFonts w:hint="eastAsia" w:ascii="宋体" w:hAnsi="宋体" w:eastAsia="宋体" w:cs="仿宋"/>
          <w:bCs/>
          <w:sz w:val="24"/>
          <w:szCs w:val="24"/>
          <w:highlight w:val="none"/>
          <w:lang w:eastAsia="zh-CN"/>
        </w:rPr>
        <w:t xml:space="preserve">，转换效率不低于</w:t>
      </w:r>
      <w:r>
        <w:rPr>
          <w:rFonts w:hint="eastAsia" w:ascii="宋体" w:hAnsi="宋体" w:cs="仿宋"/>
          <w:bCs/>
          <w:sz w:val="24"/>
          <w:szCs w:val="24"/>
          <w:highlight w:val="none"/>
          <w:lang w:val="en-US" w:eastAsia="zh-CN"/>
        </w:rPr>
        <w:t xml:space="preserve">21</w:t>
      </w:r>
      <w:r>
        <w:rPr>
          <w:rFonts w:hint="eastAsia" w:ascii="宋体" w:hAnsi="宋体" w:eastAsia="宋体" w:cs="仿宋"/>
          <w:bCs/>
          <w:sz w:val="24"/>
          <w:szCs w:val="24"/>
          <w:highlight w:val="none"/>
          <w:lang w:eastAsia="zh-CN"/>
        </w:rPr>
        <w:t xml:space="preserve">%，组件输出功率首年衰减率不高于</w:t>
      </w:r>
      <w:r>
        <w:rPr>
          <w:rFonts w:hint="eastAsia" w:ascii="宋体" w:hAnsi="宋体" w:cs="仿宋"/>
          <w:bCs/>
          <w:sz w:val="24"/>
          <w:szCs w:val="24"/>
          <w:highlight w:val="none"/>
          <w:lang w:val="en-US" w:eastAsia="zh-CN"/>
        </w:rPr>
        <w:t xml:space="preserve">1.0</w:t>
      </w:r>
      <w:r>
        <w:rPr>
          <w:rFonts w:hint="eastAsia" w:ascii="宋体" w:hAnsi="宋体" w:eastAsia="宋体" w:cs="仿宋"/>
          <w:bCs/>
          <w:sz w:val="24"/>
          <w:szCs w:val="24"/>
          <w:highlight w:val="none"/>
          <w:lang w:eastAsia="zh-CN"/>
        </w:rPr>
        <w:t xml:space="preserve">%，其后的第2年每年</w:t>
      </w:r>
      <w:r>
        <w:rPr>
          <w:rFonts w:hint="eastAsia" w:ascii="宋体" w:hAnsi="宋体" w:cs="仿宋"/>
          <w:bCs/>
          <w:sz w:val="24"/>
          <w:szCs w:val="24"/>
          <w:highlight w:val="none"/>
          <w:lang w:eastAsia="zh-CN"/>
        </w:rPr>
        <w:t xml:space="preserve">线性</w:t>
      </w:r>
      <w:r>
        <w:rPr>
          <w:rFonts w:hint="eastAsia" w:ascii="宋体" w:hAnsi="宋体" w:eastAsia="宋体" w:cs="仿宋"/>
          <w:bCs/>
          <w:sz w:val="24"/>
          <w:szCs w:val="24"/>
          <w:highlight w:val="none"/>
          <w:lang w:eastAsia="zh-CN"/>
        </w:rPr>
        <w:t xml:space="preserve">输出功率衰减值不高于0.</w:t>
      </w:r>
      <w:r>
        <w:rPr>
          <w:rFonts w:hint="eastAsia" w:ascii="宋体" w:hAnsi="宋体" w:cs="仿宋"/>
          <w:bCs/>
          <w:sz w:val="24"/>
          <w:szCs w:val="24"/>
          <w:highlight w:val="none"/>
          <w:lang w:val="en-US" w:eastAsia="zh-CN"/>
        </w:rPr>
        <w:t xml:space="preserve">4</w:t>
      </w:r>
      <w:r>
        <w:rPr>
          <w:rFonts w:hint="eastAsia" w:ascii="宋体" w:hAnsi="宋体" w:eastAsia="宋体" w:cs="仿宋"/>
          <w:bCs/>
          <w:sz w:val="24"/>
          <w:szCs w:val="24"/>
          <w:highlight w:val="none"/>
          <w:lang w:eastAsia="zh-CN"/>
        </w:rPr>
        <w:t xml:space="preserve">%。组件提供</w:t>
      </w:r>
      <w:r>
        <w:rPr>
          <w:rFonts w:hint="eastAsia" w:ascii="宋体" w:hAnsi="宋体" w:cs="仿宋"/>
          <w:bCs/>
          <w:sz w:val="24"/>
          <w:szCs w:val="24"/>
          <w:highlight w:val="none"/>
          <w:lang w:val="en-US" w:eastAsia="zh-CN"/>
        </w:rPr>
        <w:t xml:space="preserve">12</w:t>
      </w:r>
      <w:r>
        <w:rPr>
          <w:rFonts w:hint="eastAsia" w:ascii="宋体" w:hAnsi="宋体" w:eastAsia="宋体" w:cs="仿宋"/>
          <w:bCs/>
          <w:sz w:val="24"/>
          <w:szCs w:val="24"/>
          <w:highlight w:val="none"/>
          <w:lang w:eastAsia="zh-CN"/>
        </w:rPr>
        <w:t xml:space="preserve">年产品质保，</w:t>
      </w:r>
      <w:r>
        <w:rPr>
          <w:rFonts w:hint="eastAsia" w:ascii="宋体" w:hAnsi="宋体" w:cs="仿宋"/>
          <w:bCs/>
          <w:sz w:val="24"/>
          <w:szCs w:val="24"/>
          <w:highlight w:val="none"/>
          <w:lang w:val="en-US" w:eastAsia="zh-CN"/>
        </w:rPr>
        <w:t xml:space="preserve">30</w:t>
      </w:r>
      <w:r>
        <w:rPr>
          <w:rFonts w:hint="eastAsia" w:ascii="宋体" w:hAnsi="宋体" w:eastAsia="宋体" w:cs="仿宋"/>
          <w:bCs/>
          <w:sz w:val="24"/>
          <w:szCs w:val="24"/>
          <w:highlight w:val="none"/>
          <w:lang w:eastAsia="zh-CN"/>
        </w:rPr>
        <w:t xml:space="preserve">年功率保证。太阳能光伏板应具有互换性。选用的接线盒产品外壳具有强烈的抗老化性材料、较好耐紫外线能力，符合于室外恶劣环境条件下的使用组件规格应一致。</w:t>
      </w:r>
      <w:r/>
    </w:p>
    <w:p>
      <w:pPr>
        <w:jc w:val="center"/>
        <w:spacing w:after="0" w:line="360" w:lineRule="auto"/>
        <w:rPr>
          <w:rFonts w:ascii="宋体" w:hAnsi="宋体" w:eastAsia="宋体" w:cs="仿宋"/>
          <w:b/>
          <w:color w:val="000000"/>
          <w:sz w:val="24"/>
          <w:szCs w:val="24"/>
          <w:highlight w:val="none"/>
          <w:lang w:eastAsia="en-US"/>
        </w:rPr>
      </w:pPr>
      <w:r>
        <w:rPr>
          <w:rFonts w:hint="eastAsia" w:ascii="宋体" w:hAnsi="宋体" w:eastAsia="宋体" w:cs="仿宋"/>
          <w:b/>
          <w:color w:val="000000"/>
          <w:sz w:val="24"/>
          <w:szCs w:val="24"/>
          <w:highlight w:val="none"/>
          <w:lang w:eastAsia="en-US"/>
        </w:rPr>
        <w:t xml:space="preserve">光伏组件性能参数表</w:t>
      </w:r>
      <w:r/>
    </w:p>
    <w:tbl>
      <w:tblPr>
        <w:tblStyle w:val="87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3004"/>
        <w:gridCol w:w="2835"/>
      </w:tblGrid>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峰值功率（Wp）</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735</w:t>
            </w:r>
            <w:r>
              <w:rPr>
                <w:rFonts w:hint="eastAsia" w:ascii="宋体" w:hAnsi="宋体" w:eastAsia="宋体" w:cs="仿宋"/>
                <w:color w:val="000000"/>
                <w:sz w:val="24"/>
                <w:szCs w:val="24"/>
                <w:highlight w:val="none"/>
                <w:lang w:eastAsia="en-US" w:bidi="zh-CN"/>
              </w:rPr>
              <w:t xml:space="preserve">Wp</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额定</w:t>
            </w:r>
            <w:r>
              <w:rPr>
                <w:rFonts w:hint="eastAsia" w:ascii="宋体" w:hAnsi="宋体" w:eastAsia="宋体" w:cs="仿宋"/>
                <w:color w:val="000000"/>
                <w:sz w:val="24"/>
                <w:szCs w:val="24"/>
                <w:highlight w:val="none"/>
                <w:lang w:eastAsia="en-US" w:bidi="zh-CN"/>
              </w:rPr>
              <w:t xml:space="preserve">组件效率</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21</w:t>
            </w:r>
            <w:r>
              <w:rPr>
                <w:rFonts w:hint="eastAsia" w:ascii="宋体" w:hAnsi="宋体" w:eastAsia="宋体" w:cs="仿宋"/>
                <w:color w:val="000000"/>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短路电流（Isc）</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16.00A</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开路电压（Voc）</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en-US" w:bidi="zh-CN"/>
              </w:rPr>
              <w:t xml:space="preserve">58.21V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最大</w:t>
            </w:r>
            <w:r>
              <w:rPr>
                <w:rFonts w:hint="eastAsia" w:ascii="宋体" w:hAnsi="宋体" w:eastAsia="宋体" w:cs="仿宋"/>
                <w:color w:val="000000"/>
                <w:sz w:val="24"/>
                <w:szCs w:val="24"/>
                <w:highlight w:val="none"/>
                <w:lang w:eastAsia="en-US" w:bidi="zh-CN"/>
              </w:rPr>
              <w:t xml:space="preserve">功率电压(Vmp)</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48.71V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最大</w:t>
            </w:r>
            <w:r>
              <w:rPr>
                <w:rFonts w:hint="eastAsia" w:ascii="宋体" w:hAnsi="宋体" w:eastAsia="宋体" w:cs="仿宋"/>
                <w:color w:val="000000"/>
                <w:sz w:val="24"/>
                <w:szCs w:val="24"/>
                <w:highlight w:val="none"/>
                <w:lang w:eastAsia="en-US" w:bidi="zh-CN"/>
              </w:rPr>
              <w:t xml:space="preserve">功率电流(Imp)</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15.10A</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开路电压(Voc)温度系数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w:t>
            </w:r>
            <w:r>
              <w:rPr>
                <w:rFonts w:hint="eastAsia" w:ascii="宋体" w:hAnsi="宋体" w:eastAsia="宋体" w:cs="仿宋"/>
                <w:color w:val="000000"/>
                <w:sz w:val="24"/>
                <w:szCs w:val="24"/>
                <w:highlight w:val="none"/>
                <w:lang w:eastAsia="en-US" w:bidi="zh-CN"/>
              </w:rPr>
              <w:t xml:space="preserve">0.25%/</w:t>
            </w:r>
            <w:r>
              <w:rPr>
                <w:rFonts w:hint="eastAsia" w:ascii="宋体" w:hAnsi="宋体" w:eastAsia="宋体" w:cs="微软雅黑"/>
                <w:color w:val="000000"/>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短路电流(Isc)温度系数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w:t>
            </w:r>
            <w:r>
              <w:rPr>
                <w:rFonts w:hint="eastAsia" w:ascii="宋体" w:hAnsi="宋体" w:eastAsia="宋体" w:cs="微软雅黑"/>
                <w:color w:val="000000"/>
                <w:sz w:val="24"/>
                <w:szCs w:val="24"/>
                <w:highlight w:val="none"/>
                <w:lang w:eastAsia="en-US" w:bidi="zh-CN"/>
              </w:rPr>
              <w:t xml:space="preserve">0.04</w:t>
            </w:r>
            <w:r>
              <w:rPr>
                <w:rFonts w:hint="eastAsia" w:ascii="宋体" w:hAnsi="宋体" w:cs="微软雅黑"/>
                <w:color w:val="000000"/>
                <w:sz w:val="24"/>
                <w:szCs w:val="24"/>
                <w:highlight w:val="none"/>
                <w:lang w:val="en-US" w:eastAsia="en-US" w:bidi="zh-CN"/>
              </w:rPr>
              <w:t xml:space="preserve">3</w:t>
            </w:r>
            <w:r>
              <w:rPr>
                <w:rFonts w:hint="eastAsia" w:ascii="宋体" w:hAnsi="宋体" w:eastAsia="宋体" w:cs="仿宋"/>
                <w:color w:val="000000"/>
                <w:sz w:val="24"/>
                <w:szCs w:val="24"/>
                <w:highlight w:val="none"/>
                <w:lang w:eastAsia="en-US" w:bidi="zh-CN"/>
              </w:rPr>
              <w:t xml:space="preserve">%/</w:t>
            </w:r>
            <w:r>
              <w:rPr>
                <w:rFonts w:hint="eastAsia" w:ascii="宋体" w:hAnsi="宋体" w:eastAsia="宋体" w:cs="微软雅黑"/>
                <w:color w:val="000000"/>
                <w:sz w:val="24"/>
                <w:szCs w:val="24"/>
                <w:highlight w:val="none"/>
                <w:lang w:eastAsia="en-US" w:bidi="zh-CN"/>
              </w:rPr>
              <w:t xml:space="preserve">℃</w:t>
            </w:r>
            <w:r/>
          </w:p>
        </w:tc>
      </w:tr>
      <w:tr>
        <w:trPr>
          <w:jc w:val="center"/>
          <w:trHeight w:val="47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峰值功率(Pmax)温度系数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-0.29</w:t>
            </w:r>
            <w:r>
              <w:rPr>
                <w:rFonts w:hint="eastAsia" w:ascii="宋体" w:hAnsi="宋体" w:eastAsia="宋体" w:cs="仿宋"/>
                <w:color w:val="000000"/>
                <w:sz w:val="24"/>
                <w:szCs w:val="24"/>
                <w:highlight w:val="none"/>
                <w:lang w:eastAsia="en-US" w:bidi="zh-CN"/>
              </w:rPr>
              <w:t xml:space="preserve">%/</w:t>
            </w:r>
            <w:r>
              <w:rPr>
                <w:rFonts w:hint="eastAsia" w:ascii="宋体" w:hAnsi="宋体" w:eastAsia="宋体" w:cs="微软雅黑"/>
                <w:color w:val="000000"/>
                <w:sz w:val="24"/>
                <w:szCs w:val="24"/>
                <w:highlight w:val="none"/>
                <w:lang w:eastAsia="en-US" w:bidi="zh-CN"/>
              </w:rPr>
              <w:t xml:space="preserve">℃</w:t>
            </w:r>
            <w:r/>
          </w:p>
        </w:tc>
      </w:tr>
      <w:tr>
        <w:trPr>
          <w:jc w:val="center"/>
          <w:trHeight w:val="47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最大系统电压</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15</w:t>
            </w:r>
            <w:r>
              <w:rPr>
                <w:rFonts w:hint="eastAsia" w:ascii="宋体" w:hAnsi="宋体" w:eastAsia="宋体" w:cs="仿宋"/>
                <w:color w:val="000000"/>
                <w:sz w:val="24"/>
                <w:szCs w:val="24"/>
                <w:highlight w:val="none"/>
                <w:lang w:eastAsia="en-US" w:bidi="zh-CN"/>
              </w:rPr>
              <w:t xml:space="preserve">00v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工作温度</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-40℃</w:t>
            </w:r>
            <w:r>
              <w:rPr>
                <w:rFonts w:hint="eastAsia" w:ascii="宋体" w:hAnsi="宋体" w:cs="仿宋"/>
                <w:color w:val="000000"/>
                <w:sz w:val="24"/>
                <w:szCs w:val="24"/>
                <w:highlight w:val="none"/>
                <w:lang w:val="en-US" w:eastAsia="en-US" w:bidi="zh-CN"/>
              </w:rPr>
              <w:t xml:space="preserve">~</w:t>
            </w:r>
            <w:r>
              <w:rPr>
                <w:rFonts w:hint="eastAsia" w:ascii="宋体" w:hAnsi="宋体" w:eastAsia="宋体" w:cs="仿宋"/>
                <w:color w:val="000000"/>
                <w:sz w:val="24"/>
                <w:szCs w:val="24"/>
                <w:highlight w:val="none"/>
                <w:lang w:eastAsia="en-US" w:bidi="zh-CN"/>
              </w:rPr>
              <w:t xml:space="preserve">+85℃</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bidi="zh-CN"/>
              </w:rPr>
              <w:t xml:space="preserve">首年功率衰减</w:t>
            </w:r>
            <w:r/>
          </w:p>
        </w:tc>
        <w:tc>
          <w:tcPr>
            <w:tcW w:w="2835"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不高于</w:t>
            </w:r>
            <w:r>
              <w:rPr>
                <w:rFonts w:hint="eastAsia" w:ascii="宋体" w:hAnsi="宋体" w:cs="仿宋"/>
                <w:sz w:val="24"/>
                <w:szCs w:val="24"/>
                <w:highlight w:val="none"/>
                <w:lang w:val="en-US" w:eastAsia="en-US" w:bidi="zh-CN"/>
              </w:rPr>
              <w:t xml:space="preserve">1.0</w:t>
            </w:r>
            <w:r>
              <w:rPr>
                <w:rFonts w:hint="eastAsia" w:ascii="宋体" w:hAnsi="宋体" w:eastAsia="宋体" w:cs="仿宋"/>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rPr>
              <w:t xml:space="preserve">25年功率衰减</w:t>
            </w:r>
            <w:r/>
          </w:p>
        </w:tc>
        <w:tc>
          <w:tcPr>
            <w:tcW w:w="2835"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hint="eastAsia" w:ascii="宋体" w:hAnsi="宋体" w:eastAsia="宋体" w:cs="仿宋"/>
                <w:bCs/>
                <w:sz w:val="24"/>
                <w:szCs w:val="24"/>
                <w:highlight w:val="none"/>
                <w:lang w:eastAsia="en-US"/>
              </w:rPr>
              <w:t xml:space="preserve">不高于</w:t>
            </w:r>
            <w:r>
              <w:rPr>
                <w:rFonts w:hint="eastAsia" w:ascii="宋体" w:hAnsi="宋体" w:cs="仿宋"/>
                <w:bCs/>
                <w:sz w:val="24"/>
                <w:szCs w:val="24"/>
                <w:highlight w:val="none"/>
                <w:lang w:val="en-US" w:eastAsia="zh-CN"/>
              </w:rPr>
              <w:t xml:space="preserve">10.6</w:t>
            </w:r>
            <w:r>
              <w:rPr>
                <w:rFonts w:hint="eastAsia" w:ascii="宋体" w:hAnsi="宋体" w:eastAsia="宋体" w:cs="仿宋"/>
                <w:bCs/>
                <w:sz w:val="24"/>
                <w:szCs w:val="24"/>
                <w:highlight w:val="none"/>
                <w:lang w:eastAsia="en-US"/>
              </w:rPr>
              <w:t xml:space="preserve">%</w:t>
            </w:r>
            <w:r/>
          </w:p>
        </w:tc>
      </w:tr>
    </w:tbl>
    <w:p>
      <w:pPr>
        <w:numPr>
          <w:ilvl w:val="0"/>
          <w:numId w:val="0"/>
        </w:numPr>
        <w:ind w:left="84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2、</w:t>
      </w:r>
      <w:r>
        <w:rPr>
          <w:rFonts w:hint="eastAsia" w:ascii="宋体" w:hAnsi="宋体" w:eastAsia="宋体" w:cs="仿宋"/>
          <w:b/>
          <w:bCs/>
          <w:sz w:val="24"/>
          <w:szCs w:val="24"/>
          <w:highlight w:val="none"/>
          <w:lang w:val="en-US" w:eastAsia="en-US" w:bidi="ar-SA"/>
        </w:rPr>
        <w:t xml:space="preserve">逆变器</w:t>
      </w:r>
      <w:r/>
    </w:p>
    <w:p>
      <w:pPr>
        <w:numPr>
          <w:ilvl w:val="0"/>
          <w:numId w:val="0"/>
        </w:numPr>
        <w:ind w:left="527"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2.1</w:t>
      </w:r>
      <w:r>
        <w:rPr>
          <w:rFonts w:hint="eastAsia" w:ascii="宋体" w:hAnsi="宋体" w:eastAsia="宋体" w:cs="仿宋"/>
          <w:b/>
          <w:bCs/>
          <w:sz w:val="24"/>
          <w:szCs w:val="24"/>
          <w:highlight w:val="none"/>
          <w:lang w:val="en-US" w:eastAsia="en-US" w:bidi="ar-SA"/>
        </w:rPr>
        <w:t xml:space="preserve">工作内容</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逆变器直流输入最大电压为1</w:t>
      </w:r>
      <w:r>
        <w:rPr>
          <w:rFonts w:hint="eastAsia" w:ascii="宋体" w:hAnsi="宋体" w:cs="仿宋"/>
          <w:bCs/>
          <w:sz w:val="24"/>
          <w:szCs w:val="24"/>
          <w:highlight w:val="none"/>
          <w:lang w:val="en-US" w:eastAsia="zh-CN"/>
        </w:rPr>
        <w:t xml:space="preserve">5</w:t>
      </w:r>
      <w:r>
        <w:rPr>
          <w:rFonts w:hint="eastAsia" w:ascii="宋体" w:hAnsi="宋体" w:eastAsia="宋体" w:cs="仿宋"/>
          <w:bCs/>
          <w:sz w:val="24"/>
          <w:szCs w:val="24"/>
          <w:highlight w:val="none"/>
          <w:lang w:eastAsia="zh-CN"/>
        </w:rPr>
        <w:t xml:space="preserve">00V，</w:t>
      </w: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bCs/>
          <w:sz w:val="24"/>
          <w:szCs w:val="24"/>
          <w:highlight w:val="none"/>
          <w:lang w:eastAsia="zh-CN"/>
        </w:rPr>
        <w:t xml:space="preserve">功率因数在0.8</w:t>
      </w:r>
      <w:r>
        <w:rPr>
          <w:rFonts w:hint="eastAsia" w:ascii="宋体" w:hAnsi="宋体" w:cs="仿宋"/>
          <w:bCs/>
          <w:sz w:val="24"/>
          <w:szCs w:val="24"/>
          <w:highlight w:val="none"/>
          <w:lang w:val="en-US" w:eastAsia="zh-CN"/>
        </w:rPr>
        <w:t xml:space="preserve">L</w:t>
      </w:r>
      <w:r>
        <w:rPr>
          <w:rFonts w:hint="eastAsia" w:ascii="宋体" w:hAnsi="宋体" w:eastAsia="宋体" w:cs="仿宋"/>
          <w:bCs/>
          <w:sz w:val="24"/>
          <w:szCs w:val="24"/>
          <w:highlight w:val="none"/>
          <w:lang w:eastAsia="zh-CN"/>
        </w:rPr>
        <w:t xml:space="preserve">~0.8</w:t>
      </w:r>
      <w:r>
        <w:rPr>
          <w:rFonts w:hint="eastAsia" w:ascii="宋体" w:hAnsi="宋体" w:cs="仿宋"/>
          <w:bCs/>
          <w:sz w:val="24"/>
          <w:szCs w:val="24"/>
          <w:highlight w:val="none"/>
          <w:lang w:val="en-US" w:eastAsia="zh-CN"/>
        </w:rPr>
        <w:t xml:space="preserve">C</w:t>
      </w:r>
      <w:r>
        <w:rPr>
          <w:rFonts w:hint="eastAsia" w:ascii="宋体" w:hAnsi="宋体" w:eastAsia="宋体" w:cs="仿宋"/>
          <w:bCs/>
          <w:sz w:val="24"/>
          <w:szCs w:val="24"/>
          <w:highlight w:val="none"/>
          <w:lang w:eastAsia="zh-CN"/>
        </w:rPr>
        <w:t xml:space="preserve"> 之间可调，具有规避组件PID（电势诱导衰减）效应功能，</w:t>
      </w: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bCs/>
          <w:sz w:val="24"/>
          <w:szCs w:val="24"/>
          <w:highlight w:val="none"/>
          <w:lang w:eastAsia="zh-CN"/>
        </w:rPr>
        <w:t xml:space="preserve">逆变器防护等级IP65，设计使用年限不小于</w:t>
      </w:r>
      <w:r>
        <w:rPr>
          <w:rFonts w:hint="eastAsia" w:ascii="宋体" w:hAnsi="宋体" w:cs="仿宋"/>
          <w:bCs/>
          <w:sz w:val="24"/>
          <w:szCs w:val="24"/>
          <w:highlight w:val="none"/>
          <w:lang w:val="en-US" w:eastAsia="zh-CN"/>
        </w:rPr>
        <w:t xml:space="preserve">15</w:t>
      </w:r>
      <w:r>
        <w:rPr>
          <w:rFonts w:hint="eastAsia" w:ascii="宋体" w:hAnsi="宋体" w:eastAsia="宋体" w:cs="仿宋"/>
          <w:bCs/>
          <w:sz w:val="24"/>
          <w:szCs w:val="24"/>
          <w:highlight w:val="none"/>
          <w:lang w:eastAsia="zh-CN"/>
        </w:rPr>
        <w:t xml:space="preserve">年</w:t>
      </w:r>
      <w:r>
        <w:rPr>
          <w:rFonts w:hint="eastAsia" w:ascii="宋体" w:hAnsi="宋体" w:cs="仿宋"/>
          <w:bCs/>
          <w:sz w:val="24"/>
          <w:szCs w:val="24"/>
          <w:highlight w:val="none"/>
          <w:lang w:eastAsia="zh-CN"/>
        </w:rPr>
        <w:t xml:space="preserve">，电站运行</w:t>
      </w:r>
      <w:r>
        <w:rPr>
          <w:rFonts w:hint="eastAsia" w:ascii="宋体" w:hAnsi="宋体" w:cs="仿宋"/>
          <w:bCs/>
          <w:sz w:val="24"/>
          <w:szCs w:val="24"/>
          <w:highlight w:val="none"/>
          <w:lang w:val="en-US" w:eastAsia="zh-CN"/>
        </w:rPr>
        <w:t xml:space="preserve">25年周期内可通过一次设备更换匹配组件全寿命周期</w:t>
      </w:r>
      <w:r>
        <w:rPr>
          <w:rFonts w:hint="eastAsia" w:ascii="宋体" w:hAnsi="宋体" w:eastAsia="宋体" w:cs="仿宋"/>
          <w:bCs/>
          <w:sz w:val="24"/>
          <w:szCs w:val="24"/>
          <w:highlight w:val="none"/>
          <w:lang w:eastAsia="zh-CN"/>
        </w:rPr>
        <w:t xml:space="preserve">。满足国家标准NB/T32004</w:t>
      </w:r>
      <w:r/>
    </w:p>
    <w:p>
      <w:pPr>
        <w:numPr>
          <w:ilvl w:val="0"/>
          <w:numId w:val="0"/>
        </w:numPr>
        <w:ind w:left="525"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2.2</w:t>
      </w:r>
      <w:r>
        <w:rPr>
          <w:rFonts w:hint="eastAsia" w:ascii="宋体" w:hAnsi="宋体" w:eastAsia="宋体" w:cs="仿宋"/>
          <w:b/>
          <w:bCs/>
          <w:sz w:val="24"/>
          <w:szCs w:val="24"/>
          <w:highlight w:val="none"/>
          <w:lang w:val="en-US" w:eastAsia="en-US" w:bidi="ar-SA"/>
        </w:rPr>
        <w:t xml:space="preserve">低电压穿越功能</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并网逆变器应具备低电压穿越功能，必须同时具备平衡穿越和不平衡穿越能力，默认的低电压穿越能力曲线必须符合GB/T 19964-2012《光伏发电站接入电力系统技术规定》中第8章的所有要求。投标人此次投标的同类型组串式逆变器必须通过具备合法资质、检测能力及有效报告的检测机构现场或实验室低（零）电压穿越测试。</w:t>
      </w:r>
      <w:r/>
    </w:p>
    <w:p>
      <w:pPr>
        <w:numPr>
          <w:ilvl w:val="0"/>
          <w:numId w:val="0"/>
        </w:numPr>
        <w:ind w:left="525"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2.3</w:t>
      </w:r>
      <w:r>
        <w:rPr>
          <w:rFonts w:hint="eastAsia" w:ascii="宋体" w:hAnsi="宋体" w:eastAsia="宋体" w:cs="仿宋"/>
          <w:b/>
          <w:bCs/>
          <w:sz w:val="24"/>
          <w:szCs w:val="24"/>
          <w:highlight w:val="none"/>
          <w:lang w:val="en-US" w:eastAsia="en-US" w:bidi="ar-SA"/>
        </w:rPr>
        <w:t xml:space="preserve">防雷保护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投标逆变器必须具备完备的交、直流防雷保护功能，其中，交流进线侧和直流进线侧的防雷保护等级不低于Ⅲ级。防雷设备损坏后，损坏的防雷器应能够可靠地与交、直流电网脱离（应具备防雷器失效保护装置），同时，应有信号上传至并网逆变器，由并网逆变器统一与后台监控系统通信（上传至后台监控系统）。</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光伏发电系统的防雷（防直击雷、防感应雷）；防直击雷建议采用复合接地系统，接地电阻小于国家要求；防雷感应需在光伏阵列的直流输出端安装光伏专用高压防雷模块，模块安装在直流汇线盒或直流配电柜内，采用串接断路器再并入主电路的正负极的连接方式。</w:t>
      </w:r>
      <w:r/>
    </w:p>
    <w:p>
      <w:pPr>
        <w:numPr>
          <w:ilvl w:val="0"/>
          <w:numId w:val="0"/>
        </w:numPr>
        <w:ind w:left="0" w:firstLine="482"/>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2.4</w:t>
      </w:r>
      <w:r>
        <w:rPr>
          <w:rFonts w:hint="eastAsia" w:ascii="宋体" w:hAnsi="宋体" w:eastAsia="宋体" w:cs="仿宋"/>
          <w:b/>
          <w:bCs/>
          <w:sz w:val="24"/>
          <w:szCs w:val="24"/>
          <w:highlight w:val="none"/>
          <w:lang w:val="en-US" w:eastAsia="en-US" w:bidi="ar-SA"/>
        </w:rPr>
        <w:t xml:space="preserve">其他要求</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 xml:space="preserve">噪声要求：≤65dB；</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 xml:space="preserve">平均无故障时间：</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en-US"/>
        </w:rPr>
        <w:t xml:space="preserve">10；</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逆变器除具有PID防护及修复功能外。还必须具备以下功能： </w:t>
      </w:r>
      <w:r/>
    </w:p>
    <w:p>
      <w:pPr>
        <w:numPr>
          <w:ilvl w:val="0"/>
          <w:numId w:val="0"/>
        </w:numPr>
        <w:contextualSpacing/>
        <w:ind w:left="501" w:hanging="2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2.4.1</w:t>
      </w:r>
      <w:r>
        <w:rPr>
          <w:rFonts w:hint="eastAsia" w:ascii="宋体" w:hAnsi="宋体" w:eastAsia="宋体" w:cs="仿宋"/>
          <w:bCs/>
          <w:sz w:val="24"/>
          <w:szCs w:val="24"/>
          <w:highlight w:val="none"/>
          <w:lang w:val="en-US" w:eastAsia="en-US" w:bidi="ar-SA"/>
        </w:rPr>
        <w:t xml:space="preserve">电网故障保护</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cs="仿宋"/>
          <w:bCs/>
          <w:sz w:val="24"/>
          <w:szCs w:val="24"/>
          <w:highlight w:val="none"/>
          <w:lang w:val="en-US" w:eastAsia="zh-CN"/>
        </w:rPr>
        <w:t xml:space="preserve">2.4.1.1</w:t>
      </w:r>
      <w:r>
        <w:rPr>
          <w:rFonts w:hint="eastAsia" w:ascii="宋体" w:hAnsi="宋体" w:eastAsia="宋体" w:cs="仿宋"/>
          <w:bCs/>
          <w:sz w:val="24"/>
          <w:szCs w:val="24"/>
          <w:highlight w:val="none"/>
          <w:lang w:eastAsia="en-US"/>
        </w:rPr>
        <w:t xml:space="preserve">防孤岛效应保护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逆变器应具有可靠而完备的非计划性孤岛保护功能。逆变器防非计划性孤岛功能应同时具备主动与被动两种孤岛检测方案。</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逆变器应具有可靠的计划性孤岛响应功能。如果非计划性孤岛效应发生，逆变器应在2s内停止向电网供电，同时发出报警信号。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2.4.1.2</w:t>
      </w:r>
      <w:r>
        <w:rPr>
          <w:rFonts w:hint="eastAsia" w:ascii="宋体" w:hAnsi="宋体" w:eastAsia="宋体" w:cs="仿宋"/>
          <w:bCs/>
          <w:sz w:val="24"/>
          <w:szCs w:val="24"/>
          <w:highlight w:val="none"/>
          <w:lang w:eastAsia="zh-CN"/>
        </w:rPr>
        <w:t xml:space="preserve">输出过流保护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逆变器的交流输出应设置过流保护。当检测到电网侧发生短路时，逆变器的过电流应不大于额定电流的150%，并在0.1s内停止向电网供电，同时发出警示信号。故障排除后，逆变器应能正常工作。</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正常情况下，如果光伏电池阵列能够输出的功率大于逆变器额定输出功率的110%，逆变器应以110%额定输出功率长期工作。</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2.4.2</w:t>
      </w:r>
      <w:r>
        <w:rPr>
          <w:rFonts w:hint="eastAsia" w:ascii="宋体" w:hAnsi="宋体" w:eastAsia="宋体" w:cs="仿宋"/>
          <w:bCs/>
          <w:sz w:val="24"/>
          <w:szCs w:val="24"/>
          <w:highlight w:val="none"/>
          <w:lang w:val="en-US" w:eastAsia="en-US" w:bidi="ar-SA"/>
        </w:rPr>
        <w:t xml:space="preserve">防反放电保护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当逆变器直流侧电压低于允许工作范围或逆变器处于关机状态时，逆变器直流侧应无反向电流流过。直流侧具备反接、过流、过压脱扣保护。</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2.4.3</w:t>
      </w:r>
      <w:r>
        <w:rPr>
          <w:rFonts w:hint="eastAsia" w:ascii="宋体" w:hAnsi="宋体" w:eastAsia="宋体" w:cs="仿宋"/>
          <w:bCs/>
          <w:sz w:val="24"/>
          <w:szCs w:val="24"/>
          <w:highlight w:val="none"/>
          <w:lang w:val="en-US" w:eastAsia="en-US" w:bidi="ar-SA"/>
        </w:rPr>
        <w:t xml:space="preserve">极性反接保护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当光伏方阵的极性反接时，逆变器应能保护而不会损坏。极性正接后，逆变器应能正常工作。</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2.4.4</w:t>
      </w:r>
      <w:r>
        <w:rPr>
          <w:rFonts w:hint="eastAsia" w:ascii="宋体" w:hAnsi="宋体" w:eastAsia="宋体" w:cs="仿宋"/>
          <w:bCs/>
          <w:sz w:val="24"/>
          <w:szCs w:val="24"/>
          <w:highlight w:val="none"/>
          <w:lang w:val="en-US" w:eastAsia="zh-CN" w:bidi="ar-SA"/>
        </w:rPr>
        <w:t xml:space="preserve">供电电网过/欠压，过/欠频保护电</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zh-CN"/>
        </w:rPr>
        <w:t xml:space="preserve">根据《GB_T_19939-2005光伏系统并网技术要求》，在逆变器的交流输出侧，逆变器应能够准确判断供电电网（接线）的过/欠压，过/欠频等异常状态，逆变器应按要求的时间进行保护。</w:t>
      </w:r>
      <w:r>
        <w:rPr>
          <w:rFonts w:hint="eastAsia" w:ascii="宋体" w:hAnsi="宋体" w:eastAsia="宋体" w:cs="仿宋"/>
          <w:bCs/>
          <w:sz w:val="24"/>
          <w:szCs w:val="24"/>
          <w:highlight w:val="none"/>
          <w:lang w:eastAsia="en-US"/>
        </w:rPr>
        <w:t xml:space="preserve">欠压保护中包含了逆变器输出缺相保护。</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2.4.5</w:t>
      </w:r>
      <w:r>
        <w:rPr>
          <w:rFonts w:hint="eastAsia" w:ascii="宋体" w:hAnsi="宋体" w:eastAsia="宋体" w:cs="仿宋"/>
          <w:bCs/>
          <w:sz w:val="24"/>
          <w:szCs w:val="24"/>
          <w:highlight w:val="none"/>
          <w:lang w:val="en-US" w:eastAsia="en-US" w:bidi="ar-SA"/>
        </w:rPr>
        <w:t xml:space="preserve">供电电网相序保护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必须具备电网相序检测功能，当连接到逆变器的电网电压是负序电压时，逆变器必须停机并报警或通过逆变器内部调整向电网注入正序正弦波电流。任何情况下，逆变器都不能向电网注入负序电流。由逆变器所引起的电压不平衡，不应超过限制。</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2.4.6</w:t>
      </w:r>
      <w:r>
        <w:rPr>
          <w:rFonts w:hint="eastAsia" w:ascii="宋体" w:hAnsi="宋体" w:eastAsia="宋体" w:cs="仿宋"/>
          <w:bCs/>
          <w:sz w:val="24"/>
          <w:szCs w:val="24"/>
          <w:highlight w:val="none"/>
          <w:lang w:val="en-US" w:eastAsia="en-US" w:bidi="ar-SA"/>
        </w:rPr>
        <w:t xml:space="preserve">输入过流保护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逆变器的额定输入电流应大于光伏组串在+85℃时的短路电流，当出现输入过流时，过流保护电路动作并报警。</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2.4.7</w:t>
      </w:r>
      <w:r>
        <w:rPr>
          <w:rFonts w:hint="eastAsia" w:ascii="宋体" w:hAnsi="宋体" w:eastAsia="宋体" w:cs="仿宋"/>
          <w:bCs/>
          <w:sz w:val="24"/>
          <w:szCs w:val="24"/>
          <w:highlight w:val="none"/>
          <w:lang w:val="en-US" w:eastAsia="en-US" w:bidi="ar-SA"/>
        </w:rPr>
        <w:t xml:space="preserve">内部短路保护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当逆变器内部发生短路时，逆变器内的电子电路、保护熔断器和输出断路器应快速、可靠动作，任何情况下都不能因逆变器内部短路原因导致电网高压侧的高压断路器动作。</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2.4.8</w:t>
      </w:r>
      <w:r>
        <w:rPr>
          <w:rFonts w:hint="eastAsia" w:ascii="宋体" w:hAnsi="宋体" w:eastAsia="宋体" w:cs="仿宋"/>
          <w:bCs/>
          <w:sz w:val="24"/>
          <w:szCs w:val="24"/>
          <w:highlight w:val="none"/>
          <w:lang w:val="en-US" w:eastAsia="en-US" w:bidi="ar-SA"/>
        </w:rPr>
        <w:t xml:space="preserve">过热保护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逆变器应具备机内环境温度过高报警（例如着火引起的机箱内环境温度过高）、机内关键部件温度过高保护等过热保护功能。</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2.4.9</w:t>
      </w:r>
      <w:r>
        <w:rPr>
          <w:rFonts w:hint="eastAsia" w:ascii="宋体" w:hAnsi="宋体" w:eastAsia="宋体" w:cs="仿宋"/>
          <w:bCs/>
          <w:sz w:val="24"/>
          <w:szCs w:val="24"/>
          <w:highlight w:val="none"/>
          <w:lang w:val="en-US" w:eastAsia="en-US" w:bidi="ar-SA"/>
        </w:rPr>
        <w:t xml:space="preserve">保护的灵敏度和可靠性</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在正常的逆变器运行环境和符合国标要求的电网环境下，逆变器不应出现误停机、误报警和其他无故停止工作的情况。当出现故障时，逆变器应能够按照设计的功能可靠动作。</w:t>
      </w:r>
      <w:r/>
    </w:p>
    <w:p>
      <w:pPr>
        <w:numPr>
          <w:ilvl w:val="0"/>
          <w:numId w:val="0"/>
        </w:numPr>
        <w:contextualSpacing/>
        <w:ind w:left="501" w:hanging="261"/>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2.4.10</w:t>
      </w:r>
      <w:r>
        <w:rPr>
          <w:rFonts w:hint="default" w:ascii="宋体" w:hAnsi="宋体" w:eastAsia="宋体" w:cs="仿宋"/>
          <w:bCs/>
          <w:sz w:val="24"/>
          <w:szCs w:val="24"/>
          <w:highlight w:val="none"/>
          <w:lang w:val="en-US" w:eastAsia="zh-CN" w:bidi="ar-SA"/>
        </w:rPr>
        <w:t xml:space="preserve">▲</w:t>
      </w:r>
      <w:r>
        <w:rPr>
          <w:rFonts w:hint="eastAsia" w:ascii="宋体" w:hAnsi="宋体" w:eastAsia="宋体" w:cs="仿宋"/>
          <w:bCs/>
          <w:sz w:val="24"/>
          <w:szCs w:val="24"/>
          <w:highlight w:val="none"/>
          <w:lang w:val="en-US" w:eastAsia="zh-CN" w:bidi="ar-SA"/>
        </w:rPr>
        <w:t xml:space="preserve">逆变器效率不小于98%，工作容量0-110%，工作噪音不大于</w:t>
      </w:r>
      <w:r>
        <w:rPr>
          <w:rFonts w:hint="eastAsia" w:ascii="宋体" w:hAnsi="宋体" w:cs="仿宋"/>
          <w:bCs/>
          <w:sz w:val="24"/>
          <w:szCs w:val="24"/>
          <w:highlight w:val="none"/>
          <w:lang w:val="en-US" w:eastAsia="zh-CN" w:bidi="ar-SA"/>
        </w:rPr>
        <w:t xml:space="preserve">65</w:t>
      </w:r>
      <w:r>
        <w:rPr>
          <w:rFonts w:hint="eastAsia" w:ascii="宋体" w:hAnsi="宋体" w:eastAsia="宋体" w:cs="仿宋"/>
          <w:bCs/>
          <w:sz w:val="24"/>
          <w:szCs w:val="24"/>
          <w:highlight w:val="none"/>
          <w:lang w:val="en-US" w:eastAsia="zh-CN" w:bidi="ar-SA"/>
        </w:rPr>
        <w:t xml:space="preserve">dB(A)。</w:t>
      </w:r>
      <w:r/>
    </w:p>
    <w:p>
      <w:pPr>
        <w:numPr>
          <w:ilvl w:val="0"/>
          <w:numId w:val="0"/>
        </w:numPr>
        <w:contextualSpacing/>
        <w:ind w:left="501" w:hanging="261"/>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2.4.11</w:t>
      </w:r>
      <w:r>
        <w:rPr>
          <w:rFonts w:hint="eastAsia" w:ascii="宋体" w:hAnsi="宋体" w:eastAsia="宋体" w:cs="仿宋"/>
          <w:bCs/>
          <w:sz w:val="24"/>
          <w:szCs w:val="24"/>
          <w:highlight w:val="none"/>
          <w:lang w:val="en-US" w:eastAsia="zh-CN" w:bidi="ar-SA"/>
        </w:rPr>
        <w:t xml:space="preserve">具备独立的无功补偿，功率因数≥96%以上。</w:t>
      </w:r>
      <w:r/>
    </w:p>
    <w:p>
      <w:pPr>
        <w:numPr>
          <w:ilvl w:val="0"/>
          <w:numId w:val="0"/>
        </w:numPr>
        <w:ind w:left="0" w:firstLine="240"/>
        <w:keepLines/>
        <w:keepNext/>
        <w:pageBreakBefore w:val="0"/>
        <w:spacing w:after="0" w:line="360" w:lineRule="auto"/>
        <w:rPr>
          <w:rFonts w:hint="default" w:ascii="宋体" w:hAnsi="宋体" w:eastAsia="宋体" w:cs="仿宋"/>
          <w:sz w:val="24"/>
          <w:szCs w:val="24"/>
          <w:highlight w:val="none"/>
          <w:lang w:val="en-US" w:eastAsia="en-US" w:bidi="ar-SA"/>
        </w:rPr>
        <w:outlineLvl w:val="9"/>
      </w:pPr>
      <w:r>
        <w:rPr>
          <w:rFonts w:hint="eastAsia" w:ascii="宋体" w:hAnsi="宋体" w:cs="仿宋"/>
          <w:sz w:val="24"/>
          <w:szCs w:val="24"/>
          <w:highlight w:val="none"/>
          <w:lang w:val="en-US" w:eastAsia="zh-CN" w:bidi="ar-SA"/>
        </w:rPr>
        <w:t xml:space="preserve">2.5</w:t>
      </w:r>
      <w:r>
        <w:rPr>
          <w:rFonts w:hint="eastAsia" w:ascii="宋体" w:hAnsi="宋体" w:eastAsia="宋体" w:cs="仿宋"/>
          <w:sz w:val="24"/>
          <w:szCs w:val="24"/>
          <w:highlight w:val="none"/>
          <w:lang w:val="en-US" w:eastAsia="en-US" w:bidi="ar-SA"/>
        </w:rPr>
        <w:t xml:space="preserve">性能参数</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402"/>
        <w:gridCol w:w="992"/>
        <w:gridCol w:w="2264"/>
        <w:gridCol w:w="713"/>
      </w:tblGrid>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序号</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项目</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单位</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参数</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备注</w:t>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输入（直流）</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最大输入电压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rPr>
                <w:rFonts w:hint="eastAsia" w:ascii="宋体" w:hAnsi="宋体" w:cs="仿宋"/>
                <w:sz w:val="24"/>
                <w:szCs w:val="24"/>
                <w:highlight w:val="none"/>
                <w:lang w:val="en-US" w:eastAsia="en-US" w:bidi="zh-CN"/>
              </w:rPr>
              <w:t xml:space="preserve">5</w:t>
            </w:r>
            <w:r>
              <w:rPr>
                <w:rFonts w:hint="eastAsia" w:ascii="宋体" w:hAnsi="宋体" w:eastAsia="宋体" w:cs="仿宋"/>
                <w:sz w:val="24"/>
                <w:szCs w:val="24"/>
                <w:highlight w:val="none"/>
                <w:lang w:eastAsia="en-US" w:bidi="zh-CN"/>
              </w:rPr>
              <w:t xml:space="preserve">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 xml:space="preserve">每路MPPT最大输入电流</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A</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40A</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MPPT电压范围</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200</w:t>
            </w:r>
            <w:r>
              <w:rPr>
                <w:rFonts w:hint="eastAsia" w:ascii="宋体" w:hAnsi="宋体" w:eastAsia="宋体" w:cs="仿宋"/>
                <w:sz w:val="24"/>
                <w:szCs w:val="24"/>
                <w:highlight w:val="none"/>
                <w:lang w:eastAsia="en-US" w:bidi="zh-CN"/>
              </w:rPr>
              <w:t xml:space="preserve">-1000V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最大输入路数</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路</w:t>
            </w:r>
            <w:r/>
          </w:p>
        </w:tc>
        <w:tc>
          <w:tcPr>
            <w:tcW w:w="2264" w:type="dxa"/>
            <w:vAlign w:val="center"/>
            <w:textDirection w:val="lrTb"/>
            <w:noWrap w:val="false"/>
          </w:tcPr>
          <w:p>
            <w:pPr>
              <w:ind w:left="0"/>
              <w:jc w:val="center"/>
              <w:pageBreakBefore w:val="0"/>
              <w:spacing w:after="0" w:line="360" w:lineRule="auto"/>
              <w:rPr>
                <w:rFonts w:hint="default" w:ascii="宋体" w:hAnsi="宋体" w:eastAsia="宋体" w:cs="仿宋"/>
                <w:sz w:val="24"/>
                <w:szCs w:val="24"/>
                <w:highlight w:val="none"/>
                <w:lang w:val="en-US" w:eastAsia="en-US" w:bidi="zh-CN"/>
              </w:rPr>
            </w:pPr>
            <w:r>
              <w:rPr>
                <w:rFonts w:hint="eastAsia" w:ascii="宋体" w:hAnsi="宋体" w:cs="仿宋"/>
                <w:sz w:val="24"/>
                <w:szCs w:val="24"/>
                <w:highlight w:val="none"/>
                <w:lang w:val="en-US" w:eastAsia="en-US" w:bidi="zh-CN"/>
              </w:rPr>
              <w:t xml:space="preserve">12</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5</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MPPT数量</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路</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6</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输出（交流）</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额定输出功率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W</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zh-CN" w:bidi="zh-CN"/>
              </w:rPr>
              <w:t xml:space="preserve">75000</w:t>
            </w:r>
            <w:r>
              <w:rPr>
                <w:rFonts w:hint="eastAsia" w:ascii="宋体" w:hAnsi="宋体" w:eastAsia="宋体" w:cs="仿宋"/>
                <w:sz w:val="24"/>
                <w:szCs w:val="24"/>
                <w:highlight w:val="none"/>
                <w:lang w:eastAsia="zh-CN" w:bidi="zh-CN"/>
              </w:rPr>
              <w:t xml:space="preserve">w</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 xml:space="preserve">最大输出功率（PF=1）</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W</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82500</w:t>
            </w:r>
            <w:r>
              <w:rPr>
                <w:rFonts w:hint="eastAsia" w:ascii="宋体" w:hAnsi="宋体" w:eastAsia="宋体" w:cs="仿宋"/>
                <w:sz w:val="24"/>
                <w:szCs w:val="24"/>
                <w:highlight w:val="none"/>
                <w:lang w:eastAsia="en-US" w:bidi="zh-CN"/>
              </w:rPr>
              <w:t xml:space="preserve">w</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最大输出视在功率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VA</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82500</w:t>
            </w:r>
            <w:r>
              <w:rPr>
                <w:rFonts w:hint="eastAsia" w:ascii="宋体" w:hAnsi="宋体" w:eastAsia="宋体" w:cs="仿宋"/>
                <w:sz w:val="24"/>
                <w:szCs w:val="24"/>
                <w:highlight w:val="none"/>
                <w:lang w:eastAsia="en-US" w:bidi="zh-CN"/>
              </w:rPr>
              <w:t xml:space="preserve">va</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额定输出电压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6</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额定频率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Hz</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50Hz</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7</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功率因数</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0.8超前~0.8滞后</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系统</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bidi="zh-CN"/>
              </w:rPr>
              <w:t xml:space="preserve">最大效率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98.5</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bidi="zh-CN"/>
              </w:rPr>
              <w:t xml:space="preserve">中国效率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98</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防护等级</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IP65</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保护功能</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防孤岛保护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输出过流保护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输入反接保护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组串故障检测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5</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直流浪涌保护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6</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交流浪涌保护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7</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绝缘阻抗检测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8</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残余电流监测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显示与通信</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显示</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LED指示灯；蓝牙+APP</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RS485</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USB</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MBUS</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bl>
    <w:p>
      <w:pPr>
        <w:numPr>
          <w:ilvl w:val="0"/>
          <w:numId w:val="0"/>
        </w:numPr>
        <w:ind w:left="430" w:hanging="19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3、</w:t>
      </w:r>
      <w:r>
        <w:rPr>
          <w:rFonts w:hint="eastAsia" w:ascii="宋体" w:hAnsi="宋体" w:eastAsia="宋体" w:cs="仿宋"/>
          <w:b/>
          <w:bCs/>
          <w:sz w:val="24"/>
          <w:szCs w:val="24"/>
          <w:highlight w:val="none"/>
          <w:lang w:val="en-US" w:eastAsia="en-US" w:bidi="ar-SA"/>
        </w:rPr>
        <w:t xml:space="preserve">低压并网柜、断路器</w:t>
      </w:r>
      <w:r/>
    </w:p>
    <w:p>
      <w:pPr>
        <w:numPr>
          <w:ilvl w:val="0"/>
          <w:numId w:val="0"/>
        </w:numPr>
        <w:ind w:left="0" w:firstLine="0"/>
        <w:keepLines/>
        <w:keepNext/>
        <w:pageBreakBefore w:val="0"/>
        <w:spacing w:after="0" w:line="360" w:lineRule="auto"/>
        <w:tabs>
          <w:tab w:val="left" w:pos="312" w:leader="none"/>
        </w:tabs>
        <w:rPr>
          <w:rFonts w:hint="default" w:ascii="宋体" w:hAnsi="宋体" w:eastAsia="宋体" w:cs="仿宋"/>
          <w:bCs/>
          <w:sz w:val="24"/>
          <w:szCs w:val="24"/>
          <w:highlight w:val="none"/>
          <w:lang w:val="en-US" w:eastAsia="en-US" w:bidi="ar-SA"/>
        </w:rPr>
        <w:outlineLvl w:val="9"/>
      </w:pPr>
      <w:r>
        <w:rPr>
          <w:rFonts w:hint="eastAsia" w:ascii="宋体" w:hAnsi="宋体" w:cs="仿宋"/>
          <w:bCs/>
          <w:sz w:val="24"/>
          <w:szCs w:val="24"/>
          <w:highlight w:val="none"/>
          <w:lang w:val="en-US" w:eastAsia="zh-CN" w:bidi="ar-SA"/>
        </w:rPr>
        <w:t xml:space="preserve">3.1</w:t>
      </w:r>
      <w:r>
        <w:rPr>
          <w:rFonts w:hint="eastAsia" w:ascii="宋体" w:hAnsi="宋体" w:eastAsia="宋体" w:cs="仿宋"/>
          <w:bCs/>
          <w:sz w:val="24"/>
          <w:szCs w:val="24"/>
          <w:highlight w:val="none"/>
          <w:lang w:val="en-US" w:eastAsia="en-US" w:bidi="ar-SA"/>
        </w:rPr>
        <w:t xml:space="preserve">低压并网柜</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低压并网开关柜选用低压GGD开关柜，主要参数：</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数量：按需</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额定电压：AC 400V</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额定电流：不低于设计要求值 </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额定频率：50Hz</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短路电流水平：不低于设计要求值</w:t>
      </w:r>
      <w:r/>
    </w:p>
    <w:p>
      <w:pPr>
        <w:ind w:left="0" w:firstLine="480"/>
        <w:pageBreakBefore w:val="0"/>
        <w:spacing w:after="0" w:line="360" w:lineRule="auto"/>
        <w:rPr>
          <w:rFonts w:hint="default" w:ascii="宋体" w:hAnsi="宋体" w:eastAsia="宋体" w:cs="仿宋"/>
          <w:bCs/>
          <w:sz w:val="24"/>
          <w:szCs w:val="24"/>
          <w:highlight w:val="none"/>
          <w:lang w:val="en-US" w:eastAsia="zh-CN"/>
        </w:rPr>
      </w:pPr>
      <w:r>
        <w:rPr>
          <w:rFonts w:hint="eastAsia" w:ascii="宋体" w:hAnsi="宋体" w:eastAsia="宋体" w:cs="仿宋"/>
          <w:bCs/>
          <w:sz w:val="24"/>
          <w:szCs w:val="24"/>
          <w:highlight w:val="none"/>
          <w:lang w:eastAsia="en-US"/>
        </w:rPr>
        <w:t xml:space="preserve">外壳防护等级：IP</w:t>
      </w:r>
      <w:r>
        <w:rPr>
          <w:rFonts w:hint="eastAsia" w:ascii="宋体" w:hAnsi="宋体" w:cs="仿宋"/>
          <w:bCs/>
          <w:sz w:val="24"/>
          <w:szCs w:val="24"/>
          <w:highlight w:val="none"/>
          <w:lang w:val="en-US" w:eastAsia="zh-CN"/>
        </w:rPr>
        <w:t xml:space="preserve">65</w:t>
      </w:r>
      <w:r/>
    </w:p>
    <w:p>
      <w:pPr>
        <w:numPr>
          <w:ilvl w:val="0"/>
          <w:numId w:val="0"/>
        </w:numPr>
        <w:ind w:left="0" w:firstLine="0"/>
        <w:keepLines/>
        <w:keepNext/>
        <w:pageBreakBefore w:val="0"/>
        <w:spacing w:after="0" w:line="360" w:lineRule="auto"/>
        <w:tabs>
          <w:tab w:val="left" w:pos="312" w:leader="none"/>
        </w:tabs>
        <w:rPr>
          <w:rFonts w:hint="default" w:ascii="宋体" w:hAnsi="宋体" w:eastAsia="宋体" w:cs="仿宋"/>
          <w:sz w:val="24"/>
          <w:szCs w:val="24"/>
          <w:highlight w:val="none"/>
          <w:lang w:val="en-US" w:eastAsia="en-US" w:bidi="ar-SA"/>
        </w:rPr>
        <w:outlineLvl w:val="9"/>
      </w:pPr>
      <w:r>
        <w:rPr>
          <w:rFonts w:hint="eastAsia" w:ascii="宋体" w:hAnsi="宋体" w:cs="仿宋"/>
          <w:b w:val="0"/>
          <w:bCs/>
          <w:color w:val="auto"/>
          <w:sz w:val="24"/>
          <w:szCs w:val="24"/>
          <w:highlight w:val="none"/>
          <w:lang w:val="en-US" w:eastAsia="zh-CN" w:bidi="ar-SA"/>
        </w:rPr>
        <w:t xml:space="preserve">3.2</w:t>
      </w:r>
      <w:r>
        <w:rPr>
          <w:rFonts w:hint="eastAsia" w:ascii="宋体" w:hAnsi="宋体" w:eastAsia="宋体" w:cs="仿宋"/>
          <w:sz w:val="24"/>
          <w:szCs w:val="24"/>
          <w:highlight w:val="none"/>
          <w:lang w:val="en-US" w:eastAsia="en-US" w:bidi="ar-SA"/>
        </w:rPr>
        <w:t xml:space="preserve">断路器</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型号：塑壳断路器(进线)/框架式断路器(出线)</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额定电流：不低于设计要求值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额定极限短路分断能力：不低于设计要求值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断路器具有明显开断指示、具备开断故障电流能力的低压并网专用开关,专用开关应具备失压跳闸及检有压合闸功能，失压跳闸定值宜整定为20%UN、10秒， 检有压定值宜整定为大于85%UN，断路器应具备电源端与负荷端反接能力。</w:t>
      </w:r>
      <w:r/>
    </w:p>
    <w:p>
      <w:pPr>
        <w:numPr>
          <w:ilvl w:val="0"/>
          <w:numId w:val="0"/>
        </w:numPr>
        <w:contextualSpacing/>
        <w:ind w:left="0" w:firstLine="398"/>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3.2.1</w:t>
      </w:r>
      <w:r>
        <w:rPr>
          <w:rFonts w:hint="eastAsia" w:ascii="宋体" w:hAnsi="宋体" w:eastAsia="宋体" w:cs="仿宋"/>
          <w:bCs/>
          <w:sz w:val="24"/>
          <w:szCs w:val="24"/>
          <w:highlight w:val="none"/>
          <w:lang w:val="en-US" w:eastAsia="zh-CN" w:bidi="ar-SA"/>
        </w:rPr>
        <w:t xml:space="preserve">所有屏体应为户内立柜式，前后门结构，密封的前后门带锁。屏端子布置在屏内背板上，所有的维护操作均可通过前门完成，柜内应有AC220V多用插座。屏的外形尺寸应保持一致、美观大方。高标准的优先。</w:t>
      </w:r>
      <w:r/>
    </w:p>
    <w:p>
      <w:pPr>
        <w:numPr>
          <w:ilvl w:val="0"/>
          <w:numId w:val="0"/>
        </w:numPr>
        <w:contextualSpacing/>
        <w:ind w:left="0" w:firstLine="398"/>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3.2.2</w:t>
      </w:r>
      <w:r>
        <w:rPr>
          <w:rFonts w:hint="eastAsia" w:ascii="宋体" w:hAnsi="宋体" w:eastAsia="宋体" w:cs="仿宋"/>
          <w:bCs/>
          <w:sz w:val="24"/>
          <w:szCs w:val="24"/>
          <w:highlight w:val="none"/>
          <w:lang w:val="en-US" w:eastAsia="zh-CN" w:bidi="ar-SA"/>
        </w:rPr>
        <w:t xml:space="preserve">柜中内部接线应符合《电气装置安装工程盘、柜及二次回路接线施工及验收规范》GB50171的相关规定，一般控制导线应不小于1.5mm</w:t>
      </w:r>
      <w:r>
        <w:rPr>
          <w:rFonts w:hint="eastAsia" w:ascii="宋体" w:hAnsi="宋体" w:eastAsia="宋体" w:cs="仿宋"/>
          <w:bCs/>
          <w:sz w:val="24"/>
          <w:szCs w:val="24"/>
          <w:highlight w:val="none"/>
          <w:vertAlign w:val="superscript"/>
          <w:lang w:val="en-US" w:eastAsia="zh-CN" w:bidi="ar-SA"/>
        </w:rPr>
        <w:t xml:space="preserve">2</w:t>
      </w:r>
      <w:r>
        <w:rPr>
          <w:rFonts w:hint="eastAsia" w:ascii="宋体" w:hAnsi="宋体" w:eastAsia="宋体" w:cs="仿宋"/>
          <w:bCs/>
          <w:sz w:val="24"/>
          <w:szCs w:val="24"/>
          <w:highlight w:val="none"/>
          <w:lang w:val="en-US" w:eastAsia="zh-CN" w:bidi="ar-SA"/>
        </w:rPr>
        <w:t xml:space="preserve">。</w:t>
      </w:r>
      <w:r/>
    </w:p>
    <w:p>
      <w:pPr>
        <w:numPr>
          <w:ilvl w:val="0"/>
          <w:numId w:val="0"/>
        </w:numPr>
        <w:contextualSpacing/>
        <w:ind w:left="0" w:firstLine="398"/>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3.2.3</w:t>
      </w:r>
      <w:r>
        <w:rPr>
          <w:rFonts w:hint="eastAsia" w:ascii="宋体" w:hAnsi="宋体" w:eastAsia="宋体" w:cs="仿宋"/>
          <w:bCs/>
          <w:sz w:val="24"/>
          <w:szCs w:val="24"/>
          <w:highlight w:val="none"/>
          <w:lang w:val="en-US" w:eastAsia="zh-CN" w:bidi="ar-SA"/>
        </w:rPr>
        <w:t xml:space="preserve">端子排应保证足够的绝缘水平，端子排应根据功能分段排列，至少应留有20%的备用端子，并可根据需要增加，所有端子的额定值为10A，1000V，压接型端子。</w:t>
      </w:r>
      <w:r/>
    </w:p>
    <w:p>
      <w:pPr>
        <w:numPr>
          <w:ilvl w:val="0"/>
          <w:numId w:val="0"/>
        </w:numPr>
        <w:contextualSpacing/>
        <w:ind w:left="0" w:firstLine="398"/>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3.2.4 </w:t>
      </w:r>
      <w:r>
        <w:rPr>
          <w:rFonts w:hint="eastAsia" w:ascii="宋体" w:hAnsi="宋体" w:eastAsia="宋体" w:cs="仿宋"/>
          <w:bCs/>
          <w:sz w:val="24"/>
          <w:szCs w:val="24"/>
          <w:highlight w:val="none"/>
          <w:lang w:val="en-US" w:eastAsia="zh-CN" w:bidi="ar-SA"/>
        </w:rPr>
        <w:t xml:space="preserve">CT接到端子排上的导线应有标志条或标志套管标明。电流回路的端子应允许用户接6mm</w:t>
      </w:r>
      <w:r>
        <w:rPr>
          <w:rFonts w:hint="eastAsia" w:ascii="宋体" w:hAnsi="宋体" w:eastAsia="宋体" w:cs="仿宋"/>
          <w:bCs/>
          <w:sz w:val="24"/>
          <w:szCs w:val="24"/>
          <w:highlight w:val="none"/>
          <w:vertAlign w:val="superscript"/>
          <w:lang w:val="en-US" w:eastAsia="zh-CN" w:bidi="ar-SA"/>
        </w:rPr>
        <w:t xml:space="preserve">2</w:t>
      </w:r>
      <w:r>
        <w:rPr>
          <w:rFonts w:hint="eastAsia" w:ascii="宋体" w:hAnsi="宋体" w:eastAsia="宋体" w:cs="仿宋"/>
          <w:bCs/>
          <w:sz w:val="24"/>
          <w:szCs w:val="24"/>
          <w:highlight w:val="none"/>
          <w:lang w:val="en-US" w:eastAsia="zh-CN" w:bidi="ar-SA"/>
        </w:rPr>
        <w:t xml:space="preserve">的电缆芯线；每个端子只允许接一根导线，端子排前应保留足够空间，便于电缆连接。</w:t>
      </w:r>
      <w:r/>
    </w:p>
    <w:p>
      <w:pPr>
        <w:numPr>
          <w:ilvl w:val="0"/>
          <w:numId w:val="0"/>
        </w:numPr>
        <w:ind w:left="480" w:firstLine="48"/>
        <w:keepLines/>
        <w:keepNext/>
        <w:pageBreakBefore w:val="0"/>
        <w:spacing w:after="0" w:line="360" w:lineRule="auto"/>
        <w:rPr>
          <w:rFonts w:hint="default" w:ascii="宋体" w:hAnsi="宋体" w:eastAsia="宋体" w:cs="仿宋"/>
          <w:b w:val="0"/>
          <w:bCs w:val="0"/>
          <w:sz w:val="24"/>
          <w:szCs w:val="24"/>
          <w:highlight w:val="none"/>
          <w:lang w:val="en-US" w:eastAsia="en-US" w:bidi="ar-SA"/>
        </w:rPr>
        <w:outlineLvl w:val="9"/>
      </w:pPr>
      <w:r>
        <w:rPr>
          <w:rFonts w:hint="eastAsia" w:ascii="宋体" w:hAnsi="宋体" w:cs="仿宋"/>
          <w:b w:val="0"/>
          <w:bCs w:val="0"/>
          <w:sz w:val="24"/>
          <w:szCs w:val="24"/>
          <w:highlight w:val="none"/>
          <w:lang w:val="en-US" w:eastAsia="zh-CN" w:bidi="ar-SA"/>
        </w:rPr>
        <w:t xml:space="preserve">3.3</w:t>
      </w:r>
      <w:r>
        <w:rPr>
          <w:rFonts w:hint="eastAsia" w:ascii="宋体" w:hAnsi="宋体" w:eastAsia="宋体" w:cs="仿宋"/>
          <w:b w:val="0"/>
          <w:bCs w:val="0"/>
          <w:sz w:val="24"/>
          <w:szCs w:val="24"/>
          <w:highlight w:val="none"/>
          <w:lang w:val="en-US" w:eastAsia="en-US" w:bidi="ar-SA"/>
        </w:rPr>
        <w:t xml:space="preserve">电缆设施</w:t>
      </w:r>
      <w:r/>
    </w:p>
    <w:p>
      <w:pPr>
        <w:numPr>
          <w:ilvl w:val="0"/>
          <w:numId w:val="0"/>
        </w:numPr>
        <w:contextualSpacing/>
        <w:ind w:left="-420" w:firstLine="720"/>
        <w:jc w:val="both"/>
        <w:pageBreakBefore w:val="0"/>
        <w:spacing w:after="0" w:line="360" w:lineRule="auto"/>
        <w:widowControl w:val="off"/>
        <w:rPr>
          <w:rFonts w:hint="eastAsia" w:ascii="宋体" w:hAnsi="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3.3.1</w:t>
      </w:r>
      <w:r>
        <w:rPr>
          <w:rFonts w:hint="eastAsia" w:ascii="宋体" w:hAnsi="宋体" w:eastAsia="宋体" w:cs="仿宋"/>
          <w:bCs/>
          <w:sz w:val="24"/>
          <w:szCs w:val="24"/>
          <w:highlight w:val="none"/>
          <w:lang w:val="en-US" w:eastAsia="zh-CN" w:bidi="ar-SA"/>
        </w:rPr>
        <w:t xml:space="preserve">根据《电力工程电缆设计规范》(GB50217－2007)及《防止电力生产重大事故的二</w:t>
      </w:r>
      <w:r>
        <w:rPr>
          <w:rFonts w:hint="eastAsia" w:ascii="宋体" w:hAnsi="宋体" w:cs="仿宋"/>
          <w:bCs/>
          <w:sz w:val="24"/>
          <w:szCs w:val="24"/>
          <w:highlight w:val="none"/>
          <w:lang w:val="en-US" w:eastAsia="zh-CN" w:bidi="ar-SA"/>
        </w:rPr>
        <w:t xml:space="preserve"> </w:t>
      </w:r>
      <w:r/>
    </w:p>
    <w:p>
      <w:pPr>
        <w:numPr>
          <w:ilvl w:val="0"/>
          <w:numId w:val="0"/>
        </w:numPr>
        <w:contextualSpacing/>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十五项重点要求》对电缆选型的要求，本系统对光伏电站内电缆均采用C类阻燃电缆。</w:t>
      </w:r>
      <w:r/>
    </w:p>
    <w:p>
      <w:pPr>
        <w:numPr>
          <w:ilvl w:val="0"/>
          <w:numId w:val="0"/>
        </w:numPr>
        <w:contextualSpacing/>
        <w:ind w:left="501" w:hanging="261"/>
        <w:jc w:val="both"/>
        <w:pageBreakBefore w:val="0"/>
        <w:spacing w:after="0" w:line="360" w:lineRule="auto"/>
        <w:widowControl w:val="off"/>
        <w:rPr>
          <w:rFonts w:hint="eastAsia" w:ascii="宋体" w:hAnsi="宋体" w:eastAsia="宋体" w:cs="仿宋"/>
          <w:bCs/>
          <w:sz w:val="24"/>
          <w:szCs w:val="24"/>
          <w:highlight w:val="none"/>
          <w:lang w:val="en-US" w:eastAsia="zh-CN" w:bidi="ar-SA"/>
        </w:rPr>
      </w:pPr>
      <w:r>
        <w:rPr>
          <w:rFonts w:hint="eastAsia" w:ascii="宋体" w:hAnsi="宋体" w:cs="仿宋"/>
          <w:b w:val="0"/>
          <w:bCs w:val="0"/>
          <w:color w:val="auto"/>
          <w:sz w:val="24"/>
          <w:szCs w:val="24"/>
          <w:highlight w:val="none"/>
          <w:lang w:val="en-US" w:eastAsia="zh-CN" w:bidi="ar-SA"/>
        </w:rPr>
        <w:t xml:space="preserve">3.3.2</w:t>
      </w:r>
      <w:r>
        <w:rPr>
          <w:rFonts w:hint="eastAsia" w:ascii="宋体" w:hAnsi="宋体" w:eastAsia="宋体" w:cs="仿宋"/>
          <w:bCs/>
          <w:sz w:val="24"/>
          <w:szCs w:val="24"/>
          <w:highlight w:val="none"/>
          <w:lang w:val="en-US" w:eastAsia="zh-CN" w:bidi="ar-SA"/>
        </w:rPr>
        <w:t xml:space="preserve">低压电力电缆采用阻燃铜芯聚乙烯绝缘聚氯乙烯护套钢带铠装电力电缆及铝合金铠</w:t>
      </w:r>
      <w:r/>
    </w:p>
    <w:p>
      <w:pPr>
        <w:numPr>
          <w:ilvl w:val="0"/>
          <w:numId w:val="0"/>
        </w:numPr>
        <w:contextualSpacing/>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装、PVC外护套、90℃交联聚乙烯防水型绝缘电缆。</w:t>
      </w:r>
      <w:r/>
    </w:p>
    <w:p>
      <w:pPr>
        <w:numPr>
          <w:ilvl w:val="0"/>
          <w:numId w:val="0"/>
        </w:numPr>
        <w:contextualSpacing/>
        <w:ind w:left="501" w:hanging="261"/>
        <w:jc w:val="both"/>
        <w:pageBreakBefore w:val="0"/>
        <w:spacing w:after="0" w:line="360" w:lineRule="auto"/>
        <w:widowControl w:val="off"/>
        <w:rPr>
          <w:rFonts w:hint="eastAsia" w:ascii="宋体" w:hAnsi="宋体" w:eastAsia="宋体" w:cs="仿宋"/>
          <w:bCs/>
          <w:sz w:val="24"/>
          <w:szCs w:val="24"/>
          <w:highlight w:val="none"/>
          <w:lang w:val="en-US" w:eastAsia="zh-CN" w:bidi="ar-SA"/>
        </w:rPr>
      </w:pPr>
      <w:r>
        <w:rPr>
          <w:rFonts w:hint="eastAsia" w:ascii="宋体" w:hAnsi="宋体" w:cs="仿宋"/>
          <w:b w:val="0"/>
          <w:bCs w:val="0"/>
          <w:color w:val="auto"/>
          <w:sz w:val="24"/>
          <w:szCs w:val="24"/>
          <w:highlight w:val="none"/>
          <w:lang w:val="en-US" w:eastAsia="zh-CN" w:bidi="ar-SA"/>
        </w:rPr>
        <w:t xml:space="preserve">3.3.3</w:t>
      </w:r>
      <w:r>
        <w:rPr>
          <w:rFonts w:hint="eastAsia" w:ascii="宋体" w:hAnsi="宋体" w:eastAsia="宋体" w:cs="仿宋"/>
          <w:bCs/>
          <w:sz w:val="24"/>
          <w:szCs w:val="24"/>
          <w:highlight w:val="none"/>
          <w:lang w:val="en-US" w:eastAsia="zh-CN" w:bidi="ar-SA"/>
        </w:rPr>
        <w:t xml:space="preserve">电缆通道按《发电厂、变电所电缆选择与敷设设计规程》规定及《发电厂、变电所</w:t>
      </w:r>
      <w:r/>
    </w:p>
    <w:p>
      <w:pPr>
        <w:numPr>
          <w:ilvl w:val="0"/>
          <w:numId w:val="0"/>
        </w:numPr>
        <w:contextualSpacing/>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设计防火规范》设置防止电缆着火延燃措施：如在户外进入户内等处设置阻火隔墙或阻火段；封堵所有的电缆竖井孔、墙孔、开关柜控制保护屏柜底部电缆孔洞等。</w:t>
      </w:r>
      <w:r/>
    </w:p>
    <w:p>
      <w:pPr>
        <w:numPr>
          <w:ilvl w:val="0"/>
          <w:numId w:val="0"/>
        </w:numPr>
        <w:ind w:firstLine="241"/>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cs="仿宋"/>
          <w:b/>
          <w:bCs/>
          <w:sz w:val="24"/>
          <w:szCs w:val="24"/>
          <w:highlight w:val="none"/>
          <w:lang w:val="en-US" w:eastAsia="zh-CN" w:bidi="ar-SA"/>
        </w:rPr>
        <w:t xml:space="preserve">4、</w:t>
      </w:r>
      <w:r>
        <w:rPr>
          <w:rFonts w:hint="eastAsia" w:ascii="宋体" w:hAnsi="宋体" w:eastAsia="宋体" w:cs="仿宋"/>
          <w:b/>
          <w:bCs/>
          <w:sz w:val="24"/>
          <w:szCs w:val="24"/>
          <w:highlight w:val="none"/>
          <w:lang w:val="en-US" w:eastAsia="en-US" w:bidi="ar-SA"/>
        </w:rPr>
        <w:t xml:space="preserve">支架</w:t>
      </w:r>
      <w:r/>
    </w:p>
    <w:p>
      <w:pPr>
        <w:numPr>
          <w:ilvl w:val="0"/>
          <w:numId w:val="0"/>
        </w:numPr>
        <w:contextualSpacing/>
        <w:ind w:left="503" w:hanging="263"/>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
          <w:bCs/>
          <w:color w:val="auto"/>
          <w:sz w:val="24"/>
          <w:szCs w:val="24"/>
          <w:highlight w:val="none"/>
          <w:lang w:val="en-US" w:eastAsia="zh-CN" w:bidi="ar-SA"/>
        </w:rPr>
        <w:t xml:space="preserve">4.1</w:t>
      </w:r>
      <w:r>
        <w:rPr>
          <w:rFonts w:hint="eastAsia" w:ascii="宋体" w:hAnsi="宋体" w:eastAsia="宋体" w:cs="仿宋"/>
          <w:bCs/>
          <w:sz w:val="24"/>
          <w:szCs w:val="24"/>
          <w:highlight w:val="none"/>
          <w:lang w:val="en-US" w:eastAsia="en-US" w:bidi="ar-SA"/>
        </w:rPr>
        <w:t xml:space="preserve">设计和运行条件</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固定式钢结构支架为室外安装，须具有良好的耐侯性，能在室外严酷的环境下长期稳定可靠地运行，并应在下述条件下连续工作满足其所有性能指标（根据项目实际情况和规范要求）。</w:t>
      </w:r>
      <w:r/>
    </w:p>
    <w:p>
      <w:pPr>
        <w:numPr>
          <w:ilvl w:val="0"/>
          <w:numId w:val="0"/>
        </w:numPr>
        <w:contextualSpacing/>
        <w:ind w:left="503" w:hanging="263"/>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
          <w:bCs/>
          <w:color w:val="auto"/>
          <w:sz w:val="24"/>
          <w:szCs w:val="24"/>
          <w:highlight w:val="none"/>
          <w:lang w:val="en-US" w:eastAsia="zh-CN" w:bidi="ar-SA"/>
        </w:rPr>
        <w:t xml:space="preserve">4.2</w:t>
      </w:r>
      <w:r>
        <w:rPr>
          <w:rFonts w:hint="eastAsia" w:ascii="宋体" w:hAnsi="宋体" w:eastAsia="宋体" w:cs="仿宋"/>
          <w:bCs/>
          <w:sz w:val="24"/>
          <w:szCs w:val="24"/>
          <w:highlight w:val="none"/>
          <w:lang w:val="en-US" w:eastAsia="en-US" w:bidi="ar-SA"/>
        </w:rPr>
        <w:t xml:space="preserve">规范和标准</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本技术协议中支架的设计、制造应符合（但不限于）下列规范与标准：</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承包人所供产品均须遵守最新的国家标准，当与下述标准不一致时按最高标准执行。</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50009-2012建筑结构荷载规范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50011-2010 建筑抗震设计规范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50017-2003 钢结构设计规范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50018-2002 冷弯薄壁型钢结构技术规范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50191-2012构筑物抗震设计规范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50202-2002 建筑地基基础工程质量验收规范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50205-2001 钢结构工程施工质量验收规范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50212-2002 建筑防腐蚀工程施工及验收规范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50797-2012 光伏发电站设计规范</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191-2008 包装储运图示标志</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700-2006 碳素结构钢</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706-2008热轧型钢</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3098.1-2010紧固件机械性能　螺栓、螺钉和螺柱</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5117-2012 非合金钢及细晶粒钢焊条</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6723-2008 通用冷弯开口型钢尺寸、外形、重量及允许偏差</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6725-2008 冷弯型钢</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6728-2002 结构用冷弯空心型钢尺寸、外形、重量及允许偏差</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8923.1-2011 涂覆涂料前钢材表面处理表面清洁度的目视评定第1部分：未涂覆过的钢材表面和全面清除原有涂层后的钢材表面的锈蚀等级和处理等级</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12612 2005 多功能钢铁表面处理液通用技术条件</w:t>
      </w:r>
      <w:r/>
    </w:p>
    <w:p>
      <w:pPr>
        <w:contextualSpacing/>
        <w:ind w:left="0" w:firstLine="60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13912-2002 金属覆盖层 钢铁制件热浸镀锌层 技术要求及试验方法</w:t>
      </w:r>
      <w:r/>
    </w:p>
    <w:p>
      <w:pPr>
        <w:contextualSpacing/>
        <w:ind w:left="0" w:firstLine="600"/>
        <w:pageBreakBefore w:val="0"/>
        <w:spacing w:after="0" w:line="360" w:lineRule="auto"/>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GB/T 19804-2005  焊接结构的一般尺寸公差和形位公差</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4.3</w:t>
      </w:r>
      <w:r>
        <w:rPr>
          <w:rFonts w:hint="eastAsia" w:ascii="宋体" w:hAnsi="宋体" w:eastAsia="宋体" w:cs="仿宋"/>
          <w:bCs/>
          <w:sz w:val="24"/>
          <w:szCs w:val="24"/>
          <w:highlight w:val="none"/>
          <w:lang w:val="en-US" w:eastAsia="en-US" w:bidi="ar-SA"/>
        </w:rPr>
        <w:t xml:space="preserve">外观及尺寸要求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4.3.1</w:t>
      </w:r>
      <w:r>
        <w:rPr>
          <w:rFonts w:hint="eastAsia" w:ascii="宋体" w:hAnsi="宋体" w:eastAsia="宋体" w:cs="仿宋"/>
          <w:bCs/>
          <w:sz w:val="24"/>
          <w:szCs w:val="24"/>
          <w:highlight w:val="none"/>
          <w:lang w:eastAsia="zh-CN"/>
        </w:rPr>
        <w:t xml:space="preserve">支架如必须要经过焊接工艺才能成型，则焊条外观不应有药皮脱落、焊芯生锈等缺陷；焊剂不应受潮结块的现象。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4.3.2</w:t>
      </w:r>
      <w:r>
        <w:rPr>
          <w:rFonts w:hint="eastAsia" w:ascii="宋体" w:hAnsi="宋体" w:eastAsia="宋体" w:cs="仿宋"/>
          <w:bCs/>
          <w:sz w:val="24"/>
          <w:szCs w:val="24"/>
          <w:highlight w:val="none"/>
          <w:lang w:eastAsia="zh-CN"/>
        </w:rPr>
        <w:t xml:space="preserve">支架如经过焊接，焊接部位不应有明显的色差、气泡、杂物、毛刺、起层、脱落等现象。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4.3.3</w:t>
      </w:r>
      <w:r>
        <w:rPr>
          <w:rFonts w:hint="eastAsia" w:ascii="宋体" w:hAnsi="宋体" w:eastAsia="宋体" w:cs="仿宋"/>
          <w:bCs/>
          <w:sz w:val="24"/>
          <w:szCs w:val="24"/>
          <w:highlight w:val="none"/>
          <w:lang w:eastAsia="zh-CN"/>
        </w:rPr>
        <w:t xml:space="preserve">机械加工类零部件不应有明显的加工痕迹、脏污、油污、毛刺等缺陷。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4.3.4</w:t>
      </w:r>
      <w:r>
        <w:rPr>
          <w:rFonts w:hint="eastAsia" w:ascii="宋体" w:hAnsi="宋体" w:eastAsia="宋体" w:cs="仿宋"/>
          <w:bCs/>
          <w:sz w:val="24"/>
          <w:szCs w:val="24"/>
          <w:highlight w:val="none"/>
          <w:lang w:eastAsia="zh-CN"/>
        </w:rPr>
        <w:t xml:space="preserve">钢材类零部件不应有明显的铁刺、起层等缺陷，不允许有开裂。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4.3.5</w:t>
      </w:r>
      <w:r>
        <w:rPr>
          <w:rFonts w:hint="eastAsia" w:ascii="宋体" w:hAnsi="宋体" w:eastAsia="宋体" w:cs="仿宋"/>
          <w:bCs/>
          <w:sz w:val="24"/>
          <w:szCs w:val="24"/>
          <w:highlight w:val="none"/>
          <w:lang w:eastAsia="zh-CN"/>
        </w:rPr>
        <w:t xml:space="preserve">表面处理类零部件不应有明显的色差、气泡、杂物、起层、脱落等缺陷。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4.3.6</w:t>
      </w:r>
      <w:r>
        <w:rPr>
          <w:rFonts w:hint="eastAsia" w:ascii="宋体" w:hAnsi="宋体" w:eastAsia="宋体" w:cs="仿宋"/>
          <w:bCs/>
          <w:sz w:val="24"/>
          <w:szCs w:val="24"/>
          <w:highlight w:val="none"/>
          <w:lang w:eastAsia="zh-CN"/>
        </w:rPr>
        <w:t xml:space="preserve">锌层表面应均匀，无毛刺，过烧，挂灰，伤痕，局部未镀锌，锌层应光滑，不影响螺栓接件的拧入。</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4.3.7</w:t>
      </w:r>
      <w:r>
        <w:rPr>
          <w:rFonts w:hint="eastAsia" w:ascii="宋体" w:hAnsi="宋体" w:eastAsia="宋体" w:cs="仿宋"/>
          <w:bCs/>
          <w:sz w:val="24"/>
          <w:szCs w:val="24"/>
          <w:highlight w:val="none"/>
          <w:lang w:eastAsia="zh-CN"/>
        </w:rPr>
        <w:t xml:space="preserve">所购型钢的尺寸、外形、重量及允许偏差等方面内容均须符合GB/T 6728-2002和GB/T 6723-2008相关规定，严禁使用不符合相关要求的型钢。</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 w:val="0"/>
          <w:bCs w:val="0"/>
          <w:color w:val="auto"/>
          <w:sz w:val="24"/>
          <w:szCs w:val="24"/>
          <w:highlight w:val="none"/>
          <w:lang w:val="en-US" w:eastAsia="zh-CN" w:bidi="ar-SA"/>
        </w:rPr>
        <w:t xml:space="preserve">4.4</w:t>
      </w:r>
      <w:r>
        <w:rPr>
          <w:rFonts w:hint="eastAsia" w:ascii="宋体" w:hAnsi="宋体" w:eastAsia="宋体" w:cs="仿宋"/>
          <w:bCs/>
          <w:sz w:val="24"/>
          <w:szCs w:val="24"/>
          <w:highlight w:val="none"/>
          <w:lang w:val="en-US" w:eastAsia="en-US" w:bidi="ar-SA"/>
        </w:rPr>
        <w:t xml:space="preserve">材料要求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4.4.1</w:t>
      </w:r>
      <w:r>
        <w:rPr>
          <w:rFonts w:hint="eastAsia" w:ascii="宋体" w:hAnsi="宋体" w:eastAsia="宋体" w:cs="仿宋"/>
          <w:bCs/>
          <w:sz w:val="24"/>
          <w:szCs w:val="24"/>
          <w:highlight w:val="none"/>
          <w:lang w:eastAsia="zh-CN"/>
        </w:rPr>
        <w:t xml:space="preserve">光伏支架材料应采用钢材，材质的选用和支架设计应符合GB50017-2003的规定。所选用钢结构主材材质不低于Q235B，焊条为E43系列焊条。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4.4.2</w:t>
      </w:r>
      <w:r>
        <w:rPr>
          <w:rFonts w:hint="eastAsia" w:ascii="宋体" w:hAnsi="宋体" w:eastAsia="宋体" w:cs="仿宋"/>
          <w:bCs/>
          <w:sz w:val="24"/>
          <w:szCs w:val="24"/>
          <w:highlight w:val="none"/>
          <w:lang w:eastAsia="zh-CN"/>
        </w:rPr>
        <w:t xml:space="preserve">设备支架为热镀锌、根据设计规格选用国标规格光伏支架。与屋面版接触处，需做防摩擦处理，以免损坏屋面。</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4.4.3</w:t>
      </w:r>
      <w:r>
        <w:rPr>
          <w:rFonts w:hint="eastAsia" w:ascii="宋体" w:hAnsi="宋体" w:eastAsia="宋体" w:cs="仿宋"/>
          <w:bCs/>
          <w:sz w:val="24"/>
          <w:szCs w:val="24"/>
          <w:highlight w:val="none"/>
          <w:lang w:eastAsia="zh-CN"/>
        </w:rPr>
        <w:t xml:space="preserve">所选用钢结构主材的碳、硫、磷等化学元素的含量须符合GB/T 700-2006的相关规定。</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4.4.4</w:t>
      </w:r>
      <w:r>
        <w:rPr>
          <w:rFonts w:hint="eastAsia" w:ascii="宋体" w:hAnsi="宋体" w:eastAsia="宋体" w:cs="仿宋"/>
          <w:bCs/>
          <w:sz w:val="24"/>
          <w:szCs w:val="24"/>
          <w:highlight w:val="none"/>
          <w:lang w:eastAsia="zh-CN"/>
        </w:rPr>
        <w:t xml:space="preserve">所选用钢结构主材的抗拉强度、伸长率、屈服点、冷弯试验等各项力学性能要求须符合GB/T 700-2006的相关规定。</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4.4.5</w:t>
      </w:r>
      <w:r>
        <w:rPr>
          <w:rFonts w:hint="eastAsia" w:ascii="宋体" w:hAnsi="宋体" w:eastAsia="宋体" w:cs="仿宋"/>
          <w:bCs/>
          <w:sz w:val="24"/>
          <w:szCs w:val="24"/>
          <w:highlight w:val="none"/>
          <w:lang w:eastAsia="zh-CN"/>
        </w:rPr>
        <w:t xml:space="preserve">钢结构应根据母材选择适合的焊接材料，须符合GB/T 5117-1995的要求。根据母材的焊接性，选用不同强度、柔韧性好的焊材，以满足设计强度、抗疲劳和刚度的要求。熔敷金属的合金成分应接近母材，当母材化学成分中碳或硫、磷等有害杂质较高时，应选择抗裂性和抗气性较强的焊材。</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4.4.6</w:t>
      </w:r>
      <w:r>
        <w:rPr>
          <w:rFonts w:hint="eastAsia" w:ascii="宋体" w:hAnsi="宋体" w:eastAsia="宋体" w:cs="仿宋"/>
          <w:bCs/>
          <w:sz w:val="24"/>
          <w:szCs w:val="24"/>
          <w:highlight w:val="none"/>
          <w:lang w:eastAsia="zh-CN"/>
        </w:rPr>
        <w:t xml:space="preserve">支架所用螺栓、螺钉和螺柱须符合GB/T 3098.1-2010的要求，其防锈、防腐性能不低于支架的防锈、防腐要求。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4.4.7</w:t>
      </w:r>
      <w:r>
        <w:rPr>
          <w:rFonts w:hint="eastAsia" w:ascii="宋体" w:hAnsi="宋体" w:eastAsia="宋体" w:cs="仿宋"/>
          <w:bCs/>
          <w:sz w:val="24"/>
          <w:szCs w:val="24"/>
          <w:highlight w:val="none"/>
          <w:lang w:eastAsia="zh-CN"/>
        </w:rPr>
        <w:t xml:space="preserve">支架的防腐应符合下列要求：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支架在构造上应便于检查和清刷；</w:t>
      </w:r>
      <w:r/>
    </w:p>
    <w:p>
      <w:pPr>
        <w:ind w:left="0" w:firstLine="480"/>
        <w:pageBreakBefore w:val="0"/>
        <w:spacing w:after="0" w:line="360" w:lineRule="auto"/>
        <w:rPr>
          <w:rFonts w:ascii="宋体" w:hAnsi="宋体" w:eastAsia="宋体" w:cs="仿宋"/>
          <w:bCs/>
          <w:sz w:val="24"/>
          <w:szCs w:val="24"/>
          <w:highlight w:val="none"/>
          <w:lang w:eastAsia="zh-CN"/>
        </w:rPr>
      </w:pP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钢支架防腐宜采用热镀浸锌，镀锌层的平均厚度65μm；</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 w:val="0"/>
          <w:bCs w:val="0"/>
          <w:color w:val="auto"/>
          <w:sz w:val="24"/>
          <w:szCs w:val="24"/>
          <w:highlight w:val="none"/>
          <w:lang w:val="en-US" w:eastAsia="zh-CN" w:bidi="ar-SA"/>
        </w:rPr>
        <w:t xml:space="preserve">4.5</w:t>
      </w:r>
      <w:r>
        <w:rPr>
          <w:rFonts w:hint="eastAsia" w:ascii="宋体" w:hAnsi="宋体" w:eastAsia="宋体" w:cs="仿宋"/>
          <w:bCs/>
          <w:sz w:val="24"/>
          <w:szCs w:val="24"/>
          <w:highlight w:val="none"/>
          <w:lang w:val="en-US" w:eastAsia="en-US" w:bidi="ar-SA"/>
        </w:rPr>
        <w:t xml:space="preserve">其他支架组件要求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4.5.1</w:t>
      </w:r>
      <w:r>
        <w:rPr>
          <w:rFonts w:hint="eastAsia" w:ascii="宋体" w:hAnsi="宋体" w:eastAsia="宋体" w:cs="仿宋"/>
          <w:bCs/>
          <w:sz w:val="24"/>
          <w:szCs w:val="24"/>
          <w:highlight w:val="none"/>
          <w:lang w:eastAsia="zh-CN"/>
        </w:rPr>
        <w:t xml:space="preserve">电缆桥架为热镀锌，盖板为卡箍式，桥架支架为热镀锌国标。自制支架（非标）均采用热镀锌国标规格。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cs="仿宋"/>
          <w:bCs/>
          <w:sz w:val="24"/>
          <w:szCs w:val="24"/>
          <w:highlight w:val="none"/>
          <w:lang w:val="en-US" w:eastAsia="zh-CN"/>
        </w:rPr>
        <w:t xml:space="preserve">4.5.2</w:t>
      </w:r>
      <w:r>
        <w:rPr>
          <w:rFonts w:hint="eastAsia" w:ascii="宋体" w:hAnsi="宋体" w:eastAsia="宋体" w:cs="仿宋"/>
          <w:bCs/>
          <w:sz w:val="24"/>
          <w:szCs w:val="24"/>
          <w:highlight w:val="none"/>
          <w:lang w:eastAsia="zh-CN"/>
        </w:rPr>
        <w:t xml:space="preserve">以上设计均符合国家标准要求及安全规定要求，材料误差不得超过标准要求。要求与国家标准冲突时，执行最高标准。</w:t>
      </w:r>
      <w:r/>
    </w:p>
    <w:p>
      <w:pPr>
        <w:numPr>
          <w:ilvl w:val="0"/>
          <w:numId w:val="0"/>
        </w:numPr>
        <w:ind w:left="430" w:hanging="19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6、</w:t>
      </w:r>
      <w:r>
        <w:rPr>
          <w:rFonts w:hint="eastAsia" w:ascii="宋体" w:hAnsi="宋体" w:eastAsia="宋体" w:cs="仿宋"/>
          <w:b/>
          <w:bCs/>
          <w:sz w:val="24"/>
          <w:szCs w:val="24"/>
          <w:highlight w:val="none"/>
          <w:lang w:val="en-US" w:eastAsia="en-US" w:bidi="ar-SA"/>
        </w:rPr>
        <w:t xml:space="preserve">电气</w:t>
      </w:r>
      <w:r/>
    </w:p>
    <w:p>
      <w:pPr>
        <w:numPr>
          <w:ilvl w:val="0"/>
          <w:numId w:val="0"/>
        </w:numPr>
        <w:contextualSpacing/>
        <w:ind w:left="-420" w:firstLine="818"/>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cs="仿宋"/>
          <w:bCs/>
          <w:sz w:val="24"/>
          <w:szCs w:val="24"/>
          <w:highlight w:val="none"/>
          <w:lang w:val="en-US" w:eastAsia="zh-CN" w:bidi="ar-SA"/>
        </w:rPr>
        <w:t xml:space="preserve">6.1</w:t>
      </w:r>
      <w:r>
        <w:rPr>
          <w:rFonts w:hint="eastAsia" w:ascii="宋体" w:hAnsi="宋体" w:eastAsia="宋体" w:cs="仿宋"/>
          <w:bCs/>
          <w:sz w:val="24"/>
          <w:szCs w:val="24"/>
          <w:highlight w:val="none"/>
          <w:lang w:val="en-US" w:eastAsia="zh-CN" w:bidi="ar-SA"/>
        </w:rPr>
        <w:t xml:space="preserve">继电保护及安全自动装置</w:t>
      </w:r>
      <w:r/>
    </w:p>
    <w:p>
      <w:pPr>
        <w:numPr>
          <w:ilvl w:val="0"/>
          <w:numId w:val="0"/>
        </w:numPr>
        <w:contextualSpacing/>
        <w:ind w:left="0" w:firstLine="398"/>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6.1.1 </w:t>
      </w:r>
      <w:r>
        <w:rPr>
          <w:rFonts w:hint="eastAsia" w:ascii="宋体" w:hAnsi="宋体" w:eastAsia="宋体" w:cs="仿宋"/>
          <w:bCs/>
          <w:sz w:val="24"/>
          <w:szCs w:val="24"/>
          <w:highlight w:val="none"/>
          <w:lang w:val="en-US" w:eastAsia="en-US" w:bidi="ar-SA"/>
        </w:rPr>
        <w:t xml:space="preserve">0.4kV线路保护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根据国家电网公司《分布式光伏发电接入系统典型设计》要求，并网点及公共连接点的断路器应具备短路瞬时、长延时保护功能和分励脱扣、欠压脱扣功能。线路发生短路故障时，线路保护能快速动作，瞬时跳开断路器，满足全线故障时快速可靠切除故障的要求。断路器还应具备反映故障及运行状态辅助接点。故障隔离点设在并网点断路器，快速隔离的动作时间为瞬时。</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6.1.2</w:t>
      </w:r>
      <w:r>
        <w:rPr>
          <w:rFonts w:hint="eastAsia" w:ascii="宋体" w:hAnsi="宋体" w:eastAsia="宋体" w:cs="仿宋"/>
          <w:bCs/>
          <w:sz w:val="24"/>
          <w:szCs w:val="24"/>
          <w:highlight w:val="none"/>
          <w:lang w:val="en-US" w:eastAsia="en-US" w:bidi="ar-SA"/>
        </w:rPr>
        <w:t xml:space="preserve">反孤岛装置</w:t>
      </w:r>
      <w:r/>
    </w:p>
    <w:p>
      <w:pPr>
        <w:ind w:left="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项目采用逆变器的防孤岛保护，不另设防孤岛检测及安全自动装置。逆变器必须具备快速监测孤岛且监测孤岛后立即断开与电网连接的功能。按电网公司要求，光伏接入容量超过接入点配变额定容量的25%时，需在配变低压母线处装设反孤岛装置，低压总开关应与反孤岛装置间具备操作闭锁功能。</w:t>
      </w:r>
      <w:r/>
    </w:p>
    <w:p>
      <w:pPr>
        <w:numPr>
          <w:ilvl w:val="0"/>
          <w:numId w:val="0"/>
        </w:numPr>
        <w:contextualSpacing/>
        <w:ind w:left="501" w:hanging="261"/>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cs="仿宋"/>
          <w:bCs/>
          <w:sz w:val="24"/>
          <w:szCs w:val="24"/>
          <w:highlight w:val="none"/>
          <w:lang w:val="en-US" w:eastAsia="zh-CN" w:bidi="ar-SA"/>
        </w:rPr>
        <w:t xml:space="preserve">6.1.3</w:t>
      </w:r>
      <w:r>
        <w:rPr>
          <w:rFonts w:hint="eastAsia" w:ascii="宋体" w:hAnsi="宋体" w:eastAsia="宋体" w:cs="仿宋"/>
          <w:bCs/>
          <w:sz w:val="24"/>
          <w:szCs w:val="24"/>
          <w:highlight w:val="none"/>
          <w:lang w:val="en-US" w:eastAsia="en-US" w:bidi="ar-SA"/>
        </w:rPr>
        <w:t xml:space="preserve">系统电能计量</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本光伏电站为自发自用模式，每个并网点各配置一块0.2S级的电能表，用于电能计费。</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计量点电能表准确度等级为有功0.2S级，无功2.0级，计量电流互感器准确度不应低于0.2S级。</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电能表采用智能电能表，至少应具备双向有功和四象限无功计量功能、事件记录功能，应具备电流、电压、电量等信息采集和三相电流不平衡监测功能，配有标准通信接口，具备本地通信和通过配电智能终端远程通信的功能，电能表通信协议符合DL/T645。电能表采集信息应能接入电网管理部门电力用户用电信息采集系统，作为电能量计量和电价补贴依据。</w:t>
      </w:r>
      <w:r/>
    </w:p>
    <w:p>
      <w:pPr>
        <w:numPr>
          <w:ilvl w:val="0"/>
          <w:numId w:val="0"/>
        </w:numPr>
        <w:ind w:left="430" w:hanging="19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7、</w:t>
      </w:r>
      <w:r>
        <w:rPr>
          <w:rFonts w:hint="eastAsia" w:ascii="宋体" w:hAnsi="宋体" w:eastAsia="宋体" w:cs="仿宋"/>
          <w:b/>
          <w:bCs/>
          <w:sz w:val="24"/>
          <w:szCs w:val="24"/>
          <w:highlight w:val="none"/>
          <w:lang w:val="en-US" w:eastAsia="zh-CN" w:bidi="ar-SA"/>
        </w:rPr>
        <w:t xml:space="preserve">水泥基础</w:t>
      </w:r>
      <w:r/>
    </w:p>
    <w:p>
      <w:pPr>
        <w:ind w:left="0" w:firstLine="240"/>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bCs/>
          <w:sz w:val="24"/>
          <w:szCs w:val="24"/>
          <w:highlight w:val="none"/>
          <w:lang w:eastAsia="zh-CN"/>
        </w:rPr>
        <w:t xml:space="preserve">水泥基础要符合设计要求。混凝土标号必须达到 C25 。</w:t>
      </w:r>
      <w:r/>
    </w:p>
    <w:p>
      <w:pPr>
        <w:ind w:left="0" w:firstLine="241"/>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b/>
          <w:bCs/>
          <w:color w:val="000000"/>
          <w:sz w:val="24"/>
          <w:szCs w:val="24"/>
          <w:highlight w:val="none"/>
          <w:u w:val="single"/>
          <w:lang w:eastAsia="zh-CN" w:bidi="ar"/>
        </w:rPr>
        <w:t xml:space="preserve">安装前基础下部铺设防水卷材需要提前送样至采购人处确认后方可实施。</w:t>
      </w:r>
      <w:r/>
    </w:p>
    <w:p>
      <w:pPr>
        <w:numPr>
          <w:ilvl w:val="0"/>
          <w:numId w:val="0"/>
        </w:numPr>
        <w:ind w:left="0" w:firstLine="241"/>
        <w:jc w:val="both"/>
        <w:pageBreakBefore w:val="0"/>
        <w:spacing w:after="0" w:line="360" w:lineRule="auto"/>
        <w:widowControl w:val="off"/>
        <w:rPr>
          <w:rFonts w:ascii="宋体" w:hAnsi="宋体" w:eastAsia="宋体" w:cs="仿宋"/>
          <w:b/>
          <w:bCs/>
          <w:sz w:val="24"/>
          <w:szCs w:val="24"/>
          <w:highlight w:val="none"/>
          <w:lang w:eastAsia="en-US"/>
        </w:rPr>
      </w:pPr>
      <w:r>
        <w:rPr>
          <w:rFonts w:hint="eastAsia" w:ascii="宋体" w:hAnsi="宋体" w:cs="仿宋"/>
          <w:b/>
          <w:bCs/>
          <w:sz w:val="24"/>
          <w:szCs w:val="24"/>
          <w:highlight w:val="none"/>
          <w:lang w:val="en-US" w:eastAsia="zh-CN" w:bidi="ar-SA"/>
        </w:rPr>
        <w:t xml:space="preserve">8</w:t>
      </w:r>
      <w:r>
        <w:rPr>
          <w:rFonts w:hint="default" w:ascii="宋体" w:hAnsi="宋体" w:eastAsia="宋体" w:cs="仿宋"/>
          <w:b/>
          <w:bCs/>
          <w:sz w:val="24"/>
          <w:szCs w:val="24"/>
          <w:highlight w:val="none"/>
          <w:lang w:val="en-US" w:eastAsia="en-US" w:bidi="ar-SA"/>
        </w:rPr>
        <w:t xml:space="preserve">.</w:t>
      </w:r>
      <w:r>
        <w:rPr>
          <w:rFonts w:hint="eastAsia" w:ascii="宋体" w:hAnsi="宋体" w:eastAsia="宋体" w:cs="仿宋"/>
          <w:b/>
          <w:bCs/>
          <w:sz w:val="24"/>
          <w:szCs w:val="24"/>
          <w:highlight w:val="none"/>
          <w:lang w:eastAsia="zh-CN"/>
        </w:rPr>
        <w:t xml:space="preserve">质量标准：</w:t>
      </w:r>
      <w:r/>
    </w:p>
    <w:p>
      <w:pPr>
        <w:ind w:left="0" w:firstLine="240"/>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w:t>
      </w:r>
      <w:r>
        <w:rPr>
          <w:rFonts w:hint="eastAsia" w:ascii="宋体" w:hAnsi="宋体" w:eastAsia="宋体" w:cs="仿宋"/>
          <w:color w:val="000000"/>
          <w:sz w:val="24"/>
          <w:szCs w:val="24"/>
          <w:highlight w:val="none"/>
          <w:lang w:eastAsia="zh-CN" w:bidi="ar"/>
        </w:rPr>
        <w:t xml:space="preserve">1支架安装和紧固应符合下列要求： </w:t>
      </w:r>
      <w:r/>
    </w:p>
    <w:p>
      <w:pPr>
        <w:ind w:left="0" w:firstLine="240"/>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8.1.1</w:t>
      </w:r>
      <w:r>
        <w:rPr>
          <w:rFonts w:hint="eastAsia" w:ascii="宋体" w:hAnsi="宋体" w:eastAsia="宋体" w:cs="仿宋"/>
          <w:color w:val="000000"/>
          <w:sz w:val="24"/>
          <w:szCs w:val="24"/>
          <w:highlight w:val="none"/>
          <w:lang w:eastAsia="zh-CN" w:bidi="ar"/>
        </w:rPr>
        <w:t xml:space="preserve">钢构件拼装前应检查清除飞边、毛刺、焊接飞溅物等，摩擦面应保持干燥、整洁。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8.1.2</w:t>
      </w:r>
      <w:r>
        <w:rPr>
          <w:rFonts w:hint="eastAsia" w:ascii="宋体" w:hAnsi="宋体" w:eastAsia="宋体" w:cs="仿宋"/>
          <w:color w:val="000000"/>
          <w:sz w:val="24"/>
          <w:szCs w:val="24"/>
          <w:highlight w:val="none"/>
          <w:lang w:eastAsia="zh-CN" w:bidi="ar"/>
        </w:rPr>
        <w:t xml:space="preserve">支架的紧固度应符合设计图纸要求及《钢结构工程施工质量验收规范》 GB50205 中相关章节的要求。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8.1.3</w:t>
      </w:r>
      <w:r>
        <w:rPr>
          <w:rFonts w:hint="eastAsia" w:ascii="宋体" w:hAnsi="宋体" w:eastAsia="宋体" w:cs="仿宋"/>
          <w:color w:val="000000"/>
          <w:sz w:val="24"/>
          <w:szCs w:val="24"/>
          <w:highlight w:val="none"/>
          <w:lang w:eastAsia="zh-CN" w:bidi="ar"/>
        </w:rPr>
        <w:t xml:space="preserve">组合式支架宜采用先组合框架后组合支撑及连接件的方式进行安装。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8.1.4</w:t>
      </w:r>
      <w:r>
        <w:rPr>
          <w:rFonts w:hint="eastAsia" w:ascii="宋体" w:hAnsi="宋体" w:eastAsia="宋体" w:cs="仿宋"/>
          <w:color w:val="000000"/>
          <w:sz w:val="24"/>
          <w:szCs w:val="24"/>
          <w:highlight w:val="none"/>
          <w:lang w:eastAsia="zh-CN" w:bidi="ar"/>
        </w:rPr>
        <w:t xml:space="preserve">螺栓的连接和紧固应按照厂家说明和设计图纸上要求的数目和顺序穿放，不应强行敲打，不应气割扩孔。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w:t>
      </w:r>
      <w:r>
        <w:rPr>
          <w:rFonts w:hint="eastAsia" w:ascii="宋体" w:hAnsi="宋体" w:eastAsia="宋体" w:cs="仿宋"/>
          <w:color w:val="000000"/>
          <w:sz w:val="24"/>
          <w:szCs w:val="24"/>
          <w:highlight w:val="none"/>
          <w:lang w:eastAsia="zh-CN" w:bidi="ar"/>
        </w:rPr>
        <w:t xml:space="preserve">支架安装的垂直度和角度应符合下列规定：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8.2.1</w:t>
      </w:r>
      <w:r>
        <w:rPr>
          <w:rFonts w:hint="eastAsia" w:ascii="宋体" w:hAnsi="宋体" w:eastAsia="宋体" w:cs="仿宋"/>
          <w:color w:val="000000"/>
          <w:sz w:val="24"/>
          <w:szCs w:val="24"/>
          <w:highlight w:val="none"/>
          <w:lang w:eastAsia="zh-CN" w:bidi="ar"/>
        </w:rPr>
        <w:t xml:space="preserve"> 支架垂直度偏差每米不应大于±1 度，支架角度偏 差度不应大于±1 度。 </w:t>
      </w:r>
      <w:r/>
    </w:p>
    <w:p>
      <w:pPr>
        <w:ind w:left="0" w:firstLine="199"/>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8.2.2</w:t>
      </w:r>
      <w:r>
        <w:rPr>
          <w:rFonts w:hint="eastAsia" w:ascii="宋体" w:hAnsi="宋体" w:eastAsia="宋体" w:cs="仿宋"/>
          <w:color w:val="000000"/>
          <w:sz w:val="24"/>
          <w:szCs w:val="24"/>
          <w:highlight w:val="none"/>
          <w:lang w:eastAsia="zh-CN" w:bidi="ar"/>
        </w:rPr>
        <w:t xml:space="preserve"> 对不能满足安装要求的支架，应责成厂家进行现场 整改。 </w:t>
      </w:r>
      <w:r/>
    </w:p>
    <w:p>
      <w:pPr>
        <w:ind w:left="0" w:firstLine="199"/>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8.2.3</w:t>
      </w:r>
      <w:r>
        <w:rPr>
          <w:rFonts w:hint="eastAsia" w:ascii="宋体" w:hAnsi="宋体" w:eastAsia="宋体" w:cs="仿宋"/>
          <w:color w:val="000000"/>
          <w:sz w:val="24"/>
          <w:szCs w:val="24"/>
          <w:highlight w:val="none"/>
          <w:lang w:eastAsia="zh-CN" w:bidi="ar"/>
        </w:rPr>
        <w:t xml:space="preserve">固定支架安装的允许偏差应符合表中的规定。  </w:t>
      </w:r>
      <w:r/>
    </w:p>
    <w:p>
      <w:pPr>
        <w:ind w:left="0"/>
        <w:pageBreakBefore w:val="0"/>
        <w:spacing w:line="360" w:lineRule="auto"/>
        <w:rPr>
          <w:highlight w:val="none"/>
        </w:rPr>
      </w:pPr>
      <w:r>
        <w:rPr>
          <w:highlight w:val="none"/>
        </w:rPr>
      </w:r>
      <w:r/>
    </w:p>
    <w:p>
      <w:pPr>
        <w:ind w:left="0"/>
        <w:jc w:val="center"/>
        <w:pageBreakBefore w:val="0"/>
        <w:spacing w:after="0" w:line="360" w:lineRule="auto"/>
        <w:rPr>
          <w:rFonts w:ascii="宋体" w:hAnsi="宋体" w:eastAsia="宋体" w:cs="仿宋"/>
          <w:color w:val="000000"/>
          <w:sz w:val="24"/>
          <w:szCs w:val="24"/>
          <w:highlight w:val="none"/>
          <w:lang w:eastAsia="en-US" w:bidi="ar"/>
        </w:rPr>
      </w:pPr>
      <w:r>
        <w:rPr>
          <w:rFonts w:hint="eastAsia" w:ascii="宋体" w:hAnsi="宋体" w:eastAsia="宋体" w:cs="仿宋"/>
          <w:sz w:val="24"/>
          <w:szCs w:val="24"/>
          <w:highlight w:val="none"/>
          <w:lang w:eastAsia="en-US"/>
        </w:rPr>
        <mc:AlternateContent>
          <mc:Choice Requires="wpg">
            <w:drawing>
              <wp:inline xmlns:wp="http://schemas.openxmlformats.org/drawingml/2006/wordprocessingDrawing" distT="0" distB="0" distL="0" distR="0">
                <wp:extent cx="5270500" cy="2666365"/>
                <wp:effectExtent l="0" t="0" r="6350" b="63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0"/>
                        <a:stretch/>
                      </pic:blipFill>
                      <pic:spPr bwMode="auto">
                        <a:xfrm>
                          <a:off x="0" y="0"/>
                          <a:ext cx="5270500" cy="2666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0pt;height:209.9pt;mso-wrap-distance-left:0.0pt;mso-wrap-distance-top:0.0pt;mso-wrap-distance-right:0.0pt;mso-wrap-distance-bottom:0.0pt;" stroked="f">
                <v:path textboxrect="0,0,0,0"/>
                <v:imagedata r:id="rId20" o:title=""/>
              </v:shape>
            </w:pict>
          </mc:Fallback>
        </mc:AlternateConten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8.2.4</w:t>
      </w:r>
      <w:r>
        <w:rPr>
          <w:rFonts w:hint="eastAsia" w:ascii="宋体" w:hAnsi="宋体" w:eastAsia="宋体" w:cs="仿宋"/>
          <w:color w:val="000000"/>
          <w:sz w:val="24"/>
          <w:szCs w:val="24"/>
          <w:highlight w:val="none"/>
          <w:lang w:eastAsia="zh-CN" w:bidi="ar"/>
        </w:rPr>
        <w:t xml:space="preserve">支架、组件安装螺栓及接地等安装用自攻钉要求为</w:t>
      </w:r>
      <w:r>
        <w:rPr>
          <w:rFonts w:hint="eastAsia" w:ascii="宋体" w:hAnsi="宋体" w:eastAsia="宋体" w:cs="仿宋"/>
          <w:bCs/>
          <w:sz w:val="24"/>
          <w:szCs w:val="24"/>
          <w:highlight w:val="none"/>
          <w:lang w:eastAsia="zh-CN"/>
        </w:rPr>
        <w:t xml:space="preserve">材质要求均为热镀锌或者不锈钢，</w:t>
      </w:r>
      <w:r>
        <w:rPr>
          <w:rFonts w:hint="eastAsia" w:ascii="宋体" w:hAnsi="宋体" w:eastAsia="宋体" w:cs="仿宋"/>
          <w:b/>
          <w:sz w:val="24"/>
          <w:szCs w:val="24"/>
          <w:highlight w:val="none"/>
          <w:u w:val="single"/>
          <w:lang w:eastAsia="zh-CN"/>
        </w:rPr>
        <w:t xml:space="preserve">最终使用材质需由采购人确认后方可实施</w:t>
      </w:r>
      <w:r>
        <w:rPr>
          <w:rFonts w:hint="eastAsia" w:ascii="宋体" w:hAnsi="宋体" w:eastAsia="宋体" w:cs="仿宋"/>
          <w:bCs/>
          <w:sz w:val="24"/>
          <w:szCs w:val="24"/>
          <w:highlight w:val="none"/>
          <w:lang w:eastAsia="zh-CN"/>
        </w:rPr>
        <w:t xml:space="preserve">。</w:t>
      </w:r>
      <w:r>
        <w:rPr>
          <w:rFonts w:hint="eastAsia" w:ascii="宋体" w:hAnsi="宋体" w:eastAsia="宋体" w:cs="仿宋"/>
          <w:color w:val="000000"/>
          <w:sz w:val="24"/>
          <w:szCs w:val="24"/>
          <w:highlight w:val="none"/>
          <w:lang w:eastAsia="zh-CN" w:bidi="ar"/>
        </w:rPr>
        <w:t xml:space="preserve">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8.2.5</w:t>
      </w:r>
      <w:r>
        <w:rPr>
          <w:rFonts w:hint="eastAsia" w:ascii="宋体" w:hAnsi="宋体" w:eastAsia="宋体" w:cs="仿宋"/>
          <w:color w:val="000000"/>
          <w:sz w:val="24"/>
          <w:szCs w:val="24"/>
          <w:highlight w:val="none"/>
          <w:lang w:eastAsia="zh-CN" w:bidi="ar"/>
        </w:rPr>
        <w:t xml:space="preserve">水泥墩基础采用预制件或正规商砼现场浇筑，并满足设计和相关规范要求，提供合格证、质检报告。每个水泥 墩基础下铺设SBS防水卷材，铺设尺寸每条边长度超过水泥墩至少 5CM，负重基础与支架底座钢板间不得有缝隙。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8.2.6</w:t>
      </w:r>
      <w:r>
        <w:rPr>
          <w:rFonts w:hint="eastAsia" w:ascii="宋体" w:hAnsi="宋体" w:eastAsia="宋体" w:cs="仿宋"/>
          <w:color w:val="000000"/>
          <w:sz w:val="24"/>
          <w:szCs w:val="24"/>
          <w:highlight w:val="none"/>
          <w:lang w:eastAsia="zh-CN" w:bidi="ar"/>
        </w:rPr>
        <w:t xml:space="preserve">支架（导轨）的外观及防腐层应完好无损，热镀锌 支架需现场加工的必须做好防锈处理。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8.2.7</w:t>
      </w:r>
      <w:r>
        <w:rPr>
          <w:rFonts w:hint="eastAsia" w:ascii="宋体" w:hAnsi="宋体" w:eastAsia="宋体" w:cs="仿宋"/>
          <w:color w:val="000000"/>
          <w:sz w:val="24"/>
          <w:szCs w:val="24"/>
          <w:highlight w:val="none"/>
          <w:lang w:eastAsia="zh-CN" w:bidi="ar"/>
        </w:rPr>
        <w:t xml:space="preserve">压块边缘至导轨末端预留至少5cm。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w:t>
      </w:r>
      <w:r>
        <w:rPr>
          <w:rFonts w:hint="eastAsia" w:ascii="宋体" w:hAnsi="宋体" w:eastAsia="宋体" w:cs="仿宋"/>
          <w:color w:val="000000"/>
          <w:sz w:val="24"/>
          <w:szCs w:val="24"/>
          <w:highlight w:val="none"/>
          <w:lang w:eastAsia="zh-CN" w:bidi="ar"/>
        </w:rPr>
        <w:t xml:space="preserve">桥架安装：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8.3.1</w:t>
      </w:r>
      <w:r>
        <w:rPr>
          <w:rFonts w:hint="eastAsia" w:ascii="宋体" w:hAnsi="宋体" w:eastAsia="宋体" w:cs="仿宋"/>
          <w:color w:val="000000"/>
          <w:sz w:val="24"/>
          <w:szCs w:val="24"/>
          <w:highlight w:val="none"/>
          <w:lang w:eastAsia="zh-CN" w:bidi="ar"/>
        </w:rPr>
        <w:t xml:space="preserve"> 桥架、穿线管要求热镀锌/铝合金材质，桥架、穿线 管转弯处/变径处需用专用转弯接头/变径接头。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8.3.2</w:t>
      </w:r>
      <w:r>
        <w:rPr>
          <w:rFonts w:hint="eastAsia" w:ascii="宋体" w:hAnsi="宋体" w:eastAsia="宋体" w:cs="仿宋"/>
          <w:color w:val="000000"/>
          <w:sz w:val="24"/>
          <w:szCs w:val="24"/>
          <w:highlight w:val="none"/>
          <w:lang w:eastAsia="zh-CN" w:bidi="ar"/>
        </w:rPr>
        <w:t xml:space="preserve">桥架盖板需用专用卡扣安装固定，并用不锈钢扎带 绑扎，不得打自攻钉固定。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8.3.3</w:t>
      </w:r>
      <w:r>
        <w:rPr>
          <w:rFonts w:hint="eastAsia" w:ascii="宋体" w:hAnsi="宋体" w:eastAsia="宋体" w:cs="仿宋"/>
          <w:color w:val="000000"/>
          <w:sz w:val="24"/>
          <w:szCs w:val="24"/>
          <w:highlight w:val="none"/>
          <w:lang w:eastAsia="zh-CN" w:bidi="ar"/>
        </w:rPr>
        <w:t xml:space="preserve">桥架端口处、电缆进出桥架开孔位置等需进行必要的封堵。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8.3.4</w:t>
      </w:r>
      <w:r>
        <w:rPr>
          <w:rFonts w:hint="eastAsia" w:ascii="宋体" w:hAnsi="宋体" w:eastAsia="宋体" w:cs="仿宋"/>
          <w:color w:val="000000"/>
          <w:sz w:val="24"/>
          <w:szCs w:val="24"/>
          <w:highlight w:val="none"/>
          <w:lang w:eastAsia="zh-CN" w:bidi="ar"/>
        </w:rPr>
        <w:t xml:space="preserve">电缆桥架采用支架进行妥善牢靠固定，不得直接放置于屋面。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8.3.5</w:t>
      </w:r>
      <w:r>
        <w:rPr>
          <w:rFonts w:hint="eastAsia" w:ascii="宋体" w:hAnsi="宋体" w:eastAsia="宋体" w:cs="仿宋"/>
          <w:color w:val="000000"/>
          <w:sz w:val="24"/>
          <w:szCs w:val="24"/>
          <w:highlight w:val="none"/>
          <w:lang w:eastAsia="zh-CN" w:bidi="ar"/>
        </w:rPr>
        <w:t xml:space="preserve">引下桥架需有效牢固的固定在墙面。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w:t>
      </w:r>
      <w:r>
        <w:rPr>
          <w:rFonts w:hint="eastAsia" w:ascii="宋体" w:hAnsi="宋体" w:eastAsia="宋体" w:cs="仿宋"/>
          <w:color w:val="000000"/>
          <w:sz w:val="24"/>
          <w:szCs w:val="24"/>
          <w:highlight w:val="none"/>
          <w:lang w:eastAsia="zh-CN" w:bidi="ar"/>
        </w:rPr>
        <w:t xml:space="preserve">电缆敷设、连接：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8.4.1</w:t>
      </w:r>
      <w:r>
        <w:rPr>
          <w:rFonts w:hint="eastAsia" w:ascii="宋体" w:hAnsi="宋体" w:eastAsia="宋体" w:cs="仿宋"/>
          <w:color w:val="000000"/>
          <w:sz w:val="24"/>
          <w:szCs w:val="24"/>
          <w:highlight w:val="none"/>
          <w:lang w:eastAsia="zh-CN" w:bidi="ar"/>
        </w:rPr>
        <w:t xml:space="preserve">所有电缆需走桥架或穿保护管敷设，裸露在外的部分采用 PVC 穿线管或金属波纹软管或走桥架</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8.4.2</w:t>
      </w:r>
      <w:r>
        <w:rPr>
          <w:rFonts w:hint="eastAsia" w:ascii="宋体" w:hAnsi="宋体" w:eastAsia="宋体" w:cs="仿宋"/>
          <w:color w:val="000000"/>
          <w:sz w:val="24"/>
          <w:szCs w:val="24"/>
          <w:highlight w:val="none"/>
          <w:lang w:eastAsia="zh-CN" w:bidi="ar"/>
        </w:rPr>
        <w:t xml:space="preserve">所有 MC4 插头需绑扎固定并确保与屋面/地面有一定的距离间隔，MC4 插头不得紧贴组件背板。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8.4.3</w:t>
      </w:r>
      <w:r>
        <w:rPr>
          <w:rFonts w:hint="eastAsia" w:ascii="宋体" w:hAnsi="宋体" w:eastAsia="宋体" w:cs="仿宋"/>
          <w:color w:val="000000"/>
          <w:sz w:val="24"/>
          <w:szCs w:val="24"/>
          <w:highlight w:val="none"/>
          <w:lang w:eastAsia="zh-CN" w:bidi="ar"/>
        </w:rPr>
        <w:t xml:space="preserve">组串接入逆变器电缆在进入逆变器的下端端子处做好防火封堵。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8.4.4</w:t>
      </w:r>
      <w:r>
        <w:rPr>
          <w:rFonts w:hint="eastAsia" w:ascii="宋体" w:hAnsi="宋体" w:eastAsia="宋体" w:cs="仿宋"/>
          <w:color w:val="000000"/>
          <w:sz w:val="24"/>
          <w:szCs w:val="24"/>
          <w:highlight w:val="none"/>
          <w:lang w:eastAsia="zh-CN" w:bidi="ar"/>
        </w:rPr>
        <w:t xml:space="preserve">屋面电缆进出桥架需做好防护措施，垫绝缘皮，不可使电缆有被切割的风险。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8.4.5</w:t>
      </w:r>
      <w:r>
        <w:rPr>
          <w:rFonts w:hint="eastAsia" w:ascii="宋体" w:hAnsi="宋体" w:eastAsia="宋体" w:cs="仿宋"/>
          <w:color w:val="000000"/>
          <w:sz w:val="24"/>
          <w:szCs w:val="24"/>
          <w:highlight w:val="none"/>
          <w:lang w:eastAsia="zh-CN" w:bidi="ar"/>
        </w:rPr>
        <w:t xml:space="preserve">所有电缆首末端需挂名牌且编号无误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8.4.6</w:t>
      </w:r>
      <w:r>
        <w:rPr>
          <w:rFonts w:hint="eastAsia" w:ascii="宋体" w:hAnsi="宋体" w:eastAsia="宋体" w:cs="仿宋"/>
          <w:color w:val="000000"/>
          <w:sz w:val="24"/>
          <w:szCs w:val="24"/>
          <w:highlight w:val="none"/>
          <w:lang w:eastAsia="zh-CN" w:bidi="ar"/>
        </w:rPr>
        <w:t xml:space="preserve">电缆直埋/顶管需设置电缆桩且标示走向，标识桩需 安装埋设稳固。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8.4.7</w:t>
      </w:r>
      <w:r>
        <w:rPr>
          <w:rFonts w:hint="eastAsia" w:ascii="宋体" w:hAnsi="宋体" w:eastAsia="宋体" w:cs="仿宋"/>
          <w:color w:val="000000"/>
          <w:sz w:val="24"/>
          <w:szCs w:val="24"/>
          <w:highlight w:val="none"/>
          <w:lang w:eastAsia="zh-CN" w:bidi="ar"/>
        </w:rPr>
        <w:t xml:space="preserve"> 直埋电缆必须铺沙盖砖，埋设深度不小于0.8米。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8.4.8</w:t>
      </w:r>
      <w:r>
        <w:rPr>
          <w:rFonts w:hint="eastAsia" w:ascii="宋体" w:hAnsi="宋体" w:eastAsia="宋体" w:cs="仿宋"/>
          <w:color w:val="000000"/>
          <w:sz w:val="24"/>
          <w:szCs w:val="24"/>
          <w:highlight w:val="none"/>
          <w:lang w:eastAsia="zh-CN" w:bidi="ar"/>
        </w:rPr>
        <w:t xml:space="preserve">过路预埋管要求为热镀锌钢管/电力专用玻璃钢管。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8.4.9</w:t>
      </w:r>
      <w:r>
        <w:rPr>
          <w:rFonts w:hint="eastAsia" w:ascii="宋体" w:hAnsi="宋体" w:eastAsia="宋体" w:cs="仿宋"/>
          <w:color w:val="000000"/>
          <w:sz w:val="24"/>
          <w:szCs w:val="24"/>
          <w:highlight w:val="none"/>
          <w:lang w:eastAsia="zh-CN" w:bidi="ar"/>
        </w:rPr>
        <w:t xml:space="preserve">如果电缆需跨屋面架空敷设，应采用桁架加穿线管或桥架敷设。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8.4.10</w:t>
      </w:r>
      <w:r>
        <w:rPr>
          <w:rFonts w:hint="eastAsia" w:ascii="宋体" w:hAnsi="宋体" w:eastAsia="宋体" w:cs="仿宋"/>
          <w:color w:val="000000"/>
          <w:sz w:val="24"/>
          <w:szCs w:val="24"/>
          <w:highlight w:val="none"/>
          <w:lang w:eastAsia="zh-CN" w:bidi="ar"/>
        </w:rPr>
        <w:t xml:space="preserve">垂直桥架（下线桥架）内的大电缆需固定绑扎，做好对电缆保护工作，绑扎间距为1～1.5m。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8.4.11</w:t>
      </w:r>
      <w:r>
        <w:rPr>
          <w:rFonts w:hint="eastAsia" w:ascii="宋体" w:hAnsi="宋体" w:eastAsia="宋体" w:cs="仿宋"/>
          <w:color w:val="000000"/>
          <w:sz w:val="24"/>
          <w:szCs w:val="24"/>
          <w:highlight w:val="none"/>
          <w:lang w:eastAsia="zh-CN" w:bidi="ar"/>
        </w:rPr>
        <w:t xml:space="preserve">电站所有电缆压接线铜鼻子需采用国标产品，规格 型号尺寸要与电缆匹配，压接头孔径要与安装螺栓、压接垫片匹配，不得留有空隙。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8.4.12</w:t>
      </w:r>
      <w:r>
        <w:rPr>
          <w:rFonts w:hint="eastAsia" w:ascii="宋体" w:hAnsi="宋体" w:eastAsia="宋体" w:cs="仿宋"/>
          <w:color w:val="000000"/>
          <w:sz w:val="24"/>
          <w:szCs w:val="24"/>
          <w:highlight w:val="none"/>
          <w:lang w:eastAsia="zh-CN" w:bidi="ar"/>
        </w:rPr>
        <w:t xml:space="preserve">四芯、五芯电缆接线剥皮分叉处需用四指套、五指套，且分叉位置必须留在箱体/柜体内部。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8.5</w:t>
      </w:r>
      <w:r>
        <w:rPr>
          <w:rFonts w:hint="eastAsia" w:ascii="宋体" w:hAnsi="宋体" w:eastAsia="宋体" w:cs="仿宋"/>
          <w:color w:val="000000"/>
          <w:sz w:val="24"/>
          <w:szCs w:val="24"/>
          <w:highlight w:val="none"/>
          <w:lang w:eastAsia="zh-CN" w:bidi="ar"/>
        </w:rPr>
        <w:t xml:space="preserve">防雷接地：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8.5.1</w:t>
      </w:r>
      <w:r>
        <w:rPr>
          <w:rFonts w:hint="eastAsia" w:ascii="宋体" w:hAnsi="宋体" w:eastAsia="宋体" w:cs="仿宋"/>
          <w:color w:val="000000"/>
          <w:sz w:val="24"/>
          <w:szCs w:val="24"/>
          <w:highlight w:val="none"/>
          <w:lang w:eastAsia="zh-CN" w:bidi="ar"/>
        </w:rPr>
        <w:t xml:space="preserve">组件接地必须利用组件边框自带接地孔，不得在组件边框打孔。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8.5.2</w:t>
      </w:r>
      <w:r>
        <w:rPr>
          <w:rFonts w:hint="eastAsia" w:ascii="宋体" w:hAnsi="宋体" w:eastAsia="宋体" w:cs="仿宋"/>
          <w:color w:val="000000"/>
          <w:sz w:val="24"/>
          <w:szCs w:val="24"/>
          <w:highlight w:val="none"/>
          <w:lang w:eastAsia="zh-CN" w:bidi="ar"/>
        </w:rPr>
        <w:t xml:space="preserve">屋面防雷接地网需采用支架将其支撑固定，严禁直接铺设在屋面板上。接地扁钢搭接处需进行防腐处理。 </w:t>
      </w:r>
      <w:r/>
    </w:p>
    <w:p>
      <w:pPr>
        <w:ind w:left="0" w:firstLine="398"/>
        <w:pageBreakBefore w:val="0"/>
        <w:spacing w:after="0" w:line="360" w:lineRule="auto"/>
        <w:rPr>
          <w:rFonts w:ascii="宋体" w:hAnsi="宋体" w:eastAsia="宋体" w:cs="仿宋"/>
          <w:sz w:val="24"/>
          <w:szCs w:val="24"/>
          <w:highlight w:val="none"/>
          <w:lang w:eastAsia="zh-CN"/>
        </w:rPr>
      </w:pPr>
      <w:r>
        <w:rPr>
          <w:rFonts w:hint="eastAsia" w:ascii="宋体" w:hAnsi="宋体" w:cs="仿宋"/>
          <w:color w:val="000000"/>
          <w:sz w:val="24"/>
          <w:szCs w:val="24"/>
          <w:highlight w:val="none"/>
          <w:lang w:val="en-US" w:eastAsia="zh-CN" w:bidi="ar"/>
        </w:rPr>
        <w:t xml:space="preserve">8.5.3</w:t>
      </w:r>
      <w:r>
        <w:rPr>
          <w:rFonts w:hint="eastAsia" w:ascii="宋体" w:hAnsi="宋体" w:eastAsia="宋体" w:cs="仿宋"/>
          <w:color w:val="000000"/>
          <w:sz w:val="24"/>
          <w:szCs w:val="24"/>
          <w:highlight w:val="none"/>
          <w:lang w:eastAsia="zh-CN" w:bidi="ar"/>
        </w:rPr>
        <w:t xml:space="preserve"> 组件、逆变器、桥架的接地线须与屋面接地环网可靠连接，连接处做好防腐措施。</w:t>
      </w:r>
      <w:r/>
    </w:p>
    <w:p>
      <w:pPr>
        <w:numPr>
          <w:ilvl w:val="0"/>
          <w:numId w:val="0"/>
        </w:numPr>
        <w:ind w:left="0" w:firstLine="398"/>
        <w:jc w:val="both"/>
        <w:pageBreakBefore w:val="0"/>
        <w:spacing w:after="0" w:line="360" w:lineRule="auto"/>
        <w:widowControl w:val="off"/>
        <w:rPr>
          <w:rFonts w:ascii="宋体" w:hAnsi="宋体" w:eastAsia="宋体" w:cs="仿宋"/>
          <w:b w:val="0"/>
          <w:bCs w:val="0"/>
          <w:sz w:val="24"/>
          <w:szCs w:val="24"/>
          <w:highlight w:val="none"/>
          <w:lang w:eastAsia="en-US"/>
        </w:rPr>
      </w:pPr>
      <w:r>
        <w:rPr>
          <w:rFonts w:hint="eastAsia" w:ascii="宋体" w:hAnsi="宋体" w:cs="仿宋"/>
          <w:b w:val="0"/>
          <w:bCs w:val="0"/>
          <w:sz w:val="24"/>
          <w:szCs w:val="24"/>
          <w:highlight w:val="none"/>
          <w:lang w:val="en-US" w:eastAsia="zh-CN" w:bidi="ar-SA"/>
        </w:rPr>
        <w:t xml:space="preserve">8.6</w:t>
      </w:r>
      <w:r>
        <w:rPr>
          <w:rFonts w:hint="eastAsia" w:ascii="宋体" w:hAnsi="宋体" w:eastAsia="宋体" w:cs="仿宋"/>
          <w:b w:val="0"/>
          <w:bCs w:val="0"/>
          <w:sz w:val="24"/>
          <w:szCs w:val="24"/>
          <w:highlight w:val="none"/>
          <w:lang w:eastAsia="zh-CN"/>
        </w:rPr>
        <w:t xml:space="preserve">并网要求：</w:t>
      </w:r>
      <w:r/>
    </w:p>
    <w:p>
      <w:pPr>
        <w:ind w:left="0" w:firstLine="398"/>
        <w:pageBreakBefore w:val="0"/>
        <w:spacing w:after="0" w:line="360" w:lineRule="auto"/>
        <w:tabs>
          <w:tab w:val="left" w:pos="312" w:leader="none"/>
        </w:tabs>
        <w:rPr>
          <w:rFonts w:ascii="宋体" w:hAnsi="宋体" w:eastAsia="宋体" w:cs="仿宋"/>
          <w:sz w:val="24"/>
          <w:szCs w:val="24"/>
          <w:highlight w:val="none"/>
          <w:lang w:eastAsia="en-US"/>
        </w:rPr>
      </w:pPr>
      <w:r>
        <w:rPr>
          <w:rFonts w:hint="eastAsia" w:ascii="宋体" w:hAnsi="宋体" w:eastAsia="宋体" w:cs="仿宋"/>
          <w:sz w:val="24"/>
          <w:szCs w:val="24"/>
          <w:highlight w:val="none"/>
          <w:lang w:eastAsia="zh-CN"/>
        </w:rPr>
        <w:t xml:space="preserve">在规定工期内项目要按照设计图纸及要求全容量安装完成、供电验收装表，拿到供电公司验收单及供售电合同。项目如期通电。</w:t>
      </w:r>
      <w:r/>
    </w:p>
    <w:p>
      <w:pPr>
        <w:numPr>
          <w:ilvl w:val="0"/>
          <w:numId w:val="0"/>
        </w:numPr>
        <w:ind w:left="0" w:firstLine="398"/>
        <w:jc w:val="both"/>
        <w:pageBreakBefore w:val="0"/>
        <w:spacing w:after="0" w:line="360" w:lineRule="auto"/>
        <w:widowControl w:val="off"/>
        <w:rPr>
          <w:rFonts w:ascii="宋体" w:hAnsi="宋体" w:eastAsia="宋体" w:cs="仿宋"/>
          <w:b/>
          <w:bCs/>
          <w:sz w:val="24"/>
          <w:szCs w:val="24"/>
          <w:highlight w:val="none"/>
          <w:lang w:eastAsia="en-US"/>
        </w:rPr>
      </w:pPr>
      <w:r>
        <w:rPr>
          <w:rFonts w:hint="eastAsia" w:ascii="宋体" w:hAnsi="宋体" w:cs="仿宋"/>
          <w:b w:val="0"/>
          <w:bCs w:val="0"/>
          <w:sz w:val="24"/>
          <w:szCs w:val="24"/>
          <w:highlight w:val="none"/>
          <w:lang w:val="en-US" w:eastAsia="zh-CN" w:bidi="ar-SA"/>
        </w:rPr>
        <w:t xml:space="preserve">8.7</w:t>
      </w:r>
      <w:r>
        <w:rPr>
          <w:rFonts w:hint="eastAsia" w:ascii="宋体" w:hAnsi="宋体" w:eastAsia="宋体" w:cs="仿宋"/>
          <w:b w:val="0"/>
          <w:bCs w:val="0"/>
          <w:sz w:val="24"/>
          <w:szCs w:val="24"/>
          <w:highlight w:val="none"/>
          <w:lang w:eastAsia="zh-CN"/>
        </w:rPr>
        <w:t xml:space="preserve">防火要求：</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屋顶配备灭火器（5KG 干粉灭火器），单个屋顶面积≦10000平方时，每个屋顶至少配置2套（2 个灭火器1个灭火器箱）。单个屋顶面积＞10000平方时，每增加5000 平方需增加一套（不够 5000 平方按 5000 平方计算）。每一套箱变/预制舱以及配电室各需配备1套灭火器。</w:t>
      </w:r>
      <w:r/>
    </w:p>
    <w:p>
      <w:pPr>
        <w:ind w:left="0" w:firstLine="400"/>
        <w:jc w:val="both"/>
        <w:pageBreakBefore w:val="0"/>
        <w:spacing w:after="0" w:line="360" w:lineRule="auto"/>
        <w:rPr>
          <w:rFonts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lang w:eastAsia="zh-CN"/>
        </w:rPr>
        <w:t xml:space="preserve">、手机A</w:t>
      </w:r>
      <w:r>
        <w:rPr>
          <w:rFonts w:ascii="宋体" w:hAnsi="宋体" w:eastAsia="宋体" w:cs="宋体"/>
          <w:b/>
          <w:sz w:val="24"/>
          <w:szCs w:val="24"/>
          <w:highlight w:val="none"/>
          <w:lang w:eastAsia="zh-CN"/>
        </w:rPr>
        <w:t xml:space="preserve">PP</w:t>
      </w:r>
      <w:r>
        <w:rPr>
          <w:rFonts w:hint="eastAsia" w:ascii="宋体" w:hAnsi="宋体" w:eastAsia="宋体" w:cs="宋体"/>
          <w:b/>
          <w:sz w:val="24"/>
          <w:szCs w:val="24"/>
          <w:highlight w:val="none"/>
          <w:lang w:eastAsia="zh-CN"/>
        </w:rPr>
        <w:t xml:space="preserve">要求</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手机APP至少包含：</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9.1</w:t>
      </w:r>
      <w:r>
        <w:rPr>
          <w:rFonts w:hint="eastAsia" w:ascii="宋体" w:hAnsi="宋体" w:eastAsia="宋体" w:cs="仿宋"/>
          <w:color w:val="000000"/>
          <w:sz w:val="24"/>
          <w:szCs w:val="24"/>
          <w:highlight w:val="none"/>
          <w:lang w:eastAsia="zh-CN" w:bidi="ar"/>
        </w:rPr>
        <w:t xml:space="preserve">应涵盖数据采集和传输技术、数据处理和分析技术、安全管理技术、可靠性和稳定性等要求，必须保证展示数据准确可靠。</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9.2</w:t>
      </w:r>
      <w:r>
        <w:rPr>
          <w:rFonts w:hint="eastAsia" w:ascii="宋体" w:hAnsi="宋体" w:eastAsia="宋体" w:cs="仿宋"/>
          <w:color w:val="000000"/>
          <w:sz w:val="24"/>
          <w:szCs w:val="24"/>
          <w:highlight w:val="none"/>
          <w:lang w:eastAsia="zh-CN" w:bidi="ar"/>
        </w:rPr>
        <w:t xml:space="preserve">系统要求：</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系统可视化管理：</w:t>
      </w:r>
      <w:r>
        <w:rPr>
          <w:rFonts w:ascii="宋体" w:hAnsi="宋体" w:eastAsia="宋体" w:cs="仿宋"/>
          <w:color w:val="000000"/>
          <w:sz w:val="24"/>
          <w:szCs w:val="24"/>
          <w:highlight w:val="none"/>
          <w:lang w:eastAsia="zh-CN" w:bidi="ar"/>
        </w:rPr>
        <w:t xml:space="preserve">KPI</w:t>
      </w:r>
      <w:r>
        <w:rPr>
          <w:rFonts w:hint="eastAsia" w:ascii="宋体" w:hAnsi="宋体" w:eastAsia="宋体" w:cs="仿宋"/>
          <w:color w:val="000000"/>
          <w:sz w:val="24"/>
          <w:szCs w:val="24"/>
          <w:highlight w:val="none"/>
          <w:lang w:eastAsia="zh-CN" w:bidi="ar"/>
        </w:rPr>
        <w:t xml:space="preserve">大屏展示，多电站运行指标集中管理，电站级、设备级的实时、历史数据充分可视化，支持报表订阅与告警实时推送。</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9.3</w:t>
      </w:r>
      <w:r>
        <w:rPr>
          <w:rFonts w:hint="eastAsia" w:ascii="宋体" w:hAnsi="宋体" w:eastAsia="宋体" w:cs="仿宋"/>
          <w:color w:val="000000"/>
          <w:sz w:val="24"/>
          <w:szCs w:val="24"/>
          <w:highlight w:val="none"/>
          <w:lang w:eastAsia="zh-CN" w:bidi="ar"/>
        </w:rPr>
        <w:t xml:space="preserve">智能运维：一屏管理站点、运维人员与状态，工单一键派单，寻站一键导航，智能</w:t>
      </w:r>
      <w:r>
        <w:rPr>
          <w:rFonts w:ascii="宋体" w:hAnsi="宋体" w:eastAsia="宋体" w:cs="仿宋"/>
          <w:color w:val="000000"/>
          <w:sz w:val="24"/>
          <w:szCs w:val="24"/>
          <w:highlight w:val="none"/>
          <w:lang w:eastAsia="zh-CN" w:bidi="ar"/>
        </w:rPr>
        <w:t xml:space="preserve">IV</w:t>
      </w:r>
      <w:r>
        <w:rPr>
          <w:rFonts w:hint="eastAsia" w:ascii="宋体" w:hAnsi="宋体" w:eastAsia="宋体" w:cs="仿宋"/>
          <w:color w:val="000000"/>
          <w:sz w:val="24"/>
          <w:szCs w:val="24"/>
          <w:highlight w:val="none"/>
          <w:lang w:eastAsia="zh-CN" w:bidi="ar"/>
        </w:rPr>
        <w:t xml:space="preserve">诊断，</w:t>
      </w:r>
      <w:r>
        <w:rPr>
          <w:rFonts w:ascii="宋体" w:hAnsi="宋体" w:eastAsia="宋体" w:cs="仿宋"/>
          <w:color w:val="000000"/>
          <w:sz w:val="24"/>
          <w:szCs w:val="24"/>
          <w:highlight w:val="none"/>
          <w:lang w:eastAsia="zh-CN" w:bidi="ar"/>
        </w:rPr>
        <w:t xml:space="preserve">100MW</w:t>
      </w:r>
      <w:r>
        <w:rPr>
          <w:rFonts w:hint="eastAsia" w:ascii="宋体" w:hAnsi="宋体" w:eastAsia="宋体" w:cs="仿宋"/>
          <w:color w:val="000000"/>
          <w:sz w:val="24"/>
          <w:szCs w:val="24"/>
          <w:highlight w:val="none"/>
          <w:lang w:eastAsia="zh-CN" w:bidi="ar"/>
        </w:rPr>
        <w:t xml:space="preserve">电站只需</w:t>
      </w:r>
      <w:r>
        <w:rPr>
          <w:rFonts w:ascii="宋体" w:hAnsi="宋体" w:eastAsia="宋体" w:cs="仿宋"/>
          <w:color w:val="000000"/>
          <w:sz w:val="24"/>
          <w:szCs w:val="24"/>
          <w:highlight w:val="none"/>
          <w:lang w:eastAsia="zh-CN" w:bidi="ar"/>
        </w:rPr>
        <w:t xml:space="preserve">15</w:t>
      </w:r>
      <w:r>
        <w:rPr>
          <w:rFonts w:hint="eastAsia" w:ascii="宋体" w:hAnsi="宋体" w:eastAsia="宋体" w:cs="仿宋"/>
          <w:color w:val="000000"/>
          <w:sz w:val="24"/>
          <w:szCs w:val="24"/>
          <w:highlight w:val="none"/>
          <w:lang w:eastAsia="zh-CN" w:bidi="ar"/>
        </w:rPr>
        <w:t xml:space="preserve">分钟。</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9.4</w:t>
      </w:r>
      <w:r>
        <w:rPr>
          <w:rFonts w:hint="eastAsia" w:ascii="宋体" w:hAnsi="宋体" w:eastAsia="宋体" w:cs="仿宋"/>
          <w:color w:val="000000"/>
          <w:sz w:val="24"/>
          <w:szCs w:val="24"/>
          <w:highlight w:val="none"/>
          <w:lang w:eastAsia="zh-CN" w:bidi="ar"/>
        </w:rPr>
        <w:t xml:space="preserve">主要功能：</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设备管理主要功能：设备详情、远程参数设置、远程优化器搜索。</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智能运维功能：智能监屏、告警管理、任务管理、智能I</w:t>
      </w:r>
      <w:r>
        <w:rPr>
          <w:rFonts w:ascii="宋体" w:hAnsi="宋体" w:eastAsia="宋体" w:cs="仿宋"/>
          <w:color w:val="000000"/>
          <w:sz w:val="24"/>
          <w:szCs w:val="24"/>
          <w:highlight w:val="none"/>
          <w:lang w:eastAsia="zh-CN" w:bidi="ar"/>
        </w:rPr>
        <w:t xml:space="preserve">V</w:t>
      </w:r>
      <w:r>
        <w:rPr>
          <w:rFonts w:hint="eastAsia" w:ascii="宋体" w:hAnsi="宋体" w:eastAsia="宋体" w:cs="仿宋"/>
          <w:color w:val="000000"/>
          <w:sz w:val="24"/>
          <w:szCs w:val="24"/>
          <w:highlight w:val="none"/>
          <w:lang w:eastAsia="zh-CN" w:bidi="ar"/>
        </w:rPr>
        <w:t xml:space="preserve">诊断。</w:t>
      </w:r>
      <w:r/>
    </w:p>
    <w:p>
      <w:pPr>
        <w:ind w:left="0" w:firstLine="398"/>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单电站首页功能：能量流图、能量管理、电站布局等。</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系统设置功能：电站管理、企业管理。</w:t>
      </w:r>
      <w:r/>
    </w:p>
    <w:p>
      <w:pPr>
        <w:ind w:firstLine="482"/>
        <w:jc w:val="both"/>
        <w:spacing w:after="0" w:line="360" w:lineRule="auto"/>
        <w:rPr>
          <w:rFonts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lang w:eastAsia="zh-CN"/>
        </w:rPr>
        <w:t xml:space="preserve">、提供两年运维服务标准：</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1、</w:t>
      </w:r>
      <w:r>
        <w:rPr>
          <w:rFonts w:ascii="宋体" w:hAnsi="宋体" w:eastAsia="宋体" w:cs="仿宋"/>
          <w:color w:val="000000"/>
          <w:sz w:val="24"/>
          <w:szCs w:val="24"/>
          <w:highlight w:val="none"/>
          <w:lang w:eastAsia="zh-CN" w:bidi="ar"/>
        </w:rPr>
        <w:t xml:space="preserve">组件和支架的维护</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1.1</w:t>
      </w:r>
      <w:r>
        <w:rPr>
          <w:rFonts w:ascii="宋体" w:hAnsi="宋体" w:eastAsia="宋体" w:cs="仿宋"/>
          <w:color w:val="000000"/>
          <w:sz w:val="24"/>
          <w:szCs w:val="24"/>
          <w:highlight w:val="none"/>
          <w:lang w:eastAsia="zh-CN" w:bidi="ar"/>
        </w:rPr>
        <w:t xml:space="preserve">光伏组件表面应保持清洁，</w:t>
      </w:r>
      <w:r>
        <w:rPr>
          <w:rFonts w:hint="eastAsia" w:ascii="宋体" w:hAnsi="宋体" w:eastAsia="宋体" w:cs="仿宋"/>
          <w:color w:val="000000"/>
          <w:sz w:val="24"/>
          <w:szCs w:val="24"/>
          <w:highlight w:val="none"/>
          <w:lang w:eastAsia="zh-CN" w:bidi="ar"/>
        </w:rPr>
        <w:t xml:space="preserve">应根据发包人要求提供每年至少2次以上的擦拭清洁服务，</w:t>
      </w:r>
      <w:r>
        <w:rPr>
          <w:rFonts w:ascii="宋体" w:hAnsi="宋体" w:eastAsia="宋体" w:cs="仿宋"/>
          <w:color w:val="000000"/>
          <w:sz w:val="24"/>
          <w:szCs w:val="24"/>
          <w:highlight w:val="none"/>
          <w:lang w:eastAsia="zh-CN" w:bidi="ar"/>
        </w:rPr>
        <w:t xml:space="preserve">应使用干燥或潮湿的柔软洁净的布料擦拭光伏组件，严禁使用腐蚀性溶剂或硬物擦拭光伏组件。应在辐照度低于200W/㎡的情况下清洁光伏组件，不宜使用与组件温差较大的液体清洗组件。</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1.2</w:t>
      </w:r>
      <w:r>
        <w:rPr>
          <w:rFonts w:ascii="宋体" w:hAnsi="宋体" w:eastAsia="宋体" w:cs="仿宋"/>
          <w:color w:val="000000"/>
          <w:sz w:val="24"/>
          <w:szCs w:val="24"/>
          <w:highlight w:val="none"/>
          <w:lang w:eastAsia="zh-CN" w:bidi="ar"/>
        </w:rPr>
        <w:t xml:space="preserve">光伏组件应定期检查，若发现下列问题应立即调整或更换光伏组件。</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光伏组件存在玻璃粉碎、背板灼焦、明显的颜色变化；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光伏组件中存在与组件边缘或任何电路之间形成连通通道的气泡；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光伏组件接线盒变形、扭曲、开裂或烧毁，接线端子无法良好接触。</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1.3</w:t>
      </w:r>
      <w:r>
        <w:rPr>
          <w:rFonts w:ascii="宋体" w:hAnsi="宋体" w:eastAsia="宋体" w:cs="仿宋"/>
          <w:color w:val="000000"/>
          <w:sz w:val="24"/>
          <w:szCs w:val="24"/>
          <w:highlight w:val="none"/>
          <w:lang w:eastAsia="zh-CN" w:bidi="ar"/>
        </w:rPr>
        <w:t xml:space="preserve">光伏组件上的带电警告标识不得丢失。</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1.4</w:t>
      </w:r>
      <w:r>
        <w:rPr>
          <w:rFonts w:ascii="宋体" w:hAnsi="宋体" w:eastAsia="宋体" w:cs="仿宋"/>
          <w:color w:val="000000"/>
          <w:sz w:val="24"/>
          <w:szCs w:val="24"/>
          <w:highlight w:val="none"/>
          <w:lang w:eastAsia="zh-CN" w:bidi="ar"/>
        </w:rPr>
        <w:t xml:space="preserve">使用金属边框的光伏组件，边框和支架应结合良好，两者之间接触电阻不大于4Ω，边框必须牢固接地。</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1.5</w:t>
      </w:r>
      <w:r>
        <w:rPr>
          <w:rFonts w:ascii="宋体" w:hAnsi="宋体" w:eastAsia="宋体" w:cs="仿宋"/>
          <w:color w:val="000000"/>
          <w:sz w:val="24"/>
          <w:szCs w:val="24"/>
          <w:highlight w:val="none"/>
          <w:lang w:eastAsia="zh-CN" w:bidi="ar"/>
        </w:rPr>
        <w:t xml:space="preserve">在无阴影遮挡条件下工作时，在太阳辐照度为500W/㎡以上，风速不大于2m/s的条件下，同一光伏组件外表面（电池正上方区域）温度差异应小于20</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。装机容量大于50kWp的光伏电站，应配备红外线热像仪，检测光伏组件外表面温度差异。</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1.6</w:t>
      </w:r>
      <w:r>
        <w:rPr>
          <w:rFonts w:ascii="宋体" w:hAnsi="宋体" w:eastAsia="宋体" w:cs="仿宋"/>
          <w:color w:val="000000"/>
          <w:sz w:val="24"/>
          <w:szCs w:val="24"/>
          <w:highlight w:val="none"/>
          <w:lang w:eastAsia="zh-CN" w:bidi="ar"/>
        </w:rPr>
        <w:t xml:space="preserve">使用直流钳型电流表在太阳辐射强度基本一致的条件下测量接入同一个直流汇流箱的各光伏组件串的输入电流，其偏差应不超过5%。</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1.7</w:t>
      </w:r>
      <w:r>
        <w:rPr>
          <w:rFonts w:ascii="宋体" w:hAnsi="宋体" w:eastAsia="宋体" w:cs="仿宋"/>
          <w:color w:val="000000"/>
          <w:sz w:val="24"/>
          <w:szCs w:val="24"/>
          <w:highlight w:val="none"/>
          <w:lang w:eastAsia="zh-CN" w:bidi="ar"/>
        </w:rPr>
        <w:t xml:space="preserve">支架的所有螺栓、焊缝和支架连接应牢固可靠，表面的防腐涂层不应出现开裂和脱落现象，否则应及时不刷。</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逆变器的维护</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2.1</w:t>
      </w:r>
      <w:r>
        <w:rPr>
          <w:rFonts w:ascii="宋体" w:hAnsi="宋体" w:eastAsia="宋体" w:cs="仿宋"/>
          <w:color w:val="000000"/>
          <w:sz w:val="24"/>
          <w:szCs w:val="24"/>
          <w:highlight w:val="none"/>
          <w:lang w:eastAsia="zh-CN" w:bidi="ar"/>
        </w:rPr>
        <w:t xml:space="preserve">逆变器结构和电气连接应保持完整，不应存在锈蚀、积灰等现象，散热环境应良好，逆变器运行时不应有较大振动和异常噪声。</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2.2</w:t>
      </w:r>
      <w:r>
        <w:rPr>
          <w:rFonts w:ascii="宋体" w:hAnsi="宋体" w:eastAsia="宋体" w:cs="仿宋"/>
          <w:color w:val="000000"/>
          <w:sz w:val="24"/>
          <w:szCs w:val="24"/>
          <w:highlight w:val="none"/>
          <w:lang w:eastAsia="zh-CN" w:bidi="ar"/>
        </w:rPr>
        <w:t xml:space="preserve">逆变器上的警示标识应完整无破损。</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2.3</w:t>
      </w:r>
      <w:r>
        <w:rPr>
          <w:rFonts w:ascii="宋体" w:hAnsi="宋体" w:eastAsia="宋体" w:cs="仿宋"/>
          <w:color w:val="000000"/>
          <w:sz w:val="24"/>
          <w:szCs w:val="24"/>
          <w:highlight w:val="none"/>
          <w:lang w:eastAsia="zh-CN" w:bidi="ar"/>
        </w:rPr>
        <w:t xml:space="preserve">逆变器中模块、电抗器、变压器的散热风扇根据温度自行启动和停止的功能应正常，散热风扇运行时不应有较大振动及异常噪音，如有异常情况应断电检查。</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2.4</w:t>
      </w:r>
      <w:r>
        <w:rPr>
          <w:rFonts w:ascii="宋体" w:hAnsi="宋体" w:eastAsia="宋体" w:cs="仿宋"/>
          <w:color w:val="000000"/>
          <w:sz w:val="24"/>
          <w:szCs w:val="24"/>
          <w:highlight w:val="none"/>
          <w:lang w:eastAsia="zh-CN" w:bidi="ar"/>
        </w:rPr>
        <w:t xml:space="preserve">定期将交流输出侧（网侧）断路器断开一次，逆变器应立即停止向电网馈电。</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2.5</w:t>
      </w:r>
      <w:r>
        <w:rPr>
          <w:rFonts w:ascii="宋体" w:hAnsi="宋体" w:eastAsia="宋体" w:cs="仿宋"/>
          <w:color w:val="000000"/>
          <w:sz w:val="24"/>
          <w:szCs w:val="24"/>
          <w:highlight w:val="none"/>
          <w:lang w:eastAsia="zh-CN" w:bidi="ar"/>
        </w:rPr>
        <w:t xml:space="preserve">逆变器中直流母线电容温度过高或超过使用年限，应及时更换。</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交流配电柜的维护</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3.1</w:t>
      </w:r>
      <w:r>
        <w:rPr>
          <w:rFonts w:ascii="宋体" w:hAnsi="宋体" w:eastAsia="宋体" w:cs="仿宋"/>
          <w:color w:val="000000"/>
          <w:sz w:val="24"/>
          <w:szCs w:val="24"/>
          <w:highlight w:val="none"/>
          <w:lang w:eastAsia="zh-CN" w:bidi="ar"/>
        </w:rPr>
        <w:t xml:space="preserve">确保配电柜的金属架与基础型钢应用镀锌螺栓完好连接，且防松零件齐全。</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3.2</w:t>
      </w:r>
      <w:r>
        <w:rPr>
          <w:rFonts w:ascii="宋体" w:hAnsi="宋体" w:eastAsia="宋体" w:cs="仿宋"/>
          <w:color w:val="000000"/>
          <w:sz w:val="24"/>
          <w:szCs w:val="24"/>
          <w:highlight w:val="none"/>
          <w:lang w:eastAsia="zh-CN" w:bidi="ar"/>
        </w:rPr>
        <w:t xml:space="preserve">配电柜标明被控设备编号、名称或操作位置的标识器件应完整，编号应清晰、工整。</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3.3</w:t>
      </w:r>
      <w:r>
        <w:rPr>
          <w:rFonts w:ascii="宋体" w:hAnsi="宋体" w:eastAsia="宋体" w:cs="仿宋"/>
          <w:color w:val="000000"/>
          <w:sz w:val="24"/>
          <w:szCs w:val="24"/>
          <w:highlight w:val="none"/>
          <w:lang w:eastAsia="zh-CN" w:bidi="ar"/>
        </w:rPr>
        <w:t xml:space="preserve">母线接头应连接紧密，无变形，无放电变黑痕迹，绝缘无松动和损坏，紧固联接螺栓无生锈。</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3.4</w:t>
      </w:r>
      <w:r>
        <w:rPr>
          <w:rFonts w:ascii="宋体" w:hAnsi="宋体" w:eastAsia="宋体" w:cs="仿宋"/>
          <w:color w:val="000000"/>
          <w:sz w:val="24"/>
          <w:szCs w:val="24"/>
          <w:highlight w:val="none"/>
          <w:lang w:eastAsia="zh-CN" w:bidi="ar"/>
        </w:rPr>
        <w:t xml:space="preserve">手车、抽出式成套配电柜推拉应灵活，无卡阻碰撞现象，动静头与静触头的中心线应一致，且触头接触紧密。</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3.5</w:t>
      </w:r>
      <w:r>
        <w:rPr>
          <w:rFonts w:ascii="宋体" w:hAnsi="宋体" w:eastAsia="宋体" w:cs="仿宋"/>
          <w:color w:val="000000"/>
          <w:sz w:val="24"/>
          <w:szCs w:val="24"/>
          <w:highlight w:val="none"/>
          <w:lang w:eastAsia="zh-CN" w:bidi="ar"/>
        </w:rPr>
        <w:t xml:space="preserve">配电柜中开关、主触点无烧熔痕迹，灭弧罩无烧黑和损坏，紧固各接线螺丝，清洁柜内灰尘。</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3.6</w:t>
      </w:r>
      <w:r>
        <w:rPr>
          <w:rFonts w:ascii="宋体" w:hAnsi="宋体" w:eastAsia="宋体" w:cs="仿宋"/>
          <w:color w:val="000000"/>
          <w:sz w:val="24"/>
          <w:szCs w:val="24"/>
          <w:highlight w:val="none"/>
          <w:lang w:eastAsia="zh-CN" w:bidi="ar"/>
        </w:rPr>
        <w:t xml:space="preserve">把各分开关柜从抽屉中取出，紧固各接线端子。检查电流互感器、电流表、电度表的安装和接线，手柄操作机构应灵活可靠性，紧固断路器进出线，清洁开关柜内和配电柜后面引出线处的灰尘。 </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3.7</w:t>
      </w:r>
      <w:r>
        <w:rPr>
          <w:rFonts w:ascii="宋体" w:hAnsi="宋体" w:eastAsia="宋体" w:cs="仿宋"/>
          <w:color w:val="000000"/>
          <w:sz w:val="24"/>
          <w:szCs w:val="24"/>
          <w:highlight w:val="none"/>
          <w:lang w:eastAsia="zh-CN" w:bidi="ar"/>
        </w:rPr>
        <w:t xml:space="preserve">低压电器发热物件散热应良好，切换压板应解除良好，信号回路的信号灯、按钮、光字牌、电铃、电筒、事故电钟等动作和信号显示应准确。</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3.8</w:t>
      </w:r>
      <w:r>
        <w:rPr>
          <w:rFonts w:ascii="宋体" w:hAnsi="宋体" w:eastAsia="宋体" w:cs="仿宋"/>
          <w:color w:val="000000"/>
          <w:sz w:val="24"/>
          <w:szCs w:val="24"/>
          <w:highlight w:val="none"/>
          <w:lang w:eastAsia="zh-CN" w:bidi="ar"/>
        </w:rPr>
        <w:t xml:space="preserve">检验柜、屏、台、箱、盘间线路的线间和线对地间绝缘电阻值，馈电线路必须大于0.5MΩ，二次回路必须大于1MΩ。 </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电缆的维护</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4.1</w:t>
      </w:r>
      <w:r>
        <w:rPr>
          <w:rFonts w:ascii="宋体" w:hAnsi="宋体" w:eastAsia="宋体" w:cs="仿宋"/>
          <w:color w:val="000000"/>
          <w:sz w:val="24"/>
          <w:szCs w:val="24"/>
          <w:highlight w:val="none"/>
          <w:lang w:eastAsia="zh-CN" w:bidi="ar"/>
        </w:rPr>
        <w:t xml:space="preserve">电缆不应在过负荷的状态下运行，电缆的铅包不应出现膨胀、龟裂现象。</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4.2</w:t>
      </w:r>
      <w:r>
        <w:rPr>
          <w:rFonts w:ascii="宋体" w:hAnsi="宋体" w:eastAsia="宋体" w:cs="仿宋"/>
          <w:color w:val="000000"/>
          <w:sz w:val="24"/>
          <w:szCs w:val="24"/>
          <w:highlight w:val="none"/>
          <w:lang w:eastAsia="zh-CN" w:bidi="ar"/>
        </w:rPr>
        <w:t xml:space="preserve">电缆在进出设备处的部位应封堵完好，不应存在直径大于10㎜的孔洞，否则用防火堵泥墙封堵。 </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4.3</w:t>
      </w:r>
      <w:r>
        <w:rPr>
          <w:rFonts w:ascii="宋体" w:hAnsi="宋体" w:eastAsia="宋体" w:cs="仿宋"/>
          <w:color w:val="000000"/>
          <w:sz w:val="24"/>
          <w:szCs w:val="24"/>
          <w:highlight w:val="none"/>
          <w:lang w:eastAsia="zh-CN" w:bidi="ar"/>
        </w:rPr>
        <w:t xml:space="preserve">在电缆对设备外壳压力、拉力过大部位，电缆的支撑点应完好。</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4.4</w:t>
      </w:r>
      <w:r>
        <w:rPr>
          <w:rFonts w:ascii="宋体" w:hAnsi="宋体" w:eastAsia="宋体" w:cs="仿宋"/>
          <w:color w:val="000000"/>
          <w:sz w:val="24"/>
          <w:szCs w:val="24"/>
          <w:highlight w:val="none"/>
          <w:lang w:eastAsia="zh-CN" w:bidi="ar"/>
        </w:rPr>
        <w:t xml:space="preserve">电缆保护钢管口不应有穿孔、裂缝和显著的凹凸不平，内壁应光滑，金属电缆管不应有严重锈蚀，不应有毛刺、硬物、垃圾，如有毛刺，锉光后用电缆外套包裹并扎紧。</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4.5</w:t>
      </w:r>
      <w:r>
        <w:rPr>
          <w:rFonts w:ascii="宋体" w:hAnsi="宋体" w:eastAsia="宋体" w:cs="仿宋"/>
          <w:color w:val="000000"/>
          <w:sz w:val="24"/>
          <w:szCs w:val="24"/>
          <w:highlight w:val="none"/>
          <w:lang w:eastAsia="zh-CN" w:bidi="ar"/>
        </w:rPr>
        <w:t xml:space="preserve">应及时清理室外电缆井内的堆积物、垃圾，如电缆外皮损坏，应进行处理。</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4.6</w:t>
      </w:r>
      <w:r>
        <w:rPr>
          <w:rFonts w:ascii="宋体" w:hAnsi="宋体" w:eastAsia="宋体" w:cs="仿宋"/>
          <w:color w:val="000000"/>
          <w:sz w:val="24"/>
          <w:szCs w:val="24"/>
          <w:highlight w:val="none"/>
          <w:lang w:eastAsia="zh-CN" w:bidi="ar"/>
        </w:rPr>
        <w:t xml:space="preserve">检查室内电缆明沟时，要防止损坏电缆，确保支架接地与沟内散热良好。</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4.7</w:t>
      </w:r>
      <w:r>
        <w:rPr>
          <w:rFonts w:ascii="宋体" w:hAnsi="宋体" w:eastAsia="宋体" w:cs="仿宋"/>
          <w:color w:val="000000"/>
          <w:sz w:val="24"/>
          <w:szCs w:val="24"/>
          <w:highlight w:val="none"/>
          <w:lang w:eastAsia="zh-CN" w:bidi="ar"/>
        </w:rPr>
        <w:t xml:space="preserve">直埋电缆线路沿线的标桩应完好无损，路径附近地面无挖掘，确保沿路径地面上无堆放重物、建材及临时设施，无腐蚀性物质排泄，确保室外露地面电缆保护设施完好。</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4.8</w:t>
      </w:r>
      <w:r>
        <w:rPr>
          <w:rFonts w:ascii="宋体" w:hAnsi="宋体" w:eastAsia="宋体" w:cs="仿宋"/>
          <w:color w:val="000000"/>
          <w:sz w:val="24"/>
          <w:szCs w:val="24"/>
          <w:highlight w:val="none"/>
          <w:lang w:eastAsia="zh-CN" w:bidi="ar"/>
        </w:rPr>
        <w:t xml:space="preserve">确保电缆沟或电缆井的盖板完好无缺，沟道中不应有积水或杂物，确保沟内支架应牢固、有无锈蚀、松动现象，铠装电缆外皮及铠装不应有严重锈蚀。</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4.9</w:t>
      </w:r>
      <w:r>
        <w:rPr>
          <w:rFonts w:ascii="宋体" w:hAnsi="宋体" w:eastAsia="宋体" w:cs="仿宋"/>
          <w:color w:val="000000"/>
          <w:sz w:val="24"/>
          <w:szCs w:val="24"/>
          <w:highlight w:val="none"/>
          <w:lang w:eastAsia="zh-CN" w:bidi="ar"/>
        </w:rPr>
        <w:t xml:space="preserve">多根并列敷设的电缆，应检查电流分配和电缆外皮的温度，防止因接触不良而引起电缆烧坏连接点。</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4.10</w:t>
      </w:r>
      <w:r>
        <w:rPr>
          <w:rFonts w:ascii="宋体" w:hAnsi="宋体" w:eastAsia="宋体" w:cs="仿宋"/>
          <w:color w:val="000000"/>
          <w:sz w:val="24"/>
          <w:szCs w:val="24"/>
          <w:highlight w:val="none"/>
          <w:lang w:eastAsia="zh-CN" w:bidi="ar"/>
        </w:rPr>
        <w:t xml:space="preserve">确保电缆终端头接地良好，绝缘套管完好、清洁、无闪络放电痕迹，确保电缆相色应明显。</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5</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极端天气维护</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5.1</w:t>
      </w:r>
      <w:r>
        <w:rPr>
          <w:rFonts w:ascii="宋体" w:hAnsi="宋体" w:eastAsia="宋体" w:cs="仿宋"/>
          <w:color w:val="000000"/>
          <w:sz w:val="24"/>
          <w:szCs w:val="24"/>
          <w:highlight w:val="none"/>
          <w:lang w:eastAsia="zh-CN" w:bidi="ar"/>
        </w:rPr>
        <w:t xml:space="preserve">如碰到下雨跳闸，有可能是接线头不紧，如出现这类情况，必须在雨过晴天后处理，可用绝缘胶带缠绕接线头，再观察是否跳闸，如继续出现跳闸现象，应向维修中心或当地电管站报告。</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cs="仿宋"/>
          <w:color w:val="000000"/>
          <w:sz w:val="24"/>
          <w:szCs w:val="24"/>
          <w:highlight w:val="none"/>
          <w:lang w:val="en-US" w:eastAsia="zh-CN" w:bidi="ar"/>
        </w:rPr>
        <w:t xml:space="preserve">5.2</w:t>
      </w:r>
      <w:r>
        <w:rPr>
          <w:rFonts w:hint="eastAsia" w:ascii="宋体" w:hAnsi="宋体" w:eastAsia="宋体" w:cs="仿宋"/>
          <w:color w:val="000000"/>
          <w:sz w:val="24"/>
          <w:szCs w:val="24"/>
          <w:highlight w:val="none"/>
          <w:lang w:eastAsia="zh-CN" w:bidi="ar"/>
        </w:rPr>
        <w:t xml:space="preserve">雷雨天，应将电表下方空气开关关闭，防止电气设备受损。待雷雨天过后，再将开关合上。</w:t>
      </w:r>
      <w:r/>
    </w:p>
    <w:p>
      <w:pPr>
        <w:ind w:left="420"/>
        <w:spacing w:after="120" w:line="276" w:lineRule="auto"/>
        <w:rPr>
          <w:rFonts w:hint="default" w:ascii="Arial" w:hAnsi="Arial" w:eastAsia="Arial" w:cs="Times New Roman"/>
          <w:sz w:val="22"/>
          <w:szCs w:val="22"/>
          <w:highlight w:val="none"/>
          <w:lang w:val="en-US" w:eastAsia="zh-CN" w:bidi="ar-SA"/>
        </w:rPr>
      </w:pPr>
      <w:r>
        <w:rPr>
          <w:rFonts w:hint="eastAsia" w:ascii="宋体" w:hAnsi="宋体" w:cs="仿宋"/>
          <w:color w:val="000000"/>
          <w:sz w:val="24"/>
          <w:szCs w:val="24"/>
          <w:highlight w:val="none"/>
          <w:lang w:val="en-US" w:eastAsia="zh-CN" w:bidi="ar"/>
        </w:rPr>
        <w:t xml:space="preserve">6</w:t>
      </w:r>
      <w:r>
        <w:rPr>
          <w:rFonts w:hint="eastAsia" w:ascii="宋体" w:hAnsi="宋体" w:eastAsia="宋体" w:cs="仿宋"/>
          <w:color w:val="000000"/>
          <w:sz w:val="24"/>
          <w:szCs w:val="24"/>
          <w:highlight w:val="none"/>
          <w:lang w:val="en-US" w:eastAsia="zh-CN" w:bidi="ar"/>
        </w:rPr>
        <w:t xml:space="preserve">、手机APP运维等。</w:t>
      </w:r>
      <w:bookmarkEnd w:id="16"/>
      <w:r/>
      <w:r/>
    </w:p>
    <w:p>
      <w:pPr>
        <w:ind w:firstLine="482"/>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 xml:space="preserve">七</w:t>
      </w:r>
      <w:r>
        <w:rPr>
          <w:rFonts w:hint="eastAsia" w:ascii="宋体" w:hAnsi="宋体" w:eastAsia="宋体" w:cs="Times New Roman"/>
          <w:b/>
          <w:color w:val="auto"/>
          <w:sz w:val="24"/>
          <w:szCs w:val="24"/>
          <w:highlight w:val="none"/>
          <w:lang w:val="en-US" w:eastAsia="zh-CN" w:bidi="ar-SA"/>
        </w:rPr>
        <w:t xml:space="preserve">、其他要求：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ind w:left="400"/>
        <w:spacing w:line="360" w:lineRule="auto"/>
        <w:rPr>
          <w:rStyle w:val="1160"/>
          <w:rFonts w:ascii="宋体" w:hAnsi="宋体"/>
          <w:sz w:val="24"/>
          <w:highlight w:val="none"/>
        </w:rPr>
      </w:pPr>
      <w:r>
        <w:rPr>
          <w:rStyle w:val="1160"/>
          <w:rFonts w:ascii="宋体" w:hAnsi="宋体"/>
          <w:sz w:val="24"/>
          <w:highlight w:val="none"/>
        </w:rPr>
        <w:t xml:space="preserve">本次为首次报价</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货币单位：人民币元</w:t>
      </w:r>
      <w:r/>
    </w:p>
    <w:tbl>
      <w:tblPr>
        <w:tblStyle w:val="872"/>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总价</w:t>
            </w:r>
            <w:r/>
          </w:p>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19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886"/>
              <w:jc w:val="center"/>
              <w:widowControl w:val="off"/>
              <w:rPr>
                <w:rStyle w:val="1196"/>
                <w:rFonts w:hint="eastAsia" w:ascii="宋体" w:hAnsi="宋体" w:cs="仿宋"/>
                <w:color w:val="000000" w:themeColor="text1"/>
                <w:sz w:val="24"/>
                <w:highlight w:val="none"/>
                <w:lang w:eastAsia="zh-CN"/>
                <w14:textFill>
                  <w14:solidFill>
                    <w14:schemeClr w14:val="tx1"/>
                  </w14:solidFill>
                </w14:textFill>
              </w:rPr>
            </w:pPr>
            <w:r>
              <w:rPr>
                <w:rStyle w:val="1196"/>
                <w:rFonts w:hint="eastAsia" w:ascii="宋体" w:hAnsi="宋体" w:cs="仿宋"/>
                <w:color w:val="000000" w:themeColor="text1"/>
                <w:sz w:val="24"/>
                <w:highlight w:val="none"/>
                <w:lang w:val="en-US" w:eastAsia="zh-CN"/>
                <w14:textFill>
                  <w14:solidFill>
                    <w14:schemeClr w14:val="tx1"/>
                  </w14:solidFill>
                </w14:textFill>
              </w:rPr>
              <w:t xml:space="preserve">2026年丰县梁寨镇大棚建设与光伏设备安装工程</w:t>
            </w:r>
            <w:r/>
          </w:p>
        </w:tc>
        <w:tc>
          <w:tcPr>
            <w:tcW w:w="2019"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19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Style w:val="1196"/>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886"/>
              <w:jc w:val="center"/>
              <w:widowControl w:val="off"/>
              <w:rPr>
                <w:rStyle w:val="119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19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886"/>
              <w:jc w:val="center"/>
              <w:widowControl w:val="off"/>
              <w:rPr>
                <w:rStyle w:val="1196"/>
                <w:rFonts w:hint="eastAsia" w:ascii="宋体" w:hAnsi="宋体" w:eastAsia="宋体" w:cs="仿宋"/>
                <w:color w:val="000000" w:themeColor="text1"/>
                <w:sz w:val="24"/>
                <w:highlight w:val="none"/>
                <w:lang w:val="en-US" w:eastAsia="zh-CN"/>
                <w14:textFill>
                  <w14:solidFill>
                    <w14:schemeClr w14:val="tx1"/>
                  </w14:solidFill>
                </w14:textFill>
              </w:rPr>
            </w:pPr>
            <w:r>
              <w:rPr>
                <w:rStyle w:val="1196"/>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19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886"/>
              <w:jc w:val="center"/>
              <w:widowControl w:val="off"/>
              <w:rPr>
                <w:rStyle w:val="1196"/>
                <w:rFonts w:hint="default" w:ascii="宋体" w:hAnsi="宋体" w:cs="仿宋"/>
                <w:color w:val="000000" w:themeColor="text1"/>
                <w:sz w:val="24"/>
                <w:highlight w:val="none"/>
                <w:lang w:val="en-US" w:eastAsia="zh-CN"/>
                <w14:textFill>
                  <w14:solidFill>
                    <w14:schemeClr w14:val="tx1"/>
                  </w14:solidFill>
                </w14:textFill>
              </w:rPr>
            </w:pPr>
            <w:r>
              <w:rPr>
                <w:rStyle w:val="1196"/>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19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170"/>
        <w:rPr>
          <w:rStyle w:val="1160"/>
          <w:rFonts w:ascii="宋体" w:hAnsi="宋体"/>
          <w:sz w:val="24"/>
          <w:highlight w:val="none"/>
        </w:rPr>
      </w:pPr>
      <w:r>
        <w:rPr>
          <w:rFonts w:ascii="宋体" w:hAnsi="宋体"/>
          <w:sz w:val="24"/>
          <w:highlight w:val="none"/>
        </w:rPr>
      </w:r>
      <w:r/>
    </w:p>
    <w:p>
      <w:pPr>
        <w:pStyle w:val="1170"/>
        <w:rPr>
          <w:rStyle w:val="1160"/>
          <w:rFonts w:ascii="宋体" w:hAnsi="宋体"/>
          <w:highlight w:val="none"/>
        </w:rPr>
      </w:pPr>
      <w:r>
        <w:rPr>
          <w:rFonts w:ascii="宋体" w:hAnsi="宋体"/>
          <w:highlight w:val="none"/>
        </w:rPr>
      </w:r>
      <w:r/>
    </w:p>
    <w:p>
      <w:pPr>
        <w:ind w:firstLine="480"/>
        <w:jc w:val="left"/>
        <w:spacing w:line="440" w:lineRule="exact"/>
        <w:widowControl w:val="off"/>
        <w:rPr>
          <w:rStyle w:val="1160"/>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160"/>
          <w:rFonts w:ascii="宋体" w:hAnsi="宋体"/>
          <w:sz w:val="24"/>
          <w:highlight w:val="none"/>
        </w:rPr>
      </w:pPr>
      <w:r>
        <w:rPr>
          <w:rStyle w:val="1160"/>
          <w:rFonts w:ascii="宋体" w:hAnsi="宋体"/>
          <w:sz w:val="24"/>
          <w:highlight w:val="none"/>
        </w:rPr>
        <w:t xml:space="preserve">报价说明：</w:t>
      </w:r>
      <w:r/>
    </w:p>
    <w:p>
      <w:pPr>
        <w:ind w:left="400" w:right="-1052" w:firstLine="480"/>
        <w:spacing w:line="440" w:lineRule="exact"/>
        <w:rPr>
          <w:rStyle w:val="1160"/>
          <w:rFonts w:ascii="宋体" w:hAnsi="宋体"/>
          <w:sz w:val="24"/>
          <w:highlight w:val="none"/>
        </w:rPr>
      </w:pPr>
      <w:r>
        <w:rPr>
          <w:rStyle w:val="1160"/>
          <w:rFonts w:ascii="宋体" w:hAnsi="宋体"/>
          <w:sz w:val="24"/>
          <w:highlight w:val="none"/>
        </w:rPr>
        <w:t xml:space="preserve">1、</w:t>
      </w:r>
      <w:r>
        <w:rPr>
          <w:rStyle w:val="1160"/>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160"/>
          <w:rFonts w:ascii="宋体" w:hAnsi="宋体"/>
          <w:sz w:val="24"/>
          <w:highlight w:val="none"/>
        </w:rPr>
      </w:pPr>
      <w:r>
        <w:rPr>
          <w:rStyle w:val="1160"/>
          <w:rFonts w:ascii="宋体" w:hAnsi="宋体"/>
          <w:sz w:val="24"/>
          <w:highlight w:val="none"/>
        </w:rPr>
        <w:t xml:space="preserve">2、报价大小写不一致以大写为准；</w:t>
      </w:r>
      <w:r/>
    </w:p>
    <w:p>
      <w:pPr>
        <w:ind w:left="400" w:right="-1052" w:firstLine="480"/>
        <w:spacing w:line="440" w:lineRule="exact"/>
        <w:rPr>
          <w:rStyle w:val="1160"/>
          <w:rFonts w:ascii="宋体" w:hAnsi="宋体"/>
          <w:sz w:val="24"/>
          <w:highlight w:val="none"/>
        </w:rPr>
      </w:pPr>
      <w:r>
        <w:rPr>
          <w:rStyle w:val="1160"/>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160"/>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106"/>
        <w:ind w:firstLine="482"/>
        <w:spacing w:line="360" w:lineRule="auto"/>
        <w:rPr>
          <w:rStyle w:val="1160"/>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883"/>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83"/>
        <w:ind w:right="29" w:firstLine="3960"/>
        <w:spacing w:line="380" w:lineRule="exact"/>
        <w:rPr>
          <w:rFonts w:ascii="宋体"/>
          <w:sz w:val="24"/>
          <w:highlight w:val="none"/>
        </w:rPr>
      </w:pPr>
      <w:r>
        <w:rPr>
          <w:rFonts w:ascii="宋体"/>
          <w:sz w:val="24"/>
          <w:highlight w:val="none"/>
        </w:rPr>
      </w:r>
      <w:r/>
    </w:p>
    <w:p>
      <w:pPr>
        <w:pStyle w:val="883"/>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160"/>
          <w:rFonts w:ascii="宋体" w:hAnsi="宋体"/>
          <w:sz w:val="24"/>
          <w:highlight w:val="none"/>
        </w:rPr>
        <w:t xml:space="preserve">日期：</w:t>
      </w:r>
      <w:r>
        <w:rPr>
          <w:rFonts w:ascii="宋体" w:hAnsi="宋体" w:eastAsiaTheme="minorEastAsia"/>
          <w:sz w:val="24"/>
          <w:highlight w:val="none"/>
        </w:rPr>
        <w:t xml:space="preserve"> 年  月  日</w:t>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pStyle w:val="1171"/>
        <w:ind w:firstLine="0"/>
        <w:jc w:val="right"/>
        <w:rPr>
          <w:rStyle w:val="1160"/>
          <w:rFonts w:ascii="宋体" w:hAnsi="宋体" w:cstheme="minorBidi"/>
          <w:sz w:val="24"/>
          <w:szCs w:val="22"/>
          <w:highlight w:val="none"/>
        </w:rPr>
      </w:pPr>
      <w:r>
        <w:rPr>
          <w:rStyle w:val="1160"/>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917"/>
        <w:rPr>
          <w:rFonts w:hint="eastAsia"/>
          <w:highlight w:val="none"/>
        </w:rPr>
      </w:pPr>
      <w:r>
        <w:rPr>
          <w:rFonts w:hint="eastAsia"/>
          <w:highlight w:val="none"/>
        </w:rPr>
      </w:r>
      <w:r/>
    </w:p>
    <w:p>
      <w:pPr>
        <w:pStyle w:val="886"/>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886"/>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160"/>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160"/>
          <w:rFonts w:ascii="仿宋_GB2312" w:hAnsi="仿宋_GB2312" w:eastAsia="仿宋_GB2312"/>
          <w:b/>
          <w:i/>
          <w:sz w:val="28"/>
          <w:szCs w:val="28"/>
          <w:highlight w:val="none"/>
          <w:u w:val="single"/>
        </w:rPr>
        <w:t xml:space="preserve">采购人或采购代理机构有权将以上内容进行公示。</w:t>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909"/>
        <w:rPr>
          <w:rFonts w:hint="eastAsia"/>
          <w:sz w:val="24"/>
          <w:szCs w:val="24"/>
          <w:highlight w:val="none"/>
          <w:lang w:val="en-US" w:eastAsia="zh-CN"/>
        </w:rPr>
      </w:pPr>
      <w:r>
        <w:rPr>
          <w:rFonts w:hint="eastAsia"/>
          <w:sz w:val="24"/>
          <w:szCs w:val="24"/>
          <w:highlight w:val="none"/>
          <w:lang w:val="en-US" w:eastAsia="zh-CN"/>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pStyle w:val="909"/>
        <w:rPr>
          <w:rFonts w:hint="eastAsia"/>
          <w:highlight w:val="none"/>
          <w:lang w:eastAsia="zh-CN"/>
        </w:rPr>
      </w:pPr>
      <w:r>
        <w:rPr>
          <w:rFonts w:hint="eastAsia"/>
          <w:highlight w:val="none"/>
          <w:lang w:eastAsia="zh-CN"/>
        </w:rPr>
      </w:r>
      <w:r/>
    </w:p>
    <w:tbl>
      <w:tblPr>
        <w:tblStyle w:val="87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160"/>
                <w:rFonts w:ascii="宋体" w:hAnsi="宋体"/>
                <w:caps/>
                <w:sz w:val="24"/>
                <w:highlight w:val="none"/>
              </w:rPr>
            </w:pPr>
            <w:r>
              <w:rPr>
                <w:rStyle w:val="116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160"/>
                <w:rFonts w:ascii="宋体" w:hAnsi="宋体"/>
                <w:caps/>
                <w:sz w:val="24"/>
                <w:highlight w:val="none"/>
              </w:rPr>
            </w:pPr>
            <w:r>
              <w:rPr>
                <w:rStyle w:val="116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160"/>
                <w:rFonts w:ascii="宋体" w:hAnsi="宋体"/>
                <w:caps/>
                <w:sz w:val="24"/>
                <w:highlight w:val="none"/>
              </w:rPr>
            </w:pPr>
            <w:r>
              <w:rPr>
                <w:rStyle w:val="116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160"/>
                <w:rFonts w:ascii="宋体" w:hAnsi="宋体"/>
                <w:caps/>
                <w:sz w:val="24"/>
                <w:highlight w:val="none"/>
              </w:rPr>
            </w:pPr>
            <w:r>
              <w:rPr>
                <w:rStyle w:val="116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caps/>
                <w:sz w:val="24"/>
                <w:highlight w:val="none"/>
              </w:rPr>
            </w:pPr>
            <w:r>
              <w:rPr>
                <w:rStyle w:val="116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160"/>
                <w:rFonts w:ascii="宋体" w:hAnsi="宋体"/>
                <w:caps/>
                <w:sz w:val="24"/>
                <w:highlight w:val="none"/>
              </w:rPr>
            </w:pPr>
            <w:r>
              <w:rPr>
                <w:rStyle w:val="116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160"/>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60"/>
                <w:rFonts w:ascii="宋体" w:hAnsi="宋体"/>
                <w:sz w:val="24"/>
                <w:highlight w:val="none"/>
              </w:rPr>
            </w:pPr>
            <w:r>
              <w:rPr>
                <w:rFonts w:ascii="宋体" w:hAnsi="宋体"/>
                <w:sz w:val="24"/>
                <w:highlight w:val="none"/>
              </w:rPr>
            </w:r>
            <w:r/>
          </w:p>
        </w:tc>
      </w:tr>
    </w:tbl>
    <w:p>
      <w:pPr>
        <w:ind w:left="200"/>
        <w:spacing w:line="360" w:lineRule="auto"/>
        <w:rPr>
          <w:rStyle w:val="1160"/>
          <w:rFonts w:hint="eastAsia" w:ascii="宋体" w:hAnsi="宋体" w:eastAsia="宋体" w:cs="宋体"/>
          <w:b/>
          <w:bCs/>
          <w:sz w:val="24"/>
          <w:highlight w:val="none"/>
          <w:u w:val="single"/>
          <w:lang w:eastAsia="zh-CN"/>
        </w:rPr>
      </w:pPr>
      <w:r>
        <w:rPr>
          <w:rStyle w:val="1160"/>
          <w:rFonts w:ascii="宋体" w:hAnsi="宋体" w:cs="宋体"/>
          <w:b/>
          <w:bCs/>
          <w:sz w:val="24"/>
          <w:highlight w:val="none"/>
          <w:u w:val="single"/>
        </w:rPr>
        <w:t xml:space="preserve">注：</w:t>
      </w:r>
      <w:r>
        <w:rPr>
          <w:rStyle w:val="1160"/>
          <w:rFonts w:hint="eastAsia" w:ascii="宋体" w:hAnsi="宋体" w:cs="宋体"/>
          <w:b/>
          <w:bCs/>
          <w:sz w:val="24"/>
          <w:highlight w:val="none"/>
          <w:u w:val="single"/>
          <w:lang w:val="en-US" w:eastAsia="zh-CN"/>
        </w:rPr>
        <w:t xml:space="preserve">1、</w:t>
      </w:r>
      <w:r>
        <w:rPr>
          <w:rStyle w:val="1160"/>
          <w:rFonts w:ascii="宋体" w:hAnsi="宋体" w:cs="宋体"/>
          <w:b/>
          <w:bCs/>
          <w:sz w:val="24"/>
          <w:highlight w:val="none"/>
          <w:u w:val="single"/>
        </w:rPr>
        <w:t xml:space="preserve">供应商的首次响应文件中的内容与竞争性磋商文件（含竞争性磋商文件的澄清或者修改，下同）</w:t>
      </w:r>
      <w:r>
        <w:rPr>
          <w:rStyle w:val="1160"/>
          <w:rFonts w:hint="eastAsia" w:ascii="宋体" w:hAnsi="宋体" w:cs="宋体"/>
          <w:b/>
          <w:bCs/>
          <w:sz w:val="24"/>
          <w:highlight w:val="none"/>
          <w:u w:val="single"/>
        </w:rPr>
        <w:t xml:space="preserve">技术部分的要求无偏离可填写“无”字</w:t>
      </w:r>
      <w:r>
        <w:rPr>
          <w:rStyle w:val="1160"/>
          <w:rFonts w:hint="eastAsia" w:ascii="宋体" w:hAnsi="宋体" w:cs="宋体"/>
          <w:b/>
          <w:bCs/>
          <w:sz w:val="24"/>
          <w:highlight w:val="none"/>
          <w:u w:val="single"/>
          <w:lang w:eastAsia="zh-CN"/>
        </w:rPr>
        <w:t xml:space="preserve">。</w:t>
      </w:r>
      <w:r/>
    </w:p>
    <w:p>
      <w:pPr>
        <w:ind w:left="200"/>
        <w:spacing w:line="360" w:lineRule="auto"/>
        <w:rPr>
          <w:rStyle w:val="1160"/>
          <w:rFonts w:ascii="宋体" w:hAnsi="宋体" w:cs="宋体"/>
          <w:b/>
          <w:bCs/>
          <w:sz w:val="24"/>
          <w:highlight w:val="none"/>
          <w:u w:val="single"/>
        </w:rPr>
      </w:pPr>
      <w:r>
        <w:rPr>
          <w:rStyle w:val="1160"/>
          <w:rFonts w:hint="eastAsia" w:ascii="宋体" w:hAnsi="宋体" w:cs="宋体"/>
          <w:b/>
          <w:bCs/>
          <w:sz w:val="24"/>
          <w:highlight w:val="none"/>
          <w:u w:val="single"/>
          <w:lang w:val="en-US" w:eastAsia="zh-CN"/>
        </w:rPr>
        <w:t xml:space="preserve">2</w:t>
      </w:r>
      <w:r>
        <w:rPr>
          <w:rStyle w:val="1160"/>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83"/>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83"/>
        <w:ind w:right="29" w:firstLine="3960"/>
        <w:spacing w:line="380" w:lineRule="exact"/>
        <w:rPr>
          <w:rFonts w:ascii="宋体"/>
          <w:sz w:val="24"/>
          <w:highlight w:val="none"/>
        </w:rPr>
      </w:pPr>
      <w:r>
        <w:rPr>
          <w:rFonts w:ascii="宋体"/>
          <w:sz w:val="24"/>
          <w:highlight w:val="none"/>
        </w:rPr>
      </w:r>
      <w:r/>
    </w:p>
    <w:p>
      <w:pPr>
        <w:pStyle w:val="883"/>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883"/>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09"/>
        <w:rPr>
          <w:rFonts w:hint="eastAsia"/>
          <w:highlight w:val="none"/>
          <w:lang w:val="en-US" w:eastAsia="zh-CN"/>
        </w:rPr>
      </w:pPr>
      <w:r>
        <w:rPr>
          <w:rFonts w:hint="eastAsia"/>
          <w:highlight w:val="none"/>
          <w:lang w:val="en-US" w:eastAsia="zh-CN"/>
        </w:rPr>
      </w:r>
      <w:r/>
    </w:p>
    <w:p>
      <w:pPr>
        <w:pStyle w:val="909"/>
        <w:rPr>
          <w:rFonts w:hint="eastAsia"/>
          <w:highlight w:val="none"/>
          <w:lang w:val="en-US" w:eastAsia="zh-CN"/>
        </w:rPr>
      </w:pPr>
      <w:r>
        <w:rPr>
          <w:rFonts w:hint="eastAsia"/>
          <w:highlight w:val="none"/>
          <w:lang w:val="en-US" w:eastAsia="zh-CN"/>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172"/>
        <w:jc w:val="left"/>
        <w:rPr>
          <w:rStyle w:val="1160"/>
          <w:rFonts w:ascii="仿宋" w:hAnsi="仿宋" w:eastAsia="仿宋"/>
          <w:b/>
          <w:bCs/>
          <w:sz w:val="28"/>
          <w:szCs w:val="28"/>
          <w:highlight w:val="none"/>
        </w:rPr>
      </w:pPr>
      <w:r>
        <w:rPr>
          <w:rStyle w:val="1160"/>
          <w:rFonts w:asciiTheme="minorEastAsia" w:hAnsiTheme="minorEastAsia" w:eastAsiaTheme="minorEastAsia" w:cstheme="minorBidi"/>
          <w:b/>
          <w:bCs/>
          <w:sz w:val="28"/>
          <w:szCs w:val="28"/>
          <w:highlight w:val="none"/>
        </w:rPr>
        <w:t xml:space="preserve">项目名称：</w:t>
      </w:r>
      <w:r/>
    </w:p>
    <w:p>
      <w:pPr>
        <w:pStyle w:val="1172"/>
        <w:jc w:val="left"/>
        <w:rPr>
          <w:rStyle w:val="1160"/>
          <w:rFonts w:asciiTheme="minorEastAsia" w:hAnsiTheme="minorEastAsia" w:eastAsiaTheme="minorEastAsia" w:cstheme="minorBidi"/>
          <w:b/>
          <w:bCs/>
          <w:sz w:val="28"/>
          <w:szCs w:val="28"/>
          <w:highlight w:val="none"/>
        </w:rPr>
      </w:pPr>
      <w:r>
        <w:rPr>
          <w:rStyle w:val="1160"/>
          <w:rFonts w:asciiTheme="minorEastAsia" w:hAnsiTheme="minorEastAsia" w:eastAsiaTheme="minorEastAsia" w:cstheme="minorBidi"/>
          <w:b/>
          <w:bCs/>
          <w:sz w:val="28"/>
          <w:szCs w:val="28"/>
          <w:highlight w:val="none"/>
        </w:rPr>
        <w:t xml:space="preserve">项目编号：</w:t>
      </w:r>
      <w:r/>
    </w:p>
    <w:p>
      <w:pPr>
        <w:pStyle w:val="1172"/>
        <w:jc w:val="center"/>
        <w:rPr>
          <w:rStyle w:val="1160"/>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政</w:t>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府</w:t>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采</w:t>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购</w:t>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合</w:t>
      </w:r>
      <w:r/>
    </w:p>
    <w:p>
      <w:pPr>
        <w:pStyle w:val="1172"/>
        <w:jc w:val="center"/>
        <w:rPr>
          <w:rStyle w:val="1160"/>
          <w:rFonts w:ascii="仿宋" w:hAnsi="仿宋" w:eastAsia="仿宋"/>
          <w:b/>
          <w:bCs/>
          <w:sz w:val="40"/>
          <w:szCs w:val="40"/>
          <w:highlight w:val="none"/>
        </w:rPr>
      </w:pPr>
      <w:r>
        <w:rPr>
          <w:rStyle w:val="1160"/>
          <w:rFonts w:asciiTheme="minorEastAsia" w:hAnsiTheme="minorEastAsia" w:eastAsiaTheme="minorEastAsia" w:cstheme="minorBidi"/>
          <w:b/>
          <w:bCs/>
          <w:sz w:val="40"/>
          <w:szCs w:val="40"/>
          <w:highlight w:val="none"/>
        </w:rPr>
        <w:t xml:space="preserve">同</w:t>
      </w:r>
      <w:r/>
    </w:p>
    <w:p>
      <w:pPr>
        <w:pStyle w:val="1172"/>
        <w:jc w:val="left"/>
        <w:rPr>
          <w:rStyle w:val="1160"/>
          <w:rFonts w:ascii="仿宋" w:hAnsi="仿宋" w:eastAsia="仿宋"/>
          <w:b/>
          <w:bCs/>
          <w:highlight w:val="none"/>
        </w:rPr>
      </w:pPr>
      <w:r>
        <w:rPr>
          <w:rFonts w:ascii="仿宋" w:hAnsi="仿宋" w:eastAsia="仿宋"/>
          <w:b/>
          <w:bCs/>
          <w:highlight w:val="none"/>
        </w:rPr>
      </w:r>
      <w:r/>
    </w:p>
    <w:p>
      <w:pPr>
        <w:pStyle w:val="1172"/>
        <w:jc w:val="left"/>
        <w:rPr>
          <w:rStyle w:val="1160"/>
          <w:rFonts w:ascii="仿宋" w:hAnsi="仿宋" w:eastAsia="仿宋"/>
          <w:highlight w:val="none"/>
        </w:rPr>
      </w:pPr>
      <w:r>
        <w:rPr>
          <w:rFonts w:ascii="仿宋" w:hAnsi="仿宋" w:eastAsia="仿宋"/>
          <w:highlight w:val="none"/>
        </w:rPr>
      </w:r>
      <w:r/>
    </w:p>
    <w:p>
      <w:pPr>
        <w:rPr>
          <w:rStyle w:val="1160"/>
          <w:rFonts w:ascii="仿宋" w:hAnsi="仿宋" w:eastAsia="仿宋"/>
          <w:highlight w:val="none"/>
        </w:rPr>
      </w:pPr>
      <w:r>
        <w:rPr>
          <w:rFonts w:ascii="仿宋" w:hAnsi="仿宋" w:eastAsia="仿宋"/>
          <w:highlight w:val="none"/>
        </w:rPr>
      </w:r>
      <w:r/>
    </w:p>
    <w:p>
      <w:pPr>
        <w:pStyle w:val="878"/>
        <w:rPr>
          <w:highlight w:val="none"/>
        </w:rPr>
      </w:pPr>
      <w:r>
        <w:rPr>
          <w:highlight w:val="none"/>
        </w:rPr>
      </w:r>
      <w:r/>
    </w:p>
    <w:p>
      <w:pPr>
        <w:pStyle w:val="1172"/>
        <w:jc w:val="left"/>
        <w:rPr>
          <w:rStyle w:val="1160"/>
          <w:rFonts w:ascii="仿宋" w:hAnsi="仿宋" w:eastAsia="仿宋"/>
          <w:b/>
          <w:bCs/>
          <w:sz w:val="28"/>
          <w:szCs w:val="28"/>
          <w:highlight w:val="none"/>
        </w:rPr>
      </w:pPr>
      <w:r>
        <w:rPr>
          <w:rStyle w:val="1160"/>
          <w:rFonts w:asciiTheme="minorEastAsia" w:hAnsiTheme="minorEastAsia" w:eastAsiaTheme="minorEastAsia" w:cstheme="minorBidi"/>
          <w:b/>
          <w:bCs/>
          <w:sz w:val="28"/>
          <w:szCs w:val="28"/>
          <w:highlight w:val="none"/>
        </w:rPr>
        <w:t xml:space="preserve">采  购  人：</w:t>
      </w:r>
      <w:r/>
    </w:p>
    <w:p>
      <w:pPr>
        <w:pStyle w:val="1172"/>
        <w:jc w:val="left"/>
        <w:rPr>
          <w:rStyle w:val="1160"/>
          <w:rFonts w:ascii="仿宋" w:hAnsi="仿宋" w:eastAsia="仿宋"/>
          <w:b/>
          <w:bCs/>
          <w:sz w:val="28"/>
          <w:szCs w:val="28"/>
          <w:highlight w:val="none"/>
        </w:rPr>
      </w:pPr>
      <w:r>
        <w:rPr>
          <w:rStyle w:val="1160"/>
          <w:rFonts w:asciiTheme="minorEastAsia" w:hAnsiTheme="minorEastAsia" w:eastAsiaTheme="minorEastAsia" w:cstheme="minorBidi"/>
          <w:b/>
          <w:bCs/>
          <w:sz w:val="28"/>
          <w:szCs w:val="28"/>
          <w:highlight w:val="none"/>
        </w:rPr>
        <w:t xml:space="preserve">成交供应商：</w:t>
      </w:r>
      <w:r/>
    </w:p>
    <w:p>
      <w:pPr>
        <w:pStyle w:val="1172"/>
        <w:jc w:val="left"/>
        <w:rPr>
          <w:rStyle w:val="1160"/>
          <w:rFonts w:ascii="仿宋" w:hAnsi="仿宋" w:eastAsia="仿宋"/>
          <w:b/>
          <w:bCs/>
          <w:sz w:val="28"/>
          <w:szCs w:val="28"/>
          <w:highlight w:val="none"/>
        </w:rPr>
      </w:pPr>
      <w:r>
        <w:rPr>
          <w:rStyle w:val="1160"/>
          <w:rFonts w:asciiTheme="minorEastAsia" w:hAnsiTheme="minorEastAsia" w:eastAsiaTheme="minorEastAsia" w:cstheme="minorBidi"/>
          <w:b/>
          <w:bCs/>
          <w:sz w:val="28"/>
          <w:szCs w:val="28"/>
          <w:highlight w:val="none"/>
        </w:rPr>
        <w:t xml:space="preserve">合同签订日期： 年 月 日</w:t>
      </w:r>
      <w:r/>
    </w:p>
    <w:p>
      <w:pPr>
        <w:pStyle w:val="1172"/>
        <w:jc w:val="left"/>
        <w:rPr>
          <w:rStyle w:val="1160"/>
          <w:rFonts w:asciiTheme="minorEastAsia" w:hAnsiTheme="minorEastAsia" w:eastAsiaTheme="minorEastAsia" w:cstheme="minorBidi"/>
          <w:sz w:val="28"/>
          <w:szCs w:val="28"/>
          <w:highlight w:val="none"/>
        </w:rPr>
      </w:pPr>
      <w:r>
        <w:rPr>
          <w:rStyle w:val="1160"/>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172"/>
        <w:jc w:val="left"/>
        <w:rPr>
          <w:rStyle w:val="1160"/>
          <w:rFonts w:asciiTheme="minorEastAsia" w:hAnsiTheme="minorEastAsia" w:eastAsiaTheme="minorEastAsia" w:cstheme="minorBidi"/>
          <w:b/>
          <w:sz w:val="28"/>
          <w:szCs w:val="28"/>
          <w:highlight w:val="none"/>
        </w:rPr>
      </w:pPr>
      <w:r>
        <w:rPr>
          <w:rStyle w:val="1160"/>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06"/>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865"/>
        <w:jc w:val="center"/>
        <w:rPr>
          <w:sz w:val="28"/>
          <w:szCs w:val="28"/>
          <w:highlight w:val="none"/>
        </w:rPr>
      </w:pPr>
      <w:r>
        <w:rPr>
          <w:sz w:val="28"/>
          <w:szCs w:val="28"/>
          <w:highlight w:val="none"/>
        </w:rPr>
        <w:t xml:space="preserve">第一部分 合同协议书</w:t>
      </w:r>
      <w:r/>
    </w:p>
    <w:p>
      <w:pPr>
        <w:pStyle w:val="883"/>
        <w:spacing w:line="360" w:lineRule="auto"/>
        <w:rPr>
          <w:rFonts w:hint="eastAsia" w:ascii="宋体" w:hAnsi="宋体" w:eastAsia="宋体"/>
          <w:b/>
          <w:sz w:val="24"/>
          <w:highlight w:val="none"/>
          <w:u w:val="single"/>
          <w:lang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丰县梁寨镇人民政府</w:t>
      </w:r>
      <w:r/>
    </w:p>
    <w:p>
      <w:pPr>
        <w:pStyle w:val="883"/>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883"/>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2026年丰县梁寨镇大棚建设与光伏设备安装工程</w:t>
      </w:r>
      <w:r>
        <w:rPr>
          <w:rFonts w:ascii="宋体" w:hAnsi="宋体"/>
          <w:sz w:val="24"/>
          <w:highlight w:val="none"/>
        </w:rPr>
        <w:t xml:space="preserve">施工及有关事项协商一致，共同达成如下协议：</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7"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17"/>
      <w:r/>
      <w:r/>
    </w:p>
    <w:p>
      <w:pPr>
        <w:pStyle w:val="883"/>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2026年丰县梁寨镇大棚建设与光伏设备安装工程</w:t>
      </w:r>
      <w:r>
        <w:rPr>
          <w:rFonts w:ascii="宋体" w:hAnsi="宋体"/>
          <w:sz w:val="24"/>
          <w:highlight w:val="none"/>
        </w:rPr>
        <w:t xml:space="preserve">。</w:t>
      </w:r>
      <w:r/>
    </w:p>
    <w:p>
      <w:pPr>
        <w:pStyle w:val="883"/>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丰县梁寨大集</w:t>
      </w:r>
      <w:r>
        <w:rPr>
          <w:rFonts w:hint="eastAsia" w:ascii="宋体" w:hAnsi="宋体"/>
          <w:sz w:val="24"/>
          <w:highlight w:val="none"/>
          <w:u w:val="single"/>
          <w:lang w:val="en-US" w:eastAsia="zh-CN"/>
        </w:rPr>
        <w:t xml:space="preserve">，具体见工程量清单   </w:t>
      </w:r>
      <w:r>
        <w:rPr>
          <w:rFonts w:ascii="宋体" w:hAnsi="宋体"/>
          <w:sz w:val="24"/>
          <w:highlight w:val="none"/>
        </w:rPr>
        <w:t xml:space="preserve">。</w:t>
      </w:r>
      <w:r/>
    </w:p>
    <w:p>
      <w:pPr>
        <w:pStyle w:val="883"/>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883"/>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hint="eastAsia" w:ascii="宋体" w:hAnsi="宋体"/>
          <w:color w:val="000000"/>
          <w:sz w:val="24"/>
          <w:highlight w:val="none"/>
          <w:u w:val="single"/>
        </w:rPr>
        <w:t xml:space="preserve">本项目为</w:t>
      </w:r>
      <w:r>
        <w:rPr>
          <w:rFonts w:hint="eastAsia" w:ascii="宋体" w:hAnsi="宋体"/>
          <w:color w:val="000000"/>
          <w:sz w:val="24"/>
          <w:highlight w:val="none"/>
          <w:u w:val="single"/>
          <w:lang w:eastAsia="zh-CN"/>
        </w:rPr>
        <w:t xml:space="preserve">2026年丰县梁寨镇大棚建设与光伏设备安装工程</w:t>
      </w:r>
      <w:r>
        <w:rPr>
          <w:rFonts w:hint="eastAsia" w:ascii="宋体" w:hAnsi="宋体"/>
          <w:color w:val="000000"/>
          <w:sz w:val="24"/>
          <w:highlight w:val="none"/>
          <w:u w:val="single"/>
        </w:rPr>
        <w:t xml:space="preserve">，本工程主要包含太阳能光伏组件安装、轻钢支架安装、电缆敷设、电网对接、接地极安装、2年运维服务等内容，详见工程量清单及图纸所包含的全部内容</w:t>
      </w:r>
      <w:r>
        <w:rPr>
          <w:rFonts w:ascii="宋体" w:hAnsi="宋体"/>
          <w:bCs/>
          <w:sz w:val="24"/>
          <w:highlight w:val="none"/>
          <w:u w:val="single"/>
        </w:rPr>
        <w:t xml:space="preserve">。</w:t>
      </w:r>
      <w:r/>
    </w:p>
    <w:p>
      <w:pPr>
        <w:pStyle w:val="883"/>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8"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18"/>
      <w:r/>
      <w:r/>
    </w:p>
    <w:p>
      <w:pPr>
        <w:pStyle w:val="883"/>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883"/>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883"/>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50日历天</w:t>
      </w:r>
      <w:r>
        <w:rPr>
          <w:rFonts w:ascii="宋体" w:hAnsi="宋体"/>
          <w:sz w:val="24"/>
          <w:highlight w:val="none"/>
        </w:rPr>
        <w:t xml:space="preserve">。工期总日历天数与根据前述计划开竣工日期计算的工期天数不一致的，以工期总日历天数为准。</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9"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19"/>
      <w:r/>
      <w:r/>
    </w:p>
    <w:p>
      <w:pPr>
        <w:pStyle w:val="883"/>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0"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20"/>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883"/>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882"/>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21" w:name="_Toc351203485"/>
      <w:r>
        <w:rPr>
          <w:rFonts w:ascii="宋体" w:hAnsi="宋体" w:eastAsia="宋体"/>
          <w:b/>
          <w:bCs w:val="0"/>
          <w:sz w:val="24"/>
          <w:szCs w:val="24"/>
          <w:highlight w:val="none"/>
        </w:rPr>
        <w:t xml:space="preserve">五</w:t>
      </w:r>
      <w:bookmarkEnd w:id="21"/>
      <w:r>
        <w:rPr>
          <w:rFonts w:hint="eastAsia" w:ascii="宋体" w:hAnsi="宋体" w:eastAsia="宋体"/>
          <w:b/>
          <w:bCs w:val="0"/>
          <w:sz w:val="24"/>
          <w:szCs w:val="24"/>
          <w:highlight w:val="none"/>
          <w:lang w:eastAsia="zh-CN"/>
        </w:rPr>
        <w:t xml:space="preserve">．项目负责人</w:t>
      </w:r>
      <w:r/>
    </w:p>
    <w:p>
      <w:pPr>
        <w:pStyle w:val="883"/>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2"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22"/>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883"/>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3"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23"/>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4"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24"/>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5"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25"/>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6"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26"/>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7"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27"/>
      <w:r/>
      <w:r/>
    </w:p>
    <w:p>
      <w:pPr>
        <w:pStyle w:val="883"/>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8"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28"/>
      <w:r/>
      <w:r/>
    </w:p>
    <w:p>
      <w:pPr>
        <w:pStyle w:val="883"/>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882"/>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9"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29"/>
      <w:r/>
      <w:r/>
    </w:p>
    <w:p>
      <w:pPr>
        <w:pStyle w:val="883"/>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883"/>
        <w:spacing w:line="360" w:lineRule="auto"/>
        <w:rPr>
          <w:rFonts w:ascii="宋体" w:hAnsi="宋体"/>
          <w:sz w:val="24"/>
          <w:highlight w:val="none"/>
        </w:rPr>
        <w:outlineLvl w:val="9"/>
      </w:pPr>
      <w:r>
        <w:rPr>
          <w:rFonts w:ascii="宋体" w:hAnsi="宋体"/>
          <w:sz w:val="24"/>
          <w:highlight w:val="none"/>
        </w:rPr>
      </w:r>
      <w:r/>
    </w:p>
    <w:p>
      <w:pPr>
        <w:pStyle w:val="883"/>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883"/>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883"/>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883"/>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883"/>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883"/>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883"/>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883"/>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30" w:name="_Toc504666123"/>
      <w:r/>
      <w:bookmarkStart w:id="31" w:name="_Toc7213"/>
      <w:r/>
      <w:bookmarkStart w:id="32" w:name="_Toc351203494"/>
      <w:r/>
      <w:bookmarkStart w:id="33" w:name="_Toc8532"/>
      <w:r/>
      <w:bookmarkStart w:id="34" w:name="_Toc504666124"/>
      <w:r/>
      <w:r/>
    </w:p>
    <w:p>
      <w:pPr>
        <w:pStyle w:val="925"/>
        <w:ind w:left="0" w:firstLine="0"/>
        <w:rPr>
          <w:highlight w:val="none"/>
        </w:rPr>
      </w:pPr>
      <w:r/>
      <w:bookmarkStart w:id="35" w:name="_Toc14197"/>
      <w:r/>
      <w:r/>
    </w:p>
    <w:p>
      <w:pPr>
        <w:pStyle w:val="925"/>
        <w:ind w:left="0" w:firstLine="0"/>
        <w:rPr>
          <w:highlight w:val="none"/>
        </w:rPr>
      </w:pPr>
      <w:r>
        <w:rPr>
          <w:highlight w:val="none"/>
        </w:rPr>
      </w:r>
      <w:r/>
    </w:p>
    <w:p>
      <w:pPr>
        <w:pStyle w:val="925"/>
        <w:ind w:left="0" w:firstLine="0"/>
        <w:rPr>
          <w:highlight w:val="none"/>
        </w:rPr>
      </w:pPr>
      <w:r>
        <w:rPr>
          <w:highlight w:val="none"/>
        </w:rPr>
      </w:r>
      <w:bookmarkEnd w:id="30"/>
      <w:r/>
      <w:bookmarkEnd w:id="31"/>
      <w:r/>
      <w:bookmarkEnd w:id="32"/>
      <w:r/>
      <w:bookmarkEnd w:id="35"/>
      <w:r/>
      <w:r/>
    </w:p>
    <w:p>
      <w:pPr>
        <w:pStyle w:val="925"/>
        <w:ind w:left="0" w:firstLine="0"/>
        <w:rPr>
          <w:highlight w:val="none"/>
        </w:rPr>
      </w:pPr>
      <w:r>
        <w:rPr>
          <w:highlight w:val="none"/>
        </w:rPr>
      </w:r>
      <w:r/>
    </w:p>
    <w:p>
      <w:pPr>
        <w:pStyle w:val="925"/>
        <w:ind w:left="0" w:firstLine="0"/>
        <w:rPr>
          <w:highlight w:val="none"/>
        </w:rPr>
      </w:pPr>
      <w:r>
        <w:rPr>
          <w:highlight w:val="none"/>
        </w:rPr>
      </w:r>
      <w:r/>
    </w:p>
    <w:p>
      <w:pPr>
        <w:pStyle w:val="925"/>
        <w:ind w:left="0" w:firstLine="0"/>
        <w:rPr>
          <w:highlight w:val="none"/>
        </w:rPr>
      </w:pPr>
      <w:r>
        <w:rPr>
          <w:highlight w:val="none"/>
        </w:rPr>
      </w:r>
      <w:r/>
    </w:p>
    <w:p>
      <w:pPr>
        <w:pStyle w:val="925"/>
        <w:ind w:left="0" w:firstLine="0"/>
        <w:rPr>
          <w:highlight w:val="none"/>
        </w:rPr>
      </w:pPr>
      <w:r>
        <w:rPr>
          <w:highlight w:val="none"/>
        </w:rPr>
      </w:r>
      <w:r/>
    </w:p>
    <w:p>
      <w:pPr>
        <w:pStyle w:val="925"/>
        <w:ind w:left="0" w:firstLine="0"/>
        <w:rPr>
          <w:highlight w:val="none"/>
        </w:rPr>
      </w:pPr>
      <w:r>
        <w:rPr>
          <w:highlight w:val="none"/>
        </w:rPr>
      </w:r>
      <w:r/>
    </w:p>
    <w:p>
      <w:pPr>
        <w:pStyle w:val="883"/>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865"/>
        <w:numPr>
          <w:ilvl w:val="0"/>
          <w:numId w:val="4"/>
        </w:numPr>
        <w:jc w:val="center"/>
        <w:rPr>
          <w:sz w:val="28"/>
          <w:szCs w:val="28"/>
          <w:highlight w:val="none"/>
        </w:rPr>
      </w:pPr>
      <w:r/>
      <w:bookmarkStart w:id="36" w:name="_Toc296346528"/>
      <w:r/>
      <w:bookmarkStart w:id="37" w:name="_Toc6017"/>
      <w:r/>
      <w:bookmarkStart w:id="38" w:name="_Toc296503027"/>
      <w:r>
        <w:rPr>
          <w:sz w:val="28"/>
          <w:szCs w:val="28"/>
          <w:highlight w:val="none"/>
        </w:rPr>
        <w:t xml:space="preserve">通用合同条款</w:t>
      </w:r>
      <w:bookmarkEnd w:id="33"/>
      <w:r/>
      <w:bookmarkEnd w:id="34"/>
      <w:r/>
      <w:bookmarkEnd w:id="36"/>
      <w:r/>
      <w:bookmarkEnd w:id="37"/>
      <w:r/>
      <w:bookmarkEnd w:id="38"/>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865"/>
        <w:numPr>
          <w:ilvl w:val="0"/>
          <w:numId w:val="4"/>
        </w:numPr>
        <w:jc w:val="center"/>
        <w:rPr>
          <w:rFonts w:hint="eastAsia"/>
          <w:highlight w:val="none"/>
          <w:lang w:val="en-US" w:eastAsia="zh-CN"/>
        </w:rPr>
      </w:pPr>
      <w:r/>
      <w:bookmarkStart w:id="39" w:name="_Toc22559"/>
      <w:r>
        <w:rPr>
          <w:sz w:val="28"/>
          <w:szCs w:val="28"/>
          <w:highlight w:val="none"/>
        </w:rPr>
        <w:t xml:space="preserve">专用合同条款</w:t>
      </w:r>
      <w:bookmarkEnd w:id="39"/>
      <w:r/>
      <w:r/>
    </w:p>
    <w:p>
      <w:pPr>
        <w:ind w:firstLine="480"/>
        <w:spacing w:line="312" w:lineRule="auto"/>
        <w:rPr>
          <w:rFonts w:ascii="Times New Roman" w:hAnsi="Times New Roman" w:eastAsia="宋体" w:cs="Times New Roman"/>
          <w:sz w:val="24"/>
          <w:highlight w:val="none"/>
        </w:rPr>
        <w:outlineLvl w:val="3"/>
      </w:pPr>
      <w:r/>
      <w:bookmarkStart w:id="40" w:name="_Toc351203633"/>
      <w:r/>
      <w:bookmarkStart w:id="41" w:name="_Toc32760"/>
      <w:r>
        <w:rPr>
          <w:rFonts w:ascii="Times New Roman" w:hAnsi="Times New Roman" w:eastAsia="宋体" w:cs="Times New Roman"/>
          <w:sz w:val="24"/>
          <w:highlight w:val="none"/>
        </w:rPr>
        <w:t xml:space="preserve">1</w:t>
      </w:r>
      <w:bookmarkStart w:id="42" w:name="_Toc297120456"/>
      <w:r/>
      <w:bookmarkStart w:id="43" w:name="_Toc296346657"/>
      <w:r/>
      <w:bookmarkStart w:id="44" w:name="_Toc297048342"/>
      <w:r/>
      <w:bookmarkStart w:id="45" w:name="_Toc296347155"/>
      <w:r/>
      <w:bookmarkStart w:id="46" w:name="_Toc296891196"/>
      <w:r/>
      <w:bookmarkStart w:id="47" w:name="_Toc296503156"/>
      <w:r/>
      <w:bookmarkStart w:id="48" w:name="_Toc296890984"/>
      <w:r/>
      <w:bookmarkStart w:id="49" w:name="_Toc292559866"/>
      <w:r/>
      <w:bookmarkStart w:id="50" w:name="_Toc292559361"/>
      <w:r/>
      <w:bookmarkStart w:id="51" w:name="_Toc296944495"/>
      <w:r>
        <w:rPr>
          <w:rFonts w:ascii="Times New Roman" w:hAnsi="Times New Roman" w:eastAsia="宋体" w:cs="Times New Roman"/>
          <w:sz w:val="24"/>
          <w:highlight w:val="none"/>
        </w:rPr>
        <w:t xml:space="preserve">. 一般约定</w:t>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12" w:lineRule="auto"/>
        <w:rPr>
          <w:rFonts w:ascii="Times New Roman" w:hAnsi="Times New Roman" w:eastAsia="宋体" w:cs="Times New Roman"/>
          <w:sz w:val="24"/>
          <w:highlight w:val="none"/>
        </w:rPr>
        <w:outlineLvl w:val="4"/>
      </w:pPr>
      <w:r/>
      <w:bookmarkStart w:id="52" w:name="_Toc17018"/>
      <w:r>
        <w:rPr>
          <w:rFonts w:ascii="Times New Roman" w:hAnsi="Times New Roman" w:eastAsia="宋体" w:cs="Times New Roman"/>
          <w:sz w:val="24"/>
          <w:highlight w:val="none"/>
        </w:rPr>
        <w:t xml:space="preserve">1.1 词语定义</w:t>
      </w:r>
      <w:bookmarkEnd w:id="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53" w:name="_Toc25541"/>
      <w:r>
        <w:rPr>
          <w:rFonts w:ascii="Times New Roman" w:hAnsi="Times New Roman" w:eastAsia="宋体" w:cs="Times New Roman"/>
          <w:sz w:val="24"/>
          <w:highlight w:val="none"/>
          <w:u w:val="single"/>
        </w:rPr>
        <w:t xml:space="preserve">1.3法律</w:t>
      </w:r>
      <w:bookmarkEnd w:id="53"/>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54" w:name="_Toc8798"/>
      <w:r>
        <w:rPr>
          <w:rFonts w:ascii="Times New Roman" w:hAnsi="Times New Roman" w:eastAsia="宋体" w:cs="Times New Roman"/>
          <w:sz w:val="24"/>
          <w:highlight w:val="none"/>
        </w:rPr>
        <w:t xml:space="preserve">1.4 标准和规范</w:t>
      </w:r>
      <w:bookmarkEnd w:id="5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55" w:name="_Toc10328"/>
      <w:r>
        <w:rPr>
          <w:rFonts w:ascii="Times New Roman" w:hAnsi="Times New Roman" w:eastAsia="宋体" w:cs="Times New Roman"/>
          <w:sz w:val="24"/>
          <w:highlight w:val="none"/>
        </w:rPr>
        <w:t xml:space="preserve">1.5 合同文件的优先顺序</w:t>
      </w:r>
      <w:bookmarkEnd w:id="5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6" w:name="_Toc5512"/>
      <w:r>
        <w:rPr>
          <w:rFonts w:ascii="Times New Roman" w:hAnsi="Times New Roman" w:eastAsia="宋体" w:cs="Times New Roman"/>
          <w:sz w:val="24"/>
          <w:highlight w:val="none"/>
        </w:rPr>
        <w:t xml:space="preserve">1.6 图纸和承包人文件</w:t>
      </w:r>
      <w:bookmarkEnd w:id="5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 w:name="_Toc17232"/>
      <w:r>
        <w:rPr>
          <w:rFonts w:ascii="Times New Roman" w:hAnsi="Times New Roman" w:eastAsia="宋体" w:cs="Times New Roman"/>
          <w:sz w:val="24"/>
          <w:highlight w:val="none"/>
        </w:rPr>
        <w:t xml:space="preserve">1.7 联络</w:t>
      </w:r>
      <w:bookmarkEnd w:id="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58" w:name="_Toc16862"/>
      <w:r>
        <w:rPr>
          <w:rFonts w:ascii="Times New Roman" w:hAnsi="Times New Roman" w:eastAsia="宋体" w:cs="Times New Roman"/>
          <w:sz w:val="24"/>
          <w:highlight w:val="none"/>
        </w:rPr>
        <w:t xml:space="preserve">1.10 交通运输</w:t>
      </w:r>
      <w:bookmarkEnd w:id="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59" w:name="_Toc300934944"/>
      <w:r/>
      <w:bookmarkStart w:id="60" w:name="_Toc312677987"/>
      <w:r/>
      <w:bookmarkStart w:id="61" w:name="_Toc304295522"/>
      <w:r/>
      <w:bookmarkStart w:id="62" w:name="_Toc318581156"/>
      <w:r/>
      <w:bookmarkStart w:id="63" w:name="_Toc303539101"/>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59"/>
      <w:r/>
      <w:bookmarkEnd w:id="60"/>
      <w:r/>
      <w:bookmarkEnd w:id="61"/>
      <w:r/>
      <w:bookmarkEnd w:id="62"/>
      <w:r/>
      <w:bookmarkEnd w:id="63"/>
      <w:r/>
      <w:r/>
    </w:p>
    <w:p>
      <w:pPr>
        <w:ind w:firstLine="480"/>
        <w:spacing w:line="312" w:lineRule="auto"/>
        <w:rPr>
          <w:rFonts w:ascii="Times New Roman" w:hAnsi="Times New Roman" w:eastAsia="宋体" w:cs="Times New Roman"/>
          <w:sz w:val="24"/>
          <w:highlight w:val="none"/>
        </w:rPr>
        <w:outlineLvl w:val="5"/>
      </w:pPr>
      <w:r/>
      <w:bookmarkStart w:id="64"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64"/>
      <w:r/>
      <w:r/>
    </w:p>
    <w:p>
      <w:pPr>
        <w:ind w:firstLine="480"/>
        <w:spacing w:line="312" w:lineRule="auto"/>
        <w:rPr>
          <w:rFonts w:ascii="Times New Roman" w:hAnsi="Times New Roman" w:eastAsia="宋体" w:cs="Times New Roman"/>
          <w:sz w:val="24"/>
          <w:highlight w:val="none"/>
        </w:rPr>
        <w:outlineLvl w:val="4"/>
      </w:pPr>
      <w:r/>
      <w:bookmarkStart w:id="65" w:name="_Toc14005"/>
      <w:r>
        <w:rPr>
          <w:rFonts w:ascii="Times New Roman" w:hAnsi="Times New Roman" w:eastAsia="宋体" w:cs="Times New Roman"/>
          <w:sz w:val="24"/>
          <w:highlight w:val="none"/>
        </w:rPr>
        <w:t xml:space="preserve">1.11 知识产权</w:t>
      </w:r>
      <w:bookmarkEnd w:id="6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66" w:name="_Toc11799"/>
      <w:r>
        <w:rPr>
          <w:rFonts w:ascii="Times New Roman" w:hAnsi="Times New Roman" w:eastAsia="宋体" w:cs="Times New Roman"/>
          <w:sz w:val="24"/>
          <w:highlight w:val="none"/>
        </w:rPr>
        <w:t xml:space="preserve">1.13工程量清单错误的修正</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67" w:name="_Toc351203634"/>
      <w:r/>
      <w:bookmarkStart w:id="68" w:name="_Toc4078"/>
      <w:r>
        <w:rPr>
          <w:rFonts w:ascii="Times New Roman" w:hAnsi="Times New Roman" w:eastAsia="宋体" w:cs="Times New Roman"/>
          <w:sz w:val="24"/>
          <w:highlight w:val="none"/>
        </w:rPr>
        <w:t xml:space="preserve">2</w:t>
      </w:r>
      <w:bookmarkStart w:id="69" w:name="_Toc296503157"/>
      <w:r/>
      <w:bookmarkStart w:id="70" w:name="_Toc297048343"/>
      <w:r/>
      <w:bookmarkStart w:id="71" w:name="_Toc292559362"/>
      <w:r/>
      <w:bookmarkStart w:id="72" w:name="_Toc292559867"/>
      <w:r/>
      <w:bookmarkStart w:id="73" w:name="_Toc296890985"/>
      <w:r/>
      <w:bookmarkStart w:id="74" w:name="_Toc296944496"/>
      <w:r/>
      <w:bookmarkStart w:id="75" w:name="_Toc296347156"/>
      <w:r/>
      <w:bookmarkStart w:id="76" w:name="_Toc297120457"/>
      <w:r/>
      <w:bookmarkStart w:id="77" w:name="_Toc296346658"/>
      <w:r/>
      <w:bookmarkStart w:id="78" w:name="_Toc296891197"/>
      <w:r>
        <w:rPr>
          <w:rFonts w:ascii="Times New Roman" w:hAnsi="Times New Roman" w:eastAsia="宋体" w:cs="Times New Roman"/>
          <w:sz w:val="24"/>
          <w:highlight w:val="none"/>
        </w:rPr>
        <w:t xml:space="preserve">. 发包人</w:t>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80"/>
        <w:spacing w:line="312" w:lineRule="auto"/>
        <w:rPr>
          <w:rFonts w:ascii="Times New Roman" w:hAnsi="Times New Roman" w:eastAsia="宋体" w:cs="Times New Roman"/>
          <w:sz w:val="24"/>
          <w:highlight w:val="none"/>
        </w:rPr>
        <w:outlineLvl w:val="4"/>
      </w:pPr>
      <w:r/>
      <w:bookmarkStart w:id="79" w:name="_Toc30052"/>
      <w:r>
        <w:rPr>
          <w:rFonts w:ascii="Times New Roman" w:hAnsi="Times New Roman" w:eastAsia="宋体" w:cs="Times New Roman"/>
          <w:sz w:val="24"/>
          <w:highlight w:val="none"/>
        </w:rPr>
        <w:t xml:space="preserve">2.2 发包人代表</w:t>
      </w:r>
      <w:bookmarkEnd w:id="7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80" w:name="_Toc15168"/>
      <w:r>
        <w:rPr>
          <w:rFonts w:ascii="Times New Roman" w:hAnsi="Times New Roman" w:eastAsia="宋体" w:cs="Times New Roman"/>
          <w:sz w:val="24"/>
          <w:highlight w:val="none"/>
        </w:rPr>
        <w:t xml:space="preserve">2.4 施工现场、施工条件和基础资料的提供</w:t>
      </w:r>
      <w:bookmarkEnd w:id="8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81" w:name="_Toc360"/>
      <w:r>
        <w:rPr>
          <w:rFonts w:ascii="Times New Roman" w:hAnsi="Times New Roman" w:eastAsia="宋体" w:cs="Times New Roman"/>
          <w:sz w:val="24"/>
          <w:highlight w:val="none"/>
        </w:rPr>
        <w:t xml:space="preserve">2.5 资金来源证明及支付担保</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82" w:name="_Toc14442"/>
      <w:r/>
      <w:bookmarkStart w:id="83" w:name="_Toc351203635"/>
      <w:r>
        <w:rPr>
          <w:rFonts w:ascii="Times New Roman" w:hAnsi="Times New Roman" w:eastAsia="宋体" w:cs="Times New Roman"/>
          <w:sz w:val="24"/>
          <w:highlight w:val="none"/>
        </w:rPr>
        <w:t xml:space="preserve">3</w:t>
      </w:r>
      <w:bookmarkStart w:id="84" w:name="_Toc296346659"/>
      <w:r/>
      <w:bookmarkStart w:id="85" w:name="_Toc296891198"/>
      <w:r/>
      <w:bookmarkStart w:id="86" w:name="_Toc296347157"/>
      <w:r/>
      <w:bookmarkStart w:id="87" w:name="_Toc292559363"/>
      <w:r/>
      <w:bookmarkStart w:id="88" w:name="_Toc296944497"/>
      <w:r/>
      <w:bookmarkStart w:id="89" w:name="_Toc296503158"/>
      <w:r/>
      <w:bookmarkStart w:id="90" w:name="_Toc292559868"/>
      <w:r/>
      <w:bookmarkStart w:id="91" w:name="_Toc297048344"/>
      <w:r/>
      <w:bookmarkStart w:id="92" w:name="_Toc297120458"/>
      <w:r/>
      <w:bookmarkStart w:id="93" w:name="_Toc296890986"/>
      <w:r>
        <w:rPr>
          <w:rFonts w:ascii="Times New Roman" w:hAnsi="Times New Roman" w:eastAsia="宋体" w:cs="Times New Roman"/>
          <w:sz w:val="24"/>
          <w:highlight w:val="none"/>
        </w:rPr>
        <w:t xml:space="preserve">. 承包人</w:t>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0"/>
        <w:spacing w:line="312" w:lineRule="auto"/>
        <w:rPr>
          <w:rFonts w:ascii="Times New Roman" w:hAnsi="Times New Roman" w:eastAsia="宋体" w:cs="Times New Roman"/>
          <w:sz w:val="24"/>
          <w:highlight w:val="none"/>
        </w:rPr>
        <w:outlineLvl w:val="4"/>
      </w:pPr>
      <w:r/>
      <w:bookmarkStart w:id="94" w:name="_Toc17636"/>
      <w:r>
        <w:rPr>
          <w:rFonts w:ascii="Times New Roman" w:hAnsi="Times New Roman" w:eastAsia="宋体" w:cs="Times New Roman"/>
          <w:sz w:val="24"/>
          <w:highlight w:val="none"/>
        </w:rPr>
        <w:t xml:space="preserve">3.1 承包人的一般义务</w:t>
      </w:r>
      <w:bookmarkEnd w:id="9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95" w:name="_Toc24870"/>
      <w:r>
        <w:rPr>
          <w:rFonts w:ascii="Times New Roman" w:hAnsi="Times New Roman" w:eastAsia="宋体" w:cs="Times New Roman"/>
          <w:sz w:val="24"/>
          <w:highlight w:val="none"/>
        </w:rPr>
        <w:t xml:space="preserve">3.2 项目经理</w:t>
      </w:r>
      <w:bookmarkEnd w:id="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96" w:name="_Toc1214"/>
      <w:r>
        <w:rPr>
          <w:rFonts w:ascii="Times New Roman" w:hAnsi="Times New Roman" w:eastAsia="宋体" w:cs="Times New Roman"/>
          <w:sz w:val="24"/>
          <w:highlight w:val="none"/>
        </w:rPr>
        <w:t xml:space="preserve">3.3 承包人人员</w:t>
      </w:r>
      <w:bookmarkEnd w:id="9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97" w:name="_Toc14477"/>
      <w:r>
        <w:rPr>
          <w:rFonts w:ascii="Times New Roman" w:hAnsi="Times New Roman" w:eastAsia="宋体" w:cs="Times New Roman"/>
          <w:sz w:val="24"/>
          <w:highlight w:val="none"/>
        </w:rPr>
        <w:t xml:space="preserve">3</w:t>
      </w:r>
      <w:bookmarkStart w:id="98" w:name="_Toc300934945"/>
      <w:r/>
      <w:bookmarkStart w:id="99" w:name="_Toc296346660"/>
      <w:r/>
      <w:bookmarkStart w:id="100" w:name="_Toc297216151"/>
      <w:r/>
      <w:bookmarkStart w:id="101" w:name="_Toc292559869"/>
      <w:r/>
      <w:bookmarkStart w:id="102" w:name="_Toc296891199"/>
      <w:r/>
      <w:bookmarkStart w:id="103" w:name="_Toc297123492"/>
      <w:r/>
      <w:bookmarkStart w:id="104" w:name="_Toc296890987"/>
      <w:r/>
      <w:bookmarkStart w:id="105" w:name="_Toc297048345"/>
      <w:r/>
      <w:bookmarkStart w:id="106" w:name="_Toc304295523"/>
      <w:r/>
      <w:bookmarkStart w:id="107" w:name="_Toc296503159"/>
      <w:r/>
      <w:bookmarkStart w:id="108" w:name="_Toc303539102"/>
      <w:r/>
      <w:bookmarkStart w:id="109" w:name="_Toc297120459"/>
      <w:r/>
      <w:bookmarkStart w:id="110" w:name="_Toc296944498"/>
      <w:r/>
      <w:bookmarkStart w:id="111" w:name="_Toc312677988"/>
      <w:r/>
      <w:bookmarkStart w:id="112" w:name="_Toc296347158"/>
      <w:r/>
      <w:bookmarkStart w:id="113" w:name="_Toc292559364"/>
      <w:r>
        <w:rPr>
          <w:rFonts w:ascii="Times New Roman" w:hAnsi="Times New Roman" w:eastAsia="宋体" w:cs="Times New Roman"/>
          <w:sz w:val="24"/>
          <w:highlight w:val="none"/>
        </w:rPr>
        <w:t xml:space="preserve">.5 分包</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4" w:name="_Toc292559365"/>
      <w:r/>
      <w:bookmarkStart w:id="115" w:name="_Toc297216152"/>
      <w:r/>
      <w:bookmarkStart w:id="116" w:name="_Toc312677989"/>
      <w:r/>
      <w:bookmarkStart w:id="117" w:name="_Toc297048346"/>
      <w:r/>
      <w:bookmarkStart w:id="118" w:name="_Toc318581158"/>
      <w:r/>
      <w:bookmarkStart w:id="119" w:name="_Toc296944499"/>
      <w:r/>
      <w:bookmarkStart w:id="120" w:name="_Toc304295524"/>
      <w:r/>
      <w:bookmarkStart w:id="121" w:name="_Toc303539103"/>
      <w:r/>
      <w:bookmarkStart w:id="122" w:name="_Toc296346661"/>
      <w:r/>
      <w:bookmarkStart w:id="123" w:name="_Toc296503160"/>
      <w:r/>
      <w:bookmarkStart w:id="124" w:name="_Toc300934946"/>
      <w:r/>
      <w:bookmarkStart w:id="125" w:name="_Toc297123493"/>
      <w:r/>
      <w:bookmarkStart w:id="126" w:name="_Toc296891200"/>
      <w:r/>
      <w:bookmarkStart w:id="127" w:name="_Toc296890988"/>
      <w:r/>
      <w:bookmarkStart w:id="128" w:name="_Toc297120460"/>
      <w:r/>
      <w:bookmarkStart w:id="129" w:name="_Toc296347159"/>
      <w:r/>
      <w:bookmarkStart w:id="130" w:name="_Toc292559870"/>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31" w:name="_Toc312677990"/>
      <w:r/>
      <w:bookmarkStart w:id="132"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31"/>
      <w:r/>
      <w:bookmarkEnd w:id="132"/>
      <w:r/>
      <w:r/>
    </w:p>
    <w:p>
      <w:pPr>
        <w:ind w:firstLine="480"/>
        <w:spacing w:line="312" w:lineRule="auto"/>
        <w:rPr>
          <w:rFonts w:ascii="Times New Roman" w:hAnsi="Times New Roman" w:eastAsia="宋体" w:cs="Times New Roman"/>
          <w:sz w:val="24"/>
          <w:highlight w:val="none"/>
        </w:rPr>
        <w:outlineLvl w:val="4"/>
      </w:pPr>
      <w:r/>
      <w:bookmarkStart w:id="133" w:name="_Toc27214"/>
      <w:r>
        <w:rPr>
          <w:rFonts w:ascii="Times New Roman" w:hAnsi="Times New Roman" w:eastAsia="宋体" w:cs="Times New Roman"/>
          <w:sz w:val="24"/>
          <w:highlight w:val="none"/>
        </w:rPr>
        <w:t xml:space="preserve">3.6 工程照管与成品、半成品保护</w:t>
      </w:r>
      <w:bookmarkEnd w:id="1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4" w:name="_Toc12973"/>
      <w:r>
        <w:rPr>
          <w:rFonts w:ascii="Times New Roman" w:hAnsi="Times New Roman" w:eastAsia="宋体" w:cs="Times New Roman"/>
          <w:sz w:val="24"/>
          <w:highlight w:val="none"/>
        </w:rPr>
        <w:t xml:space="preserve">3.7 履约担保</w:t>
      </w:r>
      <w:bookmarkEnd w:id="134"/>
      <w:r/>
      <w:r/>
    </w:p>
    <w:p>
      <w:pPr>
        <w:ind w:firstLine="480"/>
        <w:spacing w:line="312" w:lineRule="auto"/>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承包人是否提供履约担保：                          </w:t>
      </w:r>
      <w:r>
        <w:rPr>
          <w:rFonts w:hint="eastAsia" w:cs="Times New Roman"/>
          <w:sz w:val="24"/>
          <w:highlight w:val="none"/>
          <w:lang w:eastAsia="zh-CN"/>
        </w:rPr>
        <w:t xml:space="preserve">；</w:t>
      </w:r>
      <w:r/>
    </w:p>
    <w:p>
      <w:pPr>
        <w:ind w:firstLine="480"/>
        <w:spacing w:line="312" w:lineRule="auto"/>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承包人提供履约担保的形式、金额及期限：</w:t>
      </w:r>
      <w:r>
        <w:rPr>
          <w:rFonts w:hint="eastAsia" w:cs="Times New Roman"/>
          <w:sz w:val="24"/>
          <w:highlight w:val="none"/>
          <w:lang w:val="en-US" w:eastAsia="zh-CN"/>
        </w:rPr>
        <w:t xml:space="preserve">            </w:t>
      </w:r>
      <w:r>
        <w:rPr>
          <w:rFonts w:hint="eastAsia" w:cs="Times New Roman"/>
          <w:sz w:val="24"/>
          <w:highlight w:val="none"/>
          <w:lang w:eastAsia="zh-CN"/>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outlineLvl w:val="3"/>
      </w:pPr>
      <w:r/>
      <w:bookmarkStart w:id="135" w:name="_Toc351203636"/>
      <w:r/>
      <w:bookmarkStart w:id="136" w:name="_Toc12572"/>
      <w:r>
        <w:rPr>
          <w:rFonts w:ascii="Times New Roman" w:hAnsi="Times New Roman" w:eastAsia="宋体" w:cs="Times New Roman"/>
          <w:sz w:val="24"/>
          <w:highlight w:val="none"/>
        </w:rPr>
        <w:t xml:space="preserve">4</w:t>
      </w:r>
      <w:bookmarkStart w:id="137" w:name="_Toc297048348"/>
      <w:r/>
      <w:bookmarkStart w:id="138" w:name="_Toc296890990"/>
      <w:r/>
      <w:bookmarkStart w:id="139" w:name="_Toc296503162"/>
      <w:r/>
      <w:bookmarkStart w:id="140" w:name="_Toc296944501"/>
      <w:r/>
      <w:bookmarkStart w:id="141" w:name="_Toc297120462"/>
      <w:r/>
      <w:bookmarkStart w:id="142" w:name="_Toc267251413"/>
      <w:r/>
      <w:bookmarkStart w:id="143" w:name="_Toc296346663"/>
      <w:r/>
      <w:bookmarkStart w:id="144" w:name="_Toc292559366"/>
      <w:r/>
      <w:bookmarkStart w:id="145" w:name="_Toc296347161"/>
      <w:r/>
      <w:bookmarkStart w:id="146" w:name="_Toc296891202"/>
      <w:r/>
      <w:bookmarkStart w:id="147" w:name="_Toc292559871"/>
      <w:r>
        <w:rPr>
          <w:rFonts w:ascii="Times New Roman" w:hAnsi="Times New Roman" w:eastAsia="宋体" w:cs="Times New Roman"/>
          <w:sz w:val="24"/>
          <w:highlight w:val="none"/>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ascii="Times New Roman" w:hAnsi="Times New Roman" w:eastAsia="宋体" w:cs="Times New Roman"/>
          <w:sz w:val="24"/>
          <w:highlight w:val="none"/>
        </w:rPr>
        <w:t xml:space="preserve">理人</w:t>
      </w:r>
      <w:bookmarkEnd w:id="135"/>
      <w:r/>
      <w:bookmarkEnd w:id="136"/>
      <w:r/>
      <w:r/>
    </w:p>
    <w:p>
      <w:pPr>
        <w:ind w:firstLine="480"/>
        <w:spacing w:line="312" w:lineRule="auto"/>
        <w:rPr>
          <w:rFonts w:ascii="Times New Roman" w:hAnsi="Times New Roman" w:eastAsia="宋体" w:cs="Times New Roman"/>
          <w:sz w:val="24"/>
          <w:highlight w:val="none"/>
        </w:rPr>
        <w:outlineLvl w:val="4"/>
      </w:pPr>
      <w:r/>
      <w:bookmarkStart w:id="148" w:name="_Toc7642"/>
      <w:r>
        <w:rPr>
          <w:rFonts w:ascii="Times New Roman" w:hAnsi="Times New Roman" w:eastAsia="宋体" w:cs="Times New Roman"/>
          <w:sz w:val="24"/>
          <w:highlight w:val="none"/>
        </w:rPr>
        <w:t xml:space="preserve">4.1监理人的一般规定</w:t>
      </w:r>
      <w:bookmarkEnd w:id="148"/>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49" w:name="_Toc4974"/>
      <w:r>
        <w:rPr>
          <w:rFonts w:ascii="Times New Roman" w:hAnsi="Times New Roman" w:eastAsia="宋体" w:cs="Times New Roman"/>
          <w:sz w:val="24"/>
          <w:highlight w:val="none"/>
        </w:rPr>
        <w:t xml:space="preserve">4.2 监理人员</w:t>
      </w:r>
      <w:bookmarkEnd w:id="1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50" w:name="_Toc25471"/>
      <w:r>
        <w:rPr>
          <w:rFonts w:ascii="Times New Roman" w:hAnsi="Times New Roman" w:eastAsia="宋体" w:cs="Times New Roman"/>
          <w:sz w:val="24"/>
          <w:highlight w:val="none"/>
        </w:rPr>
        <w:t xml:space="preserve">4.4 商定或确定</w:t>
      </w:r>
      <w:bookmarkEnd w:id="150"/>
      <w:r/>
      <w:r/>
    </w:p>
    <w:p>
      <w:pPr>
        <w:ind w:firstLine="480"/>
        <w:spacing w:line="312" w:lineRule="auto"/>
        <w:rPr>
          <w:rFonts w:ascii="Times New Roman" w:hAnsi="Times New Roman" w:eastAsia="宋体" w:cs="Times New Roman"/>
          <w:sz w:val="24"/>
          <w:highlight w:val="none"/>
        </w:rPr>
      </w:pPr>
      <w:r/>
      <w:bookmarkStart w:id="151"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52" w:name="_Toc351203637"/>
      <w:r/>
      <w:bookmarkStart w:id="153" w:name="_Toc29777"/>
      <w:r>
        <w:rPr>
          <w:rFonts w:ascii="Times New Roman" w:hAnsi="Times New Roman" w:eastAsia="宋体" w:cs="Times New Roman"/>
          <w:sz w:val="24"/>
          <w:highlight w:val="none"/>
        </w:rPr>
        <w:t xml:space="preserve">5</w:t>
      </w:r>
      <w:bookmarkEnd w:id="151"/>
      <w:r/>
      <w:bookmarkStart w:id="154" w:name="_Toc297120463"/>
      <w:r/>
      <w:bookmarkStart w:id="155" w:name="_Toc296891203"/>
      <w:r/>
      <w:bookmarkStart w:id="156" w:name="_Toc296346664"/>
      <w:r/>
      <w:bookmarkStart w:id="157" w:name="_Toc296890991"/>
      <w:r/>
      <w:bookmarkStart w:id="158" w:name="_Toc297048349"/>
      <w:r/>
      <w:bookmarkStart w:id="159" w:name="_Toc292559367"/>
      <w:r/>
      <w:bookmarkStart w:id="160" w:name="_Toc296347162"/>
      <w:r/>
      <w:bookmarkStart w:id="161" w:name="_Toc296503163"/>
      <w:r/>
      <w:bookmarkStart w:id="162" w:name="_Toc296944502"/>
      <w:r/>
      <w:bookmarkStart w:id="163" w:name="_Toc292559872"/>
      <w:r>
        <w:rPr>
          <w:rFonts w:ascii="Times New Roman" w:hAnsi="Times New Roman" w:eastAsia="宋体" w:cs="Times New Roman"/>
          <w:sz w:val="24"/>
          <w:highlight w:val="none"/>
        </w:rPr>
        <w:t xml:space="preserve">. 工程质量</w:t>
      </w:r>
      <w:bookmarkEnd w:id="152"/>
      <w:r/>
      <w:bookmarkEnd w:id="153"/>
      <w:r/>
      <w:r/>
    </w:p>
    <w:p>
      <w:pPr>
        <w:ind w:firstLine="480"/>
        <w:spacing w:line="312" w:lineRule="auto"/>
        <w:rPr>
          <w:rFonts w:ascii="Times New Roman" w:hAnsi="Times New Roman" w:eastAsia="宋体" w:cs="Times New Roman"/>
          <w:sz w:val="24"/>
          <w:highlight w:val="none"/>
        </w:rPr>
        <w:outlineLvl w:val="4"/>
      </w:pPr>
      <w:r/>
      <w:bookmarkStart w:id="164" w:name="_Toc17531"/>
      <w:r>
        <w:rPr>
          <w:rFonts w:ascii="Times New Roman" w:hAnsi="Times New Roman" w:eastAsia="宋体" w:cs="Times New Roman"/>
          <w:sz w:val="24"/>
          <w:highlight w:val="none"/>
        </w:rPr>
        <w:t xml:space="preserve">5.1 质量要求</w:t>
      </w:r>
      <w:bookmarkEnd w:id="16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65" w:name="_Toc318581164"/>
      <w:r/>
      <w:bookmarkStart w:id="166" w:name="_Toc312677997"/>
      <w:r/>
      <w:bookmarkStart w:id="167" w:name="_Toc297216155"/>
      <w:r/>
      <w:bookmarkStart w:id="168" w:name="_Toc303539106"/>
      <w:r/>
      <w:bookmarkStart w:id="169" w:name="_Toc300934949"/>
      <w:r/>
      <w:bookmarkStart w:id="170" w:name="_Toc304295527"/>
      <w:r/>
      <w:bookmarkStart w:id="171" w:name="_Toc297123496"/>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72" w:name="_Toc31505"/>
      <w:r>
        <w:rPr>
          <w:rFonts w:ascii="Times New Roman" w:hAnsi="Times New Roman" w:eastAsia="宋体" w:cs="Times New Roman"/>
          <w:sz w:val="24"/>
          <w:highlight w:val="none"/>
        </w:rPr>
        <w:t xml:space="preserve">5.3 隐蔽工程检查</w:t>
      </w:r>
      <w:bookmarkEnd w:id="17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73" w:name="_Toc351203638"/>
      <w:r/>
      <w:bookmarkStart w:id="174" w:name="_Toc5445"/>
      <w:r>
        <w:rPr>
          <w:rFonts w:ascii="Times New Roman" w:hAnsi="Times New Roman" w:eastAsia="宋体" w:cs="Times New Roman"/>
          <w:sz w:val="24"/>
          <w:highlight w:val="none"/>
        </w:rPr>
        <w:t xml:space="preserve">6. 安全文明施工与环境保护</w:t>
      </w:r>
      <w:bookmarkEnd w:id="173"/>
      <w:r/>
      <w:bookmarkEnd w:id="174"/>
      <w:r/>
      <w:r/>
    </w:p>
    <w:p>
      <w:pPr>
        <w:ind w:firstLine="480"/>
        <w:spacing w:line="312" w:lineRule="auto"/>
        <w:rPr>
          <w:rFonts w:ascii="Times New Roman" w:hAnsi="Times New Roman" w:eastAsia="宋体" w:cs="Times New Roman"/>
          <w:sz w:val="24"/>
          <w:highlight w:val="none"/>
        </w:rPr>
        <w:outlineLvl w:val="4"/>
      </w:pPr>
      <w:r/>
      <w:bookmarkStart w:id="175" w:name="_Toc13106"/>
      <w:r>
        <w:rPr>
          <w:rFonts w:ascii="Times New Roman" w:hAnsi="Times New Roman" w:eastAsia="宋体" w:cs="Times New Roman"/>
          <w:sz w:val="24"/>
          <w:highlight w:val="none"/>
        </w:rPr>
        <w:t xml:space="preserve">6.1安全文明施工</w:t>
      </w:r>
      <w:bookmarkEnd w:id="17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65"/>
      <w:r/>
      <w:bookmarkEnd w:id="166"/>
      <w:r/>
      <w:bookmarkEnd w:id="167"/>
      <w:r/>
      <w:bookmarkEnd w:id="168"/>
      <w:r/>
      <w:bookmarkEnd w:id="169"/>
      <w:r/>
      <w:bookmarkEnd w:id="170"/>
      <w:r/>
      <w:bookmarkEnd w:id="171"/>
      <w:r/>
      <w:r/>
    </w:p>
    <w:p>
      <w:pPr>
        <w:ind w:firstLine="480"/>
        <w:spacing w:line="312" w:lineRule="auto"/>
        <w:rPr>
          <w:rFonts w:ascii="Times New Roman" w:hAnsi="Times New Roman" w:eastAsia="宋体" w:cs="Times New Roman"/>
          <w:sz w:val="24"/>
          <w:highlight w:val="none"/>
        </w:rPr>
        <w:outlineLvl w:val="3"/>
      </w:pPr>
      <w:r/>
      <w:bookmarkStart w:id="176" w:name="_Toc24698"/>
      <w:r/>
      <w:bookmarkStart w:id="177" w:name="_Toc351203639"/>
      <w:r>
        <w:rPr>
          <w:rFonts w:ascii="Times New Roman" w:hAnsi="Times New Roman" w:eastAsia="宋体" w:cs="Times New Roman"/>
          <w:sz w:val="24"/>
          <w:highlight w:val="none"/>
        </w:rPr>
        <w:t xml:space="preserve">7. 工期和进度</w:t>
      </w:r>
      <w:bookmarkEnd w:id="176"/>
      <w:r/>
      <w:bookmarkEnd w:id="177"/>
      <w:r/>
      <w:r/>
    </w:p>
    <w:p>
      <w:pPr>
        <w:ind w:firstLine="480"/>
        <w:spacing w:line="312" w:lineRule="auto"/>
        <w:rPr>
          <w:rFonts w:ascii="Times New Roman" w:hAnsi="Times New Roman" w:eastAsia="宋体" w:cs="Times New Roman"/>
          <w:sz w:val="24"/>
          <w:highlight w:val="none"/>
        </w:rPr>
        <w:outlineLvl w:val="4"/>
      </w:pPr>
      <w:r/>
      <w:bookmarkStart w:id="178" w:name="_Toc7529"/>
      <w:r>
        <w:rPr>
          <w:rFonts w:ascii="Times New Roman" w:hAnsi="Times New Roman" w:eastAsia="宋体" w:cs="Times New Roman"/>
          <w:sz w:val="24"/>
          <w:highlight w:val="none"/>
        </w:rPr>
        <w:t xml:space="preserve">7.1 施工组织设计</w:t>
      </w:r>
      <w:bookmarkEnd w:id="17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9" w:name="_Toc19064"/>
      <w:r>
        <w:rPr>
          <w:rFonts w:ascii="Times New Roman" w:hAnsi="Times New Roman" w:eastAsia="宋体" w:cs="Times New Roman"/>
          <w:sz w:val="24"/>
          <w:highlight w:val="none"/>
        </w:rPr>
        <w:t xml:space="preserve">7</w:t>
      </w:r>
      <w:bookmarkStart w:id="180" w:name="_Toc300934966"/>
      <w:r/>
      <w:bookmarkStart w:id="181" w:name="_Toc312677479"/>
      <w:r/>
      <w:bookmarkStart w:id="182" w:name="_Toc303539123"/>
      <w:r/>
      <w:bookmarkStart w:id="183" w:name="_Toc297216173"/>
      <w:r/>
      <w:bookmarkStart w:id="184" w:name="_Toc304295541"/>
      <w:r/>
      <w:bookmarkStart w:id="185" w:name="_Toc297123514"/>
      <w:r/>
      <w:bookmarkStart w:id="186" w:name="_Toc312678005"/>
      <w:r>
        <w:rPr>
          <w:rFonts w:ascii="Times New Roman" w:hAnsi="Times New Roman" w:eastAsia="宋体" w:cs="Times New Roman"/>
          <w:sz w:val="24"/>
          <w:highlight w:val="none"/>
        </w:rPr>
        <w:t xml:space="preserve">.2 施工进度计划</w:t>
      </w:r>
      <w:bookmarkEnd w:id="17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87" w:name="_Toc16679"/>
      <w:r>
        <w:rPr>
          <w:rFonts w:ascii="Times New Roman" w:hAnsi="Times New Roman" w:eastAsia="宋体" w:cs="Times New Roman"/>
          <w:sz w:val="24"/>
          <w:highlight w:val="none"/>
        </w:rPr>
        <w:t xml:space="preserve">7.3 开工</w:t>
      </w:r>
      <w:bookmarkEnd w:id="1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80"/>
      <w:r/>
      <w:bookmarkEnd w:id="181"/>
      <w:r/>
      <w:bookmarkEnd w:id="182"/>
      <w:r/>
      <w:bookmarkEnd w:id="183"/>
      <w:r/>
      <w:bookmarkEnd w:id="184"/>
      <w:r/>
      <w:bookmarkEnd w:id="185"/>
      <w:r/>
      <w:bookmarkEnd w:id="186"/>
      <w:r/>
      <w:r/>
    </w:p>
    <w:p>
      <w:pPr>
        <w:ind w:firstLine="480"/>
        <w:spacing w:line="312" w:lineRule="auto"/>
        <w:rPr>
          <w:rFonts w:ascii="Times New Roman" w:hAnsi="Times New Roman" w:eastAsia="宋体" w:cs="Times New Roman"/>
          <w:sz w:val="24"/>
          <w:highlight w:val="none"/>
        </w:rPr>
        <w:outlineLvl w:val="4"/>
      </w:pPr>
      <w:r/>
      <w:bookmarkStart w:id="188" w:name="_Toc10036"/>
      <w:r>
        <w:rPr>
          <w:rFonts w:ascii="Times New Roman" w:hAnsi="Times New Roman" w:eastAsia="宋体" w:cs="Times New Roman"/>
          <w:sz w:val="24"/>
          <w:highlight w:val="none"/>
        </w:rPr>
        <w:t xml:space="preserve">7.4 测量放线</w:t>
      </w:r>
      <w:bookmarkEnd w:id="18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89" w:name="_Toc2994"/>
      <w:r>
        <w:rPr>
          <w:rFonts w:ascii="Times New Roman" w:hAnsi="Times New Roman" w:eastAsia="宋体" w:cs="Times New Roman"/>
          <w:sz w:val="24"/>
          <w:highlight w:val="none"/>
        </w:rPr>
        <w:t xml:space="preserve">7</w:t>
      </w:r>
      <w:bookmarkStart w:id="190" w:name="_Toc312678010"/>
      <w:r/>
      <w:bookmarkStart w:id="191" w:name="_Toc312677484"/>
      <w:r/>
      <w:bookmarkStart w:id="192" w:name="_Toc300934968"/>
      <w:r/>
      <w:bookmarkStart w:id="193" w:name="_Toc304295546"/>
      <w:r/>
      <w:bookmarkStart w:id="194" w:name="_Toc303539125"/>
      <w:r/>
      <w:bookmarkStart w:id="195" w:name="_Toc297216175"/>
      <w:r/>
      <w:bookmarkStart w:id="196" w:name="_Toc297123516"/>
      <w:r>
        <w:rPr>
          <w:rFonts w:ascii="Times New Roman" w:hAnsi="Times New Roman" w:eastAsia="宋体" w:cs="Times New Roman"/>
          <w:sz w:val="24"/>
          <w:highlight w:val="none"/>
        </w:rPr>
        <w:t xml:space="preserve">.5 工期延误</w:t>
      </w:r>
      <w:bookmarkEnd w:id="189"/>
      <w:r/>
      <w:bookmarkEnd w:id="190"/>
      <w:r/>
      <w:bookmarkEnd w:id="191"/>
      <w:r/>
      <w:bookmarkEnd w:id="192"/>
      <w:r/>
      <w:bookmarkEnd w:id="193"/>
      <w:r/>
      <w:bookmarkEnd w:id="194"/>
      <w:r/>
      <w:bookmarkEnd w:id="195"/>
      <w:r/>
      <w:bookmarkEnd w:id="1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97" w:name="_Toc312677486"/>
      <w:r/>
      <w:bookmarkStart w:id="198" w:name="_Toc312678012"/>
      <w:r/>
      <w:bookmarkStart w:id="199" w:name="_Toc318581169"/>
      <w:r/>
      <w:bookmarkStart w:id="200" w:name="_Toc304295548"/>
      <w:r/>
      <w:bookmarkStart w:id="201" w:name="_Toc303539127"/>
      <w:r/>
      <w:bookmarkStart w:id="202" w:name="_Toc297123518"/>
      <w:r/>
      <w:bookmarkStart w:id="203" w:name="_Toc297216177"/>
      <w:r/>
      <w:bookmarkStart w:id="204" w:name="_Toc300934970"/>
      <w:r>
        <w:rPr>
          <w:rFonts w:ascii="Times New Roman" w:hAnsi="Times New Roman" w:eastAsia="宋体" w:cs="Times New Roman"/>
          <w:sz w:val="24"/>
          <w:highlight w:val="none"/>
        </w:rPr>
        <w:t xml:space="preserve">.5.2 因承包人原因导致工期延误</w:t>
      </w:r>
      <w:bookmarkEnd w:id="197"/>
      <w:r/>
      <w:bookmarkEnd w:id="198"/>
      <w:r/>
      <w:bookmarkEnd w:id="19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205" w:name="_Toc318581170"/>
      <w:r/>
      <w:bookmarkStart w:id="206" w:name="_Toc312677487"/>
      <w:r/>
      <w:bookmarkStart w:id="207"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200"/>
      <w:r/>
      <w:bookmarkEnd w:id="201"/>
      <w:r/>
      <w:bookmarkEnd w:id="202"/>
      <w:r/>
      <w:bookmarkEnd w:id="203"/>
      <w:r/>
      <w:bookmarkEnd w:id="204"/>
      <w:r/>
      <w:bookmarkEnd w:id="205"/>
      <w:r/>
      <w:bookmarkEnd w:id="206"/>
      <w:r/>
      <w:bookmarkEnd w:id="20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208" w:name="_Toc312678014"/>
      <w:r/>
      <w:bookmarkStart w:id="209" w:name="_Toc318581171"/>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208"/>
      <w:r/>
      <w:bookmarkEnd w:id="209"/>
      <w:r/>
      <w:r/>
    </w:p>
    <w:p>
      <w:pPr>
        <w:ind w:firstLine="480"/>
        <w:spacing w:line="312" w:lineRule="auto"/>
        <w:rPr>
          <w:rFonts w:ascii="Times New Roman" w:hAnsi="Times New Roman" w:eastAsia="宋体" w:cs="Times New Roman"/>
          <w:sz w:val="24"/>
          <w:highlight w:val="none"/>
        </w:rPr>
        <w:outlineLvl w:val="4"/>
      </w:pPr>
      <w:r/>
      <w:bookmarkStart w:id="210" w:name="_Toc31604"/>
      <w:r>
        <w:rPr>
          <w:rFonts w:ascii="Times New Roman" w:hAnsi="Times New Roman" w:eastAsia="宋体" w:cs="Times New Roman"/>
          <w:sz w:val="24"/>
          <w:highlight w:val="none"/>
        </w:rPr>
        <w:t xml:space="preserve">7</w:t>
      </w:r>
      <w:bookmarkStart w:id="211" w:name="_Toc297216178"/>
      <w:r/>
      <w:bookmarkStart w:id="212" w:name="_Toc303539128"/>
      <w:r/>
      <w:bookmarkStart w:id="213" w:name="_Toc304295549"/>
      <w:r/>
      <w:bookmarkStart w:id="214" w:name="_Toc312678015"/>
      <w:r/>
      <w:bookmarkStart w:id="215" w:name="_Toc297123519"/>
      <w:r/>
      <w:bookmarkStart w:id="216" w:name="_Toc300934971"/>
      <w:r>
        <w:rPr>
          <w:rFonts w:ascii="Times New Roman" w:hAnsi="Times New Roman" w:eastAsia="宋体" w:cs="Times New Roman"/>
          <w:sz w:val="24"/>
          <w:highlight w:val="none"/>
        </w:rPr>
        <w:t xml:space="preserve">.6 不</w:t>
      </w:r>
      <w:bookmarkEnd w:id="211"/>
      <w:r/>
      <w:bookmarkEnd w:id="212"/>
      <w:r/>
      <w:bookmarkEnd w:id="213"/>
      <w:r/>
      <w:bookmarkEnd w:id="214"/>
      <w:r/>
      <w:bookmarkEnd w:id="215"/>
      <w:r/>
      <w:bookmarkEnd w:id="216"/>
      <w:r>
        <w:rPr>
          <w:rFonts w:ascii="Times New Roman" w:hAnsi="Times New Roman" w:eastAsia="宋体" w:cs="Times New Roman"/>
          <w:sz w:val="24"/>
          <w:highlight w:val="none"/>
        </w:rPr>
        <w:t xml:space="preserve">利物质条件</w:t>
      </w:r>
      <w:bookmarkEnd w:id="210"/>
      <w:r/>
      <w:r/>
    </w:p>
    <w:p>
      <w:pPr>
        <w:ind w:firstLine="480"/>
        <w:spacing w:line="312" w:lineRule="auto"/>
        <w:rPr>
          <w:rFonts w:ascii="Times New Roman" w:hAnsi="Times New Roman" w:eastAsia="宋体" w:cs="Times New Roman"/>
          <w:sz w:val="24"/>
          <w:highlight w:val="none"/>
        </w:rPr>
      </w:pPr>
      <w:r/>
      <w:bookmarkStart w:id="217" w:name="_Toc303539129"/>
      <w:r/>
      <w:bookmarkStart w:id="218" w:name="_Toc297123520"/>
      <w:r/>
      <w:bookmarkStart w:id="219" w:name="_Toc304295550"/>
      <w:r/>
      <w:bookmarkStart w:id="220" w:name="_Toc312678016"/>
      <w:r/>
      <w:bookmarkStart w:id="221" w:name="_Toc297216179"/>
      <w:r/>
      <w:bookmarkStart w:id="222" w:name="_Toc318581172"/>
      <w:r/>
      <w:bookmarkStart w:id="223" w:name="_Toc300934972"/>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17"/>
      <w:r/>
      <w:bookmarkEnd w:id="218"/>
      <w:r/>
      <w:bookmarkEnd w:id="219"/>
      <w:r/>
      <w:bookmarkEnd w:id="220"/>
      <w:r/>
      <w:bookmarkEnd w:id="221"/>
      <w:r/>
      <w:bookmarkEnd w:id="222"/>
      <w:r/>
      <w:bookmarkEnd w:id="223"/>
      <w:r/>
      <w:r/>
    </w:p>
    <w:p>
      <w:pPr>
        <w:ind w:firstLine="480"/>
        <w:spacing w:line="312" w:lineRule="auto"/>
        <w:rPr>
          <w:rFonts w:ascii="Times New Roman" w:hAnsi="Times New Roman" w:eastAsia="宋体" w:cs="Times New Roman"/>
          <w:sz w:val="24"/>
          <w:highlight w:val="none"/>
        </w:rPr>
        <w:outlineLvl w:val="4"/>
      </w:pPr>
      <w:r/>
      <w:bookmarkStart w:id="224" w:name="_Toc28905"/>
      <w:r>
        <w:rPr>
          <w:rFonts w:ascii="Times New Roman" w:hAnsi="Times New Roman" w:eastAsia="宋体" w:cs="Times New Roman"/>
          <w:sz w:val="24"/>
          <w:highlight w:val="none"/>
        </w:rPr>
        <w:t xml:space="preserve">7</w:t>
      </w:r>
      <w:bookmarkStart w:id="225" w:name="_Toc303539130"/>
      <w:r/>
      <w:bookmarkStart w:id="226" w:name="_Toc312678017"/>
      <w:r/>
      <w:bookmarkStart w:id="227" w:name="_Toc297216180"/>
      <w:r/>
      <w:bookmarkStart w:id="228" w:name="_Toc300934973"/>
      <w:r/>
      <w:bookmarkStart w:id="229" w:name="_Toc304295551"/>
      <w:r/>
      <w:bookmarkStart w:id="230" w:name="_Toc297123521"/>
      <w:r>
        <w:rPr>
          <w:rFonts w:ascii="Times New Roman" w:hAnsi="Times New Roman" w:eastAsia="宋体" w:cs="Times New Roman"/>
          <w:sz w:val="24"/>
          <w:highlight w:val="none"/>
        </w:rPr>
        <w:t xml:space="preserve">.7异常恶劣的气候条件</w:t>
      </w:r>
      <w:bookmarkEnd w:id="224"/>
      <w:r/>
      <w:bookmarkEnd w:id="225"/>
      <w:r/>
      <w:bookmarkEnd w:id="226"/>
      <w:r/>
      <w:bookmarkEnd w:id="227"/>
      <w:r/>
      <w:bookmarkEnd w:id="228"/>
      <w:r/>
      <w:bookmarkEnd w:id="229"/>
      <w:r/>
      <w:bookmarkEnd w:id="23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31" w:name="_Toc11531"/>
      <w:r>
        <w:rPr>
          <w:rFonts w:ascii="Times New Roman" w:hAnsi="Times New Roman" w:eastAsia="宋体" w:cs="Times New Roman"/>
          <w:sz w:val="24"/>
          <w:highlight w:val="none"/>
        </w:rPr>
        <w:t xml:space="preserve">7.9 提前竣工的奖励</w:t>
      </w:r>
      <w:bookmarkEnd w:id="23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32" w:name="_Toc8982"/>
      <w:r/>
      <w:bookmarkStart w:id="233" w:name="_Toc351203640"/>
      <w:r>
        <w:rPr>
          <w:rFonts w:ascii="Times New Roman" w:hAnsi="Times New Roman" w:eastAsia="宋体" w:cs="Times New Roman"/>
          <w:sz w:val="24"/>
          <w:highlight w:val="none"/>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32"/>
      <w:r/>
      <w:bookmarkEnd w:id="233"/>
      <w:r/>
      <w:r/>
    </w:p>
    <w:p>
      <w:pPr>
        <w:ind w:firstLine="480"/>
        <w:spacing w:line="312" w:lineRule="auto"/>
        <w:rPr>
          <w:rFonts w:ascii="Times New Roman" w:hAnsi="Times New Roman" w:eastAsia="宋体" w:cs="Times New Roman"/>
          <w:sz w:val="24"/>
          <w:highlight w:val="none"/>
        </w:rPr>
        <w:outlineLvl w:val="4"/>
      </w:pPr>
      <w:r/>
      <w:bookmarkStart w:id="234" w:name="_Toc463"/>
      <w:r>
        <w:rPr>
          <w:rFonts w:ascii="Times New Roman" w:hAnsi="Times New Roman" w:eastAsia="宋体" w:cs="Times New Roman"/>
          <w:sz w:val="24"/>
          <w:highlight w:val="none"/>
        </w:rPr>
        <w:t xml:space="preserve">8</w:t>
      </w:r>
      <w:bookmarkStart w:id="235" w:name="_Toc304295556"/>
      <w:r/>
      <w:bookmarkStart w:id="236" w:name="_Toc292559877"/>
      <w:r/>
      <w:bookmarkStart w:id="237" w:name="_Toc296891207"/>
      <w:r/>
      <w:bookmarkStart w:id="238" w:name="_Toc296890995"/>
      <w:r/>
      <w:bookmarkStart w:id="239" w:name="_Toc312678019"/>
      <w:r/>
      <w:bookmarkStart w:id="240" w:name="_Toc297216186"/>
      <w:r/>
      <w:bookmarkStart w:id="241" w:name="_Toc292559372"/>
      <w:r/>
      <w:bookmarkStart w:id="242" w:name="_Toc297048353"/>
      <w:r/>
      <w:bookmarkStart w:id="243" w:name="_Toc297123527"/>
      <w:r/>
      <w:bookmarkStart w:id="244" w:name="_Toc297120467"/>
      <w:r/>
      <w:bookmarkStart w:id="245" w:name="_Toc296347166"/>
      <w:r/>
      <w:bookmarkStart w:id="246" w:name="_Toc296503167"/>
      <w:r/>
      <w:bookmarkStart w:id="247" w:name="_Toc312677493"/>
      <w:r/>
      <w:bookmarkStart w:id="248" w:name="_Toc296944506"/>
      <w:r/>
      <w:bookmarkStart w:id="249" w:name="_Toc296346668"/>
      <w:r/>
      <w:bookmarkStart w:id="250" w:name="_Toc300934979"/>
      <w:r/>
      <w:bookmarkStart w:id="251" w:name="_Toc303539136"/>
      <w:r/>
      <w:bookmarkStart w:id="252" w:name="_Toc280868654"/>
      <w:r/>
      <w:bookmarkStart w:id="253" w:name="_Toc267251424"/>
      <w:r/>
      <w:bookmarkStart w:id="254" w:name="_Toc280868655"/>
      <w:r/>
      <w:bookmarkStart w:id="255" w:name="_Toc280868656"/>
      <w:r>
        <w:rPr>
          <w:rFonts w:ascii="Times New Roman" w:hAnsi="Times New Roman" w:eastAsia="宋体" w:cs="Times New Roman"/>
          <w:sz w:val="24"/>
          <w:highlight w:val="none"/>
        </w:rPr>
        <w:t xml:space="preserve">.4材料与工程设备的保管与使用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56" w:name="_Toc292559878"/>
      <w:r/>
      <w:bookmarkStart w:id="257" w:name="_Toc292559373"/>
      <w:r/>
      <w:bookmarkStart w:id="258" w:name="_Toc304295557"/>
      <w:r/>
      <w:bookmarkStart w:id="259" w:name="_Toc297123528"/>
      <w:r/>
      <w:bookmarkStart w:id="260" w:name="_Toc296891208"/>
      <w:r/>
      <w:bookmarkStart w:id="261" w:name="_Toc312677494"/>
      <w:r/>
      <w:bookmarkStart w:id="262" w:name="_Toc297216187"/>
      <w:r/>
      <w:bookmarkStart w:id="263" w:name="_Toc296944507"/>
      <w:r/>
      <w:bookmarkStart w:id="264" w:name="_Toc296890996"/>
      <w:r/>
      <w:bookmarkStart w:id="265" w:name="_Toc303539137"/>
      <w:r/>
      <w:bookmarkStart w:id="266" w:name="_Toc296346669"/>
      <w:r/>
      <w:bookmarkStart w:id="267" w:name="_Toc296347167"/>
      <w:r/>
      <w:bookmarkStart w:id="268" w:name="_Toc318581173"/>
      <w:r/>
      <w:bookmarkStart w:id="269" w:name="_Toc297120468"/>
      <w:r/>
      <w:bookmarkStart w:id="270" w:name="_Toc297048354"/>
      <w:r/>
      <w:bookmarkStart w:id="271" w:name="_Toc312678020"/>
      <w:r/>
      <w:bookmarkStart w:id="272" w:name="_Toc300934980"/>
      <w:r/>
      <w:bookmarkStart w:id="273" w:name="_Toc296503168"/>
      <w:r>
        <w:rPr>
          <w:rFonts w:ascii="Times New Roman" w:hAnsi="Times New Roman" w:eastAsia="宋体" w:cs="Times New Roman"/>
          <w:sz w:val="24"/>
          <w:highlight w:val="none"/>
        </w:rPr>
        <w:t xml:space="preserve">.4.1发包人供应的材料设备的保管费用的承担：</w:t>
      </w:r>
      <w:bookmarkEnd w:id="256"/>
      <w:r/>
      <w:bookmarkEnd w:id="257"/>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74" w:name="_Toc8841"/>
      <w:r>
        <w:rPr>
          <w:rFonts w:ascii="Times New Roman" w:hAnsi="Times New Roman" w:eastAsia="宋体" w:cs="Times New Roman"/>
          <w:sz w:val="24"/>
          <w:highlight w:val="none"/>
        </w:rPr>
        <w:t xml:space="preserve">8.6 样品</w:t>
      </w:r>
      <w:bookmarkEnd w:id="2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75" w:name="_Toc19292"/>
      <w:r>
        <w:rPr>
          <w:rFonts w:ascii="Times New Roman" w:hAnsi="Times New Roman" w:eastAsia="宋体" w:cs="Times New Roman"/>
          <w:sz w:val="24"/>
          <w:highlight w:val="none"/>
        </w:rPr>
        <w:t xml:space="preserve">8.8 施工设备和临时设施</w:t>
      </w:r>
      <w:bookmarkEnd w:id="27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line="312" w:lineRule="auto"/>
        <w:rPr>
          <w:rFonts w:ascii="Times New Roman" w:hAnsi="Times New Roman" w:eastAsia="宋体" w:cs="Times New Roman"/>
          <w:sz w:val="24"/>
          <w:highlight w:val="none"/>
        </w:rPr>
        <w:outlineLvl w:val="3"/>
      </w:pPr>
      <w:r/>
      <w:bookmarkStart w:id="276" w:name="_Toc10958"/>
      <w:r/>
      <w:bookmarkStart w:id="277" w:name="_Toc351203641"/>
      <w:r>
        <w:rPr>
          <w:rFonts w:ascii="Times New Roman" w:hAnsi="Times New Roman" w:eastAsia="宋体" w:cs="Times New Roman"/>
          <w:sz w:val="24"/>
          <w:highlight w:val="none"/>
        </w:rPr>
        <w:t xml:space="preserve">9</w:t>
      </w:r>
      <w:bookmarkEnd w:id="253"/>
      <w:r/>
      <w:bookmarkEnd w:id="254"/>
      <w:r/>
      <w:bookmarkEnd w:id="255"/>
      <w:r/>
      <w:bookmarkStart w:id="278" w:name="_Toc300934982"/>
      <w:r/>
      <w:bookmarkStart w:id="279" w:name="_Toc303539139"/>
      <w:r/>
      <w:bookmarkStart w:id="280" w:name="_Toc297123533"/>
      <w:r/>
      <w:bookmarkStart w:id="281" w:name="_Toc297216192"/>
      <w:r/>
      <w:bookmarkStart w:id="282" w:name="_Toc304295559"/>
      <w:r/>
      <w:bookmarkStart w:id="283" w:name="_Toc312677495"/>
      <w:r/>
      <w:bookmarkStart w:id="284" w:name="_Toc312678021"/>
      <w:r/>
      <w:bookmarkStart w:id="285" w:name="_Toc297048359"/>
      <w:r/>
      <w:bookmarkStart w:id="286" w:name="_Toc296347172"/>
      <w:r/>
      <w:bookmarkStart w:id="287" w:name="_Toc296891213"/>
      <w:r/>
      <w:bookmarkStart w:id="288" w:name="_Toc267251427"/>
      <w:r/>
      <w:bookmarkStart w:id="289" w:name="_Toc296346674"/>
      <w:r/>
      <w:bookmarkStart w:id="290" w:name="_Toc267251428"/>
      <w:r/>
      <w:bookmarkStart w:id="291" w:name="_Toc296944512"/>
      <w:r/>
      <w:bookmarkStart w:id="292" w:name="_Toc297120473"/>
      <w:r/>
      <w:bookmarkStart w:id="293" w:name="_Toc296891001"/>
      <w:r/>
      <w:bookmarkStart w:id="294" w:name="_Toc292559883"/>
      <w:r/>
      <w:bookmarkStart w:id="295" w:name="_Toc296503173"/>
      <w:r/>
      <w:bookmarkStart w:id="296" w:name="_Toc292559378"/>
      <w:r>
        <w:rPr>
          <w:rFonts w:ascii="Times New Roman" w:hAnsi="Times New Roman" w:eastAsia="宋体" w:cs="Times New Roman"/>
          <w:sz w:val="24"/>
          <w:highlight w:val="none"/>
        </w:rPr>
        <w:t xml:space="preserve">. 试验与检验</w:t>
      </w:r>
      <w:bookmarkEnd w:id="276"/>
      <w:r/>
      <w:bookmarkEnd w:id="277"/>
      <w:r/>
      <w:bookmarkEnd w:id="278"/>
      <w:r/>
      <w:bookmarkEnd w:id="279"/>
      <w:r/>
      <w:bookmarkEnd w:id="280"/>
      <w:r/>
      <w:bookmarkEnd w:id="281"/>
      <w:r/>
      <w:bookmarkEnd w:id="282"/>
      <w:r/>
      <w:bookmarkEnd w:id="283"/>
      <w:r/>
      <w:bookmarkEnd w:id="284"/>
      <w:r/>
      <w:r/>
    </w:p>
    <w:p>
      <w:pPr>
        <w:ind w:firstLine="480"/>
        <w:spacing w:line="312" w:lineRule="auto"/>
        <w:rPr>
          <w:rFonts w:ascii="Times New Roman" w:hAnsi="Times New Roman" w:eastAsia="宋体" w:cs="Times New Roman"/>
          <w:sz w:val="24"/>
          <w:highlight w:val="none"/>
        </w:rPr>
        <w:outlineLvl w:val="4"/>
      </w:pPr>
      <w:r/>
      <w:bookmarkStart w:id="297" w:name="_Toc19944"/>
      <w:r>
        <w:rPr>
          <w:rFonts w:ascii="Times New Roman" w:hAnsi="Times New Roman" w:eastAsia="宋体" w:cs="Times New Roman"/>
          <w:sz w:val="24"/>
          <w:highlight w:val="none"/>
        </w:rPr>
        <w:t xml:space="preserve">9</w:t>
      </w:r>
      <w:bookmarkStart w:id="298" w:name="_Toc312677496"/>
      <w:r/>
      <w:bookmarkStart w:id="299" w:name="_Toc303539140"/>
      <w:r/>
      <w:bookmarkStart w:id="300" w:name="_Toc297216193"/>
      <w:r/>
      <w:bookmarkStart w:id="301" w:name="_Toc297123534"/>
      <w:r/>
      <w:bookmarkStart w:id="302" w:name="_Toc300934983"/>
      <w:r/>
      <w:bookmarkStart w:id="303" w:name="_Toc304295560"/>
      <w:r/>
      <w:bookmarkStart w:id="304" w:name="_Toc312678022"/>
      <w:r>
        <w:rPr>
          <w:rFonts w:ascii="Times New Roman" w:hAnsi="Times New Roman" w:eastAsia="宋体" w:cs="Times New Roman"/>
          <w:sz w:val="24"/>
          <w:highlight w:val="none"/>
        </w:rPr>
        <w:t xml:space="preserve">.1试验设备与试验人员</w:t>
      </w:r>
      <w:bookmarkEnd w:id="297"/>
      <w:r/>
      <w:bookmarkEnd w:id="298"/>
      <w:r/>
      <w:bookmarkEnd w:id="299"/>
      <w:r/>
      <w:bookmarkEnd w:id="300"/>
      <w:r/>
      <w:bookmarkEnd w:id="301"/>
      <w:r/>
      <w:bookmarkEnd w:id="302"/>
      <w:r/>
      <w:bookmarkEnd w:id="303"/>
      <w:r/>
      <w:bookmarkEnd w:id="30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305" w:name="_Toc312678023"/>
      <w:r/>
      <w:bookmarkStart w:id="306" w:name="_Toc297123535"/>
      <w:r/>
      <w:bookmarkStart w:id="307" w:name="_Toc312677497"/>
      <w:r/>
      <w:bookmarkStart w:id="308" w:name="_Toc303539141"/>
      <w:r/>
      <w:bookmarkStart w:id="309" w:name="_Toc300934984"/>
      <w:r/>
      <w:bookmarkStart w:id="310" w:name="_Toc297216194"/>
      <w:r/>
      <w:bookmarkStart w:id="311" w:name="_Toc304295561"/>
      <w:r/>
      <w:bookmarkStart w:id="312"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305"/>
      <w:r/>
      <w:bookmarkEnd w:id="306"/>
      <w:r/>
      <w:bookmarkEnd w:id="307"/>
      <w:r/>
      <w:bookmarkEnd w:id="308"/>
      <w:r/>
      <w:bookmarkEnd w:id="309"/>
      <w:r/>
      <w:bookmarkEnd w:id="310"/>
      <w:r/>
      <w:bookmarkEnd w:id="311"/>
      <w:r/>
      <w:bookmarkStart w:id="313" w:name="_Toc303539142"/>
      <w:r/>
      <w:bookmarkStart w:id="314" w:name="_Toc304295562"/>
      <w:r/>
      <w:bookmarkStart w:id="315" w:name="_Toc312678024"/>
      <w:r/>
      <w:bookmarkStart w:id="316" w:name="_Toc297216195"/>
      <w:r/>
      <w:bookmarkStart w:id="317" w:name="_Toc300934985"/>
      <w:r/>
      <w:bookmarkStart w:id="318" w:name="_Toc312677498"/>
      <w:r/>
      <w:bookmarkStart w:id="319" w:name="_Toc297123536"/>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20" w:name="_Toc29365"/>
      <w:r>
        <w:rPr>
          <w:rFonts w:ascii="Times New Roman" w:hAnsi="Times New Roman" w:eastAsia="宋体" w:cs="Times New Roman"/>
          <w:sz w:val="24"/>
          <w:highlight w:val="none"/>
        </w:rPr>
        <w:t xml:space="preserve">9.4 现场工艺试验</w:t>
      </w:r>
      <w:bookmarkEnd w:id="320"/>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312"/>
      <w:r/>
      <w:bookmarkEnd w:id="313"/>
      <w:r/>
      <w:bookmarkEnd w:id="314"/>
      <w:r/>
      <w:bookmarkEnd w:id="315"/>
      <w:r/>
      <w:bookmarkEnd w:id="316"/>
      <w:r/>
      <w:bookmarkEnd w:id="317"/>
      <w:r/>
      <w:bookmarkEnd w:id="318"/>
      <w:r/>
      <w:bookmarkEnd w:id="319"/>
      <w:r/>
      <w:r/>
    </w:p>
    <w:p>
      <w:pPr>
        <w:ind w:firstLine="480"/>
        <w:spacing w:line="312" w:lineRule="auto"/>
        <w:rPr>
          <w:rFonts w:ascii="Times New Roman" w:hAnsi="Times New Roman" w:eastAsia="宋体" w:cs="Times New Roman"/>
          <w:sz w:val="24"/>
          <w:highlight w:val="none"/>
        </w:rPr>
        <w:outlineLvl w:val="3"/>
      </w:pPr>
      <w:r/>
      <w:bookmarkStart w:id="321" w:name="_Toc351203642"/>
      <w:r/>
      <w:bookmarkStart w:id="322" w:name="_Toc8881"/>
      <w:r>
        <w:rPr>
          <w:rFonts w:ascii="Times New Roman" w:hAnsi="Times New Roman" w:eastAsia="宋体" w:cs="Times New Roman"/>
          <w:sz w:val="24"/>
          <w:highlight w:val="none"/>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323" w:name="_Toc296891021"/>
      <w:r/>
      <w:bookmarkStart w:id="324" w:name="_Toc296503193"/>
      <w:r/>
      <w:bookmarkStart w:id="325" w:name="_Toc303539146"/>
      <w:r/>
      <w:bookmarkStart w:id="326" w:name="_Toc296944532"/>
      <w:r/>
      <w:bookmarkStart w:id="327" w:name="_Toc312677499"/>
      <w:r/>
      <w:bookmarkStart w:id="328" w:name="_Toc300934989"/>
      <w:r/>
      <w:bookmarkStart w:id="329" w:name="_Toc297216199"/>
      <w:r/>
      <w:bookmarkStart w:id="330" w:name="_Toc297123540"/>
      <w:r/>
      <w:bookmarkStart w:id="331" w:name="_Toc296347192"/>
      <w:r/>
      <w:bookmarkStart w:id="332" w:name="_Toc292559398"/>
      <w:r/>
      <w:bookmarkStart w:id="333" w:name="_Toc297120493"/>
      <w:r/>
      <w:bookmarkStart w:id="334" w:name="_Toc292559903"/>
      <w:r/>
      <w:bookmarkStart w:id="335" w:name="_Toc296891233"/>
      <w:r/>
      <w:bookmarkStart w:id="336" w:name="_Toc312678025"/>
      <w:r/>
      <w:bookmarkStart w:id="337" w:name="_Toc304295566"/>
      <w:r/>
      <w:bookmarkStart w:id="338" w:name="_Toc296346694"/>
      <w:r/>
      <w:bookmarkStart w:id="339" w:name="_Toc297048379"/>
      <w:r/>
      <w:bookmarkStart w:id="340" w:name="_Toc267251437"/>
      <w:r/>
      <w:bookmarkStart w:id="341" w:name="_Toc267251439"/>
      <w:r/>
      <w:bookmarkStart w:id="342" w:name="_Toc267251440"/>
      <w:r/>
      <w:bookmarkStart w:id="343" w:name="_Toc267251433"/>
      <w:r/>
      <w:bookmarkStart w:id="344" w:name="_Toc267251441"/>
      <w:r/>
      <w:bookmarkStart w:id="345" w:name="_Toc267251435"/>
      <w:r/>
      <w:bookmarkStart w:id="346" w:name="_Toc267251442"/>
      <w:r>
        <w:rPr>
          <w:rFonts w:ascii="Times New Roman" w:hAnsi="Times New Roman" w:eastAsia="宋体" w:cs="Times New Roman"/>
          <w:sz w:val="24"/>
          <w:highlight w:val="none"/>
        </w:rPr>
        <w:t xml:space="preserve">0. 变更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spacing w:line="312" w:lineRule="auto"/>
        <w:rPr>
          <w:rFonts w:ascii="Times New Roman" w:hAnsi="Times New Roman" w:eastAsia="宋体" w:cs="Times New Roman"/>
          <w:sz w:val="24"/>
          <w:highlight w:val="none"/>
        </w:rPr>
        <w:outlineLvl w:val="4"/>
      </w:pPr>
      <w:r/>
      <w:bookmarkStart w:id="347" w:name="_Toc7563"/>
      <w:r>
        <w:rPr>
          <w:rFonts w:ascii="Times New Roman" w:hAnsi="Times New Roman" w:eastAsia="宋体" w:cs="Times New Roman"/>
          <w:sz w:val="24"/>
          <w:highlight w:val="none"/>
        </w:rPr>
        <w:t xml:space="preserve">1</w:t>
      </w:r>
      <w:bookmarkStart w:id="348" w:name="_Toc296944533"/>
      <w:r/>
      <w:bookmarkStart w:id="349" w:name="_Toc297216200"/>
      <w:r/>
      <w:bookmarkStart w:id="350" w:name="_Toc297120494"/>
      <w:r/>
      <w:bookmarkStart w:id="351" w:name="_Toc296891022"/>
      <w:r/>
      <w:bookmarkStart w:id="352" w:name="_Toc312678026"/>
      <w:r/>
      <w:bookmarkStart w:id="353" w:name="_Toc292559904"/>
      <w:r/>
      <w:bookmarkStart w:id="354" w:name="_Toc296503194"/>
      <w:r/>
      <w:bookmarkStart w:id="355" w:name="_Toc312677500"/>
      <w:r/>
      <w:bookmarkStart w:id="356" w:name="_Toc303539147"/>
      <w:r/>
      <w:bookmarkStart w:id="357" w:name="_Toc297048380"/>
      <w:r/>
      <w:bookmarkStart w:id="358" w:name="_Toc300934990"/>
      <w:r/>
      <w:bookmarkStart w:id="359" w:name="_Toc292559399"/>
      <w:r/>
      <w:bookmarkStart w:id="360" w:name="_Toc296347193"/>
      <w:r/>
      <w:bookmarkStart w:id="361" w:name="_Toc297123541"/>
      <w:r/>
      <w:bookmarkStart w:id="362" w:name="_Toc296346695"/>
      <w:r/>
      <w:bookmarkStart w:id="363" w:name="_Toc304295567"/>
      <w:r/>
      <w:bookmarkStart w:id="364" w:name="_Toc296891234"/>
      <w:r>
        <w:rPr>
          <w:rFonts w:ascii="Times New Roman" w:hAnsi="Times New Roman" w:eastAsia="宋体" w:cs="Times New Roman"/>
          <w:sz w:val="24"/>
          <w:highlight w:val="none"/>
        </w:rPr>
        <w:t xml:space="preserve">0.1变更的范围</w:t>
      </w:r>
      <w:bookmarkEnd w:id="3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65" w:name="_Toc6851"/>
      <w:r>
        <w:rPr>
          <w:rFonts w:ascii="Times New Roman" w:hAnsi="Times New Roman" w:eastAsia="宋体" w:cs="Times New Roman"/>
          <w:sz w:val="24"/>
          <w:highlight w:val="none"/>
        </w:rPr>
        <w:t xml:space="preserve">10.4 变更估价</w:t>
      </w:r>
      <w:bookmarkEnd w:id="36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hint="default" w:ascii="Times New Roman" w:hAnsi="Times New Roman" w:eastAsia="宋体" w:cs="Times New Roman"/>
          <w:sz w:val="24"/>
          <w:highlight w:val="none"/>
          <w:u w:val="single"/>
        </w:rPr>
        <w:outlineLvl w:val="4"/>
      </w:pPr>
      <w:r/>
      <w:bookmarkStart w:id="366" w:name="_Toc28471"/>
      <w:r>
        <w:rPr>
          <w:rFonts w:hint="eastAsia" w:ascii="Times New Roman" w:hAnsi="Times New Roman" w:eastAsia="宋体" w:cs="Times New Roman"/>
          <w:sz w:val="24"/>
          <w:highlight w:val="none"/>
        </w:rPr>
        <w:t xml:space="preserve">关于变更估价的约定</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firstLine="480"/>
        <w:spacing w:line="312" w:lineRule="auto"/>
        <w:rPr>
          <w:rFonts w:ascii="Times New Roman" w:hAnsi="Times New Roman" w:eastAsia="宋体" w:cs="Times New Roman"/>
          <w:sz w:val="24"/>
          <w:highlight w:val="none"/>
        </w:rPr>
        <w:outlineLvl w:val="4"/>
      </w:pPr>
      <w:r>
        <w:rPr>
          <w:rFonts w:ascii="Times New Roman" w:hAnsi="Times New Roman" w:eastAsia="宋体" w:cs="Times New Roman"/>
          <w:sz w:val="24"/>
          <w:highlight w:val="none"/>
        </w:rPr>
        <w:t xml:space="preserve">1</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7" w:name="_Toc292559907"/>
      <w:r/>
      <w:bookmarkStart w:id="368" w:name="_Toc296944536"/>
      <w:r/>
      <w:bookmarkStart w:id="369" w:name="_Toc297120497"/>
      <w:r/>
      <w:bookmarkStart w:id="370" w:name="_Toc296503197"/>
      <w:r/>
      <w:bookmarkStart w:id="371" w:name="_Toc296891237"/>
      <w:r/>
      <w:bookmarkStart w:id="372" w:name="_Toc292559402"/>
      <w:r/>
      <w:bookmarkStart w:id="373" w:name="_Toc297216203"/>
      <w:r/>
      <w:bookmarkStart w:id="374" w:name="_Toc297048383"/>
      <w:r/>
      <w:bookmarkStart w:id="375" w:name="_Toc296891025"/>
      <w:r/>
      <w:bookmarkStart w:id="376" w:name="_Toc300934993"/>
      <w:r/>
      <w:bookmarkStart w:id="377" w:name="_Toc296347196"/>
      <w:r/>
      <w:bookmarkStart w:id="378" w:name="_Toc297123544"/>
      <w:r/>
      <w:bookmarkStart w:id="379" w:name="_Toc303539150"/>
      <w:r/>
      <w:bookmarkStart w:id="380" w:name="_Toc296346698"/>
      <w:r/>
      <w:bookmarkStart w:id="381" w:name="_Toc304295570"/>
      <w:r/>
      <w:bookmarkStart w:id="382" w:name="_Toc312677503"/>
      <w:r/>
      <w:bookmarkStart w:id="383" w:name="_Toc312678029"/>
      <w:r>
        <w:rPr>
          <w:rFonts w:ascii="Times New Roman" w:hAnsi="Times New Roman" w:eastAsia="宋体" w:cs="Times New Roman"/>
          <w:sz w:val="24"/>
          <w:highlight w:val="none"/>
        </w:rPr>
        <w:t xml:space="preserve">0.5承</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384" w:name="_Toc296944542"/>
      <w:r/>
      <w:bookmarkStart w:id="385" w:name="_Toc296891031"/>
      <w:r/>
      <w:bookmarkStart w:id="386" w:name="_Toc303539151"/>
      <w:r/>
      <w:bookmarkStart w:id="387" w:name="_Toc296503203"/>
      <w:r/>
      <w:bookmarkStart w:id="388" w:name="_Toc300934994"/>
      <w:r/>
      <w:bookmarkStart w:id="389" w:name="_Toc297123545"/>
      <w:r/>
      <w:bookmarkStart w:id="390" w:name="_Toc297216204"/>
      <w:r/>
      <w:bookmarkStart w:id="391" w:name="_Toc292559408"/>
      <w:r/>
      <w:bookmarkStart w:id="392" w:name="_Toc297048389"/>
      <w:r/>
      <w:bookmarkStart w:id="393" w:name="_Toc296346704"/>
      <w:r/>
      <w:bookmarkStart w:id="394" w:name="_Toc297120503"/>
      <w:r/>
      <w:bookmarkStart w:id="395" w:name="_Toc296347202"/>
      <w:r/>
      <w:bookmarkStart w:id="396" w:name="_Toc296891243"/>
      <w:r/>
      <w:bookmarkStart w:id="397" w:name="_Toc292559913"/>
      <w:r>
        <w:rPr>
          <w:rFonts w:ascii="Times New Roman" w:hAnsi="Times New Roman" w:eastAsia="宋体" w:cs="Times New Roman"/>
          <w:sz w:val="24"/>
          <w:highlight w:val="none"/>
        </w:rPr>
        <w:t xml:space="preserve">包人的合理化建议</w:t>
      </w:r>
      <w:bookmarkEnd w:id="366"/>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Times New Roman" w:hAnsi="Times New Roman" w:eastAsia="宋体" w:cs="Times New Roman"/>
          <w:sz w:val="24"/>
          <w:highlight w:val="none"/>
          <w:u w:val="single"/>
        </w:rPr>
        <w:t xml:space="preserve">经确认的设计变更的工程量由审计部门会同甲方签字确认，其计价办法为：1）工程量清单中已有的项目按投标书相应综合单价计算；2）工程量清单中未有的其相应综合单价按按《建设工程工程量</w:t>
      </w:r>
      <w:r>
        <w:rPr>
          <w:rFonts w:hint="eastAsia" w:ascii="Times New Roman" w:hAnsi="Times New Roman" w:eastAsia="宋体" w:cs="Times New Roman"/>
          <w:sz w:val="24"/>
          <w:highlight w:val="none"/>
          <w:u w:val="single"/>
        </w:rPr>
        <w:t xml:space="preserve">清单计价标准》（GB/T 50500-2024）及《江苏省建设工程费用组成规则》，并参考《江苏省建筑与装饰工程计价定额》《江苏省安装工程计价定额》（2014版）等现行计价依据及招标人审核后的工程量清单，结合项目发生当期的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98" w:name="_Toc297048390"/>
      <w:r/>
      <w:bookmarkStart w:id="399" w:name="_Toc312677504"/>
      <w:r/>
      <w:bookmarkStart w:id="400" w:name="_Toc318581175"/>
      <w:r/>
      <w:bookmarkStart w:id="401" w:name="_Toc297123546"/>
      <w:r/>
      <w:bookmarkStart w:id="402" w:name="_Toc296347203"/>
      <w:r/>
      <w:bookmarkStart w:id="403" w:name="_Toc297120504"/>
      <w:r/>
      <w:bookmarkStart w:id="404" w:name="_Toc312678030"/>
      <w:r/>
      <w:bookmarkStart w:id="405" w:name="_Toc303539152"/>
      <w:r/>
      <w:bookmarkStart w:id="406" w:name="_Toc296944543"/>
      <w:r/>
      <w:bookmarkStart w:id="407" w:name="_Toc300934995"/>
      <w:r/>
      <w:bookmarkStart w:id="408" w:name="_Toc304295571"/>
      <w:r/>
      <w:bookmarkStart w:id="409" w:name="_Toc292559914"/>
      <w:r/>
      <w:bookmarkStart w:id="410" w:name="_Toc292559409"/>
      <w:r/>
      <w:bookmarkStart w:id="411" w:name="_Toc296891032"/>
      <w:r/>
      <w:bookmarkStart w:id="412" w:name="_Toc296346705"/>
      <w:r/>
      <w:bookmarkStart w:id="413" w:name="_Toc296503204"/>
      <w:r/>
      <w:bookmarkStart w:id="414" w:name="_Toc297216205"/>
      <w:r/>
      <w:bookmarkStart w:id="415" w:name="_Toc296891244"/>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spacing w:line="312" w:lineRule="auto"/>
        <w:rPr>
          <w:rFonts w:ascii="Times New Roman" w:hAnsi="Times New Roman" w:eastAsia="宋体" w:cs="Times New Roman"/>
          <w:sz w:val="24"/>
          <w:highlight w:val="none"/>
        </w:rPr>
        <w:outlineLvl w:val="4"/>
      </w:pPr>
      <w:r/>
      <w:bookmarkStart w:id="416" w:name="_Toc3383"/>
      <w:r>
        <w:rPr>
          <w:rFonts w:ascii="Times New Roman" w:hAnsi="Times New Roman" w:eastAsia="宋体" w:cs="Times New Roman"/>
          <w:sz w:val="24"/>
          <w:highlight w:val="none"/>
        </w:rPr>
        <w:t xml:space="preserve">1</w:t>
      </w:r>
      <w:bookmarkStart w:id="417" w:name="_Toc312678033"/>
      <w:r/>
      <w:bookmarkStart w:id="418" w:name="_Toc296346700"/>
      <w:r/>
      <w:bookmarkStart w:id="419" w:name="_Toc297120499"/>
      <w:r/>
      <w:bookmarkStart w:id="420" w:name="_Toc303539154"/>
      <w:r/>
      <w:bookmarkStart w:id="421" w:name="_Toc304295574"/>
      <w:r/>
      <w:bookmarkStart w:id="422" w:name="_Toc292559909"/>
      <w:r/>
      <w:bookmarkStart w:id="423" w:name="_Toc312677507"/>
      <w:r/>
      <w:bookmarkStart w:id="424" w:name="_Toc300934997"/>
      <w:r/>
      <w:bookmarkStart w:id="425" w:name="_Toc297123548"/>
      <w:r/>
      <w:bookmarkStart w:id="426" w:name="_Toc296347198"/>
      <w:r/>
      <w:bookmarkStart w:id="427" w:name="_Toc296503199"/>
      <w:r/>
      <w:bookmarkStart w:id="428" w:name="_Toc297216207"/>
      <w:r/>
      <w:bookmarkStart w:id="429" w:name="_Toc296944538"/>
      <w:r/>
      <w:bookmarkStart w:id="430" w:name="_Toc296891027"/>
      <w:r/>
      <w:bookmarkStart w:id="431" w:name="_Toc292559404"/>
      <w:r/>
      <w:bookmarkStart w:id="432" w:name="_Toc296891239"/>
      <w:r/>
      <w:bookmarkStart w:id="433" w:name="_Toc297048385"/>
      <w:r>
        <w:rPr>
          <w:rFonts w:ascii="Times New Roman" w:hAnsi="Times New Roman" w:eastAsia="宋体" w:cs="Times New Roman"/>
          <w:sz w:val="24"/>
          <w:highlight w:val="none"/>
        </w:rPr>
        <w:t xml:space="preserve">0.7 暂估价</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34" w:name="_Toc312678034"/>
      <w:r/>
      <w:bookmarkStart w:id="435" w:name="_Toc318581176"/>
      <w:r/>
      <w:bookmarkStart w:id="436"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34"/>
      <w:r/>
      <w:bookmarkEnd w:id="435"/>
      <w:r/>
      <w:bookmarkEnd w:id="43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37" w:name="_Toc318581177"/>
      <w:r/>
      <w:bookmarkStart w:id="438" w:name="_Toc312678035"/>
      <w:r/>
      <w:bookmarkStart w:id="439" w:name="_Toc312677509"/>
      <w:r>
        <w:rPr>
          <w:rFonts w:ascii="Times New Roman" w:hAnsi="Times New Roman" w:eastAsia="宋体" w:cs="Times New Roman"/>
          <w:sz w:val="24"/>
          <w:highlight w:val="none"/>
        </w:rPr>
        <w:t xml:space="preserve">0.7.1 依法必须招标的暂估价项目</w:t>
      </w:r>
      <w:bookmarkEnd w:id="437"/>
      <w:r/>
      <w:bookmarkEnd w:id="438"/>
      <w:r/>
      <w:bookmarkEnd w:id="43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0" w:name="_Toc8724"/>
      <w:r>
        <w:rPr>
          <w:rFonts w:ascii="Times New Roman" w:hAnsi="Times New Roman" w:eastAsia="宋体" w:cs="Times New Roman"/>
          <w:sz w:val="24"/>
          <w:highlight w:val="none"/>
        </w:rPr>
        <w:t xml:space="preserve">10.8 暂列金额</w:t>
      </w:r>
      <w:bookmarkEnd w:id="44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41" w:name="_Toc5140"/>
      <w:r>
        <w:rPr>
          <w:rFonts w:ascii="Times New Roman" w:hAnsi="Times New Roman" w:eastAsia="宋体" w:cs="Times New Roman"/>
          <w:sz w:val="24"/>
          <w:highlight w:val="none"/>
        </w:rPr>
        <w:t xml:space="preserve">11. 价格调整</w:t>
      </w:r>
      <w:bookmarkEnd w:id="441"/>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2" w:name="_Toc29886"/>
      <w:r>
        <w:rPr>
          <w:rFonts w:ascii="Times New Roman" w:hAnsi="Times New Roman" w:eastAsia="宋体" w:cs="Times New Roman"/>
          <w:sz w:val="24"/>
          <w:highlight w:val="none"/>
        </w:rPr>
        <w:t xml:space="preserve">11.1 市场价格波动引起的调整</w:t>
      </w:r>
      <w:bookmarkEnd w:id="442"/>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40"/>
      <w:r/>
      <w:bookmarkEnd w:id="341"/>
      <w:r/>
      <w:bookmarkEnd w:id="342"/>
      <w:r/>
      <w:bookmarkEnd w:id="343"/>
      <w:r/>
      <w:bookmarkEnd w:id="344"/>
      <w:r/>
      <w:bookmarkEnd w:id="345"/>
      <w:r/>
      <w:r/>
    </w:p>
    <w:p>
      <w:pPr>
        <w:ind w:firstLine="480"/>
        <w:spacing w:line="312" w:lineRule="auto"/>
        <w:rPr>
          <w:rFonts w:ascii="Times New Roman" w:hAnsi="Times New Roman" w:eastAsia="宋体" w:cs="Times New Roman"/>
          <w:sz w:val="24"/>
          <w:highlight w:val="none"/>
        </w:rPr>
        <w:outlineLvl w:val="3"/>
      </w:pPr>
      <w:r/>
      <w:bookmarkStart w:id="443" w:name="_Toc292559410"/>
      <w:r/>
      <w:bookmarkStart w:id="444" w:name="_Toc292559915"/>
      <w:r/>
      <w:bookmarkStart w:id="445" w:name="_Toc297048391"/>
      <w:r/>
      <w:bookmarkStart w:id="446" w:name="_Toc296891033"/>
      <w:r/>
      <w:bookmarkStart w:id="447" w:name="_Toc296346706"/>
      <w:r/>
      <w:bookmarkStart w:id="448" w:name="_Toc296503205"/>
      <w:r/>
      <w:bookmarkStart w:id="449" w:name="_Toc297120505"/>
      <w:r/>
      <w:bookmarkStart w:id="450" w:name="_Toc296347204"/>
      <w:r/>
      <w:bookmarkStart w:id="451" w:name="_Toc296944544"/>
      <w:r/>
      <w:bookmarkStart w:id="452" w:name="_Toc296891245"/>
      <w:r/>
      <w:bookmarkStart w:id="453" w:name="_Toc312678040"/>
      <w:r/>
      <w:bookmarkStart w:id="454" w:name="_Toc303539159"/>
      <w:r/>
      <w:bookmarkStart w:id="455" w:name="_Toc300935002"/>
      <w:r/>
      <w:bookmarkStart w:id="456" w:name="_Toc304295579"/>
      <w:r/>
      <w:bookmarkStart w:id="457" w:name="_Toc351203644"/>
      <w:r/>
      <w:bookmarkStart w:id="458" w:name="_Toc297216211"/>
      <w:r/>
      <w:bookmarkStart w:id="459" w:name="_Toc5490"/>
      <w:r/>
      <w:bookmarkStart w:id="460" w:name="_Toc297123552"/>
      <w:r>
        <w:rPr>
          <w:rFonts w:ascii="Times New Roman" w:hAnsi="Times New Roman" w:eastAsia="宋体" w:cs="Times New Roman"/>
          <w:sz w:val="24"/>
          <w:highlight w:val="none"/>
        </w:rPr>
        <w:t xml:space="preserve">12. </w:t>
      </w:r>
      <w:bookmarkEnd w:id="443"/>
      <w:r/>
      <w:bookmarkEnd w:id="444"/>
      <w:r/>
      <w:bookmarkEnd w:id="445"/>
      <w:r/>
      <w:bookmarkEnd w:id="446"/>
      <w:r/>
      <w:bookmarkEnd w:id="447"/>
      <w:r/>
      <w:bookmarkEnd w:id="448"/>
      <w:r/>
      <w:bookmarkEnd w:id="449"/>
      <w:r/>
      <w:bookmarkEnd w:id="450"/>
      <w:r/>
      <w:bookmarkEnd w:id="451"/>
      <w:r/>
      <w:bookmarkEnd w:id="452"/>
      <w:r>
        <w:rPr>
          <w:rFonts w:ascii="Times New Roman" w:hAnsi="Times New Roman" w:eastAsia="宋体" w:cs="Times New Roman"/>
          <w:sz w:val="24"/>
          <w:highlight w:val="none"/>
        </w:rPr>
        <w:t xml:space="preserve">合同价格、计量与支付</w:t>
      </w:r>
      <w:bookmarkEnd w:id="453"/>
      <w:r/>
      <w:bookmarkEnd w:id="454"/>
      <w:r/>
      <w:bookmarkEnd w:id="455"/>
      <w:r/>
      <w:bookmarkEnd w:id="456"/>
      <w:r/>
      <w:bookmarkEnd w:id="457"/>
      <w:r/>
      <w:bookmarkEnd w:id="458"/>
      <w:r/>
      <w:bookmarkEnd w:id="459"/>
      <w:r/>
      <w:bookmarkEnd w:id="460"/>
      <w:r/>
      <w:r/>
    </w:p>
    <w:p>
      <w:pPr>
        <w:ind w:firstLine="480"/>
        <w:spacing w:line="312" w:lineRule="auto"/>
        <w:rPr>
          <w:rFonts w:ascii="Times New Roman" w:hAnsi="Times New Roman" w:eastAsia="宋体" w:cs="Times New Roman"/>
          <w:sz w:val="24"/>
          <w:highlight w:val="none"/>
        </w:rPr>
        <w:outlineLvl w:val="4"/>
      </w:pPr>
      <w:r/>
      <w:bookmarkStart w:id="461" w:name="_Toc267251461"/>
      <w:r/>
      <w:bookmarkStart w:id="462" w:name="_Toc292559411"/>
      <w:r/>
      <w:bookmarkStart w:id="463" w:name="_Toc292559916"/>
      <w:r/>
      <w:bookmarkStart w:id="464" w:name="_Toc296891034"/>
      <w:r/>
      <w:bookmarkStart w:id="465" w:name="_Toc296346707"/>
      <w:r/>
      <w:bookmarkStart w:id="466" w:name="_Toc296347205"/>
      <w:r/>
      <w:bookmarkStart w:id="467" w:name="_Toc297120506"/>
      <w:r/>
      <w:bookmarkStart w:id="468" w:name="_Toc296503206"/>
      <w:r/>
      <w:bookmarkStart w:id="469" w:name="_Toc297048392"/>
      <w:r/>
      <w:bookmarkStart w:id="470" w:name="_Toc296944545"/>
      <w:r/>
      <w:bookmarkStart w:id="471" w:name="_Toc296891246"/>
      <w:r/>
      <w:bookmarkStart w:id="472" w:name="_Toc30512"/>
      <w:r/>
      <w:bookmarkStart w:id="473" w:name="_Toc303539160"/>
      <w:r/>
      <w:bookmarkStart w:id="474" w:name="_Toc300935003"/>
      <w:r/>
      <w:bookmarkStart w:id="475" w:name="_Toc312678041"/>
      <w:r/>
      <w:bookmarkStart w:id="476" w:name="_Toc304295580"/>
      <w:r/>
      <w:bookmarkStart w:id="477" w:name="_Toc297123553"/>
      <w:r/>
      <w:bookmarkStart w:id="478" w:name="_Toc297216212"/>
      <w:r>
        <w:rPr>
          <w:rFonts w:ascii="Times New Roman" w:hAnsi="Times New Roman" w:eastAsia="宋体" w:cs="Times New Roman"/>
          <w:sz w:val="24"/>
          <w:highlight w:val="none"/>
        </w:rPr>
        <w:t xml:space="preserve">12.1 合</w:t>
      </w:r>
      <w:bookmarkEnd w:id="461"/>
      <w:r/>
      <w:bookmarkEnd w:id="462"/>
      <w:r/>
      <w:bookmarkEnd w:id="463"/>
      <w:r>
        <w:rPr>
          <w:rFonts w:ascii="Times New Roman" w:hAnsi="Times New Roman" w:eastAsia="宋体" w:cs="Times New Roman"/>
          <w:sz w:val="24"/>
          <w:highlight w:val="none"/>
        </w:rPr>
        <w:t xml:space="preserve">同价</w:t>
      </w:r>
      <w:bookmarkEnd w:id="464"/>
      <w:r/>
      <w:bookmarkEnd w:id="465"/>
      <w:r/>
      <w:bookmarkEnd w:id="466"/>
      <w:r/>
      <w:bookmarkEnd w:id="467"/>
      <w:r/>
      <w:bookmarkEnd w:id="468"/>
      <w:r/>
      <w:bookmarkEnd w:id="469"/>
      <w:r/>
      <w:bookmarkEnd w:id="470"/>
      <w:r/>
      <w:bookmarkEnd w:id="471"/>
      <w:r>
        <w:rPr>
          <w:rFonts w:ascii="Times New Roman" w:hAnsi="Times New Roman" w:eastAsia="宋体" w:cs="Times New Roman"/>
          <w:sz w:val="24"/>
          <w:highlight w:val="none"/>
        </w:rPr>
        <w:t xml:space="preserve">格形式</w:t>
      </w:r>
      <w:bookmarkEnd w:id="472"/>
      <w:r>
        <w:rPr>
          <w:rFonts w:ascii="Times New Roman" w:hAnsi="Times New Roman" w:eastAsia="宋体" w:cs="Times New Roman"/>
          <w:sz w:val="24"/>
          <w:highlight w:val="none"/>
        </w:rPr>
        <w:t xml:space="preserve"> </w:t>
      </w:r>
      <w:bookmarkEnd w:id="473"/>
      <w:r/>
      <w:bookmarkEnd w:id="474"/>
      <w:r/>
      <w:bookmarkEnd w:id="475"/>
      <w:r/>
      <w:bookmarkEnd w:id="476"/>
      <w:r/>
      <w:bookmarkEnd w:id="477"/>
      <w:r/>
      <w:bookmarkEnd w:id="478"/>
      <w:r/>
      <w:r/>
    </w:p>
    <w:p>
      <w:pPr>
        <w:ind w:firstLine="480"/>
        <w:spacing w:line="312" w:lineRule="auto"/>
        <w:rPr>
          <w:rFonts w:ascii="Times New Roman" w:hAnsi="Times New Roman" w:eastAsia="宋体" w:cs="Times New Roman"/>
          <w:sz w:val="24"/>
          <w:highlight w:val="none"/>
        </w:rPr>
        <w:outlineLvl w:val="3"/>
      </w:pPr>
      <w:r/>
      <w:bookmarkStart w:id="479" w:name="_Toc8857"/>
      <w:r>
        <w:rPr>
          <w:rFonts w:ascii="Times New Roman" w:hAnsi="Times New Roman" w:eastAsia="宋体" w:cs="Times New Roman"/>
          <w:sz w:val="24"/>
          <w:highlight w:val="none"/>
        </w:rPr>
        <w:t xml:space="preserve">1、单价合同。</w:t>
      </w:r>
      <w:bookmarkEnd w:id="479"/>
      <w:r/>
      <w:r/>
    </w:p>
    <w:p>
      <w:pPr>
        <w:ind w:firstLine="480"/>
        <w:spacing w:line="312" w:lineRule="auto"/>
        <w:rPr>
          <w:rFonts w:ascii="Times New Roman" w:hAnsi="Times New Roman" w:eastAsia="宋体" w:cs="Times New Roman"/>
          <w:sz w:val="24"/>
          <w:highlight w:val="none"/>
        </w:rPr>
        <w:outlineLvl w:val="4"/>
      </w:pPr>
      <w:r/>
      <w:bookmarkStart w:id="480"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8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hint="eastAsia" w:ascii="Times New Roman" w:hAnsi="Times New Roman" w:eastAsia="宋体" w:cs="Times New Roman"/>
          <w:sz w:val="24"/>
          <w:highlight w:val="none"/>
          <w:u w:val="single"/>
          <w:lang w:eastAsia="zh-CN"/>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rPr>
          <w:rFonts w:hint="eastAsia" w:cs="Times New Roman"/>
          <w:sz w:val="24"/>
          <w:highlight w:val="none"/>
          <w:u w:val="single"/>
          <w:lang w:eastAsia="zh-CN"/>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81" w:name="_Toc17711"/>
      <w:r>
        <w:rPr>
          <w:rFonts w:ascii="Times New Roman" w:hAnsi="Times New Roman" w:eastAsia="宋体" w:cs="Times New Roman"/>
          <w:sz w:val="24"/>
          <w:highlight w:val="none"/>
        </w:rPr>
        <w:t xml:space="preserve">2、总价合同。</w:t>
      </w:r>
      <w:bookmarkEnd w:id="4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82"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82"/>
      <w:r/>
      <w:r/>
    </w:p>
    <w:p>
      <w:pPr>
        <w:ind w:firstLine="480"/>
        <w:spacing w:line="312" w:lineRule="auto"/>
        <w:rPr>
          <w:rFonts w:ascii="Times New Roman" w:hAnsi="Times New Roman" w:eastAsia="宋体" w:cs="Times New Roman"/>
          <w:sz w:val="24"/>
          <w:highlight w:val="none"/>
        </w:rPr>
        <w:outlineLvl w:val="4"/>
      </w:pPr>
      <w:r/>
      <w:bookmarkStart w:id="483" w:name="_Toc312678042"/>
      <w:r/>
      <w:bookmarkStart w:id="484" w:name="_Toc300935004"/>
      <w:r/>
      <w:bookmarkStart w:id="485" w:name="_Toc303539161"/>
      <w:r/>
      <w:bookmarkStart w:id="486" w:name="_Toc297216213"/>
      <w:r/>
      <w:bookmarkStart w:id="487" w:name="_Toc297123554"/>
      <w:r/>
      <w:bookmarkStart w:id="488" w:name="_Toc21165"/>
      <w:r/>
      <w:bookmarkStart w:id="489" w:name="_Toc304295581"/>
      <w:r/>
      <w:bookmarkStart w:id="490" w:name="_Toc296503207"/>
      <w:r/>
      <w:bookmarkStart w:id="491" w:name="_Toc296944546"/>
      <w:r/>
      <w:bookmarkStart w:id="492" w:name="_Toc296891247"/>
      <w:r/>
      <w:bookmarkStart w:id="493" w:name="_Toc292559412"/>
      <w:r/>
      <w:bookmarkStart w:id="494" w:name="_Toc296347206"/>
      <w:r/>
      <w:bookmarkStart w:id="495" w:name="_Toc296891035"/>
      <w:r/>
      <w:bookmarkStart w:id="496" w:name="_Toc297048393"/>
      <w:r/>
      <w:bookmarkStart w:id="497" w:name="_Toc296346708"/>
      <w:r/>
      <w:bookmarkStart w:id="498" w:name="_Toc292559917"/>
      <w:r/>
      <w:bookmarkStart w:id="499" w:name="_Toc297120507"/>
      <w:r>
        <w:rPr>
          <w:rFonts w:ascii="Times New Roman" w:hAnsi="Times New Roman" w:eastAsia="宋体" w:cs="Times New Roman"/>
          <w:sz w:val="24"/>
          <w:highlight w:val="none"/>
        </w:rPr>
        <w:t xml:space="preserve">12.2 预付款</w:t>
      </w:r>
      <w:bookmarkEnd w:id="483"/>
      <w:r/>
      <w:bookmarkEnd w:id="484"/>
      <w:r/>
      <w:bookmarkEnd w:id="485"/>
      <w:r/>
      <w:bookmarkEnd w:id="486"/>
      <w:r/>
      <w:bookmarkEnd w:id="487"/>
      <w:r/>
      <w:bookmarkEnd w:id="488"/>
      <w:r/>
      <w:bookmarkEnd w:id="48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rPr>
        <w:t xml:space="preserve"> </w:t>
      </w:r>
      <w:r>
        <w:rPr>
          <w:rFonts w:hint="eastAsia" w:cs="Times New Roman"/>
          <w:sz w:val="24"/>
          <w:highlight w:val="none"/>
          <w:u w:val="single"/>
          <w:lang w:val="en-US" w:eastAsia="zh-CN"/>
        </w:rPr>
        <w:t xml:space="preserve">合同额的30%</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hint="eastAsia" w:cs="Times New Roman"/>
          <w:sz w:val="24"/>
          <w:highlight w:val="none"/>
          <w:u w:val="single"/>
          <w:lang w:val="en-US" w:eastAsia="zh-CN"/>
        </w:rPr>
        <w:t xml:space="preserve">合同签订后15个工作日内</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w:t>
      </w:r>
      <w:r>
        <w:rPr>
          <w:rFonts w:hint="eastAsia" w:cs="Times New Roman"/>
          <w:sz w:val="24"/>
          <w:highlight w:val="none"/>
          <w:u w:val="single"/>
          <w:lang w:val="en-US" w:eastAsia="zh-CN"/>
        </w:rPr>
        <w:t xml:space="preserve">第二次付款时一次性扣回</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tabs>
          <w:tab w:val="left" w:pos="6047" w:leader="none"/>
        </w:tabs>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rPr>
          <w:rFonts w:hint="eastAsia" w:cs="Times New Roman"/>
          <w:sz w:val="24"/>
          <w:highlight w:val="none"/>
          <w:lang w:eastAsia="zh-CN"/>
        </w:rPr>
        <w:tab/>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90"/>
      <w:r/>
      <w:bookmarkEnd w:id="491"/>
      <w:r/>
      <w:bookmarkEnd w:id="492"/>
      <w:r/>
      <w:bookmarkEnd w:id="493"/>
      <w:r/>
      <w:bookmarkEnd w:id="494"/>
      <w:r/>
      <w:bookmarkEnd w:id="495"/>
      <w:r/>
      <w:bookmarkEnd w:id="496"/>
      <w:r/>
      <w:bookmarkEnd w:id="497"/>
      <w:r/>
      <w:bookmarkEnd w:id="498"/>
      <w:r/>
      <w:bookmarkEnd w:id="499"/>
      <w:r/>
      <w:r/>
    </w:p>
    <w:p>
      <w:pPr>
        <w:ind w:firstLine="480"/>
        <w:spacing w:line="312" w:lineRule="auto"/>
        <w:rPr>
          <w:rFonts w:ascii="Times New Roman" w:hAnsi="Times New Roman" w:eastAsia="宋体" w:cs="Times New Roman"/>
          <w:sz w:val="24"/>
          <w:highlight w:val="none"/>
        </w:rPr>
        <w:outlineLvl w:val="4"/>
      </w:pPr>
      <w:r/>
      <w:bookmarkStart w:id="500" w:name="_Toc19297"/>
      <w:r>
        <w:rPr>
          <w:rFonts w:ascii="Times New Roman" w:hAnsi="Times New Roman" w:eastAsia="宋体" w:cs="Times New Roman"/>
          <w:sz w:val="24"/>
          <w:highlight w:val="none"/>
        </w:rPr>
        <w:t xml:space="preserve">12.3 计量</w:t>
      </w:r>
      <w:bookmarkEnd w:id="5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bookmarkStart w:id="501" w:name="_Toc24762"/>
      <w:r>
        <w:rPr>
          <w:rFonts w:hint="default" w:ascii="Times New Roman" w:hAnsi="Times New Roman" w:eastAsia="宋体" w:cs="Times New Roman"/>
          <w:sz w:val="24"/>
          <w:szCs w:val="24"/>
          <w:highlight w:val="none"/>
          <w:lang w:val="en-US" w:eastAsia="zh-CN" w:bidi="ar-SA"/>
        </w:rPr>
        <w:t xml:space="preserve">12.4 工程进度款支付</w:t>
      </w:r>
      <w:bookmarkEnd w:id="501"/>
      <w:r/>
      <w:r/>
    </w:p>
    <w:p>
      <w:pPr>
        <w:ind w:firstLine="480"/>
        <w:jc w:val="both"/>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w:t>
      </w:r>
      <w:r>
        <w:rPr>
          <w:rFonts w:hint="eastAsia" w:ascii="宋体" w:hAnsi="宋体" w:eastAsia="宋体" w:cs="宋体"/>
          <w:b/>
          <w:bCs/>
          <w:sz w:val="24"/>
          <w:szCs w:val="24"/>
          <w:highlight w:val="none"/>
          <w:lang w:val="en-US" w:eastAsia="zh-CN" w:bidi="ar-SA"/>
        </w:rPr>
        <w:t xml:space="preserve">付款周期</w:t>
      </w:r>
      <w:r/>
    </w:p>
    <w:p>
      <w:pPr>
        <w:numPr>
          <w:ilvl w:val="0"/>
          <w:numId w:val="0"/>
        </w:numPr>
        <w:ind w:firstLine="480"/>
        <w:jc w:val="both"/>
        <w:spacing w:line="360" w:lineRule="auto"/>
        <w:widowControl w:val="off"/>
        <w:rPr>
          <w:rFonts w:hint="default" w:ascii="Times New Roman" w:hAnsi="Times New Roman" w:eastAsia="宋体" w:cs="Times New Roman"/>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关于付款周期的约定：</w:t>
      </w:r>
      <w:r>
        <w:rPr>
          <w:rFonts w:hint="eastAsia" w:ascii="宋体" w:hAnsi="宋体" w:cs="宋体"/>
          <w:b/>
          <w:bCs/>
          <w:sz w:val="24"/>
          <w:szCs w:val="24"/>
          <w:highlight w:val="none"/>
          <w:lang w:val="en-US" w:eastAsia="zh-CN" w:bidi="ar-SA"/>
        </w:rPr>
        <w:t xml:space="preserve">合同签订后15个工作日内支付合同额30%的预付款，</w:t>
      </w:r>
      <w:r>
        <w:rPr>
          <w:rFonts w:hint="eastAsia" w:ascii="宋体" w:hAnsi="宋体" w:eastAsia="宋体" w:cs="Times New Roman"/>
          <w:b/>
          <w:bCs/>
          <w:color w:val="000000"/>
          <w:sz w:val="24"/>
          <w:szCs w:val="24"/>
          <w:highlight w:val="none"/>
          <w:u w:val="single"/>
          <w:lang w:val="en-US" w:eastAsia="zh-CN" w:bidi="ar-SA"/>
        </w:rPr>
        <w:t xml:space="preserve">工程</w:t>
      </w:r>
      <w:r>
        <w:rPr>
          <w:rFonts w:hint="eastAsia" w:ascii="宋体" w:hAnsi="宋体" w:cs="Times New Roman"/>
          <w:b/>
          <w:bCs/>
          <w:color w:val="000000"/>
          <w:sz w:val="24"/>
          <w:szCs w:val="24"/>
          <w:highlight w:val="none"/>
          <w:u w:val="single"/>
          <w:lang w:val="en-US" w:eastAsia="zh-CN" w:bidi="ar-SA"/>
        </w:rPr>
        <w:t xml:space="preserve">竣工验收</w:t>
      </w:r>
      <w:r>
        <w:rPr>
          <w:rFonts w:hint="eastAsia" w:ascii="宋体" w:hAnsi="宋体" w:eastAsia="宋体" w:cs="Times New Roman"/>
          <w:b/>
          <w:bCs/>
          <w:color w:val="000000"/>
          <w:sz w:val="24"/>
          <w:szCs w:val="24"/>
          <w:highlight w:val="none"/>
          <w:u w:val="single"/>
          <w:lang w:val="en-US" w:eastAsia="zh-CN" w:bidi="ar-SA"/>
        </w:rPr>
        <w:t xml:space="preserve">，</w:t>
      </w:r>
      <w:r>
        <w:rPr>
          <w:rFonts w:hint="eastAsia" w:ascii="宋体" w:hAnsi="宋体" w:cs="Times New Roman"/>
          <w:b/>
          <w:bCs/>
          <w:color w:val="000000"/>
          <w:sz w:val="24"/>
          <w:szCs w:val="24"/>
          <w:highlight w:val="none"/>
          <w:u w:val="single"/>
          <w:lang w:val="en-US" w:eastAsia="zh-CN" w:bidi="ar-SA"/>
        </w:rPr>
        <w:t xml:space="preserve">并网试运营成功</w:t>
      </w:r>
      <w:r>
        <w:rPr>
          <w:rFonts w:hint="eastAsia" w:ascii="宋体" w:hAnsi="宋体" w:eastAsia="宋体" w:cs="Times New Roman"/>
          <w:b/>
          <w:bCs/>
          <w:color w:val="000000"/>
          <w:sz w:val="24"/>
          <w:szCs w:val="24"/>
          <w:highlight w:val="none"/>
          <w:u w:val="single"/>
          <w:lang w:val="en-US" w:eastAsia="zh-CN" w:bidi="ar-SA"/>
        </w:rPr>
        <w:t xml:space="preserve">，工程审计完成且</w:t>
      </w:r>
      <w:r>
        <w:rPr>
          <w:rFonts w:hint="eastAsia" w:ascii="宋体" w:hAnsi="宋体" w:cs="Times New Roman"/>
          <w:b/>
          <w:bCs/>
          <w:color w:val="000000"/>
          <w:sz w:val="24"/>
          <w:szCs w:val="24"/>
          <w:highlight w:val="none"/>
          <w:u w:val="single"/>
          <w:lang w:val="en-US" w:eastAsia="zh-CN" w:bidi="ar-SA"/>
        </w:rPr>
        <w:t xml:space="preserve">上级资金</w:t>
      </w:r>
      <w:r>
        <w:rPr>
          <w:rFonts w:hint="eastAsia" w:ascii="宋体" w:hAnsi="宋体" w:eastAsia="宋体" w:cs="Times New Roman"/>
          <w:b/>
          <w:bCs/>
          <w:color w:val="000000"/>
          <w:sz w:val="24"/>
          <w:szCs w:val="24"/>
          <w:highlight w:val="none"/>
          <w:u w:val="single"/>
          <w:lang w:val="en-US" w:eastAsia="zh-CN" w:bidi="ar-SA"/>
        </w:rPr>
        <w:t xml:space="preserve">拨付到位后支付</w:t>
      </w:r>
      <w:r>
        <w:rPr>
          <w:rFonts w:hint="eastAsia" w:ascii="宋体" w:hAnsi="宋体" w:cs="Times New Roman"/>
          <w:b/>
          <w:bCs/>
          <w:color w:val="000000"/>
          <w:sz w:val="24"/>
          <w:szCs w:val="24"/>
          <w:highlight w:val="none"/>
          <w:u w:val="single"/>
          <w:lang w:val="en-US" w:eastAsia="zh-CN" w:bidi="ar-SA"/>
        </w:rPr>
        <w:t xml:space="preserve">至</w:t>
      </w:r>
      <w:r>
        <w:rPr>
          <w:rFonts w:hint="eastAsia" w:ascii="宋体" w:hAnsi="宋体" w:eastAsia="宋体" w:cs="Times New Roman"/>
          <w:b/>
          <w:bCs/>
          <w:color w:val="000000"/>
          <w:sz w:val="24"/>
          <w:szCs w:val="24"/>
          <w:highlight w:val="none"/>
          <w:u w:val="single"/>
          <w:lang w:val="en-US" w:eastAsia="zh-CN" w:bidi="ar-SA"/>
        </w:rPr>
        <w:t xml:space="preserve">审计价款的97%；竣工验收合格后的第三年付至审计价。</w:t>
      </w:r>
      <w:r/>
    </w:p>
    <w:p>
      <w:pPr>
        <w:numPr>
          <w:ilvl w:val="0"/>
          <w:numId w:val="0"/>
        </w:num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cs="Times New Roman"/>
          <w:b w:val="0"/>
          <w:bCs w:val="0"/>
          <w:color w:val="000000"/>
          <w:sz w:val="24"/>
          <w:szCs w:val="24"/>
          <w:highlight w:val="none"/>
          <w:u w:val="single"/>
          <w:lang w:val="en-US" w:eastAsia="zh-CN" w:bidi="ar-SA"/>
        </w:rPr>
        <w:t xml:space="preserve">注：</w:t>
      </w:r>
      <w:r>
        <w:rPr>
          <w:rFonts w:hint="eastAsia" w:ascii="宋体" w:hAnsi="宋体" w:eastAsia="宋体" w:cs="Times New Roman"/>
          <w:b w:val="0"/>
          <w:bCs w:val="0"/>
          <w:color w:val="000000"/>
          <w:sz w:val="24"/>
          <w:szCs w:val="24"/>
          <w:highlight w:val="none"/>
          <w:u w:val="single"/>
          <w:lang w:val="en-US" w:eastAsia="zh-CN" w:bidi="ar-SA"/>
        </w:rPr>
        <w:t xml:space="preserve">申请付款时</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eastAsia="宋体" w:cs="Times New Roman"/>
          <w:b w:val="0"/>
          <w:bCs w:val="0"/>
          <w:color w:val="000000"/>
          <w:sz w:val="24"/>
          <w:szCs w:val="24"/>
          <w:highlight w:val="none"/>
          <w:u w:val="single"/>
          <w:lang w:val="en-US" w:eastAsia="zh-CN" w:bidi="ar-SA"/>
        </w:rPr>
        <w:t xml:space="preserve">乙方应提供同等金额的增值税发票。</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502" w:name="_Toc297120511"/>
      <w:r/>
      <w:bookmarkStart w:id="503" w:name="_Toc296347210"/>
      <w:r/>
      <w:bookmarkStart w:id="504" w:name="_Toc296346712"/>
      <w:r/>
      <w:bookmarkStart w:id="505" w:name="_Toc303539163"/>
      <w:r/>
      <w:bookmarkStart w:id="506" w:name="_Toc300935006"/>
      <w:r/>
      <w:bookmarkStart w:id="507" w:name="_Toc296503211"/>
      <w:r/>
      <w:bookmarkStart w:id="508" w:name="_Toc297123556"/>
      <w:r/>
      <w:bookmarkStart w:id="509" w:name="_Toc296944550"/>
      <w:r/>
      <w:bookmarkStart w:id="510" w:name="_Toc297048397"/>
      <w:r/>
      <w:bookmarkStart w:id="511" w:name="_Toc296891251"/>
      <w:r/>
      <w:bookmarkStart w:id="512" w:name="_Toc292559416"/>
      <w:r/>
      <w:bookmarkStart w:id="513" w:name="_Toc296891039"/>
      <w:r/>
      <w:bookmarkStart w:id="514" w:name="_Toc292559921"/>
      <w:r/>
      <w:bookmarkStart w:id="515" w:name="_Toc297216215"/>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16"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1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46"/>
      <w:r/>
      <w:bookmarkStart w:id="517" w:name="_Toc296503219"/>
      <w:r/>
      <w:bookmarkStart w:id="518" w:name="_Toc292559929"/>
      <w:r/>
      <w:bookmarkStart w:id="519" w:name="_Toc296891259"/>
      <w:r/>
      <w:bookmarkStart w:id="520" w:name="_Toc296347218"/>
      <w:r/>
      <w:bookmarkStart w:id="521" w:name="_Toc304295593"/>
      <w:r/>
      <w:bookmarkStart w:id="522" w:name="_Toc297048405"/>
      <w:r/>
      <w:bookmarkStart w:id="523" w:name="_Toc297123564"/>
      <w:r/>
      <w:bookmarkStart w:id="524" w:name="_Toc300935015"/>
      <w:r/>
      <w:bookmarkStart w:id="525" w:name="_Toc292559424"/>
      <w:r/>
      <w:bookmarkStart w:id="526" w:name="_Toc297120519"/>
      <w:r/>
      <w:bookmarkStart w:id="527" w:name="_Toc296346720"/>
      <w:r/>
      <w:bookmarkStart w:id="528" w:name="_Toc296944558"/>
      <w:r/>
      <w:bookmarkStart w:id="529" w:name="_Toc351203645"/>
      <w:r/>
      <w:bookmarkStart w:id="530" w:name="_Toc312678053"/>
      <w:r/>
      <w:bookmarkStart w:id="531" w:name="_Toc297216223"/>
      <w:r/>
      <w:bookmarkStart w:id="532" w:name="_Toc296891047"/>
      <w:r/>
      <w:bookmarkStart w:id="533" w:name="_Toc303539172"/>
      <w:r/>
      <w:r/>
    </w:p>
    <w:p>
      <w:pPr>
        <w:ind w:firstLine="480"/>
        <w:spacing w:line="312" w:lineRule="auto"/>
        <w:rPr>
          <w:rFonts w:ascii="Times New Roman" w:hAnsi="Times New Roman" w:eastAsia="宋体" w:cs="Times New Roman"/>
          <w:sz w:val="24"/>
          <w:highlight w:val="none"/>
        </w:rPr>
        <w:outlineLvl w:val="3"/>
      </w:pPr>
      <w:r/>
      <w:bookmarkStart w:id="534" w:name="_Toc2331"/>
      <w:r>
        <w:rPr>
          <w:rFonts w:ascii="Times New Roman" w:hAnsi="Times New Roman" w:eastAsia="宋体" w:cs="Times New Roman"/>
          <w:sz w:val="24"/>
          <w:highlight w:val="none"/>
        </w:rPr>
        <w:t xml:space="preserve">13. 验收和工程试车</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firstLine="480"/>
        <w:spacing w:line="312" w:lineRule="auto"/>
        <w:rPr>
          <w:rFonts w:ascii="Times New Roman" w:hAnsi="Times New Roman" w:eastAsia="宋体" w:cs="Times New Roman"/>
          <w:sz w:val="24"/>
          <w:highlight w:val="none"/>
        </w:rPr>
        <w:outlineLvl w:val="4"/>
      </w:pPr>
      <w:r/>
      <w:bookmarkStart w:id="535" w:name="_Toc32174"/>
      <w:r>
        <w:rPr>
          <w:rFonts w:ascii="Times New Roman" w:hAnsi="Times New Roman" w:eastAsia="宋体" w:cs="Times New Roman"/>
          <w:sz w:val="24"/>
          <w:highlight w:val="none"/>
        </w:rPr>
        <w:t xml:space="preserve">13.1 分部分项工程验收</w:t>
      </w:r>
      <w:bookmarkEnd w:id="53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36" w:name="_Toc297216224"/>
      <w:r/>
      <w:bookmarkStart w:id="537" w:name="_Toc303539173"/>
      <w:r/>
      <w:bookmarkStart w:id="538" w:name="_Toc292559933"/>
      <w:r/>
      <w:bookmarkStart w:id="539" w:name="_Toc296346724"/>
      <w:r/>
      <w:bookmarkStart w:id="540" w:name="_Toc304295596"/>
      <w:r/>
      <w:bookmarkStart w:id="541" w:name="_Toc297048409"/>
      <w:r/>
      <w:bookmarkStart w:id="542" w:name="_Toc296944562"/>
      <w:r/>
      <w:bookmarkStart w:id="543" w:name="_Toc312678056"/>
      <w:r/>
      <w:bookmarkStart w:id="544" w:name="_Toc300935016"/>
      <w:r/>
      <w:bookmarkStart w:id="545" w:name="_Toc296347222"/>
      <w:r/>
      <w:bookmarkStart w:id="546" w:name="_Toc296891263"/>
      <w:r/>
      <w:bookmarkStart w:id="547" w:name="_Toc25170"/>
      <w:r/>
      <w:bookmarkStart w:id="548" w:name="_Toc296891051"/>
      <w:r/>
      <w:bookmarkStart w:id="549" w:name="_Toc297120523"/>
      <w:r/>
      <w:bookmarkStart w:id="550" w:name="_Toc296503223"/>
      <w:r/>
      <w:bookmarkStart w:id="551" w:name="_Toc292559428"/>
      <w:r/>
      <w:bookmarkStart w:id="552" w:name="_Toc297123565"/>
      <w:r/>
      <w:bookmarkStart w:id="553" w:name="_Toc267251471"/>
      <w:r/>
      <w:bookmarkStart w:id="554" w:name="_Toc267251473"/>
      <w:r/>
      <w:bookmarkStart w:id="555" w:name="_Toc267251470"/>
      <w:r/>
      <w:bookmarkStart w:id="556" w:name="_Toc267251476"/>
      <w:r/>
      <w:bookmarkStart w:id="557" w:name="_Toc267251472"/>
      <w:r/>
      <w:bookmarkStart w:id="558" w:name="_Toc267251474"/>
      <w:r/>
      <w:bookmarkStart w:id="559" w:name="_Toc267251475"/>
      <w:r>
        <w:rPr>
          <w:rFonts w:ascii="Times New Roman" w:hAnsi="Times New Roman" w:eastAsia="宋体" w:cs="Times New Roman"/>
          <w:sz w:val="24"/>
          <w:highlight w:val="none"/>
        </w:rPr>
        <w:t xml:space="preserve">13.2 竣工验收</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spacing w:line="312" w:lineRule="auto"/>
        <w:rPr>
          <w:rFonts w:ascii="Times New Roman" w:hAnsi="Times New Roman" w:eastAsia="宋体" w:cs="Times New Roman"/>
          <w:sz w:val="24"/>
          <w:highlight w:val="none"/>
        </w:rPr>
        <w:outlineLvl w:val="5"/>
      </w:pPr>
      <w:r/>
      <w:bookmarkStart w:id="560" w:name="_Toc280868704"/>
      <w:r/>
      <w:bookmarkStart w:id="561" w:name="_Toc280868705"/>
      <w:r/>
      <w:bookmarkStart w:id="562" w:name="_Toc280868706"/>
      <w:r/>
      <w:bookmarkStart w:id="563" w:name="_Toc280868707"/>
      <w:r/>
      <w:bookmarkStart w:id="564" w:name="_Toc280868708"/>
      <w:r/>
      <w:bookmarkStart w:id="565" w:name="_Toc280868709"/>
      <w:r>
        <w:rPr>
          <w:rFonts w:ascii="Times New Roman" w:hAnsi="Times New Roman" w:eastAsia="宋体" w:cs="Times New Roman"/>
          <w:sz w:val="24"/>
          <w:highlight w:val="none"/>
        </w:rPr>
        <w:t xml:space="preserve">13.2.2竣工验收程序</w:t>
      </w:r>
      <w:bookmarkEnd w:id="56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6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6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66" w:name="_Toc31292"/>
      <w:r>
        <w:rPr>
          <w:rFonts w:ascii="Times New Roman" w:hAnsi="Times New Roman" w:eastAsia="宋体" w:cs="Times New Roman"/>
          <w:sz w:val="24"/>
          <w:highlight w:val="none"/>
        </w:rPr>
        <w:t xml:space="preserve">13.3 工程试车</w:t>
      </w:r>
      <w:bookmarkEnd w:id="564"/>
      <w:r/>
      <w:bookmarkEnd w:id="5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67" w:name="_Toc31280"/>
      <w:r>
        <w:rPr>
          <w:rFonts w:ascii="Times New Roman" w:hAnsi="Times New Roman" w:eastAsia="宋体" w:cs="Times New Roman"/>
          <w:sz w:val="24"/>
          <w:highlight w:val="none"/>
        </w:rPr>
        <w:t xml:space="preserve">13.6 竣工退场</w:t>
      </w:r>
      <w:bookmarkEnd w:id="5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68" w:name="_Toc351203646"/>
      <w:r/>
      <w:bookmarkStart w:id="569" w:name="_Toc6061"/>
      <w:r>
        <w:rPr>
          <w:rFonts w:ascii="Times New Roman" w:hAnsi="Times New Roman" w:eastAsia="宋体" w:cs="Times New Roman"/>
          <w:sz w:val="24"/>
          <w:highlight w:val="none"/>
        </w:rPr>
        <w:t xml:space="preserve">14. 竣工结算</w:t>
      </w:r>
      <w:bookmarkEnd w:id="568"/>
      <w:r/>
      <w:bookmarkEnd w:id="569"/>
      <w:r/>
      <w:r/>
    </w:p>
    <w:p>
      <w:pPr>
        <w:ind w:firstLine="480"/>
        <w:spacing w:line="312" w:lineRule="auto"/>
        <w:rPr>
          <w:rFonts w:ascii="Times New Roman" w:hAnsi="Times New Roman" w:eastAsia="宋体" w:cs="Times New Roman"/>
          <w:sz w:val="24"/>
          <w:highlight w:val="none"/>
        </w:rPr>
        <w:outlineLvl w:val="4"/>
      </w:pPr>
      <w:r/>
      <w:bookmarkStart w:id="570" w:name="_Toc18906"/>
      <w:r>
        <w:rPr>
          <w:rFonts w:ascii="Times New Roman" w:hAnsi="Times New Roman" w:eastAsia="宋体" w:cs="Times New Roman"/>
          <w:sz w:val="24"/>
          <w:highlight w:val="none"/>
        </w:rPr>
        <w:t xml:space="preserve">14.1 竣工结算申请</w:t>
      </w:r>
      <w:bookmarkEnd w:id="57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1" w:name="_Toc11093"/>
      <w:r>
        <w:rPr>
          <w:rFonts w:ascii="Times New Roman" w:hAnsi="Times New Roman" w:eastAsia="宋体" w:cs="Times New Roman"/>
          <w:sz w:val="24"/>
          <w:highlight w:val="none"/>
        </w:rPr>
        <w:t xml:space="preserve">14.2 竣工结算审核</w:t>
      </w:r>
      <w:bookmarkEnd w:id="57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2" w:name="_Toc5908"/>
      <w:r>
        <w:rPr>
          <w:rFonts w:ascii="Times New Roman" w:hAnsi="Times New Roman" w:eastAsia="宋体" w:cs="Times New Roman"/>
          <w:sz w:val="24"/>
          <w:highlight w:val="none"/>
        </w:rPr>
        <w:t xml:space="preserve">14.4 最终结清</w:t>
      </w:r>
      <w:bookmarkEnd w:id="57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53"/>
      <w:r/>
      <w:bookmarkEnd w:id="554"/>
      <w:r/>
      <w:bookmarkEnd w:id="555"/>
      <w:r/>
      <w:bookmarkEnd w:id="556"/>
      <w:r/>
      <w:bookmarkEnd w:id="557"/>
      <w:r/>
      <w:bookmarkEnd w:id="558"/>
      <w:r/>
      <w:bookmarkEnd w:id="559"/>
      <w:r/>
      <w:bookmarkEnd w:id="565"/>
      <w:r/>
      <w:r/>
    </w:p>
    <w:p>
      <w:pPr>
        <w:ind w:firstLine="480"/>
        <w:spacing w:line="312" w:lineRule="auto"/>
        <w:rPr>
          <w:rFonts w:ascii="Times New Roman" w:hAnsi="Times New Roman" w:eastAsia="宋体" w:cs="Times New Roman"/>
          <w:sz w:val="24"/>
          <w:highlight w:val="none"/>
        </w:rPr>
        <w:outlineLvl w:val="3"/>
      </w:pPr>
      <w:r/>
      <w:bookmarkStart w:id="573" w:name="_Toc351203647"/>
      <w:r/>
      <w:bookmarkStart w:id="574" w:name="_Toc31417"/>
      <w:r/>
      <w:bookmarkStart w:id="575" w:name="_Toc267251483"/>
      <w:r/>
      <w:bookmarkStart w:id="576" w:name="_Toc267251484"/>
      <w:r/>
      <w:bookmarkStart w:id="577" w:name="_Toc267251482"/>
      <w:r/>
      <w:bookmarkStart w:id="578" w:name="_Toc267251485"/>
      <w:r/>
      <w:bookmarkStart w:id="579" w:name="_Toc267251486"/>
      <w:r/>
      <w:bookmarkStart w:id="580" w:name="_Toc267251490"/>
      <w:r/>
      <w:bookmarkStart w:id="581" w:name="_Toc267251489"/>
      <w:r/>
      <w:bookmarkStart w:id="582" w:name="_Toc267251488"/>
      <w:r/>
      <w:bookmarkStart w:id="583" w:name="_Toc267251501"/>
      <w:r/>
      <w:bookmarkStart w:id="584" w:name="_Toc267251497"/>
      <w:r/>
      <w:bookmarkStart w:id="585" w:name="_Toc267251492"/>
      <w:r/>
      <w:bookmarkStart w:id="586" w:name="_Toc267251494"/>
      <w:r/>
      <w:bookmarkStart w:id="587" w:name="_Toc267251493"/>
      <w:r/>
      <w:bookmarkStart w:id="588" w:name="_Toc267251499"/>
      <w:r/>
      <w:bookmarkStart w:id="589" w:name="_Toc267251495"/>
      <w:r/>
      <w:bookmarkStart w:id="590" w:name="_Toc267251491"/>
      <w:r/>
      <w:bookmarkStart w:id="591" w:name="_Toc267251502"/>
      <w:r/>
      <w:bookmarkStart w:id="592" w:name="_Toc267251498"/>
      <w:r/>
      <w:bookmarkStart w:id="593" w:name="_Toc267251496"/>
      <w:r/>
      <w:bookmarkStart w:id="594" w:name="_Toc267251503"/>
      <w:r/>
      <w:bookmarkStart w:id="595" w:name="_Toc267251504"/>
      <w:r/>
      <w:bookmarkStart w:id="596" w:name="_Toc267251506"/>
      <w:r/>
      <w:bookmarkStart w:id="597" w:name="_Toc267251507"/>
      <w:r/>
      <w:bookmarkStart w:id="598" w:name="_Toc267251508"/>
      <w:r/>
      <w:bookmarkStart w:id="599" w:name="_Toc267251514"/>
      <w:r/>
      <w:bookmarkStart w:id="600" w:name="_Toc267251515"/>
      <w:r/>
      <w:bookmarkStart w:id="601" w:name="_Toc267251513"/>
      <w:r/>
      <w:bookmarkStart w:id="602" w:name="_Toc267251509"/>
      <w:r/>
      <w:bookmarkStart w:id="603" w:name="_Toc267251510"/>
      <w:r/>
      <w:bookmarkStart w:id="604" w:name="_Toc267251511"/>
      <w:r>
        <w:rPr>
          <w:rFonts w:ascii="Times New Roman" w:hAnsi="Times New Roman" w:eastAsia="宋体" w:cs="Times New Roman"/>
          <w:sz w:val="24"/>
          <w:highlight w:val="none"/>
        </w:rPr>
        <w:t xml:space="preserve">15. 缺陷责任期与保修</w:t>
      </w:r>
      <w:bookmarkEnd w:id="573"/>
      <w:r/>
      <w:bookmarkEnd w:id="574"/>
      <w:r/>
      <w:r/>
    </w:p>
    <w:p>
      <w:pPr>
        <w:ind w:firstLine="480"/>
        <w:spacing w:line="312" w:lineRule="auto"/>
        <w:rPr>
          <w:rFonts w:ascii="Times New Roman" w:hAnsi="Times New Roman" w:eastAsia="宋体" w:cs="Times New Roman"/>
          <w:sz w:val="24"/>
          <w:highlight w:val="none"/>
        </w:rPr>
        <w:outlineLvl w:val="4"/>
      </w:pPr>
      <w:r/>
      <w:bookmarkStart w:id="605" w:name="_Toc5329"/>
      <w:r>
        <w:rPr>
          <w:rFonts w:ascii="Times New Roman" w:hAnsi="Times New Roman" w:eastAsia="宋体" w:cs="Times New Roman"/>
          <w:sz w:val="24"/>
          <w:highlight w:val="none"/>
        </w:rPr>
        <w:t xml:space="preserve">15.2缺陷责任期</w:t>
      </w:r>
      <w:bookmarkEnd w:id="575"/>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bookmarkEnd w:id="576"/>
      <w:r/>
      <w:bookmarkEnd w:id="577"/>
      <w:r/>
      <w:r/>
    </w:p>
    <w:p>
      <w:pPr>
        <w:ind w:firstLine="480"/>
        <w:spacing w:line="312" w:lineRule="auto"/>
        <w:rPr>
          <w:rFonts w:ascii="Times New Roman" w:hAnsi="Times New Roman" w:eastAsia="宋体" w:cs="Times New Roman"/>
          <w:sz w:val="24"/>
          <w:highlight w:val="none"/>
        </w:rPr>
        <w:outlineLvl w:val="4"/>
      </w:pPr>
      <w:r/>
      <w:bookmarkStart w:id="606" w:name="_Toc25946"/>
      <w:r>
        <w:rPr>
          <w:rFonts w:ascii="Times New Roman" w:hAnsi="Times New Roman" w:eastAsia="宋体" w:cs="Times New Roman"/>
          <w:sz w:val="24"/>
          <w:highlight w:val="none"/>
        </w:rPr>
        <w:t xml:space="preserve">15.4保修</w:t>
      </w:r>
      <w:bookmarkEnd w:id="578"/>
      <w:r/>
      <w:bookmarkEnd w:id="60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79"/>
      <w:r/>
      <w:bookmarkEnd w:id="580"/>
      <w:r/>
      <w:bookmarkEnd w:id="581"/>
      <w:r/>
      <w:bookmarkEnd w:id="582"/>
      <w:r/>
      <w:r/>
    </w:p>
    <w:p>
      <w:pPr>
        <w:ind w:firstLine="480"/>
        <w:spacing w:line="312" w:lineRule="auto"/>
        <w:rPr>
          <w:rFonts w:ascii="Times New Roman" w:hAnsi="Times New Roman" w:eastAsia="宋体" w:cs="Times New Roman"/>
          <w:sz w:val="24"/>
          <w:highlight w:val="none"/>
        </w:rPr>
        <w:outlineLvl w:val="3"/>
      </w:pPr>
      <w:r/>
      <w:bookmarkStart w:id="607" w:name="_Toc19432"/>
      <w:r/>
      <w:bookmarkStart w:id="608" w:name="_Toc351203648"/>
      <w:r/>
      <w:bookmarkStart w:id="609" w:name="_Toc280868717"/>
      <w:r/>
      <w:bookmarkStart w:id="610" w:name="_Toc280868718"/>
      <w:r>
        <w:rPr>
          <w:rFonts w:ascii="Times New Roman" w:hAnsi="Times New Roman" w:eastAsia="宋体" w:cs="Times New Roman"/>
          <w:sz w:val="24"/>
          <w:highlight w:val="none"/>
        </w:rPr>
        <w:t xml:space="preserve">16. 违约</w:t>
      </w:r>
      <w:bookmarkEnd w:id="607"/>
      <w:r/>
      <w:bookmarkEnd w:id="608"/>
      <w:r/>
      <w:r/>
    </w:p>
    <w:p>
      <w:pPr>
        <w:ind w:firstLine="480"/>
        <w:spacing w:line="312" w:lineRule="auto"/>
        <w:rPr>
          <w:rFonts w:ascii="Times New Roman" w:hAnsi="Times New Roman" w:eastAsia="宋体" w:cs="Times New Roman"/>
          <w:sz w:val="24"/>
          <w:highlight w:val="none"/>
        </w:rPr>
        <w:outlineLvl w:val="4"/>
      </w:pPr>
      <w:r/>
      <w:bookmarkStart w:id="611" w:name="_Toc29316"/>
      <w:r>
        <w:rPr>
          <w:rFonts w:ascii="Times New Roman" w:hAnsi="Times New Roman" w:eastAsia="宋体" w:cs="Times New Roman"/>
          <w:sz w:val="24"/>
          <w:highlight w:val="none"/>
        </w:rPr>
        <w:t xml:space="preserve">16.1 发包人违约</w:t>
      </w:r>
      <w:bookmarkEnd w:id="61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612" w:name="_Toc28106"/>
      <w:r>
        <w:rPr>
          <w:rFonts w:ascii="Times New Roman" w:hAnsi="Times New Roman" w:eastAsia="宋体" w:cs="Times New Roman"/>
          <w:sz w:val="24"/>
          <w:highlight w:val="none"/>
        </w:rPr>
        <w:t xml:space="preserve">16.2 承包人违约</w:t>
      </w:r>
      <w:bookmarkEnd w:id="61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613" w:name="_Toc351203649"/>
      <w:r/>
      <w:r/>
    </w:p>
    <w:p>
      <w:pPr>
        <w:ind w:firstLine="480"/>
        <w:spacing w:line="312" w:lineRule="auto"/>
        <w:rPr>
          <w:rFonts w:ascii="Times New Roman" w:hAnsi="Times New Roman" w:eastAsia="宋体" w:cs="Times New Roman"/>
          <w:sz w:val="24"/>
          <w:highlight w:val="none"/>
        </w:rPr>
        <w:outlineLvl w:val="3"/>
      </w:pPr>
      <w:r/>
      <w:bookmarkStart w:id="614" w:name="_Toc29909"/>
      <w:r>
        <w:rPr>
          <w:rFonts w:ascii="Times New Roman" w:hAnsi="Times New Roman" w:eastAsia="宋体" w:cs="Times New Roman"/>
          <w:sz w:val="24"/>
          <w:highlight w:val="none"/>
        </w:rPr>
        <w:t xml:space="preserve">17. 不可抗力</w:t>
      </w:r>
      <w:bookmarkEnd w:id="613"/>
      <w:r/>
      <w:bookmarkEnd w:id="614"/>
      <w:r>
        <w:rPr>
          <w:rFonts w:ascii="Times New Roman" w:hAnsi="Times New Roman" w:eastAsia="宋体" w:cs="Times New Roman"/>
          <w:sz w:val="24"/>
          <w:highlight w:val="none"/>
        </w:rPr>
        <w:t xml:space="preserve"> </w:t>
      </w:r>
      <w:bookmarkEnd w:id="609"/>
      <w:r/>
      <w:r/>
    </w:p>
    <w:p>
      <w:pPr>
        <w:ind w:firstLine="480"/>
        <w:spacing w:line="312" w:lineRule="auto"/>
        <w:rPr>
          <w:rFonts w:ascii="Times New Roman" w:hAnsi="Times New Roman" w:eastAsia="宋体" w:cs="Times New Roman"/>
          <w:sz w:val="24"/>
          <w:highlight w:val="none"/>
        </w:rPr>
        <w:outlineLvl w:val="4"/>
      </w:pPr>
      <w:r/>
      <w:bookmarkStart w:id="615" w:name="_Toc25231"/>
      <w:r>
        <w:rPr>
          <w:rFonts w:ascii="Times New Roman" w:hAnsi="Times New Roman" w:eastAsia="宋体" w:cs="Times New Roman"/>
          <w:sz w:val="24"/>
          <w:highlight w:val="none"/>
        </w:rPr>
        <w:t xml:space="preserve">17.1 不可抗力的确认</w:t>
      </w:r>
      <w:bookmarkEnd w:id="61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16" w:name="_Toc2178"/>
      <w:r>
        <w:rPr>
          <w:rFonts w:ascii="Times New Roman" w:hAnsi="Times New Roman" w:eastAsia="宋体" w:cs="Times New Roman"/>
          <w:sz w:val="24"/>
          <w:highlight w:val="none"/>
        </w:rPr>
        <w:t xml:space="preserve">17.4 因不可抗力解除合同</w:t>
      </w:r>
      <w:bookmarkEnd w:id="61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17" w:name="_Toc351203650"/>
      <w:r/>
      <w:bookmarkStart w:id="618" w:name="_Toc8755"/>
      <w:r>
        <w:rPr>
          <w:rFonts w:ascii="Times New Roman" w:hAnsi="Times New Roman" w:eastAsia="宋体" w:cs="Times New Roman"/>
          <w:sz w:val="24"/>
          <w:highlight w:val="none"/>
        </w:rPr>
        <w:t xml:space="preserve">18. 保险</w:t>
      </w:r>
      <w:bookmarkEnd w:id="610"/>
      <w:r/>
      <w:bookmarkEnd w:id="617"/>
      <w:r/>
      <w:bookmarkEnd w:id="618"/>
      <w:r/>
      <w:r/>
    </w:p>
    <w:p>
      <w:pPr>
        <w:ind w:firstLine="480"/>
        <w:spacing w:line="312" w:lineRule="auto"/>
        <w:rPr>
          <w:rFonts w:ascii="Times New Roman" w:hAnsi="Times New Roman" w:eastAsia="宋体" w:cs="Times New Roman"/>
          <w:sz w:val="24"/>
          <w:highlight w:val="none"/>
        </w:rPr>
        <w:outlineLvl w:val="4"/>
      </w:pPr>
      <w:r/>
      <w:bookmarkStart w:id="619" w:name="_Toc26541"/>
      <w:r>
        <w:rPr>
          <w:rFonts w:ascii="Times New Roman" w:hAnsi="Times New Roman" w:eastAsia="宋体" w:cs="Times New Roman"/>
          <w:sz w:val="24"/>
          <w:highlight w:val="none"/>
        </w:rPr>
        <w:t xml:space="preserve">18.1 工程保险</w:t>
      </w:r>
      <w:bookmarkEnd w:id="6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20" w:name="_Toc8"/>
      <w:r>
        <w:rPr>
          <w:rFonts w:ascii="Times New Roman" w:hAnsi="Times New Roman" w:eastAsia="宋体" w:cs="Times New Roman"/>
          <w:sz w:val="24"/>
          <w:highlight w:val="none"/>
        </w:rPr>
        <w:t xml:space="preserve">18.3 其他保险</w:t>
      </w:r>
      <w:bookmarkEnd w:id="6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ind w:firstLine="480"/>
        <w:spacing w:line="312" w:lineRule="auto"/>
        <w:rPr>
          <w:rFonts w:ascii="Times New Roman" w:hAnsi="Times New Roman" w:eastAsia="宋体" w:cs="Times New Roman"/>
          <w:sz w:val="24"/>
          <w:highlight w:val="none"/>
        </w:rPr>
        <w:outlineLvl w:val="3"/>
      </w:pPr>
      <w:r/>
      <w:bookmarkStart w:id="621" w:name="_Toc23377"/>
      <w:r/>
      <w:bookmarkStart w:id="622" w:name="_Toc351203651"/>
      <w:r>
        <w:rPr>
          <w:rFonts w:ascii="Times New Roman" w:hAnsi="Times New Roman" w:eastAsia="宋体" w:cs="Times New Roman"/>
          <w:sz w:val="24"/>
          <w:highlight w:val="none"/>
        </w:rPr>
        <w:t xml:space="preserve">20. 争议解决</w:t>
      </w:r>
      <w:bookmarkEnd w:id="595"/>
      <w:r/>
      <w:bookmarkEnd w:id="596"/>
      <w:r/>
      <w:bookmarkEnd w:id="621"/>
      <w:r/>
      <w:bookmarkEnd w:id="622"/>
      <w:r/>
      <w:r/>
    </w:p>
    <w:p>
      <w:pPr>
        <w:ind w:firstLine="480"/>
        <w:spacing w:line="312" w:lineRule="auto"/>
        <w:rPr>
          <w:rFonts w:ascii="Times New Roman" w:hAnsi="Times New Roman" w:eastAsia="宋体" w:cs="Times New Roman"/>
          <w:sz w:val="24"/>
          <w:highlight w:val="none"/>
        </w:rPr>
        <w:outlineLvl w:val="4"/>
      </w:pPr>
      <w:r/>
      <w:bookmarkStart w:id="623" w:name="_Toc93"/>
      <w:r>
        <w:rPr>
          <w:rFonts w:ascii="Times New Roman" w:hAnsi="Times New Roman" w:eastAsia="宋体" w:cs="Times New Roman"/>
          <w:sz w:val="24"/>
          <w:highlight w:val="none"/>
        </w:rPr>
        <w:t xml:space="preserve">20.3 争</w:t>
      </w:r>
      <w:bookmarkEnd w:id="597"/>
      <w:r>
        <w:rPr>
          <w:rFonts w:ascii="Times New Roman" w:hAnsi="Times New Roman" w:eastAsia="宋体" w:cs="Times New Roman"/>
          <w:sz w:val="24"/>
          <w:highlight w:val="none"/>
        </w:rPr>
        <w:t xml:space="preserve">议评审</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24" w:name="_Toc16563"/>
      <w:r>
        <w:rPr>
          <w:rFonts w:ascii="Times New Roman" w:hAnsi="Times New Roman" w:eastAsia="宋体" w:cs="Times New Roman"/>
          <w:sz w:val="24"/>
          <w:highlight w:val="none"/>
        </w:rPr>
        <w:t xml:space="preserve">20.4仲裁或诉讼</w:t>
      </w:r>
      <w:bookmarkEnd w:id="598"/>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99"/>
      <w:r/>
      <w:bookmarkEnd w:id="600"/>
      <w:r/>
      <w:bookmarkEnd w:id="601"/>
      <w:r/>
      <w:bookmarkEnd w:id="602"/>
      <w:r/>
      <w:bookmarkEnd w:id="603"/>
      <w:r/>
      <w:bookmarkEnd w:id="604"/>
      <w:r/>
      <w:r/>
    </w:p>
    <w:p>
      <w:pPr>
        <w:ind w:firstLine="480"/>
        <w:spacing w:line="312" w:lineRule="auto"/>
        <w:rPr>
          <w:rFonts w:ascii="Times New Roman" w:hAnsi="Times New Roman" w:eastAsia="宋体" w:cs="Times New Roman"/>
          <w:sz w:val="24"/>
          <w:highlight w:val="none"/>
        </w:rPr>
        <w:outlineLvl w:val="9"/>
      </w:pPr>
      <w:r/>
      <w:bookmarkStart w:id="625" w:name="_Toc13490"/>
      <w:r>
        <w:rPr>
          <w:rFonts w:ascii="Times New Roman" w:hAnsi="Times New Roman" w:eastAsia="宋体" w:cs="Times New Roman"/>
          <w:sz w:val="24"/>
          <w:highlight w:val="none"/>
        </w:rPr>
        <w:t xml:space="preserve">21.补充条款</w:t>
      </w:r>
      <w:bookmarkEnd w:id="625"/>
      <w:r/>
      <w:r/>
    </w:p>
    <w:p>
      <w:pPr>
        <w:ind w:firstLine="816"/>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26"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886"/>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both"/>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27" w:name="_Toc296944565"/>
      <w:r/>
      <w:bookmarkStart w:id="628" w:name="_Toc267261693"/>
      <w:r/>
      <w:bookmarkStart w:id="629" w:name="_Toc296347225"/>
      <w:r/>
      <w:bookmarkStart w:id="630" w:name="_Toc296891266"/>
      <w:r/>
      <w:bookmarkStart w:id="631" w:name="_Toc296346727"/>
      <w:r/>
      <w:bookmarkStart w:id="632" w:name="_Toc296891054"/>
      <w:r/>
      <w:bookmarkStart w:id="633" w:name="_Toc296503226"/>
      <w:r>
        <w:rPr>
          <w:rFonts w:ascii="宋体" w:hAnsi="宋体"/>
          <w:b/>
          <w:bCs/>
          <w:color w:val="auto"/>
          <w:sz w:val="24"/>
          <w:szCs w:val="24"/>
          <w:highlight w:val="none"/>
        </w:rPr>
        <w:t xml:space="preserve">件1：</w:t>
      </w:r>
      <w:bookmarkEnd w:id="627"/>
      <w:r/>
      <w:bookmarkEnd w:id="628"/>
      <w:r/>
      <w:bookmarkEnd w:id="629"/>
      <w:r/>
      <w:bookmarkEnd w:id="630"/>
      <w:r/>
      <w:bookmarkEnd w:id="631"/>
      <w:r/>
      <w:bookmarkEnd w:id="632"/>
      <w:r/>
      <w:bookmarkEnd w:id="633"/>
      <w:r>
        <w:rPr>
          <w:rFonts w:ascii="宋体" w:hAnsi="宋体"/>
          <w:b/>
          <w:bCs/>
          <w:color w:val="auto"/>
          <w:sz w:val="24"/>
          <w:szCs w:val="24"/>
          <w:highlight w:val="none"/>
        </w:rPr>
        <w:t xml:space="preserve">   </w:t>
      </w:r>
      <w:r/>
    </w:p>
    <w:p>
      <w:pPr>
        <w:jc w:val="center"/>
        <w:spacing w:line="400" w:lineRule="exact"/>
        <w:rPr>
          <w:rFonts w:ascii="宋体" w:hAnsi="宋体"/>
          <w:b/>
          <w:bCs/>
          <w:color w:val="auto"/>
          <w:sz w:val="24"/>
          <w:szCs w:val="24"/>
          <w:highlight w:val="none"/>
        </w:rPr>
      </w:pP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keepLines w:val="0"/>
        <w:keepNext w:val="0"/>
        <w:pageBreakBefore w:val="0"/>
        <w:spacing w:line="360" w:lineRule="auto"/>
        <w:rPr>
          <w:rFonts w:hint="eastAsia" w:ascii="Times New Roman" w:hAnsi="Times New Roman" w:eastAsia="宋体" w:cs="Times New Roman"/>
          <w:sz w:val="24"/>
          <w:highlight w:val="none"/>
          <w:lang w:eastAsia="zh-CN"/>
        </w:rPr>
      </w:pPr>
      <w:r/>
      <w:bookmarkStart w:id="634" w:name="_Toc2094516902"/>
      <w:r/>
      <w:bookmarkStart w:id="635" w:name="_Toc184263479"/>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丰县梁寨镇人民政府</w:t>
      </w:r>
      <w:r/>
    </w:p>
    <w:p>
      <w:pPr>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2026年丰县梁寨镇大棚建设与光伏设备安装工程</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36" w:name="_Toc6727"/>
      <w:r>
        <w:rPr>
          <w:rFonts w:ascii="Times New Roman" w:hAnsi="Times New Roman" w:eastAsia="宋体" w:cs="Times New Roman"/>
          <w:sz w:val="24"/>
          <w:highlight w:val="none"/>
        </w:rPr>
        <w:t xml:space="preserve">一、工程质量保修范围和内容</w:t>
      </w:r>
      <w:bookmarkEnd w:id="636"/>
      <w:r/>
      <w:r/>
    </w:p>
    <w:p>
      <w:pPr>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37" w:name="_Toc27634"/>
      <w:r>
        <w:rPr>
          <w:rFonts w:ascii="Times New Roman" w:hAnsi="Times New Roman" w:eastAsia="宋体" w:cs="Times New Roman"/>
          <w:sz w:val="24"/>
          <w:highlight w:val="none"/>
        </w:rPr>
        <w:t xml:space="preserve">二、质量保修期</w:t>
      </w:r>
      <w:bookmarkEnd w:id="637"/>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38" w:name="_Toc5690"/>
      <w:r>
        <w:rPr>
          <w:rFonts w:ascii="Times New Roman" w:hAnsi="Times New Roman" w:eastAsia="宋体" w:cs="Times New Roman"/>
          <w:sz w:val="24"/>
          <w:highlight w:val="none"/>
        </w:rPr>
        <w:t xml:space="preserve">三、缺陷责任期</w:t>
      </w:r>
      <w:bookmarkEnd w:id="638"/>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39" w:name="_Toc30267"/>
      <w:r>
        <w:rPr>
          <w:rFonts w:ascii="Times New Roman" w:hAnsi="Times New Roman" w:eastAsia="宋体" w:cs="Times New Roman"/>
          <w:sz w:val="24"/>
          <w:highlight w:val="none"/>
        </w:rPr>
        <w:t xml:space="preserve">四、质量保修责任</w:t>
      </w:r>
      <w:bookmarkEnd w:id="639"/>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40"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40"/>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41" w:name="_Toc13702"/>
      <w:r>
        <w:rPr>
          <w:rFonts w:ascii="Times New Roman" w:hAnsi="Times New Roman" w:eastAsia="宋体" w:cs="Times New Roman"/>
          <w:sz w:val="24"/>
          <w:highlight w:val="none"/>
        </w:rPr>
        <w:t xml:space="preserve">五、保修费用</w:t>
      </w:r>
      <w:bookmarkEnd w:id="641"/>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keepLines w:val="0"/>
        <w:keepNext w:val="0"/>
        <w:pageBreakBefore w:val="0"/>
        <w:spacing w:line="360" w:lineRule="auto"/>
        <w:rPr>
          <w:rFonts w:ascii="Times New Roman" w:hAnsi="Times New Roman" w:eastAsia="宋体" w:cs="Times New Roman"/>
          <w:sz w:val="24"/>
          <w:highlight w:val="none"/>
        </w:rPr>
        <w:outlineLvl w:val="9"/>
      </w:pPr>
      <w:r/>
      <w:bookmarkStart w:id="642" w:name="_Toc11033"/>
      <w:r>
        <w:rPr>
          <w:rFonts w:ascii="Times New Roman" w:hAnsi="Times New Roman" w:eastAsia="宋体" w:cs="Times New Roman"/>
          <w:sz w:val="24"/>
          <w:highlight w:val="none"/>
        </w:rPr>
        <w:t xml:space="preserve">六、双方约定的其他工程质量保修事项：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642"/>
      <w:r/>
      <w:r/>
    </w:p>
    <w:p>
      <w:pPr>
        <w:ind w:firstLine="480"/>
        <w:keepLines w:val="0"/>
        <w:keepNext w:val="0"/>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ind w:firstLine="480"/>
        <w:keepLines w:val="0"/>
        <w:keepNext w:val="0"/>
        <w:pageBreakBefore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jc w:val="both"/>
        <w:keepLines w:val="0"/>
        <w:keepNext w:val="0"/>
        <w:pageBreakBefore w:val="0"/>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w:t>
      </w:r>
      <w:r>
        <w:rPr>
          <w:rFonts w:hint="eastAsia" w:ascii="宋体" w:hAnsi="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承包人：（公章）</w:t>
      </w:r>
      <w:r/>
    </w:p>
    <w:p>
      <w:pPr>
        <w:jc w:val="both"/>
        <w:keepLines w:val="0"/>
        <w:keepNext w:val="0"/>
        <w:pageBreakBefore w:val="0"/>
        <w:spacing w:line="360" w:lineRule="auto"/>
        <w:widowControl w:val="off"/>
        <w:rPr>
          <w:rFonts w:hint="default" w:ascii="宋体" w:hAnsi="宋体" w:eastAsia="宋体" w:cs="Times New Roman"/>
          <w:sz w:val="24"/>
          <w:szCs w:val="24"/>
          <w:highlight w:val="none"/>
          <w:lang w:val="en-US" w:eastAsia="zh-CN"/>
          <w14:ligatures w14:val="none"/>
        </w:rPr>
      </w:pPr>
      <w:r>
        <w:rPr>
          <w:rFonts w:hint="default" w:ascii="宋体" w:hAnsi="宋体" w:eastAsia="宋体" w:cs="Times New Roman"/>
          <w:sz w:val="24"/>
          <w:szCs w:val="24"/>
          <w:highlight w:val="none"/>
          <w14:ligatures w14:val="none"/>
        </w:rPr>
        <w:t xml:space="preserve">法定代表人</w:t>
      </w:r>
      <w:r>
        <w:rPr>
          <w:rFonts w:hint="eastAsia" w:ascii="宋体" w:hAnsi="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p>
    <w:p>
      <w:pPr>
        <w:jc w:val="both"/>
        <w:keepLines w:val="0"/>
        <w:keepNext w:val="0"/>
        <w:pageBreakBefore w:val="0"/>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或其委托代理人（签字）：     </w:t>
      </w:r>
      <w:r>
        <w:rPr>
          <w:rFonts w:hint="eastAsia" w:ascii="宋体" w:hAnsi="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或其委托代理人（签字）：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r>
      <w:bookmarkEnd w:id="634"/>
      <w:r/>
      <w:bookmarkEnd w:id="635"/>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43" w:name="_Toc296503227"/>
      <w:r/>
      <w:bookmarkStart w:id="644" w:name="_Toc296891055"/>
      <w:r/>
      <w:bookmarkStart w:id="645" w:name="_Toc296347226"/>
      <w:r/>
      <w:bookmarkStart w:id="646" w:name="_Toc267261698"/>
      <w:r/>
      <w:bookmarkStart w:id="647" w:name="_Toc296944566"/>
      <w:r/>
      <w:bookmarkStart w:id="648" w:name="_Toc296346728"/>
      <w:r/>
      <w:bookmarkStart w:id="649" w:name="_Toc29689126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43"/>
      <w:r/>
      <w:bookmarkEnd w:id="644"/>
      <w:r/>
      <w:bookmarkEnd w:id="645"/>
      <w:r/>
      <w:bookmarkEnd w:id="646"/>
      <w:r/>
      <w:bookmarkEnd w:id="647"/>
      <w:r/>
      <w:bookmarkEnd w:id="648"/>
      <w:r/>
      <w:bookmarkEnd w:id="649"/>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87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0" w:name="_Toc296891268"/>
      <w:r/>
      <w:bookmarkStart w:id="651" w:name="_Toc296347227"/>
      <w:r/>
      <w:bookmarkStart w:id="652" w:name="_Toc296503228"/>
      <w:r/>
      <w:bookmarkStart w:id="653" w:name="_Toc296346729"/>
      <w:r/>
      <w:bookmarkStart w:id="654" w:name="_Toc296891056"/>
      <w:r/>
      <w:bookmarkStart w:id="655" w:name="_Toc296944567"/>
      <w:r/>
      <w:bookmarkStart w:id="656" w:name="_Toc267261699"/>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50"/>
      <w:r/>
      <w:bookmarkEnd w:id="651"/>
      <w:r/>
      <w:bookmarkEnd w:id="652"/>
      <w:r/>
      <w:bookmarkEnd w:id="653"/>
      <w:r/>
      <w:bookmarkEnd w:id="654"/>
      <w:r/>
      <w:bookmarkEnd w:id="655"/>
      <w:r/>
      <w:bookmarkEnd w:id="656"/>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87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86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160"/>
          <w:rFonts w:ascii="宋体" w:hAnsi="宋体"/>
          <w:sz w:val="24"/>
          <w:highlight w:val="none"/>
        </w:rPr>
      </w:pPr>
      <w:r>
        <w:rPr>
          <w:rStyle w:val="1160"/>
          <w:rFonts w:ascii="宋体" w:hAnsi="宋体"/>
          <w:sz w:val="24"/>
          <w:highlight w:val="none"/>
        </w:rPr>
        <w:t xml:space="preserve">致</w:t>
      </w:r>
      <w:r>
        <w:rPr>
          <w:rStyle w:val="1160"/>
          <w:rFonts w:hint="eastAsia" w:ascii="宋体" w:hAnsi="宋体"/>
          <w:sz w:val="24"/>
          <w:highlight w:val="none"/>
          <w:u w:val="single"/>
          <w:lang w:eastAsia="zh-CN"/>
        </w:rPr>
        <w:t xml:space="preserve">丰县梁寨镇人民政府</w:t>
      </w:r>
      <w:r>
        <w:rPr>
          <w:rStyle w:val="1160"/>
          <w:rFonts w:ascii="宋体" w:hAnsi="宋体"/>
          <w:sz w:val="24"/>
          <w:highlight w:val="none"/>
        </w:rPr>
        <w:t xml:space="preserve">：</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根据贵方《</w:t>
      </w:r>
      <w:r>
        <w:rPr>
          <w:rStyle w:val="1160"/>
          <w:rFonts w:ascii="宋体" w:hAnsi="宋体" w:cs="宋体"/>
          <w:bCs/>
          <w:sz w:val="24"/>
          <w:highlight w:val="none"/>
        </w:rPr>
        <w:t xml:space="preserve">磋商文件</w:t>
      </w: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rPr>
          <w:rStyle w:val="1160"/>
          <w:rFonts w:ascii="宋体" w:hAnsi="宋体"/>
          <w:sz w:val="24"/>
          <w:highlight w:val="none"/>
        </w:rPr>
        <w:t xml:space="preserve">]要求，本供应商正式提交以下首次响应文件。</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160"/>
          <w:rFonts w:ascii="宋体" w:hAnsi="宋体"/>
          <w:sz w:val="24"/>
          <w:highlight w:val="none"/>
        </w:rPr>
        <w:t xml:space="preserve">（1）承诺书；</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（2）磋商报价表；</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（3）偏离表；</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（4）磋商</w:t>
      </w:r>
      <w:r>
        <w:rPr>
          <w:rStyle w:val="1160"/>
          <w:rFonts w:ascii="宋体" w:hAnsi="宋体" w:cs="宋体"/>
          <w:bCs/>
          <w:sz w:val="24"/>
          <w:highlight w:val="none"/>
        </w:rPr>
        <w:t xml:space="preserve">文件</w:t>
      </w:r>
      <w:r>
        <w:rPr>
          <w:rStyle w:val="1160"/>
          <w:rFonts w:ascii="宋体" w:hAnsi="宋体"/>
          <w:sz w:val="24"/>
          <w:highlight w:val="none"/>
        </w:rPr>
        <w:t xml:space="preserve">要求提供的其他响应文件。</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我单位符合《中华人民共和国政府采购法》第二十二条的规定，符合本项目供应商资格要求。</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ascii="宋体" w:hAnsi="宋体"/>
          <w:sz w:val="24"/>
          <w:highlight w:val="none"/>
        </w:rPr>
        <w:t xml:space="preserve">我单位按照磋商文件的要求编制响应文件，并对其提交的响应文件的真实性、合法性承担法律责任。</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eastAsia="宋体" w:cs="Times New Roman"/>
          <w:sz w:val="24"/>
          <w:highlight w:val="none"/>
        </w:rPr>
      </w:pPr>
      <w:r>
        <w:rPr>
          <w:rStyle w:val="1160"/>
          <w:rFonts w:ascii="宋体" w:hAnsi="宋体" w:eastAsia="宋体" w:cs="Times New Roman"/>
          <w:sz w:val="24"/>
          <w:highlight w:val="none"/>
        </w:rPr>
        <w:t xml:space="preserve">供应商兹宣布同意如下: </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eastAsia="宋体" w:cs="Times New Roman"/>
          <w:sz w:val="24"/>
          <w:highlight w:val="none"/>
        </w:rPr>
      </w:pPr>
      <w:r>
        <w:rPr>
          <w:rStyle w:val="116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16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160"/>
          <w:rFonts w:hint="eastAsia" w:ascii="宋体" w:hAnsi="宋体" w:eastAsia="宋体" w:cs="Times New Roman"/>
          <w:sz w:val="24"/>
          <w:highlight w:val="none"/>
          <w:lang w:val="en-US" w:eastAsia="zh-CN"/>
        </w:rPr>
        <w:t xml:space="preserve">1.</w:t>
      </w:r>
      <w:r>
        <w:rPr>
          <w:rStyle w:val="1160"/>
          <w:rFonts w:ascii="宋体" w:hAnsi="宋体" w:eastAsia="宋体" w:cs="Times New Roman"/>
          <w:sz w:val="24"/>
          <w:highlight w:val="none"/>
        </w:rPr>
        <w:t xml:space="preserve">完全承担根据《磋商文件》规定完成合同的责任和义务（如有偏离，将全部填写在偏离表中）。</w:t>
      </w:r>
      <w:r/>
    </w:p>
    <w:p>
      <w:pPr>
        <w:pStyle w:val="903"/>
        <w:ind w:firstLine="480"/>
        <w:spacing w:line="380" w:lineRule="exact"/>
        <w:tabs>
          <w:tab w:val="center" w:pos="4153" w:leader="none"/>
          <w:tab w:val="clear" w:pos="7143" w:leader="none"/>
          <w:tab w:val="right" w:pos="8306" w:leader="none"/>
          <w:tab w:val="clear" w:pos="14287" w:leader="none"/>
        </w:tabs>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160"/>
          <w:rFonts w:ascii="宋体" w:hAnsi="宋体"/>
          <w:sz w:val="24"/>
          <w:highlight w:val="none"/>
        </w:rPr>
        <w:t xml:space="preserve">保证所提供的响应文件及所有材料的真实、合法、有效，并对其负责。</w:t>
      </w:r>
      <w:r/>
    </w:p>
    <w:p>
      <w:pPr>
        <w:ind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3.</w:t>
      </w:r>
      <w:r>
        <w:rPr>
          <w:rStyle w:val="1160"/>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4.</w:t>
      </w:r>
      <w:r>
        <w:rPr>
          <w:rStyle w:val="1160"/>
          <w:rFonts w:ascii="宋体" w:hAnsi="宋体"/>
          <w:sz w:val="24"/>
          <w:highlight w:val="none"/>
        </w:rPr>
        <w:t xml:space="preserve">所供货物保证符合国家有关产品质量、性能和安全标准，无权利瑕疵。</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5.</w:t>
      </w:r>
      <w:r>
        <w:rPr>
          <w:rStyle w:val="1160"/>
          <w:rFonts w:ascii="宋体" w:hAnsi="宋体"/>
          <w:sz w:val="24"/>
          <w:highlight w:val="none"/>
        </w:rPr>
        <w:t xml:space="preserve">报价有效期为</w:t>
      </w:r>
      <w:r>
        <w:rPr>
          <w:rStyle w:val="1160"/>
          <w:rFonts w:hint="eastAsia" w:ascii="宋体" w:hAnsi="宋体"/>
          <w:sz w:val="24"/>
          <w:highlight w:val="none"/>
          <w:lang w:val="en-US" w:eastAsia="zh-CN"/>
        </w:rPr>
        <w:t xml:space="preserve">9</w:t>
      </w:r>
      <w:r>
        <w:rPr>
          <w:rStyle w:val="1160"/>
          <w:rFonts w:ascii="宋体" w:hAnsi="宋体"/>
          <w:sz w:val="24"/>
          <w:highlight w:val="none"/>
        </w:rPr>
        <w:t xml:space="preserve">0个工作日。</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6.</w:t>
      </w:r>
      <w:r>
        <w:rPr>
          <w:rStyle w:val="1160"/>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7.</w:t>
      </w:r>
      <w:r>
        <w:rPr>
          <w:rStyle w:val="1160"/>
          <w:rFonts w:ascii="宋体" w:hAnsi="宋体"/>
          <w:sz w:val="24"/>
          <w:highlight w:val="none"/>
        </w:rPr>
        <w:t xml:space="preserve">完全理解贵方不一定要接受最低的报价或收到的任何报价。</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8.</w:t>
      </w:r>
      <w:r>
        <w:rPr>
          <w:rStyle w:val="1160"/>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160"/>
          <w:rFonts w:ascii="宋体" w:hAnsi="宋体"/>
          <w:sz w:val="24"/>
          <w:highlight w:val="none"/>
        </w:rPr>
        <w:t xml:space="preserve">，按照磋商文件的有关规定支付招标代理服务费。</w:t>
      </w:r>
      <w:r/>
    </w:p>
    <w:p>
      <w:pPr>
        <w:ind w:right="29" w:firstLine="480"/>
        <w:spacing w:line="380" w:lineRule="exact"/>
        <w:rPr>
          <w:rStyle w:val="1160"/>
          <w:rFonts w:ascii="宋体" w:hAnsi="宋体"/>
          <w:sz w:val="24"/>
          <w:highlight w:val="none"/>
        </w:rPr>
      </w:pPr>
      <w:r>
        <w:rPr>
          <w:rStyle w:val="1160"/>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883"/>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73"/>
        <w:rPr>
          <w:rStyle w:val="1160"/>
          <w:rFonts w:hint="default" w:eastAsia="宋体"/>
          <w:highlight w:val="none"/>
          <w:lang w:val="en-US" w:eastAsia="zh-CN"/>
        </w:rPr>
      </w:pPr>
      <w:r>
        <w:rPr>
          <w:rFonts w:hint="default" w:eastAsia="宋体"/>
          <w:highlight w:val="none"/>
          <w:lang w:val="en-US" w:eastAsia="zh-CN"/>
        </w:rPr>
      </w:r>
      <w:r/>
    </w:p>
    <w:p>
      <w:pPr>
        <w:pStyle w:val="878"/>
        <w:rPr>
          <w:rStyle w:val="1160"/>
          <w:highlight w:val="none"/>
        </w:rPr>
      </w:pPr>
      <w:r>
        <w:rPr>
          <w:highlight w:val="none"/>
        </w:rPr>
      </w:r>
      <w:r/>
    </w:p>
    <w:p>
      <w:pPr>
        <w:pStyle w:val="883"/>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83"/>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883"/>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160"/>
          <w:rFonts w:ascii="宋体" w:hAnsi="宋体"/>
          <w:sz w:val="24"/>
          <w:highlight w:val="none"/>
        </w:rPr>
      </w:pPr>
      <w:r>
        <w:rPr>
          <w:rStyle w:val="1160"/>
          <w:rFonts w:ascii="宋体" w:hAnsi="宋体"/>
          <w:sz w:val="24"/>
          <w:highlight w:val="none"/>
        </w:rPr>
        <w:t xml:space="preserve">委托人（全称）：</w:t>
      </w:r>
      <w:r/>
    </w:p>
    <w:p>
      <w:pPr>
        <w:spacing w:line="380" w:lineRule="exact"/>
        <w:rPr>
          <w:rStyle w:val="1160"/>
          <w:rFonts w:ascii="宋体" w:hAnsi="宋体"/>
          <w:sz w:val="24"/>
          <w:highlight w:val="none"/>
        </w:rPr>
      </w:pPr>
      <w:r>
        <w:rPr>
          <w:rStyle w:val="1160"/>
          <w:rFonts w:ascii="宋体" w:hAnsi="宋体"/>
          <w:sz w:val="24"/>
          <w:highlight w:val="none"/>
        </w:rPr>
        <w:t xml:space="preserve">地址：</w:t>
      </w:r>
      <w:r/>
    </w:p>
    <w:p>
      <w:pPr>
        <w:spacing w:line="380" w:lineRule="exact"/>
        <w:rPr>
          <w:rStyle w:val="1160"/>
          <w:rFonts w:ascii="宋体" w:hAnsi="宋体"/>
          <w:sz w:val="24"/>
          <w:highlight w:val="none"/>
        </w:rPr>
      </w:pPr>
      <w:r>
        <w:rPr>
          <w:rStyle w:val="1160"/>
          <w:rFonts w:ascii="宋体" w:hAnsi="宋体"/>
          <w:sz w:val="24"/>
          <w:highlight w:val="none"/>
        </w:rPr>
        <w:t xml:space="preserve">法定代表人</w:t>
      </w:r>
      <w:r>
        <w:rPr>
          <w:rStyle w:val="1160"/>
          <w:rFonts w:hint="eastAsia" w:ascii="宋体" w:hAnsi="宋体"/>
          <w:sz w:val="24"/>
          <w:highlight w:val="none"/>
          <w:lang w:eastAsia="zh-CN"/>
        </w:rPr>
        <w:t xml:space="preserve">（</w:t>
      </w:r>
      <w:r>
        <w:rPr>
          <w:rStyle w:val="1160"/>
          <w:rFonts w:hint="eastAsia" w:ascii="宋体" w:hAnsi="宋体"/>
          <w:sz w:val="24"/>
          <w:highlight w:val="none"/>
          <w:lang w:val="en-US" w:eastAsia="zh-CN"/>
        </w:rPr>
        <w:t xml:space="preserve">负责人</w:t>
      </w:r>
      <w:r>
        <w:rPr>
          <w:rStyle w:val="1160"/>
          <w:rFonts w:hint="eastAsia" w:ascii="宋体" w:hAnsi="宋体"/>
          <w:sz w:val="24"/>
          <w:highlight w:val="none"/>
          <w:lang w:eastAsia="zh-CN"/>
        </w:rPr>
        <w:t xml:space="preserve">）</w:t>
      </w:r>
      <w:r>
        <w:rPr>
          <w:rStyle w:val="1160"/>
          <w:rFonts w:ascii="宋体" w:hAnsi="宋体"/>
          <w:sz w:val="24"/>
          <w:highlight w:val="none"/>
        </w:rPr>
        <w:t xml:space="preserve">：</w:t>
      </w:r>
      <w:r/>
    </w:p>
    <w:p>
      <w:pPr>
        <w:spacing w:line="380" w:lineRule="exact"/>
        <w:rPr>
          <w:rStyle w:val="1160"/>
          <w:rFonts w:ascii="宋体" w:hAnsi="宋体"/>
          <w:sz w:val="24"/>
          <w:highlight w:val="none"/>
        </w:rPr>
      </w:pPr>
      <w:r>
        <w:rPr>
          <w:rStyle w:val="1160"/>
          <w:rFonts w:ascii="宋体" w:hAnsi="宋体"/>
          <w:sz w:val="24"/>
          <w:highlight w:val="none"/>
        </w:rPr>
        <w:t xml:space="preserve">统一社会信用代码：</w:t>
      </w:r>
      <w:r/>
    </w:p>
    <w:p>
      <w:pPr>
        <w:spacing w:line="380" w:lineRule="exact"/>
        <w:rPr>
          <w:rStyle w:val="1160"/>
          <w:rFonts w:ascii="宋体" w:hAnsi="宋体"/>
          <w:sz w:val="24"/>
          <w:highlight w:val="none"/>
        </w:rPr>
      </w:pPr>
      <w:r>
        <w:rPr>
          <w:rFonts w:ascii="宋体" w:hAnsi="宋体"/>
          <w:sz w:val="24"/>
          <w:highlight w:val="none"/>
        </w:rPr>
      </w:r>
      <w:r/>
    </w:p>
    <w:p>
      <w:pPr>
        <w:spacing w:line="380" w:lineRule="exact"/>
        <w:rPr>
          <w:rStyle w:val="1160"/>
          <w:rFonts w:ascii="宋体" w:hAnsi="宋体"/>
          <w:sz w:val="24"/>
          <w:highlight w:val="none"/>
        </w:rPr>
      </w:pPr>
      <w:r>
        <w:rPr>
          <w:rStyle w:val="1160"/>
          <w:rFonts w:ascii="宋体" w:hAnsi="宋体"/>
          <w:sz w:val="24"/>
          <w:highlight w:val="none"/>
        </w:rPr>
        <w:t xml:space="preserve">受托人：</w:t>
      </w:r>
      <w:r>
        <w:rPr>
          <w:rStyle w:val="1160"/>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160"/>
          <w:rFonts w:ascii="宋体" w:hAnsi="宋体"/>
          <w:sz w:val="24"/>
          <w:highlight w:val="none"/>
        </w:rPr>
      </w:pPr>
      <w:r>
        <w:rPr>
          <w:rStyle w:val="1160"/>
          <w:rFonts w:ascii="宋体" w:hAnsi="宋体"/>
          <w:sz w:val="24"/>
          <w:highlight w:val="none"/>
        </w:rPr>
        <w:t xml:space="preserve">身份证号：</w:t>
      </w:r>
      <w:r/>
    </w:p>
    <w:p>
      <w:pPr>
        <w:spacing w:line="380" w:lineRule="exact"/>
        <w:rPr>
          <w:rStyle w:val="1160"/>
          <w:rFonts w:hint="default" w:ascii="宋体" w:hAnsi="宋体"/>
          <w:sz w:val="24"/>
          <w:highlight w:val="none"/>
          <w:lang w:val="en-US" w:eastAsia="zh-CN"/>
        </w:rPr>
      </w:pPr>
      <w:r>
        <w:rPr>
          <w:rStyle w:val="1160"/>
          <w:rFonts w:hint="eastAsia" w:ascii="宋体" w:hAnsi="宋体"/>
          <w:sz w:val="24"/>
          <w:highlight w:val="none"/>
          <w:lang w:val="en-US" w:eastAsia="zh-CN"/>
        </w:rPr>
        <w:t xml:space="preserve">联系电话：</w:t>
      </w:r>
      <w:r/>
    </w:p>
    <w:p>
      <w:pPr>
        <w:jc w:val="center"/>
        <w:spacing w:line="380" w:lineRule="exact"/>
        <w:rPr>
          <w:rStyle w:val="1160"/>
          <w:rFonts w:ascii="宋体" w:hAnsi="宋体"/>
          <w:sz w:val="24"/>
          <w:highlight w:val="none"/>
        </w:rPr>
      </w:pPr>
      <w:r>
        <w:rPr>
          <w:rFonts w:ascii="宋体" w:hAnsi="宋体"/>
          <w:sz w:val="24"/>
          <w:highlight w:val="none"/>
        </w:rPr>
      </w:r>
      <w:r/>
    </w:p>
    <w:p>
      <w:pPr>
        <w:spacing w:line="380" w:lineRule="exact"/>
        <w:rPr>
          <w:rStyle w:val="1160"/>
          <w:rFonts w:ascii="宋体" w:hAnsi="宋体"/>
          <w:sz w:val="24"/>
          <w:highlight w:val="none"/>
        </w:rPr>
      </w:pPr>
      <w:r>
        <w:rPr>
          <w:rFonts w:ascii="宋体" w:hAnsi="宋体"/>
          <w:sz w:val="24"/>
          <w:highlight w:val="none"/>
        </w:rPr>
      </w:r>
      <w:r/>
    </w:p>
    <w:p>
      <w:pPr>
        <w:ind w:firstLine="525"/>
        <w:spacing w:line="360" w:lineRule="auto"/>
        <w:rPr>
          <w:rStyle w:val="1160"/>
          <w:rFonts w:ascii="宋体" w:hAnsi="宋体"/>
          <w:sz w:val="24"/>
          <w:highlight w:val="none"/>
        </w:rPr>
      </w:pPr>
      <w:r>
        <w:rPr>
          <w:rStyle w:val="1160"/>
          <w:rFonts w:ascii="宋体" w:hAnsi="宋体"/>
          <w:sz w:val="24"/>
          <w:highlight w:val="none"/>
        </w:rPr>
        <w:t xml:space="preserve">兹委托（</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）全权代表我企业（公司）参与</w:t>
      </w:r>
      <w:r>
        <w:rPr>
          <w:rStyle w:val="1160"/>
          <w:rFonts w:hint="eastAsia" w:ascii="宋体" w:hAnsi="宋体"/>
          <w:sz w:val="24"/>
          <w:highlight w:val="none"/>
          <w:lang w:eastAsia="zh-CN"/>
        </w:rPr>
        <w:t xml:space="preserve">2026年丰县梁寨镇大棚建设与光伏设备安装工程</w:t>
      </w:r>
      <w:r>
        <w:rPr>
          <w:rStyle w:val="1160"/>
          <w:rFonts w:ascii="宋体" w:hAnsi="宋体"/>
          <w:sz w:val="24"/>
          <w:highlight w:val="none"/>
        </w:rPr>
        <w:t xml:space="preserve">[项目编号：</w:t>
      </w:r>
      <w:r>
        <w:rPr>
          <w:rStyle w:val="1160"/>
          <w:rFonts w:hint="eastAsia" w:ascii="宋体" w:hAnsi="宋体"/>
          <w:sz w:val="24"/>
          <w:highlight w:val="none"/>
          <w:u w:val="single"/>
          <w:lang w:eastAsia="zh-CN"/>
        </w:rPr>
        <w:t xml:space="preserve">JSZC-320321-DSJS-C2026-0003</w:t>
      </w:r>
      <w:r>
        <w:rPr>
          <w:rStyle w:val="1160"/>
          <w:rFonts w:ascii="宋体" w:hAnsi="宋体"/>
          <w:sz w:val="24"/>
          <w:highlight w:val="none"/>
        </w:rPr>
        <w:t xml:space="preserve">]的磋商活动及签订合同。（</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）以我企业（公司）名义所为的行为及签署的文件，我企业（公司）均予以认可。有关法律责任均由我企业（公司）承担。（</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）无转委托权。委托期限自</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年</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月</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日</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起至</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年</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月</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日</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止。</w:t>
      </w:r>
      <w:r/>
    </w:p>
    <w:p>
      <w:pPr>
        <w:ind w:firstLine="525"/>
        <w:spacing w:line="360" w:lineRule="auto"/>
        <w:rPr>
          <w:rStyle w:val="1160"/>
          <w:rFonts w:ascii="宋体" w:hAnsi="宋体"/>
          <w:sz w:val="24"/>
          <w:highlight w:val="none"/>
        </w:rPr>
      </w:pPr>
      <w:r>
        <w:rPr>
          <w:rStyle w:val="1160"/>
          <w:rFonts w:ascii="宋体" w:hAnsi="宋体"/>
          <w:sz w:val="24"/>
          <w:highlight w:val="none"/>
        </w:rPr>
        <w:t xml:space="preserve">特此授权委托。</w:t>
      </w:r>
      <w:r/>
    </w:p>
    <w:p>
      <w:pPr>
        <w:spacing w:line="380" w:lineRule="exact"/>
        <w:rPr>
          <w:rStyle w:val="1160"/>
          <w:rFonts w:ascii="宋体" w:hAnsi="宋体"/>
          <w:sz w:val="24"/>
          <w:highlight w:val="none"/>
        </w:rPr>
      </w:pPr>
      <w:r>
        <w:rPr>
          <w:rFonts w:ascii="宋体" w:hAnsi="宋体"/>
          <w:sz w:val="24"/>
          <w:highlight w:val="none"/>
        </w:rPr>
      </w:r>
      <w:r/>
    </w:p>
    <w:p>
      <w:pPr>
        <w:spacing w:line="380" w:lineRule="exact"/>
        <w:rPr>
          <w:rStyle w:val="1160"/>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160"/>
          <w:rFonts w:ascii="宋体" w:hAnsi="宋体"/>
          <w:b/>
          <w:sz w:val="24"/>
          <w:highlight w:val="none"/>
        </w:rPr>
      </w:pPr>
      <w:r>
        <w:rPr>
          <w:rFonts w:ascii="宋体" w:hAnsi="宋体"/>
          <w:b/>
          <w:sz w:val="24"/>
          <w:highlight w:val="none"/>
        </w:rPr>
      </w:r>
      <w:r/>
    </w:p>
    <w:p>
      <w:pPr>
        <w:jc w:val="center"/>
        <w:spacing w:line="380" w:lineRule="exact"/>
        <w:rPr>
          <w:rStyle w:val="1160"/>
          <w:rFonts w:ascii="宋体" w:hAnsi="宋体"/>
          <w:b/>
          <w:sz w:val="36"/>
          <w:szCs w:val="36"/>
          <w:highlight w:val="none"/>
        </w:rPr>
      </w:pPr>
      <w:r>
        <w:rPr>
          <w:rFonts w:ascii="宋体" w:hAnsi="宋体"/>
          <w:b/>
          <w:sz w:val="36"/>
          <w:szCs w:val="36"/>
          <w:highlight w:val="none"/>
        </w:rPr>
      </w:r>
      <w:r/>
    </w:p>
    <w:p>
      <w:pPr>
        <w:jc w:val="center"/>
        <w:spacing w:line="380" w:lineRule="exact"/>
        <w:rPr>
          <w:rStyle w:val="1160"/>
          <w:rFonts w:ascii="宋体" w:hAnsi="宋体"/>
          <w:b/>
          <w:sz w:val="36"/>
          <w:szCs w:val="36"/>
          <w:highlight w:val="none"/>
        </w:rPr>
      </w:pPr>
      <w:r>
        <w:rPr>
          <w:rFonts w:ascii="宋体" w:hAnsi="宋体"/>
          <w:b/>
          <w:sz w:val="36"/>
          <w:szCs w:val="36"/>
          <w:highlight w:val="none"/>
        </w:rPr>
      </w:r>
      <w:r/>
    </w:p>
    <w:p>
      <w:pPr>
        <w:jc w:val="center"/>
        <w:spacing w:line="380" w:lineRule="exact"/>
        <w:rPr>
          <w:rStyle w:val="1160"/>
          <w:rFonts w:ascii="宋体" w:hAnsi="宋体"/>
          <w:b/>
          <w:sz w:val="36"/>
          <w:szCs w:val="36"/>
          <w:highlight w:val="none"/>
        </w:rPr>
      </w:pPr>
      <w:r>
        <w:rPr>
          <w:rFonts w:ascii="宋体" w:hAnsi="宋体"/>
          <w:b/>
          <w:sz w:val="36"/>
          <w:szCs w:val="36"/>
          <w:highlight w:val="none"/>
        </w:rPr>
      </w:r>
      <w:r/>
    </w:p>
    <w:p>
      <w:pPr>
        <w:pStyle w:val="878"/>
        <w:rPr>
          <w:highlight w:val="none"/>
        </w:rPr>
      </w:pPr>
      <w:r>
        <w:rPr>
          <w:highlight w:val="none"/>
        </w:rPr>
      </w:r>
      <w:r/>
    </w:p>
    <w:p>
      <w:pPr>
        <w:jc w:val="both"/>
        <w:spacing w:line="380" w:lineRule="exact"/>
        <w:rPr>
          <w:rStyle w:val="1160"/>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160"/>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160"/>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917"/>
        <w:ind w:left="400" w:firstLine="400"/>
        <w:rPr>
          <w:highlight w:val="none"/>
        </w:rPr>
      </w:pPr>
      <w:r>
        <w:rPr>
          <w:highlight w:val="none"/>
        </w:rPr>
      </w:r>
      <w:r/>
    </w:p>
    <w:p>
      <w:pPr>
        <w:pStyle w:val="917"/>
        <w:ind w:left="0" w:firstLine="0"/>
        <w:rPr>
          <w:highlight w:val="none"/>
        </w:rPr>
      </w:pPr>
      <w:r>
        <w:rPr>
          <w:highlight w:val="none"/>
        </w:rPr>
      </w:r>
      <w:r/>
    </w:p>
    <w:p>
      <w:pPr>
        <w:pStyle w:val="883"/>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83"/>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88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83"/>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160"/>
          <w:rFonts w:ascii="宋体" w:hAnsi="宋体"/>
          <w:sz w:val="24"/>
          <w:highlight w:val="none"/>
        </w:rPr>
      </w:pPr>
      <w:r>
        <w:rPr>
          <w:rFonts w:ascii="宋体" w:hAnsi="宋体"/>
          <w:sz w:val="24"/>
          <w:highlight w:val="none"/>
        </w:rPr>
      </w:r>
      <w:r/>
    </w:p>
    <w:p>
      <w:pPr>
        <w:ind w:firstLine="525"/>
        <w:spacing w:line="360" w:lineRule="auto"/>
        <w:rPr>
          <w:rStyle w:val="1160"/>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917"/>
        <w:ind w:left="400" w:firstLine="400"/>
        <w:rPr>
          <w:rStyle w:val="1160"/>
          <w:rFonts w:eastAsia="仿宋_GB2312"/>
          <w:highlight w:val="none"/>
        </w:rPr>
      </w:pPr>
      <w:r>
        <w:rPr>
          <w:rFonts w:eastAsia="仿宋_GB2312"/>
          <w:highlight w:val="none"/>
        </w:rPr>
      </w:r>
      <w:r/>
    </w:p>
    <w:p>
      <w:pPr>
        <w:pStyle w:val="917"/>
        <w:ind w:left="400" w:firstLine="400"/>
        <w:rPr>
          <w:rStyle w:val="1160"/>
          <w:rFonts w:eastAsia="仿宋_GB2312"/>
          <w:highlight w:val="none"/>
        </w:rPr>
      </w:pPr>
      <w:r>
        <w:rPr>
          <w:rFonts w:eastAsia="仿宋_GB2312"/>
          <w:highlight w:val="none"/>
        </w:rPr>
      </w:r>
      <w:r/>
    </w:p>
    <w:p>
      <w:pPr>
        <w:pStyle w:val="917"/>
        <w:ind w:left="400" w:firstLine="400"/>
        <w:rPr>
          <w:rStyle w:val="1160"/>
          <w:rFonts w:eastAsia="仿宋_GB2312"/>
          <w:highlight w:val="none"/>
        </w:rPr>
      </w:pPr>
      <w:r>
        <w:rPr>
          <w:rFonts w:eastAsia="仿宋_GB2312"/>
          <w:highlight w:val="none"/>
        </w:rPr>
      </w:r>
      <w:r/>
    </w:p>
    <w:p>
      <w:pPr>
        <w:pStyle w:val="914"/>
        <w:ind w:firstLine="480"/>
        <w:jc w:val="center"/>
        <w:spacing w:beforeAutospacing="0" w:afterAutospacing="0"/>
        <w:rPr>
          <w:rStyle w:val="1160"/>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160"/>
          <w:rFonts w:ascii="宋体" w:hAnsi="宋体"/>
          <w:spacing w:val="6"/>
          <w:sz w:val="24"/>
          <w:highlight w:val="none"/>
        </w:rPr>
      </w:pPr>
      <w:r>
        <w:rPr>
          <w:rStyle w:val="1160"/>
          <w:rFonts w:ascii="宋体" w:hAnsi="宋体"/>
          <w:b/>
          <w:bCs/>
          <w:spacing w:val="6"/>
          <w:sz w:val="24"/>
          <w:highlight w:val="none"/>
        </w:rPr>
        <w:t xml:space="preserve">（注：如供应商不属于残疾人福利性单位，不需提供此声明函）</w:t>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ind w:firstLine="504"/>
        <w:spacing w:line="588" w:lineRule="exact"/>
        <w:rPr>
          <w:rStyle w:val="1160"/>
          <w:rFonts w:ascii="宋体" w:hAnsi="宋体"/>
          <w:spacing w:val="6"/>
          <w:sz w:val="24"/>
          <w:highlight w:val="none"/>
        </w:rPr>
      </w:pPr>
      <w:r>
        <w:rPr>
          <w:rStyle w:val="1160"/>
          <w:rFonts w:ascii="宋体" w:hAnsi="宋体"/>
          <w:spacing w:val="6"/>
          <w:sz w:val="24"/>
          <w:highlight w:val="none"/>
        </w:rPr>
        <w:t xml:space="preserve">本单位郑重声明，根据《财政部民政部中国残疾人联合会关于促进残疾人就业政府采购政策的通知》（财库</w:t>
      </w:r>
      <w:r>
        <w:rPr>
          <w:rStyle w:val="1160"/>
          <w:rFonts w:ascii="宋体" w:hAnsi="宋体"/>
          <w:sz w:val="24"/>
          <w:highlight w:val="none"/>
        </w:rPr>
        <w:t xml:space="preserve">〔2017〕 141</w:t>
      </w:r>
      <w:r>
        <w:rPr>
          <w:rStyle w:val="1160"/>
          <w:rFonts w:ascii="宋体" w:hAnsi="宋体"/>
          <w:spacing w:val="6"/>
          <w:sz w:val="24"/>
          <w:highlight w:val="none"/>
        </w:rPr>
        <w:t xml:space="preserve">号）的规定，本单位为</w:t>
      </w:r>
      <w:r>
        <w:rPr>
          <w:rStyle w:val="1160"/>
          <w:rFonts w:ascii="宋体" w:hAnsi="宋体"/>
          <w:spacing w:val="6"/>
          <w:sz w:val="24"/>
          <w:highlight w:val="none"/>
          <w:u w:val="single"/>
        </w:rPr>
        <w:t xml:space="preserve">符合/不符合</w:t>
      </w:r>
      <w:r>
        <w:rPr>
          <w:rStyle w:val="1160"/>
          <w:rFonts w:ascii="宋体" w:hAnsi="宋体"/>
          <w:spacing w:val="6"/>
          <w:sz w:val="24"/>
          <w:highlight w:val="none"/>
        </w:rPr>
        <w:t xml:space="preserve">条件的残疾人福利性单位，且本单位参加</w:t>
      </w:r>
      <w:r>
        <w:rPr>
          <w:rStyle w:val="1160"/>
          <w:rFonts w:hint="eastAsia" w:ascii="宋体" w:hAnsi="宋体"/>
          <w:sz w:val="24"/>
          <w:highlight w:val="none"/>
          <w:u w:val="single"/>
          <w:lang w:eastAsia="zh-CN"/>
        </w:rPr>
        <w:t xml:space="preserve">2026年丰县梁寨镇大棚建设与光伏设备安装工程</w:t>
      </w:r>
      <w:r>
        <w:rPr>
          <w:rStyle w:val="1160"/>
          <w:rFonts w:ascii="宋体" w:hAnsi="宋体"/>
          <w:spacing w:val="6"/>
          <w:sz w:val="24"/>
          <w:highlight w:val="none"/>
          <w:u w:val="single"/>
        </w:rPr>
        <w:t xml:space="preserve">[项目编号：</w:t>
      </w:r>
      <w:r>
        <w:rPr>
          <w:rStyle w:val="1160"/>
          <w:rFonts w:hint="eastAsia" w:ascii="宋体" w:hAnsi="宋体"/>
          <w:spacing w:val="6"/>
          <w:sz w:val="24"/>
          <w:highlight w:val="none"/>
          <w:u w:val="single"/>
          <w:lang w:eastAsia="zh-CN"/>
        </w:rPr>
        <w:t xml:space="preserve">JSZC-320321-DSJS-C2026-0003</w:t>
      </w:r>
      <w:r>
        <w:rPr>
          <w:rStyle w:val="1160"/>
          <w:rFonts w:ascii="宋体" w:hAnsi="宋体"/>
          <w:spacing w:val="6"/>
          <w:sz w:val="24"/>
          <w:highlight w:val="none"/>
          <w:u w:val="single"/>
        </w:rPr>
        <w:t xml:space="preserve">]</w:t>
      </w:r>
      <w:r>
        <w:rPr>
          <w:rStyle w:val="1160"/>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60"/>
          <w:rFonts w:ascii="宋体" w:hAnsi="宋体"/>
          <w:spacing w:val="6"/>
          <w:sz w:val="24"/>
          <w:highlight w:val="none"/>
        </w:rPr>
      </w:pPr>
      <w:r>
        <w:rPr>
          <w:rStyle w:val="1160"/>
          <w:rFonts w:ascii="宋体" w:hAnsi="宋体"/>
          <w:spacing w:val="6"/>
          <w:sz w:val="24"/>
          <w:highlight w:val="none"/>
        </w:rPr>
        <w:t xml:space="preserve">本单位对上述声明的真实性负责。如有虚假，将依法承担相应责任。</w:t>
      </w:r>
      <w:r/>
    </w:p>
    <w:p>
      <w:pPr>
        <w:ind w:firstLine="504"/>
        <w:spacing w:line="588" w:lineRule="exact"/>
        <w:rPr>
          <w:rStyle w:val="1160"/>
          <w:rFonts w:ascii="宋体" w:hAnsi="宋体"/>
          <w:spacing w:val="6"/>
          <w:sz w:val="24"/>
          <w:highlight w:val="none"/>
        </w:rPr>
      </w:pPr>
      <w:r>
        <w:rPr>
          <w:rFonts w:ascii="宋体" w:hAnsi="宋体"/>
          <w:spacing w:val="6"/>
          <w:sz w:val="24"/>
          <w:highlight w:val="none"/>
        </w:rPr>
      </w:r>
      <w:r/>
    </w:p>
    <w:p>
      <w:pPr>
        <w:ind w:firstLine="504"/>
        <w:spacing w:line="588" w:lineRule="exact"/>
        <w:rPr>
          <w:rStyle w:val="1160"/>
          <w:rFonts w:ascii="宋体" w:hAnsi="宋体"/>
          <w:spacing w:val="6"/>
          <w:sz w:val="24"/>
          <w:highlight w:val="none"/>
        </w:rPr>
      </w:pPr>
      <w:r>
        <w:rPr>
          <w:rFonts w:ascii="宋体" w:hAnsi="宋体"/>
          <w:spacing w:val="6"/>
          <w:sz w:val="24"/>
          <w:highlight w:val="none"/>
        </w:rPr>
      </w:r>
      <w:r/>
    </w:p>
    <w:p>
      <w:pPr>
        <w:pStyle w:val="883"/>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83"/>
        <w:ind w:right="29" w:firstLine="3960"/>
        <w:spacing w:line="380" w:lineRule="exact"/>
        <w:rPr>
          <w:rFonts w:ascii="宋体"/>
          <w:sz w:val="24"/>
          <w:highlight w:val="none"/>
        </w:rPr>
      </w:pPr>
      <w:r>
        <w:rPr>
          <w:rFonts w:ascii="宋体"/>
          <w:sz w:val="24"/>
          <w:highlight w:val="none"/>
        </w:rPr>
      </w:r>
      <w:r/>
    </w:p>
    <w:p>
      <w:pPr>
        <w:pStyle w:val="88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160"/>
          <w:rFonts w:ascii="宋体" w:hAnsi="宋体"/>
          <w:sz w:val="24"/>
          <w:highlight w:val="none"/>
        </w:rPr>
      </w:pPr>
      <w:r>
        <w:rPr>
          <w:rFonts w:ascii="宋体" w:hAnsi="宋体"/>
          <w:sz w:val="24"/>
          <w:highlight w:val="none"/>
        </w:rPr>
      </w:r>
      <w:r/>
    </w:p>
    <w:p>
      <w:pPr>
        <w:ind w:firstLine="3600"/>
        <w:spacing w:line="360" w:lineRule="auto"/>
        <w:rPr>
          <w:rStyle w:val="1160"/>
          <w:rFonts w:ascii="宋体" w:hAnsi="宋体"/>
          <w:sz w:val="24"/>
          <w:highlight w:val="none"/>
        </w:rPr>
      </w:pPr>
      <w:r>
        <w:rPr>
          <w:rStyle w:val="1160"/>
          <w:rFonts w:ascii="宋体" w:hAnsi="宋体"/>
          <w:sz w:val="24"/>
          <w:highlight w:val="none"/>
        </w:rPr>
        <w:t xml:space="preserve">日期：</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年</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月</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日</w:t>
      </w:r>
      <w:r/>
    </w:p>
    <w:p>
      <w:pPr>
        <w:jc w:val="center"/>
        <w:spacing w:line="380" w:lineRule="exact"/>
        <w:rPr>
          <w:rStyle w:val="1160"/>
          <w:rFonts w:ascii="宋体" w:hAnsi="宋体"/>
          <w:sz w:val="36"/>
          <w:szCs w:val="36"/>
          <w:highlight w:val="none"/>
        </w:rPr>
      </w:pPr>
      <w:r>
        <w:rPr>
          <w:rFonts w:ascii="宋体" w:hAnsi="宋体"/>
          <w:sz w:val="36"/>
          <w:szCs w:val="36"/>
          <w:highlight w:val="none"/>
        </w:rPr>
      </w:r>
      <w:r/>
    </w:p>
    <w:p>
      <w:pPr>
        <w:pStyle w:val="886"/>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86"/>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86"/>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886"/>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886"/>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886"/>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886"/>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60"/>
          <w:rFonts w:ascii="宋体" w:hAnsi="宋体"/>
          <w:sz w:val="36"/>
          <w:szCs w:val="36"/>
          <w:highlight w:val="none"/>
        </w:rPr>
      </w:pPr>
      <w:r>
        <w:rPr>
          <w:rFonts w:ascii="宋体" w:hAnsi="宋体"/>
          <w:sz w:val="36"/>
          <w:szCs w:val="36"/>
          <w:highlight w:val="none"/>
        </w:rPr>
      </w:r>
      <w:r/>
    </w:p>
    <w:p>
      <w:pPr>
        <w:jc w:val="both"/>
        <w:spacing w:line="380" w:lineRule="exact"/>
        <w:rPr>
          <w:rStyle w:val="1160"/>
          <w:rFonts w:ascii="宋体" w:hAnsi="宋体"/>
          <w:sz w:val="36"/>
          <w:szCs w:val="36"/>
          <w:highlight w:val="none"/>
        </w:rPr>
      </w:pPr>
      <w:r>
        <w:rPr>
          <w:rFonts w:ascii="宋体" w:hAnsi="宋体"/>
          <w:sz w:val="36"/>
          <w:szCs w:val="36"/>
          <w:highlight w:val="none"/>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160"/>
          <w:rFonts w:ascii="宋体" w:hAnsi="宋体"/>
          <w:sz w:val="24"/>
          <w:highlight w:val="none"/>
        </w:rPr>
      </w:pPr>
      <w:r>
        <w:rPr>
          <w:rFonts w:ascii="宋体" w:hAnsi="宋体"/>
          <w:sz w:val="24"/>
          <w:highlight w:val="none"/>
        </w:rPr>
      </w:r>
      <w:r/>
    </w:p>
    <w:p>
      <w:pPr>
        <w:ind w:firstLine="480"/>
        <w:spacing w:line="360" w:lineRule="auto"/>
        <w:rPr>
          <w:rStyle w:val="1160"/>
          <w:rFonts w:ascii="宋体" w:hAnsi="宋体"/>
          <w:sz w:val="24"/>
          <w:highlight w:val="none"/>
        </w:rPr>
      </w:pPr>
      <w:r>
        <w:rPr>
          <w:rStyle w:val="1160"/>
          <w:rFonts w:ascii="宋体" w:hAnsi="宋体"/>
          <w:sz w:val="24"/>
          <w:highlight w:val="none"/>
        </w:rPr>
        <w:t xml:space="preserve">我单位在参加</w:t>
      </w:r>
      <w:r>
        <w:rPr>
          <w:rStyle w:val="1160"/>
          <w:rFonts w:hint="eastAsia" w:ascii="宋体" w:hAnsi="宋体"/>
          <w:sz w:val="24"/>
          <w:highlight w:val="none"/>
          <w:u w:val="single"/>
          <w:lang w:eastAsia="zh-CN"/>
        </w:rPr>
        <w:t xml:space="preserve">2026年丰县梁寨镇大棚建设与光伏设备安装工程</w:t>
      </w:r>
      <w:r>
        <w:rPr>
          <w:rStyle w:val="1160"/>
          <w:rFonts w:ascii="宋体" w:hAnsi="宋体"/>
          <w:sz w:val="24"/>
          <w:highlight w:val="none"/>
          <w:u w:val="single"/>
        </w:rPr>
        <w:t xml:space="preserve">[项目编号：</w:t>
      </w:r>
      <w:r>
        <w:rPr>
          <w:rStyle w:val="1160"/>
          <w:rFonts w:hint="eastAsia" w:ascii="宋体" w:hAnsi="宋体"/>
          <w:sz w:val="24"/>
          <w:highlight w:val="none"/>
          <w:u w:val="single"/>
          <w:lang w:eastAsia="zh-CN"/>
        </w:rPr>
        <w:t xml:space="preserve">JSZC-320321-DSJS-C2026-0003</w:t>
      </w:r>
      <w:r>
        <w:rPr>
          <w:rStyle w:val="1160"/>
          <w:rFonts w:ascii="宋体" w:hAnsi="宋体"/>
          <w:sz w:val="24"/>
          <w:highlight w:val="none"/>
          <w:u w:val="single"/>
        </w:rPr>
        <w:t xml:space="preserve">]</w:t>
      </w:r>
      <w:r>
        <w:rPr>
          <w:rStyle w:val="1160"/>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60"/>
          <w:rFonts w:ascii="宋体" w:hAnsi="宋体"/>
          <w:sz w:val="24"/>
          <w:highlight w:val="none"/>
        </w:rPr>
      </w:pPr>
      <w:r>
        <w:rPr>
          <w:rStyle w:val="1160"/>
          <w:rFonts w:ascii="宋体" w:hAnsi="宋体"/>
          <w:sz w:val="24"/>
          <w:highlight w:val="none"/>
        </w:rPr>
        <w:t xml:space="preserve">我单位对上述声明的真实性负责。如有虚假，将依法承担相应责任。</w:t>
      </w:r>
      <w:r/>
    </w:p>
    <w:p>
      <w:pPr>
        <w:ind w:right="29" w:firstLine="3960"/>
        <w:spacing w:line="380" w:lineRule="exact"/>
        <w:rPr>
          <w:rStyle w:val="1160"/>
          <w:rFonts w:ascii="宋体" w:hAnsi="宋体"/>
          <w:sz w:val="24"/>
          <w:highlight w:val="none"/>
        </w:rPr>
      </w:pPr>
      <w:r>
        <w:rPr>
          <w:rFonts w:ascii="宋体" w:hAnsi="宋体"/>
          <w:sz w:val="24"/>
          <w:highlight w:val="none"/>
        </w:rPr>
      </w:r>
      <w:r/>
    </w:p>
    <w:p>
      <w:pPr>
        <w:ind w:right="29" w:firstLine="3960"/>
        <w:spacing w:line="380" w:lineRule="exact"/>
        <w:rPr>
          <w:rStyle w:val="1160"/>
          <w:rFonts w:ascii="宋体" w:hAnsi="宋体"/>
          <w:sz w:val="24"/>
          <w:highlight w:val="none"/>
        </w:rPr>
      </w:pPr>
      <w:r>
        <w:rPr>
          <w:rFonts w:ascii="宋体" w:hAnsi="宋体"/>
          <w:sz w:val="24"/>
          <w:highlight w:val="none"/>
        </w:rPr>
      </w:r>
      <w:r/>
    </w:p>
    <w:p>
      <w:pPr>
        <w:ind w:right="29" w:firstLine="3960"/>
        <w:spacing w:line="380" w:lineRule="exact"/>
        <w:rPr>
          <w:rStyle w:val="1160"/>
          <w:rFonts w:ascii="宋体" w:hAnsi="宋体"/>
          <w:sz w:val="24"/>
          <w:highlight w:val="none"/>
        </w:rPr>
      </w:pPr>
      <w:r>
        <w:rPr>
          <w:rFonts w:ascii="宋体" w:hAnsi="宋体"/>
          <w:sz w:val="24"/>
          <w:highlight w:val="none"/>
        </w:rPr>
      </w:r>
      <w:r/>
    </w:p>
    <w:p>
      <w:pPr>
        <w:ind w:right="29" w:firstLine="3960"/>
        <w:spacing w:line="380" w:lineRule="exact"/>
        <w:rPr>
          <w:rStyle w:val="1160"/>
          <w:rFonts w:ascii="宋体" w:hAnsi="宋体"/>
          <w:sz w:val="24"/>
          <w:highlight w:val="none"/>
        </w:rPr>
      </w:pPr>
      <w:r>
        <w:rPr>
          <w:rFonts w:ascii="宋体" w:hAnsi="宋体"/>
          <w:sz w:val="24"/>
          <w:highlight w:val="none"/>
        </w:rPr>
      </w:r>
      <w:r/>
    </w:p>
    <w:p>
      <w:pPr>
        <w:ind w:right="29" w:firstLine="3960"/>
        <w:spacing w:line="380" w:lineRule="exact"/>
        <w:rPr>
          <w:rStyle w:val="1160"/>
          <w:rFonts w:ascii="宋体" w:hAnsi="宋体"/>
          <w:sz w:val="24"/>
          <w:highlight w:val="none"/>
        </w:rPr>
      </w:pPr>
      <w:r>
        <w:rPr>
          <w:rFonts w:ascii="宋体" w:hAnsi="宋体"/>
          <w:sz w:val="24"/>
          <w:highlight w:val="none"/>
        </w:rPr>
      </w:r>
      <w:r/>
    </w:p>
    <w:p>
      <w:pPr>
        <w:pStyle w:val="883"/>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83"/>
        <w:ind w:right="29" w:firstLine="3960"/>
        <w:spacing w:line="380" w:lineRule="exact"/>
        <w:rPr>
          <w:rFonts w:ascii="宋体"/>
          <w:sz w:val="24"/>
          <w:highlight w:val="none"/>
        </w:rPr>
      </w:pPr>
      <w:r>
        <w:rPr>
          <w:rFonts w:ascii="宋体"/>
          <w:sz w:val="24"/>
          <w:highlight w:val="none"/>
        </w:rPr>
      </w:r>
      <w:r/>
    </w:p>
    <w:p>
      <w:pPr>
        <w:pStyle w:val="883"/>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83"/>
        <w:ind w:right="29" w:firstLine="3960"/>
        <w:spacing w:line="380" w:lineRule="exact"/>
        <w:rPr>
          <w:rFonts w:ascii="宋体"/>
          <w:sz w:val="24"/>
          <w:highlight w:val="none"/>
        </w:rPr>
      </w:pPr>
      <w:r>
        <w:rPr>
          <w:rFonts w:ascii="宋体"/>
          <w:sz w:val="24"/>
          <w:highlight w:val="none"/>
        </w:rPr>
      </w:r>
      <w:r/>
    </w:p>
    <w:p>
      <w:pPr>
        <w:spacing w:line="360" w:lineRule="auto"/>
        <w:rPr>
          <w:rStyle w:val="1160"/>
          <w:rFonts w:ascii="宋体" w:hAnsi="宋体"/>
          <w:sz w:val="24"/>
          <w:highlight w:val="none"/>
        </w:rPr>
      </w:pPr>
      <w:r>
        <w:rPr>
          <w:rFonts w:ascii="宋体" w:hAnsi="宋体" w:eastAsiaTheme="minorEastAsia" w:cstheme="minorBidi"/>
          <w:sz w:val="24"/>
          <w:highlight w:val="none"/>
        </w:rPr>
        <w:t xml:space="preserve">日期：</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年</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月</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日</w:t>
      </w:r>
      <w:r/>
    </w:p>
    <w:p>
      <w:pPr>
        <w:pStyle w:val="883"/>
        <w:spacing w:line="480" w:lineRule="exact"/>
        <w:rPr>
          <w:rFonts w:ascii="宋体" w:hAnsi="宋体"/>
          <w:sz w:val="24"/>
          <w:highlight w:val="none"/>
        </w:rPr>
      </w:pPr>
      <w:r>
        <w:rPr>
          <w:rFonts w:ascii="宋体" w:hAnsi="宋体"/>
          <w:sz w:val="24"/>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1174"/>
        <w:ind w:left="228" w:firstLine="2640"/>
        <w:spacing w:beforeAutospacing="0" w:afterAutospacing="0" w:line="380" w:lineRule="exact"/>
        <w:rPr>
          <w:rStyle w:val="1160"/>
          <w:highlight w:val="none"/>
        </w:rPr>
      </w:pPr>
      <w:r>
        <w:rPr>
          <w:highlight w:val="none"/>
        </w:rPr>
      </w:r>
      <w:r/>
    </w:p>
    <w:p>
      <w:pPr>
        <w:pStyle w:val="86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160"/>
          <w:rFonts w:hint="eastAsia" w:ascii="宋体" w:hAnsi="宋体" w:eastAsia="宋体"/>
          <w:sz w:val="24"/>
          <w:highlight w:val="none"/>
          <w:lang w:eastAsia="zh-CN"/>
        </w:rPr>
      </w:pPr>
      <w:r>
        <w:rPr>
          <w:rStyle w:val="1160"/>
          <w:rFonts w:ascii="宋体" w:hAnsi="宋体"/>
          <w:sz w:val="24"/>
          <w:highlight w:val="none"/>
        </w:rPr>
        <w:t xml:space="preserve">项目名称：</w:t>
      </w:r>
      <w:r>
        <w:rPr>
          <w:rStyle w:val="1160"/>
          <w:rFonts w:hint="eastAsia" w:ascii="宋体" w:hAnsi="宋体"/>
          <w:sz w:val="24"/>
          <w:highlight w:val="none"/>
          <w:lang w:eastAsia="zh-CN"/>
        </w:rPr>
        <w:t xml:space="preserve">2026年丰县梁寨镇大棚建设与光伏设备安装工程</w:t>
      </w:r>
      <w:r/>
    </w:p>
    <w:p>
      <w:pPr>
        <w:spacing w:line="360" w:lineRule="auto"/>
        <w:rPr>
          <w:rStyle w:val="1160"/>
          <w:rFonts w:hint="eastAsia" w:ascii="宋体" w:hAnsi="宋体"/>
          <w:sz w:val="24"/>
          <w:highlight w:val="none"/>
          <w:lang w:eastAsia="zh-CN"/>
        </w:rPr>
      </w:pPr>
      <w:r>
        <w:rPr>
          <w:rStyle w:val="1160"/>
          <w:rFonts w:ascii="宋体" w:hAnsi="宋体"/>
          <w:sz w:val="24"/>
          <w:highlight w:val="none"/>
        </w:rPr>
        <w:t xml:space="preserve">项目编号：</w:t>
      </w:r>
      <w:r>
        <w:rPr>
          <w:rStyle w:val="1160"/>
          <w:rFonts w:hint="eastAsia" w:ascii="宋体" w:hAnsi="宋体"/>
          <w:sz w:val="24"/>
          <w:highlight w:val="none"/>
          <w:lang w:eastAsia="zh-CN"/>
        </w:rPr>
        <w:t xml:space="preserve">JSZC-320321-DSJS-C2026-0003</w:t>
      </w:r>
      <w:r/>
    </w:p>
    <w:p>
      <w:pPr>
        <w:ind w:firstLine="480"/>
        <w:spacing w:line="360" w:lineRule="auto"/>
        <w:rPr>
          <w:rStyle w:val="1160"/>
          <w:rFonts w:ascii="宋体" w:hAnsi="宋体"/>
          <w:sz w:val="24"/>
          <w:highlight w:val="none"/>
        </w:rPr>
      </w:pPr>
      <w:r>
        <w:rPr>
          <w:rStyle w:val="1160"/>
          <w:rFonts w:ascii="宋体" w:hAnsi="宋体"/>
          <w:sz w:val="24"/>
          <w:highlight w:val="none"/>
        </w:rPr>
        <w:t xml:space="preserve">本单位郑重声明：本单位具备履行合同（项目名称：</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，项目编号：</w:t>
      </w:r>
      <w:r>
        <w:rPr>
          <w:rStyle w:val="1160"/>
          <w:rFonts w:hint="eastAsia" w:ascii="宋体" w:hAnsi="宋体"/>
          <w:sz w:val="24"/>
          <w:highlight w:val="none"/>
          <w:lang w:val="en-US" w:eastAsia="zh-CN"/>
        </w:rPr>
        <w:t xml:space="preserve">   。</w:t>
      </w:r>
      <w:r>
        <w:rPr>
          <w:rStyle w:val="1160"/>
          <w:rFonts w:ascii="宋体" w:hAnsi="宋体"/>
          <w:sz w:val="24"/>
          <w:highlight w:val="none"/>
        </w:rPr>
        <w:t xml:space="preserve">）所必需的设备和专业技术能力，具体为：</w:t>
      </w:r>
      <w:r/>
    </w:p>
    <w:p>
      <w:pPr>
        <w:pStyle w:val="885"/>
        <w:rPr>
          <w:highlight w:val="none"/>
        </w:rPr>
      </w:pPr>
      <w:r>
        <w:rPr>
          <w:rFonts w:hint="eastAsia"/>
          <w:highlight w:val="none"/>
        </w:rPr>
        <w:t xml:space="preserve">（格式自拟）</w:t>
      </w:r>
      <w:r/>
    </w:p>
    <w:p>
      <w:pPr>
        <w:spacing w:line="360" w:lineRule="auto"/>
        <w:rPr>
          <w:rStyle w:val="1160"/>
          <w:rFonts w:ascii="宋体" w:hAnsi="宋体"/>
          <w:sz w:val="24"/>
          <w:highlight w:val="none"/>
        </w:rPr>
      </w:pPr>
      <w:r>
        <w:rPr>
          <w:rStyle w:val="1160"/>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供应商同时具</w:t>
      </w:r>
      <w:r>
        <w:rPr>
          <w:rFonts w:hint="eastAsia" w:cs="Times New Roman"/>
          <w:b/>
          <w:bCs/>
          <w:sz w:val="24"/>
          <w:highlight w:val="none"/>
          <w:lang w:val="en-US" w:eastAsia="zh-CN"/>
        </w:rPr>
        <w:t xml:space="preserve">备</w:t>
      </w:r>
      <w:r>
        <w:rPr>
          <w:rFonts w:hint="eastAsia" w:ascii="Times New Roman" w:hAnsi="Times New Roman" w:eastAsia="宋体" w:cs="Times New Roman"/>
          <w:b/>
          <w:bCs/>
          <w:sz w:val="24"/>
          <w:highlight w:val="none"/>
          <w:lang w:val="en-US" w:eastAsia="zh-CN"/>
        </w:rPr>
        <w:t xml:space="preserve">电力工程施工总承包叁级（含）以上资质或输变电工程专业承包叁级（含）以上资质和承装（修、试）电力设施许可证伍级（含）以上资质证书扫描件；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拟选派项目负责人（注册建造师）具备机电工程专业贰级（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ind w:firstLine="480"/>
        <w:spacing w:line="360" w:lineRule="auto"/>
        <w:rPr>
          <w:rStyle w:val="1160"/>
          <w:rFonts w:ascii="宋体" w:hAnsi="宋体"/>
          <w:sz w:val="24"/>
          <w:highlight w:val="none"/>
        </w:rPr>
      </w:pPr>
      <w:r>
        <w:rPr>
          <w:rFonts w:ascii="宋体" w:hAnsi="宋体"/>
          <w:sz w:val="24"/>
          <w:highlight w:val="none"/>
        </w:rPr>
      </w:r>
      <w:r/>
    </w:p>
    <w:p>
      <w:pPr>
        <w:ind w:firstLine="480"/>
        <w:spacing w:line="360" w:lineRule="auto"/>
        <w:rPr>
          <w:rStyle w:val="1160"/>
          <w:rFonts w:ascii="宋体" w:hAnsi="宋体"/>
          <w:sz w:val="24"/>
          <w:highlight w:val="none"/>
        </w:rPr>
      </w:pPr>
      <w:r>
        <w:rPr>
          <w:rFonts w:ascii="宋体" w:hAnsi="宋体"/>
          <w:sz w:val="24"/>
          <w:highlight w:val="none"/>
        </w:rPr>
      </w:r>
      <w:r/>
    </w:p>
    <w:p>
      <w:pPr>
        <w:ind w:firstLine="480"/>
        <w:spacing w:line="360" w:lineRule="auto"/>
        <w:rPr>
          <w:rStyle w:val="1160"/>
          <w:rFonts w:ascii="宋体" w:hAnsi="宋体"/>
          <w:sz w:val="24"/>
          <w:highlight w:val="none"/>
        </w:rPr>
      </w:pPr>
      <w:r>
        <w:rPr>
          <w:rStyle w:val="1160"/>
          <w:rFonts w:ascii="宋体" w:hAnsi="宋体"/>
          <w:sz w:val="24"/>
          <w:highlight w:val="none"/>
        </w:rPr>
        <w:t xml:space="preserve">特此声明。</w:t>
      </w:r>
      <w:r/>
    </w:p>
    <w:p>
      <w:pPr>
        <w:ind w:firstLine="480"/>
        <w:spacing w:line="360" w:lineRule="auto"/>
        <w:rPr>
          <w:rStyle w:val="1160"/>
          <w:rFonts w:ascii="宋体" w:hAnsi="宋体"/>
          <w:sz w:val="24"/>
          <w:highlight w:val="none"/>
        </w:rPr>
      </w:pPr>
      <w:r>
        <w:rPr>
          <w:rStyle w:val="1160"/>
          <w:rFonts w:ascii="宋体" w:hAnsi="宋体"/>
          <w:sz w:val="24"/>
          <w:highlight w:val="none"/>
        </w:rPr>
        <w:t xml:space="preserve">本单位对上述声明的真实性负责。如有虚假，将依法承担相应责任。</w:t>
      </w:r>
      <w:r/>
    </w:p>
    <w:p>
      <w:pPr>
        <w:ind w:firstLine="480"/>
        <w:rPr>
          <w:rStyle w:val="1160"/>
          <w:rFonts w:ascii="宋体" w:hAnsi="宋体"/>
          <w:sz w:val="24"/>
          <w:highlight w:val="none"/>
        </w:rPr>
      </w:pPr>
      <w:r>
        <w:rPr>
          <w:rFonts w:ascii="宋体" w:hAnsi="宋体"/>
          <w:sz w:val="24"/>
          <w:highlight w:val="none"/>
        </w:rPr>
      </w:r>
      <w:r/>
    </w:p>
    <w:p>
      <w:pPr>
        <w:ind w:firstLine="480"/>
        <w:rPr>
          <w:rStyle w:val="1160"/>
          <w:rFonts w:ascii="宋体" w:hAnsi="宋体"/>
          <w:sz w:val="24"/>
          <w:highlight w:val="none"/>
        </w:rPr>
      </w:pPr>
      <w:r>
        <w:rPr>
          <w:rFonts w:ascii="宋体" w:hAnsi="宋体"/>
          <w:sz w:val="24"/>
          <w:highlight w:val="none"/>
        </w:rPr>
      </w:r>
      <w:r/>
    </w:p>
    <w:p>
      <w:pPr>
        <w:pStyle w:val="883"/>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883"/>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883"/>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883"/>
        <w:jc w:val="left"/>
        <w:spacing w:line="360" w:lineRule="auto"/>
        <w:rPr>
          <w:rFonts w:ascii="宋体" w:hAnsi="宋体"/>
          <w:sz w:val="24"/>
          <w:highlight w:val="none"/>
        </w:rPr>
      </w:pPr>
      <w:r>
        <w:rPr>
          <w:rFonts w:ascii="宋体" w:hAnsi="宋体"/>
          <w:sz w:val="24"/>
          <w:highlight w:val="none"/>
        </w:rPr>
      </w:r>
      <w:r/>
    </w:p>
    <w:p>
      <w:pPr>
        <w:rPr>
          <w:rStyle w:val="1160"/>
          <w:rFonts w:ascii="宋体" w:hAnsi="宋体"/>
          <w:sz w:val="32"/>
          <w:szCs w:val="32"/>
          <w:highlight w:val="none"/>
        </w:rPr>
      </w:pPr>
      <w:r>
        <w:rPr>
          <w:rFonts w:ascii="宋体" w:hAnsi="宋体"/>
          <w:sz w:val="32"/>
          <w:szCs w:val="32"/>
          <w:highlight w:val="none"/>
        </w:rPr>
      </w:r>
      <w:r/>
    </w:p>
    <w:p>
      <w:pPr>
        <w:pStyle w:val="896"/>
        <w:ind w:left="400"/>
        <w:rPr>
          <w:rStyle w:val="1160"/>
          <w:rFonts w:ascii="宋体" w:hAnsi="宋体"/>
          <w:sz w:val="32"/>
          <w:szCs w:val="32"/>
          <w:highlight w:val="none"/>
        </w:rPr>
      </w:pPr>
      <w:r>
        <w:rPr>
          <w:rFonts w:ascii="宋体" w:hAnsi="宋体"/>
          <w:sz w:val="32"/>
          <w:szCs w:val="32"/>
          <w:highlight w:val="none"/>
        </w:rPr>
      </w:r>
      <w:r/>
    </w:p>
    <w:p>
      <w:pPr>
        <w:pStyle w:val="896"/>
        <w:ind w:left="400"/>
        <w:rPr>
          <w:rStyle w:val="1160"/>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863"/>
        <w:numPr>
          <w:ilvl w:val="0"/>
          <w:numId w:val="0"/>
        </w:num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13</w:t>
      </w:r>
      <w:r>
        <w:rPr>
          <w:rFonts w:hint="eastAsia" w:ascii="宋体" w:hAnsi="宋体" w:eastAsia="宋体" w:cs="宋体"/>
          <w:b/>
          <w:bCs/>
          <w:sz w:val="28"/>
          <w:szCs w:val="28"/>
          <w:highlight w:val="none"/>
          <w:lang w:val="en-US" w:eastAsia="zh-CN"/>
        </w:rPr>
        <w:t xml:space="preserve">、技术规格响应表</w:t>
      </w:r>
      <w:r/>
    </w:p>
    <w:p>
      <w:pPr>
        <w:spacing w:after="200" w:line="36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供应商必须在此表内逐条列项。</w:t>
      </w:r>
      <w:r/>
    </w:p>
    <w:tbl>
      <w:tblPr>
        <w:tblStyle w:val="918"/>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835"/>
        <w:gridCol w:w="2410"/>
        <w:gridCol w:w="1659"/>
        <w:gridCol w:w="1592"/>
      </w:tblGrid>
      <w:tr>
        <w:trPr/>
        <w:tc>
          <w:tcPr>
            <w:tcW w:w="704"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序号</w:t>
            </w:r>
            <w:r/>
          </w:p>
        </w:tc>
        <w:tc>
          <w:tcPr>
            <w:tcW w:w="2835"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采购文件中要求</w:t>
            </w:r>
            <w:r/>
          </w:p>
        </w:tc>
        <w:tc>
          <w:tcPr>
            <w:tcW w:w="2410"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第三方检测报告中数据</w:t>
            </w:r>
            <w:r/>
          </w:p>
        </w:tc>
        <w:tc>
          <w:tcPr>
            <w:tcW w:w="1659"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满足/正偏离</w:t>
            </w:r>
            <w:r/>
          </w:p>
        </w:tc>
        <w:tc>
          <w:tcPr>
            <w:tcW w:w="1592"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备注</w:t>
            </w:r>
            <w:r/>
          </w:p>
        </w:tc>
      </w:tr>
      <w:tr>
        <w:trPr/>
        <w:tc>
          <w:tcPr>
            <w:gridSpan w:val="5"/>
            <w:tcW w:w="9200" w:type="dxa"/>
            <w:textDirection w:val="lrTb"/>
            <w:noWrap w:val="false"/>
          </w:tcPr>
          <w:p>
            <w:pPr>
              <w:keepLines/>
              <w:keepNext/>
              <w:spacing w:before="0" w:after="0" w:line="240" w:lineRule="auto"/>
              <w:rPr>
                <w:rFonts w:hint="default" w:ascii="Arial" w:hAnsi="Arial" w:eastAsia="宋体" w:cs="Arial"/>
                <w:sz w:val="40"/>
                <w:szCs w:val="40"/>
                <w:highlight w:val="none"/>
                <w:lang w:val="en-US" w:eastAsia="zh-CN" w:bidi="ar-SA"/>
              </w:rPr>
              <w:outlineLvl w:val="0"/>
            </w:pPr>
            <w:r>
              <w:rPr>
                <w:rFonts w:hint="eastAsia" w:ascii="宋体" w:hAnsi="宋体" w:eastAsia="宋体" w:cs="仿宋"/>
                <w:b w:val="0"/>
                <w:bCs w:val="0"/>
                <w:sz w:val="24"/>
                <w:szCs w:val="24"/>
                <w:highlight w:val="none"/>
                <w:lang w:val="en-US" w:eastAsia="zh-CN" w:bidi="ar-SA"/>
              </w:rPr>
              <w:t xml:space="preserve">（一）光伏组件</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选用组件功率差0-+5W</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2</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转换效率不低于21%</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3</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组件输出功率首年衰减率不高于</w:t>
            </w:r>
            <w:r>
              <w:rPr>
                <w:rFonts w:hint="eastAsia" w:ascii="Arial" w:hAnsi="Arial" w:cs="Times New Roman"/>
                <w:sz w:val="22"/>
                <w:szCs w:val="22"/>
                <w:highlight w:val="none"/>
                <w:lang w:val="en-US" w:eastAsia="zh-CN" w:bidi="ar-SA"/>
              </w:rPr>
              <w:t xml:space="preserve">1.0</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4</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其后的第2年每年输出功率最大衰减值不高于0.</w:t>
            </w:r>
            <w:r>
              <w:rPr>
                <w:rFonts w:hint="eastAsia" w:ascii="Arial" w:hAnsi="Arial" w:cs="Times New Roman"/>
                <w:sz w:val="22"/>
                <w:szCs w:val="22"/>
                <w:highlight w:val="none"/>
                <w:lang w:val="en-US" w:eastAsia="zh-CN" w:bidi="ar-SA"/>
              </w:rPr>
              <w:t xml:space="preserve">4</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5</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组件提供12年产品质保，</w:t>
            </w:r>
            <w:r>
              <w:rPr>
                <w:rFonts w:hint="eastAsia" w:ascii="Arial" w:hAnsi="Arial" w:cs="Times New Roman"/>
                <w:sz w:val="22"/>
                <w:szCs w:val="22"/>
                <w:highlight w:val="none"/>
                <w:lang w:val="en-US" w:eastAsia="zh-CN" w:bidi="ar-SA"/>
              </w:rPr>
              <w:t xml:space="preserve">30</w:t>
            </w:r>
            <w:r>
              <w:rPr>
                <w:rFonts w:hint="eastAsia" w:ascii="Arial" w:hAnsi="Arial" w:eastAsia="宋体" w:cs="Times New Roman"/>
                <w:sz w:val="22"/>
                <w:szCs w:val="22"/>
                <w:highlight w:val="none"/>
                <w:lang w:val="en-US" w:eastAsia="zh-CN" w:bidi="ar-SA"/>
              </w:rPr>
              <w:t xml:space="preserve">年功率保证</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6</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25年功率衰减不高于</w:t>
            </w:r>
            <w:r>
              <w:rPr>
                <w:rFonts w:hint="eastAsia" w:ascii="Arial" w:hAnsi="Arial" w:cs="Times New Roman"/>
                <w:sz w:val="22"/>
                <w:szCs w:val="22"/>
                <w:highlight w:val="none"/>
                <w:lang w:val="en-US" w:eastAsia="zh-CN" w:bidi="ar-SA"/>
              </w:rPr>
              <w:t xml:space="preserve">10.6</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gridSpan w:val="5"/>
            <w:tcW w:w="920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（二）逆变器</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7</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功率因数在-0.8~+0.8 之间可调</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8</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逆变器防护等级IP65</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9</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逆变器效率不小于98%</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10</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最大效率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 xml:space="preserve">98.5</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11</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中国效率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 xml:space="preserve">98</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gridSpan w:val="5"/>
            <w:tcW w:w="920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（五）支架</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12</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钢支架防腐宜采用热镀浸锌，镀锌层的平均厚度65μm</w:t>
            </w:r>
            <w:r/>
          </w:p>
        </w:tc>
        <w:tc>
          <w:tcPr>
            <w:tcW w:w="2410"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bl>
    <w:p>
      <w:pPr>
        <w:spacing w:after="200" w:line="276" w:lineRule="auto"/>
        <w:tabs>
          <w:tab w:val="left" w:pos="515" w:leader="none"/>
        </w:tabs>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ab/>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863"/>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headerReference w:type="default" r:id="rId11"/>
          <w:footerReference w:type="default" r:id="rId16"/>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139"/>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863"/>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15、招标代理服务费收费标准</w:t>
      </w:r>
      <w:r/>
    </w:p>
    <w:tbl>
      <w:tblPr>
        <w:tblStyle w:val="119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197"/>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197"/>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197"/>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197"/>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197"/>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197"/>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197"/>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197"/>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197"/>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197"/>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197"/>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197"/>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197"/>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197"/>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197"/>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197"/>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197"/>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197"/>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197"/>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197"/>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7.备注：</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1、收费标准执行本表的</w:t>
      </w:r>
      <w:r>
        <w:rPr>
          <w:rFonts w:hint="eastAsia" w:ascii="华文仿宋" w:hAnsi="华文仿宋" w:eastAsia="华文仿宋" w:cs="华文仿宋"/>
          <w:color w:val="000000"/>
          <w:sz w:val="24"/>
          <w:szCs w:val="24"/>
          <w:highlight w:val="none"/>
          <w:lang w:val="en-US" w:eastAsia="zh-CN"/>
        </w:rPr>
        <w:t xml:space="preserve">60</w:t>
      </w:r>
      <w:r>
        <w:rPr>
          <w:rFonts w:hint="eastAsia" w:ascii="华文仿宋" w:hAnsi="华文仿宋" w:eastAsia="华文仿宋" w:cs="华文仿宋"/>
          <w:color w:val="000000"/>
          <w:sz w:val="24"/>
          <w:szCs w:val="24"/>
          <w:highlight w:val="none"/>
        </w:rPr>
        <w:t xml:space="preserve">%，由成交供应商支付。</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2、关于进一步规范政府采购活动相关费用管理的通知（苏财规〔2026〕1号）</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（二）远程异地评标项目专家评审费按评审专家属地规定的标准支付。</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7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85"/>
        <w:rPr>
          <w:rFonts w:hint="eastAsia"/>
          <w:highlight w:val="none"/>
          <w:lang w:val="en-US" w:eastAsia="zh-CN"/>
        </w:rPr>
      </w:pPr>
      <w:r>
        <w:rPr>
          <w:rFonts w:hint="eastAsia"/>
          <w:highlight w:val="none"/>
          <w:lang w:val="en-US" w:eastAsia="zh-CN"/>
        </w:rPr>
      </w:r>
      <w:r/>
    </w:p>
    <w:p>
      <w:pPr>
        <w:pStyle w:val="888"/>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63"/>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16、关于符合本国产品标准的声明函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rPr>
          <w:rFonts w:hint="eastAsia" w:ascii="宋体" w:hAnsi="宋体" w:eastAsia="宋体" w:cs="宋体"/>
          <w:b/>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w:t>
      </w:r>
      <w:r>
        <w:rPr>
          <w:rFonts w:hint="eastAsia"/>
          <w:b/>
          <w:bCs/>
          <w:sz w:val="24"/>
          <w:highlight w:val="none"/>
          <w:lang w:val="en-US" w:eastAsia="zh-CN"/>
        </w:rPr>
        <w:t xml:space="preserve">（请填写完整，如不填写完整或未按要求填写的，视为非本国产品）</w:t>
      </w:r>
      <w:r/>
    </w:p>
    <w:p>
      <w:pPr>
        <w:pStyle w:val="878"/>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p>
      <w:pPr>
        <w:pStyle w:val="879"/>
        <w:rPr>
          <w:highlight w:val="none"/>
        </w:rPr>
      </w:pPr>
      <w:r>
        <w:rPr>
          <w:highlight w:val="none"/>
        </w:rPr>
      </w:r>
      <w:bookmarkEnd w:id="657"/>
      <w:r/>
      <w:r/>
    </w:p>
    <w:sectPr>
      <w:headerReference w:type="default" r:id="rId12"/>
      <w:footerReference w:type="default" r:id="rId17"/>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ambria">
    <w:panose1 w:val="02040503050406030204"/>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903"/>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90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3"/>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right" w:pos="4153" w:leader="none"/>
        <w:tab w:val="left" w:pos="8306" w:leader="underscore"/>
      </w:tabs>
      <w:rPr>
        <w:rStyle w:val="1160"/>
        <w:sz w:val="18"/>
      </w:rPr>
    </w:pPr>
    <w:r>
      <w:rPr>
        <w:sz w:val="18"/>
      </w:rPr>
    </w:r>
    <w:r/>
  </w:p>
  <w:p>
    <w:pPr>
      <w:pStyle w:val="886"/>
      <w:rPr>
        <w:rStyle w:val="1160"/>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firstLine="33"/>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4"/>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82"/>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uiPriority w:val="0"/>
    <w:qFormat/>
    <w:rPr>
      <w:rFonts w:hint="default" w:ascii="Times New Roman" w:hAnsi="Times New Roman" w:eastAsia="宋体" w:cs="Times New Roman"/>
      <w:lang w:val="en-US" w:eastAsia="zh-CN" w:bidi="ar-SA"/>
    </w:rPr>
  </w:style>
  <w:style w:type="paragraph" w:styleId="862">
    <w:name w:val="Heading 1"/>
    <w:basedOn w:val="873"/>
    <w:next w:val="873"/>
    <w:link w:val="931"/>
    <w:uiPriority w:val="0"/>
    <w:qFormat/>
    <w:pPr>
      <w:keepLines/>
      <w:keepNext/>
      <w:spacing w:before="480" w:after="200"/>
      <w:outlineLvl w:val="0"/>
    </w:pPr>
    <w:rPr>
      <w:rFonts w:ascii="Arial" w:hAnsi="Arial" w:eastAsia="Arial"/>
      <w:sz w:val="40"/>
      <w:szCs w:val="40"/>
    </w:rPr>
  </w:style>
  <w:style w:type="paragraph" w:styleId="863">
    <w:name w:val="Heading 2"/>
    <w:basedOn w:val="861"/>
    <w:next w:val="861"/>
    <w:link w:val="932"/>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864">
    <w:name w:val="Heading 3"/>
    <w:basedOn w:val="861"/>
    <w:next w:val="861"/>
    <w:link w:val="933"/>
    <w:uiPriority w:val="0"/>
    <w:semiHidden/>
    <w:unhideWhenUsed/>
    <w:qFormat/>
    <w:pPr>
      <w:keepLines/>
      <w:keepNext/>
      <w:spacing w:before="320" w:after="200"/>
      <w:outlineLvl w:val="2"/>
    </w:pPr>
    <w:rPr>
      <w:rFonts w:ascii="Arial" w:hAnsi="Arial" w:eastAsia="Arial"/>
      <w:sz w:val="30"/>
      <w:szCs w:val="30"/>
    </w:rPr>
  </w:style>
  <w:style w:type="paragraph" w:styleId="865">
    <w:name w:val="Heading 4"/>
    <w:basedOn w:val="861"/>
    <w:next w:val="861"/>
    <w:link w:val="934"/>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66">
    <w:name w:val="Heading 5"/>
    <w:next w:val="861"/>
    <w:link w:val="962"/>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67">
    <w:name w:val="Heading 6"/>
    <w:next w:val="861"/>
    <w:link w:val="963"/>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68">
    <w:name w:val="Heading 7"/>
    <w:next w:val="861"/>
    <w:link w:val="964"/>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69">
    <w:name w:val="Heading 8"/>
    <w:next w:val="861"/>
    <w:link w:val="965"/>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70">
    <w:name w:val="Heading 9"/>
    <w:next w:val="861"/>
    <w:link w:val="966"/>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71" w:default="1">
    <w:name w:val="Default Paragraph Font"/>
    <w:uiPriority w:val="0"/>
    <w:semiHidden/>
    <w:qFormat/>
  </w:style>
  <w:style w:type="table" w:styleId="872" w:default="1">
    <w:name w:val="Normal Table"/>
    <w:uiPriority w:val="0"/>
    <w:semiHidden/>
    <w:qFormat/>
    <w:tblPr>
      <w:tblCellMar>
        <w:left w:w="108" w:type="dxa"/>
        <w:top w:w="0" w:type="dxa"/>
        <w:right w:w="108" w:type="dxa"/>
        <w:bottom w:w="0" w:type="dxa"/>
      </w:tblCellMar>
    </w:tblPr>
  </w:style>
  <w:style w:type="paragraph" w:styleId="873">
    <w:name w:val="Block Text"/>
    <w:basedOn w:val="861"/>
    <w:uiPriority w:val="0"/>
    <w:qFormat/>
    <w:pPr>
      <w:ind w:left="256" w:right="6" w:firstLine="200"/>
    </w:pPr>
    <w:rPr>
      <w:rFonts w:eastAsia="仿宋_GB2312"/>
      <w:sz w:val="28"/>
    </w:rPr>
  </w:style>
  <w:style w:type="paragraph" w:styleId="874">
    <w:name w:val="toc 7"/>
    <w:next w:val="861"/>
    <w:uiPriority w:val="0"/>
    <w:qFormat/>
    <w:pPr>
      <w:ind w:left="1701"/>
      <w:spacing w:after="57"/>
    </w:pPr>
    <w:rPr>
      <w:rFonts w:hint="default" w:ascii="Times New Roman" w:hAnsi="Times New Roman" w:eastAsia="宋体" w:cs="Times New Roman"/>
      <w:lang w:val="en-US" w:eastAsia="zh-CN" w:bidi="ar-SA"/>
    </w:rPr>
  </w:style>
  <w:style w:type="paragraph" w:styleId="875">
    <w:name w:val="Normal Indent"/>
    <w:basedOn w:val="861"/>
    <w:uiPriority w:val="0"/>
    <w:qFormat/>
    <w:pPr>
      <w:ind w:firstLine="200"/>
    </w:pPr>
    <w:rPr>
      <w:rFonts w:ascii="Calibri" w:hAnsi="Calibri"/>
    </w:rPr>
  </w:style>
  <w:style w:type="paragraph" w:styleId="876">
    <w:name w:val="Caption"/>
    <w:next w:val="86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77">
    <w:name w:val="index 5"/>
    <w:basedOn w:val="861"/>
    <w:next w:val="861"/>
    <w:uiPriority w:val="0"/>
    <w:qFormat/>
    <w:pPr>
      <w:ind w:left="798"/>
    </w:pPr>
    <w:rPr>
      <w:rFonts w:ascii="Calibri" w:hAnsi="Calibri"/>
    </w:rPr>
  </w:style>
  <w:style w:type="paragraph" w:styleId="878">
    <w:name w:val="Body Text"/>
    <w:basedOn w:val="861"/>
    <w:next w:val="879"/>
    <w:uiPriority w:val="0"/>
    <w:qFormat/>
    <w:pPr>
      <w:spacing w:after="120"/>
      <w:widowControl w:val="off"/>
    </w:pPr>
  </w:style>
  <w:style w:type="paragraph" w:styleId="879" w:customStyle="1">
    <w:name w:val="一级条标题"/>
    <w:basedOn w:val="880"/>
    <w:next w:val="8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0" w:customStyle="1">
    <w:name w:val="章标题"/>
    <w:basedOn w:val="881"/>
    <w:next w:val="8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1" w:customStyle="1">
    <w:name w:val="正文111"/>
    <w:next w:val="882"/>
    <w:link w:val="1169"/>
    <w:uiPriority w:val="0"/>
    <w:qFormat/>
    <w:pPr>
      <w:jc w:val="both"/>
      <w:widowControl w:val="off"/>
    </w:pPr>
    <w:rPr>
      <w:rFonts w:hint="default" w:ascii="Times New Roman" w:hAnsi="Times New Roman" w:eastAsia="宋体" w:cs="Times New Roman"/>
      <w:b/>
      <w:lang w:val="en-US" w:eastAsia="zh-CN" w:bidi="ar-SA"/>
    </w:rPr>
  </w:style>
  <w:style w:type="paragraph" w:styleId="882" w:customStyle="1">
    <w:name w:val="标题 41"/>
    <w:basedOn w:val="883"/>
    <w:next w:val="883"/>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883" w:customStyle="1">
    <w:name w:val="正文12"/>
    <w:next w:val="884"/>
    <w:link w:val="11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标题 21"/>
    <w:basedOn w:val="883"/>
    <w:next w:val="883"/>
    <w:uiPriority w:val="0"/>
    <w:qFormat/>
    <w:pPr>
      <w:keepLines/>
      <w:keepNext/>
      <w:spacing w:before="260" w:after="260" w:line="416" w:lineRule="auto"/>
      <w:outlineLvl w:val="1"/>
    </w:pPr>
    <w:rPr>
      <w:rFonts w:ascii="Arial" w:hAnsi="Arial" w:eastAsia="黑体"/>
      <w:b/>
      <w:bCs/>
      <w:sz w:val="32"/>
      <w:szCs w:val="32"/>
    </w:rPr>
  </w:style>
  <w:style w:type="paragraph" w:styleId="885" w:customStyle="1">
    <w:name w:val="正文1"/>
    <w:basedOn w:val="886"/>
    <w:next w:val="888"/>
    <w:link w:val="1160"/>
    <w:uiPriority w:val="0"/>
    <w:qFormat/>
    <w:pPr>
      <w:ind w:left="360" w:firstLine="420"/>
      <w:jc w:val="left"/>
      <w:spacing w:line="360" w:lineRule="auto"/>
      <w:widowControl/>
    </w:pPr>
    <w:rPr>
      <w:rFonts w:ascii="宋体"/>
    </w:rPr>
  </w:style>
  <w:style w:type="paragraph" w:styleId="886" w:customStyle="1">
    <w:name w:val="正文11"/>
    <w:next w:val="887"/>
    <w:link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文本块1"/>
    <w:basedOn w:val="881"/>
    <w:next w:val="861"/>
    <w:uiPriority w:val="0"/>
    <w:qFormat/>
    <w:pPr>
      <w:ind w:left="256" w:right="6" w:firstLine="624"/>
    </w:pPr>
    <w:rPr>
      <w:rFonts w:eastAsia="仿宋_GB2312"/>
      <w:sz w:val="28"/>
      <w:szCs w:val="20"/>
    </w:rPr>
  </w:style>
  <w:style w:type="paragraph" w:styleId="888" w:customStyle="1">
    <w:name w:val="首行缩进"/>
    <w:basedOn w:val="885"/>
    <w:next w:val="861"/>
    <w:uiPriority w:val="0"/>
    <w:qFormat/>
    <w:pPr>
      <w:ind w:left="0" w:firstLine="200"/>
      <w:jc w:val="both"/>
      <w:widowControl w:val="off"/>
    </w:pPr>
    <w:rPr>
      <w:rFonts w:ascii="Times New Roman"/>
    </w:rPr>
  </w:style>
  <w:style w:type="paragraph" w:styleId="889" w:customStyle="1">
    <w:name w:val="段"/>
    <w:basedOn w:val="890"/>
    <w:next w:val="885"/>
    <w:uiPriority w:val="0"/>
    <w:qFormat/>
    <w:pPr>
      <w:ind w:firstLine="200"/>
      <w:widowControl/>
    </w:pPr>
    <w:rPr>
      <w:rFonts w:ascii="宋体"/>
    </w:rPr>
  </w:style>
  <w:style w:type="paragraph" w:styleId="890" w:customStyle="1">
    <w:name w:val="正文13"/>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1"/>
    <w:basedOn w:val="892"/>
    <w:next w:val="893"/>
    <w:uiPriority w:val="0"/>
    <w:qFormat/>
    <w:pPr>
      <w:ind w:firstLine="200"/>
      <w:spacing w:line="360" w:lineRule="auto"/>
    </w:pPr>
    <w:rPr>
      <w:rFonts w:ascii="仿宋_GB2312" w:eastAsia="仿宋_GB2312"/>
      <w:sz w:val="30"/>
      <w:szCs w:val="30"/>
    </w:rPr>
  </w:style>
  <w:style w:type="paragraph" w:styleId="892" w:customStyle="1">
    <w:name w:val="正文文本11"/>
    <w:basedOn w:val="886"/>
    <w:next w:val="886"/>
    <w:uiPriority w:val="0"/>
    <w:qFormat/>
  </w:style>
  <w:style w:type="paragraph" w:styleId="893" w:customStyle="1">
    <w:name w:val="正文首行缩进 21"/>
    <w:basedOn w:val="894"/>
    <w:next w:val="881"/>
    <w:uiPriority w:val="0"/>
    <w:qFormat/>
    <w:pPr>
      <w:ind w:left="420" w:firstLine="200"/>
      <w:spacing w:after="120"/>
    </w:pPr>
    <w:rPr>
      <w:rFonts w:ascii="Times New Roman" w:hAnsi="Times New Roman"/>
      <w:sz w:val="21"/>
    </w:rPr>
  </w:style>
  <w:style w:type="paragraph" w:styleId="894" w:customStyle="1">
    <w:name w:val="正文文本缩进1"/>
    <w:basedOn w:val="883"/>
    <w:next w:val="895"/>
    <w:uiPriority w:val="0"/>
    <w:qFormat/>
    <w:pPr>
      <w:ind w:left="420"/>
      <w:spacing w:after="120"/>
    </w:pPr>
  </w:style>
  <w:style w:type="paragraph" w:styleId="895" w:customStyle="1">
    <w:name w:val="寄信人地址1"/>
    <w:basedOn w:val="881"/>
    <w:uiPriority w:val="0"/>
    <w:qFormat/>
    <w:pPr>
      <w:spacing w:line="360" w:lineRule="auto"/>
    </w:pPr>
    <w:rPr>
      <w:rFonts w:ascii="Arial" w:hAnsi="Arial"/>
    </w:rPr>
  </w:style>
  <w:style w:type="paragraph" w:styleId="896">
    <w:name w:val="Body Text Indent"/>
    <w:basedOn w:val="861"/>
    <w:uiPriority w:val="0"/>
    <w:qFormat/>
    <w:pPr>
      <w:ind w:left="420"/>
      <w:spacing w:after="120"/>
    </w:pPr>
  </w:style>
  <w:style w:type="paragraph" w:styleId="897">
    <w:name w:val="toc 5"/>
    <w:next w:val="861"/>
    <w:uiPriority w:val="0"/>
    <w:qFormat/>
    <w:pPr>
      <w:ind w:left="1134"/>
      <w:spacing w:after="57"/>
    </w:pPr>
    <w:rPr>
      <w:rFonts w:hint="default" w:ascii="Times New Roman" w:hAnsi="Times New Roman" w:eastAsia="宋体" w:cs="Times New Roman"/>
      <w:lang w:val="en-US" w:eastAsia="zh-CN" w:bidi="ar-SA"/>
    </w:rPr>
  </w:style>
  <w:style w:type="paragraph" w:styleId="898">
    <w:name w:val="toc 3"/>
    <w:next w:val="861"/>
    <w:uiPriority w:val="0"/>
    <w:qFormat/>
    <w:pPr>
      <w:ind w:left="567"/>
      <w:spacing w:after="57"/>
    </w:pPr>
    <w:rPr>
      <w:rFonts w:hint="default" w:ascii="Times New Roman" w:hAnsi="Times New Roman" w:eastAsia="宋体" w:cs="Times New Roman"/>
      <w:lang w:val="en-US" w:eastAsia="zh-CN" w:bidi="ar-SA"/>
    </w:rPr>
  </w:style>
  <w:style w:type="paragraph" w:styleId="899">
    <w:name w:val="Plain Text"/>
    <w:basedOn w:val="861"/>
    <w:uiPriority w:val="0"/>
    <w:qFormat/>
    <w:rPr>
      <w:rFonts w:ascii="宋体" w:hAnsi="Courier New"/>
      <w:szCs w:val="21"/>
    </w:rPr>
  </w:style>
  <w:style w:type="paragraph" w:styleId="900">
    <w:name w:val="toc 8"/>
    <w:next w:val="861"/>
    <w:uiPriority w:val="0"/>
    <w:qFormat/>
    <w:pPr>
      <w:ind w:left="1984"/>
      <w:spacing w:after="57"/>
    </w:pPr>
    <w:rPr>
      <w:rFonts w:hint="default" w:ascii="Times New Roman" w:hAnsi="Times New Roman" w:eastAsia="宋体" w:cs="Times New Roman"/>
      <w:lang w:val="en-US" w:eastAsia="zh-CN" w:bidi="ar-SA"/>
    </w:rPr>
  </w:style>
  <w:style w:type="paragraph" w:styleId="901">
    <w:name w:val="endnote text"/>
    <w:link w:val="1103"/>
    <w:uiPriority w:val="0"/>
    <w:qFormat/>
    <w:rPr>
      <w:rFonts w:hint="default" w:ascii="Times New Roman" w:hAnsi="Times New Roman" w:eastAsia="宋体" w:cs="Times New Roman"/>
      <w:lang w:val="en-US" w:eastAsia="zh-CN" w:bidi="ar-SA"/>
    </w:rPr>
  </w:style>
  <w:style w:type="paragraph" w:styleId="902">
    <w:name w:val="Balloon Text"/>
    <w:basedOn w:val="861"/>
    <w:link w:val="1179"/>
    <w:uiPriority w:val="0"/>
    <w:qFormat/>
    <w:rPr>
      <w:sz w:val="18"/>
      <w:szCs w:val="18"/>
    </w:rPr>
  </w:style>
  <w:style w:type="paragraph" w:styleId="903">
    <w:name w:val="Footer"/>
    <w:basedOn w:val="861"/>
    <w:link w:val="976"/>
    <w:uiPriority w:val="99"/>
    <w:unhideWhenUsed/>
    <w:qFormat/>
    <w:pPr>
      <w:tabs>
        <w:tab w:val="center" w:pos="7143" w:leader="none"/>
        <w:tab w:val="right" w:pos="14287" w:leader="none"/>
      </w:tabs>
    </w:pPr>
  </w:style>
  <w:style w:type="paragraph" w:styleId="904">
    <w:name w:val="envelope return"/>
    <w:basedOn w:val="861"/>
    <w:uiPriority w:val="0"/>
    <w:qFormat/>
    <w:rPr>
      <w:rFonts w:ascii="Arial" w:hAnsi="Arial"/>
    </w:rPr>
  </w:style>
  <w:style w:type="paragraph" w:styleId="905">
    <w:name w:val="Header"/>
    <w:basedOn w:val="861"/>
    <w:link w:val="974"/>
    <w:uiPriority w:val="0"/>
    <w:qFormat/>
    <w:pPr>
      <w:tabs>
        <w:tab w:val="center" w:pos="7143" w:leader="none"/>
        <w:tab w:val="right" w:pos="14287" w:leader="none"/>
      </w:tabs>
    </w:pPr>
  </w:style>
  <w:style w:type="paragraph" w:styleId="906">
    <w:name w:val="toc 1"/>
    <w:basedOn w:val="861"/>
    <w:next w:val="861"/>
    <w:uiPriority w:val="39"/>
    <w:unhideWhenUsed/>
    <w:qFormat/>
    <w:pPr>
      <w:spacing w:after="57"/>
    </w:pPr>
    <w:rPr>
      <w:rFonts w:ascii="Times New Roman" w:hAnsi="Times New Roman" w:eastAsia="宋体" w:cs="Times New Roman"/>
      <w:lang w:val="en-US" w:eastAsia="zh-CN" w:bidi="ar-SA"/>
    </w:rPr>
  </w:style>
  <w:style w:type="paragraph" w:styleId="907">
    <w:name w:val="toc 4"/>
    <w:next w:val="861"/>
    <w:uiPriority w:val="0"/>
    <w:qFormat/>
    <w:pPr>
      <w:ind w:left="850"/>
      <w:spacing w:after="57"/>
    </w:pPr>
    <w:rPr>
      <w:rFonts w:hint="default" w:ascii="Times New Roman" w:hAnsi="Times New Roman" w:eastAsia="宋体" w:cs="Times New Roman"/>
      <w:lang w:val="en-US" w:eastAsia="zh-CN" w:bidi="ar-SA"/>
    </w:rPr>
  </w:style>
  <w:style w:type="paragraph" w:styleId="908">
    <w:name w:val="Subtitle"/>
    <w:link w:val="969"/>
    <w:uiPriority w:val="0"/>
    <w:qFormat/>
    <w:pPr>
      <w:spacing w:before="200" w:after="200"/>
    </w:pPr>
    <w:rPr>
      <w:rFonts w:hint="default" w:ascii="Times New Roman" w:hAnsi="Times New Roman" w:eastAsia="宋体" w:cs="Times New Roman"/>
      <w:sz w:val="24"/>
      <w:szCs w:val="24"/>
      <w:lang w:val="en-US" w:eastAsia="zh-CN" w:bidi="ar-SA"/>
    </w:rPr>
  </w:style>
  <w:style w:type="paragraph" w:styleId="909">
    <w:name w:val="footnote text"/>
    <w:basedOn w:val="861"/>
    <w:link w:val="1102"/>
    <w:uiPriority w:val="0"/>
    <w:qFormat/>
    <w:pPr>
      <w:spacing w:after="40"/>
    </w:pPr>
    <w:rPr>
      <w:sz w:val="18"/>
    </w:rPr>
  </w:style>
  <w:style w:type="paragraph" w:styleId="910">
    <w:name w:val="toc 6"/>
    <w:next w:val="861"/>
    <w:uiPriority w:val="0"/>
    <w:qFormat/>
    <w:pPr>
      <w:ind w:left="1417"/>
      <w:spacing w:after="57"/>
    </w:pPr>
    <w:rPr>
      <w:rFonts w:hint="default" w:ascii="Times New Roman" w:hAnsi="Times New Roman" w:eastAsia="宋体" w:cs="Times New Roman"/>
      <w:lang w:val="en-US" w:eastAsia="zh-CN" w:bidi="ar-SA"/>
    </w:rPr>
  </w:style>
  <w:style w:type="paragraph" w:styleId="911">
    <w:name w:val="table of figures"/>
    <w:next w:val="861"/>
    <w:uiPriority w:val="0"/>
    <w:qFormat/>
    <w:rPr>
      <w:rFonts w:hint="default" w:ascii="Times New Roman" w:hAnsi="Times New Roman" w:eastAsia="宋体" w:cs="Times New Roman"/>
      <w:lang w:val="en-US" w:eastAsia="zh-CN" w:bidi="ar-SA"/>
    </w:rPr>
  </w:style>
  <w:style w:type="paragraph" w:styleId="912">
    <w:name w:val="toc 2"/>
    <w:next w:val="861"/>
    <w:uiPriority w:val="0"/>
    <w:qFormat/>
    <w:pPr>
      <w:ind w:left="283"/>
      <w:spacing w:after="57"/>
    </w:pPr>
    <w:rPr>
      <w:rFonts w:hint="default" w:ascii="Times New Roman" w:hAnsi="Times New Roman" w:eastAsia="宋体" w:cs="Times New Roman"/>
      <w:lang w:val="en-US" w:eastAsia="zh-CN" w:bidi="ar-SA"/>
    </w:rPr>
  </w:style>
  <w:style w:type="paragraph" w:styleId="913">
    <w:name w:val="toc 9"/>
    <w:next w:val="861"/>
    <w:uiPriority w:val="0"/>
    <w:qFormat/>
    <w:pPr>
      <w:ind w:left="2268"/>
      <w:spacing w:after="57"/>
    </w:pPr>
    <w:rPr>
      <w:rFonts w:hint="default" w:ascii="Times New Roman" w:hAnsi="Times New Roman" w:eastAsia="宋体" w:cs="Times New Roman"/>
      <w:lang w:val="en-US" w:eastAsia="zh-CN" w:bidi="ar-SA"/>
    </w:rPr>
  </w:style>
  <w:style w:type="paragraph" w:styleId="914">
    <w:name w:val="Normal (Web)"/>
    <w:basedOn w:val="861"/>
    <w:uiPriority w:val="0"/>
    <w:qFormat/>
    <w:pPr>
      <w:spacing w:beforeAutospacing="1" w:afterAutospacing="1"/>
    </w:pPr>
    <w:rPr>
      <w:rFonts w:ascii="宋体" w:hAnsi="宋体" w:cs="宋体"/>
      <w:sz w:val="24"/>
    </w:rPr>
  </w:style>
  <w:style w:type="paragraph" w:styleId="915">
    <w:name w:val="Title"/>
    <w:basedOn w:val="861"/>
    <w:next w:val="899"/>
    <w:link w:val="968"/>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916">
    <w:name w:val="Body Text First Indent"/>
    <w:basedOn w:val="878"/>
    <w:next w:val="917"/>
    <w:uiPriority w:val="0"/>
    <w:qFormat/>
    <w:pPr>
      <w:ind w:firstLine="420"/>
    </w:pPr>
  </w:style>
  <w:style w:type="paragraph" w:styleId="917">
    <w:name w:val="Body Text First Indent 2"/>
    <w:basedOn w:val="896"/>
    <w:uiPriority w:val="0"/>
    <w:qFormat/>
    <w:pPr>
      <w:ind w:firstLine="200"/>
    </w:pPr>
  </w:style>
  <w:style w:type="table" w:styleId="91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0"/>
    <w:qFormat/>
    <w:rPr>
      <w:vertAlign w:val="superscript"/>
    </w:rPr>
  </w:style>
  <w:style w:type="character" w:styleId="920">
    <w:name w:val="FollowedHyperlink"/>
    <w:basedOn w:val="871"/>
    <w:uiPriority w:val="0"/>
    <w:qFormat/>
    <w:rPr>
      <w:color w:val="333333"/>
      <w:u w:val="none"/>
    </w:rPr>
  </w:style>
  <w:style w:type="character" w:styleId="921">
    <w:name w:val="Hyperlink"/>
    <w:basedOn w:val="871"/>
    <w:uiPriority w:val="0"/>
    <w:qFormat/>
    <w:rPr>
      <w:color w:val="333333"/>
      <w:u w:val="none"/>
    </w:rPr>
  </w:style>
  <w:style w:type="character" w:styleId="922">
    <w:name w:val="annotation reference"/>
    <w:basedOn w:val="871"/>
    <w:uiPriority w:val="99"/>
    <w:semiHidden/>
    <w:unhideWhenUsed/>
    <w:qFormat/>
    <w:rPr>
      <w:sz w:val="16"/>
      <w:szCs w:val="16"/>
    </w:rPr>
  </w:style>
  <w:style w:type="character" w:styleId="923">
    <w:name w:val="footnote reference"/>
    <w:uiPriority w:val="0"/>
    <w:qFormat/>
    <w:rPr>
      <w:vertAlign w:val="superscript"/>
    </w:rPr>
  </w:style>
  <w:style w:type="paragraph" w:styleId="924" w:customStyle="1">
    <w:name w:val="标题 11"/>
    <w:basedOn w:val="925"/>
    <w:uiPriority w:val="0"/>
    <w:qFormat/>
    <w:pPr>
      <w:keepLines/>
      <w:keepNext/>
      <w:spacing w:before="340" w:after="330" w:line="578" w:lineRule="atLeast"/>
      <w:outlineLvl w:val="0"/>
    </w:pPr>
    <w:rPr>
      <w:sz w:val="44"/>
    </w:rPr>
  </w:style>
  <w:style w:type="paragraph" w:styleId="925" w:customStyle="1">
    <w:name w:val="文本块11"/>
    <w:basedOn w:val="926"/>
    <w:uiPriority w:val="0"/>
    <w:qFormat/>
    <w:pPr>
      <w:ind w:left="1440" w:right="1440"/>
      <w:spacing w:after="120"/>
    </w:pPr>
  </w:style>
  <w:style w:type="paragraph" w:styleId="926" w:customStyle="1">
    <w:name w:val="正文121"/>
    <w:next w:val="927"/>
    <w:uiPriority w:val="0"/>
    <w:qFormat/>
    <w:pPr>
      <w:jc w:val="both"/>
      <w:widowControl w:val="off"/>
    </w:pPr>
    <w:rPr>
      <w:rFonts w:hint="default" w:ascii="Times New Roman" w:hAnsi="Times New Roman" w:eastAsia="宋体" w:cs="Times New Roman"/>
      <w:sz w:val="21"/>
      <w:szCs w:val="24"/>
    </w:rPr>
  </w:style>
  <w:style w:type="paragraph" w:styleId="927" w:customStyle="1">
    <w:name w:val="目录 21"/>
    <w:basedOn w:val="881"/>
    <w:next w:val="881"/>
    <w:uiPriority w:val="0"/>
    <w:qFormat/>
    <w:pPr>
      <w:ind w:left="420"/>
    </w:pPr>
  </w:style>
  <w:style w:type="paragraph" w:styleId="928" w:customStyle="1">
    <w:name w:val="目录 11"/>
    <w:basedOn w:val="929"/>
    <w:next w:val="885"/>
    <w:uiPriority w:val="0"/>
    <w:qFormat/>
    <w:pPr>
      <w:jc w:val="left"/>
      <w:spacing w:after="100" w:line="259" w:lineRule="auto"/>
      <w:widowControl/>
    </w:pPr>
    <w:rPr>
      <w:rFonts w:ascii="Calibri" w:hAnsi="Calibri"/>
      <w:sz w:val="22"/>
      <w:szCs w:val="22"/>
    </w:rPr>
  </w:style>
  <w:style w:type="paragraph" w:styleId="929" w:customStyle="1">
    <w:name w:val="正文112"/>
    <w:next w:val="89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30" w:customStyle="1">
    <w:name w:val="正文文本1"/>
    <w:basedOn w:val="885"/>
    <w:next w:val="886"/>
    <w:uiPriority w:val="0"/>
    <w:qFormat/>
    <w:pPr>
      <w:ind w:left="1540"/>
    </w:pPr>
    <w:rPr>
      <w:sz w:val="24"/>
    </w:rPr>
  </w:style>
  <w:style w:type="character" w:styleId="931" w:customStyle="1">
    <w:name w:val="标题 1 Char"/>
    <w:link w:val="862"/>
    <w:uiPriority w:val="9"/>
    <w:qFormat/>
    <w:rPr>
      <w:rFonts w:ascii="Arial" w:hAnsi="Arial" w:eastAsia="Arial" w:cs="Arial"/>
      <w:sz w:val="40"/>
      <w:szCs w:val="40"/>
    </w:rPr>
  </w:style>
  <w:style w:type="character" w:styleId="932" w:customStyle="1">
    <w:name w:val="标题 2 Char"/>
    <w:link w:val="863"/>
    <w:uiPriority w:val="9"/>
    <w:qFormat/>
    <w:rPr>
      <w:rFonts w:ascii="Arial" w:hAnsi="Arial" w:eastAsia="Arial"/>
      <w:sz w:val="34"/>
      <w:lang w:bidi="ar-SA"/>
    </w:rPr>
  </w:style>
  <w:style w:type="character" w:styleId="933" w:customStyle="1">
    <w:name w:val="标题 3 Char"/>
    <w:link w:val="864"/>
    <w:uiPriority w:val="9"/>
    <w:qFormat/>
    <w:rPr>
      <w:rFonts w:ascii="Arial" w:hAnsi="Arial" w:eastAsia="Arial" w:cs="Arial"/>
      <w:sz w:val="30"/>
      <w:szCs w:val="30"/>
    </w:rPr>
  </w:style>
  <w:style w:type="character" w:styleId="934" w:customStyle="1">
    <w:name w:val="标题 4 Char"/>
    <w:link w:val="865"/>
    <w:uiPriority w:val="9"/>
    <w:qFormat/>
    <w:rPr>
      <w:rFonts w:ascii="Arial" w:hAnsi="Arial" w:eastAsia="Arial"/>
      <w:b/>
      <w:bCs/>
      <w:sz w:val="26"/>
      <w:szCs w:val="26"/>
      <w:lang w:bidi="ar-SA"/>
    </w:rPr>
  </w:style>
  <w:style w:type="paragraph" w:styleId="935" w:customStyle="1">
    <w:name w:val="脚注文本1"/>
    <w:basedOn w:val="883"/>
    <w:next w:val="936"/>
    <w:link w:val="1128"/>
    <w:uiPriority w:val="0"/>
    <w:qFormat/>
    <w:pPr>
      <w:jc w:val="left"/>
    </w:pPr>
    <w:rPr>
      <w:sz w:val="18"/>
      <w:szCs w:val="24"/>
    </w:rPr>
  </w:style>
  <w:style w:type="paragraph" w:styleId="936" w:customStyle="1">
    <w:name w:val="索引 51"/>
    <w:basedOn w:val="881"/>
    <w:next w:val="885"/>
    <w:uiPriority w:val="0"/>
    <w:qFormat/>
    <w:pPr>
      <w:ind w:left="798"/>
      <w:jc w:val="left"/>
    </w:pPr>
  </w:style>
  <w:style w:type="paragraph" w:styleId="937" w:customStyle="1">
    <w:name w:val="正文文本111"/>
    <w:basedOn w:val="883"/>
    <w:next w:val="883"/>
    <w:uiPriority w:val="0"/>
    <w:qFormat/>
  </w:style>
  <w:style w:type="paragraph" w:styleId="938" w:customStyle="1">
    <w:name w:val="正文缩进1"/>
    <w:basedOn w:val="883"/>
    <w:uiPriority w:val="0"/>
    <w:qFormat/>
    <w:pPr>
      <w:ind w:firstLine="420"/>
      <w:jc w:val="left"/>
    </w:pPr>
    <w:rPr>
      <w:rFonts w:ascii="宋体" w:hAnsi="Calibri"/>
      <w:sz w:val="24"/>
      <w:szCs w:val="22"/>
    </w:rPr>
  </w:style>
  <w:style w:type="paragraph" w:styleId="939" w:customStyle="1">
    <w:name w:val="正文文本缩进11"/>
    <w:basedOn w:val="929"/>
    <w:next w:val="940"/>
    <w:link w:val="1111"/>
    <w:uiPriority w:val="0"/>
    <w:qFormat/>
    <w:pPr>
      <w:ind w:firstLine="301"/>
      <w:spacing w:line="200" w:lineRule="exact"/>
    </w:pPr>
    <w:rPr>
      <w:rFonts w:ascii="宋体" w:hAnsi="Courier New"/>
      <w:spacing w:val="-4"/>
      <w:sz w:val="18"/>
    </w:rPr>
  </w:style>
  <w:style w:type="paragraph" w:styleId="940" w:customStyle="1">
    <w:name w:val="样式 正文文本缩进 + 首行缩进:  2 字符 行距: 1.5 倍行距"/>
    <w:basedOn w:val="939"/>
    <w:uiPriority w:val="0"/>
    <w:qFormat/>
    <w:pPr>
      <w:ind w:firstLine="645"/>
      <w:spacing w:before="156" w:after="120"/>
    </w:pPr>
    <w:rPr>
      <w:rFonts w:ascii="Calibri" w:hAnsi="Calibri"/>
      <w:sz w:val="28"/>
    </w:rPr>
  </w:style>
  <w:style w:type="paragraph" w:styleId="941" w:customStyle="1">
    <w:name w:val="正文首行缩进 211"/>
    <w:basedOn w:val="939"/>
    <w:next w:val="929"/>
    <w:uiPriority w:val="0"/>
    <w:qFormat/>
    <w:pPr>
      <w:ind w:firstLine="420"/>
    </w:pPr>
    <w:rPr>
      <w:sz w:val="24"/>
    </w:rPr>
  </w:style>
  <w:style w:type="character" w:styleId="942" w:customStyle="1">
    <w:name w:val="Heading 1 Char"/>
    <w:basedOn w:val="871"/>
    <w:uiPriority w:val="9"/>
    <w:qFormat/>
    <w:rPr>
      <w:rFonts w:ascii="Arial" w:hAnsi="Arial" w:eastAsia="Arial" w:cs="Arial"/>
      <w:sz w:val="40"/>
      <w:szCs w:val="40"/>
    </w:rPr>
  </w:style>
  <w:style w:type="character" w:styleId="943" w:customStyle="1">
    <w:name w:val="Heading 2 Char"/>
    <w:basedOn w:val="871"/>
    <w:uiPriority w:val="9"/>
    <w:qFormat/>
    <w:rPr>
      <w:rFonts w:ascii="Arial" w:hAnsi="Arial" w:eastAsia="Arial" w:cs="Arial"/>
      <w:sz w:val="34"/>
    </w:rPr>
  </w:style>
  <w:style w:type="character" w:styleId="944" w:customStyle="1">
    <w:name w:val="Heading 3 Char"/>
    <w:basedOn w:val="871"/>
    <w:uiPriority w:val="9"/>
    <w:qFormat/>
    <w:rPr>
      <w:rFonts w:ascii="Arial" w:hAnsi="Arial" w:eastAsia="Arial" w:cs="Arial"/>
      <w:sz w:val="30"/>
      <w:szCs w:val="30"/>
    </w:rPr>
  </w:style>
  <w:style w:type="character" w:styleId="945" w:customStyle="1">
    <w:name w:val="Heading 4 Char"/>
    <w:basedOn w:val="871"/>
    <w:uiPriority w:val="9"/>
    <w:qFormat/>
    <w:rPr>
      <w:rFonts w:ascii="Arial" w:hAnsi="Arial" w:eastAsia="Arial" w:cs="Arial"/>
      <w:b/>
      <w:bCs/>
      <w:sz w:val="26"/>
      <w:szCs w:val="26"/>
    </w:rPr>
  </w:style>
  <w:style w:type="character" w:styleId="946" w:customStyle="1">
    <w:name w:val="Heading 5 Char"/>
    <w:basedOn w:val="871"/>
    <w:uiPriority w:val="9"/>
    <w:qFormat/>
    <w:rPr>
      <w:rFonts w:ascii="Arial" w:hAnsi="Arial" w:eastAsia="Arial" w:cs="Arial"/>
      <w:b/>
      <w:bCs/>
      <w:sz w:val="24"/>
      <w:szCs w:val="24"/>
    </w:rPr>
  </w:style>
  <w:style w:type="character" w:styleId="947" w:customStyle="1">
    <w:name w:val="Heading 6 Char"/>
    <w:basedOn w:val="871"/>
    <w:uiPriority w:val="9"/>
    <w:qFormat/>
    <w:rPr>
      <w:rFonts w:ascii="Arial" w:hAnsi="Arial" w:eastAsia="Arial" w:cs="Arial"/>
      <w:b/>
      <w:bCs/>
      <w:sz w:val="22"/>
      <w:szCs w:val="22"/>
    </w:rPr>
  </w:style>
  <w:style w:type="character" w:styleId="948" w:customStyle="1">
    <w:name w:val="Heading 7 Char"/>
    <w:basedOn w:val="871"/>
    <w:uiPriority w:val="9"/>
    <w:qFormat/>
    <w:rPr>
      <w:rFonts w:ascii="Arial" w:hAnsi="Arial" w:eastAsia="Arial" w:cs="Arial"/>
      <w:b/>
      <w:bCs/>
      <w:i/>
      <w:iCs/>
      <w:sz w:val="22"/>
      <w:szCs w:val="22"/>
    </w:rPr>
  </w:style>
  <w:style w:type="character" w:styleId="949" w:customStyle="1">
    <w:name w:val="Heading 8 Char"/>
    <w:basedOn w:val="871"/>
    <w:uiPriority w:val="9"/>
    <w:qFormat/>
    <w:rPr>
      <w:rFonts w:ascii="Arial" w:hAnsi="Arial" w:eastAsia="Arial" w:cs="Arial"/>
      <w:i/>
      <w:iCs/>
      <w:sz w:val="22"/>
      <w:szCs w:val="22"/>
    </w:rPr>
  </w:style>
  <w:style w:type="character" w:styleId="950" w:customStyle="1">
    <w:name w:val="Heading 9 Char"/>
    <w:basedOn w:val="871"/>
    <w:uiPriority w:val="9"/>
    <w:qFormat/>
    <w:rPr>
      <w:rFonts w:ascii="Arial" w:hAnsi="Arial" w:eastAsia="Arial" w:cs="Arial"/>
      <w:i/>
      <w:iCs/>
      <w:sz w:val="21"/>
      <w:szCs w:val="21"/>
    </w:rPr>
  </w:style>
  <w:style w:type="character" w:styleId="951" w:customStyle="1">
    <w:name w:val="Title Char"/>
    <w:basedOn w:val="871"/>
    <w:uiPriority w:val="10"/>
    <w:qFormat/>
    <w:rPr>
      <w:sz w:val="48"/>
      <w:szCs w:val="48"/>
    </w:rPr>
  </w:style>
  <w:style w:type="character" w:styleId="952" w:customStyle="1">
    <w:name w:val="Subtitle Char"/>
    <w:basedOn w:val="871"/>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Header Char"/>
    <w:basedOn w:val="871"/>
    <w:uiPriority w:val="99"/>
    <w:qFormat/>
  </w:style>
  <w:style w:type="character" w:styleId="956" w:customStyle="1">
    <w:name w:val="Caption Char"/>
    <w:uiPriority w:val="99"/>
    <w:qFormat/>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name w:val="List Paragraph"/>
    <w:basedOn w:val="861"/>
    <w:uiPriority w:val="0"/>
    <w:qFormat/>
    <w:pPr>
      <w:ind w:firstLine="420"/>
    </w:pPr>
  </w:style>
  <w:style w:type="paragraph" w:styleId="96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62" w:customStyle="1">
    <w:name w:val="标题 5 Char"/>
    <w:link w:val="866"/>
    <w:uiPriority w:val="9"/>
    <w:qFormat/>
    <w:rPr>
      <w:rFonts w:ascii="Arial" w:hAnsi="Arial" w:eastAsia="Arial"/>
      <w:b/>
      <w:bCs/>
      <w:sz w:val="24"/>
      <w:szCs w:val="24"/>
      <w:lang w:bidi="ar-SA"/>
    </w:rPr>
  </w:style>
  <w:style w:type="character" w:styleId="963" w:customStyle="1">
    <w:name w:val="标题 6 Char"/>
    <w:link w:val="867"/>
    <w:uiPriority w:val="9"/>
    <w:qFormat/>
    <w:rPr>
      <w:rFonts w:ascii="Arial" w:hAnsi="Arial" w:eastAsia="Arial"/>
      <w:b/>
      <w:bCs/>
      <w:sz w:val="22"/>
      <w:szCs w:val="22"/>
      <w:lang w:bidi="ar-SA"/>
    </w:rPr>
  </w:style>
  <w:style w:type="character" w:styleId="964" w:customStyle="1">
    <w:name w:val="标题 7 Char"/>
    <w:link w:val="868"/>
    <w:uiPriority w:val="9"/>
    <w:qFormat/>
    <w:rPr>
      <w:rFonts w:ascii="Arial" w:hAnsi="Arial" w:eastAsia="Arial"/>
      <w:b/>
      <w:bCs/>
      <w:i/>
      <w:iCs/>
      <w:sz w:val="22"/>
      <w:szCs w:val="22"/>
      <w:lang w:bidi="ar-SA"/>
    </w:rPr>
  </w:style>
  <w:style w:type="character" w:styleId="965" w:customStyle="1">
    <w:name w:val="标题 8 Char"/>
    <w:link w:val="869"/>
    <w:uiPriority w:val="9"/>
    <w:qFormat/>
    <w:rPr>
      <w:rFonts w:ascii="Arial" w:hAnsi="Arial" w:eastAsia="Arial"/>
      <w:i/>
      <w:iCs/>
      <w:sz w:val="22"/>
      <w:szCs w:val="22"/>
      <w:lang w:bidi="ar-SA"/>
    </w:rPr>
  </w:style>
  <w:style w:type="character" w:styleId="966" w:customStyle="1">
    <w:name w:val="标题 9 Char"/>
    <w:link w:val="870"/>
    <w:uiPriority w:val="9"/>
    <w:qFormat/>
    <w:rPr>
      <w:rFonts w:ascii="Arial" w:hAnsi="Arial" w:eastAsia="Arial"/>
      <w:i/>
      <w:iCs/>
      <w:sz w:val="21"/>
      <w:szCs w:val="21"/>
      <w:lang w:bidi="ar-SA"/>
    </w:rPr>
  </w:style>
  <w:style w:type="paragraph" w:styleId="967">
    <w:name w:val="No Spacing"/>
    <w:uiPriority w:val="1"/>
    <w:qFormat/>
    <w:rPr>
      <w:rFonts w:hint="default" w:ascii="Times New Roman" w:hAnsi="Times New Roman" w:eastAsia="宋体" w:cs="Times New Roman"/>
      <w:lang w:val="en-US" w:eastAsia="zh-CN" w:bidi="ar-SA"/>
    </w:rPr>
  </w:style>
  <w:style w:type="character" w:styleId="968" w:customStyle="1">
    <w:name w:val="标题 Char"/>
    <w:link w:val="915"/>
    <w:uiPriority w:val="10"/>
    <w:qFormat/>
    <w:rPr>
      <w:sz w:val="48"/>
      <w:szCs w:val="48"/>
      <w:lang w:bidi="ar-SA"/>
    </w:rPr>
  </w:style>
  <w:style w:type="character" w:styleId="969" w:customStyle="1">
    <w:name w:val="副标题 Char"/>
    <w:link w:val="908"/>
    <w:uiPriority w:val="11"/>
    <w:qFormat/>
    <w:rPr>
      <w:sz w:val="24"/>
      <w:szCs w:val="24"/>
      <w:lang w:bidi="ar-SA"/>
    </w:rPr>
  </w:style>
  <w:style w:type="paragraph" w:styleId="970">
    <w:name w:val="Quote"/>
    <w:link w:val="971"/>
    <w:uiPriority w:val="29"/>
    <w:qFormat/>
    <w:pPr>
      <w:ind w:left="720" w:right="720"/>
    </w:pPr>
    <w:rPr>
      <w:rFonts w:hint="default" w:ascii="Times New Roman" w:hAnsi="Times New Roman" w:eastAsia="宋体" w:cs="Times New Roman"/>
      <w:i/>
      <w:lang w:val="en-US" w:eastAsia="zh-CN" w:bidi="ar-SA"/>
    </w:rPr>
  </w:style>
  <w:style w:type="character" w:styleId="971" w:customStyle="1">
    <w:name w:val="引用 Char"/>
    <w:link w:val="970"/>
    <w:uiPriority w:val="29"/>
    <w:qFormat/>
    <w:rPr>
      <w:i/>
      <w:lang w:val="en-US" w:eastAsia="zh-CN" w:bidi="ar-SA"/>
    </w:rPr>
  </w:style>
  <w:style w:type="paragraph" w:styleId="972">
    <w:name w:val="Intense Quote"/>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73" w:customStyle="1">
    <w:name w:val="明显引用 Char"/>
    <w:link w:val="972"/>
    <w:uiPriority w:val="30"/>
    <w:qFormat/>
    <w:rPr>
      <w:i/>
      <w:shd w:val="clear" w:color="auto" w:fill="f2f2f2"/>
      <w:lang w:val="en-US" w:eastAsia="zh-CN" w:bidi="ar-SA"/>
    </w:rPr>
  </w:style>
  <w:style w:type="character" w:styleId="974" w:customStyle="1">
    <w:name w:val="页眉 Char1"/>
    <w:link w:val="905"/>
    <w:uiPriority w:val="99"/>
    <w:qFormat/>
    <w:rPr>
      <w:lang w:val="en-US" w:eastAsia="zh-CN" w:bidi="ar-SA"/>
    </w:rPr>
  </w:style>
  <w:style w:type="character" w:styleId="975" w:customStyle="1">
    <w:name w:val="Footer Char"/>
    <w:uiPriority w:val="99"/>
    <w:qFormat/>
  </w:style>
  <w:style w:type="character" w:styleId="976" w:customStyle="1">
    <w:name w:val="页脚 Char1"/>
    <w:link w:val="903"/>
    <w:uiPriority w:val="99"/>
    <w:qFormat/>
  </w:style>
  <w:style w:type="table" w:styleId="9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80" w:customStyle="1">
    <w:name w:val="Plain Table 3"/>
    <w:uiPriority w:val="99"/>
    <w:qFormat/>
    <w:tblPr>
      <w:tblCellMar>
        <w:left w:w="0" w:type="dxa"/>
        <w:top w:w="0" w:type="dxa"/>
        <w:right w:w="0" w:type="dxa"/>
        <w:bottom w:w="0" w:type="dxa"/>
      </w:tblCellMar>
    </w:tblPr>
  </w:style>
  <w:style w:type="table" w:styleId="981" w:customStyle="1">
    <w:name w:val="Plain Table 4"/>
    <w:uiPriority w:val="99"/>
    <w:qFormat/>
    <w:tblPr>
      <w:tblCellMar>
        <w:left w:w="0" w:type="dxa"/>
        <w:top w:w="0" w:type="dxa"/>
        <w:right w:w="0" w:type="dxa"/>
        <w:bottom w:w="0" w:type="dxa"/>
      </w:tblCellMar>
    </w:tblPr>
  </w:style>
  <w:style w:type="table" w:styleId="982" w:customStyle="1">
    <w:name w:val="Plain Table 5"/>
    <w:uiPriority w:val="99"/>
    <w:qFormat/>
    <w:tblPr>
      <w:tblCellMar>
        <w:left w:w="0" w:type="dxa"/>
        <w:top w:w="0" w:type="dxa"/>
        <w:right w:w="0" w:type="dxa"/>
        <w:bottom w:w="0" w:type="dxa"/>
      </w:tblCellMar>
    </w:tblPr>
  </w:style>
  <w:style w:type="table" w:styleId="98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2" w:customStyle="1">
    <w:name w:val="List Table 1 Light"/>
    <w:uiPriority w:val="99"/>
    <w:qFormat/>
    <w:tblPr>
      <w:tblCellMar>
        <w:left w:w="0" w:type="dxa"/>
        <w:top w:w="0" w:type="dxa"/>
        <w:right w:w="0" w:type="dxa"/>
        <w:bottom w:w="0" w:type="dxa"/>
      </w:tblCellMar>
    </w:tblPr>
  </w:style>
  <w:style w:type="table" w:styleId="1033" w:customStyle="1">
    <w:name w:val="List Table 1 Light - Accent 1"/>
    <w:uiPriority w:val="99"/>
    <w:qFormat/>
    <w:tblPr>
      <w:tblCellMar>
        <w:left w:w="0" w:type="dxa"/>
        <w:top w:w="0" w:type="dxa"/>
        <w:right w:w="0" w:type="dxa"/>
        <w:bottom w:w="0" w:type="dxa"/>
      </w:tblCellMar>
    </w:tblPr>
  </w:style>
  <w:style w:type="table" w:styleId="1034" w:customStyle="1">
    <w:name w:val="List Table 1 Light - Accent 2"/>
    <w:uiPriority w:val="99"/>
    <w:qFormat/>
    <w:tblPr>
      <w:tblCellMar>
        <w:left w:w="0" w:type="dxa"/>
        <w:top w:w="0" w:type="dxa"/>
        <w:right w:w="0" w:type="dxa"/>
        <w:bottom w:w="0" w:type="dxa"/>
      </w:tblCellMar>
    </w:tblPr>
  </w:style>
  <w:style w:type="table" w:styleId="1035" w:customStyle="1">
    <w:name w:val="List Table 1 Light - Accent 3"/>
    <w:uiPriority w:val="99"/>
    <w:qFormat/>
    <w:tblPr>
      <w:tblCellMar>
        <w:left w:w="0" w:type="dxa"/>
        <w:top w:w="0" w:type="dxa"/>
        <w:right w:w="0" w:type="dxa"/>
        <w:bottom w:w="0" w:type="dxa"/>
      </w:tblCellMar>
    </w:tblPr>
  </w:style>
  <w:style w:type="table" w:styleId="1036" w:customStyle="1">
    <w:name w:val="List Table 1 Light - Accent 4"/>
    <w:uiPriority w:val="99"/>
    <w:qFormat/>
    <w:tblPr>
      <w:tblCellMar>
        <w:left w:w="0" w:type="dxa"/>
        <w:top w:w="0" w:type="dxa"/>
        <w:right w:w="0" w:type="dxa"/>
        <w:bottom w:w="0" w:type="dxa"/>
      </w:tblCellMar>
    </w:tblPr>
  </w:style>
  <w:style w:type="table" w:styleId="1037" w:customStyle="1">
    <w:name w:val="List Table 1 Light - Accent 5"/>
    <w:uiPriority w:val="99"/>
    <w:qFormat/>
    <w:tblPr>
      <w:tblCellMar>
        <w:left w:w="0" w:type="dxa"/>
        <w:top w:w="0" w:type="dxa"/>
        <w:right w:w="0" w:type="dxa"/>
        <w:bottom w:w="0" w:type="dxa"/>
      </w:tblCellMar>
    </w:tblPr>
  </w:style>
  <w:style w:type="table" w:styleId="1038" w:customStyle="1">
    <w:name w:val="List Table 1 Light - Accent 6"/>
    <w:uiPriority w:val="99"/>
    <w:qFormat/>
    <w:tblPr>
      <w:tblCellMar>
        <w:left w:w="0" w:type="dxa"/>
        <w:top w:w="0" w:type="dxa"/>
        <w:right w:w="0" w:type="dxa"/>
        <w:bottom w:w="0" w:type="dxa"/>
      </w:tblCellMar>
    </w:tblPr>
  </w:style>
  <w:style w:type="table" w:styleId="103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1" w:customStyle="1">
    <w:name w:val="Lined - Accent"/>
    <w:uiPriority w:val="99"/>
    <w:qFormat/>
    <w:rPr>
      <w:color w:val="404040"/>
    </w:rPr>
    <w:tblPr>
      <w:tblCellMar>
        <w:left w:w="0" w:type="dxa"/>
        <w:top w:w="0" w:type="dxa"/>
        <w:right w:w="0" w:type="dxa"/>
        <w:bottom w:w="0" w:type="dxa"/>
      </w:tblCellMar>
    </w:tblPr>
  </w:style>
  <w:style w:type="table" w:styleId="1082" w:customStyle="1">
    <w:name w:val="Lined - Accent 1"/>
    <w:uiPriority w:val="99"/>
    <w:qFormat/>
    <w:rPr>
      <w:color w:val="404040"/>
    </w:rPr>
    <w:tblPr>
      <w:tblCellMar>
        <w:left w:w="0" w:type="dxa"/>
        <w:top w:w="0" w:type="dxa"/>
        <w:right w:w="0" w:type="dxa"/>
        <w:bottom w:w="0" w:type="dxa"/>
      </w:tblCellMar>
    </w:tblPr>
  </w:style>
  <w:style w:type="table" w:styleId="1083" w:customStyle="1">
    <w:name w:val="Lined - Accent 2"/>
    <w:uiPriority w:val="99"/>
    <w:qFormat/>
    <w:rPr>
      <w:color w:val="404040"/>
    </w:rPr>
    <w:tblPr>
      <w:tblCellMar>
        <w:left w:w="0" w:type="dxa"/>
        <w:top w:w="0" w:type="dxa"/>
        <w:right w:w="0" w:type="dxa"/>
        <w:bottom w:w="0" w:type="dxa"/>
      </w:tblCellMar>
    </w:tblPr>
  </w:style>
  <w:style w:type="table" w:styleId="1084" w:customStyle="1">
    <w:name w:val="Lined - Accent 3"/>
    <w:uiPriority w:val="99"/>
    <w:qFormat/>
    <w:rPr>
      <w:color w:val="404040"/>
    </w:rPr>
    <w:tblPr>
      <w:tblCellMar>
        <w:left w:w="0" w:type="dxa"/>
        <w:top w:w="0" w:type="dxa"/>
        <w:right w:w="0" w:type="dxa"/>
        <w:bottom w:w="0" w:type="dxa"/>
      </w:tblCellMar>
    </w:tblPr>
  </w:style>
  <w:style w:type="table" w:styleId="1085" w:customStyle="1">
    <w:name w:val="Lined - Accent 4"/>
    <w:uiPriority w:val="99"/>
    <w:qFormat/>
    <w:rPr>
      <w:color w:val="404040"/>
    </w:rPr>
    <w:tblPr>
      <w:tblCellMar>
        <w:left w:w="0" w:type="dxa"/>
        <w:top w:w="0" w:type="dxa"/>
        <w:right w:w="0" w:type="dxa"/>
        <w:bottom w:w="0" w:type="dxa"/>
      </w:tblCellMar>
    </w:tblPr>
  </w:style>
  <w:style w:type="table" w:styleId="1086" w:customStyle="1">
    <w:name w:val="Lined - Accent 5"/>
    <w:uiPriority w:val="99"/>
    <w:qFormat/>
    <w:rPr>
      <w:color w:val="404040"/>
    </w:rPr>
    <w:tblPr>
      <w:tblCellMar>
        <w:left w:w="0" w:type="dxa"/>
        <w:top w:w="0" w:type="dxa"/>
        <w:right w:w="0" w:type="dxa"/>
        <w:bottom w:w="0" w:type="dxa"/>
      </w:tblCellMar>
    </w:tblPr>
  </w:style>
  <w:style w:type="table" w:styleId="1087" w:customStyle="1">
    <w:name w:val="Lined - Accent 6"/>
    <w:uiPriority w:val="99"/>
    <w:qFormat/>
    <w:rPr>
      <w:color w:val="404040"/>
    </w:rPr>
    <w:tblPr>
      <w:tblCellMar>
        <w:left w:w="0" w:type="dxa"/>
        <w:top w:w="0" w:type="dxa"/>
        <w:right w:w="0" w:type="dxa"/>
        <w:bottom w:w="0" w:type="dxa"/>
      </w:tblCellMar>
    </w:tblPr>
  </w:style>
  <w:style w:type="table" w:styleId="10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2" w:customStyle="1">
    <w:name w:val="脚注文本 Char1"/>
    <w:link w:val="909"/>
    <w:uiPriority w:val="99"/>
    <w:qFormat/>
    <w:rPr>
      <w:sz w:val="18"/>
    </w:rPr>
  </w:style>
  <w:style w:type="character" w:styleId="1103" w:customStyle="1">
    <w:name w:val="尾注文本 Char"/>
    <w:link w:val="901"/>
    <w:uiPriority w:val="99"/>
    <w:semiHidden/>
    <w:qFormat/>
    <w:rPr>
      <w:lang w:val="en-US" w:eastAsia="zh-CN" w:bidi="ar-SA"/>
    </w:rPr>
  </w:style>
  <w:style w:type="paragraph" w:styleId="1104" w:customStyle="1">
    <w:name w:val="TOC 标题1"/>
    <w:uiPriority w:val="39"/>
    <w:unhideWhenUsed/>
    <w:qFormat/>
    <w:rPr>
      <w:rFonts w:hint="default" w:ascii="Times New Roman" w:hAnsi="Times New Roman" w:eastAsia="宋体" w:cs="Times New Roman"/>
      <w:lang w:val="en-US" w:eastAsia="zh-CN" w:bidi="ar-SA"/>
    </w:rPr>
  </w:style>
  <w:style w:type="paragraph" w:styleId="1105" w:customStyle="1">
    <w:name w:val="标题 211"/>
    <w:basedOn w:val="886"/>
    <w:next w:val="1106"/>
    <w:uiPriority w:val="0"/>
    <w:qFormat/>
    <w:pPr>
      <w:keepLines/>
      <w:keepNext/>
      <w:spacing w:before="260" w:after="260" w:line="416" w:lineRule="auto"/>
      <w:outlineLvl w:val="1"/>
    </w:pPr>
    <w:rPr>
      <w:rFonts w:ascii="Arial" w:hAnsi="Arial" w:eastAsia="黑体"/>
      <w:bCs/>
      <w:sz w:val="32"/>
      <w:szCs w:val="32"/>
    </w:rPr>
  </w:style>
  <w:style w:type="paragraph" w:styleId="1106" w:customStyle="1">
    <w:name w:val="正文1111"/>
    <w:next w:val="1105"/>
    <w:uiPriority w:val="0"/>
    <w:qFormat/>
    <w:pPr>
      <w:jc w:val="both"/>
      <w:widowControl w:val="off"/>
    </w:pPr>
    <w:rPr>
      <w:rFonts w:hint="default" w:ascii="Times New Roman" w:hAnsi="Times New Roman" w:eastAsia="宋体" w:cs="Times New Roman"/>
      <w:sz w:val="21"/>
      <w:szCs w:val="24"/>
    </w:rPr>
  </w:style>
  <w:style w:type="paragraph" w:styleId="1107" w:customStyle="1">
    <w:name w:val="标题 31"/>
    <w:basedOn w:val="881"/>
    <w:next w:val="881"/>
    <w:uiPriority w:val="0"/>
    <w:qFormat/>
    <w:pPr>
      <w:keepLines/>
      <w:keepNext/>
      <w:spacing w:before="260" w:after="260" w:line="416" w:lineRule="auto"/>
      <w:outlineLvl w:val="2"/>
    </w:pPr>
    <w:rPr>
      <w:bCs/>
      <w:sz w:val="32"/>
      <w:szCs w:val="32"/>
    </w:rPr>
  </w:style>
  <w:style w:type="paragraph" w:styleId="1108" w:customStyle="1">
    <w:name w:val="标题 61"/>
    <w:basedOn w:val="881"/>
    <w:next w:val="881"/>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109" w:customStyle="1">
    <w:name w:val="默认段落字体1"/>
    <w:link w:val="886"/>
    <w:uiPriority w:val="0"/>
    <w:qFormat/>
    <w:rPr>
      <w:rFonts w:hint="default" w:ascii="Times New Roman" w:hAnsi="Times New Roman" w:eastAsia="宋体" w:cs="Times New Roman"/>
      <w:sz w:val="21"/>
      <w:szCs w:val="24"/>
      <w:lang w:val="en-US" w:eastAsia="zh-CN" w:bidi="ar-SA"/>
    </w:rPr>
  </w:style>
  <w:style w:type="table" w:styleId="1110" w:customStyle="1">
    <w:name w:val="普通表格1"/>
    <w:uiPriority w:val="0"/>
    <w:qFormat/>
    <w:tblPr>
      <w:tblCellMar>
        <w:left w:w="0" w:type="dxa"/>
        <w:top w:w="0" w:type="dxa"/>
        <w:right w:w="0" w:type="dxa"/>
        <w:bottom w:w="0" w:type="dxa"/>
      </w:tblCellMar>
    </w:tblPr>
  </w:style>
  <w:style w:type="character" w:styleId="1111" w:customStyle="1">
    <w:name w:val="正文文本缩进 Char"/>
    <w:link w:val="939"/>
    <w:uiPriority w:val="0"/>
    <w:qFormat/>
    <w:rPr>
      <w:rFonts w:ascii="宋体" w:hAnsi="Courier New"/>
      <w:spacing w:val="-4"/>
      <w:sz w:val="18"/>
      <w:szCs w:val="20"/>
    </w:rPr>
  </w:style>
  <w:style w:type="paragraph" w:styleId="1112" w:customStyle="1">
    <w:name w:val="列表 31"/>
    <w:basedOn w:val="881"/>
    <w:uiPriority w:val="0"/>
    <w:qFormat/>
    <w:pPr>
      <w:ind w:left="100" w:hanging="200"/>
    </w:pPr>
  </w:style>
  <w:style w:type="paragraph" w:styleId="1113" w:customStyle="1">
    <w:name w:val="正文缩进11"/>
    <w:basedOn w:val="881"/>
    <w:uiPriority w:val="0"/>
    <w:qFormat/>
    <w:pPr>
      <w:ind w:firstLine="420"/>
    </w:pPr>
  </w:style>
  <w:style w:type="paragraph" w:styleId="1114" w:customStyle="1">
    <w:name w:val="批注文字1"/>
    <w:basedOn w:val="881"/>
    <w:link w:val="1115"/>
    <w:uiPriority w:val="0"/>
    <w:qFormat/>
    <w:pPr>
      <w:jc w:val="left"/>
    </w:pPr>
    <w:rPr>
      <w:b w:val="0"/>
      <w:sz w:val="21"/>
    </w:rPr>
  </w:style>
  <w:style w:type="character" w:styleId="1115" w:customStyle="1">
    <w:name w:val="批注文字 Char"/>
    <w:link w:val="1114"/>
    <w:uiPriority w:val="0"/>
    <w:qFormat/>
    <w:rPr>
      <w:sz w:val="21"/>
    </w:rPr>
  </w:style>
  <w:style w:type="paragraph" w:styleId="1116" w:customStyle="1">
    <w:name w:val="目录 31"/>
    <w:basedOn w:val="881"/>
    <w:next w:val="881"/>
    <w:uiPriority w:val="0"/>
    <w:qFormat/>
    <w:pPr>
      <w:ind w:left="840"/>
    </w:pPr>
  </w:style>
  <w:style w:type="paragraph" w:styleId="1117" w:customStyle="1">
    <w:name w:val="纯文本11"/>
    <w:basedOn w:val="881"/>
    <w:uiPriority w:val="0"/>
    <w:qFormat/>
    <w:rPr>
      <w:rFonts w:ascii="宋体" w:hAnsi="Courier New"/>
      <w:sz w:val="21"/>
      <w:szCs w:val="21"/>
    </w:rPr>
  </w:style>
  <w:style w:type="paragraph" w:styleId="1118" w:customStyle="1">
    <w:name w:val="日期1"/>
    <w:basedOn w:val="881"/>
    <w:next w:val="881"/>
    <w:link w:val="1119"/>
    <w:uiPriority w:val="0"/>
    <w:qFormat/>
    <w:pPr>
      <w:ind w:left="100"/>
    </w:pPr>
    <w:rPr>
      <w:b w:val="0"/>
      <w:sz w:val="21"/>
      <w:szCs w:val="24"/>
    </w:rPr>
  </w:style>
  <w:style w:type="character" w:styleId="1119" w:customStyle="1">
    <w:name w:val="日期 Char"/>
    <w:link w:val="1118"/>
    <w:uiPriority w:val="0"/>
    <w:qFormat/>
    <w:rPr>
      <w:sz w:val="21"/>
      <w:szCs w:val="24"/>
    </w:rPr>
  </w:style>
  <w:style w:type="paragraph" w:styleId="1120" w:customStyle="1">
    <w:name w:val="正文文本缩进 21"/>
    <w:basedOn w:val="881"/>
    <w:uiPriority w:val="0"/>
    <w:qFormat/>
    <w:pPr>
      <w:ind w:left="420"/>
      <w:spacing w:after="120" w:line="480" w:lineRule="auto"/>
    </w:pPr>
  </w:style>
  <w:style w:type="paragraph" w:styleId="1121" w:customStyle="1">
    <w:name w:val="批注框文本1"/>
    <w:basedOn w:val="881"/>
    <w:link w:val="1122"/>
    <w:uiPriority w:val="0"/>
    <w:qFormat/>
    <w:rPr>
      <w:b w:val="0"/>
      <w:sz w:val="18"/>
      <w:szCs w:val="18"/>
    </w:rPr>
  </w:style>
  <w:style w:type="character" w:styleId="1122" w:customStyle="1">
    <w:name w:val="批注框文本 Char"/>
    <w:link w:val="1121"/>
    <w:uiPriority w:val="0"/>
    <w:qFormat/>
    <w:rPr>
      <w:sz w:val="18"/>
      <w:szCs w:val="18"/>
    </w:rPr>
  </w:style>
  <w:style w:type="paragraph" w:styleId="1123" w:customStyle="1">
    <w:name w:val="页脚1"/>
    <w:basedOn w:val="883"/>
    <w:link w:val="1124"/>
    <w:uiPriority w:val="0"/>
    <w:qFormat/>
    <w:pPr>
      <w:jc w:val="left"/>
      <w:tabs>
        <w:tab w:val="center" w:pos="4153" w:leader="none"/>
        <w:tab w:val="right" w:pos="8306" w:leader="none"/>
      </w:tabs>
    </w:pPr>
    <w:rPr>
      <w:sz w:val="18"/>
      <w:szCs w:val="18"/>
    </w:rPr>
  </w:style>
  <w:style w:type="character" w:styleId="1124" w:customStyle="1">
    <w:name w:val="页脚 Char"/>
    <w:basedOn w:val="1109"/>
    <w:link w:val="1123"/>
    <w:uiPriority w:val="0"/>
    <w:qFormat/>
    <w:rPr>
      <w:sz w:val="18"/>
      <w:szCs w:val="18"/>
    </w:rPr>
  </w:style>
  <w:style w:type="paragraph" w:styleId="1125" w:customStyle="1">
    <w:name w:val="页眉1"/>
    <w:basedOn w:val="881"/>
    <w:link w:val="1126"/>
    <w:uiPriority w:val="0"/>
    <w:qFormat/>
    <w:pPr>
      <w:jc w:val="center"/>
      <w:tabs>
        <w:tab w:val="center" w:pos="4153" w:leader="none"/>
        <w:tab w:val="right" w:pos="8306" w:leader="none"/>
      </w:tabs>
      <w:pBdr>
        <w:bottom w:val="single" w:color="000000" w:sz="6" w:space="1"/>
      </w:pBdr>
    </w:pPr>
    <w:rPr>
      <w:sz w:val="18"/>
      <w:szCs w:val="18"/>
    </w:rPr>
  </w:style>
  <w:style w:type="character" w:styleId="1126" w:customStyle="1">
    <w:name w:val="页眉 Char"/>
    <w:basedOn w:val="1109"/>
    <w:link w:val="1125"/>
    <w:uiPriority w:val="0"/>
    <w:qFormat/>
    <w:rPr>
      <w:sz w:val="18"/>
      <w:szCs w:val="18"/>
    </w:rPr>
  </w:style>
  <w:style w:type="paragraph" w:styleId="1127" w:customStyle="1">
    <w:name w:val="目录 111"/>
    <w:basedOn w:val="881"/>
    <w:next w:val="881"/>
    <w:uiPriority w:val="0"/>
    <w:qFormat/>
    <w:pPr>
      <w:jc w:val="left"/>
      <w:spacing w:before="120" w:after="120"/>
    </w:pPr>
    <w:rPr>
      <w:rFonts w:ascii="Calibri" w:hAnsi="Calibri"/>
      <w:bCs/>
      <w:caps/>
    </w:rPr>
  </w:style>
  <w:style w:type="character" w:styleId="1128" w:customStyle="1">
    <w:name w:val="脚注文本 Char"/>
    <w:link w:val="935"/>
    <w:uiPriority w:val="0"/>
    <w:qFormat/>
    <w:rPr>
      <w:sz w:val="18"/>
      <w:szCs w:val="24"/>
    </w:rPr>
  </w:style>
  <w:style w:type="paragraph" w:styleId="1129" w:customStyle="1">
    <w:name w:val="正文文本 21"/>
    <w:basedOn w:val="881"/>
    <w:uiPriority w:val="0"/>
    <w:qFormat/>
    <w:pPr>
      <w:ind w:firstLine="200"/>
    </w:pPr>
    <w:rPr>
      <w:rFonts w:eastAsia="仿宋_GB2312"/>
      <w:sz w:val="18"/>
    </w:rPr>
  </w:style>
  <w:style w:type="paragraph" w:styleId="1130" w:customStyle="1">
    <w:name w:val="普通(网站)1"/>
    <w:basedOn w:val="886"/>
    <w:uiPriority w:val="0"/>
    <w:qFormat/>
    <w:pPr>
      <w:jc w:val="left"/>
      <w:spacing w:beforeAutospacing="1" w:afterAutospacing="1"/>
    </w:pPr>
    <w:rPr>
      <w:sz w:val="24"/>
    </w:rPr>
  </w:style>
  <w:style w:type="paragraph" w:styleId="1131" w:customStyle="1">
    <w:name w:val="批注主题1"/>
    <w:basedOn w:val="1114"/>
    <w:next w:val="1114"/>
    <w:link w:val="1132"/>
    <w:uiPriority w:val="0"/>
    <w:qFormat/>
    <w:rPr>
      <w:b/>
      <w:bCs/>
      <w:szCs w:val="24"/>
    </w:rPr>
  </w:style>
  <w:style w:type="character" w:styleId="1132" w:customStyle="1">
    <w:name w:val="批注主题 Char"/>
    <w:link w:val="1131"/>
    <w:uiPriority w:val="0"/>
    <w:qFormat/>
    <w:rPr>
      <w:b/>
      <w:bCs/>
      <w:sz w:val="21"/>
      <w:szCs w:val="24"/>
    </w:rPr>
  </w:style>
  <w:style w:type="table" w:styleId="1133" w:customStyle="1">
    <w:name w:val="网格型1"/>
    <w:basedOn w:val="1110"/>
    <w:uiPriority w:val="0"/>
    <w:qFormat/>
    <w:tblPr>
      <w:tblCellMar>
        <w:left w:w="0" w:type="dxa"/>
        <w:top w:w="0" w:type="dxa"/>
        <w:right w:w="0" w:type="dxa"/>
        <w:bottom w:w="0" w:type="dxa"/>
      </w:tblCellMar>
    </w:tblPr>
  </w:style>
  <w:style w:type="character" w:styleId="1134" w:customStyle="1">
    <w:name w:val="要点1"/>
    <w:uiPriority w:val="0"/>
    <w:qFormat/>
    <w:rPr>
      <w:b/>
    </w:rPr>
  </w:style>
  <w:style w:type="character" w:styleId="1135" w:customStyle="1">
    <w:name w:val="页码1"/>
    <w:basedOn w:val="1109"/>
    <w:uiPriority w:val="0"/>
    <w:qFormat/>
  </w:style>
  <w:style w:type="character" w:styleId="1136" w:customStyle="1">
    <w:name w:val="已访问的超链接1"/>
    <w:uiPriority w:val="0"/>
    <w:qFormat/>
    <w:rPr>
      <w:rFonts w:ascii="Times New Roman" w:hAnsi="Times New Roman" w:eastAsia="宋体"/>
      <w:color w:val="800080"/>
      <w:u w:val="single"/>
    </w:rPr>
  </w:style>
  <w:style w:type="character" w:styleId="1137" w:customStyle="1">
    <w:name w:val="超链接1"/>
    <w:basedOn w:val="1109"/>
    <w:link w:val="883"/>
    <w:uiPriority w:val="0"/>
    <w:qFormat/>
    <w:rPr>
      <w:rFonts w:hint="default" w:ascii="Times New Roman" w:hAnsi="Times New Roman" w:eastAsia="宋体" w:cs="Times New Roman"/>
      <w:sz w:val="21"/>
      <w:szCs w:val="24"/>
      <w:lang w:val="en-US" w:eastAsia="zh-CN" w:bidi="ar-SA"/>
    </w:rPr>
  </w:style>
  <w:style w:type="character" w:styleId="1138" w:customStyle="1">
    <w:name w:val="批注引用1"/>
    <w:uiPriority w:val="0"/>
    <w:qFormat/>
    <w:rPr>
      <w:sz w:val="21"/>
      <w:szCs w:val="21"/>
    </w:rPr>
  </w:style>
  <w:style w:type="paragraph" w:styleId="113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40" w:customStyle="1">
    <w:name w:val="正文文本 (2)_"/>
    <w:link w:val="1141"/>
    <w:uiPriority w:val="0"/>
    <w:qFormat/>
    <w:rPr>
      <w:rFonts w:ascii="MingLiU" w:eastAsia="MingLiU"/>
      <w:sz w:val="17"/>
      <w:szCs w:val="17"/>
      <w:shd w:val="clear" w:color="auto" w:fill="ffffff"/>
    </w:rPr>
  </w:style>
  <w:style w:type="paragraph" w:styleId="1141" w:customStyle="1">
    <w:name w:val="正文文本 (2)1"/>
    <w:basedOn w:val="881"/>
    <w:link w:val="1140"/>
    <w:uiPriority w:val="0"/>
    <w:qFormat/>
    <w:pPr>
      <w:spacing w:after="60" w:line="259" w:lineRule="exact"/>
      <w:shd w:val="clear" w:color="auto" w:fill="ffffff"/>
    </w:pPr>
    <w:rPr>
      <w:rFonts w:ascii="MingLiU" w:eastAsia="MingLiU"/>
      <w:b w:val="0"/>
      <w:sz w:val="17"/>
      <w:szCs w:val="17"/>
    </w:rPr>
  </w:style>
  <w:style w:type="character" w:styleId="1142" w:customStyle="1">
    <w:name w:val="btna-s1"/>
    <w:uiPriority w:val="0"/>
    <w:qFormat/>
    <w:rPr>
      <w:rFonts w:ascii="Times New Roman" w:hAnsi="Times New Roman" w:eastAsia="宋体"/>
      <w:color w:val="ffffff"/>
      <w:u w:val="none"/>
      <w:lang w:bidi="ar-SA"/>
    </w:rPr>
  </w:style>
  <w:style w:type="paragraph" w:styleId="1143" w:customStyle="1">
    <w:name w:val="纯文本1"/>
    <w:basedOn w:val="926"/>
    <w:uiPriority w:val="0"/>
    <w:qFormat/>
    <w:rPr>
      <w:rFonts w:ascii="宋体" w:hAnsi="宋体" w:eastAsia="楷体_GB2312"/>
      <w:sz w:val="26"/>
    </w:rPr>
  </w:style>
  <w:style w:type="paragraph" w:styleId="1144" w:customStyle="1">
    <w:name w:val="Char Char Char Char Char Char Char"/>
    <w:basedOn w:val="881"/>
    <w:uiPriority w:val="0"/>
    <w:qFormat/>
    <w:pPr>
      <w:numPr>
        <w:ilvl w:val="0"/>
        <w:numId w:val="1"/>
      </w:numPr>
      <w:tabs>
        <w:tab w:val="left" w:pos="1559" w:leader="none"/>
      </w:tabs>
    </w:pPr>
    <w:rPr>
      <w:rFonts w:ascii="仿宋" w:hAnsi="仿宋" w:eastAsia="仿宋"/>
    </w:rPr>
  </w:style>
  <w:style w:type="paragraph" w:styleId="1145" w:customStyle="1">
    <w:name w:val="列出段落1"/>
    <w:basedOn w:val="881"/>
    <w:uiPriority w:val="0"/>
    <w:qFormat/>
    <w:pPr>
      <w:ind w:firstLine="420"/>
    </w:pPr>
  </w:style>
  <w:style w:type="paragraph" w:styleId="1146" w:customStyle="1">
    <w:name w:val="标题 0"/>
    <w:basedOn w:val="924"/>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47" w:customStyle="1">
    <w:name w:val="_表格标题"/>
    <w:basedOn w:val="881"/>
    <w:uiPriority w:val="0"/>
    <w:qFormat/>
    <w:pPr>
      <w:jc w:val="center"/>
    </w:pPr>
  </w:style>
  <w:style w:type="paragraph" w:styleId="1148" w:customStyle="1">
    <w:name w:val="b正文"/>
    <w:basedOn w:val="881"/>
    <w:uiPriority w:val="0"/>
    <w:qFormat/>
    <w:pPr>
      <w:ind w:firstLine="420"/>
      <w:spacing w:line="360" w:lineRule="auto"/>
    </w:pPr>
    <w:rPr>
      <w:rFonts w:ascii="仿宋_GB2312" w:hAnsi="Calibri" w:eastAsia="仿宋_GB2312"/>
      <w:sz w:val="28"/>
      <w:szCs w:val="28"/>
    </w:rPr>
  </w:style>
  <w:style w:type="paragraph" w:styleId="1149"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50" w:customStyle="1">
    <w:name w:val="带缩进的正文"/>
    <w:basedOn w:val="881"/>
    <w:uiPriority w:val="0"/>
    <w:qFormat/>
    <w:pPr>
      <w:ind w:firstLine="480"/>
      <w:spacing w:line="360" w:lineRule="auto"/>
    </w:pPr>
    <w:rPr>
      <w:rFonts w:ascii="Calibri" w:hAnsi="Calibri" w:eastAsia="Times New Roman"/>
      <w:sz w:val="24"/>
    </w:rPr>
  </w:style>
  <w:style w:type="paragraph" w:styleId="1151" w:customStyle="1">
    <w:name w:val="p0"/>
    <w:basedOn w:val="881"/>
    <w:uiPriority w:val="0"/>
    <w:qFormat/>
    <w:pPr>
      <w:widowControl/>
    </w:pPr>
    <w:rPr>
      <w:sz w:val="21"/>
      <w:szCs w:val="21"/>
    </w:rPr>
  </w:style>
  <w:style w:type="paragraph" w:styleId="1152" w:customStyle="1">
    <w:name w:val="Table Paragraph"/>
    <w:basedOn w:val="881"/>
    <w:uiPriority w:val="0"/>
    <w:qFormat/>
    <w:rPr>
      <w:rFonts w:ascii="宋体" w:hAnsi="宋体"/>
    </w:rPr>
  </w:style>
  <w:style w:type="paragraph" w:styleId="1153" w:customStyle="1">
    <w:name w:val="正文_0_1_0"/>
    <w:uiPriority w:val="0"/>
    <w:qFormat/>
    <w:rPr>
      <w:rFonts w:hint="default" w:ascii="宋体" w:hAnsi="宋体" w:eastAsia="宋体" w:cs="Times New Roman"/>
      <w:sz w:val="24"/>
      <w:szCs w:val="24"/>
      <w:lang w:val="en-US" w:eastAsia="zh-CN" w:bidi="ar-SA"/>
    </w:rPr>
  </w:style>
  <w:style w:type="paragraph" w:styleId="1154" w:customStyle="1">
    <w:name w:val="表格"/>
    <w:basedOn w:val="881"/>
    <w:uiPriority w:val="0"/>
    <w:qFormat/>
    <w:pPr>
      <w:jc w:val="center"/>
      <w:widowControl/>
    </w:pPr>
    <w:rPr>
      <w:rFonts w:ascii="宋体"/>
      <w:bCs/>
    </w:rPr>
  </w:style>
  <w:style w:type="paragraph" w:styleId="1155" w:customStyle="1">
    <w:name w:val="标题 2u"/>
    <w:basedOn w:val="1107"/>
    <w:next w:val="881"/>
    <w:uiPriority w:val="0"/>
    <w:qFormat/>
    <w:pPr>
      <w:spacing w:line="360" w:lineRule="auto"/>
    </w:pPr>
    <w:rPr>
      <w:sz w:val="24"/>
    </w:rPr>
  </w:style>
  <w:style w:type="paragraph" w:styleId="1156"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列出段落11"/>
    <w:basedOn w:val="881"/>
    <w:uiPriority w:val="0"/>
    <w:qFormat/>
    <w:pPr>
      <w:contextualSpacing/>
      <w:ind w:left="720"/>
      <w:jc w:val="left"/>
      <w:spacing w:after="200" w:line="276" w:lineRule="auto"/>
      <w:widowControl/>
    </w:pPr>
    <w:rPr>
      <w:rFonts w:ascii="Calibri" w:hAnsi="Calibri"/>
      <w:sz w:val="22"/>
      <w:szCs w:val="22"/>
      <w:lang w:eastAsia="en-US" w:bidi="en-US"/>
    </w:rPr>
  </w:style>
  <w:style w:type="paragraph" w:styleId="1158" w:customStyle="1">
    <w:name w:val="p18"/>
    <w:basedOn w:val="881"/>
    <w:uiPriority w:val="0"/>
    <w:qFormat/>
    <w:pPr>
      <w:ind w:left="-527" w:firstLine="527"/>
      <w:spacing w:line="748" w:lineRule="atLeast"/>
      <w:widowControl/>
    </w:pPr>
    <w:rPr>
      <w:rFonts w:ascii="宋体" w:hAnsi="宋体"/>
      <w:sz w:val="24"/>
    </w:rPr>
  </w:style>
  <w:style w:type="paragraph" w:styleId="115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60" w:customStyle="1">
    <w:name w:val="NormalCharacter"/>
    <w:link w:val="885"/>
    <w:uiPriority w:val="0"/>
    <w:semiHidden/>
    <w:qFormat/>
  </w:style>
  <w:style w:type="paragraph" w:styleId="1161" w:customStyle="1">
    <w:name w:val="BodyText"/>
    <w:basedOn w:val="881"/>
    <w:uiPriority w:val="0"/>
    <w:qFormat/>
    <w:pPr>
      <w:spacing w:after="120"/>
    </w:pPr>
  </w:style>
  <w:style w:type="paragraph" w:styleId="1162" w:customStyle="1">
    <w:name w:val="UserStyle_34"/>
    <w:basedOn w:val="881"/>
    <w:uiPriority w:val="0"/>
    <w:qFormat/>
    <w:pPr>
      <w:jc w:val="left"/>
    </w:pPr>
    <w:rPr>
      <w:rFonts w:ascii="宋体" w:hAnsi="宋体"/>
      <w:sz w:val="22"/>
      <w:szCs w:val="22"/>
      <w:lang w:val="zh-CN" w:bidi="zh-CN"/>
    </w:rPr>
  </w:style>
  <w:style w:type="paragraph" w:styleId="1163" w:customStyle="1">
    <w:name w:val="UserStyle_33"/>
    <w:next w:val="881"/>
    <w:uiPriority w:val="0"/>
    <w:qFormat/>
    <w:pPr>
      <w:jc w:val="both"/>
    </w:pPr>
    <w:rPr>
      <w:rFonts w:hint="default" w:ascii="Calibri" w:hAnsi="Calibri" w:eastAsia="宋体" w:cs="Times New Roman"/>
      <w:sz w:val="21"/>
      <w:szCs w:val="21"/>
      <w:lang w:val="en-US" w:eastAsia="zh-CN" w:bidi="ar-SA"/>
    </w:rPr>
  </w:style>
  <w:style w:type="paragraph" w:styleId="1164" w:customStyle="1">
    <w:name w:val="正文文本2"/>
    <w:basedOn w:val="929"/>
    <w:next w:val="929"/>
    <w:uiPriority w:val="0"/>
    <w:qFormat/>
    <w:pPr>
      <w:spacing w:after="120"/>
    </w:pPr>
    <w:rPr>
      <w:rFonts w:ascii="Calibri" w:eastAsia="宋体"/>
    </w:rPr>
  </w:style>
  <w:style w:type="paragraph" w:styleId="116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66" w:customStyle="1">
    <w:name w:val="BlockQuote"/>
    <w:basedOn w:val="881"/>
    <w:uiPriority w:val="0"/>
    <w:qFormat/>
    <w:pPr>
      <w:ind w:left="256" w:right="6" w:firstLine="624"/>
    </w:pPr>
    <w:rPr>
      <w:rFonts w:eastAsia="仿宋"/>
      <w:sz w:val="28"/>
    </w:rPr>
  </w:style>
  <w:style w:type="character" w:styleId="1167" w:customStyle="1">
    <w:name w:val="font01"/>
    <w:basedOn w:val="1109"/>
    <w:uiPriority w:val="0"/>
    <w:qFormat/>
    <w:rPr>
      <w:rFonts w:ascii="宋体" w:hAnsi="宋体" w:eastAsia="宋体"/>
      <w:color w:val="000000"/>
      <w:sz w:val="24"/>
      <w:szCs w:val="24"/>
      <w:u w:val="none"/>
    </w:rPr>
  </w:style>
  <w:style w:type="character" w:styleId="1168" w:customStyle="1">
    <w:name w:val="font31"/>
    <w:basedOn w:val="1109"/>
    <w:uiPriority w:val="0"/>
    <w:qFormat/>
    <w:rPr>
      <w:rFonts w:ascii="宋体" w:hAnsi="宋体" w:eastAsia="宋体"/>
      <w:b/>
      <w:bCs/>
      <w:color w:val="000000"/>
      <w:sz w:val="24"/>
      <w:szCs w:val="24"/>
      <w:u w:val="none"/>
    </w:rPr>
  </w:style>
  <w:style w:type="character" w:styleId="1169" w:customStyle="1">
    <w:name w:val="font21"/>
    <w:basedOn w:val="1109"/>
    <w:link w:val="881"/>
    <w:uiPriority w:val="0"/>
    <w:qFormat/>
    <w:rPr>
      <w:b/>
      <w:lang w:val="en-US" w:eastAsia="zh-CN" w:bidi="ar-SA"/>
    </w:rPr>
  </w:style>
  <w:style w:type="paragraph" w:styleId="1170" w:customStyle="1">
    <w:name w:val="footnote text"/>
    <w:basedOn w:val="861"/>
    <w:uiPriority w:val="0"/>
    <w:qFormat/>
    <w:rPr>
      <w:rFonts w:ascii="Calibri" w:hAnsi="Calibri"/>
      <w:sz w:val="18"/>
    </w:rPr>
  </w:style>
  <w:style w:type="paragraph" w:styleId="1171" w:customStyle="1">
    <w:name w:val="UserStyle_49"/>
    <w:basedOn w:val="861"/>
    <w:uiPriority w:val="0"/>
    <w:qFormat/>
    <w:pPr>
      <w:ind w:right="181" w:firstLine="480"/>
      <w:spacing w:line="360" w:lineRule="auto"/>
    </w:pPr>
    <w:rPr>
      <w:rFonts w:ascii="Verdana" w:hAnsi="Verdana"/>
    </w:rPr>
  </w:style>
  <w:style w:type="paragraph" w:styleId="1172" w:customStyle="1">
    <w:name w:val="UserStyle_38"/>
    <w:basedOn w:val="861"/>
    <w:next w:val="861"/>
    <w:uiPriority w:val="0"/>
    <w:qFormat/>
    <w:pPr>
      <w:ind w:firstLine="480"/>
      <w:spacing w:line="360" w:lineRule="auto"/>
    </w:pPr>
    <w:rPr>
      <w:rFonts w:ascii="宋体" w:hAnsi="宋体"/>
      <w:sz w:val="24"/>
    </w:rPr>
  </w:style>
  <w:style w:type="paragraph" w:styleId="1173" w:customStyle="1">
    <w:name w:val="UserStyle_0"/>
    <w:basedOn w:val="861"/>
    <w:next w:val="878"/>
    <w:uiPriority w:val="0"/>
    <w:qFormat/>
    <w:rPr>
      <w:bCs/>
      <w:spacing w:val="10"/>
    </w:rPr>
  </w:style>
  <w:style w:type="paragraph" w:styleId="1174" w:customStyle="1">
    <w:name w:val="HtmlNormal"/>
    <w:basedOn w:val="861"/>
    <w:uiPriority w:val="0"/>
    <w:qFormat/>
    <w:pPr>
      <w:spacing w:beforeAutospacing="1" w:afterAutospacing="1"/>
    </w:pPr>
    <w:rPr>
      <w:rFonts w:ascii="宋体" w:hAnsi="宋体"/>
      <w:sz w:val="24"/>
    </w:rPr>
  </w:style>
  <w:style w:type="paragraph" w:styleId="1175" w:customStyle="1">
    <w:name w:val="_HT_正文"/>
    <w:basedOn w:val="861"/>
    <w:uiPriority w:val="0"/>
    <w:qFormat/>
    <w:pPr>
      <w:ind w:firstLine="200"/>
      <w:spacing w:line="360" w:lineRule="auto"/>
    </w:pPr>
    <w:rPr>
      <w:sz w:val="24"/>
    </w:rPr>
  </w:style>
  <w:style w:type="paragraph" w:styleId="1176" w:customStyle="1">
    <w:name w:val="p16"/>
    <w:basedOn w:val="861"/>
    <w:uiPriority w:val="0"/>
    <w:qFormat/>
    <w:pPr>
      <w:spacing w:before="100" w:after="100"/>
    </w:pPr>
    <w:rPr>
      <w:rFonts w:ascii="宋体" w:hAnsi="宋体" w:cs="宋体"/>
      <w:sz w:val="24"/>
    </w:rPr>
  </w:style>
  <w:style w:type="character" w:styleId="1177" w:customStyle="1">
    <w:name w:val="15"/>
    <w:basedOn w:val="871"/>
    <w:uiPriority w:val="0"/>
    <w:qFormat/>
    <w:rPr>
      <w:rFonts w:hint="default" w:ascii="Times New Roman" w:hAnsi="Times New Roman" w:cs="Times New Roman"/>
      <w:b/>
      <w:bCs/>
      <w:sz w:val="20"/>
      <w:szCs w:val="20"/>
    </w:rPr>
  </w:style>
  <w:style w:type="paragraph" w:styleId="1178" w:customStyle="1">
    <w:name w:val="1样式1"/>
    <w:basedOn w:val="861"/>
    <w:uiPriority w:val="0"/>
    <w:qFormat/>
    <w:pPr>
      <w:ind w:left="420" w:firstLine="200"/>
      <w:spacing w:line="288" w:lineRule="auto"/>
      <w:tabs>
        <w:tab w:val="left" w:pos="420" w:leader="none"/>
      </w:tabs>
    </w:pPr>
    <w:rPr>
      <w:rFonts w:eastAsia="仿宋_GB2312"/>
      <w:szCs w:val="21"/>
    </w:rPr>
  </w:style>
  <w:style w:type="character" w:styleId="1179" w:customStyle="1">
    <w:name w:val="批注框文本 Char1"/>
    <w:basedOn w:val="871"/>
    <w:link w:val="902"/>
    <w:uiPriority w:val="99"/>
    <w:semiHidden/>
    <w:qFormat/>
    <w:rPr>
      <w:sz w:val="18"/>
      <w:szCs w:val="18"/>
    </w:rPr>
  </w:style>
  <w:style w:type="character" w:styleId="1180" w:customStyle="1">
    <w:name w:val="ca-91"/>
    <w:uiPriority w:val="0"/>
    <w:qFormat/>
    <w:rPr>
      <w:rFonts w:ascii="仿宋_GB2312" w:hAnsi="仿宋_GB2312" w:eastAsia="仿宋_GB2312"/>
      <w:sz w:val="30"/>
    </w:rPr>
  </w:style>
  <w:style w:type="paragraph" w:styleId="1181" w:customStyle="1">
    <w:name w:val="PlainText"/>
    <w:basedOn w:val="861"/>
    <w:uiPriority w:val="0"/>
    <w:qFormat/>
    <w:pPr>
      <w:jc w:val="left"/>
    </w:pPr>
    <w:rPr>
      <w:rFonts w:ascii="宋体" w:hAnsi="Courier New"/>
      <w:szCs w:val="20"/>
    </w:rPr>
  </w:style>
  <w:style w:type="paragraph" w:styleId="1182" w:customStyle="1">
    <w:name w:val="UserStyle_327"/>
    <w:uiPriority w:val="0"/>
    <w:qFormat/>
    <w:rPr>
      <w:rFonts w:hint="default" w:ascii="宋体" w:hAnsi="Calibri" w:eastAsia="宋体" w:cs="Times New Roman"/>
      <w:color w:val="000000"/>
      <w:sz w:val="24"/>
      <w:szCs w:val="24"/>
      <w:lang w:val="en-US" w:eastAsia="zh-CN" w:bidi="ar-SA"/>
    </w:rPr>
  </w:style>
  <w:style w:type="paragraph" w:styleId="1183" w:customStyle="1">
    <w:name w:val="Body text|1"/>
    <w:basedOn w:val="861"/>
    <w:uiPriority w:val="0"/>
    <w:qFormat/>
    <w:pPr>
      <w:ind w:firstLine="220"/>
      <w:spacing w:after="160" w:line="480" w:lineRule="auto"/>
    </w:pPr>
    <w:rPr>
      <w:rFonts w:ascii="宋体" w:hAnsi="宋体" w:eastAsia="宋体" w:cs="宋体"/>
      <w:sz w:val="26"/>
      <w:szCs w:val="26"/>
      <w:lang w:val="zh-TW" w:eastAsia="zh-TW" w:bidi="zh-TW"/>
    </w:rPr>
  </w:style>
  <w:style w:type="paragraph" w:styleId="1184" w:customStyle="1">
    <w:name w:val="（正文）"/>
    <w:basedOn w:val="861"/>
    <w:next w:val="861"/>
    <w:uiPriority w:val="0"/>
    <w:qFormat/>
    <w:pPr>
      <w:ind w:firstLine="480"/>
      <w:spacing w:line="360" w:lineRule="auto"/>
    </w:pPr>
    <w:rPr>
      <w:rFonts w:ascii="宋体" w:hAnsi="Courier New"/>
      <w:sz w:val="24"/>
      <w:szCs w:val="20"/>
      <w:lang w:val="zh-CN" w:eastAsia="zh-CN"/>
    </w:rPr>
  </w:style>
  <w:style w:type="paragraph" w:styleId="1185" w:customStyle="1">
    <w:name w:val="正文文本缩进111"/>
    <w:basedOn w:val="861"/>
    <w:next w:val="1186"/>
    <w:uiPriority w:val="0"/>
    <w:qFormat/>
    <w:pPr>
      <w:ind w:firstLine="192"/>
    </w:pPr>
    <w:rPr>
      <w:rFonts w:ascii="Times New Roman" w:hAnsi="Times New Roman"/>
      <w:sz w:val="28"/>
    </w:rPr>
  </w:style>
  <w:style w:type="paragraph" w:styleId="1186" w:customStyle="1">
    <w:name w:val="寄信人地址11"/>
    <w:basedOn w:val="861"/>
    <w:uiPriority w:val="0"/>
    <w:qFormat/>
    <w:rPr>
      <w:rFonts w:ascii="Arial" w:hAnsi="Arial" w:eastAsia="宋体" w:cs="Times New Roman"/>
    </w:rPr>
  </w:style>
  <w:style w:type="paragraph" w:styleId="1187" w:customStyle="1">
    <w:name w:val="文本块111"/>
    <w:basedOn w:val="86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188" w:customStyle="1">
    <w:name w:val="1.正文"/>
    <w:basedOn w:val="86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189" w:customStyle="1">
    <w:name w:val="正文文本12"/>
    <w:basedOn w:val="890"/>
    <w:next w:val="890"/>
    <w:uiPriority w:val="0"/>
    <w:qFormat/>
    <w:pPr>
      <w:jc w:val="both"/>
      <w:spacing w:after="120"/>
    </w:pPr>
    <w:rPr>
      <w:lang w:val="en-US" w:eastAsia="en-US"/>
    </w:rPr>
  </w:style>
  <w:style w:type="paragraph" w:styleId="1190" w:customStyle="1">
    <w:name w:val="标题 51"/>
    <w:basedOn w:val="883"/>
    <w:next w:val="883"/>
    <w:uiPriority w:val="0"/>
    <w:qFormat/>
    <w:pPr>
      <w:keepLines/>
      <w:keepNext/>
      <w:spacing w:before="280" w:after="290" w:line="376" w:lineRule="auto"/>
      <w:outlineLvl w:val="4"/>
    </w:pPr>
    <w:rPr>
      <w:b/>
      <w:bCs/>
      <w:sz w:val="28"/>
      <w:szCs w:val="28"/>
    </w:rPr>
  </w:style>
  <w:style w:type="paragraph" w:styleId="1191"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192" w:customStyle="1">
    <w:name w:val="正文_0"/>
    <w:uiPriority w:val="0"/>
    <w:qFormat/>
    <w:pPr>
      <w:jc w:val="both"/>
      <w:widowControl w:val="off"/>
    </w:pPr>
    <w:rPr>
      <w:rFonts w:hint="default" w:ascii="Calibri" w:hAnsi="Calibri" w:eastAsia="宋体" w:cs="Times New Roman"/>
      <w:sz w:val="21"/>
      <w:szCs w:val="22"/>
    </w:rPr>
  </w:style>
  <w:style w:type="paragraph" w:styleId="119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94" w:customStyle="1">
    <w:name w:val="正文文本缩进 22"/>
    <w:basedOn w:val="926"/>
    <w:uiPriority w:val="0"/>
    <w:qFormat/>
    <w:pPr>
      <w:ind w:left="420"/>
      <w:spacing w:after="120" w:line="480" w:lineRule="auto"/>
    </w:pPr>
    <w:rPr>
      <w:rFonts w:ascii="Calibri" w:hAnsi="Calibri" w:eastAsia="宋体" w:cs="Times New Roman"/>
      <w:lang w:val="en-US" w:eastAsia="zh-CN" w:bidi="ar-SA"/>
    </w:rPr>
  </w:style>
  <w:style w:type="paragraph" w:styleId="1195" w:customStyle="1">
    <w:name w:val="标题 111"/>
    <w:next w:val="88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196" w:customStyle="1">
    <w:name w:val="NormalCharacter1"/>
    <w:uiPriority w:val="0"/>
    <w:semiHidden/>
    <w:qFormat/>
    <w:rPr>
      <w:rFonts w:ascii="Times New Roman" w:hAnsi="Times New Roman" w:eastAsia="宋体" w:cs="Times New Roman"/>
      <w:sz w:val="21"/>
      <w:szCs w:val="24"/>
    </w:rPr>
  </w:style>
  <w:style w:type="paragraph" w:styleId="1197" w:customStyle="1">
    <w:name w:val="Table Text"/>
    <w:basedOn w:val="861"/>
    <w:uiPriority w:val="0"/>
    <w:semiHidden/>
    <w:qFormat/>
    <w:rPr>
      <w:rFonts w:ascii="宋体" w:hAnsi="宋体" w:eastAsia="宋体" w:cs="宋体"/>
      <w:sz w:val="32"/>
      <w:szCs w:val="32"/>
      <w:lang w:val="en-US" w:eastAsia="en-US" w:bidi="ar-SA"/>
    </w:rPr>
  </w:style>
  <w:style w:type="table" w:styleId="1198" w:customStyle="1">
    <w:name w:val="Table Normal"/>
    <w:uiPriority w:val="0"/>
    <w:semiHidden/>
    <w:unhideWhenUsed/>
    <w:qFormat/>
    <w:tblPr>
      <w:tblCellMar>
        <w:left w:w="0" w:type="dxa"/>
        <w:top w:w="0" w:type="dxa"/>
        <w:right w:w="0" w:type="dxa"/>
        <w:bottom w:w="0" w:type="dxa"/>
      </w:tblCellMar>
    </w:tblPr>
  </w:style>
  <w:style w:type="character" w:styleId="1199" w:customStyle="1">
    <w:name w:val="正文12 Char"/>
    <w:link w:val="883"/>
    <w:uiPriority w:val="0"/>
    <w:qFormat/>
    <w:rPr>
      <w:rFonts w:hint="default" w:ascii="Times New Roman" w:hAnsi="Times New Roman" w:eastAsia="宋体" w:cs="Times New Roman"/>
      <w:sz w:val="24"/>
      <w:szCs w:val="24"/>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江苏大设建设有限公司业务部</cp:lastModifiedBy>
  <cp:revision>7</cp:revision>
  <dcterms:created xsi:type="dcterms:W3CDTF">2024-04-09T01:39:00Z</dcterms:created>
  <dcterms:modified xsi:type="dcterms:W3CDTF">2026-11-03T03:16:59Z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36AF9AC011D74D2C861C6020F579A374_13</vt:lpwstr>
  </property>
  <property fmtid="{D5CDD505-2E9C-101B-9397-08002B2CF9AE}" pid="4" name="KSOTemplateDocerSaveRecord">
    <vt:lpwstr>eyJoZGlkIjoiZjdiZGE5OTlhMjliOTIzOTA5ODVhNmNhNWQwZjgzMGUiLCJ1c2VySWQiOiIzNjQxOTEyMTcifQ==</vt:lpwstr>
  </property>
</Properties>
</file>