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9066ED">
      <w:pPr>
        <w:pStyle w:val="34"/>
        <w:spacing w:before="120" w:beforeAutospacing="0" w:after="120" w:afterAutospacing="0" w:line="360" w:lineRule="auto"/>
        <w:ind w:firstLine="240"/>
        <w:rPr>
          <w:rFonts w:ascii="Arial" w:hAnsi="Arial" w:cs="Arial"/>
          <w:b/>
          <w:color w:val="auto"/>
          <w:sz w:val="84"/>
          <w:szCs w:val="84"/>
          <w:highlight w:val="none"/>
        </w:rPr>
      </w:pPr>
      <w:r>
        <w:rPr>
          <w:color w:val="auto"/>
          <w:highlight w:val="none"/>
        </w:rPr>
        <w:t> </w:t>
      </w:r>
    </w:p>
    <w:p w14:paraId="5613DC49">
      <w:pPr>
        <w:pStyle w:val="34"/>
        <w:spacing w:before="120" w:beforeAutospacing="0" w:after="120" w:afterAutospacing="0" w:line="360" w:lineRule="auto"/>
        <w:jc w:val="center"/>
        <w:rPr>
          <w:rFonts w:ascii="Arial" w:hAnsi="Arial" w:cs="Arial"/>
          <w:b/>
          <w:color w:val="auto"/>
          <w:sz w:val="84"/>
          <w:szCs w:val="84"/>
          <w:highlight w:val="none"/>
        </w:rPr>
      </w:pPr>
    </w:p>
    <w:p w14:paraId="16E6DC4E">
      <w:pPr>
        <w:pStyle w:val="34"/>
        <w:spacing w:before="120" w:beforeAutospacing="0" w:after="120" w:afterAutospacing="0" w:line="360" w:lineRule="auto"/>
        <w:jc w:val="center"/>
        <w:rPr>
          <w:rFonts w:ascii="Arial" w:hAnsi="Arial" w:cs="Arial"/>
          <w:b/>
          <w:color w:val="auto"/>
          <w:sz w:val="84"/>
          <w:szCs w:val="84"/>
          <w:highlight w:val="none"/>
        </w:rPr>
      </w:pPr>
      <w:r>
        <w:rPr>
          <w:rFonts w:ascii="Arial" w:hAnsi="Arial" w:cs="Arial"/>
          <w:b/>
          <w:color w:val="auto"/>
          <w:sz w:val="84"/>
          <w:szCs w:val="84"/>
          <w:highlight w:val="none"/>
        </w:rPr>
        <w:t>招 标 文 件</w:t>
      </w:r>
    </w:p>
    <w:p w14:paraId="58B54850">
      <w:pPr>
        <w:pStyle w:val="34"/>
        <w:spacing w:beforeAutospacing="0" w:afterAutospacing="0" w:line="360" w:lineRule="auto"/>
        <w:ind w:firstLine="240"/>
        <w:rPr>
          <w:rFonts w:hint="eastAsia" w:ascii="Arial" w:hAnsi="Arial" w:cs="Arial"/>
          <w:b/>
          <w:color w:val="auto"/>
          <w:sz w:val="32"/>
          <w:szCs w:val="32"/>
          <w:highlight w:val="none"/>
          <w:lang w:val="en-US" w:eastAsia="zh-CN"/>
        </w:rPr>
      </w:pPr>
    </w:p>
    <w:p w14:paraId="39AEECD0">
      <w:pPr>
        <w:pStyle w:val="34"/>
        <w:spacing w:beforeAutospacing="0" w:afterAutospacing="0" w:line="360" w:lineRule="auto"/>
        <w:ind w:firstLine="240"/>
        <w:rPr>
          <w:rFonts w:hint="eastAsia" w:ascii="Arial" w:hAnsi="Arial" w:cs="Arial"/>
          <w:b/>
          <w:color w:val="auto"/>
          <w:sz w:val="32"/>
          <w:szCs w:val="32"/>
          <w:highlight w:val="none"/>
          <w:lang w:val="en-US" w:eastAsia="zh-CN"/>
        </w:rPr>
      </w:pPr>
    </w:p>
    <w:p w14:paraId="7C3CA9D2">
      <w:pPr>
        <w:pStyle w:val="34"/>
        <w:spacing w:beforeAutospacing="0" w:afterAutospacing="0" w:line="360" w:lineRule="auto"/>
        <w:ind w:firstLine="240"/>
        <w:rPr>
          <w:rFonts w:hint="eastAsia" w:ascii="Arial" w:hAnsi="Arial" w:cs="Arial"/>
          <w:b/>
          <w:color w:val="auto"/>
          <w:sz w:val="32"/>
          <w:szCs w:val="32"/>
          <w:highlight w:val="none"/>
          <w:lang w:val="en-US" w:eastAsia="zh-CN"/>
        </w:rPr>
      </w:pPr>
    </w:p>
    <w:p w14:paraId="06E1DAA0">
      <w:pPr>
        <w:pStyle w:val="34"/>
        <w:spacing w:beforeAutospacing="0" w:afterAutospacing="0" w:line="360" w:lineRule="auto"/>
        <w:ind w:firstLine="240"/>
        <w:rPr>
          <w:rFonts w:hint="eastAsia" w:ascii="Arial" w:hAnsi="Arial" w:cs="Arial"/>
          <w:b/>
          <w:color w:val="auto"/>
          <w:sz w:val="32"/>
          <w:szCs w:val="32"/>
          <w:highlight w:val="none"/>
          <w:lang w:val="en-US" w:eastAsia="zh-CN"/>
        </w:rPr>
      </w:pPr>
    </w:p>
    <w:p w14:paraId="41E64CD7">
      <w:pPr>
        <w:pStyle w:val="34"/>
        <w:spacing w:beforeAutospacing="0" w:afterAutospacing="0" w:line="360" w:lineRule="auto"/>
        <w:rPr>
          <w:rFonts w:hint="eastAsia" w:ascii="Arial" w:hAnsi="Arial" w:eastAsia="宋体" w:cs="Arial"/>
          <w:b/>
          <w:color w:val="auto"/>
          <w:sz w:val="32"/>
          <w:szCs w:val="32"/>
          <w:highlight w:val="none"/>
          <w:lang w:val="en-US" w:eastAsia="zh-CN"/>
        </w:rPr>
      </w:pPr>
      <w:r>
        <w:rPr>
          <w:rFonts w:hint="eastAsia" w:ascii="Arial" w:hAnsi="Arial" w:cs="Arial"/>
          <w:b/>
          <w:color w:val="auto"/>
          <w:sz w:val="32"/>
          <w:szCs w:val="32"/>
          <w:highlight w:val="none"/>
          <w:lang w:val="en-US" w:eastAsia="zh-CN"/>
        </w:rPr>
        <w:t>项目</w:t>
      </w:r>
      <w:r>
        <w:rPr>
          <w:rFonts w:hint="eastAsia" w:ascii="Arial" w:hAnsi="Arial" w:cs="Arial"/>
          <w:b/>
          <w:color w:val="auto"/>
          <w:sz w:val="32"/>
          <w:szCs w:val="32"/>
          <w:highlight w:val="none"/>
        </w:rPr>
        <w:t>编号：</w:t>
      </w:r>
      <w:bookmarkStart w:id="0" w:name="_Toc16915"/>
      <w:r>
        <w:rPr>
          <w:rFonts w:hint="eastAsia" w:ascii="Arial" w:hAnsi="Arial" w:cs="Arial"/>
          <w:b/>
          <w:color w:val="auto"/>
          <w:sz w:val="32"/>
          <w:szCs w:val="32"/>
          <w:highlight w:val="none"/>
        </w:rPr>
        <w:t>JSZC-320903-RHHH-G2026-0079</w:t>
      </w:r>
      <w:r>
        <w:rPr>
          <w:rFonts w:hint="eastAsia" w:ascii="Arial" w:hAnsi="Arial" w:eastAsia="宋体" w:cs="Arial"/>
          <w:b/>
          <w:color w:val="auto"/>
          <w:sz w:val="32"/>
          <w:szCs w:val="32"/>
          <w:highlight w:val="none"/>
          <w:lang w:val="en-US" w:eastAsia="zh-CN"/>
        </w:rPr>
        <w:t xml:space="preserve"> </w:t>
      </w:r>
    </w:p>
    <w:p w14:paraId="32F939B5">
      <w:pPr>
        <w:pStyle w:val="34"/>
        <w:keepNext w:val="0"/>
        <w:keepLines w:val="0"/>
        <w:pageBreakBefore w:val="0"/>
        <w:widowControl w:val="0"/>
        <w:spacing w:beforeAutospacing="0" w:afterAutospacing="0" w:line="360" w:lineRule="auto"/>
        <w:rPr>
          <w:rFonts w:hint="eastAsia" w:ascii="Arial" w:hAnsi="Arial" w:eastAsia="宋体" w:cs="Arial"/>
          <w:b/>
          <w:color w:val="auto"/>
          <w:sz w:val="32"/>
          <w:szCs w:val="32"/>
          <w:highlight w:val="none"/>
          <w:lang w:val="en-US" w:eastAsia="zh-CN"/>
        </w:rPr>
      </w:pPr>
      <w:r>
        <w:rPr>
          <w:rFonts w:ascii="Arial" w:hAnsi="Arial" w:cs="Arial"/>
          <w:b/>
          <w:color w:val="auto"/>
          <w:sz w:val="32"/>
          <w:szCs w:val="32"/>
          <w:highlight w:val="none"/>
        </w:rPr>
        <w:t>项目名称：</w:t>
      </w:r>
      <w:bookmarkEnd w:id="0"/>
      <w:r>
        <w:rPr>
          <w:rFonts w:hint="eastAsia" w:ascii="Arial" w:hAnsi="Arial" w:cs="Arial"/>
          <w:b/>
          <w:color w:val="auto"/>
          <w:sz w:val="32"/>
          <w:szCs w:val="32"/>
          <w:highlight w:val="none"/>
          <w:lang w:eastAsia="zh-CN"/>
        </w:rPr>
        <w:t>盐城市第三人民医院</w:t>
      </w:r>
      <w:r>
        <w:rPr>
          <w:rFonts w:hint="eastAsia" w:ascii="Arial" w:hAnsi="Arial" w:eastAsia="宋体" w:cs="Arial"/>
          <w:b/>
          <w:color w:val="auto"/>
          <w:sz w:val="32"/>
          <w:szCs w:val="32"/>
          <w:highlight w:val="none"/>
          <w:lang w:eastAsia="zh-CN"/>
        </w:rPr>
        <w:t>医疗废物无害化处置项目</w:t>
      </w:r>
    </w:p>
    <w:p w14:paraId="433930BE">
      <w:pPr>
        <w:pStyle w:val="34"/>
        <w:spacing w:beforeAutospacing="0" w:afterAutospacing="0" w:line="360" w:lineRule="auto"/>
        <w:ind w:firstLine="2880"/>
        <w:rPr>
          <w:color w:val="auto"/>
          <w:highlight w:val="none"/>
        </w:rPr>
      </w:pPr>
    </w:p>
    <w:p w14:paraId="30E70235">
      <w:pPr>
        <w:pStyle w:val="34"/>
        <w:spacing w:beforeAutospacing="0" w:afterAutospacing="0" w:line="360" w:lineRule="auto"/>
        <w:ind w:firstLine="2880"/>
        <w:rPr>
          <w:color w:val="auto"/>
          <w:highlight w:val="none"/>
        </w:rPr>
      </w:pPr>
    </w:p>
    <w:p w14:paraId="21687711">
      <w:pPr>
        <w:pStyle w:val="34"/>
        <w:spacing w:beforeAutospacing="0" w:afterAutospacing="0" w:line="360" w:lineRule="auto"/>
        <w:ind w:firstLine="2880"/>
        <w:rPr>
          <w:color w:val="auto"/>
          <w:highlight w:val="none"/>
        </w:rPr>
      </w:pPr>
    </w:p>
    <w:p w14:paraId="0D4898E1">
      <w:pPr>
        <w:pStyle w:val="34"/>
        <w:spacing w:beforeAutospacing="0" w:afterAutospacing="0" w:line="360" w:lineRule="auto"/>
        <w:ind w:firstLine="2880"/>
        <w:rPr>
          <w:color w:val="auto"/>
          <w:highlight w:val="none"/>
        </w:rPr>
      </w:pPr>
    </w:p>
    <w:p w14:paraId="16A2588F">
      <w:pPr>
        <w:pStyle w:val="34"/>
        <w:spacing w:beforeAutospacing="0" w:afterAutospacing="0" w:line="360" w:lineRule="auto"/>
        <w:ind w:firstLine="240"/>
        <w:rPr>
          <w:color w:val="auto"/>
          <w:highlight w:val="none"/>
        </w:rPr>
      </w:pPr>
      <w:r>
        <w:rPr>
          <w:color w:val="auto"/>
          <w:highlight w:val="none"/>
        </w:rPr>
        <w:t> </w:t>
      </w:r>
    </w:p>
    <w:p w14:paraId="3FBBD2D6">
      <w:pPr>
        <w:pStyle w:val="34"/>
        <w:spacing w:before="120" w:beforeAutospacing="0" w:after="120" w:afterAutospacing="0" w:line="360" w:lineRule="auto"/>
        <w:ind w:firstLine="321"/>
        <w:jc w:val="center"/>
        <w:rPr>
          <w:rFonts w:ascii="Arial" w:hAnsi="Arial" w:cs="Arial"/>
          <w:b/>
          <w:color w:val="auto"/>
          <w:sz w:val="32"/>
          <w:szCs w:val="32"/>
          <w:highlight w:val="none"/>
        </w:rPr>
      </w:pPr>
      <w:r>
        <w:rPr>
          <w:rFonts w:hint="eastAsia" w:ascii="Arial" w:hAnsi="Arial" w:cs="Arial"/>
          <w:b/>
          <w:color w:val="auto"/>
          <w:sz w:val="32"/>
          <w:szCs w:val="32"/>
          <w:highlight w:val="none"/>
        </w:rPr>
        <w:t>盐城市第三人民医院</w:t>
      </w:r>
    </w:p>
    <w:p w14:paraId="1EC8C212">
      <w:pPr>
        <w:pStyle w:val="34"/>
        <w:spacing w:before="120" w:beforeAutospacing="0" w:after="120" w:afterAutospacing="0" w:line="360" w:lineRule="auto"/>
        <w:ind w:firstLine="321"/>
        <w:jc w:val="center"/>
        <w:rPr>
          <w:color w:val="auto"/>
          <w:highlight w:val="none"/>
        </w:rPr>
      </w:pPr>
      <w:r>
        <w:rPr>
          <w:rFonts w:hint="eastAsia" w:ascii="Arial" w:hAnsi="Arial" w:cs="Arial"/>
          <w:b/>
          <w:color w:val="auto"/>
          <w:sz w:val="32"/>
          <w:szCs w:val="32"/>
          <w:highlight w:val="none"/>
        </w:rPr>
        <w:t>202</w:t>
      </w:r>
      <w:r>
        <w:rPr>
          <w:rFonts w:hint="eastAsia" w:ascii="Arial" w:hAnsi="Arial" w:eastAsia="宋体" w:cs="Arial"/>
          <w:b/>
          <w:color w:val="auto"/>
          <w:sz w:val="32"/>
          <w:szCs w:val="32"/>
          <w:highlight w:val="none"/>
          <w:lang w:val="en-US" w:eastAsia="zh-CN"/>
        </w:rPr>
        <w:t>6</w:t>
      </w:r>
      <w:r>
        <w:rPr>
          <w:rFonts w:ascii="Arial" w:hAnsi="Arial" w:cs="Arial"/>
          <w:b/>
          <w:color w:val="auto"/>
          <w:sz w:val="32"/>
          <w:szCs w:val="32"/>
          <w:highlight w:val="none"/>
        </w:rPr>
        <w:t>年</w:t>
      </w:r>
      <w:r>
        <w:rPr>
          <w:rFonts w:hint="eastAsia" w:ascii="Arial" w:hAnsi="Arial" w:cs="Arial"/>
          <w:b/>
          <w:color w:val="auto"/>
          <w:sz w:val="32"/>
          <w:szCs w:val="32"/>
          <w:highlight w:val="none"/>
          <w:lang w:val="en-US" w:eastAsia="zh-CN"/>
        </w:rPr>
        <w:t>11</w:t>
      </w:r>
      <w:r>
        <w:rPr>
          <w:rFonts w:ascii="Arial" w:hAnsi="Arial" w:cs="Arial"/>
          <w:b/>
          <w:color w:val="auto"/>
          <w:sz w:val="32"/>
          <w:szCs w:val="32"/>
          <w:highlight w:val="none"/>
        </w:rPr>
        <w:t>月</w:t>
      </w:r>
    </w:p>
    <w:p w14:paraId="01F48AAA">
      <w:pPr>
        <w:pStyle w:val="34"/>
        <w:spacing w:beforeAutospacing="0" w:afterAutospacing="0" w:line="480" w:lineRule="auto"/>
        <w:ind w:firstLine="210"/>
        <w:jc w:val="center"/>
        <w:rPr>
          <w:rFonts w:ascii="Times New Roman" w:hAnsi="Times New Roman"/>
          <w:color w:val="auto"/>
          <w:sz w:val="21"/>
          <w:szCs w:val="21"/>
          <w:highlight w:val="none"/>
        </w:rPr>
      </w:pPr>
    </w:p>
    <w:p w14:paraId="6ED4CD5D">
      <w:pPr>
        <w:pStyle w:val="34"/>
        <w:spacing w:beforeAutospacing="0" w:afterAutospacing="0" w:line="480" w:lineRule="auto"/>
        <w:ind w:firstLine="210"/>
        <w:jc w:val="center"/>
        <w:rPr>
          <w:rFonts w:ascii="Times New Roman" w:hAnsi="Times New Roman"/>
          <w:color w:val="auto"/>
          <w:sz w:val="21"/>
          <w:szCs w:val="21"/>
          <w:highlight w:val="none"/>
        </w:rPr>
      </w:pPr>
    </w:p>
    <w:p w14:paraId="79D2A3ED">
      <w:pPr>
        <w:pStyle w:val="34"/>
        <w:spacing w:beforeAutospacing="0" w:afterAutospacing="0" w:line="480" w:lineRule="auto"/>
        <w:ind w:firstLine="210"/>
        <w:jc w:val="center"/>
        <w:rPr>
          <w:rFonts w:ascii="Times New Roman" w:hAnsi="Times New Roman"/>
          <w:color w:val="auto"/>
          <w:sz w:val="21"/>
          <w:szCs w:val="21"/>
          <w:highlight w:val="none"/>
        </w:rPr>
      </w:pPr>
    </w:p>
    <w:p w14:paraId="363E5629">
      <w:pPr>
        <w:pStyle w:val="34"/>
        <w:spacing w:beforeAutospacing="0" w:afterAutospacing="0" w:line="480" w:lineRule="auto"/>
        <w:ind w:firstLine="210"/>
        <w:jc w:val="center"/>
        <w:rPr>
          <w:rFonts w:ascii="Times New Roman" w:hAnsi="Times New Roman"/>
          <w:color w:val="auto"/>
          <w:sz w:val="21"/>
          <w:szCs w:val="21"/>
          <w:highlight w:val="none"/>
        </w:rPr>
      </w:pPr>
    </w:p>
    <w:p w14:paraId="0A48A3F3">
      <w:pPr>
        <w:pStyle w:val="34"/>
        <w:spacing w:beforeAutospacing="0" w:afterAutospacing="0" w:line="480" w:lineRule="auto"/>
        <w:ind w:firstLine="210"/>
        <w:jc w:val="center"/>
        <w:rPr>
          <w:rFonts w:ascii="Times New Roman" w:hAnsi="Times New Roman"/>
          <w:color w:val="auto"/>
          <w:sz w:val="21"/>
          <w:szCs w:val="21"/>
          <w:highlight w:val="none"/>
        </w:rPr>
        <w:sectPr>
          <w:footerReference r:id="rId3" w:type="first"/>
          <w:pgSz w:w="11906" w:h="16838"/>
          <w:pgMar w:top="1440" w:right="1800" w:bottom="1440" w:left="1800" w:header="851" w:footer="992" w:gutter="0"/>
          <w:pgNumType w:start="1"/>
          <w:cols w:space="425" w:num="1"/>
          <w:docGrid w:linePitch="360" w:charSpace="0"/>
        </w:sectPr>
      </w:pPr>
    </w:p>
    <w:p w14:paraId="596B6A8D">
      <w:pPr>
        <w:pStyle w:val="34"/>
        <w:spacing w:beforeAutospacing="0" w:afterAutospacing="0" w:line="480" w:lineRule="auto"/>
        <w:ind w:firstLine="210"/>
        <w:jc w:val="center"/>
        <w:rPr>
          <w:rFonts w:ascii="Times New Roman" w:hAnsi="Times New Roman"/>
          <w:color w:val="auto"/>
          <w:sz w:val="21"/>
          <w:szCs w:val="21"/>
          <w:highlight w:val="none"/>
        </w:rPr>
      </w:pPr>
    </w:p>
    <w:sdt>
      <w:sdtPr>
        <w:rPr>
          <w:rFonts w:hint="default" w:ascii="宋体" w:hAnsi="宋体" w:eastAsia="宋体" w:cstheme="minorBidi"/>
          <w:b/>
          <w:bCs/>
          <w:color w:val="auto"/>
          <w:sz w:val="40"/>
          <w:szCs w:val="48"/>
          <w:highlight w:val="none"/>
          <w:lang w:val="en-US" w:eastAsia="zh-CN" w:bidi="ar-SA"/>
        </w:rPr>
        <w:id w:val="147475852"/>
        <w15:color w:val="DBDBDB"/>
        <w:docPartObj>
          <w:docPartGallery w:val="Table of Contents"/>
          <w:docPartUnique/>
        </w:docPartObj>
      </w:sdtPr>
      <w:sdtEndPr>
        <w:rPr>
          <w:rFonts w:hint="default" w:ascii="宋体" w:hAnsi="宋体" w:eastAsia="宋体" w:cstheme="minorBidi"/>
          <w:b/>
          <w:bCs/>
          <w:color w:val="auto"/>
          <w:sz w:val="40"/>
          <w:szCs w:val="48"/>
          <w:highlight w:val="none"/>
          <w:lang w:val="en-US" w:eastAsia="zh-CN" w:bidi="ar-SA"/>
        </w:rPr>
      </w:sdtEndPr>
      <w:sdtContent>
        <w:p w14:paraId="2B695D02">
          <w:pPr>
            <w:spacing w:before="0" w:beforeLines="0" w:after="0" w:afterLines="0" w:line="240" w:lineRule="auto"/>
            <w:ind w:left="0" w:leftChars="0" w:right="0" w:rightChars="0" w:firstLine="0" w:firstLineChars="0"/>
            <w:jc w:val="center"/>
            <w:rPr>
              <w:rFonts w:ascii="宋体" w:hAnsi="宋体" w:eastAsia="宋体"/>
              <w:b/>
              <w:bCs/>
              <w:color w:val="auto"/>
              <w:sz w:val="40"/>
              <w:szCs w:val="48"/>
              <w:highlight w:val="none"/>
            </w:rPr>
          </w:pPr>
          <w:r>
            <w:rPr>
              <w:rFonts w:ascii="宋体" w:hAnsi="宋体" w:eastAsia="宋体"/>
              <w:b/>
              <w:bCs/>
              <w:color w:val="auto"/>
              <w:sz w:val="40"/>
              <w:szCs w:val="48"/>
              <w:highlight w:val="none"/>
            </w:rPr>
            <w:t>目</w:t>
          </w:r>
          <w:r>
            <w:rPr>
              <w:rFonts w:hint="eastAsia" w:ascii="宋体" w:hAnsi="宋体" w:eastAsia="宋体"/>
              <w:b/>
              <w:bCs/>
              <w:color w:val="auto"/>
              <w:sz w:val="40"/>
              <w:szCs w:val="48"/>
              <w:highlight w:val="none"/>
              <w:lang w:val="en-US" w:eastAsia="zh-CN"/>
            </w:rPr>
            <w:t xml:space="preserve">  </w:t>
          </w:r>
          <w:r>
            <w:rPr>
              <w:rFonts w:ascii="宋体" w:hAnsi="宋体" w:eastAsia="宋体"/>
              <w:b/>
              <w:bCs/>
              <w:color w:val="auto"/>
              <w:sz w:val="40"/>
              <w:szCs w:val="48"/>
              <w:highlight w:val="none"/>
            </w:rPr>
            <w:t>录</w:t>
          </w:r>
        </w:p>
        <w:p w14:paraId="6764E489">
          <w:pPr>
            <w:spacing w:before="0" w:beforeLines="0" w:after="0" w:afterLines="0" w:line="240" w:lineRule="auto"/>
            <w:ind w:left="0" w:leftChars="0" w:right="0" w:rightChars="0" w:firstLine="0" w:firstLineChars="0"/>
            <w:jc w:val="center"/>
            <w:rPr>
              <w:rFonts w:ascii="宋体" w:hAnsi="宋体" w:eastAsia="宋体"/>
              <w:color w:val="auto"/>
              <w:sz w:val="48"/>
              <w:szCs w:val="56"/>
              <w:highlight w:val="none"/>
            </w:rPr>
          </w:pPr>
        </w:p>
        <w:p w14:paraId="53153EBF">
          <w:pPr>
            <w:pStyle w:val="197"/>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8"/>
              <w:szCs w:val="28"/>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_Toc4401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第一章  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_Toc4401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836D448">
          <w:pPr>
            <w:pStyle w:val="197"/>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_Toc10086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_Toc10086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D4C9A87">
          <w:pPr>
            <w:pStyle w:val="197"/>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_Toc19942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第三章  合同文本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_Toc19942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04A0AB9">
          <w:pPr>
            <w:pStyle w:val="197"/>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_Toc3118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第四章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25</w:t>
          </w:r>
        </w:p>
        <w:p w14:paraId="228647CA">
          <w:pPr>
            <w:pStyle w:val="197"/>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_Toc4137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第五章  评标方法与评标标准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27</w:t>
          </w:r>
        </w:p>
        <w:p w14:paraId="7BC5E184">
          <w:pPr>
            <w:pStyle w:val="197"/>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eastAsia="宋体"/>
              <w:color w:val="auto"/>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_Toc6837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32</w:t>
          </w:r>
        </w:p>
        <w:p w14:paraId="66AB196F">
          <w:pPr>
            <w:rPr>
              <w:color w:val="auto"/>
              <w:highlight w:val="none"/>
            </w:rPr>
          </w:pPr>
          <w:r>
            <w:rPr>
              <w:color w:val="auto"/>
              <w:highlight w:val="none"/>
            </w:rPr>
            <w:fldChar w:fldCharType="end"/>
          </w:r>
        </w:p>
      </w:sdtContent>
    </w:sdt>
    <w:p w14:paraId="33D4D8CA">
      <w:pPr>
        <w:rPr>
          <w:color w:val="auto"/>
          <w:highlight w:val="none"/>
        </w:rPr>
      </w:pPr>
    </w:p>
    <w:p w14:paraId="5774D5F9">
      <w:pPr>
        <w:pStyle w:val="34"/>
        <w:spacing w:beforeAutospacing="0" w:afterAutospacing="0"/>
        <w:ind w:firstLine="240"/>
        <w:jc w:val="both"/>
        <w:rPr>
          <w:color w:val="auto"/>
          <w:highlight w:val="none"/>
        </w:rPr>
      </w:pPr>
      <w:r>
        <w:rPr>
          <w:color w:val="auto"/>
          <w:highlight w:val="none"/>
        </w:rPr>
        <w:t> </w:t>
      </w:r>
    </w:p>
    <w:p w14:paraId="2A1CF62E">
      <w:pPr>
        <w:pStyle w:val="34"/>
        <w:spacing w:beforeAutospacing="0" w:afterAutospacing="0"/>
        <w:ind w:firstLine="240"/>
        <w:jc w:val="both"/>
        <w:rPr>
          <w:color w:val="auto"/>
          <w:highlight w:val="none"/>
        </w:rPr>
      </w:pPr>
      <w:r>
        <w:rPr>
          <w:color w:val="auto"/>
          <w:highlight w:val="none"/>
        </w:rPr>
        <w:t> </w:t>
      </w:r>
    </w:p>
    <w:p w14:paraId="5E059EEC">
      <w:pPr>
        <w:pStyle w:val="34"/>
        <w:spacing w:beforeAutospacing="0" w:afterAutospacing="0"/>
        <w:ind w:firstLine="240"/>
        <w:jc w:val="both"/>
        <w:rPr>
          <w:color w:val="auto"/>
          <w:highlight w:val="none"/>
        </w:rPr>
      </w:pPr>
      <w:r>
        <w:rPr>
          <w:color w:val="auto"/>
          <w:highlight w:val="none"/>
        </w:rPr>
        <w:t> </w:t>
      </w:r>
    </w:p>
    <w:p w14:paraId="2793A40F">
      <w:pPr>
        <w:pStyle w:val="34"/>
        <w:spacing w:beforeAutospacing="0" w:afterAutospacing="0"/>
        <w:ind w:firstLine="240"/>
        <w:jc w:val="right"/>
        <w:rPr>
          <w:color w:val="auto"/>
          <w:highlight w:val="none"/>
        </w:rPr>
      </w:pPr>
    </w:p>
    <w:p w14:paraId="64015B93">
      <w:pPr>
        <w:pStyle w:val="34"/>
        <w:spacing w:beforeAutospacing="0" w:afterAutospacing="0"/>
        <w:ind w:firstLine="240"/>
        <w:jc w:val="both"/>
        <w:rPr>
          <w:color w:val="auto"/>
          <w:highlight w:val="none"/>
        </w:rPr>
      </w:pPr>
    </w:p>
    <w:p w14:paraId="0E8B0737">
      <w:pPr>
        <w:pStyle w:val="34"/>
        <w:tabs>
          <w:tab w:val="left" w:pos="5032"/>
        </w:tabs>
        <w:spacing w:beforeAutospacing="0" w:afterAutospacing="0"/>
        <w:ind w:firstLine="240"/>
        <w:jc w:val="both"/>
        <w:rPr>
          <w:rFonts w:hint="eastAsia" w:eastAsia="宋体"/>
          <w:color w:val="auto"/>
          <w:highlight w:val="none"/>
          <w:lang w:eastAsia="zh-CN"/>
        </w:rPr>
      </w:pPr>
      <w:r>
        <w:rPr>
          <w:rFonts w:hint="eastAsia" w:eastAsia="宋体"/>
          <w:color w:val="auto"/>
          <w:highlight w:val="none"/>
          <w:lang w:eastAsia="zh-CN"/>
        </w:rPr>
        <w:tab/>
      </w:r>
    </w:p>
    <w:p w14:paraId="79463CBD">
      <w:pPr>
        <w:pStyle w:val="34"/>
        <w:spacing w:beforeAutospacing="0" w:afterAutospacing="0"/>
        <w:ind w:firstLine="240"/>
        <w:jc w:val="both"/>
        <w:rPr>
          <w:color w:val="auto"/>
          <w:highlight w:val="none"/>
        </w:rPr>
      </w:pPr>
    </w:p>
    <w:p w14:paraId="0052F217">
      <w:pPr>
        <w:pStyle w:val="34"/>
        <w:spacing w:beforeAutospacing="0" w:afterAutospacing="0"/>
        <w:ind w:firstLine="240"/>
        <w:jc w:val="both"/>
        <w:rPr>
          <w:color w:val="auto"/>
          <w:highlight w:val="none"/>
        </w:rPr>
      </w:pPr>
    </w:p>
    <w:p w14:paraId="51C9719D">
      <w:pPr>
        <w:pStyle w:val="34"/>
        <w:spacing w:beforeAutospacing="0" w:afterAutospacing="0"/>
        <w:ind w:firstLine="240"/>
        <w:jc w:val="both"/>
        <w:rPr>
          <w:color w:val="auto"/>
          <w:highlight w:val="none"/>
        </w:rPr>
      </w:pPr>
    </w:p>
    <w:p w14:paraId="4A769C05">
      <w:pPr>
        <w:pStyle w:val="34"/>
        <w:spacing w:beforeAutospacing="0" w:afterAutospacing="0"/>
        <w:ind w:firstLine="240"/>
        <w:jc w:val="both"/>
        <w:rPr>
          <w:color w:val="auto"/>
          <w:highlight w:val="none"/>
        </w:rPr>
      </w:pPr>
    </w:p>
    <w:p w14:paraId="234ED7B9">
      <w:pPr>
        <w:pStyle w:val="34"/>
        <w:spacing w:beforeAutospacing="0" w:afterAutospacing="0"/>
        <w:ind w:firstLine="240"/>
        <w:jc w:val="both"/>
        <w:rPr>
          <w:color w:val="auto"/>
          <w:highlight w:val="none"/>
        </w:rPr>
      </w:pPr>
    </w:p>
    <w:p w14:paraId="685C00A7">
      <w:pPr>
        <w:pStyle w:val="34"/>
        <w:spacing w:beforeAutospacing="0" w:afterAutospacing="0"/>
        <w:ind w:firstLine="240"/>
        <w:jc w:val="both"/>
        <w:rPr>
          <w:color w:val="auto"/>
          <w:highlight w:val="none"/>
        </w:rPr>
      </w:pPr>
    </w:p>
    <w:p w14:paraId="26C31CBF">
      <w:pPr>
        <w:pStyle w:val="34"/>
        <w:spacing w:beforeAutospacing="0" w:afterAutospacing="0"/>
        <w:ind w:firstLine="240"/>
        <w:jc w:val="both"/>
        <w:rPr>
          <w:color w:val="auto"/>
          <w:highlight w:val="none"/>
        </w:rPr>
      </w:pPr>
    </w:p>
    <w:p w14:paraId="5EC2294C">
      <w:pPr>
        <w:pStyle w:val="34"/>
        <w:spacing w:beforeAutospacing="0" w:afterAutospacing="0"/>
        <w:ind w:firstLine="240"/>
        <w:jc w:val="both"/>
        <w:rPr>
          <w:color w:val="auto"/>
          <w:highlight w:val="none"/>
        </w:rPr>
      </w:pPr>
    </w:p>
    <w:p w14:paraId="174FD61B">
      <w:pPr>
        <w:pStyle w:val="34"/>
        <w:spacing w:beforeAutospacing="0" w:afterAutospacing="0"/>
        <w:ind w:firstLine="240"/>
        <w:jc w:val="both"/>
        <w:rPr>
          <w:color w:val="auto"/>
          <w:highlight w:val="none"/>
        </w:rPr>
      </w:pPr>
    </w:p>
    <w:p w14:paraId="4ED8CCBE">
      <w:pPr>
        <w:pStyle w:val="34"/>
        <w:spacing w:beforeAutospacing="0" w:afterAutospacing="0"/>
        <w:ind w:firstLine="240"/>
        <w:jc w:val="both"/>
        <w:rPr>
          <w:color w:val="auto"/>
          <w:highlight w:val="none"/>
        </w:rPr>
      </w:pPr>
    </w:p>
    <w:p w14:paraId="42DFD76A">
      <w:pPr>
        <w:pStyle w:val="34"/>
        <w:spacing w:beforeAutospacing="0" w:afterAutospacing="0"/>
        <w:ind w:firstLine="240"/>
        <w:jc w:val="both"/>
        <w:rPr>
          <w:color w:val="auto"/>
          <w:highlight w:val="none"/>
        </w:rPr>
      </w:pPr>
    </w:p>
    <w:p w14:paraId="5BCA6301">
      <w:pPr>
        <w:pStyle w:val="34"/>
        <w:spacing w:beforeAutospacing="0" w:afterAutospacing="0"/>
        <w:ind w:firstLine="240"/>
        <w:jc w:val="both"/>
        <w:rPr>
          <w:color w:val="auto"/>
          <w:highlight w:val="none"/>
        </w:rPr>
      </w:pPr>
    </w:p>
    <w:p w14:paraId="7B0E97B4">
      <w:pPr>
        <w:pStyle w:val="34"/>
        <w:spacing w:beforeAutospacing="0" w:afterAutospacing="0"/>
        <w:ind w:firstLine="240"/>
        <w:jc w:val="both"/>
        <w:rPr>
          <w:color w:val="auto"/>
          <w:highlight w:val="none"/>
        </w:rPr>
      </w:pPr>
    </w:p>
    <w:p w14:paraId="477B5331">
      <w:pPr>
        <w:pStyle w:val="34"/>
        <w:spacing w:beforeAutospacing="0" w:afterAutospacing="0"/>
        <w:ind w:firstLine="240"/>
        <w:jc w:val="both"/>
        <w:rPr>
          <w:color w:val="auto"/>
          <w:highlight w:val="none"/>
        </w:rPr>
      </w:pPr>
    </w:p>
    <w:p w14:paraId="6B3A2A17">
      <w:pPr>
        <w:pStyle w:val="34"/>
        <w:spacing w:beforeAutospacing="0" w:afterAutospacing="0"/>
        <w:ind w:firstLine="240"/>
        <w:jc w:val="both"/>
        <w:rPr>
          <w:color w:val="auto"/>
          <w:highlight w:val="none"/>
        </w:rPr>
      </w:pPr>
      <w:r>
        <w:rPr>
          <w:color w:val="auto"/>
          <w:highlight w:val="none"/>
        </w:rPr>
        <w:t> </w:t>
      </w:r>
    </w:p>
    <w:p w14:paraId="7BFCCFC2">
      <w:pPr>
        <w:pStyle w:val="34"/>
        <w:keepNext/>
        <w:spacing w:beforeAutospacing="0" w:afterAutospacing="0"/>
        <w:ind w:firstLine="440"/>
        <w:jc w:val="center"/>
        <w:outlineLvl w:val="0"/>
        <w:rPr>
          <w:rFonts w:hint="eastAsia" w:ascii="黑体" w:hAnsi="宋体" w:eastAsia="黑体" w:cs="黑体"/>
          <w:color w:val="auto"/>
          <w:sz w:val="44"/>
          <w:szCs w:val="44"/>
          <w:highlight w:val="none"/>
        </w:rPr>
        <w:sectPr>
          <w:footerReference r:id="rId4" w:type="default"/>
          <w:pgSz w:w="11906" w:h="16838"/>
          <w:pgMar w:top="1440" w:right="1800" w:bottom="1440" w:left="1800" w:header="851" w:footer="992" w:gutter="0"/>
          <w:pgNumType w:start="1"/>
          <w:cols w:space="425" w:num="1"/>
          <w:docGrid w:linePitch="360" w:charSpace="0"/>
        </w:sectPr>
      </w:pPr>
      <w:bookmarkStart w:id="1" w:name="_Toc26795"/>
      <w:bookmarkStart w:id="2" w:name="_Toc4401"/>
    </w:p>
    <w:p w14:paraId="4A97AEC5">
      <w:pPr>
        <w:pStyle w:val="34"/>
        <w:keepNext/>
        <w:spacing w:beforeAutospacing="0" w:afterAutospacing="0"/>
        <w:ind w:firstLine="440"/>
        <w:jc w:val="center"/>
        <w:outlineLvl w:val="0"/>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t>第一章  招标公告</w:t>
      </w:r>
      <w:bookmarkEnd w:id="1"/>
      <w:bookmarkEnd w:id="2"/>
    </w:p>
    <w:p w14:paraId="47FBA2FD">
      <w:pPr>
        <w:pStyle w:val="34"/>
        <w:keepNext/>
        <w:spacing w:beforeAutospacing="0" w:afterAutospacing="0"/>
        <w:ind w:firstLine="440"/>
        <w:jc w:val="center"/>
        <w:rPr>
          <w:rFonts w:ascii="黑体" w:hAnsi="宋体" w:eastAsia="黑体" w:cs="黑体"/>
          <w:color w:val="auto"/>
          <w:sz w:val="44"/>
          <w:szCs w:val="44"/>
          <w:highlight w:val="none"/>
        </w:rPr>
      </w:pPr>
    </w:p>
    <w:p w14:paraId="62AEECA3">
      <w:pPr>
        <w:pStyle w:val="34"/>
        <w:pBdr>
          <w:top w:val="single" w:color="000000" w:sz="4" w:space="0"/>
          <w:left w:val="single" w:color="000000" w:sz="4" w:space="0"/>
          <w:bottom w:val="single" w:color="000000" w:sz="4" w:space="0"/>
          <w:right w:val="single" w:color="000000" w:sz="4" w:space="0"/>
        </w:pBdr>
        <w:spacing w:beforeAutospacing="0" w:afterAutospacing="0" w:line="360" w:lineRule="auto"/>
        <w:ind w:firstLine="240"/>
        <w:jc w:val="both"/>
        <w:rPr>
          <w:color w:val="auto"/>
          <w:highlight w:val="none"/>
        </w:rPr>
      </w:pPr>
      <w:r>
        <w:rPr>
          <w:rFonts w:hint="eastAsia" w:ascii="宋体" w:hAnsi="宋体" w:eastAsia="宋体" w:cs="宋体"/>
          <w:color w:val="auto"/>
          <w:highlight w:val="none"/>
        </w:rPr>
        <w:t>项目概况</w:t>
      </w:r>
    </w:p>
    <w:p w14:paraId="75E9F795">
      <w:pPr>
        <w:pStyle w:val="34"/>
        <w:pBdr>
          <w:top w:val="single" w:color="000000" w:sz="4" w:space="0"/>
          <w:left w:val="single" w:color="000000" w:sz="4" w:space="0"/>
          <w:bottom w:val="single" w:color="000000" w:sz="4" w:space="0"/>
          <w:right w:val="single" w:color="000000" w:sz="4" w:space="0"/>
        </w:pBdr>
        <w:spacing w:beforeAutospacing="0" w:afterAutospacing="0" w:line="360" w:lineRule="auto"/>
        <w:ind w:firstLine="240"/>
        <w:jc w:val="both"/>
        <w:rPr>
          <w:color w:val="auto"/>
          <w:highlight w:val="none"/>
        </w:rPr>
      </w:pPr>
      <w:r>
        <w:rPr>
          <w:rFonts w:hint="eastAsia" w:ascii="宋体" w:hAnsi="宋体" w:eastAsia="宋体" w:cs="宋体"/>
          <w:color w:val="auto"/>
          <w:highlight w:val="none"/>
          <w:u w:val="single"/>
          <w:lang w:eastAsia="zh-CN"/>
        </w:rPr>
        <w:t>盐城市第三人民医院医疗废物无害化处置项目JSZC-320903-RHHH-G2026-0079</w:t>
      </w:r>
      <w:r>
        <w:rPr>
          <w:rFonts w:hint="eastAsia" w:ascii="宋体" w:hAnsi="宋体" w:eastAsia="宋体" w:cs="宋体"/>
          <w:color w:val="auto"/>
          <w:highlight w:val="none"/>
        </w:rPr>
        <w:t>招标项目的潜在投标人应在“苏采云”系统内免费下载（投标人必须在苏采云系统中获取采购文件，方能参与政府采购项目）；并于</w:t>
      </w:r>
      <w:r>
        <w:rPr>
          <w:rFonts w:hint="eastAsia" w:ascii="宋体" w:hAnsi="宋体" w:eastAsia="宋体" w:cs="宋体"/>
          <w:color w:val="auto"/>
          <w:highlight w:val="none"/>
          <w:u w:val="single"/>
        </w:rPr>
        <w:t>202</w:t>
      </w:r>
      <w:r>
        <w:rPr>
          <w:rFonts w:hint="eastAsia" w:ascii="宋体" w:hAnsi="宋体" w:eastAsia="宋体" w:cs="宋体"/>
          <w:color w:val="auto"/>
          <w:highlight w:val="none"/>
          <w:u w:val="single"/>
          <w:lang w:val="en-US" w:eastAsia="zh-CN"/>
        </w:rPr>
        <w:t>6年11月27日9</w:t>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val="en-US" w:eastAsia="zh-CN"/>
        </w:rPr>
        <w:t>0</w:t>
      </w:r>
      <w:r>
        <w:rPr>
          <w:rFonts w:hint="eastAsia" w:ascii="宋体" w:hAnsi="宋体" w:eastAsia="宋体" w:cs="宋体"/>
          <w:color w:val="auto"/>
          <w:highlight w:val="none"/>
          <w:u w:val="single"/>
        </w:rPr>
        <w:t>0</w:t>
      </w:r>
      <w:r>
        <w:rPr>
          <w:rFonts w:hint="eastAsia" w:ascii="宋体" w:hAnsi="宋体" w:eastAsia="宋体" w:cs="宋体"/>
          <w:color w:val="auto"/>
          <w:highlight w:val="none"/>
        </w:rPr>
        <w:t>（北京时间）前递交投标文件。</w:t>
      </w:r>
    </w:p>
    <w:p w14:paraId="7D804CB0">
      <w:pPr>
        <w:pStyle w:val="34"/>
        <w:keepNext/>
        <w:keepLines/>
        <w:spacing w:beforeAutospacing="0" w:afterAutospacing="0" w:line="360" w:lineRule="auto"/>
        <w:ind w:firstLine="321"/>
        <w:jc w:val="both"/>
        <w:rPr>
          <w:color w:val="auto"/>
          <w:highlight w:val="none"/>
        </w:rPr>
      </w:pPr>
      <w:bookmarkStart w:id="3" w:name="_Toc28359002"/>
      <w:bookmarkStart w:id="4" w:name="_Toc35393621"/>
      <w:bookmarkStart w:id="5" w:name="_Toc38985263"/>
      <w:bookmarkStart w:id="6" w:name="_Toc28359079"/>
      <w:bookmarkStart w:id="7" w:name="_Hlk24379207"/>
      <w:bookmarkStart w:id="8" w:name="_Toc35393790"/>
      <w:r>
        <w:rPr>
          <w:rFonts w:ascii="Times New Roman" w:hAnsi="Times New Roman"/>
          <w:b/>
          <w:color w:val="auto"/>
          <w:sz w:val="32"/>
          <w:szCs w:val="32"/>
          <w:highlight w:val="none"/>
        </w:rPr>
        <w:t>一、项目基本情况</w:t>
      </w:r>
      <w:bookmarkEnd w:id="3"/>
      <w:bookmarkEnd w:id="4"/>
      <w:bookmarkEnd w:id="5"/>
      <w:bookmarkEnd w:id="6"/>
      <w:bookmarkEnd w:id="7"/>
      <w:bookmarkEnd w:id="8"/>
    </w:p>
    <w:p w14:paraId="18853010">
      <w:pPr>
        <w:pStyle w:val="34"/>
        <w:spacing w:beforeAutospacing="0" w:afterAutospacing="0" w:line="360" w:lineRule="auto"/>
        <w:ind w:firstLine="24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 xml:space="preserve">项目编号：JSZC-320903-RHHH-G2026-0079 </w:t>
      </w:r>
    </w:p>
    <w:p w14:paraId="593D24CD">
      <w:pPr>
        <w:pStyle w:val="34"/>
        <w:spacing w:beforeAutospacing="0" w:afterAutospacing="0" w:line="360" w:lineRule="auto"/>
        <w:ind w:firstLine="240"/>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项目名称：</w:t>
      </w:r>
      <w:r>
        <w:rPr>
          <w:rFonts w:hint="eastAsia" w:ascii="宋体" w:hAnsi="宋体" w:eastAsia="宋体" w:cs="宋体"/>
          <w:color w:val="auto"/>
          <w:highlight w:val="none"/>
          <w:lang w:eastAsia="zh-CN"/>
        </w:rPr>
        <w:t>盐城市第三人民医院医疗废物无害化处置项目</w:t>
      </w:r>
    </w:p>
    <w:p w14:paraId="48A5B550">
      <w:pPr>
        <w:pStyle w:val="34"/>
        <w:spacing w:beforeAutospacing="0" w:afterAutospacing="0" w:line="360" w:lineRule="auto"/>
        <w:ind w:firstLine="240"/>
        <w:jc w:val="both"/>
        <w:rPr>
          <w:rFonts w:hint="eastAsia" w:ascii="宋体" w:hAnsi="宋体"/>
          <w:bCs/>
          <w:color w:val="auto"/>
          <w:highlight w:val="none"/>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.预算金额：</w:t>
      </w:r>
      <w:r>
        <w:rPr>
          <w:rFonts w:hint="eastAsia" w:ascii="宋体" w:hAnsi="宋体" w:eastAsia="宋体"/>
          <w:bCs/>
          <w:color w:val="auto"/>
          <w:highlight w:val="none"/>
          <w:lang w:val="en-US" w:eastAsia="zh-CN"/>
        </w:rPr>
        <w:t>260万元</w:t>
      </w:r>
    </w:p>
    <w:p w14:paraId="1E5A3AFB">
      <w:pPr>
        <w:pStyle w:val="34"/>
        <w:spacing w:beforeAutospacing="0" w:afterAutospacing="0" w:line="360" w:lineRule="auto"/>
        <w:ind w:firstLine="24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.本项目设定最高限价，最高限价为</w:t>
      </w:r>
      <w:r>
        <w:rPr>
          <w:rFonts w:hint="eastAsia" w:ascii="宋体" w:hAnsi="宋体" w:eastAsia="宋体" w:cs="宋体"/>
          <w:color w:val="auto"/>
          <w:highlight w:val="none"/>
          <w:lang w:val="en-US" w:eastAsia="zh-CN"/>
        </w:rPr>
        <w:t>260万元</w:t>
      </w:r>
      <w:r>
        <w:rPr>
          <w:rFonts w:hint="eastAsia" w:ascii="宋体" w:hAnsi="宋体" w:eastAsia="宋体"/>
          <w:bCs/>
          <w:color w:val="auto"/>
          <w:highlight w:val="none"/>
          <w:lang w:val="en-US" w:eastAsia="zh-CN"/>
        </w:rPr>
        <w:t>。</w:t>
      </w:r>
    </w:p>
    <w:p w14:paraId="315F9CB2">
      <w:pPr>
        <w:pStyle w:val="34"/>
        <w:spacing w:beforeAutospacing="0" w:afterAutospacing="0" w:line="360" w:lineRule="auto"/>
        <w:ind w:firstLine="240"/>
        <w:jc w:val="both"/>
        <w:rPr>
          <w:rFonts w:hint="default" w:ascii="宋体" w:hAnsi="宋体" w:eastAsia="宋体" w:cs="宋体"/>
          <w:color w:val="auto"/>
          <w:highlight w:val="none"/>
          <w:lang w:val="en-US"/>
        </w:rPr>
      </w:pP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.采购需求</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简介</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w:t>
      </w:r>
      <w:r>
        <w:rPr>
          <w:rFonts w:hint="eastAsia" w:asciiTheme="majorEastAsia" w:hAnsiTheme="majorEastAsia" w:eastAsiaTheme="majorEastAsia" w:cstheme="majorEastAsia"/>
          <w:color w:val="auto"/>
          <w:sz w:val="24"/>
          <w:szCs w:val="24"/>
          <w:highlight w:val="none"/>
          <w:lang w:val="en-US" w:eastAsia="zh-CN"/>
        </w:rPr>
        <w:t>医疗废物无害化处置</w:t>
      </w:r>
      <w:r>
        <w:rPr>
          <w:rFonts w:hint="eastAsia" w:eastAsia="宋体" w:asciiTheme="majorEastAsia" w:hAnsi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详见招标文件</w:t>
      </w:r>
      <w:r>
        <w:rPr>
          <w:rFonts w:hint="eastAsia" w:eastAsia="宋体" w:asciiTheme="majorEastAsia" w:hAnsiTheme="majorEastAsia" w:cstheme="majorEastAsia"/>
          <w:color w:val="auto"/>
          <w:sz w:val="24"/>
          <w:szCs w:val="24"/>
          <w:highlight w:val="none"/>
          <w:lang w:eastAsia="zh-CN"/>
        </w:rPr>
        <w:t>）</w:t>
      </w:r>
      <w:r>
        <w:rPr>
          <w:rFonts w:hint="eastAsia" w:ascii="宋体" w:hAnsi="宋体" w:eastAsia="宋体" w:cs="宋体"/>
          <w:color w:val="auto"/>
          <w:highlight w:val="none"/>
          <w:lang w:val="en-US" w:eastAsia="zh-CN"/>
        </w:rPr>
        <w:t>。</w:t>
      </w:r>
    </w:p>
    <w:p w14:paraId="3EC5783D">
      <w:pPr>
        <w:pStyle w:val="34"/>
        <w:numPr>
          <w:ilvl w:val="0"/>
          <w:numId w:val="0"/>
        </w:numPr>
        <w:spacing w:beforeAutospacing="0" w:afterAutospacing="0" w:line="360" w:lineRule="auto"/>
        <w:ind w:firstLine="24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合同履行期限：</w:t>
      </w:r>
      <w:r>
        <w:rPr>
          <w:rFonts w:hint="eastAsia" w:ascii="宋体" w:hAnsi="宋体" w:eastAsia="宋体" w:cs="宋体"/>
          <w:color w:val="auto"/>
          <w:highlight w:val="none"/>
          <w:lang w:val="en-US" w:eastAsia="zh-CN"/>
        </w:rPr>
        <w:t>一年。合同期满</w:t>
      </w:r>
      <w:bookmarkStart w:id="169" w:name="_GoBack"/>
      <w:bookmarkEnd w:id="169"/>
      <w:r>
        <w:rPr>
          <w:rFonts w:hint="eastAsia" w:ascii="宋体" w:hAnsi="宋体" w:eastAsia="宋体" w:cs="宋体"/>
          <w:color w:val="auto"/>
          <w:highlight w:val="none"/>
          <w:lang w:val="en-US" w:eastAsia="zh-CN"/>
        </w:rPr>
        <w:t>，经采购人考核合格可续签合同，续签次数不超过两次。</w:t>
      </w:r>
    </w:p>
    <w:p w14:paraId="5178A423">
      <w:pPr>
        <w:pStyle w:val="34"/>
        <w:spacing w:beforeAutospacing="0" w:afterAutospacing="0" w:line="360" w:lineRule="auto"/>
        <w:ind w:firstLine="24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w:t>
      </w:r>
      <w:r>
        <w:rPr>
          <w:rFonts w:hint="default" w:ascii="宋体" w:hAnsi="宋体" w:eastAsia="宋体" w:cs="宋体"/>
          <w:color w:val="auto"/>
          <w:highlight w:val="none"/>
          <w:lang w:val="en-US" w:eastAsia="zh-CN"/>
        </w:rPr>
        <w:t>本项目（是/否）接受联合体投标：</w:t>
      </w:r>
      <w:r>
        <w:rPr>
          <w:rFonts w:hint="eastAsia" w:ascii="宋体" w:hAnsi="宋体" w:eastAsia="宋体" w:cs="宋体"/>
          <w:color w:val="auto"/>
          <w:highlight w:val="none"/>
          <w:lang w:val="en-US" w:eastAsia="zh-CN"/>
        </w:rPr>
        <w:t>不接受联合体。</w:t>
      </w:r>
    </w:p>
    <w:p w14:paraId="0FFA7CB5">
      <w:pPr>
        <w:pStyle w:val="34"/>
        <w:keepNext/>
        <w:keepLines/>
        <w:spacing w:beforeAutospacing="0" w:afterAutospacing="0" w:line="360" w:lineRule="auto"/>
        <w:ind w:firstLine="321"/>
        <w:jc w:val="both"/>
        <w:rPr>
          <w:color w:val="auto"/>
          <w:highlight w:val="none"/>
        </w:rPr>
      </w:pPr>
      <w:bookmarkStart w:id="9" w:name="_Toc28359003"/>
      <w:bookmarkStart w:id="10" w:name="_Toc35393791"/>
      <w:bookmarkStart w:id="11" w:name="_Toc35393622"/>
      <w:bookmarkStart w:id="12" w:name="_Toc38985264"/>
      <w:bookmarkStart w:id="13" w:name="_Toc28359080"/>
      <w:r>
        <w:rPr>
          <w:rFonts w:ascii="Times New Roman" w:hAnsi="Times New Roman"/>
          <w:b/>
          <w:color w:val="auto"/>
          <w:sz w:val="32"/>
          <w:szCs w:val="32"/>
          <w:highlight w:val="none"/>
        </w:rPr>
        <w:t>二、申请人的资格要求：</w:t>
      </w:r>
      <w:bookmarkEnd w:id="9"/>
      <w:bookmarkEnd w:id="10"/>
      <w:bookmarkEnd w:id="11"/>
      <w:bookmarkEnd w:id="12"/>
      <w:bookmarkEnd w:id="13"/>
    </w:p>
    <w:p w14:paraId="64DA1493">
      <w:pPr>
        <w:pStyle w:val="34"/>
        <w:spacing w:beforeAutospacing="0" w:afterAutospacing="0" w:line="360" w:lineRule="auto"/>
        <w:ind w:firstLine="240"/>
        <w:jc w:val="both"/>
        <w:rPr>
          <w:color w:val="auto"/>
          <w:highlight w:val="none"/>
        </w:rPr>
      </w:pPr>
      <w:bookmarkStart w:id="14" w:name="_Toc28359004"/>
      <w:bookmarkStart w:id="15" w:name="_Toc35393792"/>
      <w:bookmarkStart w:id="16" w:name="_Toc38985265"/>
      <w:bookmarkStart w:id="17" w:name="_Toc28359081"/>
      <w:bookmarkStart w:id="18" w:name="_Toc35393623"/>
      <w:r>
        <w:rPr>
          <w:rFonts w:hint="eastAsia" w:ascii="宋体" w:hAnsi="宋体" w:eastAsia="宋体" w:cs="宋体"/>
          <w:color w:val="auto"/>
          <w:highlight w:val="none"/>
        </w:rPr>
        <w:t>（一）通用资格要求</w:t>
      </w:r>
      <w:bookmarkEnd w:id="14"/>
      <w:bookmarkEnd w:id="15"/>
      <w:bookmarkEnd w:id="16"/>
      <w:bookmarkEnd w:id="17"/>
      <w:bookmarkEnd w:id="18"/>
    </w:p>
    <w:p w14:paraId="4E3A92E5">
      <w:pPr>
        <w:pStyle w:val="34"/>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1.满足《中华人民共和国政府采购法》第二十二条规定，并提供下列材料：</w:t>
      </w:r>
    </w:p>
    <w:p w14:paraId="74F91425">
      <w:pPr>
        <w:pStyle w:val="34"/>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1.1 法人或者其他组织的营业执照等证明文件，自然人的身份证明；</w:t>
      </w:r>
    </w:p>
    <w:p w14:paraId="6D795BE4">
      <w:pPr>
        <w:pStyle w:val="34"/>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1.2上一年度的财务状况报表（</w:t>
      </w:r>
      <w:r>
        <w:rPr>
          <w:rFonts w:hint="eastAsia" w:ascii="宋体" w:hAnsi="宋体" w:eastAsia="宋体" w:cs="宋体"/>
          <w:color w:val="auto"/>
          <w:highlight w:val="none"/>
          <w:lang w:val="en-US" w:eastAsia="zh-CN"/>
        </w:rPr>
        <w:t>上一年度指2025年度，</w:t>
      </w:r>
      <w:r>
        <w:rPr>
          <w:rFonts w:hint="eastAsia" w:ascii="宋体" w:hAnsi="宋体" w:eastAsia="宋体" w:cs="宋体"/>
          <w:color w:val="auto"/>
          <w:highlight w:val="none"/>
        </w:rPr>
        <w:t>财务状况报表至少提供资产负债表、利润表、现金流量表，投标人成立不满一年无需提供）</w:t>
      </w:r>
      <w:r>
        <w:rPr>
          <w:rFonts w:hint="eastAsia" w:ascii="宋体" w:hAnsi="宋体" w:eastAsia="宋体" w:cs="宋体"/>
          <w:color w:val="auto"/>
          <w:highlight w:val="none"/>
          <w:lang w:eastAsia="zh-CN"/>
        </w:rPr>
        <w:t>；</w:t>
      </w:r>
    </w:p>
    <w:p w14:paraId="42DD4BAE">
      <w:pPr>
        <w:pStyle w:val="34"/>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1.3具备履行合同所必需的设备和专业技术能力的书面声明；</w:t>
      </w:r>
    </w:p>
    <w:p w14:paraId="71D44B17">
      <w:pPr>
        <w:pStyle w:val="34"/>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lang w:val="en-US"/>
        </w:rPr>
      </w:pPr>
      <w:r>
        <w:rPr>
          <w:rFonts w:hint="eastAsia" w:ascii="宋体" w:hAnsi="宋体" w:eastAsia="宋体" w:cs="宋体"/>
          <w:color w:val="auto"/>
          <w:highlight w:val="none"/>
        </w:rPr>
        <w:t>1.4依法缴纳税收和社会保障资金的相关材料（</w:t>
      </w:r>
      <w:r>
        <w:rPr>
          <w:rFonts w:hint="eastAsia" w:ascii="宋体" w:hAnsi="宋体" w:eastAsia="宋体" w:cs="宋体"/>
          <w:color w:val="auto"/>
          <w:highlight w:val="none"/>
          <w:lang w:val="en-US" w:eastAsia="zh-CN"/>
        </w:rPr>
        <w:t>投标</w:t>
      </w:r>
      <w:r>
        <w:rPr>
          <w:rFonts w:hint="eastAsia" w:ascii="宋体" w:hAnsi="宋体" w:eastAsia="宋体" w:cs="宋体"/>
          <w:color w:val="auto"/>
          <w:highlight w:val="none"/>
        </w:rPr>
        <w:t>文件提交截止时间前一年内至少一个月依法缴纳税收及缴纳社会保障资金的证明材料。供应商依法享受缓缴、免缴税收、社会保障资金的提供证明材料。）</w:t>
      </w:r>
    </w:p>
    <w:p w14:paraId="4DC5BFCF">
      <w:pPr>
        <w:pStyle w:val="34"/>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1.5参加政府采购活动前3年内在经营活动中没有重大违法记录的书面声明。</w:t>
      </w:r>
    </w:p>
    <w:p w14:paraId="2C603563">
      <w:pPr>
        <w:pStyle w:val="34"/>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1.6法律、行政法规规定的其他条件。</w:t>
      </w:r>
    </w:p>
    <w:p w14:paraId="1669E465">
      <w:pPr>
        <w:pStyle w:val="34"/>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1.7在“信用中国”网站查询，无失信被执行人、</w:t>
      </w:r>
      <w:r>
        <w:rPr>
          <w:rFonts w:hint="eastAsia" w:ascii="宋体" w:hAnsi="宋体" w:eastAsia="宋体" w:cs="宋体"/>
          <w:color w:val="auto"/>
          <w:highlight w:val="none"/>
          <w:lang w:val="en-US" w:eastAsia="zh-CN"/>
        </w:rPr>
        <w:t>严重失信主体名单、重大税收违法失信主体名单</w:t>
      </w:r>
      <w:r>
        <w:rPr>
          <w:rFonts w:hint="eastAsia" w:ascii="宋体" w:hAnsi="宋体" w:eastAsia="宋体" w:cs="宋体"/>
          <w:color w:val="auto"/>
          <w:highlight w:val="none"/>
        </w:rPr>
        <w:t>、政府采购严重失信行为记录名单及其他不符合《中华人民共和国政府采购法》第二十二条规定条件的信用记录。（投标文件中无需提供证明材料）</w:t>
      </w:r>
    </w:p>
    <w:p w14:paraId="4227F50F">
      <w:pPr>
        <w:pStyle w:val="34"/>
        <w:spacing w:beforeAutospacing="0" w:afterAutospacing="0" w:line="360" w:lineRule="auto"/>
        <w:ind w:firstLine="24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1.8单位负责人为同一人或者存在直接控股、管理关系的不同供应商，不得参加同一合同项下的政府采购活动。</w:t>
      </w:r>
    </w:p>
    <w:p w14:paraId="0042DB88">
      <w:pPr>
        <w:pStyle w:val="34"/>
        <w:spacing w:beforeAutospacing="0" w:afterAutospacing="0" w:line="360" w:lineRule="auto"/>
        <w:ind w:firstLine="240"/>
        <w:jc w:val="both"/>
        <w:rPr>
          <w:rFonts w:hint="default" w:ascii="宋体" w:hAnsi="宋体" w:eastAsia="宋体" w:cs="宋体"/>
          <w:b/>
          <w:bCs/>
          <w:color w:val="auto"/>
          <w:highlight w:val="none"/>
          <w:lang w:val="en-US" w:eastAsia="zh-CN"/>
        </w:rPr>
      </w:pPr>
      <w:r>
        <w:rPr>
          <w:rFonts w:hint="eastAsia" w:ascii="宋体" w:hAnsi="宋体" w:eastAsia="宋体" w:cs="宋体"/>
          <w:color w:val="auto"/>
          <w:highlight w:val="none"/>
          <w:lang w:val="en-US" w:eastAsia="zh-CN"/>
        </w:rPr>
        <w:t>2.落实政府采购政策需满足的资格要求：</w:t>
      </w:r>
      <w:r>
        <w:rPr>
          <w:rFonts w:hint="eastAsia" w:ascii="宋体" w:hAnsi="宋体" w:eastAsia="宋体" w:cs="宋体"/>
          <w:b/>
          <w:bCs/>
          <w:color w:val="auto"/>
          <w:szCs w:val="24"/>
          <w:highlight w:val="none"/>
        </w:rPr>
        <w:t>本项目专门面向中小企业采购。投标人需按照采购文件的要求提供相应的《</w:t>
      </w:r>
      <w:r>
        <w:rPr>
          <w:rFonts w:hint="eastAsia" w:ascii="宋体" w:hAnsi="宋体" w:eastAsia="宋体" w:cs="宋体"/>
          <w:b/>
          <w:bCs/>
          <w:color w:val="auto"/>
          <w:szCs w:val="24"/>
          <w:highlight w:val="none"/>
          <w:lang w:eastAsia="zh-CN"/>
        </w:rPr>
        <w:t>中小</w:t>
      </w:r>
      <w:r>
        <w:rPr>
          <w:rFonts w:hint="eastAsia" w:ascii="宋体" w:hAnsi="宋体" w:eastAsia="宋体" w:cs="宋体"/>
          <w:b/>
          <w:bCs/>
          <w:color w:val="auto"/>
          <w:szCs w:val="24"/>
          <w:highlight w:val="none"/>
        </w:rPr>
        <w:t>企业声明函》。企业标准请参照《关于印发中小企业划型标准规定的通知》（工信部联企业[2011]300号）文件规定自行填写。</w:t>
      </w:r>
    </w:p>
    <w:p w14:paraId="0CFDB605">
      <w:pPr>
        <w:pStyle w:val="34"/>
        <w:spacing w:beforeAutospacing="0" w:afterAutospacing="0" w:line="360" w:lineRule="auto"/>
        <w:ind w:firstLine="240"/>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本项目的特定资格要求</w:t>
      </w:r>
      <w:r>
        <w:rPr>
          <w:rFonts w:hint="eastAsia" w:ascii="宋体" w:hAnsi="宋体" w:eastAsia="宋体" w:cs="宋体"/>
          <w:color w:val="auto"/>
          <w:highlight w:val="none"/>
          <w:lang w:eastAsia="zh-CN"/>
        </w:rPr>
        <w:t>：</w:t>
      </w:r>
    </w:p>
    <w:p w14:paraId="1B65AA61">
      <w:pPr>
        <w:pStyle w:val="34"/>
        <w:spacing w:beforeAutospacing="0" w:afterAutospacing="0" w:line="360" w:lineRule="auto"/>
        <w:ind w:firstLine="24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3.1</w:t>
      </w:r>
      <w:r>
        <w:rPr>
          <w:rFonts w:hint="eastAsia" w:ascii="宋体" w:hAnsi="宋体" w:eastAsia="宋体" w:cs="宋体"/>
          <w:color w:val="auto"/>
          <w:highlight w:val="none"/>
          <w:lang w:eastAsia="zh-CN"/>
        </w:rPr>
        <w:t>投标供应商须具有</w:t>
      </w:r>
      <w:r>
        <w:rPr>
          <w:rFonts w:hint="eastAsia" w:ascii="宋体" w:hAnsi="宋体" w:eastAsia="宋体" w:cs="宋体"/>
          <w:color w:val="auto"/>
          <w:highlight w:val="none"/>
          <w:lang w:val="en-US" w:eastAsia="zh-CN"/>
        </w:rPr>
        <w:t>环境保护</w:t>
      </w:r>
      <w:r>
        <w:rPr>
          <w:rFonts w:hint="eastAsia" w:ascii="宋体" w:hAnsi="宋体" w:eastAsia="宋体" w:cs="宋体"/>
          <w:color w:val="auto"/>
          <w:highlight w:val="none"/>
          <w:lang w:eastAsia="zh-CN"/>
        </w:rPr>
        <w:t>行政主管部门核发的</w:t>
      </w:r>
      <w:r>
        <w:rPr>
          <w:rFonts w:hint="eastAsia" w:ascii="宋体" w:hAnsi="宋体" w:eastAsia="宋体" w:cs="宋体"/>
          <w:color w:val="auto"/>
          <w:highlight w:val="none"/>
          <w:lang w:val="en-US" w:eastAsia="zh-CN"/>
        </w:rPr>
        <w:t>医疗废弃物集中处置</w:t>
      </w:r>
      <w:r>
        <w:rPr>
          <w:rFonts w:hint="eastAsia" w:ascii="宋体" w:hAnsi="宋体" w:eastAsia="宋体" w:cs="宋体"/>
          <w:color w:val="auto"/>
          <w:highlight w:val="none"/>
          <w:lang w:eastAsia="zh-CN"/>
        </w:rPr>
        <w:t>经营许可证</w:t>
      </w:r>
      <w:r>
        <w:rPr>
          <w:rFonts w:hint="eastAsia" w:ascii="宋体" w:hAnsi="宋体" w:eastAsia="宋体" w:cs="宋体"/>
          <w:color w:val="auto"/>
          <w:highlight w:val="none"/>
          <w:lang w:val="en-US" w:eastAsia="zh-CN"/>
        </w:rPr>
        <w:t>。</w:t>
      </w:r>
    </w:p>
    <w:p w14:paraId="24447D4E">
      <w:pPr>
        <w:pStyle w:val="34"/>
        <w:keepNext w:val="0"/>
        <w:keepLines w:val="0"/>
        <w:pageBreakBefore w:val="0"/>
        <w:widowControl w:val="0"/>
        <w:numPr>
          <w:ilvl w:val="0"/>
          <w:numId w:val="1"/>
        </w:numPr>
        <w:spacing w:beforeAutospacing="0" w:afterAutospacing="0" w:line="360" w:lineRule="auto"/>
        <w:ind w:firstLine="640"/>
        <w:jc w:val="both"/>
        <w:outlineLvl w:val="9"/>
        <w:rPr>
          <w:rFonts w:ascii="Times New Roman" w:hAnsi="Times New Roman"/>
          <w:b/>
          <w:color w:val="auto"/>
          <w:sz w:val="32"/>
          <w:szCs w:val="32"/>
          <w:highlight w:val="none"/>
        </w:rPr>
      </w:pPr>
      <w:r>
        <w:rPr>
          <w:rFonts w:ascii="Times New Roman" w:hAnsi="Times New Roman"/>
          <w:b/>
          <w:color w:val="auto"/>
          <w:sz w:val="32"/>
          <w:szCs w:val="32"/>
          <w:highlight w:val="none"/>
        </w:rPr>
        <w:t>获取招标文件</w:t>
      </w:r>
    </w:p>
    <w:p w14:paraId="7E7CBEDC">
      <w:pPr>
        <w:pStyle w:val="34"/>
        <w:keepNext/>
        <w:keepLines/>
        <w:pageBreakBefore w:val="0"/>
        <w:widowControl w:val="0"/>
        <w:spacing w:beforeAutospacing="0" w:afterAutospacing="0" w:line="400" w:lineRule="exact"/>
        <w:ind w:firstLine="480"/>
        <w:jc w:val="both"/>
        <w:rPr>
          <w:rFonts w:hint="eastAsia" w:ascii="宋体" w:hAnsi="宋体" w:cs="宋体"/>
          <w:color w:val="auto"/>
          <w:sz w:val="24"/>
          <w:szCs w:val="24"/>
          <w:highlight w:val="none"/>
          <w:lang w:eastAsia="zh-CN"/>
        </w:rPr>
      </w:pPr>
      <w:bookmarkStart w:id="19" w:name="_Toc35393624"/>
      <w:bookmarkStart w:id="20" w:name="_Toc28359082"/>
      <w:bookmarkStart w:id="21" w:name="_Toc38985266"/>
      <w:bookmarkStart w:id="22" w:name="_Toc28359005"/>
      <w:bookmarkStart w:id="23" w:name="_Toc35393793"/>
      <w:r>
        <w:rPr>
          <w:rFonts w:hint="eastAsia" w:ascii="宋体" w:hAnsi="宋体" w:cs="宋体"/>
          <w:color w:val="auto"/>
          <w:sz w:val="24"/>
          <w:szCs w:val="24"/>
          <w:highlight w:val="none"/>
        </w:rPr>
        <w:t>1.时间：</w:t>
      </w:r>
      <w:bookmarkEnd w:id="19"/>
      <w:bookmarkEnd w:id="20"/>
      <w:bookmarkEnd w:id="21"/>
      <w:bookmarkEnd w:id="22"/>
      <w:bookmarkEnd w:id="23"/>
      <w:r>
        <w:rPr>
          <w:rFonts w:hint="eastAsia" w:ascii="宋体" w:hAnsi="宋体" w:cs="宋体"/>
          <w:color w:val="auto"/>
          <w:sz w:val="24"/>
          <w:szCs w:val="24"/>
          <w:highlight w:val="none"/>
        </w:rPr>
        <w:t>自招标文件公告发布之日起5个工作日</w:t>
      </w:r>
      <w:r>
        <w:rPr>
          <w:rFonts w:hint="eastAsia" w:ascii="宋体" w:hAnsi="宋体" w:cs="宋体"/>
          <w:color w:val="auto"/>
          <w:sz w:val="24"/>
          <w:szCs w:val="24"/>
          <w:highlight w:val="none"/>
          <w:lang w:eastAsia="zh-CN"/>
        </w:rPr>
        <w:t>；</w:t>
      </w:r>
    </w:p>
    <w:p w14:paraId="2A858049">
      <w:pPr>
        <w:pStyle w:val="34"/>
        <w:keepNext/>
        <w:keepLines/>
        <w:pageBreakBefore w:val="0"/>
        <w:widowControl w:val="0"/>
        <w:spacing w:beforeAutospacing="0" w:afterAutospacing="0" w:line="400" w:lineRule="exact"/>
        <w:ind w:firstLine="48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2.地点：“苏采云”系统内免费下载（供应商必须在苏采云系统中获取</w:t>
      </w:r>
      <w:r>
        <w:rPr>
          <w:rFonts w:hint="eastAsia" w:ascii="宋体" w:hAnsi="宋体" w:cs="宋体"/>
          <w:color w:val="auto"/>
          <w:sz w:val="24"/>
          <w:szCs w:val="24"/>
          <w:highlight w:val="none"/>
          <w:lang w:val="en-US" w:eastAsia="zh-CN"/>
        </w:rPr>
        <w:t>采购文件</w:t>
      </w:r>
      <w:r>
        <w:rPr>
          <w:rFonts w:hint="eastAsia" w:ascii="宋体" w:hAnsi="宋体" w:cs="宋体"/>
          <w:color w:val="auto"/>
          <w:sz w:val="24"/>
          <w:szCs w:val="24"/>
          <w:highlight w:val="none"/>
        </w:rPr>
        <w:t>，方能参与政府采购项目）</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w:t>
      </w:r>
    </w:p>
    <w:p w14:paraId="71D05F59">
      <w:pPr>
        <w:pStyle w:val="34"/>
        <w:keepNext/>
        <w:keepLines/>
        <w:pageBreakBefore w:val="0"/>
        <w:widowControl w:val="0"/>
        <w:spacing w:beforeAutospacing="0" w:afterAutospacing="0" w:line="400" w:lineRule="exact"/>
        <w:ind w:firstLine="48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3.方式：本项目采用网上注册登记方式</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w:t>
      </w:r>
    </w:p>
    <w:p w14:paraId="1053EDA0">
      <w:pPr>
        <w:pStyle w:val="34"/>
        <w:keepNext/>
        <w:keepLines/>
        <w:pageBreakBefore w:val="0"/>
        <w:widowControl w:val="0"/>
        <w:spacing w:beforeAutospacing="0" w:afterAutospacing="0" w:line="400" w:lineRule="exact"/>
        <w:ind w:firstLine="48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4.售价：0.00元</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 </w:t>
      </w:r>
    </w:p>
    <w:p w14:paraId="632151C8">
      <w:pPr>
        <w:pStyle w:val="34"/>
        <w:keepNext/>
        <w:keepLines/>
        <w:pageBreakBefore w:val="0"/>
        <w:widowControl w:val="0"/>
        <w:spacing w:before="145" w:beforeAutospacing="0" w:after="145" w:afterAutospacing="0" w:line="360" w:lineRule="auto"/>
        <w:ind w:firstLine="640"/>
        <w:jc w:val="both"/>
        <w:rPr>
          <w:color w:val="auto"/>
          <w:highlight w:val="none"/>
        </w:rPr>
      </w:pPr>
      <w:r>
        <w:rPr>
          <w:rFonts w:ascii="Times New Roman" w:hAnsi="Times New Roman"/>
          <w:b/>
          <w:color w:val="auto"/>
          <w:sz w:val="32"/>
          <w:szCs w:val="32"/>
          <w:highlight w:val="none"/>
        </w:rPr>
        <w:t>四、</w:t>
      </w:r>
      <w:r>
        <w:rPr>
          <w:rFonts w:hint="eastAsia" w:ascii="Times New Roman" w:hAnsi="Times New Roman"/>
          <w:b/>
          <w:color w:val="auto"/>
          <w:sz w:val="32"/>
          <w:szCs w:val="32"/>
          <w:highlight w:val="none"/>
        </w:rPr>
        <w:t>提交投标文件截止时间、开标时间和地点</w:t>
      </w:r>
    </w:p>
    <w:p w14:paraId="271E751D">
      <w:pPr>
        <w:pStyle w:val="34"/>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highlight w:val="none"/>
        </w:rPr>
      </w:pPr>
      <w:bookmarkStart w:id="24" w:name="_Toc35393794"/>
      <w:bookmarkStart w:id="25" w:name="_Toc38985267"/>
      <w:bookmarkStart w:id="26" w:name="_Toc28359007"/>
      <w:bookmarkStart w:id="27" w:name="_Toc35393625"/>
      <w:bookmarkStart w:id="28" w:name="_Toc28359084"/>
      <w:r>
        <w:rPr>
          <w:rFonts w:hint="eastAsia" w:ascii="宋体" w:hAnsi="宋体" w:eastAsia="宋体" w:cs="宋体"/>
          <w:color w:val="auto"/>
          <w:highlight w:val="none"/>
        </w:rPr>
        <w:t>1.时间：</w:t>
      </w:r>
      <w:r>
        <w:rPr>
          <w:rFonts w:hint="eastAsia" w:ascii="宋体" w:hAnsi="宋体" w:eastAsia="宋体" w:cs="宋体"/>
          <w:color w:val="auto"/>
          <w:highlight w:val="none"/>
          <w:u w:val="single"/>
        </w:rPr>
        <w:t>202</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u w:val="single"/>
        </w:rPr>
        <w:t>年</w:t>
      </w:r>
      <w:r>
        <w:rPr>
          <w:rFonts w:hint="eastAsia" w:ascii="宋体" w:hAnsi="宋体" w:eastAsia="宋体" w:cs="宋体"/>
          <w:color w:val="auto"/>
          <w:highlight w:val="none"/>
          <w:u w:val="single"/>
          <w:lang w:val="en-US" w:eastAsia="zh-CN"/>
        </w:rPr>
        <w:t>11月27日9</w:t>
      </w:r>
      <w:r>
        <w:rPr>
          <w:rFonts w:hint="eastAsia" w:ascii="宋体" w:hAnsi="宋体" w:eastAsia="宋体" w:cs="宋体"/>
          <w:color w:val="auto"/>
          <w:highlight w:val="none"/>
          <w:u w:val="single"/>
        </w:rPr>
        <w:t>点00分</w:t>
      </w:r>
      <w:r>
        <w:rPr>
          <w:rFonts w:hint="eastAsia" w:ascii="宋体" w:hAnsi="宋体" w:eastAsia="宋体" w:cs="宋体"/>
          <w:color w:val="auto"/>
          <w:highlight w:val="none"/>
          <w:lang w:val="en-US" w:eastAsia="zh-CN"/>
        </w:rPr>
        <w:t>（北京时间）</w:t>
      </w:r>
    </w:p>
    <w:p w14:paraId="0376BD23">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2.地点：苏采云“</w:t>
      </w:r>
      <w:r>
        <w:rPr>
          <w:rFonts w:hint="eastAsia" w:ascii="宋体" w:hAnsi="宋体" w:eastAsia="宋体" w:cs="宋体"/>
          <w:color w:val="auto"/>
          <w:highlight w:val="none"/>
          <w:lang w:val="en-US" w:eastAsia="zh-CN"/>
        </w:rPr>
        <w:t>不见面</w:t>
      </w:r>
      <w:r>
        <w:rPr>
          <w:rFonts w:hint="eastAsia" w:ascii="宋体" w:hAnsi="宋体" w:eastAsia="宋体" w:cs="宋体"/>
          <w:color w:val="auto"/>
          <w:highlight w:val="none"/>
        </w:rPr>
        <w:t>”开标大厅。</w:t>
      </w:r>
    </w:p>
    <w:p w14:paraId="57958DF2">
      <w:pPr>
        <w:pStyle w:val="34"/>
        <w:pageBreakBefore w:val="0"/>
        <w:widowControl w:val="0"/>
        <w:spacing w:beforeAutospacing="0" w:afterAutospacing="0" w:line="520" w:lineRule="exact"/>
        <w:ind w:firstLine="640"/>
        <w:jc w:val="both"/>
        <w:rPr>
          <w:rFonts w:ascii="Times New Roman" w:hAnsi="Times New Roman"/>
          <w:b/>
          <w:color w:val="auto"/>
          <w:sz w:val="32"/>
          <w:szCs w:val="32"/>
          <w:highlight w:val="none"/>
        </w:rPr>
      </w:pPr>
      <w:r>
        <w:rPr>
          <w:rFonts w:ascii="Times New Roman" w:hAnsi="Times New Roman"/>
          <w:b/>
          <w:color w:val="auto"/>
          <w:sz w:val="32"/>
          <w:szCs w:val="32"/>
          <w:highlight w:val="none"/>
        </w:rPr>
        <w:t>五、公告期限</w:t>
      </w:r>
      <w:bookmarkEnd w:id="24"/>
      <w:bookmarkEnd w:id="25"/>
      <w:bookmarkEnd w:id="26"/>
      <w:bookmarkEnd w:id="27"/>
      <w:bookmarkEnd w:id="28"/>
    </w:p>
    <w:p w14:paraId="4ACCD85E">
      <w:pPr>
        <w:pStyle w:val="34"/>
        <w:pageBreakBefore w:val="0"/>
        <w:widowControl w:val="0"/>
        <w:spacing w:beforeAutospacing="0" w:afterAutospacing="0" w:line="520" w:lineRule="exact"/>
        <w:ind w:firstLine="480"/>
        <w:jc w:val="both"/>
        <w:rPr>
          <w:rFonts w:ascii="宋体" w:hAnsi="宋体" w:eastAsia="宋体" w:cs="宋体"/>
          <w:color w:val="auto"/>
          <w:highlight w:val="none"/>
        </w:rPr>
      </w:pPr>
      <w:bookmarkStart w:id="29" w:name="_Toc38985268"/>
      <w:bookmarkStart w:id="30" w:name="_Toc35393795"/>
      <w:bookmarkStart w:id="31" w:name="_Toc35393626"/>
      <w:r>
        <w:rPr>
          <w:rFonts w:hint="eastAsia" w:ascii="宋体" w:hAnsi="宋体" w:eastAsia="宋体" w:cs="宋体"/>
          <w:color w:val="auto"/>
          <w:highlight w:val="none"/>
        </w:rPr>
        <w:t>自本公告发布之日起5个工作日。</w:t>
      </w:r>
      <w:bookmarkEnd w:id="29"/>
      <w:bookmarkEnd w:id="30"/>
      <w:bookmarkEnd w:id="31"/>
    </w:p>
    <w:p w14:paraId="38439EF5">
      <w:pPr>
        <w:pStyle w:val="34"/>
        <w:keepNext w:val="0"/>
        <w:keepLines w:val="0"/>
        <w:pageBreakBefore w:val="0"/>
        <w:widowControl w:val="0"/>
        <w:numPr>
          <w:ilvl w:val="0"/>
          <w:numId w:val="0"/>
        </w:numPr>
        <w:spacing w:beforeAutospacing="0" w:afterAutospacing="0" w:line="520" w:lineRule="exact"/>
        <w:ind w:firstLine="643"/>
        <w:jc w:val="both"/>
        <w:rPr>
          <w:rFonts w:hint="eastAsia" w:ascii="宋体" w:hAnsi="宋体" w:eastAsia="宋体" w:cs="宋体"/>
          <w:color w:val="auto"/>
          <w:highlight w:val="none"/>
        </w:rPr>
      </w:pPr>
      <w:r>
        <w:rPr>
          <w:rFonts w:hint="eastAsia" w:ascii="Times New Roman" w:hAnsi="Times New Roman" w:eastAsia="宋体"/>
          <w:b/>
          <w:color w:val="auto"/>
          <w:sz w:val="32"/>
          <w:szCs w:val="32"/>
          <w:highlight w:val="none"/>
          <w:lang w:val="en-US" w:eastAsia="zh-CN"/>
        </w:rPr>
        <w:t>六、</w:t>
      </w:r>
      <w:r>
        <w:rPr>
          <w:rFonts w:ascii="Times New Roman" w:hAnsi="Times New Roman"/>
          <w:b/>
          <w:color w:val="auto"/>
          <w:sz w:val="32"/>
          <w:szCs w:val="32"/>
          <w:highlight w:val="none"/>
        </w:rPr>
        <w:t>其他补充事宜</w:t>
      </w:r>
      <w:bookmarkStart w:id="32" w:name="_Toc28359008"/>
      <w:bookmarkStart w:id="33" w:name="_Toc35393627"/>
      <w:bookmarkStart w:id="34" w:name="_Toc28359085"/>
      <w:bookmarkStart w:id="35" w:name="_Toc35393796"/>
      <w:bookmarkStart w:id="36" w:name="_Toc38985269"/>
    </w:p>
    <w:p w14:paraId="745617EA">
      <w:pPr>
        <w:pStyle w:val="34"/>
        <w:keepNext w:val="0"/>
        <w:keepLines w:val="0"/>
        <w:pageBreakBefore w:val="0"/>
        <w:widowControl w:val="0"/>
        <w:numPr>
          <w:ilvl w:val="0"/>
          <w:numId w:val="0"/>
        </w:numPr>
        <w:spacing w:beforeAutospacing="0" w:afterAutospacing="0" w:line="480" w:lineRule="exact"/>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13586911">
      <w:pPr>
        <w:pStyle w:val="34"/>
        <w:keepNext w:val="0"/>
        <w:keepLines w:val="0"/>
        <w:pageBreakBefore w:val="0"/>
        <w:widowControl w:val="0"/>
        <w:numPr>
          <w:ilvl w:val="0"/>
          <w:numId w:val="0"/>
        </w:numPr>
        <w:spacing w:beforeAutospacing="0" w:afterAutospacing="0" w:line="480" w:lineRule="exact"/>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1A0C1ED1">
      <w:pPr>
        <w:pStyle w:val="34"/>
        <w:keepNext w:val="0"/>
        <w:keepLines w:val="0"/>
        <w:pageBreakBefore w:val="0"/>
        <w:widowControl w:val="0"/>
        <w:numPr>
          <w:ilvl w:val="0"/>
          <w:numId w:val="0"/>
        </w:numPr>
        <w:spacing w:beforeAutospacing="0" w:afterAutospacing="0" w:line="480" w:lineRule="exact"/>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2.潜在供应商访问电子招标响应交易平台的网络地址和方法：</w:t>
      </w:r>
    </w:p>
    <w:p w14:paraId="1011764C">
      <w:pPr>
        <w:pStyle w:val="34"/>
        <w:keepNext w:val="0"/>
        <w:keepLines w:val="0"/>
        <w:pageBreakBefore w:val="0"/>
        <w:widowControl w:val="0"/>
        <w:numPr>
          <w:ilvl w:val="0"/>
          <w:numId w:val="0"/>
        </w:numPr>
        <w:spacing w:beforeAutospacing="0" w:afterAutospacing="0" w:line="480" w:lineRule="exact"/>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14:paraId="3043980F">
      <w:pPr>
        <w:pStyle w:val="34"/>
        <w:keepNext w:val="0"/>
        <w:keepLines w:val="0"/>
        <w:pageBreakBefore w:val="0"/>
        <w:widowControl w:val="0"/>
        <w:numPr>
          <w:ilvl w:val="0"/>
          <w:numId w:val="0"/>
        </w:numPr>
        <w:spacing w:beforeAutospacing="0" w:afterAutospacing="0" w:line="480" w:lineRule="exact"/>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2.2 潜在投标人访问“苏采云”系统方法：江苏省政府采购网首页－“苏采云”链接。</w:t>
      </w:r>
    </w:p>
    <w:p w14:paraId="45841D78">
      <w:pPr>
        <w:pStyle w:val="34"/>
        <w:keepNext w:val="0"/>
        <w:keepLines w:val="0"/>
        <w:pageBreakBefore w:val="0"/>
        <w:widowControl w:val="0"/>
        <w:numPr>
          <w:ilvl w:val="0"/>
          <w:numId w:val="0"/>
        </w:numPr>
        <w:spacing w:beforeAutospacing="0" w:afterAutospacing="0" w:line="480" w:lineRule="exact"/>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2.3 采购文件（后缀名为“.kedt”）、供应商操作手册及政府采购客户端 工具可通过“苏采云”系统相应链接进行下载。</w:t>
      </w:r>
    </w:p>
    <w:p w14:paraId="66BDB77D">
      <w:pPr>
        <w:pStyle w:val="34"/>
        <w:keepNext w:val="0"/>
        <w:keepLines w:val="0"/>
        <w:pageBreakBefore w:val="0"/>
        <w:widowControl w:val="0"/>
        <w:numPr>
          <w:ilvl w:val="0"/>
          <w:numId w:val="0"/>
        </w:numPr>
        <w:spacing w:beforeAutospacing="0" w:afterAutospacing="0" w:line="480" w:lineRule="exact"/>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2.4 采购代理机构将数据电文形式的采购文件加载至“苏采云”系统，供潜在供应商下载或者查阅。</w:t>
      </w:r>
    </w:p>
    <w:p w14:paraId="78B950AA">
      <w:pPr>
        <w:pStyle w:val="34"/>
        <w:keepNext w:val="0"/>
        <w:keepLines w:val="0"/>
        <w:pageBreakBefore w:val="0"/>
        <w:widowControl w:val="0"/>
        <w:numPr>
          <w:ilvl w:val="0"/>
          <w:numId w:val="0"/>
        </w:numPr>
        <w:spacing w:beforeAutospacing="0" w:afterAutospacing="0" w:line="480" w:lineRule="exact"/>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2.5 请潜在投标单位提前安装相应的控件（详见《“苏采云”系统供应商操作手册》）并使用谷歌浏览器登录“苏采云”系统参与不见面开评标。</w:t>
      </w:r>
    </w:p>
    <w:p w14:paraId="7F9A1E8B">
      <w:pPr>
        <w:pStyle w:val="34"/>
        <w:keepNext w:val="0"/>
        <w:keepLines w:val="0"/>
        <w:pageBreakBefore w:val="0"/>
        <w:widowControl w:val="0"/>
        <w:numPr>
          <w:ilvl w:val="0"/>
          <w:numId w:val="0"/>
        </w:numPr>
        <w:spacing w:beforeAutospacing="0" w:afterAutospacing="0" w:line="480" w:lineRule="exact"/>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如潜在投标人未按上述要求操作，将自行承担所产生的风险。</w:t>
      </w:r>
    </w:p>
    <w:p w14:paraId="548FB5E7">
      <w:pPr>
        <w:pStyle w:val="34"/>
        <w:keepNext w:val="0"/>
        <w:keepLines w:val="0"/>
        <w:pageBreakBefore w:val="0"/>
        <w:widowControl w:val="0"/>
        <w:numPr>
          <w:ilvl w:val="0"/>
          <w:numId w:val="0"/>
        </w:numPr>
        <w:spacing w:beforeAutospacing="0" w:afterAutospacing="0" w:line="480" w:lineRule="exact"/>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3.有关本次招标的事项若存在变动或修改，敬请及时关注采购代理机构在“中国政府采购网”“江苏政府采购网”“盐城市政府采购网”发布的更正公告。</w:t>
      </w:r>
    </w:p>
    <w:p w14:paraId="0AAECEB1">
      <w:pPr>
        <w:pStyle w:val="34"/>
        <w:keepNext w:val="0"/>
        <w:keepLines w:val="0"/>
        <w:pageBreakBefore w:val="0"/>
        <w:widowControl w:val="0"/>
        <w:numPr>
          <w:ilvl w:val="0"/>
          <w:numId w:val="0"/>
        </w:numPr>
        <w:spacing w:beforeAutospacing="0" w:afterAutospacing="0" w:line="4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4.本次招标不收取投标保证金，不收取质量保证金。</w:t>
      </w:r>
    </w:p>
    <w:p w14:paraId="3187D80C">
      <w:pPr>
        <w:pStyle w:val="34"/>
        <w:keepNext/>
        <w:keepLines/>
        <w:pageBreakBefore w:val="0"/>
        <w:spacing w:before="145" w:beforeAutospacing="0" w:after="145" w:afterAutospacing="0" w:line="480" w:lineRule="exact"/>
        <w:ind w:firstLine="321"/>
        <w:jc w:val="both"/>
        <w:rPr>
          <w:color w:val="auto"/>
          <w:highlight w:val="none"/>
        </w:rPr>
      </w:pPr>
      <w:r>
        <w:rPr>
          <w:rFonts w:ascii="Times New Roman" w:hAnsi="Times New Roman"/>
          <w:b/>
          <w:color w:val="auto"/>
          <w:sz w:val="32"/>
          <w:szCs w:val="32"/>
          <w:highlight w:val="none"/>
        </w:rPr>
        <w:t>七、</w:t>
      </w:r>
      <w:bookmarkEnd w:id="32"/>
      <w:bookmarkEnd w:id="33"/>
      <w:bookmarkEnd w:id="34"/>
      <w:bookmarkEnd w:id="35"/>
      <w:bookmarkEnd w:id="36"/>
      <w:r>
        <w:rPr>
          <w:rFonts w:hint="eastAsia" w:ascii="Times New Roman" w:hAnsi="Times New Roman"/>
          <w:b/>
          <w:color w:val="auto"/>
          <w:sz w:val="32"/>
          <w:szCs w:val="32"/>
          <w:highlight w:val="none"/>
        </w:rPr>
        <w:t>对本次招标提出询问，请按以下方式联系。</w:t>
      </w:r>
    </w:p>
    <w:p w14:paraId="34B0C525">
      <w:pPr>
        <w:pStyle w:val="34"/>
        <w:pageBreakBefore w:val="0"/>
        <w:widowControl/>
        <w:spacing w:beforeAutospacing="0" w:afterAutospacing="0" w:line="480" w:lineRule="exact"/>
        <w:ind w:firstLine="280"/>
        <w:rPr>
          <w:rFonts w:ascii="宋体" w:hAnsi="宋体" w:eastAsia="宋体" w:cs="宋体"/>
          <w:color w:val="auto"/>
          <w:highlight w:val="none"/>
        </w:rPr>
      </w:pPr>
      <w:r>
        <w:rPr>
          <w:rFonts w:ascii="Calibri" w:hAnsi="Calibri" w:eastAsia="仿宋" w:cs="Calibri"/>
          <w:color w:val="auto"/>
          <w:sz w:val="28"/>
          <w:szCs w:val="28"/>
          <w:highlight w:val="none"/>
        </w:rPr>
        <w:t> </w:t>
      </w:r>
      <w:r>
        <w:rPr>
          <w:rFonts w:ascii="仿宋" w:hAnsi="仿宋" w:eastAsia="仿宋" w:cs="仿宋"/>
          <w:color w:val="auto"/>
          <w:sz w:val="28"/>
          <w:szCs w:val="28"/>
          <w:highlight w:val="none"/>
        </w:rPr>
        <w:t xml:space="preserve">  </w:t>
      </w:r>
      <w:r>
        <w:rPr>
          <w:rFonts w:hint="eastAsia" w:ascii="宋体" w:hAnsi="宋体" w:eastAsia="宋体" w:cs="宋体"/>
          <w:color w:val="auto"/>
          <w:highlight w:val="none"/>
        </w:rPr>
        <w:t>1.采购人信息</w:t>
      </w:r>
    </w:p>
    <w:p w14:paraId="507B551E">
      <w:pPr>
        <w:pStyle w:val="34"/>
        <w:pageBreakBefore w:val="0"/>
        <w:spacing w:beforeAutospacing="0" w:afterAutospacing="0" w:line="480" w:lineRule="exact"/>
        <w:ind w:firstLine="7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1.采购人信息</w:t>
      </w:r>
    </w:p>
    <w:p w14:paraId="2E78BD4B">
      <w:pPr>
        <w:pStyle w:val="34"/>
        <w:pageBreakBefore w:val="0"/>
        <w:spacing w:beforeAutospacing="0" w:afterAutospacing="0" w:line="480" w:lineRule="exact"/>
        <w:ind w:firstLine="7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名 称：盐城市第三人民医院</w:t>
      </w:r>
    </w:p>
    <w:p w14:paraId="1232DD35">
      <w:pPr>
        <w:pStyle w:val="34"/>
        <w:pageBreakBefore w:val="0"/>
        <w:spacing w:beforeAutospacing="0" w:afterAutospacing="0" w:line="480" w:lineRule="exact"/>
        <w:ind w:firstLine="7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地 址：盐城市新都西路2号</w:t>
      </w:r>
    </w:p>
    <w:p w14:paraId="2B881B7E">
      <w:pPr>
        <w:pStyle w:val="34"/>
        <w:pageBreakBefore w:val="0"/>
        <w:spacing w:beforeAutospacing="0" w:afterAutospacing="0" w:line="480" w:lineRule="exact"/>
        <w:ind w:firstLine="7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联系人（业务经办）：张先生</w:t>
      </w:r>
    </w:p>
    <w:p w14:paraId="65B6F942">
      <w:pPr>
        <w:pStyle w:val="34"/>
        <w:pageBreakBefore w:val="0"/>
        <w:spacing w:beforeAutospacing="0" w:afterAutospacing="0" w:line="480" w:lineRule="exact"/>
        <w:ind w:firstLine="72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联系方式：18252213587</w:t>
      </w:r>
    </w:p>
    <w:p w14:paraId="58173133">
      <w:pPr>
        <w:pStyle w:val="34"/>
        <w:pageBreakBefore w:val="0"/>
        <w:spacing w:beforeAutospacing="0" w:afterAutospacing="0" w:line="480" w:lineRule="exact"/>
        <w:ind w:firstLine="7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2.代理机构信息</w:t>
      </w:r>
    </w:p>
    <w:p w14:paraId="0BBEE5DC">
      <w:pPr>
        <w:pStyle w:val="34"/>
        <w:pageBreakBefore w:val="0"/>
        <w:spacing w:beforeAutospacing="0" w:afterAutospacing="0" w:line="480" w:lineRule="exact"/>
        <w:ind w:firstLine="7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名 称：江苏仁禾中衡工程咨询房地产估价有限公司</w:t>
      </w:r>
    </w:p>
    <w:p w14:paraId="25A25319">
      <w:pPr>
        <w:pStyle w:val="34"/>
        <w:pageBreakBefore w:val="0"/>
        <w:spacing w:beforeAutospacing="0" w:afterAutospacing="0" w:line="480" w:lineRule="exact"/>
        <w:ind w:firstLine="7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地 址：盐城市青年西路8号</w:t>
      </w:r>
    </w:p>
    <w:p w14:paraId="3CD01602">
      <w:pPr>
        <w:pStyle w:val="34"/>
        <w:pageBreakBefore w:val="0"/>
        <w:spacing w:beforeAutospacing="0" w:afterAutospacing="0" w:line="480" w:lineRule="exact"/>
        <w:ind w:firstLine="7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联系人（业务经办）：胡女士</w:t>
      </w:r>
    </w:p>
    <w:p w14:paraId="39F7E6A3">
      <w:pPr>
        <w:pStyle w:val="34"/>
        <w:pageBreakBefore w:val="0"/>
        <w:spacing w:beforeAutospacing="0" w:afterAutospacing="0" w:line="480" w:lineRule="exact"/>
        <w:ind w:firstLine="7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联系方式：13815581495</w:t>
      </w:r>
    </w:p>
    <w:p w14:paraId="12B96555">
      <w:pPr>
        <w:pStyle w:val="34"/>
        <w:pageBreakBefore w:val="0"/>
        <w:spacing w:beforeAutospacing="0" w:afterAutospacing="0" w:line="480" w:lineRule="exact"/>
        <w:ind w:firstLine="7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3.项目联系方式</w:t>
      </w:r>
    </w:p>
    <w:p w14:paraId="1BED665C">
      <w:pPr>
        <w:pStyle w:val="34"/>
        <w:pageBreakBefore w:val="0"/>
        <w:spacing w:beforeAutospacing="0" w:afterAutospacing="0" w:line="480" w:lineRule="exact"/>
        <w:ind w:firstLine="7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项目联系人：胡女士</w:t>
      </w:r>
    </w:p>
    <w:p w14:paraId="3E3B2DB8">
      <w:pPr>
        <w:pStyle w:val="34"/>
        <w:pageBreakBefore w:val="0"/>
        <w:spacing w:beforeAutospacing="0" w:afterAutospacing="0" w:line="480" w:lineRule="exact"/>
        <w:ind w:firstLine="720"/>
        <w:rPr>
          <w:rFonts w:hint="default" w:ascii="宋体" w:hAnsi="宋体" w:eastAsia="宋体" w:cs="宋体"/>
          <w:color w:val="auto"/>
          <w:highlight w:val="none"/>
          <w:lang w:val="en-US" w:eastAsia="zh-CN"/>
        </w:rPr>
        <w:sectPr>
          <w:footerReference r:id="rId5" w:type="default"/>
          <w:pgSz w:w="11906" w:h="16838"/>
          <w:pgMar w:top="1440" w:right="1800" w:bottom="1440" w:left="1800" w:header="851" w:footer="992" w:gutter="0"/>
          <w:pgNumType w:start="1"/>
          <w:cols w:space="425" w:num="1"/>
          <w:docGrid w:linePitch="360" w:charSpace="0"/>
        </w:sectPr>
      </w:pPr>
      <w:r>
        <w:rPr>
          <w:rFonts w:hint="eastAsia" w:ascii="宋体" w:hAnsi="宋体" w:eastAsia="宋体" w:cs="宋体"/>
          <w:color w:val="auto"/>
          <w:highlight w:val="none"/>
          <w:lang w:val="en-US" w:eastAsia="zh-CN"/>
        </w:rPr>
        <w:t xml:space="preserve">联系方式：13815581495 </w:t>
      </w:r>
    </w:p>
    <w:p w14:paraId="2D101FCA">
      <w:pPr>
        <w:pStyle w:val="34"/>
        <w:keepNext/>
        <w:keepLines/>
        <w:spacing w:before="260" w:beforeAutospacing="0" w:after="260" w:afterAutospacing="0" w:line="415" w:lineRule="auto"/>
        <w:ind w:firstLine="442"/>
        <w:jc w:val="center"/>
        <w:outlineLvl w:val="0"/>
        <w:rPr>
          <w:color w:val="auto"/>
          <w:highlight w:val="none"/>
        </w:rPr>
      </w:pPr>
      <w:bookmarkStart w:id="37" w:name="_Toc120614211"/>
      <w:bookmarkStart w:id="38" w:name="_Toc10086"/>
      <w:bookmarkStart w:id="39" w:name="_Toc8482"/>
      <w:r>
        <w:rPr>
          <w:rFonts w:hint="eastAsia" w:ascii="黑体" w:hAnsi="宋体" w:eastAsia="黑体" w:cs="黑体"/>
          <w:b/>
          <w:color w:val="auto"/>
          <w:sz w:val="44"/>
          <w:szCs w:val="44"/>
          <w:highlight w:val="none"/>
        </w:rPr>
        <w:t xml:space="preserve">第二章  </w:t>
      </w:r>
      <w:bookmarkEnd w:id="37"/>
      <w:bookmarkStart w:id="40" w:name="_Toc16938518"/>
      <w:bookmarkStart w:id="41" w:name="_Toc20823274"/>
      <w:bookmarkStart w:id="42" w:name="_Toc513029202"/>
      <w:bookmarkStart w:id="43" w:name="_Toc120614213"/>
      <w:r>
        <w:rPr>
          <w:rFonts w:hint="eastAsia" w:ascii="黑体" w:hAnsi="宋体" w:eastAsia="黑体" w:cs="黑体"/>
          <w:b/>
          <w:color w:val="auto"/>
          <w:sz w:val="44"/>
          <w:szCs w:val="44"/>
          <w:highlight w:val="none"/>
        </w:rPr>
        <w:t>投标人须知</w:t>
      </w:r>
      <w:bookmarkEnd w:id="38"/>
      <w:bookmarkEnd w:id="39"/>
      <w:bookmarkEnd w:id="40"/>
      <w:bookmarkEnd w:id="41"/>
      <w:bookmarkEnd w:id="42"/>
      <w:bookmarkEnd w:id="43"/>
    </w:p>
    <w:p w14:paraId="3A1375C3">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bookmarkStart w:id="44" w:name="_Toc120614214"/>
      <w:bookmarkStart w:id="45" w:name="_Toc20823275"/>
      <w:bookmarkStart w:id="46" w:name="_Toc513029203"/>
      <w:bookmarkStart w:id="47" w:name="_Toc16938519"/>
      <w:bookmarkStart w:id="48" w:name="_Hlt16619475"/>
      <w:r>
        <w:rPr>
          <w:rFonts w:hint="eastAsia" w:ascii="宋体" w:hAnsi="宋体" w:eastAsia="宋体" w:cs="宋体"/>
          <w:color w:val="auto"/>
          <w:highlight w:val="none"/>
        </w:rPr>
        <w:t>一、总则</w:t>
      </w:r>
      <w:bookmarkEnd w:id="44"/>
      <w:bookmarkEnd w:id="45"/>
      <w:bookmarkEnd w:id="46"/>
      <w:bookmarkEnd w:id="47"/>
    </w:p>
    <w:p w14:paraId="06F3984C">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bookmarkStart w:id="49" w:name="_Toc16938520"/>
      <w:bookmarkStart w:id="50" w:name="_Toc20823276"/>
      <w:bookmarkStart w:id="51" w:name="_Toc458694821"/>
      <w:bookmarkStart w:id="52" w:name="_Toc513029204"/>
      <w:r>
        <w:rPr>
          <w:rFonts w:hint="eastAsia" w:ascii="宋体" w:hAnsi="宋体" w:eastAsia="宋体" w:cs="宋体"/>
          <w:color w:val="auto"/>
          <w:highlight w:val="none"/>
        </w:rPr>
        <w:t>1</w:t>
      </w:r>
      <w:bookmarkEnd w:id="49"/>
      <w:r>
        <w:rPr>
          <w:rFonts w:hint="eastAsia" w:ascii="宋体" w:hAnsi="宋体" w:eastAsia="宋体" w:cs="宋体"/>
          <w:color w:val="auto"/>
          <w:highlight w:val="none"/>
        </w:rPr>
        <w:t>、招标方式</w:t>
      </w:r>
      <w:bookmarkEnd w:id="50"/>
      <w:bookmarkEnd w:id="51"/>
      <w:bookmarkEnd w:id="52"/>
    </w:p>
    <w:p w14:paraId="1E2C663B">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1.1本次招标采取公开招标方式，本</w:t>
      </w:r>
      <w:r>
        <w:rPr>
          <w:rFonts w:hint="eastAsia" w:ascii="宋体" w:hAnsi="宋体" w:eastAsia="宋体" w:cs="宋体"/>
          <w:color w:val="auto"/>
          <w:highlight w:val="none"/>
          <w:lang w:eastAsia="zh-CN"/>
        </w:rPr>
        <w:t>采购文件</w:t>
      </w:r>
      <w:r>
        <w:rPr>
          <w:rFonts w:hint="eastAsia" w:ascii="宋体" w:hAnsi="宋体" w:eastAsia="宋体" w:cs="宋体"/>
          <w:color w:val="auto"/>
          <w:highlight w:val="none"/>
        </w:rPr>
        <w:t>仅适用于招标公告中所述项目。</w:t>
      </w:r>
    </w:p>
    <w:p w14:paraId="040138FC">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bookmarkStart w:id="53" w:name="_Toc16938521"/>
      <w:bookmarkStart w:id="54" w:name="_Toc20823277"/>
      <w:bookmarkStart w:id="55" w:name="_Toc513029205"/>
      <w:r>
        <w:rPr>
          <w:rFonts w:hint="eastAsia" w:ascii="宋体" w:hAnsi="宋体" w:eastAsia="宋体" w:cs="宋体"/>
          <w:color w:val="auto"/>
          <w:highlight w:val="none"/>
        </w:rPr>
        <w:t>2、合格的投标人</w:t>
      </w:r>
      <w:bookmarkEnd w:id="53"/>
      <w:bookmarkEnd w:id="54"/>
      <w:bookmarkEnd w:id="55"/>
    </w:p>
    <w:p w14:paraId="05A723F9">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2.1满足招标公告中供应商的资格要求的规定。</w:t>
      </w:r>
    </w:p>
    <w:p w14:paraId="02D264E4">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2.2满足本文件实质性要求和条件的规定。</w:t>
      </w:r>
    </w:p>
    <w:p w14:paraId="7D7E581C">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bookmarkStart w:id="56" w:name="_Toc16938523"/>
      <w:bookmarkStart w:id="57" w:name="_Toc462564067"/>
      <w:bookmarkStart w:id="58" w:name="_Toc513029207"/>
      <w:bookmarkStart w:id="59" w:name="_Toc20823279"/>
      <w:r>
        <w:rPr>
          <w:rFonts w:hint="eastAsia" w:ascii="宋体" w:hAnsi="宋体" w:eastAsia="宋体" w:cs="宋体"/>
          <w:color w:val="auto"/>
          <w:highlight w:val="none"/>
        </w:rPr>
        <w:t>3、适用法律和标准</w:t>
      </w:r>
    </w:p>
    <w:p w14:paraId="636A8728">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3.1 本次招标及由此产生的合同受中华人民共和国有关的法律法规制约和保护。</w:t>
      </w:r>
    </w:p>
    <w:p w14:paraId="168D1A6D">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 在本项目政府采购活动过程中，如果所执行的标准有更新的，按照最新标准执行。</w:t>
      </w:r>
    </w:p>
    <w:p w14:paraId="06B8E328">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4、投标费用</w:t>
      </w:r>
      <w:bookmarkEnd w:id="56"/>
      <w:bookmarkEnd w:id="57"/>
      <w:bookmarkEnd w:id="58"/>
      <w:bookmarkEnd w:id="59"/>
    </w:p>
    <w:p w14:paraId="239F7605">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4.1投标人应自行承担所有与参加投标有关的费用，无论投标过程中的做法和结果如何，采购人和采购代理机构在任何情况下均无义务和责任承担这些费用。</w:t>
      </w:r>
    </w:p>
    <w:p w14:paraId="03F756F8">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4.2本次招标采购人和采购代理机构不收取标书工本费。</w:t>
      </w:r>
    </w:p>
    <w:p w14:paraId="095356A4">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4.3根据招标合同中约定的情形，招标代理服务费由中标单位向招标代理机构支付；代理服务费收费标准参照《国家计委关于印发&lt;招标代理服务收费管理暂行办法&gt;的通知》（计价格【2002】1980号）规定的55%计取；中标单位须在领取中标通知书时向招标代理机构一次性付清。该费用折算在报价中，不在投标文件中单独列出。</w:t>
      </w:r>
    </w:p>
    <w:p w14:paraId="487EE542">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5、招标文件的约束力</w:t>
      </w:r>
    </w:p>
    <w:p w14:paraId="376C82A7">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5.1 投标人一旦参加本项目采购活动，即被认为接受了本招标文件的规定和约束。</w:t>
      </w:r>
    </w:p>
    <w:p w14:paraId="5E3EA0DE">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bookmarkStart w:id="60" w:name="_Toc513029209"/>
      <w:bookmarkStart w:id="61" w:name="_Toc20823281"/>
      <w:bookmarkStart w:id="62" w:name="_Toc16938525"/>
      <w:bookmarkStart w:id="63" w:name="_Toc120614215"/>
      <w:r>
        <w:rPr>
          <w:rFonts w:hint="eastAsia" w:ascii="宋体" w:hAnsi="宋体" w:eastAsia="宋体" w:cs="宋体"/>
          <w:color w:val="auto"/>
          <w:highlight w:val="none"/>
        </w:rPr>
        <w:t>二、招标文件</w:t>
      </w:r>
      <w:bookmarkEnd w:id="60"/>
      <w:bookmarkEnd w:id="61"/>
      <w:bookmarkEnd w:id="62"/>
      <w:bookmarkEnd w:id="63"/>
    </w:p>
    <w:p w14:paraId="139DAEBB">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bookmarkStart w:id="64" w:name="_Toc20823282"/>
      <w:bookmarkStart w:id="65" w:name="_Toc16938526"/>
      <w:bookmarkStart w:id="66" w:name="_Toc513029210"/>
      <w:r>
        <w:rPr>
          <w:rFonts w:hint="eastAsia" w:ascii="宋体" w:hAnsi="宋体" w:eastAsia="宋体" w:cs="宋体"/>
          <w:color w:val="auto"/>
          <w:highlight w:val="none"/>
        </w:rPr>
        <w:t>6、招标文件构成</w:t>
      </w:r>
      <w:bookmarkEnd w:id="64"/>
      <w:bookmarkEnd w:id="65"/>
      <w:bookmarkEnd w:id="66"/>
    </w:p>
    <w:p w14:paraId="2338E2E4">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6.1 招标文件由以下部分组成：</w:t>
      </w:r>
    </w:p>
    <w:p w14:paraId="592865C2">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（1）招标公告</w:t>
      </w:r>
    </w:p>
    <w:p w14:paraId="184BDA4B">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（2）投标人须知</w:t>
      </w:r>
    </w:p>
    <w:p w14:paraId="6AC0E84D">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（3）合同文本</w:t>
      </w:r>
    </w:p>
    <w:p w14:paraId="391AB5F5">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（4）采购需求</w:t>
      </w:r>
    </w:p>
    <w:p w14:paraId="6A087D94">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（5）评标方法与评标标准</w:t>
      </w:r>
    </w:p>
    <w:p w14:paraId="68EFEDFD">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（6）投标文件格式</w:t>
      </w:r>
    </w:p>
    <w:p w14:paraId="0373F60D">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请仔细检查招标文件是否齐全，如有缺漏请立即与采购人或采购代理机构联系解决。</w:t>
      </w:r>
    </w:p>
    <w:p w14:paraId="0DC60521">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A331B2D">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bookmarkStart w:id="67" w:name="_Toc513029211"/>
      <w:bookmarkStart w:id="68" w:name="_Toc16938527"/>
      <w:bookmarkStart w:id="69" w:name="_Toc462564070"/>
      <w:bookmarkStart w:id="70" w:name="_Toc20823283"/>
      <w:r>
        <w:rPr>
          <w:rFonts w:hint="eastAsia" w:ascii="宋体" w:hAnsi="宋体" w:eastAsia="宋体" w:cs="宋体"/>
          <w:color w:val="auto"/>
          <w:highlight w:val="none"/>
        </w:rPr>
        <w:t>7、招标文件的澄清</w:t>
      </w:r>
      <w:bookmarkEnd w:id="67"/>
      <w:bookmarkEnd w:id="68"/>
      <w:bookmarkEnd w:id="69"/>
      <w:bookmarkEnd w:id="70"/>
    </w:p>
    <w:p w14:paraId="6C1A3EDD">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7.1任何要求对招标文件进行澄清的投标人，应在投标截止期十日前按招标公告中的通讯地址，以书面形式通知采购代理机构。</w:t>
      </w:r>
    </w:p>
    <w:p w14:paraId="2FB2AA07">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bookmarkStart w:id="71" w:name="_Toc16938528"/>
      <w:bookmarkStart w:id="72" w:name="_Toc20823284"/>
      <w:bookmarkStart w:id="73" w:name="_Toc513029212"/>
      <w:bookmarkStart w:id="74" w:name="_Toc462564071"/>
      <w:r>
        <w:rPr>
          <w:rFonts w:hint="eastAsia" w:ascii="宋体" w:hAnsi="宋体" w:eastAsia="宋体" w:cs="宋体"/>
          <w:color w:val="auto"/>
          <w:highlight w:val="none"/>
        </w:rPr>
        <w:t>8、招标文件的修改</w:t>
      </w:r>
      <w:bookmarkEnd w:id="71"/>
      <w:bookmarkEnd w:id="72"/>
      <w:bookmarkEnd w:id="73"/>
      <w:bookmarkEnd w:id="74"/>
    </w:p>
    <w:p w14:paraId="0843FB4B">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8.1在投标截止时间前，采购人可以对招标文件进行修改。</w:t>
      </w:r>
    </w:p>
    <w:p w14:paraId="44D5866A">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8.2采购人有权按照法定的要求推迟投标截止日期和开标日期。</w:t>
      </w:r>
    </w:p>
    <w:p w14:paraId="2271EAAB">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8.3招标文件的修改将在中国政府采购网、江苏政府采购网、盐城市政府采购网公布，补充文件将作为招标文件的组成部分，并对投标人具有约束力。</w:t>
      </w:r>
    </w:p>
    <w:p w14:paraId="699DA375">
      <w:pPr>
        <w:pStyle w:val="34"/>
        <w:keepNext/>
        <w:keepLines/>
        <w:pageBreakBefore w:val="0"/>
        <w:widowControl w:val="0"/>
        <w:spacing w:beforeAutospacing="0" w:afterAutospacing="0" w:line="360" w:lineRule="auto"/>
        <w:ind w:firstLine="643"/>
        <w:jc w:val="both"/>
        <w:rPr>
          <w:rFonts w:ascii="宋体" w:hAnsi="宋体" w:eastAsia="宋体" w:cs="宋体"/>
          <w:color w:val="auto"/>
          <w:highlight w:val="none"/>
        </w:rPr>
      </w:pPr>
      <w:bookmarkStart w:id="75" w:name="_Toc462564072"/>
      <w:bookmarkStart w:id="76" w:name="_Toc513029213"/>
      <w:bookmarkStart w:id="77" w:name="_Toc16938529"/>
      <w:bookmarkStart w:id="78" w:name="_Toc20823285"/>
      <w:bookmarkStart w:id="79" w:name="_Toc120614216"/>
      <w:r>
        <w:rPr>
          <w:rFonts w:hint="eastAsia" w:ascii="宋体" w:hAnsi="宋体" w:eastAsia="宋体" w:cs="宋体"/>
          <w:b/>
          <w:color w:val="auto"/>
          <w:sz w:val="32"/>
          <w:szCs w:val="32"/>
          <w:highlight w:val="none"/>
        </w:rPr>
        <w:t>三、投标文件的编制</w:t>
      </w:r>
      <w:bookmarkEnd w:id="75"/>
      <w:bookmarkEnd w:id="76"/>
      <w:bookmarkEnd w:id="77"/>
      <w:bookmarkEnd w:id="78"/>
      <w:bookmarkEnd w:id="79"/>
    </w:p>
    <w:p w14:paraId="2D047260">
      <w:pPr>
        <w:pStyle w:val="34"/>
        <w:keepNext/>
        <w:keepLines/>
        <w:pageBreakBefore w:val="0"/>
        <w:widowControl w:val="0"/>
        <w:spacing w:beforeAutospacing="0" w:afterAutospacing="0" w:line="360" w:lineRule="auto"/>
        <w:ind w:firstLine="560"/>
        <w:jc w:val="both"/>
        <w:rPr>
          <w:rFonts w:ascii="宋体" w:hAnsi="宋体" w:eastAsia="宋体" w:cs="宋体"/>
          <w:color w:val="auto"/>
          <w:highlight w:val="none"/>
        </w:rPr>
      </w:pPr>
      <w:bookmarkStart w:id="80" w:name="_Toc20823286"/>
      <w:bookmarkStart w:id="81" w:name="_Toc513029214"/>
      <w:bookmarkStart w:id="82" w:name="_Toc16938530"/>
      <w:bookmarkStart w:id="83" w:name="_Toc462564073"/>
      <w:r>
        <w:rPr>
          <w:rFonts w:hint="eastAsia" w:ascii="宋体" w:hAnsi="宋体" w:eastAsia="宋体" w:cs="宋体"/>
          <w:color w:val="auto"/>
          <w:sz w:val="28"/>
          <w:szCs w:val="28"/>
          <w:highlight w:val="none"/>
        </w:rPr>
        <w:t>9、投标文件的语言及度量衡单位</w:t>
      </w:r>
      <w:bookmarkEnd w:id="80"/>
      <w:bookmarkEnd w:id="81"/>
      <w:bookmarkEnd w:id="82"/>
      <w:bookmarkEnd w:id="83"/>
    </w:p>
    <w:p w14:paraId="65BFE6B4">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9.1 投标人提交的投标文件以及投标人与采购人就有关投标的所有来往通知、函件和文件均应使用</w:t>
      </w:r>
      <w:r>
        <w:rPr>
          <w:rFonts w:hint="eastAsia" w:ascii="宋体" w:hAnsi="宋体" w:eastAsia="宋体" w:cs="宋体"/>
          <w:b/>
          <w:color w:val="auto"/>
          <w:highlight w:val="none"/>
        </w:rPr>
        <w:t>简体中文</w:t>
      </w:r>
      <w:r>
        <w:rPr>
          <w:rFonts w:hint="eastAsia" w:ascii="宋体" w:hAnsi="宋体" w:eastAsia="宋体" w:cs="宋体"/>
          <w:color w:val="auto"/>
          <w:highlight w:val="none"/>
        </w:rPr>
        <w:t>。</w:t>
      </w:r>
    </w:p>
    <w:p w14:paraId="40E48E1C">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9.2 除技术性能另有规定外，投标文件所使用的度量衡单位，均须采用国家法定计量单位。</w:t>
      </w:r>
    </w:p>
    <w:p w14:paraId="2274AEE6">
      <w:pPr>
        <w:pStyle w:val="34"/>
        <w:keepNext/>
        <w:keepLines/>
        <w:pageBreakBefore w:val="0"/>
        <w:widowControl w:val="0"/>
        <w:spacing w:beforeAutospacing="0" w:afterAutospacing="0" w:line="360" w:lineRule="auto"/>
        <w:ind w:firstLine="560"/>
        <w:jc w:val="both"/>
        <w:rPr>
          <w:rFonts w:ascii="宋体" w:hAnsi="宋体" w:eastAsia="宋体" w:cs="宋体"/>
          <w:color w:val="auto"/>
          <w:highlight w:val="none"/>
        </w:rPr>
      </w:pPr>
      <w:bookmarkStart w:id="84" w:name="_Toc513029215"/>
      <w:bookmarkStart w:id="85" w:name="_Toc462564074"/>
      <w:bookmarkStart w:id="86" w:name="_Toc20823287"/>
      <w:bookmarkStart w:id="87" w:name="_Toc16938531"/>
      <w:r>
        <w:rPr>
          <w:rFonts w:hint="eastAsia" w:ascii="宋体" w:hAnsi="宋体" w:eastAsia="宋体" w:cs="宋体"/>
          <w:color w:val="auto"/>
          <w:sz w:val="28"/>
          <w:szCs w:val="28"/>
          <w:highlight w:val="none"/>
        </w:rPr>
        <w:t>10、投标文件构成</w:t>
      </w:r>
      <w:bookmarkEnd w:id="84"/>
      <w:bookmarkEnd w:id="85"/>
      <w:bookmarkEnd w:id="86"/>
      <w:bookmarkEnd w:id="87"/>
    </w:p>
    <w:p w14:paraId="03F8E30F">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10.1 投标人编写的投标文件应包括资格证明文件、符合性证明文件、投标分项报价表、技术要求响应及偏离表、商务要求响应及偏离表、其他证明文件、投标函、开标一览表等部分。</w:t>
      </w:r>
    </w:p>
    <w:p w14:paraId="318FAF82">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10.2 如标书制作工具中格式和内容与“中国政府采购网”、“江苏政府采购网”、“盐城市政府采购网”发布的招标文件不一致，请以中国政府采购网”、“江苏政府采购网”、“盐城市政府采购网”发布的招标文件为准。</w:t>
      </w:r>
    </w:p>
    <w:p w14:paraId="006ABA2B">
      <w:pPr>
        <w:pStyle w:val="34"/>
        <w:keepNext/>
        <w:keepLines/>
        <w:pageBreakBefore w:val="0"/>
        <w:widowControl w:val="0"/>
        <w:spacing w:beforeAutospacing="0" w:afterAutospacing="0" w:line="360" w:lineRule="auto"/>
        <w:ind w:firstLine="560"/>
        <w:jc w:val="both"/>
        <w:rPr>
          <w:rFonts w:ascii="宋体" w:hAnsi="宋体" w:eastAsia="宋体" w:cs="宋体"/>
          <w:color w:val="auto"/>
          <w:highlight w:val="none"/>
        </w:rPr>
      </w:pPr>
      <w:bookmarkStart w:id="88" w:name="_Toc49090509"/>
      <w:bookmarkStart w:id="89" w:name="_Toc14577357"/>
      <w:bookmarkStart w:id="90" w:name="_Toc49090508"/>
      <w:bookmarkStart w:id="91" w:name="_Toc513029219"/>
      <w:bookmarkStart w:id="92" w:name="_Toc14577355"/>
      <w:bookmarkStart w:id="93" w:name="_Toc14577354"/>
      <w:bookmarkStart w:id="94" w:name="_Toc49090507"/>
      <w:bookmarkStart w:id="95" w:name="_Toc513029216"/>
      <w:bookmarkStart w:id="96" w:name="_Hlt26954838"/>
      <w:bookmarkStart w:id="97" w:name="_Hlt26670360"/>
      <w:bookmarkStart w:id="98" w:name="_Hlt26668975"/>
      <w:r>
        <w:rPr>
          <w:rFonts w:hint="eastAsia" w:ascii="宋体" w:hAnsi="宋体" w:eastAsia="宋体" w:cs="宋体"/>
          <w:color w:val="auto"/>
          <w:sz w:val="28"/>
          <w:szCs w:val="28"/>
          <w:highlight w:val="none"/>
        </w:rPr>
        <w:t>11、证明投标人及投标标的符合招标文件规定的文件</w:t>
      </w:r>
      <w:bookmarkEnd w:id="88"/>
      <w:bookmarkEnd w:id="89"/>
      <w:bookmarkEnd w:id="90"/>
      <w:bookmarkEnd w:id="91"/>
      <w:bookmarkEnd w:id="92"/>
      <w:bookmarkEnd w:id="93"/>
      <w:bookmarkEnd w:id="94"/>
      <w:bookmarkEnd w:id="95"/>
    </w:p>
    <w:p w14:paraId="16AB5C7A">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11.1 投标人应按照招标文件要求提交证明文件，证明其及投标标的符合招标文件规定。</w:t>
      </w:r>
    </w:p>
    <w:p w14:paraId="7A997DD5">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11.2招标文件对证明文件无明确形式要求的，证明文件可以以文字资料、图纸和数据等形式提交。</w:t>
      </w:r>
    </w:p>
    <w:p w14:paraId="05F23FE1">
      <w:pPr>
        <w:pStyle w:val="34"/>
        <w:keepNext/>
        <w:keepLines/>
        <w:pageBreakBefore w:val="0"/>
        <w:widowControl w:val="0"/>
        <w:spacing w:beforeAutospacing="0" w:afterAutospacing="0" w:line="360" w:lineRule="auto"/>
        <w:ind w:firstLine="560"/>
        <w:jc w:val="both"/>
        <w:rPr>
          <w:rFonts w:ascii="宋体" w:hAnsi="宋体" w:eastAsia="宋体" w:cs="宋体"/>
          <w:color w:val="auto"/>
          <w:highlight w:val="none"/>
        </w:rPr>
      </w:pPr>
      <w:r>
        <w:rPr>
          <w:rFonts w:hint="eastAsia" w:ascii="宋体" w:hAnsi="宋体" w:eastAsia="宋体" w:cs="宋体"/>
          <w:color w:val="auto"/>
          <w:sz w:val="28"/>
          <w:szCs w:val="28"/>
          <w:highlight w:val="none"/>
        </w:rPr>
        <w:t>12、投标分项报价表</w:t>
      </w:r>
    </w:p>
    <w:p w14:paraId="10109A38">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12.1 投标人应按照招标文件规定格式填报投标分项报价表。</w:t>
      </w:r>
    </w:p>
    <w:p w14:paraId="60AC3FDC">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12.2投标货币。投标文件中的单价和总价无特殊规定的采用人民币报价，以元为单位标注。招标文件中另有规定的按规定执行。</w:t>
      </w:r>
    </w:p>
    <w:p w14:paraId="2FE833E6">
      <w:pPr>
        <w:pStyle w:val="34"/>
        <w:keepNext/>
        <w:keepLines/>
        <w:pageBreakBefore w:val="0"/>
        <w:widowControl w:val="0"/>
        <w:spacing w:beforeAutospacing="0" w:afterAutospacing="0" w:line="360" w:lineRule="auto"/>
        <w:ind w:firstLine="560"/>
        <w:jc w:val="both"/>
        <w:rPr>
          <w:rFonts w:ascii="宋体" w:hAnsi="宋体" w:eastAsia="宋体" w:cs="宋体"/>
          <w:color w:val="auto"/>
          <w:highlight w:val="none"/>
        </w:rPr>
      </w:pPr>
      <w:bookmarkStart w:id="99" w:name="_Hlt26670482"/>
      <w:bookmarkStart w:id="100" w:name="_Hlt26954731"/>
      <w:bookmarkStart w:id="101" w:name="_Hlt26954846"/>
      <w:bookmarkStart w:id="102" w:name="_Hlt26670486"/>
      <w:bookmarkStart w:id="103" w:name="_Hlt26954848"/>
      <w:r>
        <w:rPr>
          <w:rFonts w:hint="eastAsia" w:ascii="宋体" w:hAnsi="宋体" w:eastAsia="宋体" w:cs="宋体"/>
          <w:color w:val="auto"/>
          <w:sz w:val="28"/>
          <w:szCs w:val="28"/>
          <w:highlight w:val="none"/>
        </w:rPr>
        <w:t>13、技术要求响应及偏离表、商务要求响应及偏离表</w:t>
      </w:r>
    </w:p>
    <w:p w14:paraId="4006FC09">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13.1 投标人需对招标文件中的技术要求与商务要求逐项作出响应或偏离，并说明原因。</w:t>
      </w:r>
    </w:p>
    <w:p w14:paraId="3C4E23A1">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13.2 投标人可在投标文件中提供认为需要的其他技术文件或说明。</w:t>
      </w:r>
    </w:p>
    <w:p w14:paraId="5531D6C9">
      <w:pPr>
        <w:pStyle w:val="34"/>
        <w:keepNext/>
        <w:keepLines/>
        <w:pageBreakBefore w:val="0"/>
        <w:widowControl w:val="0"/>
        <w:spacing w:beforeAutospacing="0" w:afterAutospacing="0" w:line="360" w:lineRule="auto"/>
        <w:ind w:firstLine="56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14、投标函和开标一览表</w:t>
      </w:r>
    </w:p>
    <w:p w14:paraId="4968EB0F">
      <w:pPr>
        <w:pStyle w:val="34"/>
        <w:keepNext/>
        <w:keepLines/>
        <w:pageBreakBefore w:val="0"/>
        <w:widowControl w:val="0"/>
        <w:spacing w:beforeAutospacing="0" w:afterAutospacing="0" w:line="360" w:lineRule="auto"/>
        <w:ind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14.1投标人应按照招标文件中提供的格式完整、正确填写投标函、开标一览表。</w:t>
      </w:r>
    </w:p>
    <w:p w14:paraId="6FE4E1FA">
      <w:pPr>
        <w:pStyle w:val="34"/>
        <w:keepNext/>
        <w:keepLines/>
        <w:pageBreakBefore w:val="0"/>
        <w:widowControl w:val="0"/>
        <w:spacing w:beforeAutospacing="0" w:afterAutospacing="0" w:line="360" w:lineRule="auto"/>
        <w:ind w:firstLine="480"/>
        <w:jc w:val="both"/>
        <w:rPr>
          <w:rFonts w:ascii="宋体" w:hAnsi="宋体" w:eastAsia="宋体" w:cs="宋体"/>
          <w:color w:val="auto"/>
          <w:sz w:val="24"/>
          <w:highlight w:val="none"/>
        </w:rPr>
      </w:pPr>
      <w:r>
        <w:rPr>
          <w:rFonts w:hint="eastAsia" w:ascii="宋体" w:hAnsi="宋体" w:eastAsia="宋体" w:cs="宋体"/>
          <w:color w:val="auto"/>
          <w:sz w:val="24"/>
          <w:highlight w:val="none"/>
        </w:rPr>
        <w:t>14.2对于采用货币报价的项目，开标一览表中的投标总报价应与投标分项报价表中的投标总报价一致，如不一致，不作为无效投标处理，但评标时按开标一览表中价格为准。</w:t>
      </w:r>
    </w:p>
    <w:p w14:paraId="2AE4EEB7">
      <w:pPr>
        <w:pStyle w:val="34"/>
        <w:keepNext/>
        <w:keepLines/>
        <w:pageBreakBefore w:val="0"/>
        <w:widowControl w:val="0"/>
        <w:spacing w:beforeAutospacing="0" w:afterAutospacing="0" w:line="360" w:lineRule="auto"/>
        <w:ind w:firstLine="560"/>
        <w:jc w:val="both"/>
        <w:rPr>
          <w:rFonts w:ascii="宋体" w:hAnsi="宋体" w:eastAsia="宋体" w:cs="宋体"/>
          <w:color w:val="auto"/>
          <w:highlight w:val="none"/>
        </w:rPr>
      </w:pPr>
      <w:bookmarkStart w:id="104" w:name="_Toc14577360"/>
      <w:bookmarkStart w:id="105" w:name="_Toc49090511"/>
      <w:r>
        <w:rPr>
          <w:rFonts w:hint="eastAsia" w:ascii="宋体" w:hAnsi="宋体" w:eastAsia="宋体" w:cs="宋体"/>
          <w:color w:val="auto"/>
          <w:sz w:val="28"/>
          <w:szCs w:val="28"/>
          <w:highlight w:val="none"/>
        </w:rPr>
        <w:t>15、投标有效期</w:t>
      </w:r>
      <w:bookmarkEnd w:id="104"/>
      <w:bookmarkEnd w:id="105"/>
    </w:p>
    <w:p w14:paraId="3C6D8EB6">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15.1投标有效期为采购人规定的开标之日后</w:t>
      </w:r>
      <w:r>
        <w:rPr>
          <w:rFonts w:hint="eastAsia" w:ascii="宋体" w:hAnsi="宋体" w:eastAsia="宋体" w:cs="宋体"/>
          <w:b/>
          <w:color w:val="auto"/>
          <w:highlight w:val="none"/>
          <w:u w:val="single"/>
        </w:rPr>
        <w:t>六十（60）天</w:t>
      </w:r>
      <w:r>
        <w:rPr>
          <w:rFonts w:hint="eastAsia" w:ascii="宋体" w:hAnsi="宋体" w:eastAsia="宋体" w:cs="宋体"/>
          <w:color w:val="auto"/>
          <w:highlight w:val="none"/>
        </w:rPr>
        <w:t>。投标有效期比规定短的将被视为未实质性响应招标文件而予以拒绝。</w:t>
      </w:r>
    </w:p>
    <w:p w14:paraId="0252506B">
      <w:pPr>
        <w:pStyle w:val="34"/>
        <w:keepNext/>
        <w:keepLines/>
        <w:pageBreakBefore w:val="0"/>
        <w:widowControl w:val="0"/>
        <w:spacing w:beforeAutospacing="0" w:afterAutospacing="0" w:line="360" w:lineRule="auto"/>
        <w:ind w:firstLine="560"/>
        <w:jc w:val="both"/>
        <w:rPr>
          <w:rFonts w:ascii="宋体" w:hAnsi="宋体" w:eastAsia="宋体" w:cs="宋体"/>
          <w:color w:val="auto"/>
          <w:highlight w:val="none"/>
        </w:rPr>
      </w:pPr>
      <w:r>
        <w:rPr>
          <w:rFonts w:hint="eastAsia" w:ascii="宋体" w:hAnsi="宋体" w:eastAsia="宋体" w:cs="宋体"/>
          <w:color w:val="auto"/>
          <w:sz w:val="28"/>
          <w:szCs w:val="28"/>
          <w:highlight w:val="none"/>
        </w:rPr>
        <w:t>16、投标有效期的延长</w:t>
      </w:r>
    </w:p>
    <w:p w14:paraId="2CEB9073">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14:paraId="043E0B1D">
      <w:pPr>
        <w:pStyle w:val="34"/>
        <w:keepNext/>
        <w:keepLines/>
        <w:pageBreakBefore w:val="0"/>
        <w:widowControl w:val="0"/>
        <w:spacing w:beforeAutospacing="0" w:afterAutospacing="0" w:line="360" w:lineRule="auto"/>
        <w:ind w:firstLine="643"/>
        <w:jc w:val="both"/>
        <w:rPr>
          <w:rFonts w:ascii="宋体" w:hAnsi="宋体" w:eastAsia="宋体" w:cs="宋体"/>
          <w:color w:val="auto"/>
          <w:highlight w:val="none"/>
        </w:rPr>
      </w:pPr>
      <w:bookmarkStart w:id="106" w:name="_Toc20823296"/>
      <w:bookmarkStart w:id="107" w:name="_Toc16938540"/>
      <w:bookmarkStart w:id="108" w:name="_Toc120614217"/>
      <w:bookmarkStart w:id="109" w:name="_Toc513029224"/>
      <w:bookmarkStart w:id="110" w:name="_Hlt26954739"/>
      <w:bookmarkStart w:id="111" w:name="_Hlt26954852"/>
      <w:r>
        <w:rPr>
          <w:rFonts w:hint="eastAsia" w:ascii="宋体" w:hAnsi="宋体" w:eastAsia="宋体" w:cs="宋体"/>
          <w:b/>
          <w:color w:val="auto"/>
          <w:sz w:val="32"/>
          <w:szCs w:val="32"/>
          <w:highlight w:val="none"/>
        </w:rPr>
        <w:t>四、投标文件的递交</w:t>
      </w:r>
      <w:bookmarkEnd w:id="106"/>
      <w:bookmarkEnd w:id="107"/>
      <w:bookmarkEnd w:id="108"/>
      <w:bookmarkEnd w:id="109"/>
    </w:p>
    <w:p w14:paraId="1C927EAC">
      <w:pPr>
        <w:pStyle w:val="34"/>
        <w:keepNext/>
        <w:keepLines/>
        <w:pageBreakBefore w:val="0"/>
        <w:widowControl w:val="0"/>
        <w:spacing w:beforeAutospacing="0" w:afterAutospacing="0" w:line="360" w:lineRule="auto"/>
        <w:ind w:firstLine="560"/>
        <w:jc w:val="both"/>
        <w:rPr>
          <w:rFonts w:hint="eastAsia" w:ascii="宋体" w:hAnsi="宋体" w:eastAsia="宋体" w:cs="宋体"/>
          <w:color w:val="auto"/>
          <w:sz w:val="28"/>
          <w:szCs w:val="28"/>
          <w:highlight w:val="none"/>
        </w:rPr>
      </w:pPr>
      <w:bookmarkStart w:id="112" w:name="_Toc513029225"/>
      <w:bookmarkStart w:id="113" w:name="_Toc16938541"/>
      <w:bookmarkStart w:id="114" w:name="_Toc462564084"/>
      <w:bookmarkStart w:id="115" w:name="_Toc20823297"/>
      <w:r>
        <w:rPr>
          <w:rFonts w:hint="eastAsia" w:ascii="宋体" w:hAnsi="宋体" w:eastAsia="宋体" w:cs="宋体"/>
          <w:color w:val="auto"/>
          <w:sz w:val="28"/>
          <w:szCs w:val="28"/>
          <w:highlight w:val="none"/>
        </w:rPr>
        <w:t>17、</w:t>
      </w:r>
      <w:r>
        <w:rPr>
          <w:rFonts w:hint="eastAsia" w:ascii="宋体" w:hAnsi="宋体" w:eastAsia="宋体" w:cs="宋体"/>
          <w:color w:val="auto"/>
          <w:sz w:val="28"/>
          <w:szCs w:val="28"/>
          <w:highlight w:val="none"/>
          <w:lang w:val="en-US" w:eastAsia="zh-CN"/>
        </w:rPr>
        <w:t>电子</w:t>
      </w:r>
      <w:r>
        <w:rPr>
          <w:rFonts w:hint="eastAsia" w:ascii="宋体" w:hAnsi="宋体" w:eastAsia="宋体" w:cs="宋体"/>
          <w:color w:val="auto"/>
          <w:sz w:val="28"/>
          <w:szCs w:val="28"/>
          <w:highlight w:val="none"/>
        </w:rPr>
        <w:t>投标文件</w:t>
      </w:r>
      <w:bookmarkEnd w:id="112"/>
      <w:bookmarkEnd w:id="113"/>
      <w:bookmarkEnd w:id="114"/>
      <w:bookmarkEnd w:id="115"/>
      <w:r>
        <w:rPr>
          <w:rFonts w:hint="eastAsia" w:ascii="宋体" w:hAnsi="宋体" w:eastAsia="宋体" w:cs="宋体"/>
          <w:color w:val="auto"/>
          <w:sz w:val="28"/>
          <w:szCs w:val="28"/>
          <w:highlight w:val="none"/>
        </w:rPr>
        <w:t>的递交</w:t>
      </w:r>
    </w:p>
    <w:p w14:paraId="28FA84C1">
      <w:pPr>
        <w:pStyle w:val="34"/>
        <w:keepNext/>
        <w:keepLines/>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17.1</w:t>
      </w:r>
      <w:bookmarkStart w:id="116" w:name="_Toc16938542"/>
      <w:bookmarkEnd w:id="116"/>
      <w:bookmarkStart w:id="117" w:name="_Toc20823298"/>
      <w:bookmarkEnd w:id="117"/>
      <w:bookmarkStart w:id="118" w:name="_Toc513029226"/>
      <w:r>
        <w:rPr>
          <w:rFonts w:hint="eastAsia" w:ascii="宋体" w:hAnsi="宋体" w:eastAsia="宋体" w:cs="宋体"/>
          <w:color w:val="auto"/>
          <w:highlight w:val="none"/>
        </w:rPr>
        <w:t>投标人应当按照《操作手册》规定，在投标截止时间前制作并上传电</w:t>
      </w:r>
    </w:p>
    <w:p w14:paraId="649B773B">
      <w:pPr>
        <w:pStyle w:val="34"/>
        <w:keepNext/>
        <w:keepLines/>
        <w:pageBreakBefore w:val="0"/>
        <w:widowControl w:val="0"/>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子投标文件。</w:t>
      </w:r>
    </w:p>
    <w:p w14:paraId="1399ABB7">
      <w:pPr>
        <w:pStyle w:val="34"/>
        <w:keepNext/>
        <w:keepLines/>
        <w:pageBreakBefore w:val="0"/>
        <w:widowControl w:val="0"/>
        <w:spacing w:beforeAutospacing="0" w:afterAutospacing="0" w:line="360" w:lineRule="auto"/>
        <w:ind w:firstLine="560"/>
        <w:jc w:val="both"/>
        <w:rPr>
          <w:rFonts w:ascii="宋体" w:hAnsi="宋体" w:eastAsia="宋体" w:cs="宋体"/>
          <w:color w:val="auto"/>
          <w:highlight w:val="none"/>
        </w:rPr>
      </w:pPr>
      <w:r>
        <w:rPr>
          <w:rFonts w:hint="eastAsia" w:ascii="宋体" w:hAnsi="宋体" w:eastAsia="宋体" w:cs="宋体"/>
          <w:color w:val="auto"/>
          <w:sz w:val="28"/>
          <w:szCs w:val="28"/>
          <w:highlight w:val="none"/>
        </w:rPr>
        <w:t>18、投标截止日期</w:t>
      </w:r>
    </w:p>
    <w:p w14:paraId="4ED58B3F">
      <w:pPr>
        <w:pStyle w:val="34"/>
        <w:pageBreakBefore w:val="0"/>
        <w:widowControl w:val="0"/>
        <w:spacing w:beforeAutospacing="0" w:afterAutospacing="0" w:line="360" w:lineRule="auto"/>
        <w:ind w:firstLine="480"/>
        <w:jc w:val="both"/>
        <w:rPr>
          <w:rFonts w:hint="eastAsia" w:ascii="宋体" w:hAnsi="宋体" w:eastAsia="宋体" w:cs="宋体"/>
          <w:iCs/>
          <w:color w:val="auto"/>
          <w:highlight w:val="none"/>
          <w:u w:val="single"/>
        </w:rPr>
      </w:pPr>
      <w:bookmarkStart w:id="119" w:name="_Toc20823299"/>
      <w:bookmarkStart w:id="120" w:name="_Toc16938543"/>
      <w:bookmarkStart w:id="121" w:name="_Toc513029227"/>
      <w:r>
        <w:rPr>
          <w:rFonts w:hint="eastAsia" w:ascii="宋体" w:hAnsi="宋体" w:eastAsia="宋体" w:cs="宋体"/>
          <w:i/>
          <w:iCs w:val="0"/>
          <w:color w:val="auto"/>
          <w:highlight w:val="none"/>
          <w:u w:val="single"/>
        </w:rPr>
        <w:t>18.1 投标人上传电子投标文件的时间不得迟于招标公告中规定的投标截止时间。</w:t>
      </w:r>
    </w:p>
    <w:p w14:paraId="520CFCDE">
      <w:pPr>
        <w:pStyle w:val="34"/>
        <w:pageBreakBefore w:val="0"/>
        <w:widowControl w:val="0"/>
        <w:spacing w:beforeAutospacing="0" w:afterAutospacing="0" w:line="360" w:lineRule="auto"/>
        <w:ind w:firstLine="480"/>
        <w:jc w:val="both"/>
        <w:rPr>
          <w:rFonts w:ascii="宋体" w:hAnsi="宋体" w:eastAsia="宋体" w:cs="宋体"/>
          <w:iCs/>
          <w:color w:val="auto"/>
          <w:highlight w:val="none"/>
        </w:rPr>
      </w:pPr>
      <w:r>
        <w:rPr>
          <w:rFonts w:hint="eastAsia" w:ascii="宋体" w:hAnsi="宋体" w:eastAsia="宋体" w:cs="宋体"/>
          <w:iCs/>
          <w:color w:val="auto"/>
          <w:highlight w:val="none"/>
          <w:u w:val="single"/>
        </w:rPr>
        <w:t>投标人应充分考虑到网络环境、网络带宽等风险因素，如因投标人自身原因造成的电子投标文件上传不成功的按照本招标文件第二章第27.1.2条规定做无效投标处理。</w:t>
      </w:r>
    </w:p>
    <w:p w14:paraId="421184DB">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18.2 采购人可以按照规定，通过修改招标文件酌情延长投标截止日期，在此情况下，投标人的所有权利和义务以及投标人受制的截止日期均应以延长后新的截止日期为准。</w:t>
      </w:r>
    </w:p>
    <w:p w14:paraId="737C73C2">
      <w:pPr>
        <w:pStyle w:val="34"/>
        <w:keepNext/>
        <w:keepLines/>
        <w:pageBreakBefore w:val="0"/>
        <w:widowControl w:val="0"/>
        <w:spacing w:beforeAutospacing="0" w:afterAutospacing="0" w:line="360" w:lineRule="auto"/>
        <w:ind w:firstLine="560"/>
        <w:jc w:val="both"/>
        <w:rPr>
          <w:rFonts w:ascii="宋体" w:hAnsi="宋体" w:eastAsia="宋体" w:cs="宋体"/>
          <w:color w:val="auto"/>
          <w:highlight w:val="none"/>
        </w:rPr>
      </w:pPr>
      <w:r>
        <w:rPr>
          <w:rFonts w:hint="eastAsia" w:ascii="宋体" w:hAnsi="宋体" w:eastAsia="宋体" w:cs="宋体"/>
          <w:color w:val="auto"/>
          <w:sz w:val="28"/>
          <w:szCs w:val="28"/>
          <w:highlight w:val="none"/>
        </w:rPr>
        <w:t>19、投标文件</w:t>
      </w:r>
      <w:bookmarkEnd w:id="119"/>
      <w:bookmarkEnd w:id="120"/>
      <w:bookmarkEnd w:id="121"/>
      <w:r>
        <w:rPr>
          <w:rFonts w:hint="eastAsia" w:ascii="宋体" w:hAnsi="宋体" w:eastAsia="宋体" w:cs="宋体"/>
          <w:color w:val="auto"/>
          <w:sz w:val="28"/>
          <w:szCs w:val="28"/>
          <w:highlight w:val="none"/>
        </w:rPr>
        <w:t>的拒收</w:t>
      </w:r>
    </w:p>
    <w:p w14:paraId="00C708B6">
      <w:pPr>
        <w:pStyle w:val="34"/>
        <w:pageBreakBefore w:val="0"/>
        <w:widowControl w:val="0"/>
        <w:spacing w:beforeAutospacing="0" w:afterAutospacing="0" w:line="360" w:lineRule="auto"/>
        <w:ind w:left="479" w:firstLine="64"/>
        <w:jc w:val="both"/>
        <w:rPr>
          <w:rFonts w:hint="eastAsia" w:ascii="宋体" w:hAnsi="宋体" w:eastAsia="宋体" w:cs="宋体"/>
          <w:color w:val="auto"/>
          <w:sz w:val="28"/>
          <w:szCs w:val="28"/>
          <w:highlight w:val="none"/>
        </w:rPr>
      </w:pPr>
      <w:r>
        <w:rPr>
          <w:rFonts w:hint="eastAsia" w:ascii="宋体" w:hAnsi="宋体" w:eastAsia="宋体" w:cs="宋体"/>
          <w:color w:val="auto"/>
          <w:highlight w:val="none"/>
        </w:rPr>
        <w:t>19.1 采购人拒绝接收在其规定的投标截止时间后递交的任何投标文件。</w:t>
      </w:r>
      <w:bookmarkStart w:id="122" w:name="_Toc513029228"/>
      <w:bookmarkStart w:id="123" w:name="_Toc16938544"/>
      <w:bookmarkStart w:id="124" w:name="_Toc20823300"/>
      <w:r>
        <w:rPr>
          <w:rFonts w:hint="eastAsia" w:ascii="宋体" w:hAnsi="宋体" w:eastAsia="宋体" w:cs="宋体"/>
          <w:color w:val="auto"/>
          <w:sz w:val="28"/>
          <w:szCs w:val="28"/>
          <w:highlight w:val="none"/>
        </w:rPr>
        <w:t>20、投标文件的撤回和修改</w:t>
      </w:r>
      <w:bookmarkEnd w:id="122"/>
      <w:bookmarkEnd w:id="123"/>
      <w:bookmarkEnd w:id="124"/>
      <w:bookmarkStart w:id="125" w:name="_Toc20823301"/>
      <w:bookmarkStart w:id="126" w:name="_Toc120614218"/>
      <w:bookmarkStart w:id="127" w:name="_Toc513029229"/>
      <w:bookmarkStart w:id="128" w:name="_Toc16938545"/>
    </w:p>
    <w:p w14:paraId="08107D01">
      <w:pPr>
        <w:pStyle w:val="34"/>
        <w:pageBreakBefore w:val="0"/>
        <w:widowControl w:val="0"/>
        <w:spacing w:beforeAutospacing="0" w:afterAutospacing="0" w:line="360" w:lineRule="auto"/>
        <w:ind w:left="479" w:firstLine="64"/>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.1 投标文件的撤回</w:t>
      </w:r>
    </w:p>
    <w:p w14:paraId="65F5FB47">
      <w:pPr>
        <w:pStyle w:val="34"/>
        <w:pageBreakBefore w:val="0"/>
        <w:widowControl w:val="0"/>
        <w:spacing w:beforeAutospacing="0" w:afterAutospacing="0" w:line="360" w:lineRule="auto"/>
        <w:ind w:left="479" w:firstLine="64"/>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.1.1 电子投标文件的撤回</w:t>
      </w:r>
    </w:p>
    <w:p w14:paraId="1617D1E9">
      <w:pPr>
        <w:pStyle w:val="34"/>
        <w:pageBreakBefore w:val="0"/>
        <w:widowControl w:val="0"/>
        <w:spacing w:beforeAutospacing="0" w:afterAutospacing="0" w:line="360" w:lineRule="auto"/>
        <w:ind w:left="479" w:firstLine="64"/>
        <w:jc w:val="both"/>
        <w:rPr>
          <w:rFonts w:hint="eastAsia" w:ascii="宋体" w:hAnsi="宋体" w:eastAsia="宋体" w:cs="宋体"/>
          <w:color w:val="auto"/>
          <w:highlight w:val="none"/>
        </w:rPr>
      </w:pPr>
      <w:r>
        <w:rPr>
          <w:rFonts w:hint="eastAsia" w:ascii="宋体" w:hAnsi="宋体" w:eastAsia="宋体" w:cs="宋体"/>
          <w:color w:val="auto"/>
          <w:highlight w:val="none"/>
        </w:rPr>
        <w:t>投标人可在投标截止时间前，撤回其电子投标文件，具体操作方法见《操</w:t>
      </w:r>
    </w:p>
    <w:p w14:paraId="7D205E45">
      <w:pPr>
        <w:pStyle w:val="34"/>
        <w:pageBreakBefore w:val="0"/>
        <w:widowControl w:val="0"/>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作手册》。</w:t>
      </w:r>
    </w:p>
    <w:p w14:paraId="2D563B9A">
      <w:pPr>
        <w:pStyle w:val="34"/>
        <w:pageBreakBefore w:val="0"/>
        <w:widowControl w:val="0"/>
        <w:spacing w:beforeAutospacing="0" w:afterAutospacing="0" w:line="360" w:lineRule="auto"/>
        <w:ind w:left="479" w:firstLine="64"/>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.1.2 投标人撤回电子投标文件，则认为其不再参与本项目投标活动。2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.2 投标文件的修改</w:t>
      </w:r>
    </w:p>
    <w:p w14:paraId="1DC11455">
      <w:pPr>
        <w:pStyle w:val="34"/>
        <w:pageBreakBefore w:val="0"/>
        <w:widowControl w:val="0"/>
        <w:spacing w:beforeAutospacing="0" w:afterAutospacing="0" w:line="360" w:lineRule="auto"/>
        <w:ind w:left="479" w:firstLine="64"/>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.2.1投标人可在投标截止时间前，对其电子投标文件进行修改，具体操</w:t>
      </w:r>
    </w:p>
    <w:p w14:paraId="324C7ADC">
      <w:pPr>
        <w:pStyle w:val="34"/>
        <w:pageBreakBefore w:val="0"/>
        <w:widowControl w:val="0"/>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作方法见《操作手册》。</w:t>
      </w:r>
    </w:p>
    <w:p w14:paraId="51D35B24">
      <w:pPr>
        <w:pStyle w:val="34"/>
        <w:keepNext w:val="0"/>
        <w:keepLines w:val="0"/>
        <w:pageBreakBefore w:val="0"/>
        <w:widowControl w:val="0"/>
        <w:spacing w:beforeAutospacing="0" w:afterAutospacing="0" w:line="360" w:lineRule="auto"/>
        <w:ind w:left="479" w:firstLine="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.2.2 在投标截止时间之后，投标人不得对其电子投标文件作任何修改。2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.3 在投标截止时间至招标文件中规定的投标有效期满之间的这段时间内，</w:t>
      </w:r>
    </w:p>
    <w:p w14:paraId="33E8B088">
      <w:pPr>
        <w:pStyle w:val="34"/>
        <w:keepNext w:val="0"/>
        <w:keepLines w:val="0"/>
        <w:pageBreakBefore w:val="0"/>
        <w:widowControl w:val="0"/>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投标人不得撤回其投标。</w:t>
      </w:r>
    </w:p>
    <w:p w14:paraId="0615E1D3">
      <w:pPr>
        <w:pStyle w:val="34"/>
        <w:keepNext w:val="0"/>
        <w:keepLines w:val="0"/>
        <w:pageBreakBefore w:val="0"/>
        <w:widowControl w:val="0"/>
        <w:spacing w:beforeAutospacing="0" w:afterAutospacing="0" w:line="360" w:lineRule="auto"/>
        <w:ind w:firstLine="643"/>
        <w:jc w:val="both"/>
        <w:rPr>
          <w:rFonts w:ascii="宋体" w:hAnsi="宋体" w:eastAsia="宋体" w:cs="宋体"/>
          <w:color w:val="auto"/>
          <w:highlight w:val="none"/>
        </w:rPr>
      </w:pPr>
      <w:r>
        <w:rPr>
          <w:rFonts w:hint="eastAsia" w:ascii="宋体" w:hAnsi="宋体" w:eastAsia="宋体" w:cs="宋体"/>
          <w:b/>
          <w:color w:val="auto"/>
          <w:sz w:val="32"/>
          <w:szCs w:val="32"/>
          <w:highlight w:val="none"/>
        </w:rPr>
        <w:t>五、开标与评标</w:t>
      </w:r>
      <w:bookmarkEnd w:id="125"/>
      <w:bookmarkEnd w:id="126"/>
      <w:bookmarkEnd w:id="127"/>
      <w:bookmarkEnd w:id="128"/>
    </w:p>
    <w:p w14:paraId="3E6E6ED9">
      <w:pPr>
        <w:pStyle w:val="34"/>
        <w:keepNext/>
        <w:keepLines/>
        <w:pageBreakBefore w:val="0"/>
        <w:widowControl w:val="0"/>
        <w:spacing w:beforeAutospacing="0" w:afterAutospacing="0" w:line="360" w:lineRule="auto"/>
        <w:ind w:firstLine="560"/>
        <w:jc w:val="both"/>
        <w:rPr>
          <w:rFonts w:ascii="宋体" w:hAnsi="宋体" w:eastAsia="宋体" w:cs="宋体"/>
          <w:color w:val="auto"/>
          <w:highlight w:val="none"/>
        </w:rPr>
      </w:pPr>
      <w:bookmarkStart w:id="129" w:name="_Toc513029230"/>
      <w:bookmarkStart w:id="130" w:name="_Toc20823302"/>
      <w:bookmarkStart w:id="131" w:name="_Toc16938546"/>
      <w:r>
        <w:rPr>
          <w:rFonts w:hint="eastAsia" w:ascii="宋体" w:hAnsi="宋体" w:eastAsia="宋体" w:cs="宋体"/>
          <w:color w:val="auto"/>
          <w:sz w:val="28"/>
          <w:szCs w:val="28"/>
          <w:highlight w:val="none"/>
        </w:rPr>
        <w:t>21、开标</w:t>
      </w:r>
      <w:bookmarkEnd w:id="129"/>
      <w:bookmarkEnd w:id="130"/>
      <w:bookmarkEnd w:id="131"/>
    </w:p>
    <w:p w14:paraId="2597507D">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bookmarkStart w:id="132" w:name="_Toc16938547"/>
      <w:bookmarkStart w:id="133" w:name="_Toc513029231"/>
      <w:bookmarkStart w:id="134" w:name="_Toc20823303"/>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.1 采购</w:t>
      </w:r>
      <w:r>
        <w:rPr>
          <w:rFonts w:hint="eastAsia" w:ascii="宋体" w:hAnsi="宋体" w:eastAsia="宋体" w:cs="宋体"/>
          <w:color w:val="auto"/>
          <w:highlight w:val="none"/>
          <w:lang w:val="en-US" w:eastAsia="zh-CN"/>
        </w:rPr>
        <w:t>代理机构</w:t>
      </w:r>
      <w:r>
        <w:rPr>
          <w:rFonts w:hint="eastAsia" w:ascii="宋体" w:hAnsi="宋体" w:eastAsia="宋体" w:cs="宋体"/>
          <w:color w:val="auto"/>
          <w:highlight w:val="none"/>
        </w:rPr>
        <w:t>将在招标公告中规定的时间和地点组织公开开标。投标人应当按照《操作手册》规定，参加开标活动和在苏采云系统规定的时间内对投标文件进行解密。</w:t>
      </w:r>
    </w:p>
    <w:p w14:paraId="30B9D5E5">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.2开标仪式由采购</w:t>
      </w:r>
      <w:r>
        <w:rPr>
          <w:rFonts w:hint="eastAsia" w:ascii="宋体" w:hAnsi="宋体" w:eastAsia="宋体" w:cs="宋体"/>
          <w:color w:val="auto"/>
          <w:highlight w:val="none"/>
          <w:lang w:val="en-US" w:eastAsia="zh-CN"/>
        </w:rPr>
        <w:t>代理机构</w:t>
      </w:r>
      <w:r>
        <w:rPr>
          <w:rFonts w:hint="eastAsia" w:ascii="宋体" w:hAnsi="宋体" w:eastAsia="宋体" w:cs="宋体"/>
          <w:color w:val="auto"/>
          <w:highlight w:val="none"/>
        </w:rPr>
        <w:t>组织。苏采云系统将自动对项目进行开标，并宣布各投标人名称和投标价格。</w:t>
      </w:r>
    </w:p>
    <w:p w14:paraId="2B736254">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.3投标人在开标过程中涉及到的投标文件解密、开标结果确认等工作，应按照《操作手册》规定执行。</w:t>
      </w:r>
    </w:p>
    <w:p w14:paraId="6091019B">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.4投标人如果对开标过程和开标记录有疑义，应当根据《操作手册》规定提出，如 苏采云系统中《开标记录表》宣布后5分钟内未提出的，视同认可开标结果。</w:t>
      </w:r>
    </w:p>
    <w:p w14:paraId="5EB9321A">
      <w:pPr>
        <w:pStyle w:val="34"/>
        <w:keepNext/>
        <w:keepLines/>
        <w:pageBreakBefore w:val="0"/>
        <w:widowControl w:val="0"/>
        <w:spacing w:beforeAutospacing="0" w:afterAutospacing="0" w:line="360" w:lineRule="auto"/>
        <w:ind w:firstLine="560"/>
        <w:jc w:val="both"/>
        <w:rPr>
          <w:rFonts w:ascii="宋体" w:hAnsi="宋体" w:eastAsia="宋体" w:cs="宋体"/>
          <w:color w:val="auto"/>
          <w:highlight w:val="none"/>
        </w:rPr>
      </w:pPr>
      <w:r>
        <w:rPr>
          <w:rFonts w:hint="eastAsia" w:ascii="宋体" w:hAnsi="宋体" w:eastAsia="宋体" w:cs="宋体"/>
          <w:color w:val="auto"/>
          <w:sz w:val="28"/>
          <w:szCs w:val="28"/>
          <w:highlight w:val="none"/>
        </w:rPr>
        <w:t>22、评标委员会</w:t>
      </w:r>
      <w:bookmarkEnd w:id="132"/>
      <w:bookmarkEnd w:id="133"/>
      <w:bookmarkEnd w:id="134"/>
    </w:p>
    <w:p w14:paraId="14D9A4E6">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22.1</w:t>
      </w:r>
      <w:r>
        <w:rPr>
          <w:rFonts w:hint="eastAsia" w:ascii="宋体" w:hAnsi="宋体" w:eastAsia="宋体" w:cs="宋体"/>
          <w:b/>
          <w:color w:val="auto"/>
          <w:highlight w:val="none"/>
        </w:rPr>
        <w:t> </w:t>
      </w:r>
      <w:r>
        <w:rPr>
          <w:rFonts w:hint="eastAsia" w:ascii="宋体" w:hAnsi="宋体" w:eastAsia="宋体" w:cs="宋体"/>
          <w:color w:val="auto"/>
          <w:highlight w:val="none"/>
        </w:rPr>
        <w:t>开标后，代理机构将立即组织评标委员会（以下简称评委会）进行评标。</w:t>
      </w:r>
    </w:p>
    <w:p w14:paraId="23BA506C">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22.2 评委会由采购人代表和有关技术、经济等方面的专家组成，且人员构成符合政府采购有关规定。</w:t>
      </w:r>
    </w:p>
    <w:p w14:paraId="177F8FC5">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22.3评委会独立工作，负责评审所有投标文件并确定中标</w:t>
      </w:r>
      <w:r>
        <w:rPr>
          <w:rFonts w:hint="eastAsia" w:ascii="宋体" w:hAnsi="宋体" w:eastAsia="宋体" w:cs="宋体"/>
          <w:color w:val="auto"/>
          <w:highlight w:val="none"/>
          <w:lang w:eastAsia="zh-CN"/>
        </w:rPr>
        <w:t>候选人</w:t>
      </w:r>
      <w:r>
        <w:rPr>
          <w:rFonts w:hint="eastAsia" w:ascii="宋体" w:hAnsi="宋体" w:eastAsia="宋体" w:cs="宋体"/>
          <w:color w:val="auto"/>
          <w:highlight w:val="none"/>
        </w:rPr>
        <w:t>。</w:t>
      </w:r>
    </w:p>
    <w:p w14:paraId="25A482F7">
      <w:pPr>
        <w:pStyle w:val="34"/>
        <w:keepNext/>
        <w:keepLines/>
        <w:pageBreakBefore w:val="0"/>
        <w:widowControl w:val="0"/>
        <w:spacing w:beforeAutospacing="0" w:afterAutospacing="0" w:line="360" w:lineRule="auto"/>
        <w:ind w:firstLine="560"/>
        <w:jc w:val="both"/>
        <w:rPr>
          <w:rFonts w:ascii="宋体" w:hAnsi="宋体" w:eastAsia="宋体" w:cs="宋体"/>
          <w:color w:val="auto"/>
          <w:highlight w:val="none"/>
        </w:rPr>
      </w:pPr>
      <w:r>
        <w:rPr>
          <w:rFonts w:hint="eastAsia" w:ascii="宋体" w:hAnsi="宋体" w:eastAsia="宋体" w:cs="宋体"/>
          <w:color w:val="auto"/>
          <w:sz w:val="28"/>
          <w:szCs w:val="28"/>
          <w:highlight w:val="none"/>
        </w:rPr>
        <w:t>23．评标过程的保密与公正</w:t>
      </w:r>
    </w:p>
    <w:p w14:paraId="4F511C52">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23.1凡是与审查、澄清、评价和比较投标的有关资料以及授标建议等，采购人、评委、代理机构均不得向投标人或与评标无关的其他人员透露。</w:t>
      </w:r>
    </w:p>
    <w:p w14:paraId="5FA5C4CF">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23.2在评标过程中，投标人不得以任何行为影响评标过程，否则其投标文件将被作为无效投标文件。</w:t>
      </w:r>
    </w:p>
    <w:p w14:paraId="7709283C">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23.3 采购人、代理机构和评标委员会不向未中标的投标人解释未中标原因，也不公布评标过程中的相关细节。</w:t>
      </w:r>
    </w:p>
    <w:p w14:paraId="3358E6D0">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23.4 采用综合评分法的项目，未中标的投标人可于中标结果公告期限届满之日起通过苏采云系统查看自己的评审得分及排序情况。</w:t>
      </w:r>
    </w:p>
    <w:p w14:paraId="049E9C95">
      <w:pPr>
        <w:pStyle w:val="34"/>
        <w:keepNext/>
        <w:keepLines/>
        <w:pageBreakBefore w:val="0"/>
        <w:widowControl w:val="0"/>
        <w:spacing w:beforeAutospacing="0" w:afterAutospacing="0" w:line="360" w:lineRule="auto"/>
        <w:ind w:firstLine="560"/>
        <w:jc w:val="both"/>
        <w:rPr>
          <w:rFonts w:ascii="宋体" w:hAnsi="宋体" w:eastAsia="宋体" w:cs="宋体"/>
          <w:color w:val="auto"/>
          <w:highlight w:val="none"/>
        </w:rPr>
      </w:pPr>
      <w:bookmarkStart w:id="135" w:name="_Toc513029232"/>
      <w:bookmarkStart w:id="136" w:name="_Toc16938548"/>
      <w:bookmarkStart w:id="137" w:name="_Toc20823304"/>
      <w:r>
        <w:rPr>
          <w:rFonts w:hint="eastAsia" w:ascii="宋体" w:hAnsi="宋体" w:eastAsia="宋体" w:cs="宋体"/>
          <w:color w:val="auto"/>
          <w:sz w:val="28"/>
          <w:szCs w:val="28"/>
          <w:highlight w:val="none"/>
        </w:rPr>
        <w:t>24．投标文件的澄清</w:t>
      </w:r>
      <w:bookmarkEnd w:id="135"/>
      <w:bookmarkEnd w:id="136"/>
      <w:bookmarkEnd w:id="137"/>
    </w:p>
    <w:p w14:paraId="6DC3777D">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.1评标期间，评委会对投标文件中含义不明确、同类问题表述不一致或者有明显文字和计算错误的内容，有权要求投标人作出必要的澄清、说明或者补正。</w:t>
      </w:r>
    </w:p>
    <w:p w14:paraId="7A547F7A">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投标人的澄清、说明或者补正不得超出投标文件的范围或者改变投标文件的实质性内容。评标委员会并非对每个投标人都做澄清要求。</w:t>
      </w:r>
    </w:p>
    <w:p w14:paraId="2ED9D45D">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1DB6AEA">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.3 接到评委会澄清、说明和补正要求的投标人如未按规定做出澄清、说明和补正，其风险由投标人自行承担。</w:t>
      </w:r>
    </w:p>
    <w:p w14:paraId="6B927569">
      <w:pPr>
        <w:pStyle w:val="34"/>
        <w:keepNext/>
        <w:keepLines/>
        <w:pageBreakBefore w:val="0"/>
        <w:widowControl w:val="0"/>
        <w:spacing w:beforeAutospacing="0" w:afterAutospacing="0" w:line="360" w:lineRule="auto"/>
        <w:ind w:firstLine="560"/>
        <w:jc w:val="both"/>
        <w:rPr>
          <w:rFonts w:ascii="宋体" w:hAnsi="宋体" w:eastAsia="宋体" w:cs="宋体"/>
          <w:color w:val="auto"/>
          <w:highlight w:val="none"/>
        </w:rPr>
      </w:pPr>
      <w:r>
        <w:rPr>
          <w:rFonts w:hint="eastAsia" w:ascii="宋体" w:hAnsi="宋体" w:eastAsia="宋体" w:cs="宋体"/>
          <w:color w:val="auto"/>
          <w:sz w:val="28"/>
          <w:szCs w:val="28"/>
          <w:highlight w:val="none"/>
        </w:rPr>
        <w:t>25、对投标文件的初审</w:t>
      </w:r>
    </w:p>
    <w:p w14:paraId="0AB84570">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25.1投标文件初审分为资格审查和符合性审查。</w:t>
      </w:r>
    </w:p>
    <w:p w14:paraId="27A37DB9">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25.1.1 资格审查：依据法律法规和招标文件的规定，由采购人对投标文件中的资格证明文件进行审查。资格审查的结论，采购人以书面形式向评委会进行反馈。</w:t>
      </w:r>
    </w:p>
    <w:p w14:paraId="36A9EC9E">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采购人在进行资格性审查的同时，将在“信用中国”网站（www.creditchina.gov.cn）查询投标人的信用记录，以确定投标人是否具备投标资格</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查询结果留存并归档。</w:t>
      </w:r>
    </w:p>
    <w:p w14:paraId="24490C11">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25.1.2 符合性审查：依据招标文件的规定，由评委会从投标文件的有效性、完整性和对招标文件的响应程度进行审查，以确定是否对招标文件的实质性要求作出响应。</w:t>
      </w:r>
    </w:p>
    <w:p w14:paraId="3730138B">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25.1.3 未通过资格审查或符合性审查的投标人，采购人和代理机构将告知未通过资格审查或符合性审查的原因，评审结束后，采购人将不再告知未通过资格审查或符合性审查的原因。</w:t>
      </w:r>
    </w:p>
    <w:p w14:paraId="28E2CB21">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34D555FF">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3069564">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25.3如果投标文件实质上没有响应招标文件的要求，评委会将予以拒绝，投标人不得通过修改或撤销不合要求的偏离或保留而使其投标成为实质性响应的投标。</w:t>
      </w:r>
    </w:p>
    <w:p w14:paraId="126C764A">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25.4评委会将对确定为实质性响应的投标进行进一步审核，看其是否有计算上或累加上的算术错误，修正错误的原则如下：</w:t>
      </w:r>
    </w:p>
    <w:p w14:paraId="0094CB75">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（1）投标文件中开标一览表内容与投标文件中相应内容不一致的，以开标一览表为准。</w:t>
      </w:r>
    </w:p>
    <w:p w14:paraId="24855500">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（2）大写金额和小写金额不一致的，以大写金额为准。</w:t>
      </w:r>
    </w:p>
    <w:p w14:paraId="72C09313">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（3）单价金额小数点或者百分比有明显错位的，以开标一览表的总价为准，并修改单价。</w:t>
      </w:r>
    </w:p>
    <w:p w14:paraId="1460794F">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（4）总价金额与按单价汇总金额不一致的，以单价金额计算结果为准。</w:t>
      </w:r>
    </w:p>
    <w:p w14:paraId="13742B4F">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同时出现两种以上错误的，按照前款规定的顺序修正。</w:t>
      </w:r>
    </w:p>
    <w:p w14:paraId="53DA6993">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25.5评委会将按上述修正错误的方法调整投标文件中的投标报价，并告知投标人，调整后的价格应对投标人具有约束力。如果投标人不接受修正后的价格，则其投标将被拒绝。</w:t>
      </w:r>
    </w:p>
    <w:p w14:paraId="76DB816D">
      <w:pPr>
        <w:pStyle w:val="34"/>
        <w:pageBreakBefore w:val="0"/>
        <w:widowControl w:val="0"/>
        <w:spacing w:beforeAutospacing="0" w:afterAutospacing="0" w:line="360" w:lineRule="auto"/>
        <w:ind w:firstLine="480"/>
        <w:jc w:val="both"/>
        <w:rPr>
          <w:rFonts w:ascii="宋体" w:hAnsi="宋体" w:eastAsia="宋体" w:cs="宋体"/>
          <w:color w:val="auto"/>
          <w:highlight w:val="none"/>
        </w:rPr>
      </w:pPr>
      <w:bookmarkStart w:id="138" w:name="_Toc20823306"/>
      <w:bookmarkStart w:id="139" w:name="_Toc513029234"/>
      <w:bookmarkStart w:id="140" w:name="_Toc16938550"/>
      <w:r>
        <w:rPr>
          <w:rFonts w:hint="eastAsia" w:ascii="宋体" w:hAnsi="宋体" w:eastAsia="宋体" w:cs="宋体"/>
          <w:color w:val="auto"/>
          <w:highlight w:val="none"/>
        </w:rPr>
        <w:t>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8"/>
      <w:bookmarkEnd w:id="139"/>
      <w:bookmarkEnd w:id="140"/>
    </w:p>
    <w:p w14:paraId="28BAF470">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14697205">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非单一产品采购项目，招标文件中将载明其中的核心产品。多家投标人提供的核心产品品牌相同的，按前两款规定处理。</w:t>
      </w:r>
    </w:p>
    <w:p w14:paraId="3D61B7DB">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25.7投标人在开、评标全过程中应保持通讯畅通，及时登录苏采云系统查阅、答复相关信息，并安排专人与采购</w:t>
      </w:r>
      <w:r>
        <w:rPr>
          <w:rFonts w:hint="eastAsia" w:ascii="宋体" w:hAnsi="宋体" w:eastAsia="宋体" w:cs="宋体"/>
          <w:color w:val="auto"/>
          <w:highlight w:val="none"/>
          <w:lang w:val="en-US" w:eastAsia="zh-CN"/>
        </w:rPr>
        <w:t>代理机构</w:t>
      </w:r>
      <w:r>
        <w:rPr>
          <w:rFonts w:hint="eastAsia" w:ascii="宋体" w:hAnsi="宋体" w:eastAsia="宋体" w:cs="宋体"/>
          <w:color w:val="auto"/>
          <w:highlight w:val="none"/>
        </w:rPr>
        <w:t>及评标委员会联系。</w:t>
      </w:r>
    </w:p>
    <w:p w14:paraId="49123819">
      <w:pPr>
        <w:pStyle w:val="34"/>
        <w:keepNext/>
        <w:keepLines/>
        <w:pageBreakBefore w:val="0"/>
        <w:widowControl w:val="0"/>
        <w:spacing w:beforeAutospacing="0" w:afterAutospacing="0" w:line="360" w:lineRule="auto"/>
        <w:ind w:firstLine="560"/>
        <w:jc w:val="both"/>
        <w:rPr>
          <w:rFonts w:ascii="宋体" w:hAnsi="宋体" w:eastAsia="宋体" w:cs="宋体"/>
          <w:color w:val="auto"/>
          <w:highlight w:val="none"/>
        </w:rPr>
      </w:pPr>
      <w:r>
        <w:rPr>
          <w:rFonts w:hint="eastAsia" w:ascii="宋体" w:hAnsi="宋体" w:eastAsia="宋体" w:cs="宋体"/>
          <w:color w:val="auto"/>
          <w:sz w:val="28"/>
          <w:szCs w:val="28"/>
          <w:highlight w:val="none"/>
        </w:rPr>
        <w:t>26、无效投标条款和废标条款</w:t>
      </w:r>
    </w:p>
    <w:p w14:paraId="27B32380">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bookmarkStart w:id="141" w:name="_Toc120614219"/>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.1无效投标条款</w:t>
      </w:r>
    </w:p>
    <w:p w14:paraId="3EEB00CD">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.1.1 投标人在苏采云系统规定的时间内未成功解密电子投标文件的。</w:t>
      </w:r>
    </w:p>
    <w:p w14:paraId="4FB8EA78">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.1.2 投标人未按照招标文件要求上传电子投标文件的。</w:t>
      </w:r>
    </w:p>
    <w:p w14:paraId="54498642">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.1.3同一投标人提交两个（含两个）以上不同的投标报价的。</w:t>
      </w:r>
    </w:p>
    <w:p w14:paraId="646C4598">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.1.4投标人不具备招标文件中规定资格要求的。</w:t>
      </w:r>
    </w:p>
    <w:p w14:paraId="170E12B5">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.1.5投标人的报价超过了采购预算或最高限价的。</w:t>
      </w:r>
    </w:p>
    <w:p w14:paraId="5F98E664">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.1.6未通过符合性审查的。</w:t>
      </w:r>
    </w:p>
    <w:p w14:paraId="59EB5BA0">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.1.7不符合招标文件中规定的实质性要求和条件的（本招标文件中斜体且有下划线部分为实质性要求和条件）。</w:t>
      </w:r>
    </w:p>
    <w:p w14:paraId="59E044DD">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4EEB43A">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.1.9  投标文件含有采购人不能接受的附加条件的。</w:t>
      </w:r>
    </w:p>
    <w:p w14:paraId="04CD942B">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.1.10投标人不能证明其报价合理性的，评</w:t>
      </w:r>
      <w:r>
        <w:rPr>
          <w:rFonts w:hint="eastAsia" w:ascii="宋体" w:hAnsi="宋体" w:eastAsia="宋体" w:cs="宋体"/>
          <w:color w:val="auto"/>
          <w:highlight w:val="none"/>
          <w:lang w:val="en-US" w:eastAsia="zh-CN"/>
        </w:rPr>
        <w:t>标</w:t>
      </w:r>
      <w:r>
        <w:rPr>
          <w:rFonts w:hint="eastAsia" w:ascii="宋体" w:hAnsi="宋体" w:eastAsia="宋体" w:cs="宋体"/>
          <w:color w:val="auto"/>
          <w:highlight w:val="none"/>
        </w:rPr>
        <w:t>委员会应当将其作为无效投标处理。</w:t>
      </w:r>
    </w:p>
    <w:p w14:paraId="53EB4269">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（一）评审过程中出现下列情形之一的，评标委员会应当启动异常低价投标审查程序：</w:t>
      </w:r>
    </w:p>
    <w:p w14:paraId="49D312CC">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1.投标报价低于采购项目预算50%的，即投标报价&lt;采购项目预算×50%；</w:t>
      </w:r>
    </w:p>
    <w:p w14:paraId="55531671">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2.投标报价低于采购项目最高限价45%的，即投标报价&lt;采购项目最高限价×45%；</w:t>
      </w:r>
    </w:p>
    <w:p w14:paraId="4CDAD1A2">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3.评标委员会认定的供应商报价过低、有可能影响产品质量或者不能诚信履约的其他情形。</w:t>
      </w:r>
    </w:p>
    <w:p w14:paraId="1253FF22">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（一）评审过程中出现下列情形之一的，评标委员会应当启动异常低价投标审查程序：</w:t>
      </w:r>
    </w:p>
    <w:p w14:paraId="28243D91">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1.投标（响应）报价低于全部通过符合性审查供应商投标（响应）报价平均值50%的，即投标（响应）报价&lt;全部通过符合性审查供应商投标（响应）报价平均值×50%；</w:t>
      </w:r>
    </w:p>
    <w:p w14:paraId="12F9FD52">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2.投标（响应）报价低于通过符合性审查的次低报价供应商投标（响应）报价50%的，即投标（响应）报价&lt;通过符合性审查的次低报价供应商投标（响应）报价×50%；</w:t>
      </w:r>
    </w:p>
    <w:p w14:paraId="219142D4">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3.投标（响应）报价低于采购项目最高限价45%的，即投标（响应）报价&lt;采购项目最高限价×45%；</w:t>
      </w:r>
    </w:p>
    <w:p w14:paraId="24957F6E">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4.评审委员会基于专业判断，认为供应商报价过低，有可能影响产品质量或者不能诚信履约的其他情形。</w:t>
      </w:r>
    </w:p>
    <w:p w14:paraId="02C4FCD0">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相关法律法规对供应商报价有规定的，从其规定。</w:t>
      </w:r>
    </w:p>
    <w:p w14:paraId="01BDDD4A">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EE0D391">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658ACEF">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4A44147">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7B73F217">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3C9AC1A7">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.1.12 投标文件未按照招标文件要求加盖CA电子公章的。</w:t>
      </w:r>
    </w:p>
    <w:p w14:paraId="6F70B618">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.1.13其他法律、法规及本招标文件规定的属无效投标的情形。</w:t>
      </w:r>
    </w:p>
    <w:p w14:paraId="7C41D142">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.2废标条款</w:t>
      </w:r>
    </w:p>
    <w:p w14:paraId="207E7CB0">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.2.1符合专业条件的供应商或者对招标文件作实质响应的供应商不足三家的。</w:t>
      </w:r>
    </w:p>
    <w:p w14:paraId="08D4E2F8">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.2.2出现影响采购公正的违法、违规行为的。</w:t>
      </w:r>
    </w:p>
    <w:p w14:paraId="52D551F0">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.2.3因重大变故，采购任务取消的。</w:t>
      </w:r>
    </w:p>
    <w:p w14:paraId="13696974">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.2.4评标委员会认定招标文件存在歧义、重大缺陷导致评审工作无法进行。</w:t>
      </w:r>
    </w:p>
    <w:p w14:paraId="098807CA">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.2.5 因苏采云系统系统故障原因造成开标不成功的。</w:t>
      </w:r>
    </w:p>
    <w:p w14:paraId="248D3C49">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.3 投标截止时间结束后参加投标的供应商不足三家的处理：</w:t>
      </w:r>
    </w:p>
    <w:p w14:paraId="2EE3A77C">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.3.1如出现投标截止时间结束后参加投标的供应商或者在评标期间对招标文件做出实质响应的供应商不足三家情况，按政府采购相关规定执行。</w:t>
      </w:r>
    </w:p>
    <w:p w14:paraId="4BE7CA71">
      <w:pPr>
        <w:pStyle w:val="34"/>
        <w:keepNext/>
        <w:keepLines/>
        <w:pageBreakBefore w:val="0"/>
        <w:widowControl w:val="0"/>
        <w:spacing w:beforeAutospacing="0" w:afterAutospacing="0" w:line="360" w:lineRule="auto"/>
        <w:ind w:firstLine="643"/>
        <w:jc w:val="both"/>
        <w:rPr>
          <w:rFonts w:ascii="宋体" w:hAnsi="宋体" w:eastAsia="宋体" w:cs="宋体"/>
          <w:color w:val="auto"/>
          <w:highlight w:val="none"/>
        </w:rPr>
      </w:pPr>
      <w:r>
        <w:rPr>
          <w:rFonts w:hint="eastAsia" w:ascii="宋体" w:hAnsi="宋体" w:eastAsia="宋体" w:cs="宋体"/>
          <w:b/>
          <w:color w:val="auto"/>
          <w:sz w:val="32"/>
          <w:szCs w:val="32"/>
          <w:highlight w:val="none"/>
        </w:rPr>
        <w:t>六、定标</w:t>
      </w:r>
      <w:bookmarkEnd w:id="141"/>
    </w:p>
    <w:p w14:paraId="6DEDF74F">
      <w:pPr>
        <w:pStyle w:val="34"/>
        <w:keepNext/>
        <w:keepLines/>
        <w:pageBreakBefore w:val="0"/>
        <w:widowControl w:val="0"/>
        <w:spacing w:beforeAutospacing="0" w:afterAutospacing="0" w:line="360" w:lineRule="auto"/>
        <w:ind w:firstLine="600"/>
        <w:jc w:val="both"/>
        <w:rPr>
          <w:rFonts w:ascii="宋体" w:hAnsi="宋体" w:eastAsia="宋体" w:cs="宋体"/>
          <w:color w:val="auto"/>
          <w:highlight w:val="none"/>
        </w:rPr>
      </w:pPr>
      <w:bookmarkStart w:id="142" w:name="_Toc20823310"/>
      <w:bookmarkStart w:id="143" w:name="_Toc16938554"/>
      <w:bookmarkStart w:id="144" w:name="_Toc513029238"/>
      <w:r>
        <w:rPr>
          <w:rFonts w:hint="eastAsia" w:ascii="宋体" w:hAnsi="宋体" w:eastAsia="宋体" w:cs="宋体"/>
          <w:color w:val="auto"/>
          <w:sz w:val="30"/>
          <w:szCs w:val="30"/>
          <w:highlight w:val="none"/>
        </w:rPr>
        <w:t>27、</w:t>
      </w:r>
      <w:bookmarkEnd w:id="142"/>
      <w:r>
        <w:rPr>
          <w:rFonts w:hint="eastAsia" w:ascii="宋体" w:hAnsi="宋体" w:eastAsia="宋体" w:cs="宋体"/>
          <w:color w:val="auto"/>
          <w:sz w:val="30"/>
          <w:szCs w:val="30"/>
          <w:highlight w:val="none"/>
        </w:rPr>
        <w:t>确定</w:t>
      </w:r>
      <w:bookmarkEnd w:id="143"/>
      <w:bookmarkEnd w:id="144"/>
      <w:r>
        <w:rPr>
          <w:rFonts w:hint="eastAsia" w:ascii="宋体" w:hAnsi="宋体" w:eastAsia="宋体" w:cs="宋体"/>
          <w:color w:val="auto"/>
          <w:sz w:val="30"/>
          <w:szCs w:val="30"/>
          <w:highlight w:val="none"/>
        </w:rPr>
        <w:t>中标单位</w:t>
      </w:r>
    </w:p>
    <w:p w14:paraId="7CB03712">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 xml:space="preserve">27.1中标候选人的选取原则和数量见招标文件第五章规定。 </w:t>
      </w:r>
    </w:p>
    <w:p w14:paraId="018E8CD4">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27.2 采购人应根据评委会推荐的中标候选人确定中标人。</w:t>
      </w:r>
    </w:p>
    <w:p w14:paraId="05FB9D27">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27.3 代理机构将在“</w:t>
      </w:r>
      <w:r>
        <w:rPr>
          <w:rFonts w:hint="eastAsia" w:ascii="宋体" w:hAnsi="宋体" w:eastAsia="宋体" w:cs="宋体"/>
          <w:color w:val="auto"/>
          <w:highlight w:val="none"/>
          <w:u w:val="single"/>
        </w:rPr>
        <w:t>中国政府采购网、江苏政府采购网、盐城市政府采购网</w:t>
      </w:r>
      <w:r>
        <w:rPr>
          <w:rFonts w:hint="eastAsia" w:ascii="宋体" w:hAnsi="宋体" w:eastAsia="宋体" w:cs="宋体"/>
          <w:color w:val="auto"/>
          <w:highlight w:val="none"/>
        </w:rPr>
        <w:t>”发布中标公告，公告期限为1个工作日。</w:t>
      </w:r>
    </w:p>
    <w:p w14:paraId="10CAADB9">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27.4若有充分证据证明，中标人出现下列情况之一的，一经查实，将被取消中标资格：</w:t>
      </w:r>
    </w:p>
    <w:p w14:paraId="49E4E27D">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27.4.1提供虚假材料谋取中标的。</w:t>
      </w:r>
    </w:p>
    <w:p w14:paraId="2A850974">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27.4.2向采购人、代理机构行贿或者提供其他不正当利益的。</w:t>
      </w:r>
    </w:p>
    <w:p w14:paraId="544D11A7">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27.4.3属于本文件规定的无效条件，但在评标过程中又未被评委会发现的。</w:t>
      </w:r>
    </w:p>
    <w:p w14:paraId="5B84933C">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27.4.4与采购人或者其他供应商恶意串通的。</w:t>
      </w:r>
    </w:p>
    <w:p w14:paraId="18B4E4BB">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27.4.5采取不正当手段诋毁、排挤其他供应商的。</w:t>
      </w:r>
    </w:p>
    <w:p w14:paraId="0C11B386">
      <w:pPr>
        <w:pStyle w:val="34"/>
        <w:pageBreakBefore w:val="0"/>
        <w:widowControl w:val="0"/>
        <w:spacing w:beforeAutospacing="0" w:afterAutospacing="0" w:line="360" w:lineRule="auto"/>
        <w:ind w:firstLine="480"/>
        <w:jc w:val="both"/>
        <w:rPr>
          <w:rFonts w:ascii="宋体" w:hAnsi="宋体" w:eastAsia="宋体" w:cs="宋体"/>
          <w:color w:val="auto"/>
          <w:highlight w:val="none"/>
        </w:rPr>
      </w:pPr>
      <w:bookmarkStart w:id="145" w:name="_Toc200451960"/>
      <w:r>
        <w:rPr>
          <w:rFonts w:hint="eastAsia" w:ascii="宋体" w:hAnsi="宋体" w:eastAsia="宋体" w:cs="宋体"/>
          <w:color w:val="auto"/>
          <w:highlight w:val="none"/>
        </w:rPr>
        <w:t>27.5.</w:t>
      </w:r>
      <w:r>
        <w:rPr>
          <w:rFonts w:hint="eastAsia" w:ascii="宋体" w:hAnsi="宋体" w:eastAsia="宋体" w:cs="宋体"/>
          <w:color w:val="auto"/>
          <w:sz w:val="21"/>
          <w:szCs w:val="21"/>
          <w:highlight w:val="none"/>
        </w:rPr>
        <w:t> </w:t>
      </w:r>
      <w:r>
        <w:rPr>
          <w:rFonts w:hint="eastAsia" w:ascii="宋体" w:hAnsi="宋体" w:eastAsia="宋体" w:cs="宋体"/>
          <w:color w:val="auto"/>
          <w:highlight w:val="none"/>
        </w:rPr>
        <w:t>有下列情形之一的，视为投标人串通投标，投标无效：</w:t>
      </w:r>
      <w:bookmarkEnd w:id="145"/>
    </w:p>
    <w:p w14:paraId="0B3A89DC">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27.5.1不同投标人的投标文件由同一单位或者个人编制；</w:t>
      </w:r>
    </w:p>
    <w:p w14:paraId="196B2085">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27.5.2不同投标人委托同一单位或者个人办理投标事宜；</w:t>
      </w:r>
    </w:p>
    <w:p w14:paraId="73FF10D8">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27.5.3 不同投标人的投标文件载明的项目管理成员或者联系人员为同一人；</w:t>
      </w:r>
    </w:p>
    <w:p w14:paraId="5E2824E1">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27.5.4不同投标人的投标文件异常一致或者投标报价呈规律性差异；</w:t>
      </w:r>
    </w:p>
    <w:p w14:paraId="63225950">
      <w:pPr>
        <w:pStyle w:val="34"/>
        <w:keepNext/>
        <w:keepLines/>
        <w:pageBreakBefore w:val="0"/>
        <w:widowControl w:val="0"/>
        <w:spacing w:beforeAutospacing="0" w:afterAutospacing="0" w:line="360" w:lineRule="auto"/>
        <w:ind w:firstLine="600"/>
        <w:jc w:val="both"/>
        <w:rPr>
          <w:rFonts w:ascii="宋体" w:hAnsi="宋体" w:eastAsia="宋体" w:cs="宋体"/>
          <w:color w:val="auto"/>
          <w:highlight w:val="none"/>
        </w:rPr>
      </w:pPr>
      <w:r>
        <w:rPr>
          <w:rFonts w:hint="eastAsia" w:ascii="宋体" w:hAnsi="宋体" w:eastAsia="宋体" w:cs="宋体"/>
          <w:color w:val="auto"/>
          <w:sz w:val="30"/>
          <w:szCs w:val="30"/>
          <w:highlight w:val="none"/>
        </w:rPr>
        <w:t>28、质疑处理</w:t>
      </w:r>
    </w:p>
    <w:p w14:paraId="12696D40">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28.1 提出质疑的供应商应当是参与所质疑项目采购活动的供应商。潜在供应商依法获取其可质疑的采购文件的，可以对采购文件提出质疑。</w:t>
      </w:r>
    </w:p>
    <w:p w14:paraId="77BD855B">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28.2供应商认为采购文件、采购过程和采购结果使自己的权益受到损害的，可以在知道或应知其权益受到损害之日起七个工作日内，以书面形式根据下述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.4条款的规定向采购人提出质疑。上述应知其权益受到损害之日，是指：</w:t>
      </w:r>
    </w:p>
    <w:p w14:paraId="05F56835">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28.2.1对可以质疑的采购文件提出质疑的，为收到采购文件之日或者采购文件公告期限届满之日；</w:t>
      </w:r>
    </w:p>
    <w:p w14:paraId="0D27F8AB">
      <w:pPr>
        <w:pStyle w:val="34"/>
        <w:pageBreakBefore w:val="0"/>
        <w:widowControl w:val="0"/>
        <w:spacing w:beforeAutospacing="0" w:afterAutospacing="0" w:line="360" w:lineRule="auto"/>
        <w:ind w:firstLine="24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 28.2.2对采购过程提出质疑的，为各采购程序环节结束之日；</w:t>
      </w:r>
    </w:p>
    <w:p w14:paraId="4C24D821">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28.2.3对中标或者成交结果提出质疑的，为中标或者成交结果公告期限届满之日。</w:t>
      </w:r>
    </w:p>
    <w:p w14:paraId="2EBDF2AE">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highlight w:val="none"/>
          <w:lang w:val="en-US" w:eastAsia="zh-CN"/>
        </w:rPr>
        <w:t>采购代理机构、</w:t>
      </w:r>
      <w:r>
        <w:rPr>
          <w:rFonts w:hint="eastAsia" w:ascii="宋体" w:hAnsi="宋体" w:eastAsia="宋体" w:cs="宋体"/>
          <w:color w:val="auto"/>
          <w:highlight w:val="none"/>
        </w:rPr>
        <w:t>采购人将只对供应商第一次质疑作出答复。</w:t>
      </w:r>
    </w:p>
    <w:p w14:paraId="55BB7671">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38356CD3">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28.4 供应商（含潜在供应商）对采购方式、招标文件中采购需求、供应商资格条件、评标方法和评标标准、合同文本及资格审查结果的询问、质疑请向采购人</w:t>
      </w:r>
      <w:r>
        <w:rPr>
          <w:rFonts w:hint="eastAsia" w:ascii="宋体" w:hAnsi="宋体" w:eastAsia="宋体" w:cs="宋体"/>
          <w:color w:val="auto"/>
          <w:highlight w:val="none"/>
          <w:lang w:val="en-US" w:eastAsia="zh-CN"/>
        </w:rPr>
        <w:t>或代理机构</w:t>
      </w:r>
      <w:r>
        <w:rPr>
          <w:rFonts w:hint="eastAsia" w:ascii="宋体" w:hAnsi="宋体" w:eastAsia="宋体" w:cs="宋体"/>
          <w:color w:val="auto"/>
          <w:highlight w:val="none"/>
        </w:rPr>
        <w:t>提出，由采购人</w:t>
      </w:r>
      <w:r>
        <w:rPr>
          <w:rFonts w:hint="eastAsia" w:ascii="宋体" w:hAnsi="宋体" w:eastAsia="宋体" w:cs="宋体"/>
          <w:color w:val="auto"/>
          <w:highlight w:val="none"/>
          <w:lang w:val="en-US" w:eastAsia="zh-CN"/>
        </w:rPr>
        <w:t>或代理机构</w:t>
      </w:r>
      <w:r>
        <w:rPr>
          <w:rFonts w:hint="eastAsia" w:ascii="宋体" w:hAnsi="宋体" w:eastAsia="宋体" w:cs="宋体"/>
          <w:color w:val="auto"/>
          <w:highlight w:val="none"/>
        </w:rPr>
        <w:t>负责答复。</w:t>
      </w:r>
    </w:p>
    <w:p w14:paraId="69E25A99">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采购人及采购代理机构只接收以纸质原件形式送达的质疑,采购人和采购代理机构不接受未填写快递运单的快件。质疑接收联系地址：盐城市青年西路8号8楼808，联系电话：15295316158。</w:t>
      </w:r>
    </w:p>
    <w:p w14:paraId="41558569">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28.5 以</w:t>
      </w:r>
      <w:r>
        <w:rPr>
          <w:rFonts w:hint="eastAsia" w:ascii="宋体" w:hAnsi="宋体" w:eastAsia="宋体" w:cs="宋体"/>
          <w:color w:val="auto"/>
          <w:highlight w:val="none"/>
          <w:lang w:val="en-US" w:eastAsia="zh-CN"/>
        </w:rPr>
        <w:t xml:space="preserve"> 3</w:t>
      </w:r>
      <w:r>
        <w:rPr>
          <w:rFonts w:hint="eastAsia" w:ascii="宋体" w:hAnsi="宋体" w:eastAsia="宋体" w:cs="宋体"/>
          <w:color w:val="auto"/>
          <w:highlight w:val="none"/>
        </w:rPr>
        <w:t>下情形的质疑不予受理</w:t>
      </w:r>
    </w:p>
    <w:p w14:paraId="2648DE51">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28.5.1 内容不符合《政府采购质疑和投诉办法》第十二条规定的质疑。</w:t>
      </w:r>
    </w:p>
    <w:p w14:paraId="507B90B7">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28.5.2 超出政府采购法定期限的质疑。</w:t>
      </w:r>
    </w:p>
    <w:p w14:paraId="3C0B72EA">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28.5.3 以传真、电子邮件等方式递交的非原件形式的质疑。</w:t>
      </w:r>
    </w:p>
    <w:p w14:paraId="118ABFFA">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28.5.4 未参加投标活动的供应商或在投标活动中自身权益未受到损害的供应商所提出的质疑。</w:t>
      </w:r>
    </w:p>
    <w:p w14:paraId="395BAEB7">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28.5.5供应商组成联合体参加投标，联合体中任何一方或多方未按要求签字、盖章、</w:t>
      </w:r>
      <w:r>
        <w:rPr>
          <w:rFonts w:hint="eastAsia" w:ascii="宋体" w:hAnsi="宋体" w:eastAsia="宋体" w:cs="宋体"/>
          <w:color w:val="auto"/>
          <w:highlight w:val="none"/>
          <w:lang w:eastAsia="zh-CN"/>
        </w:rPr>
        <w:t>加盖</w:t>
      </w:r>
      <w:r>
        <w:rPr>
          <w:rFonts w:hint="eastAsia" w:ascii="宋体" w:hAnsi="宋体" w:eastAsia="宋体" w:cs="宋体"/>
          <w:color w:val="auto"/>
          <w:highlight w:val="none"/>
          <w:lang w:val="en-US" w:eastAsia="zh-CN"/>
        </w:rPr>
        <w:t>单位</w:t>
      </w:r>
      <w:r>
        <w:rPr>
          <w:rFonts w:hint="eastAsia" w:ascii="宋体" w:hAnsi="宋体" w:eastAsia="宋体" w:cs="宋体"/>
          <w:color w:val="auto"/>
          <w:highlight w:val="none"/>
          <w:lang w:eastAsia="zh-CN"/>
        </w:rPr>
        <w:t>公章</w:t>
      </w:r>
      <w:r>
        <w:rPr>
          <w:rFonts w:hint="eastAsia" w:ascii="宋体" w:hAnsi="宋体" w:eastAsia="宋体" w:cs="宋体"/>
          <w:color w:val="auto"/>
          <w:highlight w:val="none"/>
        </w:rPr>
        <w:t>的质疑。</w:t>
      </w:r>
    </w:p>
    <w:p w14:paraId="00D497D9">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1A3CD4F6">
      <w:pPr>
        <w:pStyle w:val="34"/>
        <w:keepNext/>
        <w:keepLines/>
        <w:pageBreakBefore w:val="0"/>
        <w:widowControl w:val="0"/>
        <w:spacing w:beforeAutospacing="0" w:afterAutospacing="0" w:line="360" w:lineRule="auto"/>
        <w:ind w:firstLine="602"/>
        <w:jc w:val="both"/>
        <w:rPr>
          <w:rFonts w:ascii="宋体" w:hAnsi="宋体" w:eastAsia="宋体" w:cs="宋体"/>
          <w:b/>
          <w:bCs/>
          <w:color w:val="auto"/>
          <w:highlight w:val="none"/>
        </w:rPr>
      </w:pPr>
      <w:r>
        <w:rPr>
          <w:rFonts w:hint="eastAsia" w:ascii="宋体" w:hAnsi="宋体" w:eastAsia="宋体" w:cs="宋体"/>
          <w:b/>
          <w:bCs/>
          <w:color w:val="auto"/>
          <w:sz w:val="30"/>
          <w:szCs w:val="30"/>
          <w:highlight w:val="none"/>
        </w:rPr>
        <w:t>29、中标通知书</w:t>
      </w:r>
    </w:p>
    <w:p w14:paraId="201C95D4">
      <w:pPr>
        <w:pStyle w:val="34"/>
        <w:keepNext w:val="0"/>
        <w:keepLines w:val="0"/>
        <w:pageBreakBefore w:val="0"/>
        <w:widowControl w:val="0"/>
        <w:spacing w:beforeAutospacing="0" w:afterAutospacing="0" w:line="520" w:lineRule="exact"/>
        <w:ind w:firstLine="601"/>
        <w:jc w:val="both"/>
        <w:rPr>
          <w:color w:val="auto"/>
          <w:highlight w:val="none"/>
        </w:rPr>
      </w:pPr>
      <w:bookmarkStart w:id="146" w:name="_Toc20823308"/>
      <w:bookmarkStart w:id="147" w:name="_Toc120614220"/>
      <w:bookmarkStart w:id="148" w:name="_Toc16938552"/>
      <w:bookmarkStart w:id="149" w:name="_Toc513029236"/>
      <w:r>
        <w:rPr>
          <w:rFonts w:hint="eastAsia" w:ascii="宋体" w:hAnsi="宋体" w:eastAsia="宋体" w:cs="宋体"/>
          <w:color w:val="auto"/>
          <w:highlight w:val="none"/>
          <w:lang w:val="en-US" w:eastAsia="zh-CN"/>
        </w:rPr>
        <w:t>29</w:t>
      </w:r>
      <w:r>
        <w:rPr>
          <w:rFonts w:hint="eastAsia" w:ascii="宋体" w:hAnsi="宋体" w:eastAsia="宋体" w:cs="宋体"/>
          <w:color w:val="auto"/>
          <w:highlight w:val="none"/>
        </w:rPr>
        <w:t>.l</w:t>
      </w:r>
      <w:r>
        <w:rPr>
          <w:rFonts w:hint="eastAsia" w:ascii="宋体" w:hAnsi="宋体" w:eastAsia="宋体" w:cs="宋体"/>
          <w:b/>
          <w:color w:val="auto"/>
          <w:highlight w:val="none"/>
        </w:rPr>
        <w:t> </w:t>
      </w:r>
      <w:r>
        <w:rPr>
          <w:rFonts w:hint="eastAsia" w:ascii="宋体" w:hAnsi="宋体" w:eastAsia="宋体" w:cs="宋体"/>
          <w:color w:val="auto"/>
          <w:highlight w:val="none"/>
        </w:rPr>
        <w:t>中标结果确定后，采购</w:t>
      </w:r>
      <w:r>
        <w:rPr>
          <w:rFonts w:hint="eastAsia" w:ascii="宋体" w:hAnsi="宋体" w:eastAsia="宋体" w:cs="宋体"/>
          <w:color w:val="auto"/>
          <w:highlight w:val="none"/>
          <w:lang w:val="en-US" w:eastAsia="zh-CN"/>
        </w:rPr>
        <w:t>代理机构</w:t>
      </w:r>
      <w:r>
        <w:rPr>
          <w:rFonts w:hint="eastAsia" w:ascii="宋体" w:hAnsi="宋体" w:eastAsia="宋体" w:cs="宋体"/>
          <w:color w:val="auto"/>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44E1CD8">
      <w:pPr>
        <w:pStyle w:val="34"/>
        <w:keepNext w:val="0"/>
        <w:keepLines w:val="0"/>
        <w:pageBreakBefore w:val="0"/>
        <w:widowControl w:val="0"/>
        <w:spacing w:beforeAutospacing="0" w:afterAutospacing="0" w:line="520" w:lineRule="exact"/>
        <w:ind w:firstLine="601"/>
        <w:jc w:val="both"/>
        <w:rPr>
          <w:color w:val="auto"/>
          <w:highlight w:val="none"/>
        </w:rPr>
      </w:pPr>
      <w:r>
        <w:rPr>
          <w:rFonts w:hint="eastAsia" w:ascii="宋体" w:hAnsi="宋体" w:eastAsia="宋体" w:cs="宋体"/>
          <w:color w:val="auto"/>
          <w:highlight w:val="none"/>
          <w:lang w:val="en-US" w:eastAsia="zh-CN"/>
        </w:rPr>
        <w:t>29.</w:t>
      </w: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中标通知书将是合同的一个组成部分。对采购人和中标供应商均具有法律效力。中标通知书发出后，采购人改变中标结果的，或者中标供应商放弃中标项目的，应当依法承担法律责任。</w:t>
      </w:r>
    </w:p>
    <w:p w14:paraId="13412D85">
      <w:pPr>
        <w:pStyle w:val="34"/>
        <w:keepNext/>
        <w:keepLines/>
        <w:pageBreakBefore w:val="0"/>
        <w:widowControl w:val="0"/>
        <w:spacing w:beforeAutospacing="0" w:afterAutospacing="0" w:line="360" w:lineRule="auto"/>
        <w:ind w:firstLine="643"/>
        <w:jc w:val="both"/>
        <w:rPr>
          <w:rFonts w:ascii="宋体" w:hAnsi="宋体" w:eastAsia="宋体" w:cs="宋体"/>
          <w:color w:val="auto"/>
          <w:highlight w:val="none"/>
        </w:rPr>
      </w:pPr>
      <w:r>
        <w:rPr>
          <w:rFonts w:hint="eastAsia" w:ascii="宋体" w:hAnsi="宋体" w:eastAsia="宋体" w:cs="宋体"/>
          <w:b/>
          <w:color w:val="auto"/>
          <w:sz w:val="32"/>
          <w:szCs w:val="32"/>
          <w:highlight w:val="none"/>
        </w:rPr>
        <w:t>七、授予合同</w:t>
      </w:r>
      <w:bookmarkEnd w:id="146"/>
      <w:bookmarkEnd w:id="147"/>
      <w:bookmarkEnd w:id="148"/>
      <w:bookmarkEnd w:id="149"/>
    </w:p>
    <w:p w14:paraId="1B43B710">
      <w:pPr>
        <w:pStyle w:val="34"/>
        <w:keepNext/>
        <w:keepLines/>
        <w:pageBreakBefore w:val="0"/>
        <w:widowControl w:val="0"/>
        <w:spacing w:beforeAutospacing="0" w:afterAutospacing="0" w:line="360" w:lineRule="auto"/>
        <w:ind w:firstLine="600"/>
        <w:jc w:val="both"/>
        <w:rPr>
          <w:rFonts w:ascii="宋体" w:hAnsi="宋体" w:eastAsia="宋体" w:cs="宋体"/>
          <w:color w:val="auto"/>
          <w:highlight w:val="none"/>
        </w:rPr>
      </w:pPr>
      <w:bookmarkStart w:id="150" w:name="_Toc513029237"/>
      <w:bookmarkStart w:id="151" w:name="_Toc20823309"/>
      <w:bookmarkStart w:id="152" w:name="_Toc16938553"/>
      <w:r>
        <w:rPr>
          <w:rFonts w:hint="eastAsia" w:ascii="宋体" w:hAnsi="宋体" w:eastAsia="宋体" w:cs="宋体"/>
          <w:color w:val="auto"/>
          <w:sz w:val="30"/>
          <w:szCs w:val="30"/>
          <w:highlight w:val="none"/>
        </w:rPr>
        <w:t>30.签订合同</w:t>
      </w:r>
      <w:bookmarkEnd w:id="150"/>
      <w:bookmarkEnd w:id="151"/>
      <w:bookmarkEnd w:id="152"/>
    </w:p>
    <w:p w14:paraId="08A5C9ED">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30.l中标人应当在中标通知书发出之日起三十日内，按照招标文件确定的事项与采购人签订政府采购合同。</w:t>
      </w:r>
    </w:p>
    <w:p w14:paraId="218D8E4F">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30.2招标文件、中标人的投标文件及招标过程中有关澄清、承诺文件均应作为合同附件。</w:t>
      </w:r>
    </w:p>
    <w:p w14:paraId="2BACD6E2">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30.3 签订合同后，</w:t>
      </w:r>
      <w:r>
        <w:rPr>
          <w:rFonts w:hint="eastAsia" w:ascii="宋体" w:hAnsi="宋体" w:eastAsia="宋体" w:cs="宋体"/>
          <w:i/>
          <w:iCs w:val="0"/>
          <w:color w:val="auto"/>
          <w:highlight w:val="none"/>
          <w:u w:val="single"/>
        </w:rPr>
        <w:t>中标人不得将合同标的进行转包</w:t>
      </w:r>
      <w:r>
        <w:rPr>
          <w:rFonts w:hint="eastAsia" w:ascii="宋体" w:hAnsi="宋体" w:eastAsia="宋体" w:cs="宋体"/>
          <w:color w:val="auto"/>
          <w:highlight w:val="none"/>
        </w:rPr>
        <w:t>。未经采购人同意，中标人也不得采用分包的形式履行合同，否则采购人有权终止合同。转包或分包造成采购人损失的，中标人应承担相应赔偿责任。</w:t>
      </w:r>
    </w:p>
    <w:p w14:paraId="1798A6F6">
      <w:pPr>
        <w:pStyle w:val="34"/>
        <w:pageBreakBefore w:val="0"/>
        <w:widowControl w:val="0"/>
        <w:spacing w:beforeAutospacing="0" w:afterAutospacing="0" w:line="360" w:lineRule="auto"/>
        <w:ind w:firstLine="600"/>
        <w:jc w:val="both"/>
        <w:rPr>
          <w:rFonts w:ascii="宋体" w:hAnsi="宋体" w:eastAsia="宋体" w:cs="宋体"/>
          <w:color w:val="auto"/>
          <w:highlight w:val="none"/>
        </w:rPr>
      </w:pPr>
      <w:r>
        <w:rPr>
          <w:rFonts w:hint="eastAsia" w:ascii="宋体" w:hAnsi="宋体" w:eastAsia="宋体" w:cs="宋体"/>
          <w:color w:val="auto"/>
          <w:sz w:val="30"/>
          <w:szCs w:val="30"/>
          <w:highlight w:val="none"/>
        </w:rPr>
        <w:t>31、货物（包含与货物相关的服务）的追加</w:t>
      </w:r>
    </w:p>
    <w:p w14:paraId="1392E678">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31.1政府采购合同履行中，采购人需追加与合同标的相同的货物（包含与货物相关的服务）的，在不改变合同其他条款的前提下，可以与中标人协商签订补充合同，但所有补充合同的采购金额不超过原合同金</w:t>
      </w:r>
      <w:r>
        <w:rPr>
          <w:rFonts w:hint="eastAsia" w:ascii="宋体" w:hAnsi="宋体" w:eastAsia="宋体" w:cs="宋体"/>
          <w:color w:val="auto"/>
          <w:highlight w:val="none"/>
          <w:lang w:eastAsia="zh-CN"/>
        </w:rPr>
        <w:t>额的</w:t>
      </w:r>
      <w:r>
        <w:rPr>
          <w:rFonts w:hint="eastAsia" w:ascii="宋体" w:hAnsi="宋体" w:eastAsia="宋体" w:cs="宋体"/>
          <w:color w:val="auto"/>
          <w:highlight w:val="none"/>
        </w:rPr>
        <w:t>10%。</w:t>
      </w:r>
    </w:p>
    <w:p w14:paraId="7117EB4A">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33.政府采购政策功能落实</w:t>
      </w:r>
    </w:p>
    <w:p w14:paraId="5325FFEC">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33.1政府采购线上合同信用融资政策</w:t>
      </w:r>
    </w:p>
    <w:p w14:paraId="061A4FDB">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14:paraId="4E8BDAF9">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33.2进口产品</w:t>
      </w:r>
    </w:p>
    <w:p w14:paraId="7F9BE355">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F70E4D5">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33.3中小企业、监狱企业及残疾人福利性单位</w:t>
      </w:r>
    </w:p>
    <w:p w14:paraId="6307C497">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33.3.1中小企业定义：</w:t>
      </w:r>
    </w:p>
    <w:p w14:paraId="64DDD4AF">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ABDC118">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33.3.2供应商提供的货物、工程或者服务符合下列情形的，享受中小企业扶持政策：</w:t>
      </w:r>
    </w:p>
    <w:p w14:paraId="3333457A">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33.3.2.1在货物采购项目中，货物由中小企业制造，即货物由中小企业生产且使用该中小企业商号或者注册商标；</w:t>
      </w:r>
    </w:p>
    <w:p w14:paraId="1FE2DCDD">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33.3.2.2在工程采购项目中，工程由中小企业承建，即工程施工单位为中小企业；</w:t>
      </w:r>
    </w:p>
    <w:p w14:paraId="6E30553B">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33.3.2.3在服务采购项目中，服务由中小企业承接，即提供服务的人员为中小企业依照《中华人民共和国劳动合同法》订立劳动合同的从业人员。</w:t>
      </w:r>
    </w:p>
    <w:p w14:paraId="34B9EBC5">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33.3.3在货物采购项目中，供应商提供的货物既有中小企业制造货物，也有大型企业制造货物的，不享受中小企业扶持政策。</w:t>
      </w:r>
    </w:p>
    <w:p w14:paraId="00B03030">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026680B">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残疾人福利单位定义：享受政府采购支持政策的残疾人福利性单位应当同时满足以下条件：</w:t>
      </w:r>
    </w:p>
    <w:p w14:paraId="612E86BC">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.1安置的残疾人占本单位在职职工人数的比例不低于25%（含25%），并且安置的残疾人人数不少于10 人（含10 人）；</w:t>
      </w:r>
    </w:p>
    <w:p w14:paraId="674EC50F">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.2依法与安置的每位残疾人签订了一年以上（含一年）的劳动合同或服务协议；</w:t>
      </w:r>
    </w:p>
    <w:p w14:paraId="40A0F8F2">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.3为安置的每位残疾人按月足额缴纳了基本养老保险、基本医疗保险、失业保险、工伤保险和生育保险等社会保险费；</w:t>
      </w:r>
    </w:p>
    <w:p w14:paraId="6E0D5509">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.4通过银行等金融机构向安置的每位残疾人，按月支付了不低于单位所在区县适用的经省级人民政府批准的月最低工资标准的工资；</w:t>
      </w:r>
    </w:p>
    <w:p w14:paraId="14A542DE">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.5提供本单位制造的货物、承担的工程或者服务（以下简称产品），或者提供其他残疾人福利性单位制造的货物（不包括使用非残疾人福利性单位注册商标的货物）；</w:t>
      </w:r>
    </w:p>
    <w:p w14:paraId="76E1F8EB">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p>
    <w:p w14:paraId="71365092">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本项目是否专门面向中小企业预留采购份额见第一章《投标邀请》。</w:t>
      </w:r>
    </w:p>
    <w:p w14:paraId="04A3EE70">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采购标的对应的中小企业划分标准所属行业见第四章《采购需求》。</w:t>
      </w:r>
    </w:p>
    <w:p w14:paraId="35F4D8A5">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w:t>
      </w: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小微企业价格评审优惠的政策：见第五章《评标方法和评标标准》。</w:t>
      </w:r>
    </w:p>
    <w:p w14:paraId="1DB55C97">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33.4政府采购节能产品、环境标志产品</w:t>
      </w:r>
    </w:p>
    <w:p w14:paraId="2A5D206D">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2297B8C7">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86EB4AD">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33.5绿色包装</w:t>
      </w:r>
    </w:p>
    <w:p w14:paraId="58C0FD1E">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819281E">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33.6政府采购创新产品</w:t>
      </w:r>
    </w:p>
    <w:p w14:paraId="448A5BCD">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采购人优先采购各级政府部门公开发布的有效期内的创新产品、创新服务、首台套、首购首用等《目录》的创新产品。</w:t>
      </w:r>
    </w:p>
    <w:p w14:paraId="49D234AD">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33.7绿色数据中心政策 </w:t>
      </w:r>
    </w:p>
    <w:p w14:paraId="2D47D9B6">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C0E63C0">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33.8实施本国产品标准及相关政策</w:t>
      </w:r>
    </w:p>
    <w:p w14:paraId="1D48B136">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33.8.</w:t>
      </w:r>
      <w:r>
        <w:rPr>
          <w:rFonts w:hint="eastAsia" w:ascii="宋体" w:hAnsi="宋体" w:eastAsia="宋体" w:cs="宋体"/>
          <w:color w:val="auto"/>
          <w:highlight w:val="none"/>
        </w:rPr>
        <w:t>1本项目对采购本国产品给予政策支持，具体内容见招标文件“第五章 评标方法与评标标准”。</w:t>
      </w:r>
    </w:p>
    <w:p w14:paraId="53ACEA16">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33.8.</w:t>
      </w:r>
      <w:r>
        <w:rPr>
          <w:rFonts w:hint="eastAsia" w:ascii="宋体" w:hAnsi="宋体" w:eastAsia="宋体" w:cs="宋体"/>
          <w:color w:val="auto"/>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4DBA22F">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33.8.</w:t>
      </w:r>
      <w:r>
        <w:rPr>
          <w:rFonts w:hint="eastAsia" w:ascii="宋体" w:hAnsi="宋体" w:eastAsia="宋体" w:cs="宋体"/>
          <w:color w:val="auto"/>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CF40A80">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33.8.</w:t>
      </w:r>
      <w:r>
        <w:rPr>
          <w:rFonts w:hint="eastAsia" w:ascii="宋体" w:hAnsi="宋体" w:eastAsia="宋体" w:cs="宋体"/>
          <w:color w:val="auto"/>
          <w:highlight w:val="none"/>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0CF3AA63">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33.9</w:t>
      </w:r>
      <w:r>
        <w:rPr>
          <w:rFonts w:hint="eastAsia" w:ascii="宋体" w:hAnsi="宋体" w:eastAsia="宋体" w:cs="宋体"/>
          <w:color w:val="auto"/>
          <w:highlight w:val="none"/>
        </w:rPr>
        <w:t>履约保证金政策</w:t>
      </w:r>
    </w:p>
    <w:p w14:paraId="088400D3">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确需收取履约保证金的，履约保证金的缴纳形式：</w:t>
      </w:r>
    </w:p>
    <w:p w14:paraId="44AEE130">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依据供应商应当以支票、汇票、本票或者金融机构、担保机构出具的保函等非现金形式提交履约保证金。《关于在全省政府采购领域推行电子履约保函（保险）的通知》，鼓励供应商自愿使用电子履约保函（保险）代替缴纳履约保证金。</w:t>
      </w:r>
    </w:p>
    <w:p w14:paraId="32CDB613">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如以履约保函（保险）形式缴纳履约保证金，供应商可通过政府采购电子履约保函（保险）平台（www.jsdzbh.com）在线申请履约保函（保险）。</w:t>
      </w:r>
    </w:p>
    <w:p w14:paraId="36847197">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级及以上的政府采购供应商（需在签订采购合同前提供信用管理部门备案的第三方信用报告，且信用报告通过“信用盐城网”可查实），免交履约保证金。</w:t>
      </w:r>
      <w:r>
        <w:rPr>
          <w:rFonts w:hint="eastAsia" w:ascii="宋体" w:hAnsi="宋体" w:eastAsia="宋体" w:cs="宋体"/>
          <w:color w:val="auto"/>
          <w:highlight w:val="none"/>
        </w:rPr>
        <w:t xml:space="preserve"> </w:t>
      </w:r>
    </w:p>
    <w:p w14:paraId="113492E1">
      <w:pPr>
        <w:keepNext w:val="0"/>
        <w:keepLines w:val="0"/>
        <w:pageBreakBefore w:val="0"/>
        <w:widowControl w:val="0"/>
        <w:spacing w:line="52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34. 预付款制度</w:t>
      </w:r>
    </w:p>
    <w:p w14:paraId="0EB947D2">
      <w:pPr>
        <w:keepNext w:val="0"/>
        <w:keepLines w:val="0"/>
        <w:pageBreakBefore w:val="0"/>
        <w:widowControl w:val="0"/>
        <w:spacing w:line="520" w:lineRule="exact"/>
        <w:ind w:firstLine="480"/>
        <w:rPr>
          <w:rFonts w:hint="eastAsia" w:ascii="宋体" w:hAnsi="宋体" w:eastAsia="宋体" w:cs="宋体"/>
          <w:color w:val="auto"/>
          <w:sz w:val="24"/>
          <w:highlight w:val="none"/>
          <w:lang w:val="en-US" w:eastAsia="zh-CN"/>
        </w:rPr>
        <w:sectPr>
          <w:pgSz w:w="11906" w:h="16838"/>
          <w:pgMar w:top="1440" w:right="1800" w:bottom="1440" w:left="1800" w:header="851" w:footer="992" w:gutter="0"/>
          <w:cols w:space="425" w:num="1"/>
          <w:docGrid w:linePitch="360" w:charSpace="0"/>
        </w:sectPr>
      </w:pPr>
      <w:r>
        <w:rPr>
          <w:rFonts w:hint="eastAsia" w:ascii="宋体" w:hAnsi="宋体" w:eastAsia="宋体" w:cs="宋体"/>
          <w:color w:val="auto"/>
          <w:sz w:val="24"/>
          <w:highlight w:val="none"/>
          <w:lang w:val="en-US" w:eastAsia="zh-CN"/>
        </w:rPr>
        <w:t>本项目落实预付款制度，预付款比例为30%。在签订合同时，中标、成交供应商明确书面表示无需预付款或者主动要求降低预付款比例的，采购人可就预付款比例作相应调整。</w:t>
      </w:r>
    </w:p>
    <w:p w14:paraId="5FE49352">
      <w:pPr>
        <w:pStyle w:val="34"/>
        <w:keepNext/>
        <w:spacing w:beforeAutospacing="0" w:afterAutospacing="0"/>
        <w:ind w:firstLine="440"/>
        <w:jc w:val="center"/>
        <w:outlineLvl w:val="0"/>
        <w:rPr>
          <w:color w:val="auto"/>
          <w:highlight w:val="none"/>
        </w:rPr>
      </w:pPr>
      <w:bookmarkStart w:id="153" w:name="_Toc19942"/>
      <w:bookmarkStart w:id="154" w:name="_Toc29484"/>
      <w:r>
        <w:rPr>
          <w:rFonts w:hint="eastAsia" w:ascii="黑体" w:hAnsi="宋体" w:eastAsia="黑体" w:cs="黑体"/>
          <w:color w:val="auto"/>
          <w:sz w:val="44"/>
          <w:szCs w:val="44"/>
          <w:highlight w:val="none"/>
        </w:rPr>
        <w:t>第三章  合同文本</w:t>
      </w:r>
      <w:bookmarkEnd w:id="153"/>
      <w:bookmarkEnd w:id="154"/>
    </w:p>
    <w:p w14:paraId="58D38A07">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ascii="宋体" w:hAnsi="宋体"/>
          <w:b/>
          <w:bCs/>
          <w:color w:val="auto"/>
          <w:sz w:val="28"/>
          <w:szCs w:val="28"/>
          <w:highlight w:val="none"/>
        </w:rPr>
      </w:pPr>
      <w:r>
        <w:rPr>
          <w:rFonts w:hint="eastAsia" w:ascii="宋体" w:hAnsi="宋体"/>
          <w:bCs/>
          <w:color w:val="auto"/>
          <w:sz w:val="24"/>
          <w:highlight w:val="none"/>
        </w:rPr>
        <w:t>以下为中标后签定本项目合同的通用条款，中标供应商不得提出实质性的修改，关于专用条款将由采购人与中标供应商结合本项目具体情况协商后签订。</w:t>
      </w:r>
    </w:p>
    <w:p w14:paraId="3C59F97F">
      <w:pPr>
        <w:jc w:val="center"/>
        <w:rPr>
          <w:rFonts w:ascii="宋体" w:hAnsi="宋体"/>
          <w:b/>
          <w:bCs/>
          <w:color w:val="auto"/>
          <w:sz w:val="36"/>
          <w:szCs w:val="36"/>
          <w:highlight w:val="none"/>
        </w:rPr>
      </w:pPr>
      <w:r>
        <w:rPr>
          <w:rFonts w:hint="eastAsia" w:ascii="宋体" w:hAnsi="宋体"/>
          <w:b/>
          <w:bCs/>
          <w:color w:val="auto"/>
          <w:sz w:val="36"/>
          <w:szCs w:val="36"/>
          <w:highlight w:val="none"/>
        </w:rPr>
        <w:t>采</w:t>
      </w:r>
      <w:r>
        <w:rPr>
          <w:rFonts w:hint="eastAsia" w:ascii="宋体" w:hAnsi="宋体"/>
          <w:b/>
          <w:bCs/>
          <w:color w:val="auto"/>
          <w:sz w:val="36"/>
          <w:szCs w:val="36"/>
          <w:highlight w:val="none"/>
          <w:lang w:val="en-US" w:eastAsia="zh-CN"/>
        </w:rPr>
        <w:t xml:space="preserve"> </w:t>
      </w:r>
      <w:r>
        <w:rPr>
          <w:rFonts w:hint="eastAsia" w:ascii="宋体" w:hAnsi="宋体"/>
          <w:b/>
          <w:bCs/>
          <w:color w:val="auto"/>
          <w:sz w:val="36"/>
          <w:szCs w:val="36"/>
          <w:highlight w:val="none"/>
        </w:rPr>
        <w:t>购</w:t>
      </w:r>
      <w:r>
        <w:rPr>
          <w:rFonts w:hint="eastAsia" w:ascii="宋体" w:hAnsi="宋体"/>
          <w:b/>
          <w:bCs/>
          <w:color w:val="auto"/>
          <w:sz w:val="36"/>
          <w:szCs w:val="36"/>
          <w:highlight w:val="none"/>
          <w:lang w:val="en-US" w:eastAsia="zh-CN"/>
        </w:rPr>
        <w:t xml:space="preserve"> </w:t>
      </w:r>
      <w:r>
        <w:rPr>
          <w:rFonts w:hint="eastAsia" w:ascii="宋体" w:hAnsi="宋体"/>
          <w:b/>
          <w:bCs/>
          <w:color w:val="auto"/>
          <w:sz w:val="36"/>
          <w:szCs w:val="36"/>
          <w:highlight w:val="none"/>
        </w:rPr>
        <w:t>合</w:t>
      </w:r>
      <w:r>
        <w:rPr>
          <w:rFonts w:hint="eastAsia" w:ascii="宋体" w:hAnsi="宋体"/>
          <w:b/>
          <w:bCs/>
          <w:color w:val="auto"/>
          <w:sz w:val="36"/>
          <w:szCs w:val="36"/>
          <w:highlight w:val="none"/>
          <w:lang w:val="en-US" w:eastAsia="zh-CN"/>
        </w:rPr>
        <w:t xml:space="preserve"> </w:t>
      </w:r>
      <w:r>
        <w:rPr>
          <w:rFonts w:hint="eastAsia" w:ascii="宋体" w:hAnsi="宋体"/>
          <w:b/>
          <w:bCs/>
          <w:color w:val="auto"/>
          <w:sz w:val="36"/>
          <w:szCs w:val="36"/>
          <w:highlight w:val="none"/>
        </w:rPr>
        <w:t>同</w:t>
      </w:r>
    </w:p>
    <w:p w14:paraId="39DC087F">
      <w:pPr>
        <w:rPr>
          <w:rFonts w:hint="eastAsia" w:ascii="宋体" w:hAnsi="宋体" w:eastAsia="宋体" w:cs="宋体"/>
          <w:color w:val="auto"/>
          <w:sz w:val="24"/>
          <w:szCs w:val="24"/>
          <w:highlight w:val="none"/>
        </w:rPr>
      </w:pPr>
    </w:p>
    <w:p w14:paraId="6426DD10">
      <w:pPr>
        <w:pStyle w:val="19"/>
        <w:snapToGrid w:val="0"/>
        <w:spacing w:line="360" w:lineRule="auto"/>
        <w:ind w:firstLine="480" w:firstLineChars="200"/>
        <w:rPr>
          <w:rFonts w:hAnsi="宋体" w:cs="宋体"/>
          <w:color w:val="auto"/>
          <w:sz w:val="24"/>
          <w:szCs w:val="24"/>
          <w:u w:val="single"/>
        </w:rPr>
      </w:pPr>
      <w:r>
        <w:rPr>
          <w:rFonts w:hint="eastAsia" w:hAnsi="宋体" w:cs="宋体"/>
          <w:color w:val="auto"/>
          <w:sz w:val="24"/>
          <w:szCs w:val="24"/>
        </w:rPr>
        <w:t>甲方：盐城市第三人民医院</w:t>
      </w:r>
    </w:p>
    <w:p w14:paraId="73616624">
      <w:pPr>
        <w:pStyle w:val="19"/>
        <w:snapToGrid w:val="0"/>
        <w:spacing w:line="360" w:lineRule="auto"/>
        <w:ind w:firstLine="480" w:firstLineChars="200"/>
        <w:rPr>
          <w:rFonts w:hAnsi="宋体" w:cs="宋体"/>
          <w:color w:val="auto"/>
          <w:sz w:val="24"/>
          <w:szCs w:val="24"/>
        </w:rPr>
      </w:pPr>
      <w:r>
        <w:rPr>
          <w:rFonts w:hint="eastAsia" w:hAnsi="宋体" w:cs="宋体"/>
          <w:color w:val="auto"/>
          <w:sz w:val="24"/>
          <w:szCs w:val="24"/>
        </w:rPr>
        <w:t>乙方：</w:t>
      </w:r>
    </w:p>
    <w:p w14:paraId="320D2BA0">
      <w:pPr>
        <w:pStyle w:val="19"/>
        <w:snapToGrid w:val="0"/>
        <w:spacing w:line="360" w:lineRule="auto"/>
        <w:ind w:firstLine="480" w:firstLineChars="200"/>
        <w:rPr>
          <w:rFonts w:hAnsi="宋体" w:cs="宋体"/>
          <w:color w:val="auto"/>
          <w:sz w:val="24"/>
          <w:szCs w:val="24"/>
        </w:rPr>
      </w:pPr>
      <w:r>
        <w:rPr>
          <w:rFonts w:hint="eastAsia" w:hAnsi="宋体" w:cs="宋体"/>
          <w:color w:val="auto"/>
          <w:sz w:val="24"/>
          <w:szCs w:val="24"/>
        </w:rPr>
        <w:t>为切实加强医院医疗废弃物管理和无害化处置，防止医疗废弃物污染环境，根据《中华人民共和国固体废物污染环境防治方法》、《医疗废物管理条例》及《医疗废物集中处置技术规范》(以下简称《规范》）的规定，本着自愿、平等、诚实信用的原则，甲、乙双方就医疗废弃物处置事宜，协商一致，达成如下协议:</w:t>
      </w:r>
    </w:p>
    <w:p w14:paraId="4679E438">
      <w:pPr>
        <w:pStyle w:val="19"/>
        <w:snapToGrid w:val="0"/>
        <w:spacing w:line="360" w:lineRule="auto"/>
        <w:ind w:firstLine="480" w:firstLineChars="200"/>
        <w:rPr>
          <w:rFonts w:hAnsi="宋体" w:cs="宋体"/>
          <w:color w:val="auto"/>
          <w:sz w:val="24"/>
          <w:szCs w:val="24"/>
        </w:rPr>
      </w:pPr>
      <w:r>
        <w:rPr>
          <w:rFonts w:hint="eastAsia" w:hAnsi="宋体" w:cs="宋体"/>
          <w:color w:val="auto"/>
          <w:sz w:val="24"/>
          <w:szCs w:val="24"/>
        </w:rPr>
        <w:t>第一条、本合同所指的医疗废弃物是指医疗卫生机构在医疗、预防、保健以及其它相关活动中产生的具有直接或间接感染性废物、损伤性废物以及其它危害性的废物，但不包括放射性废物。</w:t>
      </w:r>
    </w:p>
    <w:p w14:paraId="5BAF7559">
      <w:pPr>
        <w:pStyle w:val="19"/>
        <w:snapToGrid w:val="0"/>
        <w:spacing w:line="360" w:lineRule="auto"/>
        <w:ind w:firstLine="480" w:firstLineChars="200"/>
        <w:rPr>
          <w:color w:val="auto"/>
          <w:sz w:val="24"/>
          <w:szCs w:val="24"/>
        </w:rPr>
      </w:pPr>
      <w:r>
        <w:rPr>
          <w:color w:val="auto"/>
          <w:sz w:val="24"/>
          <w:szCs w:val="24"/>
        </w:rPr>
        <w:t>第二条</w:t>
      </w:r>
      <w:r>
        <w:rPr>
          <w:rFonts w:hint="eastAsia"/>
          <w:color w:val="auto"/>
          <w:sz w:val="24"/>
          <w:szCs w:val="24"/>
        </w:rPr>
        <w:t>、</w:t>
      </w:r>
      <w:r>
        <w:rPr>
          <w:color w:val="auto"/>
          <w:sz w:val="24"/>
          <w:szCs w:val="24"/>
        </w:rPr>
        <w:t>乙方负责在</w:t>
      </w:r>
      <w:r>
        <w:rPr>
          <w:rFonts w:hint="eastAsia"/>
          <w:color w:val="auto"/>
          <w:sz w:val="24"/>
          <w:szCs w:val="24"/>
          <w:lang w:val="en-US" w:eastAsia="zh-CN"/>
        </w:rPr>
        <w:t>甲方</w:t>
      </w:r>
      <w:r>
        <w:rPr>
          <w:color w:val="auto"/>
          <w:sz w:val="24"/>
          <w:szCs w:val="24"/>
        </w:rPr>
        <w:t>约定的医疗废物交接地点和交接时间，接受甲方产生的医疗废物，运至乙方进行无害化处置。</w:t>
      </w:r>
    </w:p>
    <w:p w14:paraId="30FC60F1">
      <w:pPr>
        <w:pStyle w:val="19"/>
        <w:snapToGrid w:val="0"/>
        <w:spacing w:line="360" w:lineRule="auto"/>
        <w:ind w:firstLine="480" w:firstLineChars="200"/>
        <w:rPr>
          <w:color w:val="auto"/>
          <w:sz w:val="24"/>
          <w:szCs w:val="24"/>
        </w:rPr>
      </w:pPr>
      <w:r>
        <w:rPr>
          <w:color w:val="auto"/>
          <w:sz w:val="24"/>
          <w:szCs w:val="24"/>
        </w:rPr>
        <w:t>第三条</w:t>
      </w:r>
      <w:r>
        <w:rPr>
          <w:rFonts w:hint="eastAsia"/>
          <w:color w:val="auto"/>
          <w:sz w:val="24"/>
          <w:szCs w:val="24"/>
        </w:rPr>
        <w:t>、</w:t>
      </w:r>
      <w:r>
        <w:rPr>
          <w:color w:val="auto"/>
          <w:sz w:val="24"/>
          <w:szCs w:val="24"/>
        </w:rPr>
        <w:t>甲方应严格按照《医疗废物管理条例》和</w:t>
      </w:r>
      <w:r>
        <w:rPr>
          <w:rFonts w:hint="eastAsia"/>
          <w:color w:val="auto"/>
          <w:sz w:val="24"/>
          <w:szCs w:val="24"/>
        </w:rPr>
        <w:t>《</w:t>
      </w:r>
      <w:r>
        <w:rPr>
          <w:color w:val="auto"/>
          <w:sz w:val="24"/>
          <w:szCs w:val="24"/>
        </w:rPr>
        <w:t>医疗卫生机构医疗废物管理办法》及</w:t>
      </w:r>
      <w:r>
        <w:rPr>
          <w:rFonts w:hint="eastAsia"/>
          <w:color w:val="auto"/>
          <w:sz w:val="24"/>
          <w:szCs w:val="24"/>
        </w:rPr>
        <w:t>《</w:t>
      </w:r>
      <w:r>
        <w:rPr>
          <w:color w:val="auto"/>
          <w:sz w:val="24"/>
          <w:szCs w:val="24"/>
        </w:rPr>
        <w:t>医疗废物集中处置技术规范》(以下简称《规范》)的规定将医疗废物进行分类、收集、转送、计量、包装、贮存，并且建立专门的医疗废物专用暂存场所。</w:t>
      </w:r>
    </w:p>
    <w:p w14:paraId="1EAC6753">
      <w:pPr>
        <w:pStyle w:val="19"/>
        <w:snapToGrid w:val="0"/>
        <w:spacing w:line="360" w:lineRule="auto"/>
        <w:ind w:firstLine="480" w:firstLineChars="200"/>
        <w:rPr>
          <w:color w:val="auto"/>
          <w:sz w:val="24"/>
          <w:szCs w:val="24"/>
          <w:highlight w:val="none"/>
        </w:rPr>
      </w:pPr>
      <w:r>
        <w:rPr>
          <w:color w:val="auto"/>
          <w:sz w:val="24"/>
          <w:szCs w:val="24"/>
        </w:rPr>
        <w:t>第四</w:t>
      </w:r>
      <w:r>
        <w:rPr>
          <w:color w:val="auto"/>
          <w:sz w:val="24"/>
          <w:szCs w:val="24"/>
          <w:highlight w:val="none"/>
        </w:rPr>
        <w:t>条</w:t>
      </w:r>
      <w:r>
        <w:rPr>
          <w:rFonts w:hint="eastAsia"/>
          <w:color w:val="auto"/>
          <w:sz w:val="24"/>
          <w:szCs w:val="24"/>
          <w:highlight w:val="none"/>
        </w:rPr>
        <w:t>、</w:t>
      </w:r>
      <w:r>
        <w:rPr>
          <w:rFonts w:hint="eastAsia" w:eastAsia="宋体"/>
          <w:color w:val="auto"/>
          <w:sz w:val="24"/>
          <w:szCs w:val="24"/>
          <w:highlight w:val="none"/>
          <w:lang w:val="en-US" w:eastAsia="zh-CN"/>
        </w:rPr>
        <w:t>合同金额及</w:t>
      </w:r>
      <w:r>
        <w:rPr>
          <w:color w:val="auto"/>
          <w:sz w:val="24"/>
          <w:szCs w:val="24"/>
          <w:highlight w:val="none"/>
        </w:rPr>
        <w:t>收费标准:</w:t>
      </w:r>
    </w:p>
    <w:p w14:paraId="6A94B5F6">
      <w:pPr>
        <w:pStyle w:val="19"/>
        <w:snapToGrid w:val="0"/>
        <w:spacing w:line="360" w:lineRule="auto"/>
        <w:ind w:firstLine="480" w:firstLineChars="200"/>
        <w:rPr>
          <w:rFonts w:hint="default" w:eastAsia="宋体"/>
          <w:color w:val="auto"/>
          <w:sz w:val="24"/>
          <w:szCs w:val="24"/>
          <w:highlight w:val="none"/>
          <w:lang w:val="en-US" w:eastAsia="zh-CN"/>
        </w:rPr>
      </w:pPr>
      <w:r>
        <w:rPr>
          <w:rFonts w:hint="eastAsia" w:eastAsia="宋体"/>
          <w:color w:val="auto"/>
          <w:sz w:val="24"/>
          <w:szCs w:val="24"/>
          <w:highlight w:val="none"/>
          <w:lang w:val="en-US" w:eastAsia="zh-CN"/>
        </w:rPr>
        <w:t>本合同金额为：</w:t>
      </w:r>
      <w:r>
        <w:rPr>
          <w:rFonts w:hint="eastAsia" w:ascii="宋体" w:hAnsi="宋体" w:eastAsia="宋体" w:cs="宋体"/>
          <w:color w:val="auto"/>
          <w:sz w:val="24"/>
          <w:szCs w:val="24"/>
          <w:highlight w:val="none"/>
        </w:rPr>
        <w:t>人民币（大写）  元（¥     )。</w:t>
      </w:r>
    </w:p>
    <w:p w14:paraId="41BB266B">
      <w:pPr>
        <w:pStyle w:val="19"/>
        <w:snapToGrid w:val="0"/>
        <w:spacing w:line="360" w:lineRule="auto"/>
        <w:ind w:firstLine="480" w:firstLineChars="200"/>
        <w:rPr>
          <w:rFonts w:hint="eastAsia" w:eastAsia="宋体"/>
          <w:color w:val="auto"/>
          <w:sz w:val="24"/>
          <w:szCs w:val="24"/>
          <w:highlight w:val="none"/>
          <w:lang w:eastAsia="zh-CN"/>
        </w:rPr>
      </w:pPr>
      <w:r>
        <w:rPr>
          <w:rFonts w:hint="eastAsia"/>
          <w:color w:val="auto"/>
          <w:sz w:val="24"/>
          <w:szCs w:val="24"/>
          <w:highlight w:val="none"/>
        </w:rPr>
        <w:t>乙方的医疗废物处置费按重量收费：处置费为</w:t>
      </w:r>
      <w:r>
        <w:rPr>
          <w:rFonts w:hint="eastAsia"/>
          <w:color w:val="auto"/>
          <w:sz w:val="24"/>
          <w:szCs w:val="24"/>
          <w:highlight w:val="none"/>
          <w:u w:val="single"/>
          <w:lang w:eastAsia="zh-CN"/>
        </w:rPr>
        <w:t>（</w:t>
      </w:r>
      <w:r>
        <w:rPr>
          <w:rFonts w:hint="eastAsia"/>
          <w:color w:val="auto"/>
          <w:sz w:val="24"/>
          <w:szCs w:val="24"/>
          <w:highlight w:val="none"/>
          <w:u w:val="single"/>
          <w:lang w:val="en-US" w:eastAsia="zh-CN"/>
        </w:rPr>
        <w:t>中标单价</w:t>
      </w:r>
      <w:r>
        <w:rPr>
          <w:rFonts w:hint="eastAsia"/>
          <w:color w:val="auto"/>
          <w:sz w:val="24"/>
          <w:szCs w:val="24"/>
          <w:highlight w:val="none"/>
          <w:u w:val="single"/>
          <w:lang w:eastAsia="zh-CN"/>
        </w:rPr>
        <w:t>）</w:t>
      </w:r>
      <w:r>
        <w:rPr>
          <w:rFonts w:hint="eastAsia"/>
          <w:color w:val="auto"/>
          <w:sz w:val="24"/>
          <w:szCs w:val="24"/>
          <w:highlight w:val="none"/>
          <w:lang w:val="en-US" w:eastAsia="zh-CN"/>
        </w:rPr>
        <w:t>元/</w:t>
      </w:r>
      <w:r>
        <w:rPr>
          <w:rFonts w:hint="eastAsia"/>
          <w:color w:val="auto"/>
          <w:sz w:val="24"/>
          <w:szCs w:val="24"/>
          <w:highlight w:val="none"/>
        </w:rPr>
        <w:t>吨</w:t>
      </w:r>
      <w:r>
        <w:rPr>
          <w:rFonts w:hint="eastAsia"/>
          <w:color w:val="auto"/>
          <w:sz w:val="24"/>
          <w:szCs w:val="24"/>
          <w:highlight w:val="none"/>
          <w:lang w:eastAsia="zh-CN"/>
        </w:rPr>
        <w:t>。</w:t>
      </w:r>
    </w:p>
    <w:p w14:paraId="448DFB41">
      <w:pPr>
        <w:pStyle w:val="19"/>
        <w:snapToGrid w:val="0"/>
        <w:spacing w:line="360" w:lineRule="auto"/>
        <w:ind w:firstLine="480" w:firstLineChars="200"/>
        <w:rPr>
          <w:color w:val="auto"/>
          <w:sz w:val="24"/>
          <w:szCs w:val="24"/>
          <w:highlight w:val="none"/>
        </w:rPr>
      </w:pPr>
      <w:r>
        <w:rPr>
          <w:color w:val="auto"/>
          <w:sz w:val="24"/>
          <w:szCs w:val="24"/>
          <w:highlight w:val="none"/>
        </w:rPr>
        <w:t>第五条</w:t>
      </w:r>
      <w:r>
        <w:rPr>
          <w:rFonts w:hint="eastAsia"/>
          <w:color w:val="auto"/>
          <w:sz w:val="24"/>
          <w:szCs w:val="24"/>
          <w:highlight w:val="none"/>
        </w:rPr>
        <w:t>、</w:t>
      </w:r>
      <w:r>
        <w:rPr>
          <w:color w:val="auto"/>
          <w:sz w:val="24"/>
          <w:szCs w:val="24"/>
          <w:highlight w:val="none"/>
        </w:rPr>
        <w:t>结算方式</w:t>
      </w:r>
    </w:p>
    <w:p w14:paraId="26A1565E">
      <w:pPr>
        <w:pStyle w:val="19"/>
        <w:snapToGrid w:val="0"/>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1、合同签订后，收到乙方发票10个工作日内，甲方向乙方支付合同金额的30%作为预付款（签订合同时，如乙方明确表示无需预付款或者主动要求降低预付款比例的，甲方可不适用前述规定）。</w:t>
      </w:r>
    </w:p>
    <w:p w14:paraId="4647F3AE">
      <w:pPr>
        <w:pStyle w:val="19"/>
        <w:snapToGrid w:val="0"/>
        <w:spacing w:line="360" w:lineRule="auto"/>
        <w:ind w:firstLine="480" w:firstLineChars="200"/>
        <w:rPr>
          <w:color w:val="auto"/>
          <w:sz w:val="24"/>
          <w:szCs w:val="24"/>
          <w:highlight w:val="none"/>
        </w:rPr>
      </w:pPr>
      <w:r>
        <w:rPr>
          <w:rFonts w:hint="eastAsia"/>
          <w:color w:val="auto"/>
          <w:sz w:val="24"/>
          <w:szCs w:val="24"/>
          <w:highlight w:val="none"/>
          <w:lang w:val="en-US" w:eastAsia="zh-CN"/>
        </w:rPr>
        <w:t>2、后续处置费按实际发生的重量结算：以甲、乙双方确认的实际收取的医疗废弃重量结算单为准。价格按中标单价执行，每季度结算一次。（</w:t>
      </w:r>
      <w:r>
        <w:rPr>
          <w:rFonts w:hint="eastAsia" w:eastAsia="宋体" w:cs="Courier New"/>
          <w:b w:val="0"/>
          <w:bCs w:val="0"/>
          <w:color w:val="auto"/>
          <w:sz w:val="24"/>
          <w:szCs w:val="24"/>
          <w:highlight w:val="none"/>
          <w:lang w:val="en-US" w:eastAsia="zh-CN"/>
        </w:rPr>
        <w:t>如有预付款，则每季度结算金额为：每季度实际结算金额—预付款/4）</w:t>
      </w:r>
    </w:p>
    <w:p w14:paraId="5958168D">
      <w:pPr>
        <w:pStyle w:val="19"/>
        <w:snapToGrid w:val="0"/>
        <w:spacing w:line="360" w:lineRule="auto"/>
        <w:ind w:firstLine="720" w:firstLineChars="300"/>
        <w:rPr>
          <w:color w:val="auto"/>
          <w:sz w:val="24"/>
          <w:szCs w:val="24"/>
        </w:rPr>
      </w:pPr>
      <w:r>
        <w:rPr>
          <w:color w:val="auto"/>
          <w:sz w:val="24"/>
          <w:szCs w:val="24"/>
        </w:rPr>
        <w:t>甲方将处置费支付到乙方下列指定账户</w:t>
      </w:r>
      <w:r>
        <w:rPr>
          <w:rFonts w:hint="eastAsia"/>
          <w:color w:val="auto"/>
          <w:sz w:val="24"/>
          <w:szCs w:val="24"/>
        </w:rPr>
        <w:t>：</w:t>
      </w:r>
    </w:p>
    <w:p w14:paraId="3B908B5D">
      <w:pPr>
        <w:pStyle w:val="19"/>
        <w:snapToGrid w:val="0"/>
        <w:spacing w:line="360" w:lineRule="auto"/>
        <w:ind w:firstLine="720" w:firstLineChars="300"/>
        <w:rPr>
          <w:color w:val="auto"/>
          <w:sz w:val="24"/>
          <w:szCs w:val="24"/>
        </w:rPr>
      </w:pPr>
      <w:r>
        <w:rPr>
          <w:rFonts w:hint="eastAsia"/>
          <w:color w:val="auto"/>
          <w:sz w:val="24"/>
          <w:szCs w:val="24"/>
        </w:rPr>
        <w:t xml:space="preserve">收款单位名称： </w:t>
      </w:r>
    </w:p>
    <w:p w14:paraId="6C29AFC4">
      <w:pPr>
        <w:pStyle w:val="19"/>
        <w:snapToGrid w:val="0"/>
        <w:spacing w:line="360" w:lineRule="auto"/>
        <w:ind w:firstLine="720" w:firstLineChars="300"/>
        <w:rPr>
          <w:color w:val="auto"/>
          <w:sz w:val="24"/>
          <w:szCs w:val="24"/>
        </w:rPr>
      </w:pPr>
      <w:r>
        <w:rPr>
          <w:rFonts w:hint="eastAsia"/>
          <w:color w:val="auto"/>
          <w:sz w:val="24"/>
          <w:szCs w:val="24"/>
        </w:rPr>
        <w:t xml:space="preserve">收款开户银行名称： </w:t>
      </w:r>
    </w:p>
    <w:p w14:paraId="6A581F73">
      <w:pPr>
        <w:pStyle w:val="19"/>
        <w:snapToGrid w:val="0"/>
        <w:spacing w:line="360" w:lineRule="auto"/>
        <w:ind w:firstLine="480" w:firstLineChars="200"/>
        <w:rPr>
          <w:color w:val="auto"/>
          <w:sz w:val="24"/>
          <w:szCs w:val="24"/>
        </w:rPr>
      </w:pPr>
      <w:r>
        <w:rPr>
          <w:color w:val="auto"/>
          <w:sz w:val="24"/>
          <w:szCs w:val="24"/>
        </w:rPr>
        <w:t>第</w:t>
      </w:r>
      <w:r>
        <w:rPr>
          <w:rFonts w:hint="eastAsia"/>
          <w:color w:val="auto"/>
          <w:sz w:val="24"/>
          <w:szCs w:val="24"/>
          <w:lang w:val="en-US" w:eastAsia="zh-CN"/>
        </w:rPr>
        <w:t>六</w:t>
      </w:r>
      <w:r>
        <w:rPr>
          <w:color w:val="auto"/>
          <w:sz w:val="24"/>
          <w:szCs w:val="24"/>
        </w:rPr>
        <w:t>条</w:t>
      </w:r>
      <w:r>
        <w:rPr>
          <w:rFonts w:hint="eastAsia"/>
          <w:color w:val="auto"/>
          <w:sz w:val="24"/>
          <w:szCs w:val="24"/>
        </w:rPr>
        <w:t>、</w:t>
      </w:r>
      <w:r>
        <w:rPr>
          <w:color w:val="auto"/>
          <w:sz w:val="24"/>
          <w:szCs w:val="24"/>
        </w:rPr>
        <w:t>如甲方在协议有效期内出现停业或者其他需要停止收运的情况，甲方出具相关证明后，由乙方将相对应的医疗废物</w:t>
      </w:r>
      <w:r>
        <w:rPr>
          <w:rFonts w:hint="eastAsia"/>
          <w:color w:val="auto"/>
          <w:sz w:val="24"/>
          <w:szCs w:val="24"/>
        </w:rPr>
        <w:t>处置</w:t>
      </w:r>
      <w:r>
        <w:rPr>
          <w:color w:val="auto"/>
          <w:sz w:val="24"/>
          <w:szCs w:val="24"/>
        </w:rPr>
        <w:t>费退回给甲方。</w:t>
      </w:r>
    </w:p>
    <w:p w14:paraId="7EAD333A">
      <w:pPr>
        <w:pStyle w:val="19"/>
        <w:snapToGrid w:val="0"/>
        <w:spacing w:line="360" w:lineRule="auto"/>
        <w:ind w:firstLine="480" w:firstLineChars="200"/>
        <w:rPr>
          <w:color w:val="auto"/>
          <w:sz w:val="24"/>
          <w:szCs w:val="24"/>
        </w:rPr>
      </w:pPr>
      <w:r>
        <w:rPr>
          <w:color w:val="auto"/>
          <w:sz w:val="24"/>
          <w:szCs w:val="24"/>
        </w:rPr>
        <w:t>第</w:t>
      </w:r>
      <w:r>
        <w:rPr>
          <w:rFonts w:hint="eastAsia"/>
          <w:color w:val="auto"/>
          <w:sz w:val="24"/>
          <w:szCs w:val="24"/>
          <w:lang w:val="en-US" w:eastAsia="zh-CN"/>
        </w:rPr>
        <w:t>七</w:t>
      </w:r>
      <w:r>
        <w:rPr>
          <w:color w:val="auto"/>
          <w:sz w:val="24"/>
          <w:szCs w:val="24"/>
        </w:rPr>
        <w:t>条</w:t>
      </w:r>
      <w:r>
        <w:rPr>
          <w:rFonts w:hint="eastAsia"/>
          <w:color w:val="auto"/>
          <w:sz w:val="24"/>
          <w:szCs w:val="24"/>
        </w:rPr>
        <w:t>、</w:t>
      </w:r>
      <w:r>
        <w:rPr>
          <w:color w:val="auto"/>
          <w:sz w:val="24"/>
          <w:szCs w:val="24"/>
        </w:rPr>
        <w:t>甲方责任: </w:t>
      </w:r>
    </w:p>
    <w:p w14:paraId="1E7A3C21">
      <w:pPr>
        <w:pStyle w:val="19"/>
        <w:snapToGrid w:val="0"/>
        <w:spacing w:line="360" w:lineRule="auto"/>
        <w:ind w:firstLine="480" w:firstLineChars="200"/>
        <w:rPr>
          <w:color w:val="auto"/>
          <w:sz w:val="24"/>
          <w:szCs w:val="24"/>
        </w:rPr>
      </w:pPr>
      <w:r>
        <w:rPr>
          <w:rFonts w:hint="eastAsia"/>
          <w:color w:val="auto"/>
          <w:sz w:val="24"/>
          <w:szCs w:val="24"/>
        </w:rPr>
        <w:t>1、</w:t>
      </w:r>
      <w:r>
        <w:rPr>
          <w:color w:val="auto"/>
          <w:sz w:val="24"/>
          <w:szCs w:val="24"/>
        </w:rPr>
        <w:t>甲方应严格遵守《医疗卫生机构医疗废弃物管理办法》和《规范》的规定要求，将医疗废弃物按照《医疗废弃物专用包装物</w:t>
      </w:r>
      <w:r>
        <w:rPr>
          <w:rFonts w:hint="eastAsia"/>
          <w:color w:val="auto"/>
          <w:sz w:val="24"/>
          <w:szCs w:val="24"/>
        </w:rPr>
        <w:t>、</w:t>
      </w:r>
      <w:r>
        <w:rPr>
          <w:color w:val="auto"/>
          <w:sz w:val="24"/>
          <w:szCs w:val="24"/>
        </w:rPr>
        <w:t>容器和警示的标识规定》要求包装标识。分类收集、存放、明确警示、安善保管，医疗废物的暂存库房(箱体)应符合《规范》要求，装有医疗废弃物的专用袋子的封口要扎严，废物不得外露，并存放在专用周转箱里，封盖保存。包装袋和周转箱应干净、整洁、完好。 </w:t>
      </w:r>
    </w:p>
    <w:p w14:paraId="171E41FD">
      <w:pPr>
        <w:pStyle w:val="19"/>
        <w:snapToGrid w:val="0"/>
        <w:spacing w:line="360" w:lineRule="auto"/>
        <w:ind w:firstLine="480" w:firstLineChars="200"/>
        <w:rPr>
          <w:color w:val="auto"/>
          <w:sz w:val="24"/>
          <w:szCs w:val="24"/>
        </w:rPr>
      </w:pPr>
      <w:r>
        <w:rPr>
          <w:rFonts w:hint="eastAsia"/>
          <w:color w:val="auto"/>
          <w:sz w:val="24"/>
          <w:szCs w:val="24"/>
        </w:rPr>
        <w:t>2、</w:t>
      </w:r>
      <w:r>
        <w:rPr>
          <w:color w:val="auto"/>
          <w:sz w:val="24"/>
          <w:szCs w:val="24"/>
        </w:rPr>
        <w:t>其他废物不得混</w:t>
      </w:r>
      <w:r>
        <w:rPr>
          <w:rFonts w:hint="eastAsia"/>
          <w:color w:val="auto"/>
          <w:sz w:val="24"/>
          <w:szCs w:val="24"/>
        </w:rPr>
        <w:t>入</w:t>
      </w:r>
      <w:r>
        <w:rPr>
          <w:color w:val="auto"/>
          <w:sz w:val="24"/>
          <w:szCs w:val="24"/>
        </w:rPr>
        <w:t>医疗废物中，如未感染的生活垃圾等。 </w:t>
      </w:r>
    </w:p>
    <w:p w14:paraId="29D96063">
      <w:pPr>
        <w:pStyle w:val="19"/>
        <w:snapToGrid w:val="0"/>
        <w:spacing w:line="360" w:lineRule="auto"/>
        <w:ind w:firstLine="480" w:firstLineChars="200"/>
        <w:rPr>
          <w:color w:val="auto"/>
          <w:sz w:val="24"/>
          <w:szCs w:val="24"/>
        </w:rPr>
      </w:pPr>
      <w:r>
        <w:rPr>
          <w:rFonts w:hint="eastAsia"/>
          <w:color w:val="auto"/>
          <w:sz w:val="24"/>
          <w:szCs w:val="24"/>
        </w:rPr>
        <w:t>3、</w:t>
      </w:r>
      <w:r>
        <w:rPr>
          <w:color w:val="auto"/>
          <w:sz w:val="24"/>
          <w:szCs w:val="24"/>
        </w:rPr>
        <w:t>指定具体部门和人员负责对本方所产生的医疗废弃物的收集、存放、运输.交接:如实填写《危险废物转移联单》</w:t>
      </w:r>
      <w:r>
        <w:rPr>
          <w:rFonts w:hint="eastAsia"/>
          <w:color w:val="auto"/>
          <w:sz w:val="24"/>
          <w:szCs w:val="24"/>
        </w:rPr>
        <w:t>“</w:t>
      </w:r>
      <w:r>
        <w:rPr>
          <w:color w:val="auto"/>
          <w:sz w:val="24"/>
          <w:szCs w:val="24"/>
        </w:rPr>
        <w:t>废物产生单位栏</w:t>
      </w:r>
      <w:r>
        <w:rPr>
          <w:rFonts w:hint="eastAsia"/>
          <w:color w:val="auto"/>
          <w:sz w:val="24"/>
          <w:szCs w:val="24"/>
        </w:rPr>
        <w:t>”</w:t>
      </w:r>
      <w:r>
        <w:rPr>
          <w:color w:val="auto"/>
          <w:sz w:val="24"/>
          <w:szCs w:val="24"/>
        </w:rPr>
        <w:t>中的各项内容，并加盖本单位公章</w:t>
      </w:r>
      <w:r>
        <w:rPr>
          <w:rFonts w:hint="eastAsia"/>
          <w:color w:val="auto"/>
          <w:sz w:val="24"/>
          <w:szCs w:val="24"/>
        </w:rPr>
        <w:t>；</w:t>
      </w:r>
      <w:r>
        <w:rPr>
          <w:color w:val="auto"/>
          <w:sz w:val="24"/>
          <w:szCs w:val="24"/>
        </w:rPr>
        <w:t>做好本单位医疗废物的储存管理和消毒工作。存放医疗废弃物的场所要有防止他人进</w:t>
      </w:r>
      <w:r>
        <w:rPr>
          <w:rFonts w:hint="eastAsia"/>
          <w:color w:val="auto"/>
          <w:sz w:val="24"/>
          <w:szCs w:val="24"/>
        </w:rPr>
        <w:t>入</w:t>
      </w:r>
      <w:r>
        <w:rPr>
          <w:color w:val="auto"/>
          <w:sz w:val="24"/>
          <w:szCs w:val="24"/>
        </w:rPr>
        <w:t>的措施。</w:t>
      </w:r>
    </w:p>
    <w:p w14:paraId="40DA8E95">
      <w:pPr>
        <w:pStyle w:val="19"/>
        <w:snapToGrid w:val="0"/>
        <w:spacing w:line="360" w:lineRule="auto"/>
        <w:ind w:firstLine="480" w:firstLineChars="200"/>
        <w:rPr>
          <w:color w:val="auto"/>
          <w:sz w:val="24"/>
          <w:szCs w:val="24"/>
        </w:rPr>
      </w:pPr>
      <w:r>
        <w:rPr>
          <w:rFonts w:hint="eastAsia"/>
          <w:color w:val="auto"/>
          <w:sz w:val="24"/>
          <w:szCs w:val="24"/>
        </w:rPr>
        <w:t>4、</w:t>
      </w:r>
      <w:r>
        <w:rPr>
          <w:color w:val="auto"/>
          <w:sz w:val="24"/>
          <w:szCs w:val="24"/>
        </w:rPr>
        <w:t>保证运输车辆能够直接进</w:t>
      </w:r>
      <w:r>
        <w:rPr>
          <w:rFonts w:hint="eastAsia"/>
          <w:color w:val="auto"/>
          <w:sz w:val="24"/>
          <w:szCs w:val="24"/>
        </w:rPr>
        <w:t>入</w:t>
      </w:r>
      <w:r>
        <w:rPr>
          <w:color w:val="auto"/>
          <w:sz w:val="24"/>
          <w:szCs w:val="24"/>
        </w:rPr>
        <w:t>。 </w:t>
      </w:r>
    </w:p>
    <w:p w14:paraId="794035E1">
      <w:pPr>
        <w:pStyle w:val="19"/>
        <w:snapToGrid w:val="0"/>
        <w:spacing w:line="360" w:lineRule="auto"/>
        <w:ind w:firstLine="480" w:firstLineChars="200"/>
        <w:rPr>
          <w:color w:val="auto"/>
          <w:sz w:val="24"/>
          <w:szCs w:val="24"/>
        </w:rPr>
      </w:pPr>
      <w:r>
        <w:rPr>
          <w:rFonts w:hint="eastAsia"/>
          <w:color w:val="auto"/>
          <w:sz w:val="24"/>
          <w:szCs w:val="24"/>
        </w:rPr>
        <w:t>5、</w:t>
      </w:r>
      <w:r>
        <w:rPr>
          <w:color w:val="auto"/>
          <w:sz w:val="24"/>
          <w:szCs w:val="24"/>
        </w:rPr>
        <w:t>更换医疗废弃物处有场地时，应提前通知乙方。</w:t>
      </w:r>
    </w:p>
    <w:p w14:paraId="78615FBA">
      <w:pPr>
        <w:pStyle w:val="19"/>
        <w:snapToGrid w:val="0"/>
        <w:spacing w:line="360" w:lineRule="auto"/>
        <w:ind w:firstLine="480" w:firstLineChars="200"/>
        <w:rPr>
          <w:color w:val="auto"/>
          <w:sz w:val="24"/>
          <w:szCs w:val="24"/>
        </w:rPr>
      </w:pPr>
      <w:r>
        <w:rPr>
          <w:color w:val="auto"/>
          <w:sz w:val="24"/>
          <w:szCs w:val="24"/>
        </w:rPr>
        <w:t>第</w:t>
      </w:r>
      <w:r>
        <w:rPr>
          <w:rFonts w:hint="eastAsia"/>
          <w:color w:val="auto"/>
          <w:sz w:val="24"/>
          <w:szCs w:val="24"/>
          <w:lang w:val="en-US" w:eastAsia="zh-CN"/>
        </w:rPr>
        <w:t>八</w:t>
      </w:r>
      <w:r>
        <w:rPr>
          <w:color w:val="auto"/>
          <w:sz w:val="24"/>
          <w:szCs w:val="24"/>
        </w:rPr>
        <w:t>条</w:t>
      </w:r>
      <w:r>
        <w:rPr>
          <w:rFonts w:hint="eastAsia"/>
          <w:color w:val="auto"/>
          <w:sz w:val="24"/>
          <w:szCs w:val="24"/>
        </w:rPr>
        <w:t>、</w:t>
      </w:r>
      <w:r>
        <w:rPr>
          <w:color w:val="auto"/>
          <w:sz w:val="24"/>
          <w:szCs w:val="24"/>
        </w:rPr>
        <w:t>乙方责任</w:t>
      </w:r>
      <w:r>
        <w:rPr>
          <w:rFonts w:hint="eastAsia"/>
          <w:color w:val="auto"/>
          <w:sz w:val="24"/>
          <w:szCs w:val="24"/>
        </w:rPr>
        <w:t>：</w:t>
      </w:r>
      <w:r>
        <w:rPr>
          <w:color w:val="auto"/>
          <w:sz w:val="24"/>
          <w:szCs w:val="24"/>
        </w:rPr>
        <w:t> </w:t>
      </w:r>
    </w:p>
    <w:p w14:paraId="1E5C2BF3">
      <w:pPr>
        <w:pStyle w:val="19"/>
        <w:snapToGrid w:val="0"/>
        <w:spacing w:line="360" w:lineRule="auto"/>
        <w:ind w:firstLine="480" w:firstLineChars="200"/>
        <w:rPr>
          <w:color w:val="auto"/>
          <w:sz w:val="24"/>
          <w:szCs w:val="24"/>
        </w:rPr>
      </w:pPr>
      <w:r>
        <w:rPr>
          <w:rFonts w:hint="eastAsia"/>
          <w:color w:val="auto"/>
          <w:sz w:val="24"/>
          <w:szCs w:val="24"/>
        </w:rPr>
        <w:t>1、乙方</w:t>
      </w:r>
      <w:r>
        <w:rPr>
          <w:color w:val="auto"/>
          <w:sz w:val="24"/>
          <w:szCs w:val="24"/>
        </w:rPr>
        <w:t>按照《规范》要求，在转运，接收医疗废物过程中指派专人负责，将甲方已经包装好的医疗废物安全运达接收地点</w:t>
      </w:r>
      <w:r>
        <w:rPr>
          <w:rFonts w:hint="eastAsia"/>
          <w:color w:val="auto"/>
          <w:sz w:val="24"/>
          <w:szCs w:val="24"/>
        </w:rPr>
        <w:t>；</w:t>
      </w:r>
    </w:p>
    <w:p w14:paraId="41D8F0E6">
      <w:pPr>
        <w:pStyle w:val="19"/>
        <w:snapToGrid w:val="0"/>
        <w:spacing w:line="360" w:lineRule="auto"/>
        <w:ind w:firstLine="480" w:firstLineChars="200"/>
        <w:rPr>
          <w:color w:val="auto"/>
          <w:sz w:val="24"/>
          <w:szCs w:val="24"/>
        </w:rPr>
      </w:pPr>
      <w:r>
        <w:rPr>
          <w:rFonts w:hint="eastAsia"/>
          <w:color w:val="auto"/>
          <w:sz w:val="24"/>
          <w:szCs w:val="24"/>
        </w:rPr>
        <w:t>2、</w:t>
      </w:r>
      <w:r>
        <w:rPr>
          <w:color w:val="auto"/>
          <w:sz w:val="24"/>
          <w:szCs w:val="24"/>
        </w:rPr>
        <w:t>医疗废物运送人员在接受医疗废物时，应对移交的医疗</w:t>
      </w:r>
      <w:r>
        <w:rPr>
          <w:rFonts w:hint="eastAsia"/>
          <w:color w:val="auto"/>
          <w:sz w:val="24"/>
          <w:szCs w:val="24"/>
        </w:rPr>
        <w:t>废</w:t>
      </w:r>
      <w:r>
        <w:rPr>
          <w:color w:val="auto"/>
          <w:sz w:val="24"/>
          <w:szCs w:val="24"/>
        </w:rPr>
        <w:t>物进行核实，经核实无误后签收《危险废物转移联单) (医疗废物专用) </w:t>
      </w:r>
      <w:r>
        <w:rPr>
          <w:rFonts w:hint="eastAsia"/>
          <w:color w:val="auto"/>
          <w:sz w:val="24"/>
          <w:szCs w:val="24"/>
        </w:rPr>
        <w:t>；</w:t>
      </w:r>
    </w:p>
    <w:p w14:paraId="7B859BFE">
      <w:pPr>
        <w:pStyle w:val="19"/>
        <w:snapToGrid w:val="0"/>
        <w:spacing w:line="360" w:lineRule="auto"/>
        <w:ind w:firstLine="480" w:firstLineChars="200"/>
        <w:rPr>
          <w:rFonts w:hint="eastAsia"/>
          <w:color w:val="auto"/>
          <w:sz w:val="24"/>
          <w:szCs w:val="24"/>
        </w:rPr>
      </w:pPr>
      <w:r>
        <w:rPr>
          <w:rFonts w:hint="eastAsia"/>
          <w:color w:val="auto"/>
          <w:sz w:val="24"/>
          <w:szCs w:val="24"/>
        </w:rPr>
        <w:t>3、</w:t>
      </w:r>
      <w:r>
        <w:rPr>
          <w:color w:val="auto"/>
          <w:sz w:val="24"/>
          <w:szCs w:val="24"/>
        </w:rPr>
        <w:t>根据《医疗</w:t>
      </w:r>
      <w:r>
        <w:rPr>
          <w:rFonts w:hint="eastAsia"/>
          <w:color w:val="auto"/>
          <w:sz w:val="24"/>
          <w:szCs w:val="24"/>
        </w:rPr>
        <w:t>废</w:t>
      </w:r>
      <w:r>
        <w:rPr>
          <w:color w:val="auto"/>
          <w:sz w:val="24"/>
          <w:szCs w:val="24"/>
        </w:rPr>
        <w:t>物管理条例) 和《医疗废物集中</w:t>
      </w:r>
      <w:r>
        <w:rPr>
          <w:rFonts w:hint="eastAsia"/>
          <w:color w:val="auto"/>
          <w:sz w:val="24"/>
          <w:szCs w:val="24"/>
        </w:rPr>
        <w:t>处置</w:t>
      </w:r>
      <w:r>
        <w:rPr>
          <w:color w:val="auto"/>
          <w:sz w:val="24"/>
          <w:szCs w:val="24"/>
        </w:rPr>
        <w:t>技术规范》对接收的医疗废物进行无害化处置</w:t>
      </w:r>
      <w:r>
        <w:rPr>
          <w:rFonts w:hint="eastAsia"/>
          <w:color w:val="auto"/>
          <w:sz w:val="24"/>
          <w:szCs w:val="24"/>
          <w:lang w:val="en-US" w:eastAsia="zh-CN"/>
        </w:rPr>
        <w:t>，如因未按相应条例和规范要求妥善处理医废废弃物被相关部门查处的，一切责任和损失均由乙方承担，甲方有权无条件解除合同</w:t>
      </w:r>
      <w:r>
        <w:rPr>
          <w:rFonts w:hint="eastAsia"/>
          <w:color w:val="auto"/>
          <w:sz w:val="24"/>
          <w:szCs w:val="24"/>
        </w:rPr>
        <w:t>。</w:t>
      </w:r>
    </w:p>
    <w:p w14:paraId="62AD8499">
      <w:pPr>
        <w:pStyle w:val="19"/>
        <w:snapToGrid w:val="0"/>
        <w:spacing w:line="360" w:lineRule="auto"/>
        <w:ind w:firstLine="480" w:firstLineChars="200"/>
        <w:rPr>
          <w:rFonts w:hint="eastAsia" w:eastAsia="宋体"/>
          <w:color w:val="auto"/>
          <w:sz w:val="24"/>
          <w:szCs w:val="24"/>
          <w:highlight w:val="none"/>
          <w:lang w:val="en-US" w:eastAsia="zh-CN"/>
        </w:rPr>
      </w:pPr>
      <w:r>
        <w:rPr>
          <w:rFonts w:hint="eastAsia" w:eastAsia="宋体"/>
          <w:color w:val="auto"/>
          <w:sz w:val="24"/>
          <w:szCs w:val="24"/>
          <w:lang w:val="en-US" w:eastAsia="zh-CN"/>
        </w:rPr>
        <w:t>4、乙方应定期对工作人员进行医疗废物管理相关法律、专业技术、安全防护以及紧急</w:t>
      </w:r>
      <w:r>
        <w:rPr>
          <w:rFonts w:hint="eastAsia" w:eastAsia="宋体"/>
          <w:color w:val="auto"/>
          <w:sz w:val="24"/>
          <w:szCs w:val="24"/>
          <w:highlight w:val="none"/>
          <w:lang w:val="en-US" w:eastAsia="zh-CN"/>
        </w:rPr>
        <w:t>处理等知识的培训。</w:t>
      </w:r>
    </w:p>
    <w:p w14:paraId="43561E64">
      <w:pPr>
        <w:pStyle w:val="19"/>
        <w:snapToGrid w:val="0"/>
        <w:spacing w:line="360" w:lineRule="auto"/>
        <w:ind w:firstLine="480" w:firstLineChars="200"/>
        <w:rPr>
          <w:rFonts w:hint="eastAsia" w:eastAsia="宋体"/>
          <w:color w:val="auto"/>
          <w:sz w:val="24"/>
          <w:szCs w:val="24"/>
          <w:highlight w:val="none"/>
          <w:lang w:val="en-US" w:eastAsia="zh-CN"/>
        </w:rPr>
      </w:pPr>
      <w:r>
        <w:rPr>
          <w:rFonts w:hint="eastAsia" w:eastAsia="宋体"/>
          <w:color w:val="auto"/>
          <w:sz w:val="24"/>
          <w:szCs w:val="24"/>
          <w:highlight w:val="none"/>
          <w:lang w:val="en-US" w:eastAsia="zh-CN"/>
        </w:rPr>
        <w:t>5、乙方工作人员应统一着装并采取相应防护措施。</w:t>
      </w:r>
    </w:p>
    <w:p w14:paraId="2B332E4F">
      <w:pPr>
        <w:pStyle w:val="19"/>
        <w:snapToGrid w:val="0"/>
        <w:spacing w:line="360" w:lineRule="auto"/>
        <w:ind w:firstLine="480" w:firstLineChars="200"/>
        <w:rPr>
          <w:rFonts w:hint="eastAsia" w:eastAsia="宋体"/>
          <w:color w:val="auto"/>
          <w:sz w:val="24"/>
          <w:szCs w:val="24"/>
          <w:lang w:val="en-US" w:eastAsia="zh-CN"/>
        </w:rPr>
      </w:pPr>
      <w:r>
        <w:rPr>
          <w:rFonts w:hint="eastAsia" w:eastAsia="宋体"/>
          <w:color w:val="auto"/>
          <w:sz w:val="24"/>
          <w:szCs w:val="24"/>
          <w:highlight w:val="none"/>
          <w:lang w:val="en-US" w:eastAsia="zh-CN"/>
        </w:rPr>
        <w:t>6、</w:t>
      </w:r>
      <w:r>
        <w:rPr>
          <w:rFonts w:hint="eastAsia" w:eastAsia="宋体" w:cs="Courier New"/>
          <w:color w:val="auto"/>
          <w:sz w:val="24"/>
          <w:highlight w:val="none"/>
        </w:rPr>
        <w:t>医疗废物处置确保48小时内到医院收集</w:t>
      </w:r>
      <w:r>
        <w:rPr>
          <w:rFonts w:hint="eastAsia" w:eastAsia="宋体"/>
          <w:color w:val="auto"/>
          <w:sz w:val="24"/>
          <w:szCs w:val="24"/>
          <w:highlight w:val="none"/>
          <w:lang w:val="en-US" w:eastAsia="zh-CN"/>
        </w:rPr>
        <w:t>，有特</w:t>
      </w:r>
      <w:r>
        <w:rPr>
          <w:rFonts w:hint="eastAsia" w:eastAsia="宋体"/>
          <w:color w:val="auto"/>
          <w:sz w:val="24"/>
          <w:szCs w:val="24"/>
          <w:lang w:val="en-US" w:eastAsia="zh-CN"/>
        </w:rPr>
        <w:t>殊情况的，接到甲方通知后应及时增加运送频次，如因未及时运走医疗废弃物导致医疗处理站废物暂存超负荷，影响甲方运行的，一切责任和损失均由乙方承担。</w:t>
      </w:r>
    </w:p>
    <w:p w14:paraId="5A4F9B55">
      <w:pPr>
        <w:pStyle w:val="19"/>
        <w:snapToGrid w:val="0"/>
        <w:spacing w:line="360" w:lineRule="auto"/>
        <w:ind w:left="449" w:leftChars="214"/>
        <w:rPr>
          <w:color w:val="auto"/>
          <w:sz w:val="24"/>
          <w:szCs w:val="24"/>
        </w:rPr>
      </w:pPr>
      <w:r>
        <w:rPr>
          <w:color w:val="auto"/>
          <w:sz w:val="24"/>
          <w:szCs w:val="24"/>
        </w:rPr>
        <w:t>第</w:t>
      </w:r>
      <w:r>
        <w:rPr>
          <w:rFonts w:hint="eastAsia"/>
          <w:color w:val="auto"/>
          <w:sz w:val="24"/>
          <w:szCs w:val="24"/>
          <w:lang w:val="en-US" w:eastAsia="zh-CN"/>
        </w:rPr>
        <w:t>九</w:t>
      </w:r>
      <w:r>
        <w:rPr>
          <w:color w:val="auto"/>
          <w:sz w:val="24"/>
          <w:szCs w:val="24"/>
        </w:rPr>
        <w:t>条</w:t>
      </w:r>
      <w:r>
        <w:rPr>
          <w:rFonts w:hint="eastAsia"/>
          <w:color w:val="auto"/>
          <w:sz w:val="24"/>
          <w:szCs w:val="24"/>
        </w:rPr>
        <w:t>、</w:t>
      </w:r>
      <w:r>
        <w:rPr>
          <w:color w:val="auto"/>
          <w:sz w:val="24"/>
          <w:szCs w:val="24"/>
        </w:rPr>
        <w:t>其他条款</w:t>
      </w:r>
    </w:p>
    <w:p w14:paraId="1C9F7EB1">
      <w:pPr>
        <w:pStyle w:val="19"/>
        <w:snapToGrid w:val="0"/>
        <w:spacing w:line="360" w:lineRule="auto"/>
        <w:ind w:left="0" w:leftChars="0" w:firstLine="480" w:firstLineChars="200"/>
        <w:rPr>
          <w:color w:val="auto"/>
          <w:sz w:val="24"/>
          <w:szCs w:val="24"/>
        </w:rPr>
      </w:pPr>
      <w:r>
        <w:rPr>
          <w:rFonts w:hint="eastAsia"/>
          <w:color w:val="auto"/>
          <w:sz w:val="24"/>
          <w:szCs w:val="24"/>
        </w:rPr>
        <w:t>1、</w:t>
      </w:r>
      <w:r>
        <w:rPr>
          <w:color w:val="auto"/>
          <w:sz w:val="24"/>
          <w:szCs w:val="24"/>
        </w:rPr>
        <w:t>甲方自备周转箱(每年破碎率5%)，以及与周转箱配套使用的包装袋、利器盒等</w:t>
      </w:r>
      <w:r>
        <w:rPr>
          <w:rFonts w:hint="eastAsia"/>
          <w:color w:val="auto"/>
          <w:sz w:val="24"/>
          <w:szCs w:val="24"/>
        </w:rPr>
        <w:t>；</w:t>
      </w:r>
    </w:p>
    <w:p w14:paraId="3E0B2B95">
      <w:pPr>
        <w:pStyle w:val="19"/>
        <w:keepNext w:val="0"/>
        <w:keepLines w:val="0"/>
        <w:pageBreakBefore w:val="0"/>
        <w:widowControl w:val="0"/>
        <w:kinsoku/>
        <w:wordWrap/>
        <w:overflowPunct/>
        <w:topLinePunct w:val="0"/>
        <w:autoSpaceDE/>
        <w:autoSpaceDN/>
        <w:bidi w:val="0"/>
        <w:adjustRightInd/>
        <w:snapToGrid w:val="0"/>
        <w:spacing w:line="500" w:lineRule="exact"/>
        <w:ind w:firstLine="468" w:firstLineChars="195"/>
        <w:textAlignment w:val="auto"/>
        <w:rPr>
          <w:color w:val="auto"/>
          <w:sz w:val="24"/>
          <w:szCs w:val="24"/>
        </w:rPr>
      </w:pPr>
      <w:r>
        <w:rPr>
          <w:rFonts w:hint="eastAsia"/>
          <w:color w:val="auto"/>
          <w:sz w:val="24"/>
          <w:szCs w:val="24"/>
        </w:rPr>
        <w:t>2、</w:t>
      </w:r>
      <w:r>
        <w:rPr>
          <w:color w:val="auto"/>
          <w:sz w:val="24"/>
          <w:szCs w:val="24"/>
        </w:rPr>
        <w:t>甲乙双方做好周转箱的交接工作，如发生破损</w:t>
      </w:r>
      <w:r>
        <w:rPr>
          <w:rFonts w:hint="eastAsia"/>
          <w:color w:val="auto"/>
          <w:sz w:val="24"/>
          <w:szCs w:val="24"/>
        </w:rPr>
        <w:t>、毁坏</w:t>
      </w:r>
      <w:r>
        <w:rPr>
          <w:color w:val="auto"/>
          <w:sz w:val="24"/>
          <w:szCs w:val="24"/>
        </w:rPr>
        <w:t>或丢失，由造成损失</w:t>
      </w:r>
      <w:r>
        <w:rPr>
          <w:rFonts w:hint="eastAsia"/>
          <w:color w:val="auto"/>
          <w:sz w:val="24"/>
          <w:szCs w:val="24"/>
        </w:rPr>
        <w:t>的单方负责赔偿。</w:t>
      </w:r>
    </w:p>
    <w:p w14:paraId="2AC733CE">
      <w:pPr>
        <w:pStyle w:val="19"/>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color w:val="auto"/>
          <w:sz w:val="24"/>
          <w:szCs w:val="24"/>
        </w:rPr>
      </w:pPr>
      <w:r>
        <w:rPr>
          <w:color w:val="auto"/>
          <w:sz w:val="24"/>
          <w:szCs w:val="24"/>
        </w:rPr>
        <w:t>第十条</w:t>
      </w:r>
      <w:r>
        <w:rPr>
          <w:rFonts w:hint="eastAsia"/>
          <w:color w:val="auto"/>
          <w:sz w:val="24"/>
          <w:szCs w:val="24"/>
        </w:rPr>
        <w:t>、</w:t>
      </w:r>
      <w:r>
        <w:rPr>
          <w:color w:val="auto"/>
          <w:sz w:val="24"/>
          <w:szCs w:val="24"/>
        </w:rPr>
        <w:t>违约责任</w:t>
      </w:r>
    </w:p>
    <w:p w14:paraId="02FEAAED">
      <w:pPr>
        <w:pStyle w:val="19"/>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color w:val="auto"/>
          <w:sz w:val="24"/>
          <w:szCs w:val="24"/>
        </w:rPr>
      </w:pPr>
      <w:r>
        <w:rPr>
          <w:rFonts w:hint="eastAsia"/>
          <w:color w:val="auto"/>
          <w:sz w:val="24"/>
          <w:szCs w:val="24"/>
        </w:rPr>
        <w:t>1、甲</w:t>
      </w:r>
      <w:r>
        <w:rPr>
          <w:rFonts w:hint="eastAsia"/>
          <w:color w:val="auto"/>
          <w:sz w:val="24"/>
          <w:szCs w:val="24"/>
          <w:lang w:eastAsia="zh-CN"/>
        </w:rPr>
        <w:t>、</w:t>
      </w:r>
      <w:r>
        <w:rPr>
          <w:rFonts w:hint="eastAsia"/>
          <w:color w:val="auto"/>
          <w:sz w:val="24"/>
          <w:szCs w:val="24"/>
        </w:rPr>
        <w:t>乙双方必须严格履行本合同。如有一方未履行本合同规定的义务应视为违反合同违反方</w:t>
      </w:r>
      <w:r>
        <w:rPr>
          <w:color w:val="auto"/>
          <w:sz w:val="24"/>
          <w:szCs w:val="24"/>
        </w:rPr>
        <w:t>必须向另</w:t>
      </w:r>
      <w:r>
        <w:rPr>
          <w:rFonts w:hint="eastAsia"/>
          <w:color w:val="auto"/>
          <w:sz w:val="24"/>
          <w:szCs w:val="24"/>
        </w:rPr>
        <w:t>一方</w:t>
      </w:r>
      <w:r>
        <w:rPr>
          <w:color w:val="auto"/>
          <w:sz w:val="24"/>
          <w:szCs w:val="24"/>
        </w:rPr>
        <w:t>赔偿因违约引起的</w:t>
      </w:r>
      <w:r>
        <w:rPr>
          <w:rFonts w:hint="eastAsia"/>
          <w:color w:val="auto"/>
          <w:sz w:val="24"/>
          <w:szCs w:val="24"/>
        </w:rPr>
        <w:t>一切直接和可得利益的损失。</w:t>
      </w:r>
    </w:p>
    <w:p w14:paraId="7AFA89FB">
      <w:pPr>
        <w:pStyle w:val="19"/>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color w:val="auto"/>
          <w:sz w:val="24"/>
          <w:szCs w:val="24"/>
        </w:rPr>
      </w:pPr>
      <w:r>
        <w:rPr>
          <w:rFonts w:hint="eastAsia"/>
          <w:color w:val="auto"/>
          <w:sz w:val="24"/>
          <w:szCs w:val="24"/>
        </w:rPr>
        <w:t xml:space="preserve"> 2、</w:t>
      </w:r>
      <w:r>
        <w:rPr>
          <w:color w:val="auto"/>
          <w:sz w:val="24"/>
          <w:szCs w:val="24"/>
        </w:rPr>
        <w:t>本合同执行期</w:t>
      </w:r>
      <w:r>
        <w:rPr>
          <w:rFonts w:hint="eastAsia"/>
          <w:color w:val="auto"/>
          <w:sz w:val="24"/>
          <w:szCs w:val="24"/>
        </w:rPr>
        <w:t>间</w:t>
      </w:r>
      <w:r>
        <w:rPr>
          <w:color w:val="auto"/>
          <w:sz w:val="24"/>
          <w:szCs w:val="24"/>
        </w:rPr>
        <w:t>，如遇不可抗拒因素，致使合同无法履行时， 双方</w:t>
      </w:r>
      <w:r>
        <w:rPr>
          <w:rFonts w:hint="eastAsia"/>
          <w:color w:val="auto"/>
          <w:sz w:val="24"/>
          <w:szCs w:val="24"/>
        </w:rPr>
        <w:t>均</w:t>
      </w:r>
      <w:r>
        <w:rPr>
          <w:color w:val="auto"/>
          <w:sz w:val="24"/>
          <w:szCs w:val="24"/>
        </w:rPr>
        <w:t>不承担</w:t>
      </w:r>
      <w:r>
        <w:rPr>
          <w:rFonts w:hint="eastAsia"/>
          <w:color w:val="auto"/>
          <w:sz w:val="24"/>
          <w:szCs w:val="24"/>
        </w:rPr>
        <w:t>违约责任，</w:t>
      </w:r>
      <w:r>
        <w:rPr>
          <w:color w:val="auto"/>
          <w:sz w:val="24"/>
          <w:szCs w:val="24"/>
        </w:rPr>
        <w:t>并按有关法规政策的规定及时协商解决。</w:t>
      </w:r>
    </w:p>
    <w:p w14:paraId="7B7F292B">
      <w:pPr>
        <w:pStyle w:val="19"/>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color w:val="auto"/>
          <w:sz w:val="24"/>
          <w:szCs w:val="24"/>
        </w:rPr>
      </w:pPr>
      <w:r>
        <w:rPr>
          <w:color w:val="auto"/>
          <w:sz w:val="24"/>
          <w:szCs w:val="24"/>
        </w:rPr>
        <w:t>第</w:t>
      </w:r>
      <w:r>
        <w:rPr>
          <w:rFonts w:hint="eastAsia"/>
          <w:color w:val="auto"/>
          <w:sz w:val="24"/>
          <w:szCs w:val="24"/>
        </w:rPr>
        <w:t>十</w:t>
      </w:r>
      <w:r>
        <w:rPr>
          <w:rFonts w:hint="eastAsia"/>
          <w:color w:val="auto"/>
          <w:sz w:val="24"/>
          <w:szCs w:val="24"/>
          <w:lang w:val="en-US" w:eastAsia="zh-CN"/>
        </w:rPr>
        <w:t>一</w:t>
      </w:r>
      <w:r>
        <w:rPr>
          <w:rFonts w:hint="eastAsia"/>
          <w:color w:val="auto"/>
          <w:sz w:val="24"/>
          <w:szCs w:val="24"/>
        </w:rPr>
        <w:t>条、</w:t>
      </w:r>
      <w:r>
        <w:rPr>
          <w:color w:val="auto"/>
          <w:sz w:val="24"/>
          <w:szCs w:val="24"/>
        </w:rPr>
        <w:t>其他未尽事宜，可经双力协离签署补充协议，补充协议和本协</w:t>
      </w:r>
      <w:r>
        <w:rPr>
          <w:rFonts w:hint="eastAsia"/>
          <w:color w:val="auto"/>
          <w:sz w:val="24"/>
          <w:szCs w:val="24"/>
        </w:rPr>
        <w:t>同具有法律效力。</w:t>
      </w:r>
    </w:p>
    <w:p w14:paraId="3696C91C">
      <w:pPr>
        <w:pStyle w:val="19"/>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color w:val="auto"/>
          <w:sz w:val="24"/>
          <w:szCs w:val="24"/>
        </w:rPr>
      </w:pPr>
      <w:r>
        <w:rPr>
          <w:color w:val="auto"/>
          <w:sz w:val="24"/>
          <w:szCs w:val="24"/>
        </w:rPr>
        <w:t>第十</w:t>
      </w:r>
      <w:r>
        <w:rPr>
          <w:rFonts w:hint="eastAsia"/>
          <w:color w:val="auto"/>
          <w:sz w:val="24"/>
          <w:szCs w:val="24"/>
          <w:lang w:val="en-US" w:eastAsia="zh-CN"/>
        </w:rPr>
        <w:t>二</w:t>
      </w:r>
      <w:r>
        <w:rPr>
          <w:color w:val="auto"/>
          <w:sz w:val="24"/>
          <w:szCs w:val="24"/>
        </w:rPr>
        <w:t>条</w:t>
      </w:r>
      <w:r>
        <w:rPr>
          <w:rFonts w:hint="eastAsia"/>
          <w:color w:val="auto"/>
          <w:sz w:val="24"/>
          <w:szCs w:val="24"/>
        </w:rPr>
        <w:t>、</w:t>
      </w:r>
      <w:r>
        <w:rPr>
          <w:color w:val="auto"/>
          <w:sz w:val="24"/>
          <w:szCs w:val="24"/>
        </w:rPr>
        <w:t>本合同</w:t>
      </w:r>
      <w:r>
        <w:rPr>
          <w:rFonts w:hint="eastAsia"/>
          <w:color w:val="auto"/>
          <w:sz w:val="24"/>
          <w:szCs w:val="24"/>
          <w:lang w:val="en-US" w:eastAsia="zh-CN"/>
        </w:rPr>
        <w:t>一</w:t>
      </w:r>
      <w:r>
        <w:rPr>
          <w:color w:val="auto"/>
          <w:sz w:val="24"/>
          <w:szCs w:val="24"/>
        </w:rPr>
        <w:t>式</w:t>
      </w:r>
      <w:r>
        <w:rPr>
          <w:rFonts w:hint="eastAsia"/>
          <w:color w:val="auto"/>
          <w:sz w:val="24"/>
          <w:szCs w:val="24"/>
          <w:lang w:val="en-US" w:eastAsia="zh-CN"/>
        </w:rPr>
        <w:t>四</w:t>
      </w:r>
      <w:r>
        <w:rPr>
          <w:color w:val="auto"/>
          <w:sz w:val="24"/>
          <w:szCs w:val="24"/>
        </w:rPr>
        <w:t>份，甲</w:t>
      </w:r>
      <w:r>
        <w:rPr>
          <w:rFonts w:hint="eastAsia"/>
          <w:color w:val="auto"/>
          <w:sz w:val="24"/>
          <w:szCs w:val="24"/>
          <w:lang w:val="en-US" w:eastAsia="zh-CN"/>
        </w:rPr>
        <w:t>方三份，</w:t>
      </w:r>
      <w:r>
        <w:rPr>
          <w:color w:val="auto"/>
          <w:sz w:val="24"/>
          <w:szCs w:val="24"/>
        </w:rPr>
        <w:t>乙方</w:t>
      </w:r>
      <w:r>
        <w:rPr>
          <w:rFonts w:hint="eastAsia"/>
          <w:color w:val="auto"/>
          <w:sz w:val="24"/>
          <w:szCs w:val="24"/>
          <w:lang w:val="en-US" w:eastAsia="zh-CN"/>
        </w:rPr>
        <w:t>一</w:t>
      </w:r>
      <w:r>
        <w:rPr>
          <w:color w:val="auto"/>
          <w:sz w:val="24"/>
          <w:szCs w:val="24"/>
        </w:rPr>
        <w:t>份。</w:t>
      </w:r>
    </w:p>
    <w:p w14:paraId="49C3739A">
      <w:pPr>
        <w:pStyle w:val="19"/>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hAnsi="宋体"/>
          <w:color w:val="auto"/>
          <w:sz w:val="24"/>
          <w:szCs w:val="24"/>
        </w:rPr>
      </w:pPr>
      <w:r>
        <w:rPr>
          <w:color w:val="auto"/>
          <w:sz w:val="24"/>
          <w:szCs w:val="24"/>
        </w:rPr>
        <w:t>本合同有效期自</w:t>
      </w:r>
      <w:r>
        <w:rPr>
          <w:rFonts w:hint="eastAsia"/>
          <w:color w:val="auto"/>
          <w:sz w:val="24"/>
          <w:szCs w:val="24"/>
          <w:u w:val="single"/>
          <w:lang w:val="en-US" w:eastAsia="zh-CN"/>
        </w:rPr>
        <w:t xml:space="preserve">   </w:t>
      </w:r>
      <w:r>
        <w:rPr>
          <w:color w:val="auto"/>
          <w:sz w:val="24"/>
          <w:szCs w:val="24"/>
        </w:rPr>
        <w:t>年</w:t>
      </w:r>
      <w:r>
        <w:rPr>
          <w:rFonts w:hint="eastAsia"/>
          <w:color w:val="auto"/>
          <w:sz w:val="24"/>
          <w:szCs w:val="24"/>
          <w:u w:val="single"/>
          <w:lang w:val="en-US" w:eastAsia="zh-CN"/>
        </w:rPr>
        <w:t xml:space="preserve">  </w:t>
      </w:r>
      <w:r>
        <w:rPr>
          <w:color w:val="auto"/>
          <w:sz w:val="24"/>
          <w:szCs w:val="24"/>
        </w:rPr>
        <w:t>月</w:t>
      </w:r>
      <w:r>
        <w:rPr>
          <w:rFonts w:hint="eastAsia"/>
          <w:color w:val="auto"/>
          <w:sz w:val="24"/>
          <w:szCs w:val="24"/>
          <w:u w:val="single"/>
          <w:lang w:val="en-US" w:eastAsia="zh-CN"/>
        </w:rPr>
        <w:t xml:space="preserve">  </w:t>
      </w:r>
      <w:r>
        <w:rPr>
          <w:color w:val="auto"/>
          <w:sz w:val="24"/>
          <w:szCs w:val="24"/>
        </w:rPr>
        <w:t>日起至</w:t>
      </w:r>
      <w:r>
        <w:rPr>
          <w:rFonts w:hint="eastAsia"/>
          <w:color w:val="auto"/>
          <w:sz w:val="24"/>
          <w:szCs w:val="24"/>
          <w:u w:val="single"/>
          <w:lang w:val="en-US" w:eastAsia="zh-CN"/>
        </w:rPr>
        <w:t xml:space="preserve">   </w:t>
      </w:r>
      <w:r>
        <w:rPr>
          <w:color w:val="auto"/>
          <w:sz w:val="24"/>
          <w:szCs w:val="24"/>
        </w:rPr>
        <w:t>年</w:t>
      </w:r>
      <w:r>
        <w:rPr>
          <w:rFonts w:hint="eastAsia"/>
          <w:color w:val="auto"/>
          <w:sz w:val="24"/>
          <w:szCs w:val="24"/>
          <w:u w:val="single"/>
          <w:lang w:val="en-US" w:eastAsia="zh-CN"/>
        </w:rPr>
        <w:t xml:space="preserve">  </w:t>
      </w:r>
      <w:r>
        <w:rPr>
          <w:color w:val="auto"/>
          <w:sz w:val="24"/>
          <w:szCs w:val="24"/>
        </w:rPr>
        <w:t>月</w:t>
      </w:r>
      <w:r>
        <w:rPr>
          <w:rFonts w:hint="eastAsia"/>
          <w:color w:val="auto"/>
          <w:sz w:val="24"/>
          <w:szCs w:val="24"/>
          <w:u w:val="single"/>
          <w:lang w:val="en-US" w:eastAsia="zh-CN"/>
        </w:rPr>
        <w:t xml:space="preserve">  </w:t>
      </w:r>
      <w:r>
        <w:rPr>
          <w:color w:val="auto"/>
          <w:sz w:val="24"/>
          <w:szCs w:val="24"/>
        </w:rPr>
        <w:t>日止，双方代表签字盖章生效。</w:t>
      </w:r>
    </w:p>
    <w:p w14:paraId="317006E1">
      <w:pPr>
        <w:pStyle w:val="19"/>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Ansi="宋体"/>
          <w:color w:val="auto"/>
          <w:sz w:val="24"/>
          <w:szCs w:val="24"/>
        </w:rPr>
      </w:pPr>
      <w:r>
        <w:rPr>
          <w:rFonts w:hint="eastAsia" w:hAnsi="宋体"/>
          <w:color w:val="auto"/>
          <w:sz w:val="24"/>
          <w:szCs w:val="24"/>
        </w:rPr>
        <w:t>甲方：                                 乙方：</w:t>
      </w:r>
    </w:p>
    <w:p w14:paraId="42F19851">
      <w:pPr>
        <w:pStyle w:val="19"/>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Ansi="宋体"/>
          <w:color w:val="auto"/>
          <w:sz w:val="24"/>
          <w:szCs w:val="24"/>
        </w:rPr>
      </w:pPr>
      <w:r>
        <w:rPr>
          <w:rFonts w:hint="eastAsia" w:hAnsi="宋体"/>
          <w:color w:val="auto"/>
          <w:sz w:val="24"/>
          <w:szCs w:val="24"/>
        </w:rPr>
        <w:t xml:space="preserve">地址：                                </w:t>
      </w:r>
      <w:r>
        <w:rPr>
          <w:rFonts w:hint="eastAsia" w:hAnsi="宋体"/>
          <w:color w:val="auto"/>
          <w:sz w:val="24"/>
          <w:szCs w:val="24"/>
          <w:lang w:val="en-US" w:eastAsia="zh-CN"/>
        </w:rPr>
        <w:t xml:space="preserve"> </w:t>
      </w:r>
      <w:r>
        <w:rPr>
          <w:rFonts w:hint="eastAsia" w:hAnsi="宋体"/>
          <w:color w:val="auto"/>
          <w:sz w:val="24"/>
          <w:szCs w:val="24"/>
        </w:rPr>
        <w:t>地址：</w:t>
      </w:r>
    </w:p>
    <w:p w14:paraId="178EA4BA">
      <w:pPr>
        <w:pStyle w:val="19"/>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Ansi="宋体"/>
          <w:color w:val="auto"/>
          <w:sz w:val="24"/>
          <w:szCs w:val="24"/>
        </w:rPr>
      </w:pPr>
      <w:r>
        <w:rPr>
          <w:rFonts w:hint="eastAsia" w:hAnsi="宋体"/>
          <w:color w:val="auto"/>
          <w:sz w:val="24"/>
          <w:szCs w:val="24"/>
        </w:rPr>
        <w:t>法定代表人或授权代表</w:t>
      </w:r>
      <w:r>
        <w:rPr>
          <w:rFonts w:hint="eastAsia" w:hAnsi="宋体"/>
          <w:color w:val="auto"/>
          <w:sz w:val="24"/>
          <w:szCs w:val="24"/>
          <w:lang w:eastAsia="zh-CN"/>
        </w:rPr>
        <w:t>（</w:t>
      </w:r>
      <w:r>
        <w:rPr>
          <w:rFonts w:hint="eastAsia" w:hAnsi="宋体"/>
          <w:color w:val="auto"/>
          <w:sz w:val="24"/>
          <w:szCs w:val="24"/>
          <w:lang w:val="en-US" w:eastAsia="zh-CN"/>
        </w:rPr>
        <w:t>签字</w:t>
      </w:r>
      <w:r>
        <w:rPr>
          <w:rFonts w:hint="eastAsia" w:hAnsi="宋体"/>
          <w:color w:val="auto"/>
          <w:sz w:val="24"/>
          <w:szCs w:val="24"/>
          <w:lang w:eastAsia="zh-CN"/>
        </w:rPr>
        <w:t>）</w:t>
      </w:r>
      <w:r>
        <w:rPr>
          <w:rFonts w:hint="eastAsia" w:hAnsi="宋体"/>
          <w:color w:val="auto"/>
          <w:sz w:val="24"/>
          <w:szCs w:val="24"/>
        </w:rPr>
        <w:t>：         法定代表人或授权代表</w:t>
      </w:r>
      <w:r>
        <w:rPr>
          <w:rFonts w:hint="eastAsia" w:hAnsi="宋体"/>
          <w:color w:val="auto"/>
          <w:sz w:val="24"/>
          <w:szCs w:val="24"/>
          <w:lang w:eastAsia="zh-CN"/>
        </w:rPr>
        <w:t>（</w:t>
      </w:r>
      <w:r>
        <w:rPr>
          <w:rFonts w:hint="eastAsia" w:hAnsi="宋体"/>
          <w:color w:val="auto"/>
          <w:sz w:val="24"/>
          <w:szCs w:val="24"/>
          <w:lang w:val="en-US" w:eastAsia="zh-CN"/>
        </w:rPr>
        <w:t>签字</w:t>
      </w:r>
      <w:r>
        <w:rPr>
          <w:rFonts w:hint="eastAsia" w:hAnsi="宋体"/>
          <w:color w:val="auto"/>
          <w:sz w:val="24"/>
          <w:szCs w:val="24"/>
          <w:lang w:eastAsia="zh-CN"/>
        </w:rPr>
        <w:t>）</w:t>
      </w:r>
      <w:r>
        <w:rPr>
          <w:rFonts w:hint="eastAsia" w:hAnsi="宋体"/>
          <w:color w:val="auto"/>
          <w:sz w:val="24"/>
          <w:szCs w:val="24"/>
        </w:rPr>
        <w:t>：</w:t>
      </w:r>
    </w:p>
    <w:p w14:paraId="688DF377">
      <w:pPr>
        <w:pStyle w:val="19"/>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hAnsi="宋体"/>
          <w:color w:val="auto"/>
          <w:sz w:val="24"/>
          <w:szCs w:val="24"/>
        </w:rPr>
      </w:pPr>
      <w:r>
        <w:rPr>
          <w:rFonts w:hint="eastAsia" w:hAnsi="宋体"/>
          <w:color w:val="auto"/>
          <w:sz w:val="24"/>
          <w:szCs w:val="24"/>
        </w:rPr>
        <w:t>联系电话：                             联系电话：</w:t>
      </w:r>
    </w:p>
    <w:p w14:paraId="515F2A2A">
      <w:pPr>
        <w:pStyle w:val="19"/>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Ansi="宋体"/>
          <w:b/>
          <w:color w:val="auto"/>
          <w:sz w:val="36"/>
          <w:szCs w:val="36"/>
        </w:rPr>
      </w:pPr>
      <w:r>
        <w:rPr>
          <w:rFonts w:hint="eastAsia" w:hAnsi="宋体"/>
          <w:color w:val="auto"/>
          <w:sz w:val="24"/>
          <w:szCs w:val="24"/>
        </w:rPr>
        <w:t>年   月   日                           年   月   日</w:t>
      </w:r>
    </w:p>
    <w:p w14:paraId="05EC1128">
      <w:pPr>
        <w:pStyle w:val="19"/>
        <w:snapToGrid w:val="0"/>
        <w:spacing w:before="120" w:after="120" w:line="500" w:lineRule="exact"/>
        <w:ind w:firstLine="360" w:firstLineChars="100"/>
        <w:jc w:val="center"/>
        <w:rPr>
          <w:rFonts w:hAnsi="宋体"/>
          <w:b/>
          <w:color w:val="auto"/>
          <w:sz w:val="36"/>
          <w:szCs w:val="36"/>
        </w:rPr>
        <w:sectPr>
          <w:footerReference r:id="rId7" w:type="first"/>
          <w:footerReference r:id="rId6" w:type="default"/>
          <w:pgSz w:w="11906" w:h="16838"/>
          <w:pgMar w:top="1418" w:right="1588" w:bottom="1418" w:left="1365" w:header="851" w:footer="907" w:gutter="0"/>
          <w:pgNumType w:fmt="decimal"/>
          <w:cols w:space="425" w:num="1"/>
          <w:titlePg/>
          <w:docGrid w:type="lines" w:linePitch="290" w:charSpace="0"/>
        </w:sectPr>
      </w:pPr>
    </w:p>
    <w:p w14:paraId="7DE16AAE">
      <w:pPr>
        <w:pStyle w:val="4"/>
        <w:snapToGrid w:val="0"/>
        <w:spacing w:before="0" w:after="0" w:line="360" w:lineRule="auto"/>
        <w:jc w:val="center"/>
        <w:rPr>
          <w:rFonts w:ascii="黑体" w:hAnsi="黑体" w:eastAsia="黑体"/>
          <w:b w:val="0"/>
          <w:bCs/>
          <w:color w:val="auto"/>
          <w:sz w:val="36"/>
          <w:szCs w:val="36"/>
          <w:highlight w:val="none"/>
        </w:rPr>
      </w:pPr>
      <w:r>
        <w:rPr>
          <w:rFonts w:hint="eastAsia" w:ascii="黑体" w:hAnsi="黑体" w:eastAsia="黑体"/>
          <w:b w:val="0"/>
          <w:bCs/>
          <w:color w:val="auto"/>
          <w:sz w:val="36"/>
          <w:szCs w:val="36"/>
          <w:highlight w:val="none"/>
        </w:rPr>
        <w:t>第四章  项目需求</w:t>
      </w:r>
    </w:p>
    <w:p w14:paraId="5902BB70">
      <w:pPr>
        <w:autoSpaceDE w:val="0"/>
        <w:spacing w:line="360" w:lineRule="auto"/>
        <w:ind w:firstLine="422" w:firstLineChars="200"/>
        <w:rPr>
          <w:rFonts w:hint="default" w:ascii="宋体" w:hAnsi="宋体" w:eastAsia="宋体" w:cs="宋体"/>
          <w:b/>
          <w:bCs/>
          <w:color w:val="auto"/>
          <w:highlight w:val="none"/>
          <w:lang w:val="en-US" w:eastAsia="zh-CN"/>
        </w:rPr>
      </w:pPr>
      <w:bookmarkStart w:id="155" w:name="_Toc4137"/>
      <w:bookmarkStart w:id="156" w:name="_Hlt16619369"/>
      <w:bookmarkStart w:id="157" w:name="_Toc120614281"/>
      <w:r>
        <w:rPr>
          <w:rFonts w:hint="eastAsia" w:ascii="宋体" w:hAnsi="宋体" w:eastAsia="宋体" w:cs="宋体"/>
          <w:b/>
          <w:bCs/>
          <w:color w:val="auto"/>
          <w:highlight w:val="none"/>
          <w:lang w:val="en-US" w:eastAsia="zh-CN"/>
        </w:rPr>
        <w:t>一、项目概述</w:t>
      </w:r>
    </w:p>
    <w:p w14:paraId="20108143">
      <w:pPr>
        <w:autoSpaceDE w:val="0"/>
        <w:spacing w:line="360" w:lineRule="auto"/>
        <w:ind w:firstLine="480" w:firstLineChars="200"/>
        <w:rPr>
          <w:rFonts w:hint="eastAsia" w:eastAsia="宋体" w:cs="Courier New"/>
          <w:b w:val="0"/>
          <w:bCs w:val="0"/>
          <w:color w:val="auto"/>
          <w:sz w:val="24"/>
          <w:szCs w:val="24"/>
          <w:highlight w:val="none"/>
          <w:lang w:val="en-US" w:eastAsia="zh-CN"/>
        </w:rPr>
      </w:pPr>
      <w:r>
        <w:rPr>
          <w:rFonts w:hint="eastAsia" w:eastAsia="宋体" w:cs="Courier New"/>
          <w:b w:val="0"/>
          <w:bCs w:val="0"/>
          <w:color w:val="auto"/>
          <w:sz w:val="24"/>
          <w:szCs w:val="24"/>
          <w:highlight w:val="none"/>
          <w:lang w:val="en-US" w:eastAsia="zh-CN"/>
        </w:rPr>
        <w:t>1、盐城市第三人民医院医疗废物无害化处置项目，医疗废弃物年产生量约500吨，按照《中华人民共和国固体废物污染环境防治方法》、《医疗废物管理条例》及《医疗废物集中处置技术规范》等法律法规要求，对医疗废弃物进行收集、转运、处置，防止医疗废物污染环境。</w:t>
      </w:r>
    </w:p>
    <w:p w14:paraId="628796E0">
      <w:pPr>
        <w:autoSpaceDE w:val="0"/>
        <w:spacing w:line="360" w:lineRule="auto"/>
        <w:ind w:firstLine="480" w:firstLineChars="200"/>
        <w:rPr>
          <w:rFonts w:hint="eastAsia" w:eastAsia="宋体" w:cs="Courier New"/>
          <w:b w:val="0"/>
          <w:bCs w:val="0"/>
          <w:color w:val="auto"/>
          <w:sz w:val="24"/>
          <w:szCs w:val="24"/>
          <w:highlight w:val="none"/>
          <w:lang w:val="en-US" w:eastAsia="zh-CN"/>
        </w:rPr>
      </w:pPr>
      <w:r>
        <w:rPr>
          <w:rFonts w:hint="eastAsia" w:eastAsia="宋体" w:cs="Courier New"/>
          <w:b w:val="0"/>
          <w:bCs w:val="0"/>
          <w:color w:val="auto"/>
          <w:sz w:val="24"/>
          <w:szCs w:val="24"/>
          <w:highlight w:val="none"/>
          <w:lang w:val="en-US" w:eastAsia="zh-CN"/>
        </w:rPr>
        <w:t>2、预算金额：260万元/年。</w:t>
      </w:r>
    </w:p>
    <w:p w14:paraId="28BF6537">
      <w:pPr>
        <w:autoSpaceDE w:val="0"/>
        <w:spacing w:line="360" w:lineRule="auto"/>
        <w:ind w:firstLine="480" w:firstLineChars="200"/>
        <w:rPr>
          <w:rFonts w:hint="default" w:eastAsia="宋体" w:cs="Courier New"/>
          <w:b w:val="0"/>
          <w:bCs w:val="0"/>
          <w:color w:val="auto"/>
          <w:sz w:val="24"/>
          <w:szCs w:val="24"/>
          <w:highlight w:val="none"/>
          <w:lang w:val="en-US" w:eastAsia="zh-CN"/>
        </w:rPr>
      </w:pPr>
      <w:r>
        <w:rPr>
          <w:rFonts w:hint="eastAsia" w:eastAsia="宋体" w:cs="Courier New"/>
          <w:b w:val="0"/>
          <w:bCs w:val="0"/>
          <w:color w:val="auto"/>
          <w:sz w:val="24"/>
          <w:szCs w:val="24"/>
          <w:highlight w:val="none"/>
          <w:lang w:val="en-US" w:eastAsia="zh-CN"/>
        </w:rPr>
        <w:t>3、合同期限一年，合同期满经采购人考核合格，可续签合同，续签次数不超过两次。</w:t>
      </w:r>
    </w:p>
    <w:p w14:paraId="2018CB33">
      <w:pPr>
        <w:autoSpaceDE w:val="0"/>
        <w:spacing w:line="360" w:lineRule="auto"/>
        <w:ind w:firstLine="422" w:firstLineChars="200"/>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二</w:t>
      </w:r>
      <w:r>
        <w:rPr>
          <w:rFonts w:hint="eastAsia" w:ascii="宋体" w:hAnsi="宋体" w:eastAsia="宋体" w:cs="宋体"/>
          <w:b/>
          <w:bCs/>
          <w:color w:val="auto"/>
          <w:highlight w:val="none"/>
        </w:rPr>
        <w:t>、需求</w:t>
      </w:r>
      <w:r>
        <w:rPr>
          <w:rFonts w:hint="eastAsia" w:ascii="宋体" w:hAnsi="宋体" w:eastAsia="宋体" w:cs="宋体"/>
          <w:b/>
          <w:bCs/>
          <w:color w:val="auto"/>
          <w:highlight w:val="none"/>
          <w:lang w:val="en-US" w:eastAsia="zh-CN"/>
        </w:rPr>
        <w:t>清单</w:t>
      </w:r>
    </w:p>
    <w:tbl>
      <w:tblPr>
        <w:tblStyle w:val="38"/>
        <w:tblpPr w:leftFromText="180" w:rightFromText="180" w:vertAnchor="text" w:tblpXSpec="center" w:tblpY="1"/>
        <w:tblOverlap w:val="never"/>
        <w:tblW w:w="79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3"/>
        <w:gridCol w:w="2714"/>
        <w:gridCol w:w="2160"/>
        <w:gridCol w:w="2280"/>
      </w:tblGrid>
      <w:tr w14:paraId="5AE75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823" w:type="dxa"/>
            <w:shd w:val="clear" w:color="auto" w:fill="auto"/>
            <w:noWrap w:val="0"/>
            <w:vAlign w:val="center"/>
          </w:tcPr>
          <w:p w14:paraId="65891E1F">
            <w:pPr>
              <w:jc w:val="center"/>
              <w:rPr>
                <w:color w:val="auto"/>
                <w:sz w:val="28"/>
                <w:szCs w:val="28"/>
              </w:rPr>
            </w:pPr>
            <w:bookmarkStart w:id="158" w:name="_Toc514054482"/>
            <w:bookmarkEnd w:id="158"/>
            <w:bookmarkStart w:id="159" w:name="_Toc11678_WPSOffice_Level2"/>
            <w:bookmarkEnd w:id="159"/>
            <w:r>
              <w:rPr>
                <w:rFonts w:hint="eastAsia"/>
                <w:color w:val="auto"/>
                <w:sz w:val="28"/>
                <w:szCs w:val="28"/>
              </w:rPr>
              <w:t>序号</w:t>
            </w:r>
          </w:p>
        </w:tc>
        <w:tc>
          <w:tcPr>
            <w:tcW w:w="2714" w:type="dxa"/>
            <w:shd w:val="clear" w:color="auto" w:fill="auto"/>
            <w:noWrap w:val="0"/>
            <w:vAlign w:val="center"/>
          </w:tcPr>
          <w:p w14:paraId="6A6D9D7F">
            <w:pPr>
              <w:jc w:val="center"/>
              <w:rPr>
                <w:color w:val="auto"/>
                <w:sz w:val="28"/>
                <w:szCs w:val="28"/>
              </w:rPr>
            </w:pPr>
            <w:r>
              <w:rPr>
                <w:rFonts w:hint="eastAsia"/>
                <w:color w:val="auto"/>
                <w:sz w:val="28"/>
                <w:szCs w:val="28"/>
                <w:lang w:val="en-US" w:eastAsia="zh-CN"/>
              </w:rPr>
              <w:t>项目</w:t>
            </w:r>
            <w:r>
              <w:rPr>
                <w:rFonts w:hint="eastAsia"/>
                <w:color w:val="auto"/>
                <w:sz w:val="28"/>
                <w:szCs w:val="28"/>
              </w:rPr>
              <w:t>名称</w:t>
            </w:r>
          </w:p>
        </w:tc>
        <w:tc>
          <w:tcPr>
            <w:tcW w:w="2160" w:type="dxa"/>
            <w:shd w:val="clear" w:color="auto" w:fill="auto"/>
            <w:noWrap w:val="0"/>
            <w:vAlign w:val="center"/>
          </w:tcPr>
          <w:p w14:paraId="0EFE9DB8">
            <w:pPr>
              <w:jc w:val="center"/>
              <w:rPr>
                <w:color w:val="auto"/>
                <w:sz w:val="28"/>
                <w:szCs w:val="28"/>
              </w:rPr>
            </w:pPr>
            <w:r>
              <w:rPr>
                <w:rFonts w:hint="eastAsia"/>
                <w:color w:val="auto"/>
                <w:sz w:val="28"/>
                <w:szCs w:val="28"/>
              </w:rPr>
              <w:t>数量</w:t>
            </w:r>
          </w:p>
        </w:tc>
        <w:tc>
          <w:tcPr>
            <w:tcW w:w="2280" w:type="dxa"/>
            <w:shd w:val="clear" w:color="auto" w:fill="auto"/>
            <w:noWrap w:val="0"/>
            <w:vAlign w:val="center"/>
          </w:tcPr>
          <w:p w14:paraId="279F31C7">
            <w:pPr>
              <w:jc w:val="center"/>
              <w:rPr>
                <w:color w:val="auto"/>
                <w:sz w:val="28"/>
                <w:szCs w:val="28"/>
              </w:rPr>
            </w:pPr>
            <w:r>
              <w:rPr>
                <w:rFonts w:hint="eastAsia"/>
                <w:color w:val="auto"/>
                <w:sz w:val="28"/>
                <w:szCs w:val="28"/>
              </w:rPr>
              <w:t>固定单价</w:t>
            </w:r>
          </w:p>
        </w:tc>
      </w:tr>
      <w:tr w14:paraId="6976C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54" w:hRule="atLeast"/>
        </w:trPr>
        <w:tc>
          <w:tcPr>
            <w:tcW w:w="823" w:type="dxa"/>
            <w:shd w:val="clear" w:color="auto" w:fill="auto"/>
            <w:noWrap w:val="0"/>
            <w:vAlign w:val="center"/>
          </w:tcPr>
          <w:p w14:paraId="599F3AAC">
            <w:pPr>
              <w:widowControl/>
              <w:spacing w:line="360" w:lineRule="auto"/>
              <w:jc w:val="center"/>
              <w:rPr>
                <w:rFonts w:ascii="宋体" w:hAnsi="宋体" w:cs="宋体"/>
                <w:color w:val="auto"/>
                <w:kern w:val="0"/>
                <w:sz w:val="24"/>
                <w:highlight w:val="none"/>
              </w:rPr>
            </w:pPr>
            <w:r>
              <w:rPr>
                <w:rFonts w:ascii="宋体" w:hAnsi="宋体" w:cs="宋体"/>
                <w:color w:val="auto"/>
                <w:kern w:val="0"/>
                <w:sz w:val="24"/>
                <w:highlight w:val="none"/>
              </w:rPr>
              <w:t>1</w:t>
            </w:r>
          </w:p>
        </w:tc>
        <w:tc>
          <w:tcPr>
            <w:tcW w:w="2714" w:type="dxa"/>
            <w:shd w:val="clear" w:color="auto" w:fill="auto"/>
            <w:noWrap w:val="0"/>
            <w:vAlign w:val="center"/>
          </w:tcPr>
          <w:p w14:paraId="5C7FEE0F">
            <w:pPr>
              <w:spacing w:line="360" w:lineRule="auto"/>
              <w:jc w:val="center"/>
              <w:rPr>
                <w:rFonts w:hint="default" w:ascii="宋体" w:hAnsi="宋体" w:eastAsia="宋体"/>
                <w:color w:val="auto"/>
                <w:kern w:val="0"/>
                <w:sz w:val="24"/>
                <w:highlight w:val="none"/>
                <w:lang w:val="en-US" w:eastAsia="zh-CN"/>
              </w:rPr>
            </w:pPr>
            <w:r>
              <w:rPr>
                <w:rFonts w:hint="eastAsia" w:ascii="宋体" w:hAnsi="宋体"/>
                <w:bCs/>
                <w:color w:val="auto"/>
                <w:sz w:val="24"/>
                <w:highlight w:val="none"/>
                <w:lang w:val="en-US" w:eastAsia="zh-CN"/>
              </w:rPr>
              <w:t>盐城市第三人民医院医疗废物无害化处置项目</w:t>
            </w:r>
          </w:p>
        </w:tc>
        <w:tc>
          <w:tcPr>
            <w:tcW w:w="2160" w:type="dxa"/>
            <w:shd w:val="clear" w:color="auto" w:fill="auto"/>
            <w:noWrap w:val="0"/>
            <w:vAlign w:val="center"/>
          </w:tcPr>
          <w:p w14:paraId="09F2A2FC">
            <w:pPr>
              <w:widowControl/>
              <w:spacing w:line="360" w:lineRule="auto"/>
              <w:jc w:val="center"/>
              <w:rPr>
                <w:rFonts w:ascii="宋体" w:hAnsi="宋体"/>
                <w:color w:val="auto"/>
                <w:kern w:val="0"/>
                <w:sz w:val="24"/>
                <w:highlight w:val="none"/>
              </w:rPr>
            </w:pPr>
            <w:r>
              <w:rPr>
                <w:rFonts w:hint="eastAsia" w:ascii="宋体" w:hAnsi="宋体"/>
                <w:bCs/>
                <w:color w:val="auto"/>
                <w:sz w:val="24"/>
                <w:highlight w:val="none"/>
              </w:rPr>
              <w:t>需要处理的医疗废弃物，每年</w:t>
            </w:r>
            <w:r>
              <w:rPr>
                <w:rFonts w:hint="eastAsia" w:ascii="宋体" w:hAnsi="宋体"/>
                <w:color w:val="auto"/>
                <w:kern w:val="0"/>
                <w:sz w:val="24"/>
                <w:highlight w:val="none"/>
              </w:rPr>
              <w:t>暂估量约为</w:t>
            </w:r>
            <w:r>
              <w:rPr>
                <w:rFonts w:hint="eastAsia"/>
                <w:color w:val="auto"/>
                <w:kern w:val="0"/>
                <w:sz w:val="24"/>
                <w:highlight w:val="none"/>
                <w:lang w:val="en-US" w:eastAsia="zh-CN"/>
              </w:rPr>
              <w:t>500吨</w:t>
            </w:r>
            <w:r>
              <w:rPr>
                <w:rFonts w:hint="eastAsia" w:ascii="宋体" w:hAnsi="宋体"/>
                <w:color w:val="auto"/>
                <w:kern w:val="0"/>
                <w:sz w:val="24"/>
                <w:highlight w:val="none"/>
              </w:rPr>
              <w:t>/年</w:t>
            </w:r>
          </w:p>
        </w:tc>
        <w:tc>
          <w:tcPr>
            <w:tcW w:w="2280" w:type="dxa"/>
            <w:shd w:val="clear" w:color="auto" w:fill="auto"/>
            <w:noWrap w:val="0"/>
            <w:vAlign w:val="center"/>
          </w:tcPr>
          <w:p w14:paraId="258C0CBC">
            <w:pPr>
              <w:widowControl/>
              <w:spacing w:line="360" w:lineRule="auto"/>
              <w:jc w:val="center"/>
              <w:rPr>
                <w:rFonts w:ascii="宋体" w:hAnsi="宋体"/>
                <w:color w:val="auto"/>
                <w:kern w:val="0"/>
                <w:highlight w:val="none"/>
              </w:rPr>
            </w:pPr>
            <w:r>
              <w:rPr>
                <w:rFonts w:hint="eastAsia" w:ascii="宋体" w:hAnsi="宋体"/>
                <w:bCs/>
                <w:color w:val="auto"/>
                <w:sz w:val="24"/>
                <w:highlight w:val="none"/>
              </w:rPr>
              <w:t>医疗废物无害化处置费用，每吨</w:t>
            </w:r>
            <w:r>
              <w:rPr>
                <w:rFonts w:hint="eastAsia"/>
                <w:bCs/>
                <w:color w:val="auto"/>
                <w:sz w:val="24"/>
                <w:highlight w:val="none"/>
                <w:lang w:val="en-US" w:eastAsia="zh-CN"/>
              </w:rPr>
              <w:t>报价</w:t>
            </w:r>
            <w:r>
              <w:rPr>
                <w:rFonts w:hint="eastAsia" w:ascii="宋体" w:hAnsi="宋体"/>
                <w:color w:val="auto"/>
                <w:kern w:val="0"/>
                <w:sz w:val="24"/>
                <w:highlight w:val="none"/>
              </w:rPr>
              <w:t>不得高于</w:t>
            </w:r>
            <w:r>
              <w:rPr>
                <w:rFonts w:hint="eastAsia" w:ascii="宋体" w:hAnsi="宋体"/>
                <w:color w:val="auto"/>
                <w:kern w:val="0"/>
                <w:sz w:val="24"/>
                <w:highlight w:val="none"/>
                <w:lang w:val="en-US" w:eastAsia="zh-CN"/>
              </w:rPr>
              <w:t>5200元/吨</w:t>
            </w:r>
          </w:p>
        </w:tc>
      </w:tr>
    </w:tbl>
    <w:p w14:paraId="285FDF67">
      <w:pPr>
        <w:autoSpaceDE w:val="0"/>
        <w:spacing w:line="360" w:lineRule="auto"/>
        <w:ind w:firstLine="482" w:firstLineChars="200"/>
        <w:jc w:val="both"/>
        <w:rPr>
          <w:rFonts w:hint="default" w:eastAsia="宋体" w:cs="Courier New"/>
          <w:b/>
          <w:bCs/>
          <w:color w:val="auto"/>
          <w:sz w:val="24"/>
          <w:szCs w:val="24"/>
          <w:highlight w:val="none"/>
          <w:lang w:val="en-US" w:eastAsia="zh-CN"/>
        </w:rPr>
      </w:pPr>
      <w:r>
        <w:rPr>
          <w:rFonts w:hint="eastAsia" w:eastAsia="宋体" w:cs="Courier New"/>
          <w:b/>
          <w:bCs/>
          <w:color w:val="auto"/>
          <w:sz w:val="24"/>
          <w:szCs w:val="24"/>
          <w:highlight w:val="none"/>
          <w:lang w:val="en-US" w:eastAsia="zh-CN"/>
        </w:rPr>
        <w:t>三、服务要求</w:t>
      </w:r>
    </w:p>
    <w:p w14:paraId="7417C090">
      <w:pPr>
        <w:autoSpaceDE w:val="0"/>
        <w:spacing w:line="360" w:lineRule="auto"/>
        <w:ind w:firstLine="480" w:firstLineChars="200"/>
        <w:jc w:val="both"/>
        <w:rPr>
          <w:rFonts w:hint="eastAsia" w:eastAsia="宋体" w:cs="Courier New"/>
          <w:b w:val="0"/>
          <w:bCs w:val="0"/>
          <w:color w:val="auto"/>
          <w:sz w:val="24"/>
          <w:szCs w:val="24"/>
          <w:highlight w:val="none"/>
          <w:lang w:val="en-US" w:eastAsia="zh-CN"/>
        </w:rPr>
      </w:pPr>
      <w:r>
        <w:rPr>
          <w:rFonts w:hint="eastAsia" w:eastAsia="宋体" w:cs="Courier New"/>
          <w:b w:val="0"/>
          <w:bCs w:val="0"/>
          <w:color w:val="auto"/>
          <w:sz w:val="24"/>
          <w:szCs w:val="24"/>
          <w:highlight w:val="none"/>
          <w:lang w:val="en-US" w:eastAsia="zh-CN"/>
        </w:rPr>
        <w:t>1、医废处理单位应定期对工作人员进行医疗废物管理相关法律、专业技术、安全防护以及紧急处理等知识的培训；</w:t>
      </w:r>
    </w:p>
    <w:p w14:paraId="29F56A48">
      <w:pPr>
        <w:autoSpaceDE w:val="0"/>
        <w:spacing w:line="360" w:lineRule="auto"/>
        <w:ind w:firstLine="480" w:firstLineChars="200"/>
        <w:jc w:val="both"/>
        <w:rPr>
          <w:rFonts w:hint="eastAsia" w:eastAsia="宋体" w:cs="Courier New"/>
          <w:b w:val="0"/>
          <w:bCs w:val="0"/>
          <w:color w:val="auto"/>
          <w:sz w:val="24"/>
          <w:szCs w:val="24"/>
          <w:highlight w:val="none"/>
          <w:lang w:val="en-US" w:eastAsia="zh-CN"/>
        </w:rPr>
      </w:pPr>
      <w:r>
        <w:rPr>
          <w:rFonts w:hint="eastAsia" w:eastAsia="宋体" w:cs="Courier New"/>
          <w:b w:val="0"/>
          <w:bCs w:val="0"/>
          <w:color w:val="auto"/>
          <w:sz w:val="24"/>
          <w:szCs w:val="24"/>
          <w:highlight w:val="none"/>
          <w:lang w:val="en-US" w:eastAsia="zh-CN"/>
        </w:rPr>
        <w:t>2、医废处理单位工作人员应统一着装并采取相应防护措施；</w:t>
      </w:r>
    </w:p>
    <w:p w14:paraId="2FBE8663">
      <w:pPr>
        <w:autoSpaceDE w:val="0"/>
        <w:spacing w:line="360" w:lineRule="auto"/>
        <w:ind w:firstLine="480" w:firstLineChars="200"/>
        <w:jc w:val="both"/>
        <w:rPr>
          <w:rFonts w:hint="eastAsia" w:eastAsia="宋体" w:cs="Courier New"/>
          <w:b w:val="0"/>
          <w:bCs w:val="0"/>
          <w:color w:val="auto"/>
          <w:sz w:val="24"/>
          <w:szCs w:val="24"/>
          <w:highlight w:val="none"/>
          <w:lang w:val="en-US" w:eastAsia="zh-CN"/>
        </w:rPr>
      </w:pPr>
      <w:r>
        <w:rPr>
          <w:rFonts w:hint="eastAsia" w:eastAsia="宋体" w:cs="Courier New"/>
          <w:b w:val="0"/>
          <w:bCs w:val="0"/>
          <w:color w:val="auto"/>
          <w:sz w:val="24"/>
          <w:szCs w:val="24"/>
          <w:highlight w:val="none"/>
          <w:lang w:val="en-US" w:eastAsia="zh-CN"/>
        </w:rPr>
        <w:t>3、</w:t>
      </w:r>
      <w:r>
        <w:rPr>
          <w:rFonts w:hint="eastAsia" w:eastAsia="宋体" w:cs="Courier New"/>
          <w:color w:val="auto"/>
          <w:sz w:val="24"/>
          <w:highlight w:val="none"/>
        </w:rPr>
        <w:t>医疗废物处置确保48小时内到医院收集</w:t>
      </w:r>
      <w:r>
        <w:rPr>
          <w:rFonts w:hint="eastAsia" w:eastAsia="宋体" w:cs="Courier New"/>
          <w:b w:val="0"/>
          <w:bCs w:val="0"/>
          <w:color w:val="auto"/>
          <w:sz w:val="24"/>
          <w:szCs w:val="24"/>
          <w:highlight w:val="none"/>
          <w:lang w:val="en-US" w:eastAsia="zh-CN"/>
        </w:rPr>
        <w:t>，有特殊情况的，接到医院通知后应及时增加运送频次，如因未及时运走医疗废弃物导致医疗处理站废物暂存超负荷，影响医院运行的，一切责任和损失均由医废处理单位承担；</w:t>
      </w:r>
    </w:p>
    <w:p w14:paraId="636D3349">
      <w:pPr>
        <w:autoSpaceDE w:val="0"/>
        <w:spacing w:line="360" w:lineRule="auto"/>
        <w:ind w:firstLine="480" w:firstLineChars="200"/>
        <w:jc w:val="both"/>
        <w:rPr>
          <w:rFonts w:hint="eastAsia" w:eastAsia="宋体" w:cs="Courier New"/>
          <w:b w:val="0"/>
          <w:bCs w:val="0"/>
          <w:color w:val="auto"/>
          <w:sz w:val="24"/>
          <w:szCs w:val="24"/>
          <w:highlight w:val="none"/>
          <w:lang w:val="en-US" w:eastAsia="zh-CN"/>
        </w:rPr>
      </w:pPr>
      <w:r>
        <w:rPr>
          <w:rFonts w:hint="eastAsia" w:eastAsia="宋体" w:cs="Courier New"/>
          <w:b w:val="0"/>
          <w:bCs w:val="0"/>
          <w:color w:val="auto"/>
          <w:sz w:val="24"/>
          <w:szCs w:val="24"/>
          <w:highlight w:val="none"/>
          <w:lang w:val="en-US" w:eastAsia="zh-CN"/>
        </w:rPr>
        <w:t>4、医疗废物运送人员在接收医疗废物时，应对移交的医疗废物进行核实，经核实无误后签收《危险废物转移联单》（医疗废物专用）；</w:t>
      </w:r>
    </w:p>
    <w:p w14:paraId="08C8AF57">
      <w:pPr>
        <w:autoSpaceDE w:val="0"/>
        <w:spacing w:line="360" w:lineRule="auto"/>
        <w:ind w:firstLine="480" w:firstLineChars="200"/>
        <w:jc w:val="both"/>
        <w:rPr>
          <w:rFonts w:hint="eastAsia" w:eastAsia="宋体" w:cs="Courier New"/>
          <w:b w:val="0"/>
          <w:bCs w:val="0"/>
          <w:color w:val="auto"/>
          <w:sz w:val="24"/>
          <w:szCs w:val="24"/>
          <w:highlight w:val="none"/>
          <w:lang w:val="en-US" w:eastAsia="zh-CN"/>
        </w:rPr>
      </w:pPr>
      <w:r>
        <w:rPr>
          <w:rFonts w:hint="eastAsia" w:eastAsia="宋体" w:cs="Courier New"/>
          <w:b w:val="0"/>
          <w:bCs w:val="0"/>
          <w:color w:val="auto"/>
          <w:sz w:val="24"/>
          <w:szCs w:val="24"/>
          <w:highlight w:val="none"/>
          <w:lang w:val="en-US" w:eastAsia="zh-CN"/>
        </w:rPr>
        <w:t>5、医废处理单位按照《医疗废物集中处置技术规范》要求，在转运、接收医疗废物过程中指派专人负责，将甲方已经包装好的医疗废物安全运达接收地点；</w:t>
      </w:r>
    </w:p>
    <w:p w14:paraId="0C60A67F">
      <w:pPr>
        <w:autoSpaceDE w:val="0"/>
        <w:spacing w:line="360" w:lineRule="auto"/>
        <w:ind w:firstLine="480" w:firstLineChars="200"/>
        <w:jc w:val="both"/>
        <w:rPr>
          <w:rFonts w:hint="eastAsia" w:eastAsia="宋体" w:cs="Courier New"/>
          <w:b w:val="0"/>
          <w:bCs w:val="0"/>
          <w:color w:val="auto"/>
          <w:sz w:val="24"/>
          <w:szCs w:val="24"/>
          <w:highlight w:val="none"/>
          <w:lang w:val="en-US" w:eastAsia="zh-CN"/>
        </w:rPr>
      </w:pPr>
      <w:r>
        <w:rPr>
          <w:rFonts w:hint="eastAsia" w:eastAsia="宋体" w:cs="Courier New"/>
          <w:b w:val="0"/>
          <w:bCs w:val="0"/>
          <w:color w:val="auto"/>
          <w:sz w:val="24"/>
          <w:szCs w:val="24"/>
          <w:highlight w:val="none"/>
          <w:lang w:val="en-US" w:eastAsia="zh-CN"/>
        </w:rPr>
        <w:t>6、根据《医疗废物管理条例》和《医疗废物集中处置技术规范》对接收的医疗废物进行无害化处置，如因未按相应条例和规范要求妥善处理医废废弃物被相关部门查处的，一切责任和损失均由医废处理单位承担，医院有权无条件解除合同。</w:t>
      </w:r>
    </w:p>
    <w:p w14:paraId="70B7CEEA">
      <w:pPr>
        <w:autoSpaceDE w:val="0"/>
        <w:spacing w:line="360" w:lineRule="auto"/>
        <w:ind w:firstLine="480" w:firstLineChars="200"/>
        <w:jc w:val="both"/>
        <w:rPr>
          <w:rFonts w:hint="default" w:eastAsia="宋体" w:cs="Courier New"/>
          <w:b w:val="0"/>
          <w:bCs w:val="0"/>
          <w:color w:val="auto"/>
          <w:sz w:val="24"/>
          <w:szCs w:val="24"/>
          <w:highlight w:val="none"/>
          <w:lang w:val="en-US" w:eastAsia="zh-CN"/>
        </w:rPr>
      </w:pPr>
      <w:r>
        <w:rPr>
          <w:rFonts w:hint="eastAsia" w:eastAsia="宋体" w:cs="Courier New"/>
          <w:b w:val="0"/>
          <w:bCs w:val="0"/>
          <w:color w:val="auto"/>
          <w:sz w:val="24"/>
          <w:szCs w:val="24"/>
          <w:highlight w:val="none"/>
          <w:lang w:val="en-US" w:eastAsia="zh-CN"/>
        </w:rPr>
        <w:t>四、商务要求</w:t>
      </w:r>
    </w:p>
    <w:p w14:paraId="18437A42">
      <w:pPr>
        <w:autoSpaceDE w:val="0"/>
        <w:spacing w:line="360" w:lineRule="auto"/>
        <w:ind w:firstLine="480" w:firstLineChars="200"/>
        <w:jc w:val="both"/>
        <w:rPr>
          <w:rFonts w:hint="default" w:eastAsia="宋体" w:cs="Courier New"/>
          <w:b w:val="0"/>
          <w:bCs w:val="0"/>
          <w:color w:val="auto"/>
          <w:sz w:val="24"/>
          <w:szCs w:val="24"/>
          <w:highlight w:val="none"/>
          <w:lang w:val="en-US" w:eastAsia="zh-CN"/>
        </w:rPr>
      </w:pPr>
      <w:r>
        <w:rPr>
          <w:rFonts w:hint="eastAsia" w:eastAsia="宋体" w:cs="Courier New"/>
          <w:b w:val="0"/>
          <w:bCs w:val="0"/>
          <w:color w:val="auto"/>
          <w:sz w:val="24"/>
          <w:szCs w:val="24"/>
          <w:highlight w:val="none"/>
          <w:lang w:val="en-US" w:eastAsia="zh-CN"/>
        </w:rPr>
        <w:t>1、服务地点：</w:t>
      </w:r>
      <w:r>
        <w:rPr>
          <w:rFonts w:hint="eastAsia" w:ascii="宋体" w:hAnsi="宋体" w:eastAsia="宋体" w:cs="宋体"/>
          <w:color w:val="auto"/>
          <w:kern w:val="0"/>
          <w:sz w:val="24"/>
          <w:szCs w:val="24"/>
          <w:highlight w:val="none"/>
          <w:lang w:val="en-US" w:eastAsia="zh-CN"/>
        </w:rPr>
        <w:t>盐城市第三人民医院南院区和北院区</w:t>
      </w:r>
    </w:p>
    <w:p w14:paraId="283ED8E7">
      <w:pPr>
        <w:autoSpaceDE w:val="0"/>
        <w:spacing w:line="360" w:lineRule="auto"/>
        <w:ind w:firstLine="480" w:firstLineChars="200"/>
        <w:jc w:val="both"/>
        <w:rPr>
          <w:rFonts w:hint="eastAsia" w:eastAsia="宋体" w:cs="Courier New"/>
          <w:b w:val="0"/>
          <w:bCs w:val="0"/>
          <w:color w:val="auto"/>
          <w:sz w:val="24"/>
          <w:szCs w:val="24"/>
          <w:highlight w:val="none"/>
          <w:lang w:val="en-US" w:eastAsia="zh-CN"/>
        </w:rPr>
      </w:pPr>
      <w:r>
        <w:rPr>
          <w:rFonts w:hint="eastAsia" w:eastAsia="宋体" w:cs="Courier New"/>
          <w:b w:val="0"/>
          <w:bCs w:val="0"/>
          <w:color w:val="auto"/>
          <w:sz w:val="24"/>
          <w:szCs w:val="24"/>
          <w:highlight w:val="none"/>
          <w:lang w:val="en-US" w:eastAsia="zh-CN"/>
        </w:rPr>
        <w:t>2、结算方式：</w:t>
      </w:r>
    </w:p>
    <w:p w14:paraId="226F7465">
      <w:pPr>
        <w:autoSpaceDE w:val="0"/>
        <w:spacing w:line="360" w:lineRule="auto"/>
        <w:ind w:firstLine="480" w:firstLineChars="200"/>
        <w:jc w:val="both"/>
        <w:rPr>
          <w:rFonts w:hint="eastAsia" w:eastAsia="宋体" w:cs="Courier New"/>
          <w:b w:val="0"/>
          <w:bCs w:val="0"/>
          <w:color w:val="auto"/>
          <w:sz w:val="24"/>
          <w:szCs w:val="24"/>
          <w:highlight w:val="none"/>
          <w:lang w:val="en-US" w:eastAsia="zh-CN"/>
        </w:rPr>
      </w:pPr>
      <w:r>
        <w:rPr>
          <w:rFonts w:hint="eastAsia" w:eastAsia="宋体" w:cs="Courier New"/>
          <w:b w:val="0"/>
          <w:bCs w:val="0"/>
          <w:color w:val="auto"/>
          <w:sz w:val="24"/>
          <w:szCs w:val="24"/>
          <w:highlight w:val="none"/>
          <w:lang w:val="en-US" w:eastAsia="zh-CN"/>
        </w:rPr>
        <w:t>2.1合同签订后，收到乙方发票10个工作日内，甲方向乙方支付合同金额的30%作为预付款（签订合同时，如乙方明确表示无需预付款或者主动要求降低预付款比例的，甲方可不适用前述规定）。</w:t>
      </w:r>
    </w:p>
    <w:p w14:paraId="35F2D0D1">
      <w:pPr>
        <w:autoSpaceDE w:val="0"/>
        <w:spacing w:line="360" w:lineRule="auto"/>
        <w:ind w:firstLine="480" w:firstLineChars="200"/>
        <w:jc w:val="both"/>
        <w:rPr>
          <w:rFonts w:hint="eastAsia" w:eastAsia="宋体" w:cs="Courier New"/>
          <w:b w:val="0"/>
          <w:bCs w:val="0"/>
          <w:color w:val="auto"/>
          <w:sz w:val="24"/>
          <w:szCs w:val="24"/>
          <w:highlight w:val="none"/>
          <w:lang w:val="en-US" w:eastAsia="zh-CN"/>
        </w:rPr>
      </w:pPr>
      <w:r>
        <w:rPr>
          <w:rFonts w:hint="eastAsia" w:eastAsia="宋体" w:cs="Courier New"/>
          <w:b w:val="0"/>
          <w:bCs w:val="0"/>
          <w:color w:val="auto"/>
          <w:sz w:val="24"/>
          <w:szCs w:val="24"/>
          <w:highlight w:val="none"/>
          <w:lang w:val="en-US" w:eastAsia="zh-CN"/>
        </w:rPr>
        <w:t>2.2后续处置费按实际发生的重量结算：以甲、乙双方确认的实际收取的医疗废弃重量结算单为准。价格按中标单价执行，每季度结算一次。（如有预付款，则每季度结算金额为：每季度实际结算金额—预付款/4）</w:t>
      </w:r>
    </w:p>
    <w:p w14:paraId="4DD815E6">
      <w:pPr>
        <w:autoSpaceDE w:val="0"/>
        <w:spacing w:line="360" w:lineRule="auto"/>
        <w:ind w:firstLine="480" w:firstLineChars="200"/>
        <w:jc w:val="both"/>
        <w:rPr>
          <w:rFonts w:ascii="宋体" w:hAnsi="宋体"/>
          <w:b w:val="0"/>
          <w:bCs w:val="0"/>
          <w:color w:val="auto"/>
          <w:sz w:val="24"/>
          <w:szCs w:val="24"/>
        </w:rPr>
      </w:pPr>
      <w:r>
        <w:rPr>
          <w:rFonts w:hint="eastAsia" w:cs="Courier New"/>
          <w:b w:val="0"/>
          <w:bCs w:val="0"/>
          <w:color w:val="auto"/>
          <w:sz w:val="24"/>
          <w:szCs w:val="24"/>
          <w:highlight w:val="none"/>
        </w:rPr>
        <w:t>注：采购标的所属</w:t>
      </w:r>
      <w:r>
        <w:rPr>
          <w:rFonts w:hint="eastAsia" w:cs="Courier New"/>
          <w:b w:val="0"/>
          <w:bCs w:val="0"/>
          <w:color w:val="auto"/>
          <w:sz w:val="24"/>
          <w:szCs w:val="24"/>
          <w:highlight w:val="none"/>
          <w:u w:val="single"/>
          <w:lang w:val="en-US" w:eastAsia="zh-CN"/>
        </w:rPr>
        <w:t xml:space="preserve"> </w:t>
      </w:r>
      <w:r>
        <w:rPr>
          <w:rFonts w:hint="eastAsia" w:cs="Courier New"/>
          <w:b/>
          <w:bCs/>
          <w:color w:val="auto"/>
          <w:sz w:val="24"/>
          <w:szCs w:val="24"/>
          <w:highlight w:val="none"/>
          <w:u w:val="single"/>
          <w:lang w:val="en-US" w:eastAsia="zh-CN"/>
        </w:rPr>
        <w:t>其他未列明</w:t>
      </w:r>
      <w:r>
        <w:rPr>
          <w:rFonts w:hint="eastAsia" w:cs="Courier New"/>
          <w:b w:val="0"/>
          <w:bCs w:val="0"/>
          <w:color w:val="auto"/>
          <w:sz w:val="24"/>
          <w:szCs w:val="24"/>
          <w:highlight w:val="none"/>
          <w:u w:val="single"/>
          <w:lang w:val="en-US" w:eastAsia="zh-CN"/>
        </w:rPr>
        <w:t xml:space="preserve"> </w:t>
      </w:r>
      <w:r>
        <w:rPr>
          <w:rFonts w:hint="eastAsia" w:cs="Courier New"/>
          <w:b w:val="0"/>
          <w:bCs w:val="0"/>
          <w:color w:val="auto"/>
          <w:sz w:val="24"/>
          <w:szCs w:val="24"/>
          <w:highlight w:val="none"/>
        </w:rPr>
        <w:t>行业，根据《工业和信息化部、国家统计局、国家发展和改革委员会、财政部关于印发中小企业划型标准规定的通知》（工信部联企业[2011]300号）规定的划分标准填写。</w:t>
      </w:r>
    </w:p>
    <w:p w14:paraId="564B529C">
      <w:pPr>
        <w:rPr>
          <w:color w:val="auto"/>
          <w:sz w:val="24"/>
          <w:szCs w:val="24"/>
        </w:rPr>
        <w:sectPr>
          <w:pgSz w:w="11906" w:h="16838"/>
          <w:pgMar w:top="1418" w:right="1588" w:bottom="1418" w:left="1365" w:header="851" w:footer="907" w:gutter="0"/>
          <w:pgNumType w:fmt="decimal"/>
          <w:cols w:space="425" w:num="1"/>
          <w:titlePg/>
          <w:docGrid w:type="lines" w:linePitch="290" w:charSpace="0"/>
        </w:sectPr>
      </w:pPr>
    </w:p>
    <w:p w14:paraId="3CDF7737">
      <w:pPr>
        <w:rPr>
          <w:rFonts w:hint="eastAsia" w:ascii="黑体" w:hAnsi="宋体" w:eastAsia="黑体" w:cs="黑体"/>
          <w:color w:val="auto"/>
          <w:sz w:val="44"/>
          <w:szCs w:val="44"/>
          <w:highlight w:val="none"/>
        </w:rPr>
      </w:pPr>
    </w:p>
    <w:p w14:paraId="2A34FFCB">
      <w:pPr>
        <w:pStyle w:val="34"/>
        <w:spacing w:beforeAutospacing="0" w:afterAutospacing="0"/>
        <w:ind w:firstLine="440"/>
        <w:jc w:val="center"/>
        <w:outlineLvl w:val="0"/>
        <w:rPr>
          <w:rFonts w:hint="eastAsia" w:ascii="黑体" w:hAnsi="宋体" w:eastAsia="黑体" w:cs="黑体"/>
          <w:b/>
          <w:color w:val="auto"/>
          <w:sz w:val="44"/>
          <w:szCs w:val="44"/>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评标方法与评标标准</w:t>
      </w:r>
      <w:bookmarkEnd w:id="155"/>
    </w:p>
    <w:p w14:paraId="7B659CCD">
      <w:pPr>
        <w:pStyle w:val="34"/>
        <w:spacing w:beforeAutospacing="0" w:afterAutospacing="0"/>
        <w:ind w:firstLine="440"/>
        <w:jc w:val="center"/>
        <w:rPr>
          <w:rFonts w:hint="eastAsia" w:ascii="黑体" w:hAnsi="宋体" w:eastAsia="黑体" w:cs="黑体"/>
          <w:b/>
          <w:color w:val="auto"/>
          <w:sz w:val="44"/>
          <w:szCs w:val="44"/>
          <w:highlight w:val="none"/>
        </w:rPr>
      </w:pPr>
    </w:p>
    <w:p w14:paraId="0B9456DA">
      <w:pPr>
        <w:keepNext w:val="0"/>
        <w:keepLines w:val="0"/>
        <w:pageBreakBefore w:val="0"/>
        <w:widowControl w:val="0"/>
        <w:spacing w:line="500" w:lineRule="exact"/>
        <w:ind w:firstLine="477"/>
        <w:rPr>
          <w:rFonts w:hint="eastAsia" w:ascii="宋体" w:hAnsi="宋体" w:eastAsia="宋体" w:cs="宋体"/>
          <w:b/>
          <w:bCs/>
          <w:color w:val="auto"/>
          <w:sz w:val="28"/>
          <w:szCs w:val="28"/>
        </w:rPr>
      </w:pPr>
      <w:r>
        <w:rPr>
          <w:rFonts w:hint="eastAsia" w:ascii="宋体" w:hAnsi="宋体" w:eastAsia="宋体" w:cs="宋体"/>
          <w:color w:val="auto"/>
          <w:sz w:val="28"/>
          <w:szCs w:val="28"/>
          <w:highlight w:val="none"/>
        </w:rPr>
        <w:t> </w:t>
      </w:r>
      <w:r>
        <w:rPr>
          <w:rFonts w:hint="eastAsia" w:ascii="宋体" w:hAnsi="宋体" w:eastAsia="宋体" w:cs="宋体"/>
          <w:b/>
          <w:color w:val="auto"/>
          <w:sz w:val="28"/>
          <w:szCs w:val="28"/>
        </w:rPr>
        <w:t>一、</w:t>
      </w:r>
      <w:r>
        <w:rPr>
          <w:rFonts w:hint="eastAsia" w:ascii="宋体" w:hAnsi="宋体" w:eastAsia="宋体" w:cs="宋体"/>
          <w:b/>
          <w:bCs/>
          <w:color w:val="auto"/>
          <w:sz w:val="28"/>
          <w:szCs w:val="28"/>
        </w:rPr>
        <w:t>评标方法与定标原则</w:t>
      </w:r>
    </w:p>
    <w:p w14:paraId="4D74271E">
      <w:pPr>
        <w:keepNext w:val="0"/>
        <w:keepLines w:val="0"/>
        <w:pageBreakBefore w:val="0"/>
        <w:widowControl w:val="0"/>
        <w:spacing w:line="500" w:lineRule="exact"/>
        <w:ind w:firstLine="470"/>
        <w:rPr>
          <w:rFonts w:ascii="宋体" w:hAnsi="宋体" w:cs="宋体"/>
          <w:color w:val="auto"/>
          <w:sz w:val="24"/>
        </w:rPr>
      </w:pPr>
      <w:bookmarkStart w:id="160" w:name="OLE_LINK21"/>
      <w:r>
        <w:rPr>
          <w:rFonts w:hint="eastAsia" w:ascii="宋体" w:hAnsi="宋体" w:cs="宋体"/>
          <w:color w:val="auto"/>
          <w:sz w:val="24"/>
        </w:rPr>
        <w:t>本项目采用</w:t>
      </w:r>
      <w:r>
        <w:rPr>
          <w:rFonts w:hint="eastAsia" w:ascii="宋体" w:hAnsi="宋体" w:cs="宋体"/>
          <w:color w:val="auto"/>
          <w:sz w:val="24"/>
          <w:u w:val="single"/>
        </w:rPr>
        <w:t xml:space="preserve"> 综合评分 </w:t>
      </w:r>
      <w:r>
        <w:rPr>
          <w:rFonts w:hint="eastAsia" w:ascii="宋体" w:hAnsi="宋体" w:cs="宋体"/>
          <w:color w:val="auto"/>
          <w:sz w:val="24"/>
        </w:rPr>
        <w:t>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w:t>
      </w:r>
      <w:r>
        <w:rPr>
          <w:rFonts w:hint="eastAsia" w:ascii="宋体" w:hAnsi="宋体" w:cs="宋体"/>
          <w:color w:val="auto"/>
          <w:sz w:val="24"/>
          <w:lang w:eastAsia="zh-CN"/>
        </w:rPr>
        <w:t>供应商</w:t>
      </w:r>
      <w:r>
        <w:rPr>
          <w:rFonts w:hint="eastAsia" w:ascii="宋体" w:hAnsi="宋体" w:cs="宋体"/>
          <w:color w:val="auto"/>
          <w:sz w:val="24"/>
        </w:rPr>
        <w:t>为中标候选人，本项目选取1名中标候选人。</w:t>
      </w:r>
    </w:p>
    <w:p w14:paraId="2519ACCE">
      <w:pPr>
        <w:keepNext w:val="0"/>
        <w:keepLines w:val="0"/>
        <w:pageBreakBefore w:val="0"/>
        <w:widowControl w:val="0"/>
        <w:spacing w:line="500" w:lineRule="exact"/>
        <w:ind w:firstLine="472"/>
        <w:rPr>
          <w:rFonts w:ascii="宋体" w:hAnsi="宋体"/>
          <w:b/>
          <w:color w:val="auto"/>
          <w:sz w:val="24"/>
          <w:szCs w:val="24"/>
        </w:rPr>
      </w:pPr>
      <w:r>
        <w:rPr>
          <w:rFonts w:hint="eastAsia" w:ascii="宋体" w:hAnsi="宋体"/>
          <w:b/>
          <w:color w:val="auto"/>
          <w:sz w:val="24"/>
          <w:szCs w:val="24"/>
        </w:rPr>
        <w:t>政府采购政策功能落实</w:t>
      </w:r>
    </w:p>
    <w:p w14:paraId="19ADC9A6">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1、小微型企业</w:t>
      </w:r>
    </w:p>
    <w:p w14:paraId="09B1B2A6">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（1）本项目专门面向中小微企业采购，不再对小型和微型企业给予价格扣除。</w:t>
      </w:r>
    </w:p>
    <w:p w14:paraId="63C0263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（2）供应商需按照招标文件的要求提供相应的《中小微企业声明函》。</w:t>
      </w:r>
    </w:p>
    <w:p w14:paraId="53EB2FE9">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（3）企业标准请参照《关于印发中小企业划型标准规定的通知》（工信部联企业〔2011〕300号）文件规定自行填写。</w:t>
      </w:r>
    </w:p>
    <w:p w14:paraId="06AEC613">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2、残疾人福利单位</w:t>
      </w:r>
    </w:p>
    <w:p w14:paraId="2A0EA33F">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（1）本项目对残疾人福利性单位视同小型、微型企业。</w:t>
      </w:r>
    </w:p>
    <w:p w14:paraId="3F175E3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（2）残疾人福利单位需按照招标文件的要求提供《残疾人福利性单位声明函》。</w:t>
      </w:r>
    </w:p>
    <w:p w14:paraId="669C55CE">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（3）残疾人福利单位标准请参照《关于促进残疾人就业政府采购政策的通知》（财库〔2017〕141号）。</w:t>
      </w:r>
    </w:p>
    <w:p w14:paraId="2C2182CB">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3、监狱和戒毒企业</w:t>
      </w:r>
    </w:p>
    <w:p w14:paraId="4A943152">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（1）本项目对监狱和戒毒企业（简称监狱企业）视同小型、微型企业。</w:t>
      </w:r>
    </w:p>
    <w:p w14:paraId="7C609E4E">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（2）监狱企业参加政府采购活动时，需提供由省级以上监狱管理局、戒毒管理局(含新疆生产建设兵团)出具的属于监狱企业的证明文件。</w:t>
      </w:r>
    </w:p>
    <w:p w14:paraId="7A8415E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rPr>
      </w:pPr>
      <w:r>
        <w:rPr>
          <w:rFonts w:ascii="宋体" w:hAnsi="宋体" w:eastAsia="宋体" w:cs="宋体"/>
          <w:color w:val="auto"/>
          <w:sz w:val="24"/>
        </w:rPr>
        <w:t>（3）监狱企业标准请参照《关于政府采购支持监狱企业发展有关问题的通知》（财库[2014]68号）。</w:t>
      </w:r>
    </w:p>
    <w:p w14:paraId="403CF6E7">
      <w:pPr>
        <w:keepNext w:val="0"/>
        <w:keepLines w:val="0"/>
        <w:pageBreakBefore w:val="0"/>
        <w:widowControl w:val="0"/>
        <w:pBdr>
          <w:top w:val="none" w:color="000000" w:sz="0" w:space="0"/>
          <w:left w:val="none" w:color="000000" w:sz="0" w:space="0"/>
          <w:bottom w:val="none" w:color="000000" w:sz="0" w:space="0"/>
          <w:right w:val="none" w:color="000000" w:sz="0" w:space="0"/>
        </w:pBdr>
        <w:spacing w:line="500" w:lineRule="exact"/>
        <w:ind w:firstLine="480"/>
        <w:rPr>
          <w:color w:val="auto"/>
        </w:rPr>
      </w:pPr>
      <w:r>
        <w:rPr>
          <w:rFonts w:ascii="宋体" w:hAnsi="宋体" w:eastAsia="宋体" w:cs="宋体"/>
          <w:color w:val="auto"/>
          <w:sz w:val="24"/>
        </w:rPr>
        <w:t>4、残疾人福利单位、监狱企业属于小型、微型企业的，不重复享受政策。</w:t>
      </w:r>
    </w:p>
    <w:p w14:paraId="2096790D">
      <w:pPr>
        <w:keepNext w:val="0"/>
        <w:keepLines w:val="0"/>
        <w:pageBreakBefore w:val="0"/>
        <w:widowControl w:val="0"/>
        <w:spacing w:line="500" w:lineRule="exact"/>
        <w:ind w:firstLine="480"/>
        <w:rPr>
          <w:rFonts w:hint="eastAsia" w:ascii="宋体" w:hAnsi="宋体" w:cs="宋体"/>
          <w:color w:val="auto"/>
          <w:sz w:val="24"/>
          <w:szCs w:val="20"/>
        </w:rPr>
      </w:pPr>
      <w:r>
        <w:rPr>
          <w:rFonts w:hint="eastAsia" w:ascii="宋体" w:hAnsi="宋体"/>
          <w:bCs/>
          <w:color w:val="auto"/>
          <w:sz w:val="24"/>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color w:val="auto"/>
          <w:sz w:val="24"/>
          <w:szCs w:val="20"/>
        </w:rPr>
        <w:t>。</w:t>
      </w:r>
    </w:p>
    <w:p w14:paraId="654F76B7">
      <w:pPr>
        <w:keepNext w:val="0"/>
        <w:keepLines w:val="0"/>
        <w:pageBreakBefore w:val="0"/>
        <w:widowControl w:val="0"/>
        <w:spacing w:line="500" w:lineRule="exact"/>
        <w:ind w:firstLine="480"/>
        <w:rPr>
          <w:rFonts w:hint="eastAsia" w:ascii="宋体" w:hAnsi="宋体"/>
          <w:bCs/>
          <w:color w:val="auto"/>
          <w:sz w:val="24"/>
        </w:rPr>
      </w:pPr>
      <w:r>
        <w:rPr>
          <w:rFonts w:hint="eastAsia" w:ascii="宋体" w:hAnsi="宋体"/>
          <w:bCs/>
          <w:color w:val="auto"/>
          <w:sz w:val="24"/>
          <w:lang w:val="en-US" w:eastAsia="zh-CN"/>
        </w:rPr>
        <w:t>6</w:t>
      </w:r>
      <w:r>
        <w:rPr>
          <w:rFonts w:hint="eastAsia" w:ascii="宋体" w:hAnsi="宋体"/>
          <w:bCs/>
          <w:color w:val="auto"/>
          <w:sz w:val="24"/>
        </w:rPr>
        <w:t>、供应商对于投标产品的商品包装、快递包装应按照“财办库〔2020〕123号《关于印发《商品包装政府采购需求标准（试行）》、《快递包装政府采购需求标准（试行）》的通知》”执行。</w:t>
      </w:r>
    </w:p>
    <w:p w14:paraId="237B36A7">
      <w:pPr>
        <w:keepNext w:val="0"/>
        <w:keepLines w:val="0"/>
        <w:pageBreakBefore w:val="0"/>
        <w:widowControl w:val="0"/>
        <w:spacing w:line="500" w:lineRule="exact"/>
        <w:ind w:firstLine="480"/>
        <w:rPr>
          <w:rFonts w:hint="eastAsia" w:ascii="宋体" w:hAnsi="宋体"/>
          <w:bCs/>
          <w:color w:val="auto"/>
          <w:sz w:val="24"/>
          <w:lang w:val="en-US" w:eastAsia="zh-CN"/>
        </w:rPr>
      </w:pPr>
      <w:r>
        <w:rPr>
          <w:rFonts w:hint="eastAsia" w:ascii="宋体" w:hAnsi="宋体"/>
          <w:bCs/>
          <w:color w:val="auto"/>
          <w:sz w:val="24"/>
          <w:lang w:val="en-US" w:eastAsia="zh-CN"/>
        </w:rPr>
        <w:t>7、采购本国产品的支持政策</w:t>
      </w:r>
    </w:p>
    <w:p w14:paraId="0F5918DA">
      <w:pPr>
        <w:keepNext w:val="0"/>
        <w:keepLines w:val="0"/>
        <w:pageBreakBefore w:val="0"/>
        <w:widowControl w:val="0"/>
        <w:spacing w:line="500" w:lineRule="exact"/>
        <w:ind w:firstLine="480"/>
        <w:rPr>
          <w:rFonts w:hint="eastAsia" w:ascii="宋体" w:hAnsi="宋体"/>
          <w:bCs/>
          <w:color w:val="auto"/>
          <w:sz w:val="24"/>
          <w:lang w:val="en-US" w:eastAsia="zh-CN"/>
        </w:rPr>
      </w:pPr>
      <w:r>
        <w:rPr>
          <w:rFonts w:hint="eastAsia" w:ascii="宋体" w:hAnsi="宋体"/>
          <w:bCs/>
          <w:color w:val="auto"/>
          <w:sz w:val="24"/>
          <w:lang w:val="en-US" w:eastAsia="zh-CN"/>
        </w:rPr>
        <w:t>7.1 本项目政府采购活动中既有本国产品又有非本国产品参与竞争的，依法对本国产品给予价格评审优惠，对本国产品的报价给予 20%的价格扣除，用扣除后的价格参与评审。</w:t>
      </w:r>
    </w:p>
    <w:p w14:paraId="04024DE8">
      <w:pPr>
        <w:keepNext w:val="0"/>
        <w:keepLines w:val="0"/>
        <w:pageBreakBefore w:val="0"/>
        <w:widowControl w:val="0"/>
        <w:spacing w:line="500" w:lineRule="exact"/>
        <w:ind w:firstLine="480"/>
        <w:rPr>
          <w:rFonts w:hint="eastAsia" w:ascii="宋体" w:hAnsi="宋体"/>
          <w:bCs/>
          <w:color w:val="auto"/>
          <w:sz w:val="24"/>
          <w:lang w:val="en-US" w:eastAsia="zh-CN"/>
        </w:rPr>
      </w:pPr>
      <w:r>
        <w:rPr>
          <w:rFonts w:hint="eastAsia" w:ascii="宋体" w:hAnsi="宋体"/>
          <w:bCs/>
          <w:color w:val="auto"/>
          <w:sz w:val="24"/>
          <w:lang w:val="en-US" w:eastAsia="zh-CN"/>
        </w:rPr>
        <w:t>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5273CA8">
      <w:pPr>
        <w:keepNext w:val="0"/>
        <w:keepLines w:val="0"/>
        <w:pageBreakBefore w:val="0"/>
        <w:widowControl w:val="0"/>
        <w:spacing w:line="500" w:lineRule="exact"/>
        <w:ind w:firstLine="480"/>
        <w:rPr>
          <w:rFonts w:hint="eastAsia" w:ascii="宋体" w:hAnsi="宋体"/>
          <w:bCs/>
          <w:color w:val="auto"/>
          <w:sz w:val="24"/>
          <w:lang w:val="en-US" w:eastAsia="zh-CN"/>
        </w:rPr>
      </w:pPr>
      <w:r>
        <w:rPr>
          <w:rFonts w:hint="eastAsia" w:ascii="宋体" w:hAnsi="宋体"/>
          <w:bCs/>
          <w:color w:val="auto"/>
          <w:sz w:val="24"/>
          <w:lang w:val="en-US" w:eastAsia="zh-CN"/>
        </w:rPr>
        <w:t>7.3 供应商需按照招标文件的要求提供《关于符合本国产品标准的声明函》（以下简称《声明函》），如不提供将不享受本国产品价格评审优惠。</w:t>
      </w:r>
    </w:p>
    <w:p w14:paraId="2259C806">
      <w:pPr>
        <w:keepNext w:val="0"/>
        <w:keepLines w:val="0"/>
        <w:pageBreakBefore w:val="0"/>
        <w:widowControl w:val="0"/>
        <w:spacing w:line="500" w:lineRule="exact"/>
        <w:ind w:firstLine="480"/>
        <w:rPr>
          <w:rFonts w:hint="eastAsia" w:ascii="宋体" w:hAnsi="宋体"/>
          <w:bCs/>
          <w:color w:val="auto"/>
          <w:sz w:val="24"/>
          <w:lang w:val="en-US" w:eastAsia="zh-CN"/>
        </w:rPr>
      </w:pPr>
      <w:r>
        <w:rPr>
          <w:rFonts w:hint="eastAsia" w:ascii="宋体" w:hAnsi="宋体"/>
          <w:bCs/>
          <w:color w:val="auto"/>
          <w:sz w:val="24"/>
          <w:lang w:val="en-US" w:eastAsia="zh-CN"/>
        </w:rPr>
        <w:t>7.4 供应商需在《声明函》中逐一、准确填写产品名称、厂名、生产厂址三项信息（《声明函》中用横线划除的地方无需填写），三项信息中任意一项未填写的视为该项产品不符合本国产品标准，不享受本国产品价格评审优惠。</w:t>
      </w:r>
    </w:p>
    <w:p w14:paraId="06E93B9C">
      <w:pPr>
        <w:keepNext w:val="0"/>
        <w:keepLines w:val="0"/>
        <w:pageBreakBefore w:val="0"/>
        <w:widowControl w:val="0"/>
        <w:spacing w:line="500" w:lineRule="exact"/>
        <w:ind w:firstLine="480"/>
        <w:rPr>
          <w:rFonts w:hint="eastAsia" w:ascii="宋体" w:hAnsi="宋体"/>
          <w:bCs/>
          <w:color w:val="auto"/>
          <w:sz w:val="24"/>
          <w:lang w:val="en-US" w:eastAsia="zh-CN"/>
        </w:rPr>
      </w:pPr>
      <w:r>
        <w:rPr>
          <w:rFonts w:hint="eastAsia" w:ascii="宋体" w:hAnsi="宋体"/>
          <w:bCs/>
          <w:color w:val="auto"/>
          <w:sz w:val="24"/>
          <w:lang w:val="en-US" w:eastAsia="zh-CN"/>
        </w:rPr>
        <w:t>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A746108">
      <w:pPr>
        <w:keepNext w:val="0"/>
        <w:keepLines w:val="0"/>
        <w:pageBreakBefore w:val="0"/>
        <w:widowControl w:val="0"/>
        <w:spacing w:line="500" w:lineRule="exact"/>
        <w:ind w:firstLine="480"/>
        <w:rPr>
          <w:rFonts w:hint="eastAsia" w:ascii="宋体" w:hAnsi="宋体"/>
          <w:bCs/>
          <w:color w:val="auto"/>
          <w:sz w:val="24"/>
        </w:rPr>
      </w:pPr>
      <w:r>
        <w:rPr>
          <w:rFonts w:hint="eastAsia" w:ascii="宋体" w:hAnsi="宋体"/>
          <w:bCs/>
          <w:color w:val="auto"/>
          <w:sz w:val="24"/>
          <w:lang w:val="en-US" w:eastAsia="zh-CN"/>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69ED51C">
      <w:pPr>
        <w:keepNext w:val="0"/>
        <w:keepLines w:val="0"/>
        <w:pageBreakBefore w:val="0"/>
        <w:widowControl w:val="0"/>
        <w:spacing w:line="500" w:lineRule="exact"/>
        <w:ind w:firstLine="47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二、评标标准</w:t>
      </w:r>
    </w:p>
    <w:p w14:paraId="32D097F3">
      <w:pPr>
        <w:keepNext w:val="0"/>
        <w:keepLines w:val="0"/>
        <w:pageBreakBefore w:val="0"/>
        <w:widowControl w:val="0"/>
        <w:spacing w:line="500" w:lineRule="exact"/>
        <w:ind w:right="0" w:firstLine="482"/>
        <w:rPr>
          <w:rFonts w:ascii="宋体" w:hAnsi="宋体"/>
          <w:b/>
          <w:color w:val="auto"/>
          <w:sz w:val="24"/>
          <w:szCs w:val="21"/>
        </w:rPr>
      </w:pPr>
      <w:r>
        <w:rPr>
          <w:rFonts w:ascii="宋体" w:hAnsi="宋体"/>
          <w:b/>
          <w:color w:val="auto"/>
          <w:sz w:val="24"/>
          <w:szCs w:val="21"/>
        </w:rPr>
        <w:t>1</w:t>
      </w:r>
      <w:r>
        <w:rPr>
          <w:rFonts w:hint="eastAsia" w:ascii="宋体" w:hAnsi="宋体"/>
          <w:b/>
          <w:color w:val="auto"/>
          <w:sz w:val="24"/>
          <w:szCs w:val="21"/>
        </w:rPr>
        <w:t>、初步评审</w:t>
      </w:r>
    </w:p>
    <w:p w14:paraId="2B1B9218">
      <w:pPr>
        <w:keepNext w:val="0"/>
        <w:keepLines w:val="0"/>
        <w:pageBreakBefore w:val="0"/>
        <w:widowControl w:val="0"/>
        <w:spacing w:line="500" w:lineRule="exact"/>
        <w:ind w:right="0" w:firstLine="480"/>
        <w:rPr>
          <w:rFonts w:ascii="宋体" w:hAnsi="宋体"/>
          <w:color w:val="auto"/>
          <w:sz w:val="24"/>
          <w:szCs w:val="24"/>
        </w:rPr>
      </w:pPr>
      <w:r>
        <w:rPr>
          <w:rFonts w:hint="eastAsia" w:ascii="宋体" w:hAnsi="宋体"/>
          <w:color w:val="auto"/>
          <w:sz w:val="24"/>
          <w:szCs w:val="21"/>
        </w:rPr>
        <w:t>（1）</w:t>
      </w:r>
      <w:r>
        <w:rPr>
          <w:rFonts w:hint="eastAsia" w:ascii="宋体" w:hAnsi="宋体"/>
          <w:color w:val="auto"/>
          <w:sz w:val="24"/>
          <w:szCs w:val="24"/>
        </w:rPr>
        <w:t>资格审查</w:t>
      </w:r>
    </w:p>
    <w:p w14:paraId="0FA47154">
      <w:pPr>
        <w:keepNext w:val="0"/>
        <w:keepLines w:val="0"/>
        <w:pageBreakBefore w:val="0"/>
        <w:widowControl w:val="0"/>
        <w:spacing w:line="500" w:lineRule="exact"/>
        <w:ind w:right="0" w:firstLine="480"/>
        <w:rPr>
          <w:rFonts w:ascii="宋体" w:hAnsi="宋体"/>
          <w:bCs/>
          <w:color w:val="auto"/>
          <w:sz w:val="24"/>
          <w:szCs w:val="24"/>
        </w:rPr>
      </w:pPr>
      <w:r>
        <w:rPr>
          <w:rFonts w:hint="eastAsia" w:ascii="宋体" w:hAnsi="宋体"/>
          <w:bCs/>
          <w:color w:val="auto"/>
          <w:sz w:val="24"/>
          <w:szCs w:val="24"/>
        </w:rPr>
        <w:t>依据法律法规和招标文件的规定，</w:t>
      </w:r>
      <w:r>
        <w:rPr>
          <w:rFonts w:ascii="宋体" w:hAnsi="宋体"/>
          <w:bCs/>
          <w:color w:val="auto"/>
          <w:sz w:val="24"/>
          <w:szCs w:val="24"/>
        </w:rPr>
        <w:t>开标结束后，</w:t>
      </w:r>
      <w:r>
        <w:rPr>
          <w:rFonts w:hint="eastAsia" w:ascii="宋体" w:hAnsi="宋体"/>
          <w:bCs/>
          <w:color w:val="auto"/>
          <w:sz w:val="24"/>
          <w:szCs w:val="24"/>
        </w:rPr>
        <w:t>由</w:t>
      </w:r>
      <w:r>
        <w:rPr>
          <w:rFonts w:hint="eastAsia" w:ascii="宋体" w:hAnsi="宋体"/>
          <w:color w:val="auto"/>
          <w:sz w:val="24"/>
          <w:szCs w:val="24"/>
        </w:rPr>
        <w:t>采购人</w:t>
      </w:r>
      <w:r>
        <w:rPr>
          <w:rFonts w:hint="eastAsia" w:ascii="宋体" w:hAnsi="宋体"/>
          <w:bCs/>
          <w:color w:val="auto"/>
          <w:sz w:val="24"/>
          <w:szCs w:val="24"/>
        </w:rPr>
        <w:t>对投标文件中的资格证明文件进行审查。资格审查的结论，采购人以书面形式向评委会进行反馈。（资格审查需提供的材料详见招标文件第六章 投标文件格式中资格证明文件）</w:t>
      </w:r>
    </w:p>
    <w:p w14:paraId="1A3E5B0A">
      <w:pPr>
        <w:keepNext w:val="0"/>
        <w:keepLines w:val="0"/>
        <w:pageBreakBefore w:val="0"/>
        <w:widowControl w:val="0"/>
        <w:spacing w:line="500" w:lineRule="exact"/>
        <w:ind w:right="0" w:firstLine="480"/>
        <w:rPr>
          <w:rFonts w:ascii="宋体" w:hAnsi="宋体"/>
          <w:color w:val="auto"/>
          <w:sz w:val="24"/>
          <w:szCs w:val="24"/>
        </w:rPr>
      </w:pPr>
      <w:r>
        <w:rPr>
          <w:rFonts w:hint="eastAsia" w:ascii="宋体" w:hAnsi="宋体"/>
          <w:color w:val="auto"/>
          <w:sz w:val="24"/>
          <w:szCs w:val="24"/>
        </w:rPr>
        <w:t>（2）符合性审查</w:t>
      </w:r>
    </w:p>
    <w:p w14:paraId="07A4BE28">
      <w:pPr>
        <w:keepNext w:val="0"/>
        <w:keepLines w:val="0"/>
        <w:pageBreakBefore w:val="0"/>
        <w:widowControl w:val="0"/>
        <w:spacing w:line="500" w:lineRule="exact"/>
        <w:ind w:right="0" w:firstLine="480"/>
        <w:rPr>
          <w:rFonts w:ascii="宋体" w:hAnsi="宋体"/>
          <w:color w:val="auto"/>
          <w:sz w:val="24"/>
          <w:szCs w:val="24"/>
        </w:rPr>
      </w:pPr>
      <w:r>
        <w:rPr>
          <w:rFonts w:hint="eastAsia" w:ascii="宋体" w:hAnsi="宋体"/>
          <w:color w:val="auto"/>
          <w:sz w:val="24"/>
          <w:szCs w:val="24"/>
        </w:rPr>
        <w:t>依据招标文件的规定，从投标文件的有效性、完整性和对招标文件的响应程度进行审查，以确定是否对招标文件的实质性要求作出响应。（审查标准主要有投标文件签字盖章、投标文件的组成、投标文件及报价唯一、</w:t>
      </w:r>
      <w:r>
        <w:rPr>
          <w:rFonts w:hint="eastAsia" w:ascii="宋体" w:hAnsi="宋体"/>
          <w:color w:val="auto"/>
          <w:sz w:val="24"/>
          <w:szCs w:val="24"/>
          <w:lang w:eastAsia="zh-CN"/>
        </w:rPr>
        <w:t>服务期</w:t>
      </w:r>
      <w:r>
        <w:rPr>
          <w:rFonts w:hint="eastAsia" w:ascii="宋体" w:hAnsi="宋体"/>
          <w:color w:val="auto"/>
          <w:sz w:val="24"/>
          <w:szCs w:val="24"/>
        </w:rPr>
        <w:t>、质量等方面）</w:t>
      </w:r>
    </w:p>
    <w:p w14:paraId="2795D50B">
      <w:pPr>
        <w:keepNext w:val="0"/>
        <w:keepLines w:val="0"/>
        <w:pageBreakBefore w:val="0"/>
        <w:widowControl w:val="0"/>
        <w:spacing w:line="500" w:lineRule="exact"/>
        <w:ind w:right="0" w:firstLine="480"/>
        <w:rPr>
          <w:rFonts w:ascii="宋体" w:cs="宋体"/>
          <w:color w:val="auto"/>
          <w:sz w:val="24"/>
          <w:szCs w:val="24"/>
        </w:rPr>
      </w:pPr>
      <w:r>
        <w:rPr>
          <w:rFonts w:hint="eastAsia" w:ascii="宋体" w:hAnsi="宋体"/>
          <w:color w:val="auto"/>
          <w:sz w:val="24"/>
          <w:szCs w:val="24"/>
        </w:rPr>
        <w:t>注：未通过资格审查或符合性审查的</w:t>
      </w:r>
      <w:r>
        <w:rPr>
          <w:rFonts w:hint="eastAsia" w:ascii="宋体" w:hAnsi="宋体"/>
          <w:color w:val="auto"/>
          <w:sz w:val="24"/>
          <w:szCs w:val="24"/>
          <w:lang w:eastAsia="zh-CN"/>
        </w:rPr>
        <w:t>供应商</w:t>
      </w:r>
      <w:r>
        <w:rPr>
          <w:rFonts w:hint="eastAsia" w:ascii="宋体" w:hAnsi="宋体"/>
          <w:color w:val="auto"/>
          <w:sz w:val="24"/>
          <w:szCs w:val="24"/>
        </w:rPr>
        <w:t>，采购代理机构将在苏采云系统中告知未通过资格审查或符合性审查的原因，评标结束后，采购代理机构将不再告知未通过资格审查和符合性审查的原因</w:t>
      </w:r>
      <w:r>
        <w:rPr>
          <w:rFonts w:hint="eastAsia" w:ascii="宋体" w:hAnsi="宋体" w:cs="宋体"/>
          <w:b w:val="0"/>
          <w:bCs w:val="0"/>
          <w:color w:val="auto"/>
          <w:sz w:val="24"/>
          <w:szCs w:val="24"/>
        </w:rPr>
        <w:t>。</w:t>
      </w:r>
    </w:p>
    <w:p w14:paraId="1EB798A8">
      <w:pPr>
        <w:keepNext w:val="0"/>
        <w:keepLines w:val="0"/>
        <w:pageBreakBefore w:val="0"/>
        <w:widowControl w:val="0"/>
        <w:spacing w:line="500" w:lineRule="exact"/>
        <w:ind w:right="0" w:firstLine="482"/>
        <w:rPr>
          <w:rFonts w:ascii="宋体"/>
          <w:b/>
          <w:color w:val="auto"/>
          <w:sz w:val="24"/>
          <w:szCs w:val="24"/>
        </w:rPr>
      </w:pPr>
      <w:r>
        <w:rPr>
          <w:rFonts w:hint="eastAsia" w:ascii="宋体" w:hAnsi="宋体"/>
          <w:b/>
          <w:color w:val="auto"/>
          <w:sz w:val="24"/>
          <w:szCs w:val="24"/>
        </w:rPr>
        <w:t>2、评分标准</w:t>
      </w:r>
    </w:p>
    <w:p w14:paraId="4009F081">
      <w:pPr>
        <w:spacing w:line="360" w:lineRule="auto"/>
        <w:rPr>
          <w:rFonts w:ascii="宋体" w:hAnsi="宋体"/>
          <w:color w:val="auto"/>
          <w:sz w:val="24"/>
          <w:szCs w:val="21"/>
        </w:rPr>
      </w:pPr>
      <w:r>
        <w:rPr>
          <w:rFonts w:ascii="宋体" w:hAnsi="宋体"/>
          <w:color w:val="auto"/>
          <w:sz w:val="24"/>
          <w:szCs w:val="21"/>
        </w:rPr>
        <w:t>本项目评分总分值为100分。</w:t>
      </w:r>
      <w:bookmarkEnd w:id="160"/>
    </w:p>
    <w:p w14:paraId="0DCCCFED">
      <w:pPr>
        <w:pStyle w:val="44"/>
        <w:rPr>
          <w:rFonts w:hint="eastAsia"/>
          <w:color w:val="auto"/>
          <w:lang w:eastAsia="zh-CN"/>
        </w:rPr>
      </w:pPr>
    </w:p>
    <w:tbl>
      <w:tblPr>
        <w:tblStyle w:val="38"/>
        <w:tblW w:w="96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1406"/>
        <w:gridCol w:w="7584"/>
      </w:tblGrid>
      <w:tr w14:paraId="5B4D8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ACD22B6">
            <w:pPr>
              <w:spacing w:line="360" w:lineRule="exact"/>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序号</w:t>
            </w:r>
          </w:p>
        </w:tc>
        <w:tc>
          <w:tcPr>
            <w:tcW w:w="1406" w:type="dxa"/>
            <w:tcBorders>
              <w:top w:val="single" w:color="auto" w:sz="4" w:space="0"/>
              <w:left w:val="nil"/>
              <w:bottom w:val="single" w:color="auto" w:sz="4" w:space="0"/>
              <w:right w:val="single" w:color="auto" w:sz="4" w:space="0"/>
            </w:tcBorders>
            <w:shd w:val="clear" w:color="auto" w:fill="auto"/>
            <w:noWrap w:val="0"/>
            <w:vAlign w:val="center"/>
          </w:tcPr>
          <w:p w14:paraId="5C86E087">
            <w:pPr>
              <w:spacing w:line="360" w:lineRule="exact"/>
              <w:jc w:val="center"/>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评分因素</w:t>
            </w:r>
          </w:p>
        </w:tc>
        <w:tc>
          <w:tcPr>
            <w:tcW w:w="7584" w:type="dxa"/>
            <w:tcBorders>
              <w:top w:val="single" w:color="auto" w:sz="4" w:space="0"/>
              <w:left w:val="nil"/>
              <w:bottom w:val="single" w:color="auto" w:sz="4" w:space="0"/>
              <w:right w:val="single" w:color="auto" w:sz="4" w:space="0"/>
            </w:tcBorders>
            <w:shd w:val="clear" w:color="auto" w:fill="auto"/>
            <w:noWrap w:val="0"/>
            <w:vAlign w:val="center"/>
          </w:tcPr>
          <w:p w14:paraId="56E5EED4">
            <w:pPr>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评审标准</w:t>
            </w:r>
          </w:p>
        </w:tc>
      </w:tr>
      <w:tr w14:paraId="05B98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2" w:hRule="atLeast"/>
          <w:jc w:val="center"/>
        </w:trPr>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F7EEF6E">
            <w:pPr>
              <w:spacing w:line="360" w:lineRule="exact"/>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w:t>
            </w:r>
          </w:p>
        </w:tc>
        <w:tc>
          <w:tcPr>
            <w:tcW w:w="1406" w:type="dxa"/>
            <w:tcBorders>
              <w:top w:val="single" w:color="auto" w:sz="4" w:space="0"/>
              <w:left w:val="nil"/>
              <w:bottom w:val="single" w:color="auto" w:sz="4" w:space="0"/>
              <w:right w:val="single" w:color="auto" w:sz="4" w:space="0"/>
            </w:tcBorders>
            <w:shd w:val="clear" w:color="auto" w:fill="auto"/>
            <w:noWrap w:val="0"/>
            <w:vAlign w:val="center"/>
          </w:tcPr>
          <w:p w14:paraId="3E581EDD">
            <w:pPr>
              <w:spacing w:line="360" w:lineRule="exact"/>
              <w:jc w:val="cente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价格分</w:t>
            </w:r>
          </w:p>
          <w:p w14:paraId="1A6F2DDE">
            <w:pPr>
              <w:spacing w:line="360" w:lineRule="exact"/>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（30分）</w:t>
            </w:r>
          </w:p>
        </w:tc>
        <w:tc>
          <w:tcPr>
            <w:tcW w:w="7584" w:type="dxa"/>
            <w:tcBorders>
              <w:top w:val="single" w:color="auto" w:sz="4" w:space="0"/>
              <w:left w:val="nil"/>
              <w:bottom w:val="single" w:color="auto" w:sz="4" w:space="0"/>
              <w:right w:val="single" w:color="auto" w:sz="4" w:space="0"/>
            </w:tcBorders>
            <w:shd w:val="clear" w:color="auto" w:fill="auto"/>
            <w:noWrap w:val="0"/>
            <w:vAlign w:val="center"/>
          </w:tcPr>
          <w:p w14:paraId="0F096552">
            <w:pPr>
              <w:spacing w:line="360" w:lineRule="auto"/>
              <w:ind w:firstLine="420"/>
              <w:rPr>
                <w:rFonts w:ascii="Times New Roman" w:hAnsi="Times New Roman" w:eastAsia="宋体" w:cs="Times New Roman"/>
                <w:color w:val="auto"/>
                <w:szCs w:val="21"/>
                <w:highlight w:val="none"/>
              </w:rPr>
            </w:pPr>
            <w:r>
              <w:rPr>
                <w:rFonts w:hint="eastAsia" w:ascii="宋体" w:hAnsi="宋体" w:eastAsia="宋体" w:cs="宋体"/>
                <w:color w:val="auto"/>
                <w:szCs w:val="21"/>
                <w:highlight w:val="none"/>
                <w:lang w:bidi="ar"/>
              </w:rPr>
              <w:t>满足招标文件要求且投标价格最低的投标报价为评标基准价</w:t>
            </w:r>
            <w:r>
              <w:rPr>
                <w:rFonts w:hint="eastAsia" w:ascii="宋体" w:hAnsi="宋体" w:eastAsia="宋体" w:cs="宋体"/>
                <w:color w:val="auto"/>
                <w:szCs w:val="21"/>
                <w:highlight w:val="none"/>
                <w:lang w:eastAsia="zh-CN" w:bidi="ar"/>
              </w:rPr>
              <w:t>，</w:t>
            </w:r>
            <w:r>
              <w:rPr>
                <w:rFonts w:hint="eastAsia" w:ascii="宋体" w:hAnsi="宋体" w:eastAsia="宋体" w:cs="宋体"/>
                <w:color w:val="auto"/>
                <w:szCs w:val="21"/>
                <w:highlight w:val="none"/>
                <w:lang w:bidi="ar"/>
              </w:rPr>
              <w:t>其价格分为</w:t>
            </w:r>
            <w:r>
              <w:rPr>
                <w:rFonts w:hint="eastAsia" w:ascii="宋体" w:hAnsi="宋体" w:eastAsia="宋体" w:cs="宋体"/>
                <w:color w:val="auto"/>
                <w:szCs w:val="21"/>
                <w:highlight w:val="none"/>
                <w:lang w:val="en-US" w:eastAsia="zh-CN" w:bidi="ar"/>
              </w:rPr>
              <w:t>30</w:t>
            </w:r>
            <w:r>
              <w:rPr>
                <w:rFonts w:hint="eastAsia" w:ascii="宋体" w:hAnsi="宋体" w:eastAsia="宋体" w:cs="宋体"/>
                <w:color w:val="auto"/>
                <w:szCs w:val="21"/>
                <w:highlight w:val="none"/>
                <w:lang w:bidi="ar"/>
              </w:rPr>
              <w:t>分。其他投标人的价格分统一按照下列公式计算：</w:t>
            </w:r>
          </w:p>
          <w:p w14:paraId="1170EB81">
            <w:pPr>
              <w:spacing w:line="360" w:lineRule="auto"/>
              <w:ind w:firstLine="420"/>
              <w:rPr>
                <w:rFonts w:ascii="Times New Roman" w:hAnsi="Times New Roman" w:eastAsia="宋体" w:cs="Times New Roman"/>
                <w:color w:val="auto"/>
                <w:szCs w:val="21"/>
                <w:highlight w:val="none"/>
              </w:rPr>
            </w:pPr>
            <w:r>
              <w:rPr>
                <w:rFonts w:hint="eastAsia" w:ascii="宋体" w:hAnsi="宋体" w:eastAsia="宋体" w:cs="宋体"/>
                <w:color w:val="auto"/>
                <w:szCs w:val="21"/>
                <w:highlight w:val="none"/>
                <w:lang w:bidi="ar"/>
              </w:rPr>
              <w:t>投标报价得分</w:t>
            </w:r>
            <w:r>
              <w:rPr>
                <w:rFonts w:ascii="Times New Roman" w:hAnsi="Times New Roman" w:eastAsia="宋体" w:cs="Times New Roman"/>
                <w:color w:val="auto"/>
                <w:szCs w:val="21"/>
                <w:highlight w:val="none"/>
                <w:lang w:bidi="ar"/>
              </w:rPr>
              <w:t>=</w:t>
            </w:r>
            <w:r>
              <w:rPr>
                <w:rFonts w:hint="eastAsia" w:ascii="宋体" w:hAnsi="宋体" w:eastAsia="宋体" w:cs="宋体"/>
                <w:color w:val="auto"/>
                <w:szCs w:val="21"/>
                <w:highlight w:val="none"/>
                <w:lang w:bidi="ar"/>
              </w:rPr>
              <w:t>（评标基准价／投标报价）×30（四舍五入后保留小数点后两位）。</w:t>
            </w:r>
          </w:p>
        </w:tc>
      </w:tr>
      <w:tr w14:paraId="7D5DB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830DD47">
            <w:pPr>
              <w:spacing w:line="360" w:lineRule="exact"/>
              <w:jc w:val="center"/>
              <w:rPr>
                <w:rFonts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2</w:t>
            </w:r>
          </w:p>
        </w:tc>
        <w:tc>
          <w:tcPr>
            <w:tcW w:w="1406" w:type="dxa"/>
            <w:tcBorders>
              <w:top w:val="single" w:color="auto" w:sz="4" w:space="0"/>
              <w:left w:val="nil"/>
              <w:bottom w:val="single" w:color="auto" w:sz="4" w:space="0"/>
              <w:right w:val="single" w:color="auto" w:sz="4" w:space="0"/>
            </w:tcBorders>
            <w:shd w:val="clear" w:color="auto" w:fill="auto"/>
            <w:noWrap w:val="0"/>
            <w:vAlign w:val="center"/>
          </w:tcPr>
          <w:p w14:paraId="506DEBD7">
            <w:pPr>
              <w:spacing w:line="360" w:lineRule="exact"/>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val="en-US" w:eastAsia="zh-CN" w:bidi="ar"/>
              </w:rPr>
              <w:t>服务</w:t>
            </w:r>
            <w:r>
              <w:rPr>
                <w:rFonts w:hint="eastAsia" w:ascii="宋体" w:hAnsi="宋体" w:eastAsia="宋体" w:cs="宋体"/>
                <w:color w:val="auto"/>
                <w:sz w:val="22"/>
                <w:szCs w:val="22"/>
                <w:highlight w:val="none"/>
                <w:lang w:eastAsia="zh-CN" w:bidi="ar"/>
              </w:rPr>
              <w:t>方案</w:t>
            </w:r>
          </w:p>
          <w:p w14:paraId="5465ED13">
            <w:pPr>
              <w:spacing w:line="360" w:lineRule="exact"/>
              <w:jc w:val="center"/>
              <w:rPr>
                <w:rFonts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w:t>
            </w:r>
            <w:r>
              <w:rPr>
                <w:rFonts w:hint="eastAsia" w:ascii="宋体" w:hAnsi="宋体" w:eastAsia="宋体" w:cs="宋体"/>
                <w:color w:val="auto"/>
                <w:sz w:val="22"/>
                <w:szCs w:val="22"/>
                <w:highlight w:val="none"/>
                <w:lang w:val="en-US" w:eastAsia="zh-CN" w:bidi="ar"/>
              </w:rPr>
              <w:t>60</w:t>
            </w:r>
            <w:r>
              <w:rPr>
                <w:rFonts w:hint="eastAsia" w:ascii="宋体" w:hAnsi="宋体" w:eastAsia="宋体" w:cs="宋体"/>
                <w:color w:val="auto"/>
                <w:sz w:val="22"/>
                <w:szCs w:val="22"/>
                <w:highlight w:val="none"/>
                <w:lang w:bidi="ar"/>
              </w:rPr>
              <w:t>分）</w:t>
            </w:r>
          </w:p>
        </w:tc>
        <w:tc>
          <w:tcPr>
            <w:tcW w:w="7584" w:type="dxa"/>
            <w:tcBorders>
              <w:top w:val="single" w:color="auto" w:sz="4" w:space="0"/>
              <w:left w:val="nil"/>
              <w:bottom w:val="single" w:color="auto" w:sz="4" w:space="0"/>
              <w:right w:val="single" w:color="auto" w:sz="4" w:space="0"/>
            </w:tcBorders>
            <w:shd w:val="clear" w:color="auto" w:fill="auto"/>
            <w:noWrap w:val="0"/>
            <w:vAlign w:val="center"/>
          </w:tcPr>
          <w:p w14:paraId="77090BFA">
            <w:pPr>
              <w:keepNext w:val="0"/>
              <w:keepLines w:val="0"/>
              <w:pageBreakBefore w:val="0"/>
              <w:widowControl w:val="0"/>
              <w:numPr>
                <w:ilvl w:val="0"/>
                <w:numId w:val="0"/>
              </w:numPr>
              <w:spacing w:line="360"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1、整体处置服务方案（</w:t>
            </w:r>
            <w:r>
              <w:rPr>
                <w:rFonts w:hint="eastAsia" w:ascii="宋体" w:hAnsi="宋体" w:eastAsia="宋体" w:cs="宋体"/>
                <w:color w:val="auto"/>
                <w:szCs w:val="21"/>
                <w:highlight w:val="none"/>
                <w:lang w:val="en-US" w:eastAsia="zh-CN" w:bidi="ar"/>
              </w:rPr>
              <w:t>12</w:t>
            </w:r>
            <w:r>
              <w:rPr>
                <w:rFonts w:hint="eastAsia" w:ascii="宋体" w:hAnsi="宋体" w:eastAsia="宋体" w:cs="宋体"/>
                <w:color w:val="auto"/>
                <w:szCs w:val="21"/>
                <w:highlight w:val="none"/>
                <w:lang w:bidi="ar"/>
              </w:rPr>
              <w:t>分）</w:t>
            </w:r>
          </w:p>
          <w:p w14:paraId="1586873B">
            <w:pPr>
              <w:keepNext w:val="0"/>
              <w:keepLines w:val="0"/>
              <w:pageBreakBefore w:val="0"/>
              <w:widowControl w:val="0"/>
              <w:numPr>
                <w:ilvl w:val="0"/>
                <w:numId w:val="0"/>
              </w:numPr>
              <w:spacing w:line="360" w:lineRule="auto"/>
              <w:rPr>
                <w:rFonts w:hint="default"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bidi="ar"/>
              </w:rPr>
              <w:t>结合本项目服务范围、处置体量、场地条件，制定完整可行的医疗废物分类收集、分区存放、闭环转运、无害化终端处置全流程方案。</w:t>
            </w:r>
            <w:r>
              <w:rPr>
                <w:rFonts w:hint="eastAsia" w:ascii="宋体" w:hAnsi="宋体" w:eastAsia="宋体" w:cs="宋体"/>
                <w:color w:val="auto"/>
                <w:szCs w:val="21"/>
                <w:highlight w:val="none"/>
                <w:lang w:val="en-US" w:eastAsia="zh-CN" w:bidi="ar"/>
              </w:rPr>
              <w:t>方案优于项目需求得12分；满足项目需求得10分；不满足项目需求或未提供方案的不得分。</w:t>
            </w:r>
          </w:p>
          <w:p w14:paraId="67688F0A">
            <w:pPr>
              <w:keepNext w:val="0"/>
              <w:keepLines w:val="0"/>
              <w:pageBreakBefore w:val="0"/>
              <w:widowControl w:val="0"/>
              <w:numPr>
                <w:ilvl w:val="0"/>
                <w:numId w:val="0"/>
              </w:numPr>
              <w:spacing w:line="360" w:lineRule="auto"/>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2、转运作业专项方案（12分）</w:t>
            </w:r>
          </w:p>
          <w:p w14:paraId="3674F8CC">
            <w:pPr>
              <w:keepNext w:val="0"/>
              <w:keepLines w:val="0"/>
              <w:pageBreakBefore w:val="0"/>
              <w:widowControl w:val="0"/>
              <w:numPr>
                <w:ilvl w:val="0"/>
                <w:numId w:val="0"/>
              </w:numPr>
              <w:spacing w:line="360" w:lineRule="auto"/>
              <w:rPr>
                <w:rFonts w:hint="default"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包含转运车辆配置、专车专用调度、转运路线规划、定时定点收运、密闭转运、防渗漏防扩散、沿途应急处置等内容。方案优于项目需求得12分；满足项目需求得10分；不满足项目需求或未提供方案的不得分。</w:t>
            </w:r>
          </w:p>
          <w:p w14:paraId="3BE3F51C">
            <w:pPr>
              <w:keepNext w:val="0"/>
              <w:keepLines w:val="0"/>
              <w:pageBreakBefore w:val="0"/>
              <w:widowControl w:val="0"/>
              <w:numPr>
                <w:ilvl w:val="0"/>
                <w:numId w:val="0"/>
              </w:numPr>
              <w:spacing w:line="360" w:lineRule="auto"/>
              <w:rPr>
                <w:rFonts w:hint="default" w:ascii="宋体" w:hAnsi="宋体" w:eastAsia="宋体" w:cs="宋体"/>
                <w:color w:val="auto"/>
                <w:szCs w:val="21"/>
                <w:highlight w:val="none"/>
                <w:lang w:val="en-US" w:eastAsia="zh-CN" w:bidi="ar"/>
              </w:rPr>
            </w:pPr>
            <w:r>
              <w:rPr>
                <w:rFonts w:hint="default" w:ascii="宋体" w:hAnsi="宋体" w:eastAsia="宋体" w:cs="宋体"/>
                <w:color w:val="auto"/>
                <w:szCs w:val="21"/>
                <w:highlight w:val="none"/>
                <w:lang w:val="en-US" w:eastAsia="zh-CN" w:bidi="ar"/>
              </w:rPr>
              <w:t>3、人员与设备配置方案（</w:t>
            </w:r>
            <w:r>
              <w:rPr>
                <w:rFonts w:hint="eastAsia" w:ascii="宋体" w:hAnsi="宋体" w:eastAsia="宋体" w:cs="宋体"/>
                <w:color w:val="auto"/>
                <w:szCs w:val="21"/>
                <w:highlight w:val="none"/>
                <w:lang w:val="en-US" w:eastAsia="zh-CN" w:bidi="ar"/>
              </w:rPr>
              <w:t>12</w:t>
            </w:r>
            <w:r>
              <w:rPr>
                <w:rFonts w:hint="default" w:ascii="宋体" w:hAnsi="宋体" w:eastAsia="宋体" w:cs="宋体"/>
                <w:color w:val="auto"/>
                <w:szCs w:val="21"/>
                <w:highlight w:val="none"/>
                <w:lang w:val="en-US" w:eastAsia="zh-CN" w:bidi="ar"/>
              </w:rPr>
              <w:t>分）</w:t>
            </w:r>
          </w:p>
          <w:p w14:paraId="60561AB2">
            <w:pPr>
              <w:keepNext w:val="0"/>
              <w:keepLines w:val="0"/>
              <w:pageBreakBefore w:val="0"/>
              <w:widowControl w:val="0"/>
              <w:numPr>
                <w:ilvl w:val="0"/>
                <w:numId w:val="0"/>
              </w:numPr>
              <w:spacing w:line="360" w:lineRule="auto"/>
              <w:rPr>
                <w:rFonts w:hint="eastAsia" w:ascii="宋体" w:hAnsi="宋体" w:eastAsia="宋体" w:cs="宋体"/>
                <w:color w:val="auto"/>
                <w:szCs w:val="21"/>
                <w:highlight w:val="none"/>
                <w:lang w:val="en-US" w:eastAsia="zh-CN" w:bidi="ar"/>
              </w:rPr>
            </w:pPr>
            <w:r>
              <w:rPr>
                <w:rFonts w:hint="default" w:ascii="宋体" w:hAnsi="宋体" w:eastAsia="宋体" w:cs="宋体"/>
                <w:color w:val="auto"/>
                <w:szCs w:val="21"/>
                <w:highlight w:val="none"/>
                <w:lang w:val="en-US" w:eastAsia="zh-CN" w:bidi="ar"/>
              </w:rPr>
              <w:t>明确项目专属管理人员、作业人员、押运人员配置，配备足额合规的转运车辆、消毒设备、防护装备、存储容器等。</w:t>
            </w:r>
            <w:r>
              <w:rPr>
                <w:rFonts w:hint="eastAsia" w:ascii="宋体" w:hAnsi="宋体" w:eastAsia="宋体" w:cs="宋体"/>
                <w:color w:val="auto"/>
                <w:szCs w:val="21"/>
                <w:highlight w:val="none"/>
                <w:lang w:val="en-US" w:eastAsia="zh-CN" w:bidi="ar"/>
              </w:rPr>
              <w:t>方案优于项目需求得12分；满足项目需求得10分；不满足项目需求或未提供方案的不得分。</w:t>
            </w:r>
          </w:p>
          <w:p w14:paraId="59CD2E76">
            <w:pPr>
              <w:keepNext w:val="0"/>
              <w:keepLines w:val="0"/>
              <w:pageBreakBefore w:val="0"/>
              <w:widowControl w:val="0"/>
              <w:numPr>
                <w:ilvl w:val="0"/>
                <w:numId w:val="0"/>
              </w:numPr>
              <w:spacing w:line="360" w:lineRule="auto"/>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4、质量管控与合规管理方案（12分）</w:t>
            </w:r>
          </w:p>
          <w:p w14:paraId="6EB33F97">
            <w:pPr>
              <w:keepNext w:val="0"/>
              <w:keepLines w:val="0"/>
              <w:pageBreakBefore w:val="0"/>
              <w:widowControl w:val="0"/>
              <w:numPr>
                <w:ilvl w:val="0"/>
                <w:numId w:val="0"/>
              </w:numPr>
              <w:spacing w:line="360" w:lineRule="auto"/>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建立完善的医疗废物台账管理、转移联单管理、日常巡检、质量自查、全程溯源管理制度，严格落实环保、卫健部门监管要求。方案优于项目需求得12分；满足项目需求得10分；不满足项目需求或未提供方案的不得分。</w:t>
            </w:r>
          </w:p>
          <w:p w14:paraId="273EB1F0">
            <w:pPr>
              <w:keepNext w:val="0"/>
              <w:keepLines w:val="0"/>
              <w:pageBreakBefore w:val="0"/>
              <w:widowControl w:val="0"/>
              <w:numPr>
                <w:ilvl w:val="0"/>
                <w:numId w:val="0"/>
              </w:numPr>
              <w:spacing w:line="360" w:lineRule="auto"/>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5、应急预案与风险防控（12分）</w:t>
            </w:r>
          </w:p>
          <w:p w14:paraId="0CC2E85A">
            <w:pPr>
              <w:keepNext w:val="0"/>
              <w:keepLines w:val="0"/>
              <w:pageBreakBefore w:val="0"/>
              <w:widowControl w:val="0"/>
              <w:numPr>
                <w:ilvl w:val="0"/>
                <w:numId w:val="0"/>
              </w:numPr>
              <w:spacing w:line="360" w:lineRule="auto"/>
              <w:rPr>
                <w:color w:val="auto"/>
              </w:rPr>
            </w:pPr>
            <w:r>
              <w:rPr>
                <w:rFonts w:hint="eastAsia" w:ascii="宋体" w:hAnsi="宋体" w:eastAsia="宋体" w:cs="宋体"/>
                <w:color w:val="auto"/>
                <w:szCs w:val="21"/>
                <w:highlight w:val="none"/>
                <w:lang w:val="en-US" w:eastAsia="zh-CN" w:bidi="ar"/>
              </w:rPr>
              <w:t>针对医疗废物泄漏、遗撒、遗失、转运突发故障、疫情应急处置、环境污染、人员防护意外等场景制定专项应急预案，明确处置流程、责任分工、应急物资、处置时限。方案优于项目需求得12分；满足项目需求得10分；不满足项目需求或未提供方案的不得分。</w:t>
            </w:r>
          </w:p>
        </w:tc>
      </w:tr>
      <w:tr w14:paraId="6A0A1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4EABF93">
            <w:pPr>
              <w:spacing w:line="360" w:lineRule="exact"/>
              <w:jc w:val="center"/>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3</w:t>
            </w:r>
          </w:p>
        </w:tc>
        <w:tc>
          <w:tcPr>
            <w:tcW w:w="1406" w:type="dxa"/>
            <w:tcBorders>
              <w:top w:val="single" w:color="auto" w:sz="4" w:space="0"/>
              <w:left w:val="nil"/>
              <w:bottom w:val="single" w:color="auto" w:sz="4" w:space="0"/>
              <w:right w:val="single" w:color="auto" w:sz="4" w:space="0"/>
            </w:tcBorders>
            <w:shd w:val="clear" w:color="auto" w:fill="auto"/>
            <w:noWrap w:val="0"/>
            <w:vAlign w:val="center"/>
          </w:tcPr>
          <w:p w14:paraId="7BAC84F1">
            <w:pPr>
              <w:spacing w:line="360" w:lineRule="exact"/>
              <w:jc w:val="center"/>
              <w:rPr>
                <w:rFonts w:hint="eastAsia" w:ascii="宋体" w:hAnsi="宋体" w:cs="宋体"/>
                <w:color w:val="auto"/>
                <w:highlight w:val="none"/>
              </w:rPr>
            </w:pPr>
            <w:r>
              <w:rPr>
                <w:rFonts w:hint="eastAsia" w:ascii="宋体" w:hAnsi="宋体" w:cs="宋体"/>
                <w:color w:val="auto"/>
                <w:highlight w:val="none"/>
              </w:rPr>
              <w:t>业绩</w:t>
            </w:r>
          </w:p>
          <w:p w14:paraId="19FF5E38">
            <w:pPr>
              <w:spacing w:line="360" w:lineRule="exact"/>
              <w:jc w:val="center"/>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（10分）</w:t>
            </w:r>
          </w:p>
        </w:tc>
        <w:tc>
          <w:tcPr>
            <w:tcW w:w="7584" w:type="dxa"/>
            <w:tcBorders>
              <w:top w:val="single" w:color="auto" w:sz="4" w:space="0"/>
              <w:left w:val="nil"/>
              <w:bottom w:val="single" w:color="auto" w:sz="4" w:space="0"/>
              <w:right w:val="single" w:color="auto" w:sz="4" w:space="0"/>
            </w:tcBorders>
            <w:shd w:val="clear" w:color="auto" w:fill="auto"/>
            <w:noWrap w:val="0"/>
            <w:vAlign w:val="center"/>
          </w:tcPr>
          <w:p w14:paraId="0D27BDB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lang w:bidi="ar"/>
              </w:rPr>
            </w:pPr>
            <w:r>
              <w:rPr>
                <w:rFonts w:hint="eastAsia" w:ascii="宋体" w:hAnsi="宋体" w:cs="宋体"/>
                <w:color w:val="auto"/>
                <w:highlight w:val="none"/>
                <w:lang w:val="en-US" w:eastAsia="zh-CN"/>
              </w:rPr>
              <w:t>投标人自</w:t>
            </w:r>
            <w:r>
              <w:rPr>
                <w:rFonts w:hint="eastAsia" w:ascii="宋体" w:hAnsi="宋体" w:cs="宋体"/>
                <w:color w:val="auto"/>
                <w:highlight w:val="none"/>
              </w:rPr>
              <w:t>20</w:t>
            </w:r>
            <w:r>
              <w:rPr>
                <w:rFonts w:hint="eastAsia" w:ascii="宋体" w:hAnsi="宋体" w:cs="宋体"/>
                <w:color w:val="auto"/>
                <w:highlight w:val="none"/>
                <w:lang w:val="en-US" w:eastAsia="zh-CN"/>
              </w:rPr>
              <w:t>23</w:t>
            </w:r>
            <w:r>
              <w:rPr>
                <w:rFonts w:hint="eastAsia" w:ascii="宋体" w:hAnsi="宋体" w:cs="宋体"/>
                <w:color w:val="auto"/>
                <w:highlight w:val="none"/>
              </w:rPr>
              <w:t>年</w:t>
            </w:r>
            <w:r>
              <w:rPr>
                <w:rFonts w:hint="eastAsia" w:ascii="宋体" w:hAnsi="宋体" w:cs="宋体"/>
                <w:color w:val="auto"/>
                <w:highlight w:val="none"/>
                <w:lang w:val="en-US" w:eastAsia="zh-CN"/>
              </w:rPr>
              <w:t>1</w:t>
            </w:r>
            <w:r>
              <w:rPr>
                <w:rFonts w:hint="eastAsia" w:ascii="宋体" w:hAnsi="宋体" w:cs="宋体"/>
                <w:color w:val="auto"/>
                <w:highlight w:val="none"/>
              </w:rPr>
              <w:t>月1日</w:t>
            </w:r>
            <w:r>
              <w:rPr>
                <w:rFonts w:hint="eastAsia" w:ascii="宋体" w:hAnsi="宋体" w:cs="宋体"/>
                <w:color w:val="auto"/>
                <w:highlight w:val="none"/>
                <w:lang w:val="en-US" w:eastAsia="zh-CN"/>
              </w:rPr>
              <w:t>以来</w:t>
            </w:r>
            <w:r>
              <w:rPr>
                <w:rFonts w:hint="eastAsia" w:ascii="宋体" w:hAnsi="宋体" w:cs="宋体"/>
                <w:color w:val="auto"/>
                <w:highlight w:val="none"/>
              </w:rPr>
              <w:t>（含前述时间</w:t>
            </w:r>
            <w:r>
              <w:rPr>
                <w:rFonts w:hint="eastAsia" w:ascii="宋体" w:hAnsi="宋体" w:eastAsia="宋体" w:cs="宋体"/>
                <w:color w:val="auto"/>
                <w:highlight w:val="none"/>
                <w:lang w:eastAsia="zh-CN"/>
              </w:rPr>
              <w:t>，</w:t>
            </w:r>
            <w:r>
              <w:rPr>
                <w:rFonts w:hint="eastAsia" w:ascii="宋体" w:hAnsi="宋体" w:cs="宋体"/>
                <w:color w:val="auto"/>
                <w:highlight w:val="none"/>
              </w:rPr>
              <w:t>以合同签订时间为准），每</w:t>
            </w:r>
            <w:r>
              <w:rPr>
                <w:rFonts w:hint="eastAsia" w:ascii="宋体" w:hAnsi="宋体" w:eastAsia="宋体" w:cs="宋体"/>
                <w:color w:val="auto"/>
                <w:highlight w:val="none"/>
              </w:rPr>
              <w:t>提供一个类似服务</w:t>
            </w:r>
            <w:r>
              <w:rPr>
                <w:rFonts w:hint="eastAsia" w:ascii="宋体" w:hAnsi="宋体" w:eastAsia="宋体" w:cs="宋体"/>
                <w:color w:val="auto"/>
                <w:highlight w:val="none"/>
                <w:lang w:val="en-US" w:eastAsia="zh-CN"/>
              </w:rPr>
              <w:t>业绩</w:t>
            </w:r>
            <w:r>
              <w:rPr>
                <w:rFonts w:hint="eastAsia" w:ascii="宋体" w:hAnsi="宋体" w:eastAsia="宋体" w:cs="宋体"/>
                <w:color w:val="auto"/>
                <w:highlight w:val="none"/>
              </w:rPr>
              <w:t>合同得</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分，最多</w:t>
            </w:r>
            <w:r>
              <w:rPr>
                <w:rFonts w:hint="eastAsia" w:ascii="宋体" w:hAnsi="宋体" w:eastAsia="宋体" w:cs="宋体"/>
                <w:color w:val="auto"/>
                <w:highlight w:val="none"/>
                <w:lang w:val="en-US" w:eastAsia="zh-CN"/>
              </w:rPr>
              <w:t>10</w:t>
            </w:r>
            <w:r>
              <w:rPr>
                <w:rFonts w:hint="eastAsia" w:ascii="宋体" w:hAnsi="宋体" w:cs="宋体"/>
                <w:color w:val="auto"/>
                <w:highlight w:val="none"/>
              </w:rPr>
              <w:t>分</w:t>
            </w:r>
            <w:r>
              <w:rPr>
                <w:rFonts w:hint="eastAsia" w:ascii="宋体" w:hAnsi="宋体" w:eastAsia="宋体" w:cs="宋体"/>
                <w:color w:val="auto"/>
                <w:highlight w:val="none"/>
                <w:lang w:eastAsia="zh-CN"/>
              </w:rPr>
              <w:t>。</w:t>
            </w:r>
            <w:r>
              <w:rPr>
                <w:rFonts w:hint="eastAsia" w:ascii="宋体" w:hAnsi="宋体" w:cs="宋体"/>
                <w:color w:val="auto"/>
                <w:highlight w:val="none"/>
              </w:rPr>
              <w:t>（</w:t>
            </w:r>
            <w:r>
              <w:rPr>
                <w:rFonts w:hint="eastAsia" w:ascii="宋体" w:hAnsi="宋体" w:cs="宋体"/>
                <w:b/>
                <w:bCs/>
                <w:color w:val="auto"/>
                <w:highlight w:val="none"/>
              </w:rPr>
              <w:t>提供合同</w:t>
            </w:r>
            <w:r>
              <w:rPr>
                <w:rFonts w:hint="eastAsia" w:ascii="宋体" w:hAnsi="宋体" w:eastAsia="宋体" w:cs="宋体"/>
                <w:b/>
                <w:bCs/>
                <w:color w:val="auto"/>
                <w:highlight w:val="none"/>
                <w:lang w:val="en-US" w:eastAsia="zh-CN"/>
              </w:rPr>
              <w:t>扫描件，否则不得分</w:t>
            </w:r>
            <w:r>
              <w:rPr>
                <w:rFonts w:hint="eastAsia" w:ascii="宋体" w:hAnsi="宋体" w:cs="宋体"/>
                <w:b/>
                <w:bCs/>
                <w:color w:val="auto"/>
                <w:highlight w:val="none"/>
              </w:rPr>
              <w:t>）</w:t>
            </w:r>
          </w:p>
        </w:tc>
      </w:tr>
    </w:tbl>
    <w:p w14:paraId="36C759A2">
      <w:pPr>
        <w:spacing w:line="360" w:lineRule="auto"/>
        <w:rPr>
          <w:rFonts w:hint="eastAsia" w:ascii="宋体" w:hAnsi="宋体" w:eastAsia="宋体" w:cs="Courier New"/>
          <w:color w:val="auto"/>
          <w:sz w:val="24"/>
          <w:highlight w:val="none"/>
          <w:lang w:val="en-US" w:eastAsia="zh-CN"/>
        </w:rPr>
        <w:sectPr>
          <w:pgSz w:w="11906" w:h="16838"/>
          <w:pgMar w:top="1440" w:right="1800" w:bottom="1440" w:left="1800" w:header="851" w:footer="992" w:gutter="0"/>
          <w:pgNumType w:fmt="decimal"/>
          <w:cols w:space="425" w:num="1"/>
          <w:docGrid w:linePitch="360" w:charSpace="0"/>
        </w:sectPr>
      </w:pPr>
    </w:p>
    <w:p w14:paraId="3751540B">
      <w:pPr>
        <w:pStyle w:val="34"/>
        <w:spacing w:beforeAutospacing="0" w:afterAutospacing="0" w:line="0" w:lineRule="atLeast"/>
        <w:ind w:firstLine="321"/>
        <w:jc w:val="center"/>
        <w:outlineLvl w:val="0"/>
        <w:rPr>
          <w:rFonts w:hint="eastAsia" w:ascii="宋体" w:hAnsi="宋体" w:eastAsia="宋体" w:cs="宋体"/>
          <w:b/>
          <w:color w:val="auto"/>
          <w:sz w:val="48"/>
          <w:szCs w:val="48"/>
          <w:highlight w:val="none"/>
        </w:rPr>
      </w:pPr>
      <w:bookmarkStart w:id="161" w:name="_Toc6837"/>
      <w:bookmarkStart w:id="162" w:name="_Hlt26671244"/>
      <w:bookmarkStart w:id="163" w:name="_Hlt26955039"/>
      <w:bookmarkStart w:id="164" w:name="_Toc26554094"/>
      <w:r>
        <w:rPr>
          <w:rFonts w:hint="eastAsia" w:ascii="宋体" w:hAnsi="宋体" w:eastAsia="宋体" w:cs="宋体"/>
          <w:b/>
          <w:color w:val="auto"/>
          <w:sz w:val="48"/>
          <w:szCs w:val="48"/>
          <w:highlight w:val="none"/>
        </w:rPr>
        <w:t>第六章  投标文件格式</w:t>
      </w:r>
      <w:bookmarkEnd w:id="161"/>
    </w:p>
    <w:p w14:paraId="495D5034">
      <w:pPr>
        <w:pStyle w:val="34"/>
        <w:spacing w:beforeAutospacing="0" w:afterAutospacing="0" w:line="0" w:lineRule="atLeast"/>
        <w:ind w:firstLine="321"/>
        <w:jc w:val="center"/>
        <w:rPr>
          <w:rFonts w:hint="eastAsia" w:ascii="宋体" w:hAnsi="宋体" w:eastAsia="宋体" w:cs="宋体"/>
          <w:b/>
          <w:color w:val="auto"/>
          <w:sz w:val="32"/>
          <w:szCs w:val="32"/>
          <w:highlight w:val="none"/>
        </w:rPr>
      </w:pPr>
    </w:p>
    <w:p w14:paraId="186F9C94">
      <w:pPr>
        <w:pStyle w:val="34"/>
        <w:spacing w:beforeAutospacing="0" w:afterAutospacing="0" w:line="0" w:lineRule="atLeast"/>
        <w:ind w:firstLine="321"/>
        <w:jc w:val="center"/>
        <w:rPr>
          <w:rFonts w:hint="eastAsia" w:ascii="宋体" w:hAnsi="宋体" w:eastAsia="宋体" w:cs="宋体"/>
          <w:b/>
          <w:color w:val="auto"/>
          <w:sz w:val="32"/>
          <w:szCs w:val="32"/>
          <w:highlight w:val="none"/>
        </w:rPr>
      </w:pPr>
    </w:p>
    <w:p w14:paraId="68D639AB">
      <w:pPr>
        <w:pStyle w:val="34"/>
        <w:spacing w:beforeAutospacing="0" w:afterAutospacing="0" w:line="0" w:lineRule="atLeast"/>
        <w:ind w:firstLine="321"/>
        <w:jc w:val="center"/>
        <w:rPr>
          <w:rFonts w:hint="eastAsia" w:ascii="宋体" w:hAnsi="宋体" w:eastAsia="宋体" w:cs="宋体"/>
          <w:b/>
          <w:color w:val="auto"/>
          <w:sz w:val="32"/>
          <w:szCs w:val="32"/>
          <w:highlight w:val="none"/>
        </w:rPr>
      </w:pPr>
    </w:p>
    <w:p w14:paraId="15D44AA7">
      <w:pPr>
        <w:pStyle w:val="34"/>
        <w:spacing w:beforeAutospacing="0" w:afterAutospacing="0" w:line="0" w:lineRule="atLeast"/>
        <w:ind w:firstLine="321"/>
        <w:jc w:val="center"/>
        <w:rPr>
          <w:rFonts w:hint="eastAsia" w:ascii="宋体" w:hAnsi="宋体" w:eastAsia="宋体" w:cs="宋体"/>
          <w:b/>
          <w:color w:val="auto"/>
          <w:sz w:val="32"/>
          <w:szCs w:val="32"/>
          <w:highlight w:val="none"/>
        </w:rPr>
      </w:pPr>
    </w:p>
    <w:p w14:paraId="6D7ADABA">
      <w:pPr>
        <w:pStyle w:val="34"/>
        <w:spacing w:beforeAutospacing="0" w:afterAutospacing="0" w:line="0" w:lineRule="atLeast"/>
        <w:ind w:firstLine="321"/>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投  标  文  件</w:t>
      </w:r>
    </w:p>
    <w:p w14:paraId="5FB89098">
      <w:pPr>
        <w:pStyle w:val="34"/>
        <w:spacing w:beforeAutospacing="0" w:afterAutospacing="0" w:line="0" w:lineRule="atLeast"/>
        <w:ind w:firstLine="321"/>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w:t>
      </w:r>
    </w:p>
    <w:p w14:paraId="5DC7DB86">
      <w:pPr>
        <w:pStyle w:val="34"/>
        <w:spacing w:beforeAutospacing="0" w:afterAutospacing="0" w:line="0" w:lineRule="atLeast"/>
        <w:ind w:firstLine="321"/>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w:t>
      </w:r>
    </w:p>
    <w:p w14:paraId="59494D8D">
      <w:pPr>
        <w:pStyle w:val="34"/>
        <w:spacing w:beforeAutospacing="0" w:afterAutospacing="0" w:line="0" w:lineRule="atLeast"/>
        <w:ind w:firstLine="321"/>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w:t>
      </w:r>
    </w:p>
    <w:p w14:paraId="07BD7896">
      <w:pPr>
        <w:pStyle w:val="34"/>
        <w:spacing w:beforeAutospacing="0" w:afterAutospacing="0" w:line="0" w:lineRule="atLeast"/>
        <w:ind w:firstLine="321"/>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w:t>
      </w:r>
    </w:p>
    <w:p w14:paraId="0240D261">
      <w:pPr>
        <w:pStyle w:val="34"/>
        <w:spacing w:beforeAutospacing="0" w:afterAutospacing="0" w:line="0" w:lineRule="atLeast"/>
        <w:ind w:firstLine="321"/>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w:t>
      </w:r>
    </w:p>
    <w:p w14:paraId="7D8F62DE">
      <w:pPr>
        <w:pStyle w:val="34"/>
        <w:spacing w:beforeAutospacing="0" w:afterAutospacing="0"/>
        <w:ind w:firstLine="1084"/>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rPr>
        <w:t>项目 名 称：</w:t>
      </w:r>
      <w:r>
        <w:rPr>
          <w:rFonts w:hint="eastAsia" w:ascii="宋体" w:hAnsi="宋体" w:eastAsia="宋体" w:cs="宋体"/>
          <w:b/>
          <w:color w:val="auto"/>
          <w:sz w:val="36"/>
          <w:szCs w:val="36"/>
          <w:highlight w:val="none"/>
          <w:u w:val="single"/>
        </w:rPr>
        <w:t xml:space="preserve">               </w:t>
      </w:r>
    </w:p>
    <w:p w14:paraId="44D34830">
      <w:pPr>
        <w:pStyle w:val="34"/>
        <w:spacing w:beforeAutospacing="0" w:afterAutospacing="0"/>
        <w:ind w:firstLine="1084"/>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rPr>
        <w:t>项目 编 号：</w:t>
      </w:r>
      <w:r>
        <w:rPr>
          <w:rFonts w:hint="eastAsia" w:ascii="宋体" w:hAnsi="宋体" w:eastAsia="宋体" w:cs="宋体"/>
          <w:b/>
          <w:color w:val="auto"/>
          <w:sz w:val="36"/>
          <w:szCs w:val="36"/>
          <w:highlight w:val="none"/>
          <w:u w:val="single"/>
        </w:rPr>
        <w:t xml:space="preserve">               </w:t>
      </w:r>
    </w:p>
    <w:p w14:paraId="05195731">
      <w:pPr>
        <w:pStyle w:val="34"/>
        <w:spacing w:beforeAutospacing="0" w:afterAutospacing="0"/>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rPr>
        <w:t>     投标人名称 ：</w:t>
      </w:r>
      <w:r>
        <w:rPr>
          <w:rFonts w:hint="eastAsia" w:ascii="宋体" w:hAnsi="宋体" w:eastAsia="宋体" w:cs="宋体"/>
          <w:b/>
          <w:color w:val="auto"/>
          <w:sz w:val="36"/>
          <w:szCs w:val="36"/>
          <w:highlight w:val="none"/>
          <w:u w:val="single"/>
        </w:rPr>
        <w:t xml:space="preserve">（加盖CA电子公章）         </w:t>
      </w:r>
    </w:p>
    <w:p w14:paraId="438B7F27">
      <w:pPr>
        <w:pStyle w:val="34"/>
        <w:spacing w:beforeAutospacing="0" w:afterAutospacing="0" w:line="0" w:lineRule="atLeast"/>
        <w:ind w:firstLine="1084" w:firstLineChars="300"/>
        <w:jc w:val="both"/>
        <w:rPr>
          <w:rFonts w:hint="eastAsia" w:ascii="宋体" w:hAnsi="宋体" w:eastAsia="宋体" w:cs="宋体"/>
          <w:b/>
          <w:color w:val="auto"/>
          <w:sz w:val="32"/>
          <w:szCs w:val="32"/>
          <w:highlight w:val="none"/>
        </w:rPr>
      </w:pPr>
      <w:r>
        <w:rPr>
          <w:rFonts w:hint="eastAsia" w:ascii="宋体" w:hAnsi="宋体" w:eastAsia="宋体" w:cs="宋体"/>
          <w:b/>
          <w:color w:val="auto"/>
          <w:sz w:val="36"/>
          <w:szCs w:val="36"/>
          <w:highlight w:val="none"/>
        </w:rPr>
        <w:t>日   期 ：</w:t>
      </w:r>
      <w:r>
        <w:rPr>
          <w:rFonts w:hint="eastAsia" w:ascii="宋体" w:hAnsi="宋体" w:eastAsia="宋体" w:cs="宋体"/>
          <w:b/>
          <w:color w:val="auto"/>
          <w:sz w:val="36"/>
          <w:szCs w:val="36"/>
          <w:highlight w:val="none"/>
          <w:u w:val="single"/>
        </w:rPr>
        <w:t>                     </w:t>
      </w:r>
      <w:r>
        <w:rPr>
          <w:rFonts w:hint="eastAsia" w:ascii="宋体" w:hAnsi="宋体" w:eastAsia="宋体" w:cs="宋体"/>
          <w:b/>
          <w:color w:val="auto"/>
          <w:sz w:val="32"/>
          <w:szCs w:val="32"/>
          <w:highlight w:val="none"/>
        </w:rPr>
        <w:t xml:space="preserve">   </w:t>
      </w:r>
    </w:p>
    <w:p w14:paraId="5BFEE816">
      <w:pPr>
        <w:pStyle w:val="34"/>
        <w:spacing w:beforeAutospacing="0" w:afterAutospacing="0" w:line="0" w:lineRule="atLeast"/>
        <w:ind w:firstLine="321"/>
        <w:jc w:val="center"/>
        <w:rPr>
          <w:rFonts w:hint="eastAsia" w:ascii="宋体" w:hAnsi="宋体" w:eastAsia="宋体" w:cs="宋体"/>
          <w:b/>
          <w:color w:val="auto"/>
          <w:sz w:val="32"/>
          <w:szCs w:val="32"/>
          <w:highlight w:val="none"/>
        </w:rPr>
      </w:pPr>
    </w:p>
    <w:p w14:paraId="090DCCD1">
      <w:pPr>
        <w:pStyle w:val="34"/>
        <w:spacing w:beforeAutospacing="0" w:afterAutospacing="0" w:line="0" w:lineRule="atLeast"/>
        <w:ind w:firstLine="321"/>
        <w:jc w:val="center"/>
        <w:rPr>
          <w:rFonts w:hint="eastAsia" w:ascii="宋体" w:hAnsi="宋体" w:eastAsia="宋体" w:cs="宋体"/>
          <w:b/>
          <w:color w:val="auto"/>
          <w:sz w:val="32"/>
          <w:szCs w:val="32"/>
          <w:highlight w:val="none"/>
        </w:rPr>
      </w:pPr>
    </w:p>
    <w:p w14:paraId="4BFB3B4B">
      <w:pPr>
        <w:pStyle w:val="34"/>
        <w:spacing w:beforeAutospacing="0" w:afterAutospacing="0" w:line="0" w:lineRule="atLeast"/>
        <w:ind w:firstLine="321"/>
        <w:jc w:val="center"/>
        <w:rPr>
          <w:rFonts w:hint="eastAsia" w:ascii="宋体" w:hAnsi="宋体" w:eastAsia="宋体" w:cs="宋体"/>
          <w:b/>
          <w:color w:val="auto"/>
          <w:sz w:val="32"/>
          <w:szCs w:val="32"/>
          <w:highlight w:val="none"/>
        </w:rPr>
      </w:pPr>
    </w:p>
    <w:p w14:paraId="317D75DD">
      <w:pPr>
        <w:pStyle w:val="34"/>
        <w:spacing w:beforeAutospacing="0" w:afterAutospacing="0" w:line="0" w:lineRule="atLeast"/>
        <w:ind w:firstLine="321"/>
        <w:jc w:val="center"/>
        <w:rPr>
          <w:rFonts w:hint="eastAsia" w:ascii="宋体" w:hAnsi="宋体" w:eastAsia="宋体" w:cs="宋体"/>
          <w:b/>
          <w:color w:val="auto"/>
          <w:sz w:val="32"/>
          <w:szCs w:val="32"/>
          <w:highlight w:val="none"/>
        </w:rPr>
      </w:pPr>
    </w:p>
    <w:p w14:paraId="05DCB705">
      <w:pPr>
        <w:pStyle w:val="34"/>
        <w:spacing w:beforeAutospacing="0" w:afterAutospacing="0" w:line="0" w:lineRule="atLeast"/>
        <w:ind w:firstLine="321"/>
        <w:jc w:val="center"/>
        <w:rPr>
          <w:rFonts w:hint="eastAsia" w:ascii="宋体" w:hAnsi="宋体" w:eastAsia="宋体" w:cs="宋体"/>
          <w:b/>
          <w:color w:val="auto"/>
          <w:sz w:val="32"/>
          <w:szCs w:val="32"/>
          <w:highlight w:val="none"/>
        </w:rPr>
      </w:pPr>
    </w:p>
    <w:p w14:paraId="7F931572">
      <w:pPr>
        <w:pStyle w:val="34"/>
        <w:spacing w:beforeAutospacing="0" w:afterAutospacing="0" w:line="0" w:lineRule="atLeast"/>
        <w:ind w:firstLine="321"/>
        <w:jc w:val="center"/>
        <w:rPr>
          <w:rFonts w:hint="eastAsia" w:ascii="宋体" w:hAnsi="宋体" w:eastAsia="宋体" w:cs="宋体"/>
          <w:b/>
          <w:color w:val="auto"/>
          <w:sz w:val="32"/>
          <w:szCs w:val="32"/>
          <w:highlight w:val="none"/>
        </w:rPr>
      </w:pPr>
    </w:p>
    <w:p w14:paraId="7F899703">
      <w:pPr>
        <w:pStyle w:val="34"/>
        <w:spacing w:beforeAutospacing="0" w:afterAutospacing="0" w:line="0" w:lineRule="atLeast"/>
        <w:ind w:firstLine="321"/>
        <w:jc w:val="center"/>
        <w:rPr>
          <w:rFonts w:hint="eastAsia" w:ascii="宋体" w:hAnsi="宋体" w:eastAsia="宋体" w:cs="宋体"/>
          <w:b/>
          <w:color w:val="auto"/>
          <w:sz w:val="32"/>
          <w:szCs w:val="32"/>
          <w:highlight w:val="none"/>
        </w:rPr>
      </w:pPr>
    </w:p>
    <w:p w14:paraId="084391C7">
      <w:pPr>
        <w:pStyle w:val="34"/>
        <w:spacing w:beforeAutospacing="0" w:afterAutospacing="0" w:line="0" w:lineRule="atLeast"/>
        <w:ind w:firstLine="321"/>
        <w:jc w:val="center"/>
        <w:rPr>
          <w:rFonts w:hint="eastAsia" w:ascii="宋体" w:hAnsi="宋体" w:eastAsia="宋体" w:cs="宋体"/>
          <w:b/>
          <w:color w:val="auto"/>
          <w:sz w:val="32"/>
          <w:szCs w:val="32"/>
          <w:highlight w:val="none"/>
        </w:rPr>
      </w:pPr>
    </w:p>
    <w:p w14:paraId="00732D8C">
      <w:pPr>
        <w:pStyle w:val="34"/>
        <w:spacing w:beforeAutospacing="0" w:afterAutospacing="0" w:line="0" w:lineRule="atLeast"/>
        <w:ind w:firstLine="321"/>
        <w:jc w:val="center"/>
        <w:rPr>
          <w:rFonts w:hint="eastAsia" w:ascii="宋体" w:hAnsi="宋体" w:eastAsia="宋体" w:cs="宋体"/>
          <w:b/>
          <w:color w:val="auto"/>
          <w:sz w:val="32"/>
          <w:szCs w:val="32"/>
          <w:highlight w:val="none"/>
        </w:rPr>
      </w:pPr>
    </w:p>
    <w:p w14:paraId="66FF9F40">
      <w:pPr>
        <w:pStyle w:val="34"/>
        <w:spacing w:beforeAutospacing="0" w:afterAutospacing="0" w:line="0" w:lineRule="atLeast"/>
        <w:ind w:firstLine="321"/>
        <w:jc w:val="center"/>
        <w:rPr>
          <w:rFonts w:hint="eastAsia" w:ascii="宋体" w:hAnsi="宋体" w:eastAsia="宋体" w:cs="宋体"/>
          <w:b/>
          <w:color w:val="auto"/>
          <w:sz w:val="32"/>
          <w:szCs w:val="32"/>
          <w:highlight w:val="none"/>
        </w:rPr>
      </w:pPr>
    </w:p>
    <w:p w14:paraId="25E00F1B">
      <w:pPr>
        <w:pStyle w:val="34"/>
        <w:spacing w:beforeAutospacing="0" w:afterAutospacing="0" w:line="0" w:lineRule="atLeast"/>
        <w:ind w:firstLine="321"/>
        <w:jc w:val="center"/>
        <w:rPr>
          <w:rFonts w:hint="eastAsia" w:ascii="宋体" w:hAnsi="宋体" w:eastAsia="宋体" w:cs="宋体"/>
          <w:b/>
          <w:color w:val="auto"/>
          <w:sz w:val="32"/>
          <w:szCs w:val="32"/>
          <w:highlight w:val="none"/>
        </w:rPr>
      </w:pPr>
    </w:p>
    <w:p w14:paraId="3B1AD063">
      <w:pPr>
        <w:pStyle w:val="34"/>
        <w:spacing w:beforeAutospacing="0" w:afterAutospacing="0" w:line="0" w:lineRule="atLeast"/>
        <w:ind w:firstLine="321"/>
        <w:jc w:val="center"/>
        <w:rPr>
          <w:rFonts w:hint="eastAsia" w:ascii="宋体" w:hAnsi="宋体" w:eastAsia="宋体" w:cs="宋体"/>
          <w:b/>
          <w:color w:val="auto"/>
          <w:sz w:val="32"/>
          <w:szCs w:val="32"/>
          <w:highlight w:val="none"/>
        </w:rPr>
      </w:pPr>
    </w:p>
    <w:p w14:paraId="2F19E145">
      <w:pPr>
        <w:pStyle w:val="34"/>
        <w:spacing w:beforeAutospacing="0" w:afterAutospacing="0" w:line="0" w:lineRule="atLeast"/>
        <w:ind w:firstLine="321"/>
        <w:jc w:val="center"/>
        <w:rPr>
          <w:rFonts w:hint="eastAsia" w:ascii="宋体" w:hAnsi="宋体" w:eastAsia="宋体" w:cs="宋体"/>
          <w:b/>
          <w:color w:val="auto"/>
          <w:sz w:val="32"/>
          <w:szCs w:val="32"/>
          <w:highlight w:val="none"/>
        </w:rPr>
      </w:pPr>
    </w:p>
    <w:p w14:paraId="53EFED18">
      <w:pPr>
        <w:pStyle w:val="34"/>
        <w:spacing w:beforeAutospacing="0" w:afterAutospacing="0" w:line="0" w:lineRule="atLeast"/>
        <w:ind w:firstLine="321"/>
        <w:jc w:val="center"/>
        <w:rPr>
          <w:rFonts w:hint="eastAsia" w:ascii="宋体" w:hAnsi="宋体" w:eastAsia="宋体" w:cs="宋体"/>
          <w:b/>
          <w:color w:val="auto"/>
          <w:sz w:val="32"/>
          <w:szCs w:val="32"/>
          <w:highlight w:val="none"/>
        </w:rPr>
      </w:pPr>
    </w:p>
    <w:p w14:paraId="76F6ADDB">
      <w:pPr>
        <w:pStyle w:val="34"/>
        <w:spacing w:beforeAutospacing="0" w:afterAutospacing="0" w:line="0" w:lineRule="atLeast"/>
        <w:ind w:firstLine="321"/>
        <w:jc w:val="center"/>
        <w:rPr>
          <w:rFonts w:hint="eastAsia" w:ascii="宋体" w:hAnsi="宋体" w:eastAsia="宋体" w:cs="宋体"/>
          <w:b/>
          <w:color w:val="auto"/>
          <w:sz w:val="32"/>
          <w:szCs w:val="32"/>
          <w:highlight w:val="none"/>
        </w:rPr>
      </w:pPr>
    </w:p>
    <w:p w14:paraId="576BE19C">
      <w:pPr>
        <w:pStyle w:val="34"/>
        <w:spacing w:beforeAutospacing="0" w:afterAutospacing="0" w:line="0" w:lineRule="atLeast"/>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目 录</w:t>
      </w:r>
    </w:p>
    <w:p w14:paraId="0094C727">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、法人或者其他组织的营业执照等证明文件，自然人的身份证明</w:t>
      </w:r>
    </w:p>
    <w:p w14:paraId="6268DA14">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、上一年度的财务报表上一年度的财务状况报表（上一年度指2025年度，财务状况报表至少提供资产负债表、利润表、现金流量表，投标人成立不满一年无需提供）；</w:t>
      </w:r>
    </w:p>
    <w:p w14:paraId="16C457BD">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490A4BD8">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、具备履行合同所必需的设备和专业技术能力的书面声明</w:t>
      </w:r>
    </w:p>
    <w:p w14:paraId="32AE09BC">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13"/>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、参加政府采购活动前</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年内在经营活动中没有重大违法记录的书面声明</w:t>
      </w:r>
    </w:p>
    <w:p w14:paraId="0AD778A9">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13"/>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、特定资格要求的证明文件（如果本项目设置特定资格要求，则需要提供）</w:t>
      </w:r>
    </w:p>
    <w:p w14:paraId="0424781A">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13"/>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法人授权书</w:t>
      </w:r>
    </w:p>
    <w:p w14:paraId="7D22044C">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13"/>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投标函</w:t>
      </w:r>
    </w:p>
    <w:p w14:paraId="5858316F">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13"/>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九</w:t>
      </w:r>
      <w:r>
        <w:rPr>
          <w:rFonts w:hint="eastAsia" w:ascii="宋体" w:hAnsi="宋体" w:eastAsia="宋体" w:cs="宋体"/>
          <w:color w:val="auto"/>
          <w:sz w:val="24"/>
          <w:szCs w:val="24"/>
          <w:highlight w:val="none"/>
        </w:rPr>
        <w:t>、投标分项报价表</w:t>
      </w:r>
    </w:p>
    <w:p w14:paraId="333EC651">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13"/>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十、技术要求响应及偏离表</w:t>
      </w:r>
    </w:p>
    <w:p w14:paraId="107353B3">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13"/>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、商务要求响应及偏离表</w:t>
      </w:r>
    </w:p>
    <w:p w14:paraId="0D6EB1B0">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13"/>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十二、开标一览表</w:t>
      </w:r>
    </w:p>
    <w:p w14:paraId="700CC43F">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13"/>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十三、</w:t>
      </w:r>
      <w:r>
        <w:rPr>
          <w:rFonts w:hint="eastAsia" w:ascii="宋体" w:hAnsi="宋体" w:eastAsia="宋体" w:cs="宋体"/>
          <w:color w:val="auto"/>
          <w:sz w:val="24"/>
          <w:szCs w:val="24"/>
          <w:highlight w:val="none"/>
          <w:lang w:val="en-US" w:eastAsia="zh-CN"/>
        </w:rPr>
        <w:t>中</w:t>
      </w:r>
      <w:r>
        <w:rPr>
          <w:rFonts w:hint="eastAsia" w:ascii="宋体" w:hAnsi="宋体" w:eastAsia="宋体" w:cs="宋体"/>
          <w:color w:val="auto"/>
          <w:sz w:val="24"/>
          <w:szCs w:val="24"/>
          <w:highlight w:val="none"/>
        </w:rPr>
        <w:t>小企业声明函</w:t>
      </w:r>
    </w:p>
    <w:p w14:paraId="6515D2C6">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13"/>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十四、残疾人福利性单位声明函</w:t>
      </w:r>
    </w:p>
    <w:p w14:paraId="7C9DCA59">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13"/>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十五、项目服务方案</w:t>
      </w:r>
    </w:p>
    <w:p w14:paraId="690692F6">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13"/>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十六、政府采购事前承诺书</w:t>
      </w:r>
    </w:p>
    <w:p w14:paraId="5474440C">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13"/>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十七、</w:t>
      </w:r>
      <w:r>
        <w:rPr>
          <w:rFonts w:hint="eastAsia" w:ascii="宋体" w:hAnsi="宋体" w:eastAsia="宋体" w:cs="宋体"/>
          <w:color w:val="auto"/>
          <w:sz w:val="24"/>
          <w:szCs w:val="24"/>
          <w:highlight w:val="none"/>
        </w:rPr>
        <w:t>招标文件</w:t>
      </w:r>
      <w:r>
        <w:rPr>
          <w:rFonts w:hint="eastAsia" w:ascii="宋体" w:hAnsi="宋体" w:eastAsia="宋体" w:cs="宋体"/>
          <w:color w:val="auto"/>
          <w:sz w:val="24"/>
          <w:szCs w:val="24"/>
          <w:highlight w:val="none"/>
          <w:lang w:val="en-US" w:eastAsia="zh-CN"/>
        </w:rPr>
        <w:t>中</w:t>
      </w:r>
      <w:r>
        <w:rPr>
          <w:rFonts w:hint="eastAsia" w:ascii="宋体" w:hAnsi="宋体" w:eastAsia="宋体" w:cs="宋体"/>
          <w:color w:val="auto"/>
          <w:sz w:val="24"/>
          <w:szCs w:val="24"/>
          <w:highlight w:val="none"/>
        </w:rPr>
        <w:t>约定的其他材料</w:t>
      </w:r>
    </w:p>
    <w:p w14:paraId="28812CE1">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13"/>
        <w:jc w:val="both"/>
        <w:textAlignment w:val="auto"/>
        <w:rPr>
          <w:rFonts w:hint="default" w:ascii="宋体" w:hAnsi="宋体" w:eastAsia="宋体" w:cs="宋体"/>
          <w:color w:val="auto"/>
          <w:sz w:val="24"/>
          <w:szCs w:val="24"/>
          <w:highlight w:val="none"/>
          <w:lang w:val="en-US" w:eastAsia="zh-CN"/>
        </w:rPr>
      </w:pPr>
    </w:p>
    <w:p w14:paraId="2166FC1D">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0"/>
        <w:jc w:val="both"/>
        <w:textAlignment w:val="auto"/>
        <w:rPr>
          <w:rFonts w:hint="eastAsia" w:ascii="宋体" w:hAnsi="宋体" w:eastAsia="宋体" w:cs="宋体"/>
          <w:b w:val="0"/>
          <w:bCs w:val="0"/>
          <w:i w:val="0"/>
          <w:iCs w:val="0"/>
          <w:color w:val="auto"/>
          <w:sz w:val="24"/>
          <w:szCs w:val="24"/>
          <w:highlight w:val="none"/>
          <w:u w:val="none"/>
        </w:rPr>
      </w:pPr>
    </w:p>
    <w:p w14:paraId="7C690E32">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0"/>
        <w:jc w:val="both"/>
        <w:textAlignment w:val="auto"/>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一、法人或者其他组织的营业执照等证明文件，自然人的身份证明</w:t>
      </w:r>
    </w:p>
    <w:p w14:paraId="216432ED">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0"/>
        <w:jc w:val="both"/>
        <w:textAlignment w:val="auto"/>
        <w:rPr>
          <w:rFonts w:hint="eastAsia" w:ascii="宋体" w:hAnsi="宋体" w:eastAsia="宋体" w:cs="宋体"/>
          <w:b w:val="0"/>
          <w:bCs w:val="0"/>
          <w:i w:val="0"/>
          <w:iCs w:val="0"/>
          <w:color w:val="auto"/>
          <w:sz w:val="24"/>
          <w:szCs w:val="24"/>
          <w:highlight w:val="none"/>
          <w:u w:val="none"/>
        </w:rPr>
      </w:pPr>
    </w:p>
    <w:p w14:paraId="1216D74F">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0"/>
        <w:jc w:val="both"/>
        <w:textAlignment w:val="auto"/>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lang w:val="en-US" w:eastAsia="zh-CN"/>
        </w:rPr>
        <w:t>二、</w:t>
      </w:r>
      <w:r>
        <w:rPr>
          <w:rFonts w:hint="eastAsia" w:ascii="宋体" w:hAnsi="宋体" w:eastAsia="宋体" w:cs="宋体"/>
          <w:b w:val="0"/>
          <w:bCs w:val="0"/>
          <w:i w:val="0"/>
          <w:iCs w:val="0"/>
          <w:color w:val="auto"/>
          <w:sz w:val="24"/>
          <w:szCs w:val="24"/>
          <w:highlight w:val="none"/>
          <w:u w:val="none"/>
        </w:rPr>
        <w:t>上一年度的财务状况报表</w:t>
      </w:r>
    </w:p>
    <w:p w14:paraId="14CB8858">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0"/>
        <w:jc w:val="both"/>
        <w:textAlignment w:val="auto"/>
        <w:rPr>
          <w:rFonts w:hint="eastAsia" w:ascii="宋体" w:hAnsi="宋体" w:eastAsia="宋体" w:cs="宋体"/>
          <w:b w:val="0"/>
          <w:bCs w:val="0"/>
          <w:i w:val="0"/>
          <w:iCs w:val="0"/>
          <w:color w:val="auto"/>
          <w:sz w:val="24"/>
          <w:szCs w:val="24"/>
          <w:highlight w:val="none"/>
          <w:u w:val="none"/>
          <w:lang w:eastAsia="zh-CN"/>
        </w:rPr>
      </w:pPr>
      <w:r>
        <w:rPr>
          <w:rFonts w:hint="eastAsia" w:ascii="宋体" w:hAnsi="宋体" w:eastAsia="宋体" w:cs="宋体"/>
          <w:b w:val="0"/>
          <w:bCs w:val="0"/>
          <w:i w:val="0"/>
          <w:iCs w:val="0"/>
          <w:color w:val="auto"/>
          <w:sz w:val="24"/>
          <w:szCs w:val="24"/>
          <w:highlight w:val="none"/>
          <w:u w:val="none"/>
        </w:rPr>
        <w:t>上一年度指2025年度，财务状况报表至少提供资产负债表、利润表、现金流量表，投标人成立不满一年无需提供</w:t>
      </w:r>
      <w:r>
        <w:rPr>
          <w:rFonts w:hint="eastAsia" w:ascii="宋体" w:hAnsi="宋体" w:eastAsia="宋体" w:cs="宋体"/>
          <w:b w:val="0"/>
          <w:bCs w:val="0"/>
          <w:i w:val="0"/>
          <w:iCs w:val="0"/>
          <w:color w:val="auto"/>
          <w:sz w:val="24"/>
          <w:szCs w:val="24"/>
          <w:highlight w:val="none"/>
          <w:u w:val="none"/>
          <w:lang w:eastAsia="zh-CN"/>
        </w:rPr>
        <w:t>。</w:t>
      </w:r>
    </w:p>
    <w:p w14:paraId="26CC84C6">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0"/>
        <w:jc w:val="both"/>
        <w:textAlignment w:val="auto"/>
        <w:rPr>
          <w:rFonts w:hint="eastAsia" w:ascii="宋体" w:hAnsi="宋体" w:eastAsia="宋体" w:cs="宋体"/>
          <w:b w:val="0"/>
          <w:bCs w:val="0"/>
          <w:i w:val="0"/>
          <w:iCs w:val="0"/>
          <w:color w:val="auto"/>
          <w:sz w:val="24"/>
          <w:szCs w:val="24"/>
          <w:highlight w:val="none"/>
          <w:u w:val="none"/>
        </w:rPr>
      </w:pPr>
    </w:p>
    <w:p w14:paraId="1624E070">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0"/>
        <w:jc w:val="both"/>
        <w:textAlignment w:val="auto"/>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三、依法缴纳税收和社会保障资金的相关材料</w:t>
      </w:r>
    </w:p>
    <w:p w14:paraId="6C98FEBE">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0"/>
        <w:jc w:val="both"/>
        <w:textAlignment w:val="auto"/>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提供提交投标文件截止时间前一年内至少一个月依法缴纳税收及缴纳社会保障资金的证明材料。投标人依法享受缓缴、免缴税收、社会保障资金的提供证明材料。</w:t>
      </w:r>
    </w:p>
    <w:p w14:paraId="323765C6">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0"/>
        <w:jc w:val="both"/>
        <w:textAlignment w:val="auto"/>
        <w:rPr>
          <w:rFonts w:hint="eastAsia" w:ascii="宋体" w:hAnsi="宋体" w:eastAsia="宋体" w:cs="宋体"/>
          <w:b w:val="0"/>
          <w:bCs w:val="0"/>
          <w:i w:val="0"/>
          <w:iCs w:val="0"/>
          <w:color w:val="auto"/>
          <w:sz w:val="24"/>
          <w:szCs w:val="24"/>
          <w:highlight w:val="none"/>
          <w:u w:val="none"/>
        </w:rPr>
      </w:pPr>
    </w:p>
    <w:p w14:paraId="6BA60AA7">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0"/>
        <w:jc w:val="both"/>
        <w:textAlignment w:val="auto"/>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四、具备履行合同所必需的设备和专业技术能力的书面声明</w:t>
      </w:r>
    </w:p>
    <w:p w14:paraId="3AC911E4">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0"/>
        <w:jc w:val="both"/>
        <w:textAlignment w:val="auto"/>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我单位郑重声明：我单位具备履行本项采购合同所必需的设备和专业技术能力，为履行本项采购合同我公司具备如下主要设备和主要专业技术能力：</w:t>
      </w:r>
    </w:p>
    <w:p w14:paraId="4CABBEF3">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0"/>
        <w:jc w:val="both"/>
        <w:textAlignment w:val="auto"/>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主要设备有</w:t>
      </w:r>
      <w:r>
        <w:rPr>
          <w:rFonts w:hint="eastAsia" w:ascii="宋体" w:hAnsi="宋体" w:eastAsia="宋体" w:cs="宋体"/>
          <w:b w:val="0"/>
          <w:bCs w:val="0"/>
          <w:i w:val="0"/>
          <w:iCs w:val="0"/>
          <w:color w:val="auto"/>
          <w:sz w:val="24"/>
          <w:szCs w:val="24"/>
          <w:highlight w:val="none"/>
          <w:u w:val="single"/>
        </w:rPr>
        <w:t xml:space="preserve">：  </w:t>
      </w:r>
      <w:r>
        <w:rPr>
          <w:rFonts w:hint="eastAsia" w:ascii="宋体" w:hAnsi="宋体" w:eastAsia="宋体" w:cs="宋体"/>
          <w:b w:val="0"/>
          <w:bCs w:val="0"/>
          <w:i w:val="0"/>
          <w:iCs w:val="0"/>
          <w:color w:val="auto"/>
          <w:sz w:val="24"/>
          <w:szCs w:val="24"/>
          <w:highlight w:val="none"/>
          <w:u w:val="single"/>
          <w:lang w:val="en-US" w:eastAsia="zh-CN"/>
        </w:rPr>
        <w:t xml:space="preserve">   </w:t>
      </w:r>
      <w:r>
        <w:rPr>
          <w:rFonts w:hint="eastAsia" w:ascii="宋体" w:hAnsi="宋体" w:eastAsia="宋体" w:cs="宋体"/>
          <w:b w:val="0"/>
          <w:bCs w:val="0"/>
          <w:i w:val="0"/>
          <w:iCs w:val="0"/>
          <w:color w:val="auto"/>
          <w:sz w:val="24"/>
          <w:szCs w:val="24"/>
          <w:highlight w:val="none"/>
          <w:u w:val="none"/>
        </w:rPr>
        <w:t>。</w:t>
      </w:r>
    </w:p>
    <w:p w14:paraId="64AB327E">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0"/>
        <w:jc w:val="both"/>
        <w:textAlignment w:val="auto"/>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主要专业技术能力有：</w:t>
      </w:r>
      <w:r>
        <w:rPr>
          <w:rFonts w:hint="eastAsia" w:ascii="宋体" w:hAnsi="宋体" w:eastAsia="宋体" w:cs="宋体"/>
          <w:b w:val="0"/>
          <w:bCs w:val="0"/>
          <w:i w:val="0"/>
          <w:iCs w:val="0"/>
          <w:color w:val="auto"/>
          <w:sz w:val="24"/>
          <w:szCs w:val="24"/>
          <w:highlight w:val="none"/>
          <w:u w:val="single"/>
        </w:rPr>
        <w:t xml:space="preserve">   </w:t>
      </w:r>
      <w:r>
        <w:rPr>
          <w:rFonts w:hint="eastAsia" w:ascii="宋体" w:hAnsi="宋体" w:eastAsia="宋体" w:cs="宋体"/>
          <w:b w:val="0"/>
          <w:bCs w:val="0"/>
          <w:i w:val="0"/>
          <w:iCs w:val="0"/>
          <w:color w:val="auto"/>
          <w:sz w:val="24"/>
          <w:szCs w:val="24"/>
          <w:highlight w:val="none"/>
          <w:u w:val="none"/>
        </w:rPr>
        <w:t>。</w:t>
      </w:r>
    </w:p>
    <w:p w14:paraId="3648FCBD">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0"/>
        <w:jc w:val="both"/>
        <w:textAlignment w:val="auto"/>
        <w:rPr>
          <w:rFonts w:hint="eastAsia" w:ascii="宋体" w:hAnsi="宋体" w:eastAsia="宋体" w:cs="宋体"/>
          <w:b w:val="0"/>
          <w:bCs w:val="0"/>
          <w:i w:val="0"/>
          <w:iCs w:val="0"/>
          <w:color w:val="auto"/>
          <w:sz w:val="24"/>
          <w:szCs w:val="24"/>
          <w:highlight w:val="none"/>
          <w:u w:val="none"/>
        </w:rPr>
      </w:pPr>
    </w:p>
    <w:p w14:paraId="50852C47">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0"/>
        <w:jc w:val="both"/>
        <w:textAlignment w:val="auto"/>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五、参加政府采购活动前3年内在经营活动中没有重大违法记录的书面声明</w:t>
      </w:r>
    </w:p>
    <w:p w14:paraId="03220EAC">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0"/>
        <w:jc w:val="center"/>
        <w:textAlignment w:val="auto"/>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声明</w:t>
      </w:r>
    </w:p>
    <w:p w14:paraId="1159EC61">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0"/>
        <w:jc w:val="both"/>
        <w:textAlignment w:val="auto"/>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 我单位郑重声明：参加本次政府采购活动前3年内，我单位在经营活动中没有因违法经营受到刑事处罚或者责令停产停业、吊销许可证或者执照、较大数额罚款等行政处罚。</w:t>
      </w:r>
    </w:p>
    <w:p w14:paraId="7C6A4782">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0"/>
        <w:jc w:val="both"/>
        <w:textAlignment w:val="auto"/>
        <w:rPr>
          <w:rFonts w:hint="eastAsia" w:ascii="宋体" w:hAnsi="宋体" w:eastAsia="宋体" w:cs="宋体"/>
          <w:b w:val="0"/>
          <w:bCs w:val="0"/>
          <w:i w:val="0"/>
          <w:iCs w:val="0"/>
          <w:color w:val="auto"/>
          <w:sz w:val="24"/>
          <w:szCs w:val="24"/>
          <w:highlight w:val="none"/>
          <w:u w:val="none"/>
        </w:rPr>
      </w:pPr>
    </w:p>
    <w:p w14:paraId="119B1C5D">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0"/>
        <w:jc w:val="both"/>
        <w:textAlignment w:val="auto"/>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六、特定资格要求的证明文件</w:t>
      </w:r>
    </w:p>
    <w:p w14:paraId="328E61C3">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0"/>
        <w:jc w:val="both"/>
        <w:textAlignment w:val="auto"/>
        <w:rPr>
          <w:rFonts w:hint="eastAsia" w:ascii="宋体" w:hAnsi="宋体" w:eastAsia="宋体" w:cs="宋体"/>
          <w:b w:val="0"/>
          <w:bCs w:val="0"/>
          <w:i w:val="0"/>
          <w:iCs w:val="0"/>
          <w:color w:val="auto"/>
          <w:sz w:val="24"/>
          <w:szCs w:val="24"/>
          <w:highlight w:val="none"/>
          <w:u w:val="none"/>
          <w:lang w:val="en-US" w:eastAsia="zh-CN"/>
        </w:rPr>
      </w:pPr>
      <w:bookmarkStart w:id="165" w:name="_Toc120614284"/>
      <w:r>
        <w:rPr>
          <w:rFonts w:hint="eastAsia" w:ascii="宋体" w:hAnsi="宋体" w:eastAsia="宋体" w:cs="宋体"/>
          <w:b w:val="0"/>
          <w:bCs w:val="0"/>
          <w:i w:val="0"/>
          <w:iCs w:val="0"/>
          <w:color w:val="auto"/>
          <w:sz w:val="24"/>
          <w:szCs w:val="24"/>
          <w:highlight w:val="none"/>
          <w:u w:val="none"/>
          <w:lang w:eastAsia="zh-CN"/>
        </w:rPr>
        <w:t>提供</w:t>
      </w:r>
      <w:r>
        <w:rPr>
          <w:rFonts w:hint="eastAsia" w:ascii="宋体" w:hAnsi="宋体" w:eastAsia="宋体" w:cs="宋体"/>
          <w:b w:val="0"/>
          <w:bCs w:val="0"/>
          <w:i w:val="0"/>
          <w:iCs w:val="0"/>
          <w:color w:val="auto"/>
          <w:sz w:val="24"/>
          <w:szCs w:val="24"/>
          <w:highlight w:val="none"/>
          <w:u w:val="none"/>
          <w:lang w:val="en-US" w:eastAsia="zh-CN"/>
        </w:rPr>
        <w:t>环境保护</w:t>
      </w:r>
      <w:r>
        <w:rPr>
          <w:rFonts w:hint="eastAsia" w:ascii="宋体" w:hAnsi="宋体" w:eastAsia="宋体" w:cs="宋体"/>
          <w:b w:val="0"/>
          <w:bCs w:val="0"/>
          <w:i w:val="0"/>
          <w:iCs w:val="0"/>
          <w:color w:val="auto"/>
          <w:sz w:val="24"/>
          <w:szCs w:val="24"/>
          <w:highlight w:val="none"/>
          <w:u w:val="none"/>
          <w:lang w:eastAsia="zh-CN"/>
        </w:rPr>
        <w:t>行政主管部门核发的</w:t>
      </w:r>
      <w:r>
        <w:rPr>
          <w:rFonts w:hint="eastAsia" w:ascii="宋体" w:hAnsi="宋体" w:eastAsia="宋体" w:cs="宋体"/>
          <w:b w:val="0"/>
          <w:bCs w:val="0"/>
          <w:i w:val="0"/>
          <w:iCs w:val="0"/>
          <w:color w:val="auto"/>
          <w:sz w:val="24"/>
          <w:szCs w:val="24"/>
          <w:highlight w:val="none"/>
          <w:u w:val="none"/>
          <w:lang w:val="en-US" w:eastAsia="zh-CN"/>
        </w:rPr>
        <w:t>医疗废弃物集中处置</w:t>
      </w:r>
      <w:r>
        <w:rPr>
          <w:rFonts w:hint="eastAsia" w:ascii="宋体" w:hAnsi="宋体" w:eastAsia="宋体" w:cs="宋体"/>
          <w:b w:val="0"/>
          <w:bCs w:val="0"/>
          <w:i w:val="0"/>
          <w:iCs w:val="0"/>
          <w:color w:val="auto"/>
          <w:sz w:val="24"/>
          <w:szCs w:val="24"/>
          <w:highlight w:val="none"/>
          <w:u w:val="none"/>
          <w:lang w:eastAsia="zh-CN"/>
        </w:rPr>
        <w:t>经营许可证</w:t>
      </w:r>
      <w:r>
        <w:rPr>
          <w:rFonts w:hint="eastAsia" w:ascii="宋体" w:hAnsi="宋体" w:eastAsia="宋体" w:cs="宋体"/>
          <w:b w:val="0"/>
          <w:bCs w:val="0"/>
          <w:i w:val="0"/>
          <w:iCs w:val="0"/>
          <w:color w:val="auto"/>
          <w:sz w:val="24"/>
          <w:szCs w:val="24"/>
          <w:highlight w:val="none"/>
          <w:u w:val="none"/>
          <w:lang w:val="en-US" w:eastAsia="zh-CN"/>
        </w:rPr>
        <w:t>。</w:t>
      </w:r>
    </w:p>
    <w:p w14:paraId="475A76A1">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80"/>
        <w:jc w:val="both"/>
        <w:textAlignment w:val="auto"/>
        <w:rPr>
          <w:rFonts w:hint="eastAsia" w:ascii="宋体" w:hAnsi="宋体" w:eastAsia="宋体" w:cs="宋体"/>
          <w:b w:val="0"/>
          <w:bCs w:val="0"/>
          <w:i w:val="0"/>
          <w:iCs w:val="0"/>
          <w:color w:val="auto"/>
          <w:sz w:val="24"/>
          <w:szCs w:val="24"/>
          <w:highlight w:val="none"/>
          <w:u w:val="none"/>
        </w:rPr>
        <w:sectPr>
          <w:pgSz w:w="11906" w:h="16838"/>
          <w:pgMar w:top="1418" w:right="1588" w:bottom="1418" w:left="1365" w:header="851" w:footer="907" w:gutter="0"/>
          <w:pgNumType w:fmt="decimal"/>
          <w:cols w:space="425" w:num="1"/>
          <w:titlePg/>
          <w:docGrid w:type="lines" w:linePitch="290" w:charSpace="0"/>
        </w:sectPr>
      </w:pPr>
    </w:p>
    <w:p w14:paraId="32A349F1">
      <w:pPr>
        <w:pStyle w:val="34"/>
        <w:numPr>
          <w:ilvl w:val="0"/>
          <w:numId w:val="2"/>
        </w:numPr>
        <w:spacing w:beforeAutospacing="0" w:afterAutospacing="0"/>
        <w:ind w:firstLine="320"/>
        <w:jc w:val="center"/>
        <w:rPr>
          <w:rFonts w:ascii="黑体" w:hAnsi="宋体" w:eastAsia="黑体" w:cs="黑体"/>
          <w:iCs/>
          <w:color w:val="auto"/>
          <w:sz w:val="32"/>
          <w:szCs w:val="32"/>
          <w:highlight w:val="none"/>
        </w:rPr>
      </w:pPr>
      <w:r>
        <w:rPr>
          <w:rFonts w:hint="eastAsia" w:ascii="黑体" w:hAnsi="宋体" w:eastAsia="黑体" w:cs="黑体"/>
          <w:iCs/>
          <w:color w:val="auto"/>
          <w:sz w:val="32"/>
          <w:szCs w:val="32"/>
          <w:highlight w:val="none"/>
        </w:rPr>
        <w:t>法人授权书</w:t>
      </w:r>
    </w:p>
    <w:p w14:paraId="2A83CDCC">
      <w:pPr>
        <w:pStyle w:val="34"/>
        <w:numPr>
          <w:ilvl w:val="0"/>
          <w:numId w:val="0"/>
        </w:numPr>
        <w:spacing w:beforeAutospacing="0" w:afterAutospacing="0"/>
        <w:jc w:val="both"/>
        <w:rPr>
          <w:rFonts w:ascii="黑体" w:hAnsi="宋体" w:eastAsia="黑体" w:cs="黑体"/>
          <w:iCs/>
          <w:color w:val="auto"/>
          <w:sz w:val="32"/>
          <w:szCs w:val="32"/>
          <w:highlight w:val="none"/>
        </w:rPr>
      </w:pPr>
    </w:p>
    <w:p w14:paraId="704E6419">
      <w:pPr>
        <w:pStyle w:val="34"/>
        <w:spacing w:beforeAutospacing="0" w:afterAutospacing="0"/>
        <w:ind w:firstLine="320"/>
        <w:jc w:val="both"/>
        <w:rPr>
          <w:rFonts w:ascii="黑体" w:hAnsi="宋体" w:eastAsia="黑体" w:cs="黑体"/>
          <w:iCs/>
          <w:color w:val="auto"/>
          <w:sz w:val="32"/>
          <w:szCs w:val="32"/>
          <w:highlight w:val="none"/>
        </w:rPr>
      </w:pPr>
    </w:p>
    <w:p w14:paraId="3FFF8E6B">
      <w:pPr>
        <w:pStyle w:val="34"/>
        <w:tabs>
          <w:tab w:val="left" w:pos="360"/>
        </w:tabs>
        <w:spacing w:beforeAutospacing="0" w:afterAutospacing="0" w:line="360" w:lineRule="auto"/>
        <w:ind w:firstLine="240"/>
        <w:jc w:val="both"/>
        <w:rPr>
          <w:rFonts w:ascii="宋体" w:hAnsi="宋体" w:eastAsia="宋体" w:cs="宋体"/>
          <w:color w:val="auto"/>
          <w:highlight w:val="none"/>
        </w:rPr>
      </w:pPr>
      <w:r>
        <w:rPr>
          <w:rFonts w:hint="eastAsia" w:ascii="宋体" w:hAnsi="宋体" w:eastAsia="宋体" w:cs="宋体"/>
          <w:color w:val="auto"/>
          <w:highlight w:val="none"/>
        </w:rPr>
        <w:t>本授权书声明：____________（投标人名称）授权________________（被授权人的姓名）为我方就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项目采购活动的合法代理人，以本单位名义全权处理一切与该项目采购有关的事务。</w:t>
      </w:r>
    </w:p>
    <w:p w14:paraId="114E75E2">
      <w:pPr>
        <w:pStyle w:val="34"/>
        <w:tabs>
          <w:tab w:val="left" w:pos="360"/>
        </w:tabs>
        <w:spacing w:beforeAutospacing="0" w:afterAutospacing="0" w:line="360" w:lineRule="auto"/>
        <w:ind w:firstLine="240"/>
        <w:jc w:val="both"/>
        <w:rPr>
          <w:rFonts w:ascii="宋体" w:hAnsi="宋体" w:eastAsia="宋体" w:cs="宋体"/>
          <w:color w:val="auto"/>
          <w:highlight w:val="none"/>
        </w:rPr>
      </w:pPr>
      <w:r>
        <w:rPr>
          <w:rFonts w:hint="eastAsia" w:ascii="宋体" w:hAnsi="宋体" w:eastAsia="宋体" w:cs="宋体"/>
          <w:color w:val="auto"/>
          <w:highlight w:val="none"/>
        </w:rPr>
        <w:t>本授权书于______年____月____日起生效，特此声明。</w:t>
      </w:r>
    </w:p>
    <w:p w14:paraId="377037D8">
      <w:pPr>
        <w:pStyle w:val="34"/>
        <w:tabs>
          <w:tab w:val="left" w:pos="360"/>
        </w:tabs>
        <w:spacing w:beforeAutospacing="0" w:afterAutospacing="0" w:line="360" w:lineRule="auto"/>
        <w:ind w:firstLine="240"/>
        <w:jc w:val="both"/>
        <w:rPr>
          <w:rFonts w:ascii="宋体" w:hAnsi="宋体" w:eastAsia="宋体" w:cs="宋体"/>
          <w:color w:val="auto"/>
          <w:highlight w:val="none"/>
        </w:rPr>
      </w:pPr>
      <w:r>
        <w:rPr>
          <w:rFonts w:hint="eastAsia" w:ascii="宋体" w:hAnsi="宋体" w:eastAsia="宋体" w:cs="宋体"/>
          <w:color w:val="auto"/>
          <w:highlight w:val="none"/>
        </w:rPr>
        <w:t>被授权人身份证号码：</w:t>
      </w:r>
      <w:r>
        <w:rPr>
          <w:rFonts w:hint="eastAsia" w:ascii="宋体" w:hAnsi="宋体" w:eastAsia="宋体" w:cs="宋体"/>
          <w:color w:val="auto"/>
          <w:highlight w:val="none"/>
          <w:u w:val="single"/>
        </w:rPr>
        <w:t>          </w:t>
      </w:r>
    </w:p>
    <w:p w14:paraId="6A3F4E94">
      <w:pPr>
        <w:pStyle w:val="34"/>
        <w:tabs>
          <w:tab w:val="left" w:pos="360"/>
        </w:tabs>
        <w:spacing w:beforeAutospacing="0" w:afterAutospacing="0" w:line="360" w:lineRule="auto"/>
        <w:ind w:firstLine="240"/>
        <w:jc w:val="both"/>
        <w:rPr>
          <w:rFonts w:ascii="宋体" w:hAnsi="宋体" w:eastAsia="宋体" w:cs="宋体"/>
          <w:color w:val="auto"/>
          <w:highlight w:val="none"/>
        </w:rPr>
      </w:pPr>
      <w:r>
        <w:rPr>
          <w:rFonts w:hint="eastAsia" w:ascii="宋体" w:hAnsi="宋体" w:eastAsia="宋体" w:cs="宋体"/>
          <w:color w:val="auto"/>
          <w:highlight w:val="none"/>
        </w:rPr>
        <w:t>被授权人联系电话：（手机）</w:t>
      </w:r>
      <w:r>
        <w:rPr>
          <w:rFonts w:hint="eastAsia" w:ascii="宋体" w:hAnsi="宋体" w:eastAsia="宋体" w:cs="宋体"/>
          <w:color w:val="auto"/>
          <w:highlight w:val="none"/>
          <w:u w:val="single"/>
        </w:rPr>
        <w:t>       </w:t>
      </w:r>
    </w:p>
    <w:p w14:paraId="29011643">
      <w:pPr>
        <w:pStyle w:val="34"/>
        <w:tabs>
          <w:tab w:val="left" w:pos="360"/>
        </w:tabs>
        <w:spacing w:beforeAutospacing="0" w:afterAutospacing="0" w:line="360" w:lineRule="auto"/>
        <w:ind w:firstLine="240"/>
        <w:jc w:val="both"/>
        <w:rPr>
          <w:rFonts w:ascii="宋体" w:hAnsi="宋体" w:eastAsia="宋体" w:cs="宋体"/>
          <w:color w:val="auto"/>
          <w:highlight w:val="none"/>
        </w:rPr>
      </w:pPr>
      <w:r>
        <w:rPr>
          <w:rFonts w:hint="eastAsia" w:ascii="宋体" w:hAnsi="宋体" w:eastAsia="宋体" w:cs="宋体"/>
          <w:color w:val="auto"/>
          <w:highlight w:val="none"/>
        </w:rPr>
        <w:t>授权单位名称：</w:t>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eastAsia="zh-CN"/>
        </w:rPr>
        <w:t>加盖</w:t>
      </w:r>
      <w:r>
        <w:rPr>
          <w:rFonts w:hint="eastAsia" w:ascii="宋体" w:hAnsi="宋体" w:eastAsia="宋体" w:cs="宋体"/>
          <w:color w:val="auto"/>
          <w:highlight w:val="none"/>
          <w:u w:val="single"/>
          <w:lang w:val="en-US" w:eastAsia="zh-CN"/>
        </w:rPr>
        <w:t>CA电子</w:t>
      </w:r>
      <w:r>
        <w:rPr>
          <w:rFonts w:hint="eastAsia" w:ascii="宋体" w:hAnsi="宋体" w:eastAsia="宋体" w:cs="宋体"/>
          <w:color w:val="auto"/>
          <w:highlight w:val="none"/>
          <w:u w:val="single"/>
          <w:lang w:eastAsia="zh-CN"/>
        </w:rPr>
        <w:t>公章</w:t>
      </w:r>
      <w:r>
        <w:rPr>
          <w:rFonts w:hint="eastAsia" w:ascii="宋体" w:hAnsi="宋体" w:eastAsia="宋体" w:cs="宋体"/>
          <w:color w:val="auto"/>
          <w:highlight w:val="none"/>
          <w:u w:val="single"/>
        </w:rPr>
        <w:t xml:space="preserve">）              </w:t>
      </w:r>
    </w:p>
    <w:p w14:paraId="037F803E">
      <w:pPr>
        <w:pStyle w:val="34"/>
        <w:tabs>
          <w:tab w:val="left" w:pos="360"/>
        </w:tabs>
        <w:spacing w:beforeAutospacing="0" w:afterAutospacing="0" w:line="360" w:lineRule="auto"/>
        <w:ind w:firstLine="240"/>
        <w:jc w:val="both"/>
        <w:rPr>
          <w:rFonts w:ascii="宋体" w:hAnsi="宋体" w:eastAsia="宋体" w:cs="宋体"/>
          <w:color w:val="auto"/>
          <w:highlight w:val="none"/>
          <w:u w:val="single"/>
        </w:rPr>
      </w:pPr>
      <w:r>
        <w:rPr>
          <w:rFonts w:hint="eastAsia" w:ascii="宋体" w:hAnsi="宋体" w:eastAsia="宋体" w:cs="宋体"/>
          <w:color w:val="auto"/>
          <w:highlight w:val="none"/>
        </w:rPr>
        <w:t>单位地址：</w:t>
      </w:r>
      <w:r>
        <w:rPr>
          <w:rFonts w:hint="eastAsia" w:ascii="宋体" w:hAnsi="宋体" w:eastAsia="宋体" w:cs="宋体"/>
          <w:color w:val="auto"/>
          <w:highlight w:val="none"/>
          <w:u w:val="single"/>
        </w:rPr>
        <w:t xml:space="preserve">                 </w:t>
      </w:r>
    </w:p>
    <w:p w14:paraId="33B3AC98">
      <w:pPr>
        <w:pStyle w:val="34"/>
        <w:tabs>
          <w:tab w:val="left" w:pos="360"/>
        </w:tabs>
        <w:spacing w:beforeAutospacing="0" w:afterAutospacing="0" w:line="360" w:lineRule="auto"/>
        <w:ind w:firstLine="240"/>
        <w:jc w:val="both"/>
        <w:rPr>
          <w:rFonts w:ascii="宋体" w:hAnsi="宋体" w:eastAsia="宋体" w:cs="宋体"/>
          <w:color w:val="auto"/>
          <w:highlight w:val="none"/>
        </w:rPr>
      </w:pPr>
      <w:r>
        <w:rPr>
          <w:rFonts w:hint="eastAsia" w:ascii="宋体" w:hAnsi="宋体" w:eastAsia="宋体" w:cs="宋体"/>
          <w:color w:val="auto"/>
          <w:highlight w:val="none"/>
        </w:rPr>
        <w:t>日期：</w:t>
      </w:r>
      <w:bookmarkStart w:id="166" w:name="_Hlt26671380"/>
      <w:bookmarkStart w:id="167" w:name="_格式3__银行出具的资信证明"/>
      <w:bookmarkStart w:id="168" w:name="_Hlt26955070"/>
      <w:r>
        <w:rPr>
          <w:rFonts w:hint="eastAsia" w:ascii="宋体" w:hAnsi="宋体" w:eastAsia="宋体" w:cs="宋体"/>
          <w:color w:val="auto"/>
          <w:highlight w:val="none"/>
          <w:u w:val="single"/>
        </w:rPr>
        <w:t xml:space="preserve">                   </w:t>
      </w:r>
    </w:p>
    <w:p w14:paraId="5AE55F25">
      <w:pPr>
        <w:pStyle w:val="34"/>
        <w:spacing w:beforeAutospacing="0" w:afterAutospacing="0" w:line="360" w:lineRule="auto"/>
        <w:ind w:firstLine="240"/>
        <w:jc w:val="both"/>
        <w:rPr>
          <w:rFonts w:ascii="宋体" w:hAnsi="宋体" w:eastAsia="宋体" w:cs="宋体"/>
          <w:color w:val="auto"/>
          <w:highlight w:val="none"/>
        </w:rPr>
      </w:pPr>
      <w:r>
        <w:rPr>
          <w:rFonts w:hint="eastAsia" w:ascii="宋体" w:hAnsi="宋体" w:eastAsia="宋体" w:cs="宋体"/>
          <w:color w:val="auto"/>
          <w:highlight w:val="none"/>
        </w:rPr>
        <w:t> </w:t>
      </w:r>
    </w:p>
    <w:p w14:paraId="033C25EE">
      <w:pPr>
        <w:pStyle w:val="34"/>
        <w:spacing w:beforeAutospacing="0" w:afterAutospacing="0"/>
        <w:ind w:firstLine="240"/>
        <w:jc w:val="both"/>
        <w:rPr>
          <w:color w:val="auto"/>
          <w:highlight w:val="none"/>
        </w:rPr>
      </w:pPr>
      <w:r>
        <w:rPr>
          <w:color w:val="auto"/>
          <w:highlight w:val="none"/>
        </w:rPr>
        <w:t> </w:t>
      </w:r>
    </w:p>
    <w:p w14:paraId="1F70B4E6">
      <w:pPr>
        <w:pStyle w:val="34"/>
        <w:spacing w:beforeAutospacing="0" w:afterAutospacing="0" w:line="0" w:lineRule="atLeast"/>
        <w:ind w:firstLine="240"/>
        <w:jc w:val="both"/>
        <w:rPr>
          <w:color w:val="auto"/>
          <w:highlight w:val="none"/>
        </w:rPr>
      </w:pPr>
      <w:r>
        <w:rPr>
          <w:color w:val="auto"/>
          <w:highlight w:val="none"/>
        </w:rPr>
        <w:t> </w:t>
      </w:r>
    </w:p>
    <w:p w14:paraId="69DE0784">
      <w:pPr>
        <w:pStyle w:val="34"/>
        <w:spacing w:beforeAutospacing="0" w:afterAutospacing="0" w:line="0" w:lineRule="atLeast"/>
        <w:ind w:firstLine="240"/>
        <w:jc w:val="both"/>
        <w:rPr>
          <w:color w:val="auto"/>
          <w:highlight w:val="none"/>
        </w:rPr>
      </w:pPr>
      <w:r>
        <w:rPr>
          <w:color w:val="auto"/>
          <w:highlight w:val="none"/>
        </w:rPr>
        <w:t> </w:t>
      </w:r>
    </w:p>
    <w:p w14:paraId="08EDCF6C">
      <w:pPr>
        <w:pStyle w:val="34"/>
        <w:spacing w:beforeAutospacing="0" w:afterAutospacing="0" w:line="0" w:lineRule="atLeast"/>
        <w:ind w:firstLine="240"/>
        <w:jc w:val="both"/>
        <w:rPr>
          <w:color w:val="auto"/>
          <w:highlight w:val="none"/>
        </w:rPr>
      </w:pPr>
      <w:r>
        <w:rPr>
          <w:color w:val="auto"/>
          <w:highlight w:val="none"/>
        </w:rPr>
        <w:t> </w:t>
      </w:r>
    </w:p>
    <w:p w14:paraId="6835819C">
      <w:pPr>
        <w:pStyle w:val="34"/>
        <w:spacing w:beforeAutospacing="0" w:afterAutospacing="0" w:line="0" w:lineRule="atLeast"/>
        <w:ind w:firstLine="240"/>
        <w:jc w:val="both"/>
        <w:rPr>
          <w:color w:val="auto"/>
          <w:highlight w:val="none"/>
        </w:rPr>
      </w:pPr>
      <w:r>
        <w:rPr>
          <w:color w:val="auto"/>
          <w:highlight w:val="none"/>
        </w:rPr>
        <w:t> </w:t>
      </w:r>
    </w:p>
    <w:p w14:paraId="007B8835">
      <w:pPr>
        <w:pStyle w:val="34"/>
        <w:spacing w:beforeAutospacing="0" w:afterAutospacing="0" w:line="0" w:lineRule="atLeast"/>
        <w:ind w:firstLine="240"/>
        <w:jc w:val="both"/>
        <w:rPr>
          <w:color w:val="auto"/>
          <w:highlight w:val="none"/>
        </w:rPr>
      </w:pPr>
      <w:r>
        <w:rPr>
          <w:color w:val="auto"/>
          <w:highlight w:val="none"/>
        </w:rPr>
        <w:t> </w:t>
      </w:r>
    </w:p>
    <w:p w14:paraId="1BD37E28">
      <w:pPr>
        <w:pStyle w:val="34"/>
        <w:spacing w:beforeAutospacing="0" w:afterAutospacing="0" w:line="0" w:lineRule="atLeast"/>
        <w:ind w:firstLine="240"/>
        <w:jc w:val="both"/>
        <w:rPr>
          <w:color w:val="auto"/>
          <w:highlight w:val="none"/>
        </w:rPr>
      </w:pPr>
      <w:r>
        <w:rPr>
          <w:color w:val="auto"/>
          <w:highlight w:val="none"/>
        </w:rPr>
        <w:t> </w:t>
      </w:r>
    </w:p>
    <w:p w14:paraId="78073F1C">
      <w:pPr>
        <w:pStyle w:val="34"/>
        <w:spacing w:beforeAutospacing="0" w:afterAutospacing="0" w:line="0" w:lineRule="atLeast"/>
        <w:ind w:firstLine="240"/>
        <w:jc w:val="both"/>
        <w:rPr>
          <w:color w:val="auto"/>
          <w:highlight w:val="none"/>
        </w:rPr>
      </w:pPr>
      <w:r>
        <w:rPr>
          <w:color w:val="auto"/>
          <w:highlight w:val="none"/>
        </w:rPr>
        <w:t> </w:t>
      </w:r>
    </w:p>
    <w:p w14:paraId="7D57EC3D">
      <w:pPr>
        <w:pStyle w:val="34"/>
        <w:spacing w:beforeAutospacing="0" w:afterAutospacing="0" w:line="0" w:lineRule="atLeast"/>
        <w:ind w:firstLine="240"/>
        <w:jc w:val="both"/>
        <w:rPr>
          <w:color w:val="auto"/>
          <w:highlight w:val="none"/>
        </w:rPr>
      </w:pPr>
      <w:r>
        <w:rPr>
          <w:color w:val="auto"/>
          <w:highlight w:val="none"/>
        </w:rPr>
        <w:t> </w:t>
      </w:r>
    </w:p>
    <w:p w14:paraId="3A2F13FA">
      <w:pPr>
        <w:pStyle w:val="34"/>
        <w:spacing w:beforeAutospacing="0" w:afterAutospacing="0"/>
        <w:ind w:firstLine="240"/>
        <w:jc w:val="both"/>
        <w:rPr>
          <w:color w:val="auto"/>
          <w:highlight w:val="none"/>
        </w:rPr>
      </w:pPr>
      <w:r>
        <w:rPr>
          <w:color w:val="auto"/>
          <w:highlight w:val="none"/>
        </w:rPr>
        <w:t> </w:t>
      </w:r>
    </w:p>
    <w:p w14:paraId="795EC971">
      <w:pPr>
        <w:pStyle w:val="34"/>
        <w:spacing w:beforeAutospacing="0" w:afterAutospacing="0"/>
        <w:ind w:firstLine="321"/>
        <w:jc w:val="center"/>
        <w:rPr>
          <w:rFonts w:ascii="黑体" w:hAnsi="宋体" w:eastAsia="黑体" w:cs="黑体"/>
          <w:b/>
          <w:color w:val="auto"/>
          <w:sz w:val="32"/>
          <w:szCs w:val="32"/>
          <w:highlight w:val="none"/>
        </w:rPr>
      </w:pPr>
    </w:p>
    <w:p w14:paraId="76C4E939">
      <w:pPr>
        <w:pStyle w:val="34"/>
        <w:spacing w:beforeAutospacing="0" w:afterAutospacing="0"/>
        <w:ind w:firstLine="321"/>
        <w:jc w:val="center"/>
        <w:rPr>
          <w:rFonts w:ascii="黑体" w:hAnsi="宋体" w:eastAsia="黑体" w:cs="黑体"/>
          <w:b/>
          <w:color w:val="auto"/>
          <w:sz w:val="32"/>
          <w:szCs w:val="32"/>
          <w:highlight w:val="none"/>
        </w:rPr>
      </w:pPr>
    </w:p>
    <w:p w14:paraId="41F27B64">
      <w:pPr>
        <w:pStyle w:val="34"/>
        <w:spacing w:beforeAutospacing="0" w:afterAutospacing="0"/>
        <w:ind w:firstLine="321"/>
        <w:jc w:val="center"/>
        <w:rPr>
          <w:rFonts w:ascii="黑体" w:hAnsi="宋体" w:eastAsia="黑体" w:cs="黑体"/>
          <w:b/>
          <w:color w:val="auto"/>
          <w:sz w:val="32"/>
          <w:szCs w:val="32"/>
          <w:highlight w:val="none"/>
        </w:rPr>
      </w:pPr>
    </w:p>
    <w:p w14:paraId="5400101C">
      <w:pPr>
        <w:pStyle w:val="34"/>
        <w:spacing w:beforeAutospacing="0" w:afterAutospacing="0"/>
        <w:ind w:firstLine="321"/>
        <w:jc w:val="center"/>
        <w:rPr>
          <w:rFonts w:ascii="黑体" w:hAnsi="宋体" w:eastAsia="黑体" w:cs="黑体"/>
          <w:b/>
          <w:color w:val="auto"/>
          <w:sz w:val="32"/>
          <w:szCs w:val="32"/>
          <w:highlight w:val="none"/>
        </w:rPr>
      </w:pPr>
    </w:p>
    <w:p w14:paraId="048C61DC">
      <w:pPr>
        <w:pStyle w:val="34"/>
        <w:spacing w:beforeAutospacing="0" w:afterAutospacing="0"/>
        <w:ind w:firstLine="321"/>
        <w:jc w:val="center"/>
        <w:rPr>
          <w:rFonts w:ascii="黑体" w:hAnsi="宋体" w:eastAsia="黑体" w:cs="黑体"/>
          <w:b/>
          <w:color w:val="auto"/>
          <w:sz w:val="32"/>
          <w:szCs w:val="32"/>
          <w:highlight w:val="none"/>
        </w:rPr>
      </w:pPr>
    </w:p>
    <w:p w14:paraId="35CB2ADA">
      <w:pPr>
        <w:pStyle w:val="34"/>
        <w:spacing w:beforeAutospacing="0" w:afterAutospacing="0"/>
        <w:ind w:firstLine="321"/>
        <w:jc w:val="center"/>
        <w:rPr>
          <w:rFonts w:ascii="黑体" w:hAnsi="宋体" w:eastAsia="黑体" w:cs="黑体"/>
          <w:b/>
          <w:color w:val="auto"/>
          <w:sz w:val="32"/>
          <w:szCs w:val="32"/>
          <w:highlight w:val="none"/>
        </w:rPr>
      </w:pPr>
    </w:p>
    <w:p w14:paraId="09285225">
      <w:pPr>
        <w:pStyle w:val="34"/>
        <w:spacing w:beforeAutospacing="0" w:afterAutospacing="0"/>
        <w:ind w:firstLine="321"/>
        <w:jc w:val="center"/>
        <w:rPr>
          <w:rFonts w:ascii="黑体" w:hAnsi="宋体" w:eastAsia="黑体" w:cs="黑体"/>
          <w:b/>
          <w:color w:val="auto"/>
          <w:sz w:val="32"/>
          <w:szCs w:val="32"/>
          <w:highlight w:val="none"/>
        </w:rPr>
      </w:pPr>
    </w:p>
    <w:p w14:paraId="41780A24">
      <w:pPr>
        <w:pStyle w:val="34"/>
        <w:spacing w:beforeAutospacing="0" w:afterAutospacing="0"/>
        <w:ind w:firstLine="321"/>
        <w:jc w:val="center"/>
        <w:rPr>
          <w:rFonts w:ascii="黑体" w:hAnsi="宋体" w:eastAsia="黑体" w:cs="黑体"/>
          <w:b/>
          <w:color w:val="auto"/>
          <w:sz w:val="32"/>
          <w:szCs w:val="32"/>
          <w:highlight w:val="none"/>
        </w:rPr>
      </w:pPr>
    </w:p>
    <w:p w14:paraId="4E814E10">
      <w:pPr>
        <w:pStyle w:val="34"/>
        <w:spacing w:beforeAutospacing="0" w:afterAutospacing="0"/>
        <w:ind w:firstLine="321"/>
        <w:jc w:val="center"/>
        <w:rPr>
          <w:rFonts w:ascii="黑体" w:hAnsi="宋体" w:eastAsia="黑体" w:cs="黑体"/>
          <w:b/>
          <w:color w:val="auto"/>
          <w:sz w:val="32"/>
          <w:szCs w:val="32"/>
          <w:highlight w:val="none"/>
        </w:rPr>
      </w:pPr>
    </w:p>
    <w:p w14:paraId="60B81C6F">
      <w:pPr>
        <w:pStyle w:val="34"/>
        <w:spacing w:beforeAutospacing="0" w:afterAutospacing="0"/>
        <w:ind w:firstLine="321"/>
        <w:jc w:val="center"/>
        <w:rPr>
          <w:rFonts w:ascii="黑体" w:hAnsi="宋体" w:eastAsia="黑体" w:cs="黑体"/>
          <w:b/>
          <w:color w:val="auto"/>
          <w:sz w:val="32"/>
          <w:szCs w:val="32"/>
          <w:highlight w:val="none"/>
        </w:rPr>
      </w:pPr>
    </w:p>
    <w:p w14:paraId="17996F01">
      <w:pPr>
        <w:pStyle w:val="34"/>
        <w:spacing w:beforeAutospacing="0" w:afterAutospacing="0"/>
        <w:ind w:firstLine="321"/>
        <w:jc w:val="center"/>
        <w:rPr>
          <w:rFonts w:ascii="黑体" w:hAnsi="宋体" w:eastAsia="黑体" w:cs="黑体"/>
          <w:b/>
          <w:color w:val="auto"/>
          <w:sz w:val="32"/>
          <w:szCs w:val="32"/>
          <w:highlight w:val="none"/>
        </w:rPr>
      </w:pPr>
    </w:p>
    <w:p w14:paraId="6D71ADB4">
      <w:pPr>
        <w:pStyle w:val="34"/>
        <w:spacing w:beforeAutospacing="0" w:afterAutospacing="0"/>
        <w:ind w:firstLine="321"/>
        <w:jc w:val="center"/>
        <w:rPr>
          <w:rFonts w:ascii="黑体" w:hAnsi="宋体" w:eastAsia="黑体" w:cs="黑体"/>
          <w:b/>
          <w:color w:val="auto"/>
          <w:sz w:val="32"/>
          <w:szCs w:val="32"/>
          <w:highlight w:val="none"/>
        </w:rPr>
      </w:pPr>
    </w:p>
    <w:p w14:paraId="0A517427">
      <w:pPr>
        <w:pStyle w:val="34"/>
        <w:numPr>
          <w:ilvl w:val="0"/>
          <w:numId w:val="0"/>
        </w:numPr>
        <w:spacing w:beforeAutospacing="0" w:afterAutospacing="0"/>
        <w:ind w:left="0" w:leftChars="0" w:firstLine="320" w:firstLineChars="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lang w:val="en-US" w:eastAsia="zh-CN" w:bidi="ar-SA"/>
        </w:rPr>
        <w:t>八、</w:t>
      </w:r>
      <w:r>
        <w:rPr>
          <w:rFonts w:hint="eastAsia" w:ascii="宋体" w:hAnsi="宋体" w:eastAsia="宋体" w:cs="宋体"/>
          <w:b/>
          <w:color w:val="auto"/>
          <w:sz w:val="32"/>
          <w:szCs w:val="32"/>
          <w:highlight w:val="none"/>
        </w:rPr>
        <w:t>投标函</w:t>
      </w:r>
    </w:p>
    <w:p w14:paraId="1582D87C">
      <w:pPr>
        <w:pStyle w:val="34"/>
        <w:spacing w:beforeAutospacing="0" w:afterAutospacing="0" w:line="360" w:lineRule="auto"/>
        <w:ind w:firstLine="240"/>
        <w:rPr>
          <w:rFonts w:hint="eastAsia" w:ascii="宋体" w:hAnsi="宋体" w:eastAsia="宋体" w:cs="宋体"/>
          <w:color w:val="auto"/>
          <w:highlight w:val="none"/>
        </w:rPr>
      </w:pPr>
      <w:r>
        <w:rPr>
          <w:rFonts w:hint="eastAsia" w:ascii="宋体" w:hAnsi="宋体" w:eastAsia="宋体" w:cs="宋体"/>
          <w:color w:val="auto"/>
          <w:highlight w:val="none"/>
        </w:rPr>
        <w:t>致：盐城市第三人民医院</w:t>
      </w:r>
    </w:p>
    <w:p w14:paraId="4012DA97">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753"/>
        <w:textAlignment w:val="auto"/>
        <w:rPr>
          <w:rFonts w:hint="eastAsia" w:ascii="宋体" w:hAnsi="宋体" w:eastAsia="宋体" w:cs="宋体"/>
          <w:color w:val="auto"/>
          <w:highlight w:val="none"/>
        </w:rPr>
      </w:pPr>
      <w:r>
        <w:rPr>
          <w:rFonts w:hint="eastAsia" w:ascii="宋体" w:hAnsi="宋体" w:eastAsia="宋体" w:cs="宋体"/>
          <w:color w:val="auto"/>
          <w:highlight w:val="none"/>
        </w:rPr>
        <w:t>根据贵方的</w:t>
      </w:r>
      <w:r>
        <w:rPr>
          <w:rFonts w:hint="eastAsia" w:ascii="宋体" w:hAnsi="宋体" w:eastAsia="宋体" w:cs="宋体"/>
          <w:b/>
          <w:color w:val="auto"/>
          <w:sz w:val="36"/>
          <w:szCs w:val="36"/>
          <w:highlight w:val="none"/>
          <w:u w:val="single"/>
        </w:rPr>
        <w:t>     </w:t>
      </w:r>
      <w:r>
        <w:rPr>
          <w:rFonts w:hint="eastAsia" w:ascii="宋体" w:hAnsi="宋体" w:eastAsia="宋体" w:cs="宋体"/>
          <w:color w:val="auto"/>
          <w:highlight w:val="none"/>
          <w:lang w:val="en-US" w:eastAsia="zh-CN"/>
        </w:rPr>
        <w:t>（项目编号）</w:t>
      </w:r>
      <w:r>
        <w:rPr>
          <w:rFonts w:hint="eastAsia" w:ascii="宋体" w:hAnsi="宋体" w:eastAsia="宋体" w:cs="宋体"/>
          <w:b/>
          <w:color w:val="auto"/>
          <w:sz w:val="36"/>
          <w:szCs w:val="36"/>
          <w:highlight w:val="none"/>
          <w:u w:val="single"/>
        </w:rPr>
        <w:t> </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lang w:val="en-US" w:eastAsia="zh-CN"/>
        </w:rPr>
        <w:t>项目名称</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rPr>
        <w:t>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项目招标文件，正式授权下述签字人_________________</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姓名</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代表我方______________（投标人的名称），全权处理本次项目投标的有关事宜。</w:t>
      </w:r>
    </w:p>
    <w:p w14:paraId="791C910A">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40"/>
        <w:textAlignment w:val="auto"/>
        <w:rPr>
          <w:rFonts w:hint="eastAsia" w:ascii="宋体" w:hAnsi="宋体" w:eastAsia="宋体" w:cs="宋体"/>
          <w:color w:val="auto"/>
          <w:highlight w:val="none"/>
        </w:rPr>
      </w:pPr>
      <w:r>
        <w:rPr>
          <w:rFonts w:hint="eastAsia" w:ascii="宋体" w:hAnsi="宋体" w:eastAsia="宋体" w:cs="宋体"/>
          <w:color w:val="auto"/>
          <w:highlight w:val="none"/>
        </w:rPr>
        <w:t>据此函，__________签字人兹宣布同意如下：</w:t>
      </w:r>
    </w:p>
    <w:p w14:paraId="4CDBBD96">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40"/>
        <w:textAlignment w:val="auto"/>
        <w:rPr>
          <w:rFonts w:hint="eastAsia" w:ascii="宋体" w:hAnsi="宋体" w:eastAsia="宋体" w:cs="宋体"/>
          <w:color w:val="auto"/>
          <w:highlight w:val="none"/>
        </w:rPr>
      </w:pPr>
      <w:r>
        <w:rPr>
          <w:rFonts w:hint="eastAsia" w:ascii="宋体" w:hAnsi="宋体" w:eastAsia="宋体" w:cs="宋体"/>
          <w:color w:val="auto"/>
          <w:highlight w:val="none"/>
        </w:rPr>
        <w:t>1.按招标文件规定的各项要求，向买方提供所需货物（包含与货物相关的服务）。</w:t>
      </w:r>
    </w:p>
    <w:p w14:paraId="1283BCBB">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40"/>
        <w:textAlignment w:val="auto"/>
        <w:rPr>
          <w:rFonts w:hint="eastAsia" w:ascii="宋体" w:hAnsi="宋体" w:eastAsia="宋体" w:cs="宋体"/>
          <w:color w:val="auto"/>
          <w:highlight w:val="none"/>
        </w:rPr>
      </w:pPr>
      <w:r>
        <w:rPr>
          <w:rFonts w:hint="eastAsia" w:ascii="宋体" w:hAnsi="宋体" w:eastAsia="宋体" w:cs="宋体"/>
          <w:color w:val="auto"/>
          <w:highlight w:val="none"/>
        </w:rPr>
        <w:t>2.我们完全理解贵方不一定将合同授予最低报价的投标人。</w:t>
      </w:r>
    </w:p>
    <w:p w14:paraId="66EC531F">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40"/>
        <w:textAlignment w:val="auto"/>
        <w:rPr>
          <w:rFonts w:hint="eastAsia" w:ascii="宋体" w:hAnsi="宋体" w:eastAsia="宋体" w:cs="宋体"/>
          <w:color w:val="auto"/>
          <w:highlight w:val="none"/>
        </w:rPr>
      </w:pPr>
      <w:r>
        <w:rPr>
          <w:rFonts w:hint="eastAsia" w:ascii="宋体" w:hAnsi="宋体" w:eastAsia="宋体" w:cs="宋体"/>
          <w:color w:val="auto"/>
          <w:highlight w:val="none"/>
        </w:rPr>
        <w:t>3.我们已详细审核全部招标文件及其有效补充文件，我们知道必须放弃提出含糊不清或误解问题的权利。</w:t>
      </w:r>
    </w:p>
    <w:p w14:paraId="30A17B63">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40"/>
        <w:textAlignment w:val="auto"/>
        <w:rPr>
          <w:rFonts w:hint="eastAsia" w:ascii="宋体" w:hAnsi="宋体" w:eastAsia="宋体" w:cs="宋体"/>
          <w:color w:val="auto"/>
          <w:highlight w:val="none"/>
        </w:rPr>
      </w:pPr>
      <w:r>
        <w:rPr>
          <w:rFonts w:hint="eastAsia" w:ascii="宋体" w:hAnsi="宋体" w:eastAsia="宋体" w:cs="宋体"/>
          <w:color w:val="auto"/>
          <w:highlight w:val="none"/>
        </w:rPr>
        <w:t>4.我们同意从规定的开标日期起遵循本投标文件，并在规定的投标有效期期满之前均具有约束力。</w:t>
      </w:r>
    </w:p>
    <w:p w14:paraId="74CDC013">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40"/>
        <w:textAlignment w:val="auto"/>
        <w:rPr>
          <w:rFonts w:hint="eastAsia" w:ascii="宋体" w:hAnsi="宋体" w:eastAsia="宋体" w:cs="宋体"/>
          <w:color w:val="auto"/>
          <w:highlight w:val="none"/>
        </w:rPr>
      </w:pPr>
      <w:r>
        <w:rPr>
          <w:rFonts w:hint="eastAsia" w:ascii="宋体" w:hAnsi="宋体" w:eastAsia="宋体" w:cs="宋体"/>
          <w:color w:val="auto"/>
          <w:highlight w:val="none"/>
        </w:rPr>
        <w:t>5.同意向贵方提供贵方可能另外要求的与投标有关的任何证据或资料，并保证我方已提供和将要提供的文件是真实的、准确的。</w:t>
      </w:r>
    </w:p>
    <w:p w14:paraId="3236E48C">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40"/>
        <w:textAlignment w:val="auto"/>
        <w:rPr>
          <w:rFonts w:hint="eastAsia" w:ascii="宋体" w:hAnsi="宋体" w:eastAsia="宋体" w:cs="宋体"/>
          <w:color w:val="auto"/>
          <w:highlight w:val="none"/>
        </w:rPr>
      </w:pPr>
      <w:r>
        <w:rPr>
          <w:rFonts w:hint="eastAsia" w:ascii="宋体" w:hAnsi="宋体" w:eastAsia="宋体" w:cs="宋体"/>
          <w:color w:val="auto"/>
          <w:highlight w:val="none"/>
        </w:rPr>
        <w:t>6.一旦我方中标</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我方将根据招标文件的规定，严格履行合同的责任和义务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并保证在招标文件规定的时间完成项目，交付买方验收、使用。</w:t>
      </w:r>
    </w:p>
    <w:p w14:paraId="33752997">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40"/>
        <w:textAlignment w:val="auto"/>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rPr>
        <w:t>7.与本投标有关的正式通讯地址为：</w:t>
      </w:r>
      <w:r>
        <w:rPr>
          <w:rFonts w:hint="eastAsia" w:ascii="宋体" w:hAnsi="宋体" w:eastAsia="宋体" w:cs="宋体"/>
          <w:color w:val="auto"/>
          <w:highlight w:val="none"/>
          <w:u w:val="single"/>
          <w:lang w:val="en-US" w:eastAsia="zh-CN"/>
        </w:rPr>
        <w:t xml:space="preserve">                     </w:t>
      </w:r>
    </w:p>
    <w:p w14:paraId="5E526A04">
      <w:pPr>
        <w:pStyle w:val="34"/>
        <w:spacing w:beforeAutospacing="0" w:afterAutospacing="0" w:line="360" w:lineRule="auto"/>
        <w:ind w:left="420" w:firstLine="240"/>
        <w:rPr>
          <w:rFonts w:hint="eastAsia" w:ascii="宋体" w:hAnsi="宋体" w:eastAsia="宋体" w:cs="宋体"/>
          <w:color w:val="auto"/>
          <w:highlight w:val="none"/>
        </w:rPr>
      </w:pPr>
      <w:r>
        <w:rPr>
          <w:rFonts w:hint="eastAsia" w:ascii="宋体" w:hAnsi="宋体" w:eastAsia="宋体" w:cs="宋体"/>
          <w:color w:val="auto"/>
          <w:highlight w:val="none"/>
        </w:rPr>
        <w:t>地          址：</w:t>
      </w:r>
    </w:p>
    <w:p w14:paraId="540DF5E5">
      <w:pPr>
        <w:pStyle w:val="34"/>
        <w:spacing w:beforeAutospacing="0" w:afterAutospacing="0" w:line="360" w:lineRule="auto"/>
        <w:ind w:left="420" w:firstLine="240"/>
        <w:rPr>
          <w:rFonts w:hint="eastAsia" w:ascii="宋体" w:hAnsi="宋体" w:eastAsia="宋体" w:cs="宋体"/>
          <w:color w:val="auto"/>
          <w:highlight w:val="none"/>
        </w:rPr>
      </w:pPr>
      <w:r>
        <w:rPr>
          <w:rFonts w:hint="eastAsia" w:ascii="宋体" w:hAnsi="宋体" w:eastAsia="宋体" w:cs="宋体"/>
          <w:color w:val="auto"/>
          <w:highlight w:val="none"/>
        </w:rPr>
        <w:t>邮          编：</w:t>
      </w:r>
    </w:p>
    <w:p w14:paraId="5AFF9843">
      <w:pPr>
        <w:pStyle w:val="34"/>
        <w:spacing w:beforeAutospacing="0" w:afterAutospacing="0" w:line="360" w:lineRule="auto"/>
        <w:ind w:left="420" w:firstLine="240"/>
        <w:rPr>
          <w:rFonts w:hint="eastAsia" w:ascii="宋体" w:hAnsi="宋体" w:eastAsia="宋体" w:cs="宋体"/>
          <w:color w:val="auto"/>
          <w:highlight w:val="none"/>
        </w:rPr>
      </w:pPr>
      <w:r>
        <w:rPr>
          <w:rFonts w:hint="eastAsia" w:ascii="宋体" w:hAnsi="宋体" w:eastAsia="宋体" w:cs="宋体"/>
          <w:color w:val="auto"/>
          <w:highlight w:val="none"/>
        </w:rPr>
        <w:t>座     机    电   话：</w:t>
      </w:r>
    </w:p>
    <w:p w14:paraId="094A643B">
      <w:pPr>
        <w:pStyle w:val="34"/>
        <w:spacing w:beforeAutospacing="0" w:afterAutospacing="0" w:line="360" w:lineRule="auto"/>
        <w:ind w:left="420" w:firstLine="240"/>
        <w:rPr>
          <w:rFonts w:hint="eastAsia" w:ascii="宋体" w:hAnsi="宋体" w:eastAsia="宋体" w:cs="宋体"/>
          <w:color w:val="auto"/>
          <w:highlight w:val="none"/>
        </w:rPr>
      </w:pPr>
      <w:r>
        <w:rPr>
          <w:rFonts w:hint="eastAsia" w:ascii="宋体" w:hAnsi="宋体" w:eastAsia="宋体" w:cs="宋体"/>
          <w:color w:val="auto"/>
          <w:highlight w:val="none"/>
        </w:rPr>
        <w:t>传          真：</w:t>
      </w:r>
    </w:p>
    <w:p w14:paraId="1857E6C6">
      <w:pPr>
        <w:pStyle w:val="34"/>
        <w:spacing w:beforeAutospacing="0" w:afterAutospacing="0" w:line="360" w:lineRule="auto"/>
        <w:ind w:left="420" w:firstLine="240"/>
        <w:rPr>
          <w:rFonts w:hint="eastAsia" w:ascii="宋体" w:hAnsi="宋体" w:eastAsia="宋体" w:cs="宋体"/>
          <w:color w:val="auto"/>
          <w:highlight w:val="none"/>
        </w:rPr>
      </w:pPr>
      <w:r>
        <w:rPr>
          <w:rFonts w:hint="eastAsia" w:ascii="宋体" w:hAnsi="宋体" w:eastAsia="宋体" w:cs="宋体"/>
          <w:color w:val="auto"/>
          <w:highlight w:val="none"/>
        </w:rPr>
        <w:t>投</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标</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人</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开</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户</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行：</w:t>
      </w:r>
    </w:p>
    <w:p w14:paraId="13166DA6">
      <w:pPr>
        <w:pStyle w:val="34"/>
        <w:spacing w:beforeAutospacing="0" w:afterAutospacing="0" w:line="360" w:lineRule="auto"/>
        <w:ind w:left="420" w:firstLine="240"/>
        <w:rPr>
          <w:rFonts w:hint="eastAsia" w:ascii="宋体" w:hAnsi="宋体" w:eastAsia="宋体" w:cs="宋体"/>
          <w:color w:val="auto"/>
          <w:highlight w:val="none"/>
        </w:rPr>
      </w:pPr>
      <w:r>
        <w:rPr>
          <w:rFonts w:hint="eastAsia" w:ascii="宋体" w:hAnsi="宋体" w:eastAsia="宋体" w:cs="宋体"/>
          <w:color w:val="auto"/>
          <w:highlight w:val="none"/>
        </w:rPr>
        <w:t>账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号： </w:t>
      </w:r>
    </w:p>
    <w:p w14:paraId="1B817E77">
      <w:pPr>
        <w:pStyle w:val="34"/>
        <w:spacing w:beforeAutospacing="0" w:afterAutospacing="0" w:line="360" w:lineRule="auto"/>
        <w:ind w:left="420" w:firstLine="240"/>
        <w:rPr>
          <w:rFonts w:hint="default" w:ascii="宋体" w:hAnsi="宋体" w:eastAsia="宋体" w:cs="宋体"/>
          <w:color w:val="auto"/>
          <w:highlight w:val="none"/>
          <w:lang w:val="en-US"/>
        </w:rPr>
      </w:pPr>
      <w:r>
        <w:rPr>
          <w:rFonts w:hint="eastAsia" w:ascii="宋体" w:hAnsi="宋体" w:eastAsia="宋体" w:cs="宋体"/>
          <w:color w:val="auto"/>
          <w:highlight w:val="none"/>
        </w:rPr>
        <w:t>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期：________年____月____日</w:t>
      </w:r>
      <w:r>
        <w:rPr>
          <w:rFonts w:hint="default" w:ascii="宋体" w:hAnsi="宋体" w:eastAsia="宋体" w:cs="宋体"/>
          <w:color w:val="auto"/>
          <w:highlight w:val="none"/>
          <w:lang w:val="en-US"/>
        </w:rPr>
        <w:br w:type="page"/>
      </w:r>
    </w:p>
    <w:p w14:paraId="52F7BB74">
      <w:pPr>
        <w:pStyle w:val="34"/>
        <w:numPr>
          <w:ilvl w:val="-1"/>
          <w:numId w:val="0"/>
        </w:numPr>
        <w:spacing w:beforeAutospacing="0" w:afterAutospacing="0"/>
        <w:ind w:firstLine="0"/>
        <w:jc w:val="center"/>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rPr>
        <w:t>九、</w:t>
      </w:r>
      <w:r>
        <w:rPr>
          <w:rFonts w:hint="eastAsia" w:ascii="黑体" w:hAnsi="宋体" w:eastAsia="黑体" w:cs="黑体"/>
          <w:b/>
          <w:color w:val="auto"/>
          <w:sz w:val="32"/>
          <w:szCs w:val="32"/>
          <w:highlight w:val="none"/>
        </w:rPr>
        <w:t>投标分项报价表</w:t>
      </w:r>
    </w:p>
    <w:p w14:paraId="006B56C7">
      <w:pPr>
        <w:rPr>
          <w:rFonts w:hint="eastAsia" w:ascii="宋体" w:hAnsi="宋体"/>
          <w:color w:val="auto"/>
          <w:sz w:val="24"/>
          <w:szCs w:val="24"/>
          <w:highlight w:val="none"/>
        </w:rPr>
      </w:pPr>
    </w:p>
    <w:tbl>
      <w:tblPr>
        <w:tblStyle w:val="38"/>
        <w:tblW w:w="99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9"/>
        <w:gridCol w:w="3294"/>
        <w:gridCol w:w="2190"/>
        <w:gridCol w:w="1845"/>
        <w:gridCol w:w="2059"/>
      </w:tblGrid>
      <w:tr w14:paraId="62C638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519" w:type="dxa"/>
            <w:noWrap w:val="0"/>
            <w:vAlign w:val="center"/>
          </w:tcPr>
          <w:p w14:paraId="221E0A8E">
            <w:pPr>
              <w:spacing w:line="500" w:lineRule="exact"/>
              <w:jc w:val="center"/>
              <w:rPr>
                <w:rFonts w:ascii="宋体"/>
                <w:color w:val="auto"/>
                <w:sz w:val="24"/>
                <w:szCs w:val="24"/>
                <w:highlight w:val="none"/>
              </w:rPr>
            </w:pPr>
            <w:r>
              <w:rPr>
                <w:rFonts w:hint="eastAsia" w:ascii="宋体" w:hAnsi="宋体" w:cs="宋体"/>
                <w:color w:val="auto"/>
                <w:sz w:val="24"/>
                <w:szCs w:val="24"/>
                <w:highlight w:val="none"/>
              </w:rPr>
              <w:t>序</w:t>
            </w:r>
          </w:p>
          <w:p w14:paraId="53EB418A">
            <w:pPr>
              <w:spacing w:line="500" w:lineRule="exact"/>
              <w:jc w:val="center"/>
              <w:rPr>
                <w:rFonts w:ascii="宋体"/>
                <w:color w:val="auto"/>
                <w:sz w:val="24"/>
                <w:szCs w:val="24"/>
                <w:highlight w:val="none"/>
              </w:rPr>
            </w:pPr>
            <w:r>
              <w:rPr>
                <w:rFonts w:hint="eastAsia" w:ascii="宋体" w:hAnsi="宋体" w:cs="宋体"/>
                <w:color w:val="auto"/>
                <w:sz w:val="24"/>
                <w:szCs w:val="24"/>
                <w:highlight w:val="none"/>
              </w:rPr>
              <w:t>号</w:t>
            </w:r>
          </w:p>
        </w:tc>
        <w:tc>
          <w:tcPr>
            <w:tcW w:w="3294" w:type="dxa"/>
            <w:tcBorders>
              <w:bottom w:val="single" w:color="auto" w:sz="4" w:space="0"/>
            </w:tcBorders>
            <w:noWrap w:val="0"/>
            <w:vAlign w:val="center"/>
          </w:tcPr>
          <w:p w14:paraId="0CA9B392">
            <w:pPr>
              <w:spacing w:line="500" w:lineRule="exact"/>
              <w:jc w:val="center"/>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项目名称</w:t>
            </w:r>
          </w:p>
        </w:tc>
        <w:tc>
          <w:tcPr>
            <w:tcW w:w="2190" w:type="dxa"/>
            <w:tcBorders>
              <w:bottom w:val="single" w:color="auto" w:sz="4" w:space="0"/>
            </w:tcBorders>
            <w:noWrap w:val="0"/>
            <w:vAlign w:val="center"/>
          </w:tcPr>
          <w:p w14:paraId="65934F3C">
            <w:pPr>
              <w:spacing w:line="500" w:lineRule="exact"/>
              <w:jc w:val="center"/>
              <w:rPr>
                <w:rFonts w:ascii="宋体"/>
                <w:color w:val="auto"/>
                <w:sz w:val="24"/>
                <w:szCs w:val="24"/>
                <w:highlight w:val="none"/>
              </w:rPr>
            </w:pP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度医疗废物</w:t>
            </w:r>
            <w:r>
              <w:rPr>
                <w:rFonts w:hint="eastAsia" w:ascii="宋体" w:hAnsi="宋体" w:cs="宋体"/>
                <w:color w:val="auto"/>
                <w:sz w:val="24"/>
                <w:szCs w:val="24"/>
                <w:highlight w:val="none"/>
              </w:rPr>
              <w:t>总数（</w:t>
            </w:r>
            <w:r>
              <w:rPr>
                <w:rFonts w:hint="eastAsia" w:ascii="宋体" w:hAnsi="宋体" w:cs="宋体"/>
                <w:color w:val="auto"/>
                <w:sz w:val="24"/>
                <w:szCs w:val="24"/>
                <w:highlight w:val="none"/>
                <w:lang w:val="en-US" w:eastAsia="zh-CN"/>
              </w:rPr>
              <w:t>吨/年</w:t>
            </w:r>
            <w:r>
              <w:rPr>
                <w:rFonts w:hint="eastAsia" w:ascii="宋体" w:hAnsi="宋体" w:cs="宋体"/>
                <w:color w:val="auto"/>
                <w:sz w:val="24"/>
                <w:szCs w:val="24"/>
                <w:highlight w:val="none"/>
              </w:rPr>
              <w:t>）</w:t>
            </w:r>
          </w:p>
        </w:tc>
        <w:tc>
          <w:tcPr>
            <w:tcW w:w="1845" w:type="dxa"/>
            <w:tcBorders>
              <w:bottom w:val="single" w:color="auto" w:sz="4" w:space="0"/>
            </w:tcBorders>
            <w:noWrap w:val="0"/>
            <w:vAlign w:val="center"/>
          </w:tcPr>
          <w:p w14:paraId="76005B9D">
            <w:pPr>
              <w:spacing w:line="5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投标</w:t>
            </w:r>
            <w:r>
              <w:rPr>
                <w:rFonts w:hint="eastAsia" w:ascii="宋体" w:hAnsi="宋体" w:cs="宋体"/>
                <w:color w:val="auto"/>
                <w:sz w:val="24"/>
                <w:szCs w:val="24"/>
                <w:highlight w:val="none"/>
              </w:rPr>
              <w:t>单价</w:t>
            </w:r>
          </w:p>
          <w:p w14:paraId="1A4E3F71">
            <w:pPr>
              <w:spacing w:line="500" w:lineRule="exact"/>
              <w:jc w:val="center"/>
              <w:rPr>
                <w:rFonts w:ascii="宋体"/>
                <w:color w:val="auto"/>
                <w:sz w:val="24"/>
                <w:szCs w:val="24"/>
                <w:highlight w:val="none"/>
              </w:rPr>
            </w:pPr>
            <w:r>
              <w:rPr>
                <w:rFonts w:hint="eastAsia" w:ascii="宋体" w:hAnsi="宋体" w:cs="宋体"/>
                <w:color w:val="auto"/>
                <w:sz w:val="24"/>
                <w:szCs w:val="24"/>
                <w:highlight w:val="none"/>
              </w:rPr>
              <w:t>（元</w:t>
            </w:r>
            <w:r>
              <w:rPr>
                <w:rFonts w:hint="eastAsia" w:cs="宋体"/>
                <w:color w:val="auto"/>
                <w:sz w:val="24"/>
                <w:szCs w:val="24"/>
                <w:highlight w:val="none"/>
                <w:lang w:val="en-US" w:eastAsia="zh-CN"/>
              </w:rPr>
              <w:t>/吨</w:t>
            </w:r>
            <w:r>
              <w:rPr>
                <w:rFonts w:hint="eastAsia" w:ascii="宋体" w:hAnsi="宋体" w:cs="宋体"/>
                <w:color w:val="auto"/>
                <w:sz w:val="24"/>
                <w:szCs w:val="24"/>
                <w:highlight w:val="none"/>
              </w:rPr>
              <w:t>）</w:t>
            </w:r>
          </w:p>
        </w:tc>
        <w:tc>
          <w:tcPr>
            <w:tcW w:w="2059" w:type="dxa"/>
            <w:noWrap w:val="0"/>
            <w:vAlign w:val="center"/>
          </w:tcPr>
          <w:p w14:paraId="6E4934BE">
            <w:pPr>
              <w:spacing w:line="500" w:lineRule="exact"/>
              <w:jc w:val="center"/>
              <w:rPr>
                <w:rFonts w:ascii="宋体"/>
                <w:color w:val="auto"/>
                <w:sz w:val="24"/>
                <w:szCs w:val="24"/>
                <w:highlight w:val="none"/>
              </w:rPr>
            </w:pPr>
            <w:r>
              <w:rPr>
                <w:rFonts w:hint="eastAsia" w:ascii="宋体" w:hAnsi="宋体" w:cs="宋体"/>
                <w:color w:val="auto"/>
                <w:kern w:val="0"/>
                <w:sz w:val="24"/>
                <w:szCs w:val="24"/>
                <w:highlight w:val="none"/>
              </w:rPr>
              <w:t>合计</w:t>
            </w:r>
            <w:r>
              <w:rPr>
                <w:rFonts w:ascii="宋体" w:hAnsi="宋体" w:cs="宋体"/>
                <w:color w:val="auto"/>
                <w:kern w:val="0"/>
                <w:sz w:val="24"/>
                <w:szCs w:val="24"/>
                <w:highlight w:val="none"/>
              </w:rPr>
              <w:t>(</w:t>
            </w:r>
            <w:r>
              <w:rPr>
                <w:rFonts w:hint="eastAsia" w:ascii="宋体" w:hAnsi="宋体" w:cs="宋体"/>
                <w:color w:val="auto"/>
                <w:kern w:val="0"/>
                <w:sz w:val="24"/>
                <w:szCs w:val="24"/>
                <w:highlight w:val="none"/>
              </w:rPr>
              <w:t>元</w:t>
            </w:r>
            <w:r>
              <w:rPr>
                <w:rFonts w:ascii="宋体" w:hAnsi="宋体" w:cs="宋体"/>
                <w:color w:val="auto"/>
                <w:kern w:val="0"/>
                <w:sz w:val="24"/>
                <w:szCs w:val="24"/>
                <w:highlight w:val="none"/>
              </w:rPr>
              <w:t>)</w:t>
            </w:r>
          </w:p>
        </w:tc>
      </w:tr>
      <w:tr w14:paraId="6E905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4" w:hRule="atLeast"/>
          <w:jc w:val="center"/>
        </w:trPr>
        <w:tc>
          <w:tcPr>
            <w:tcW w:w="519" w:type="dxa"/>
            <w:noWrap w:val="0"/>
            <w:vAlign w:val="center"/>
          </w:tcPr>
          <w:p w14:paraId="22C819F3">
            <w:pPr>
              <w:spacing w:line="500" w:lineRule="exact"/>
              <w:jc w:val="center"/>
              <w:rPr>
                <w:rFonts w:ascii="宋体" w:hAnsi="宋体" w:cs="宋体"/>
                <w:color w:val="auto"/>
                <w:sz w:val="24"/>
                <w:szCs w:val="24"/>
                <w:highlight w:val="none"/>
              </w:rPr>
            </w:pPr>
            <w:r>
              <w:rPr>
                <w:rFonts w:ascii="宋体" w:hAnsi="宋体" w:cs="宋体"/>
                <w:color w:val="auto"/>
                <w:sz w:val="24"/>
                <w:szCs w:val="24"/>
                <w:highlight w:val="none"/>
              </w:rPr>
              <w:t>1</w:t>
            </w:r>
          </w:p>
        </w:tc>
        <w:tc>
          <w:tcPr>
            <w:tcW w:w="3294" w:type="dxa"/>
            <w:noWrap w:val="0"/>
            <w:vAlign w:val="center"/>
          </w:tcPr>
          <w:p w14:paraId="1F476F2F">
            <w:pPr>
              <w:spacing w:line="500" w:lineRule="exact"/>
              <w:jc w:val="center"/>
              <w:rPr>
                <w:rFonts w:hint="eastAsia" w:cs="宋体"/>
                <w:color w:val="auto"/>
                <w:kern w:val="0"/>
                <w:sz w:val="24"/>
                <w:szCs w:val="24"/>
                <w:highlight w:val="none"/>
                <w:lang w:val="en-US" w:eastAsia="zh-CN"/>
              </w:rPr>
            </w:pPr>
            <w:r>
              <w:rPr>
                <w:rFonts w:hint="eastAsia" w:cs="宋体"/>
                <w:color w:val="auto"/>
                <w:kern w:val="0"/>
                <w:sz w:val="24"/>
                <w:szCs w:val="24"/>
                <w:highlight w:val="none"/>
                <w:lang w:val="en-US" w:eastAsia="zh-CN"/>
              </w:rPr>
              <w:t>盐城市第三人民医院医疗废物无害化处置项目</w:t>
            </w:r>
          </w:p>
        </w:tc>
        <w:tc>
          <w:tcPr>
            <w:tcW w:w="2190" w:type="dxa"/>
            <w:noWrap w:val="0"/>
            <w:vAlign w:val="center"/>
          </w:tcPr>
          <w:p w14:paraId="0EC3B37B">
            <w:pPr>
              <w:spacing w:line="500" w:lineRule="exact"/>
              <w:jc w:val="center"/>
              <w:rPr>
                <w:rFonts w:hint="default" w:ascii="宋体" w:eastAsia="宋体"/>
                <w:color w:val="auto"/>
                <w:sz w:val="24"/>
                <w:szCs w:val="24"/>
                <w:highlight w:val="none"/>
                <w:lang w:val="en-US" w:eastAsia="zh-CN"/>
              </w:rPr>
            </w:pPr>
            <w:r>
              <w:rPr>
                <w:rFonts w:hint="eastAsia" w:cs="宋体"/>
                <w:color w:val="auto"/>
                <w:kern w:val="0"/>
                <w:sz w:val="24"/>
                <w:szCs w:val="24"/>
                <w:highlight w:val="none"/>
                <w:lang w:val="en-US" w:eastAsia="zh-CN"/>
              </w:rPr>
              <w:t>500</w:t>
            </w:r>
          </w:p>
        </w:tc>
        <w:tc>
          <w:tcPr>
            <w:tcW w:w="1845" w:type="dxa"/>
            <w:noWrap w:val="0"/>
            <w:vAlign w:val="center"/>
          </w:tcPr>
          <w:p w14:paraId="164E4B24">
            <w:pPr>
              <w:jc w:val="left"/>
              <w:rPr>
                <w:rFonts w:ascii="宋体"/>
                <w:color w:val="auto"/>
                <w:sz w:val="24"/>
                <w:szCs w:val="24"/>
                <w:highlight w:val="none"/>
              </w:rPr>
            </w:pPr>
          </w:p>
        </w:tc>
        <w:tc>
          <w:tcPr>
            <w:tcW w:w="2059" w:type="dxa"/>
            <w:noWrap w:val="0"/>
            <w:vAlign w:val="center"/>
          </w:tcPr>
          <w:p w14:paraId="3F021ACF">
            <w:pPr>
              <w:spacing w:line="500" w:lineRule="exact"/>
              <w:jc w:val="center"/>
              <w:rPr>
                <w:rFonts w:ascii="宋体"/>
                <w:color w:val="auto"/>
                <w:sz w:val="24"/>
                <w:szCs w:val="24"/>
                <w:highlight w:val="none"/>
              </w:rPr>
            </w:pPr>
          </w:p>
        </w:tc>
      </w:tr>
      <w:tr w14:paraId="658DDA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4" w:hRule="atLeast"/>
          <w:jc w:val="center"/>
        </w:trPr>
        <w:tc>
          <w:tcPr>
            <w:tcW w:w="9907" w:type="dxa"/>
            <w:gridSpan w:val="5"/>
            <w:noWrap w:val="0"/>
            <w:vAlign w:val="center"/>
          </w:tcPr>
          <w:p w14:paraId="64D04CB7">
            <w:pPr>
              <w:spacing w:line="500" w:lineRule="exact"/>
              <w:jc w:val="left"/>
              <w:rPr>
                <w:rFonts w:ascii="宋体"/>
                <w:color w:val="auto"/>
                <w:sz w:val="24"/>
                <w:szCs w:val="24"/>
                <w:highlight w:val="none"/>
              </w:rPr>
            </w:pPr>
            <w:r>
              <w:rPr>
                <w:rFonts w:hint="eastAsia" w:ascii="宋体" w:hAnsi="宋体" w:cs="宋体"/>
                <w:color w:val="auto"/>
                <w:sz w:val="24"/>
                <w:szCs w:val="24"/>
                <w:highlight w:val="none"/>
                <w:lang w:val="en-US" w:eastAsia="zh-CN"/>
              </w:rPr>
              <w:t>报价合计</w:t>
            </w:r>
            <w:r>
              <w:rPr>
                <w:rFonts w:hint="eastAsia" w:ascii="宋体" w:hAnsi="宋体" w:cs="宋体"/>
                <w:color w:val="auto"/>
                <w:sz w:val="24"/>
                <w:szCs w:val="24"/>
                <w:highlight w:val="none"/>
              </w:rPr>
              <w:t>：大写：</w:t>
            </w:r>
            <w:r>
              <w:rPr>
                <w:rFonts w:hint="eastAsia" w:cs="宋体"/>
                <w:color w:val="auto"/>
                <w:sz w:val="24"/>
                <w:szCs w:val="24"/>
                <w:highlight w:val="none"/>
                <w:u w:val="single"/>
                <w:lang w:val="en-US" w:eastAsia="zh-CN"/>
              </w:rPr>
              <w:t xml:space="preserve">          </w:t>
            </w:r>
            <w:r>
              <w:rPr>
                <w:rFonts w:hint="eastAsia" w:ascii="宋体" w:hAnsi="宋体" w:cs="宋体"/>
                <w:b w:val="0"/>
                <w:bCs w:val="0"/>
                <w:color w:val="auto"/>
                <w:sz w:val="24"/>
                <w:szCs w:val="24"/>
                <w:highlight w:val="none"/>
              </w:rPr>
              <w:t>元</w:t>
            </w:r>
            <w:r>
              <w:rPr>
                <w:rFonts w:ascii="宋体" w:hAnsi="宋体" w:cs="宋体"/>
                <w:b w:val="0"/>
                <w:bCs w:val="0"/>
                <w:color w:val="auto"/>
                <w:kern w:val="0"/>
                <w:sz w:val="24"/>
                <w:szCs w:val="24"/>
                <w:highlight w:val="none"/>
              </w:rPr>
              <w:t>/</w:t>
            </w:r>
            <w:r>
              <w:rPr>
                <w:rFonts w:hint="eastAsia" w:ascii="宋体" w:hAnsi="宋体" w:cs="宋体"/>
                <w:b w:val="0"/>
                <w:bCs w:val="0"/>
                <w:color w:val="auto"/>
                <w:kern w:val="0"/>
                <w:sz w:val="24"/>
                <w:szCs w:val="24"/>
                <w:highlight w:val="none"/>
              </w:rPr>
              <w:t>年</w:t>
            </w:r>
            <w:r>
              <w:rPr>
                <w:rFonts w:hint="eastAsia" w:ascii="宋体" w:hAnsi="宋体" w:cs="宋体"/>
                <w:b w:val="0"/>
                <w:bCs w:val="0"/>
                <w:color w:val="auto"/>
                <w:sz w:val="24"/>
                <w:szCs w:val="24"/>
                <w:highlight w:val="none"/>
              </w:rPr>
              <w:t>，小写：</w:t>
            </w:r>
            <w:r>
              <w:rPr>
                <w:rFonts w:hint="eastAsia" w:cs="宋体"/>
                <w:color w:val="auto"/>
                <w:sz w:val="24"/>
                <w:szCs w:val="24"/>
                <w:highlight w:val="none"/>
                <w:u w:val="single"/>
                <w:lang w:val="en-US" w:eastAsia="zh-CN"/>
              </w:rPr>
              <w:t xml:space="preserve">         </w:t>
            </w:r>
            <w:r>
              <w:rPr>
                <w:rFonts w:hint="eastAsia" w:ascii="宋体" w:hAnsi="宋体" w:cs="宋体"/>
                <w:b w:val="0"/>
                <w:bCs w:val="0"/>
                <w:color w:val="auto"/>
                <w:sz w:val="24"/>
                <w:szCs w:val="24"/>
                <w:highlight w:val="none"/>
              </w:rPr>
              <w:t>元</w:t>
            </w:r>
            <w:r>
              <w:rPr>
                <w:rFonts w:ascii="宋体" w:hAnsi="宋体" w:cs="宋体"/>
                <w:b w:val="0"/>
                <w:bCs w:val="0"/>
                <w:color w:val="auto"/>
                <w:kern w:val="0"/>
                <w:sz w:val="24"/>
                <w:szCs w:val="24"/>
                <w:highlight w:val="none"/>
              </w:rPr>
              <w:t>/</w:t>
            </w:r>
            <w:r>
              <w:rPr>
                <w:rFonts w:hint="eastAsia" w:ascii="宋体" w:hAnsi="宋体" w:cs="宋体"/>
                <w:b w:val="0"/>
                <w:bCs w:val="0"/>
                <w:color w:val="auto"/>
                <w:kern w:val="0"/>
                <w:sz w:val="24"/>
                <w:szCs w:val="24"/>
                <w:highlight w:val="none"/>
              </w:rPr>
              <w:t>年</w:t>
            </w:r>
          </w:p>
        </w:tc>
      </w:tr>
    </w:tbl>
    <w:p w14:paraId="563158F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注：</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1</w:t>
      </w:r>
      <w:r>
        <w:rPr>
          <w:rFonts w:hint="eastAsia" w:ascii="宋体" w:hAnsi="宋体"/>
          <w:color w:val="auto"/>
          <w:sz w:val="24"/>
          <w:highlight w:val="none"/>
          <w:lang w:eastAsia="zh-CN"/>
        </w:rPr>
        <w:t>）</w:t>
      </w:r>
      <w:r>
        <w:rPr>
          <w:rFonts w:hint="eastAsia" w:ascii="宋体" w:hAnsi="宋体"/>
          <w:color w:val="auto"/>
          <w:sz w:val="24"/>
          <w:highlight w:val="none"/>
        </w:rPr>
        <w:t>报价包括服务本项目所需成本、材料设备及其损耗费、人工费、风险费、保险费、税金等政策性文件规定及合同包含的所有风险、责任等各项应有费用。</w:t>
      </w:r>
    </w:p>
    <w:p w14:paraId="35C7C9D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2</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投标单价</w:t>
      </w:r>
      <w:r>
        <w:rPr>
          <w:rFonts w:hint="eastAsia" w:ascii="宋体" w:hAnsi="宋体"/>
          <w:color w:val="auto"/>
          <w:sz w:val="24"/>
          <w:highlight w:val="none"/>
          <w:lang w:eastAsia="zh-CN"/>
        </w:rPr>
        <w:t>每吨不得高于</w:t>
      </w:r>
      <w:r>
        <w:rPr>
          <w:rFonts w:hint="eastAsia" w:ascii="宋体" w:hAnsi="宋体"/>
          <w:color w:val="auto"/>
          <w:kern w:val="0"/>
          <w:sz w:val="24"/>
          <w:highlight w:val="none"/>
          <w:lang w:val="en-US" w:eastAsia="zh-CN"/>
        </w:rPr>
        <w:t>5200元/吨</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否则做无效标处理</w:t>
      </w:r>
      <w:r>
        <w:rPr>
          <w:rFonts w:hint="eastAsia" w:ascii="宋体" w:hAnsi="宋体"/>
          <w:color w:val="auto"/>
          <w:sz w:val="24"/>
          <w:highlight w:val="none"/>
        </w:rPr>
        <w:t>。</w:t>
      </w:r>
    </w:p>
    <w:p w14:paraId="10AA0ED1">
      <w:pPr>
        <w:spacing w:line="500" w:lineRule="exact"/>
        <w:jc w:val="left"/>
        <w:rPr>
          <w:rFonts w:ascii="宋体" w:hAnsi="宋体"/>
          <w:color w:val="auto"/>
          <w:sz w:val="24"/>
          <w:highlight w:val="none"/>
        </w:rPr>
      </w:pPr>
    </w:p>
    <w:p w14:paraId="3B7C87A3">
      <w:pPr>
        <w:pStyle w:val="34"/>
        <w:spacing w:beforeAutospacing="0" w:afterAutospacing="0" w:line="360" w:lineRule="auto"/>
        <w:ind w:right="180" w:firstLine="480"/>
        <w:jc w:val="right"/>
        <w:rPr>
          <w:rFonts w:hint="eastAsia" w:ascii="宋体" w:hAnsi="宋体" w:eastAsia="宋体" w:cs="宋体"/>
          <w:color w:val="auto"/>
          <w:highlight w:val="none"/>
        </w:rPr>
      </w:pPr>
      <w:r>
        <w:rPr>
          <w:rFonts w:hint="eastAsia" w:ascii="宋体" w:hAnsi="宋体" w:eastAsia="宋体" w:cs="宋体"/>
          <w:color w:val="auto"/>
          <w:highlight w:val="none"/>
        </w:rPr>
        <w:t>企业名称</w:t>
      </w:r>
      <w:r>
        <w:rPr>
          <w:rFonts w:hint="eastAsia" w:ascii="宋体" w:hAnsi="宋体" w:eastAsia="宋体" w:cs="宋体"/>
          <w:b/>
          <w:bCs/>
          <w:color w:val="auto"/>
          <w:sz w:val="32"/>
          <w:szCs w:val="32"/>
          <w:highlight w:val="none"/>
          <w:lang w:val="en-US" w:eastAsia="zh-CN" w:bidi="ar-SA"/>
        </w:rPr>
        <w:t>（加盖CA电子公章）</w:t>
      </w:r>
      <w:r>
        <w:rPr>
          <w:rFonts w:hint="eastAsia" w:ascii="宋体" w:hAnsi="宋体" w:eastAsia="宋体" w:cs="宋体"/>
          <w:color w:val="auto"/>
          <w:highlight w:val="none"/>
        </w:rPr>
        <w:t>：</w:t>
      </w:r>
    </w:p>
    <w:p w14:paraId="4B940CD1">
      <w:pPr>
        <w:pStyle w:val="34"/>
        <w:spacing w:beforeAutospacing="0" w:afterAutospacing="0"/>
        <w:ind w:firstLine="4800" w:firstLineChars="2000"/>
        <w:jc w:val="both"/>
        <w:rPr>
          <w:rFonts w:hint="eastAsia" w:ascii="宋体" w:hAnsi="宋体" w:eastAsia="宋体" w:cs="宋体"/>
          <w:color w:val="auto"/>
          <w:highlight w:val="none"/>
        </w:rPr>
      </w:pPr>
      <w:r>
        <w:rPr>
          <w:rFonts w:hint="eastAsia" w:ascii="宋体" w:hAnsi="宋体" w:eastAsia="宋体" w:cs="宋体"/>
          <w:color w:val="auto"/>
          <w:highlight w:val="none"/>
        </w:rPr>
        <w:t>日  期：</w:t>
      </w:r>
    </w:p>
    <w:p w14:paraId="21B36B2E">
      <w:pPr>
        <w:pStyle w:val="34"/>
        <w:numPr>
          <w:ilvl w:val="0"/>
          <w:numId w:val="0"/>
        </w:numPr>
        <w:spacing w:beforeAutospacing="0" w:afterAutospacing="0"/>
        <w:jc w:val="both"/>
        <w:rPr>
          <w:rFonts w:hint="eastAsia" w:ascii="宋体" w:hAnsi="宋体" w:eastAsia="宋体" w:cs="宋体"/>
          <w:color w:val="auto"/>
          <w:highlight w:val="none"/>
        </w:rPr>
      </w:pPr>
    </w:p>
    <w:p w14:paraId="329E2F7D">
      <w:pPr>
        <w:pStyle w:val="34"/>
        <w:spacing w:beforeAutospacing="0" w:afterAutospacing="0"/>
        <w:ind w:firstLine="4800" w:firstLineChars="20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ED8FF36">
      <w:pPr>
        <w:pStyle w:val="34"/>
        <w:spacing w:beforeAutospacing="0" w:afterAutospacing="0"/>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714CF3E">
      <w:pPr>
        <w:pStyle w:val="34"/>
        <w:spacing w:beforeAutospacing="0" w:afterAutospacing="0"/>
        <w:ind w:firstLine="240"/>
        <w:jc w:val="both"/>
        <w:rPr>
          <w:rFonts w:hint="eastAsia" w:ascii="宋体" w:hAnsi="宋体" w:eastAsia="宋体" w:cs="宋体"/>
          <w:color w:val="auto"/>
          <w:highlight w:val="none"/>
        </w:rPr>
      </w:pPr>
    </w:p>
    <w:p w14:paraId="74232C88">
      <w:pPr>
        <w:pStyle w:val="34"/>
        <w:spacing w:beforeAutospacing="0" w:afterAutospacing="0"/>
        <w:ind w:firstLine="240"/>
        <w:jc w:val="both"/>
        <w:rPr>
          <w:rFonts w:hint="eastAsia" w:ascii="宋体" w:hAnsi="宋体" w:eastAsia="宋体" w:cs="宋体"/>
          <w:color w:val="auto"/>
          <w:highlight w:val="none"/>
        </w:rPr>
      </w:pPr>
    </w:p>
    <w:p w14:paraId="06ABE185">
      <w:pPr>
        <w:pStyle w:val="34"/>
        <w:spacing w:beforeAutospacing="0" w:afterAutospacing="0"/>
        <w:ind w:firstLine="240"/>
        <w:jc w:val="both"/>
        <w:rPr>
          <w:rFonts w:hint="eastAsia" w:ascii="宋体" w:hAnsi="宋体" w:eastAsia="宋体" w:cs="宋体"/>
          <w:color w:val="auto"/>
          <w:highlight w:val="none"/>
        </w:rPr>
      </w:pPr>
    </w:p>
    <w:p w14:paraId="30B5AFFC">
      <w:pPr>
        <w:pStyle w:val="34"/>
        <w:spacing w:beforeAutospacing="0" w:afterAutospacing="0"/>
        <w:ind w:firstLine="240"/>
        <w:jc w:val="both"/>
        <w:rPr>
          <w:rFonts w:hint="eastAsia" w:ascii="宋体" w:hAnsi="宋体" w:eastAsia="宋体" w:cs="宋体"/>
          <w:color w:val="auto"/>
          <w:highlight w:val="none"/>
        </w:rPr>
      </w:pPr>
    </w:p>
    <w:p w14:paraId="2853C737">
      <w:pPr>
        <w:pStyle w:val="34"/>
        <w:spacing w:beforeAutospacing="0" w:afterAutospacing="0"/>
        <w:ind w:firstLine="240"/>
        <w:jc w:val="both"/>
        <w:rPr>
          <w:rFonts w:hint="eastAsia" w:ascii="宋体" w:hAnsi="宋体" w:eastAsia="宋体" w:cs="宋体"/>
          <w:color w:val="auto"/>
          <w:highlight w:val="none"/>
        </w:rPr>
      </w:pPr>
    </w:p>
    <w:p w14:paraId="1AA56ABA">
      <w:pPr>
        <w:pStyle w:val="34"/>
        <w:spacing w:beforeAutospacing="0" w:afterAutospacing="0"/>
        <w:ind w:firstLine="240"/>
        <w:jc w:val="both"/>
        <w:rPr>
          <w:rFonts w:hint="eastAsia" w:ascii="宋体" w:hAnsi="宋体" w:eastAsia="宋体" w:cs="宋体"/>
          <w:color w:val="auto"/>
          <w:highlight w:val="none"/>
        </w:rPr>
      </w:pPr>
    </w:p>
    <w:p w14:paraId="5C8C0431">
      <w:pPr>
        <w:pStyle w:val="34"/>
        <w:spacing w:beforeAutospacing="0" w:afterAutospacing="0"/>
        <w:ind w:firstLine="240"/>
        <w:jc w:val="both"/>
        <w:rPr>
          <w:rFonts w:hint="eastAsia" w:ascii="宋体" w:hAnsi="宋体" w:eastAsia="宋体" w:cs="宋体"/>
          <w:color w:val="auto"/>
          <w:highlight w:val="none"/>
        </w:rPr>
      </w:pPr>
    </w:p>
    <w:p w14:paraId="7D4EC539">
      <w:pPr>
        <w:pStyle w:val="34"/>
        <w:spacing w:beforeAutospacing="0" w:afterAutospacing="0"/>
        <w:ind w:firstLine="240"/>
        <w:jc w:val="both"/>
        <w:rPr>
          <w:rFonts w:hint="eastAsia" w:ascii="宋体" w:hAnsi="宋体" w:eastAsia="宋体" w:cs="宋体"/>
          <w:color w:val="auto"/>
          <w:highlight w:val="none"/>
        </w:rPr>
      </w:pPr>
    </w:p>
    <w:p w14:paraId="32BAEBE7">
      <w:pPr>
        <w:pStyle w:val="34"/>
        <w:spacing w:beforeAutospacing="0" w:afterAutospacing="0"/>
        <w:ind w:firstLine="240"/>
        <w:jc w:val="both"/>
        <w:rPr>
          <w:rFonts w:hint="eastAsia" w:ascii="宋体" w:hAnsi="宋体" w:eastAsia="宋体" w:cs="宋体"/>
          <w:color w:val="auto"/>
          <w:highlight w:val="none"/>
        </w:rPr>
      </w:pPr>
    </w:p>
    <w:p w14:paraId="108BBA57">
      <w:pPr>
        <w:pStyle w:val="34"/>
        <w:spacing w:beforeAutospacing="0" w:afterAutospacing="0"/>
        <w:ind w:firstLine="240"/>
        <w:jc w:val="both"/>
        <w:rPr>
          <w:rFonts w:hint="eastAsia" w:ascii="宋体" w:hAnsi="宋体" w:eastAsia="宋体" w:cs="宋体"/>
          <w:color w:val="auto"/>
          <w:highlight w:val="none"/>
        </w:rPr>
      </w:pPr>
    </w:p>
    <w:p w14:paraId="5F3D828A">
      <w:pPr>
        <w:pStyle w:val="34"/>
        <w:spacing w:beforeAutospacing="0" w:afterAutospacing="0"/>
        <w:ind w:firstLine="240"/>
        <w:jc w:val="both"/>
        <w:rPr>
          <w:rFonts w:hint="eastAsia" w:ascii="宋体" w:hAnsi="宋体" w:eastAsia="宋体" w:cs="宋体"/>
          <w:color w:val="auto"/>
          <w:highlight w:val="none"/>
        </w:rPr>
      </w:pPr>
    </w:p>
    <w:p w14:paraId="20263015">
      <w:pPr>
        <w:pStyle w:val="34"/>
        <w:spacing w:beforeAutospacing="0" w:afterAutospacing="0"/>
        <w:ind w:firstLine="240"/>
        <w:jc w:val="both"/>
        <w:rPr>
          <w:rFonts w:hint="eastAsia" w:ascii="宋体" w:hAnsi="宋体" w:eastAsia="宋体" w:cs="宋体"/>
          <w:color w:val="auto"/>
          <w:highlight w:val="none"/>
        </w:rPr>
      </w:pPr>
    </w:p>
    <w:p w14:paraId="587112EA">
      <w:pPr>
        <w:pStyle w:val="34"/>
        <w:spacing w:beforeAutospacing="0" w:afterAutospacing="0"/>
        <w:ind w:firstLine="240"/>
        <w:jc w:val="both"/>
        <w:rPr>
          <w:rFonts w:hint="eastAsia" w:ascii="宋体" w:hAnsi="宋体" w:eastAsia="宋体" w:cs="宋体"/>
          <w:color w:val="auto"/>
          <w:highlight w:val="none"/>
        </w:rPr>
      </w:pPr>
    </w:p>
    <w:p w14:paraId="41DA175B">
      <w:pPr>
        <w:pStyle w:val="34"/>
        <w:spacing w:beforeAutospacing="0" w:afterAutospacing="0"/>
        <w:ind w:firstLine="240"/>
        <w:jc w:val="both"/>
        <w:rPr>
          <w:rFonts w:hint="eastAsia" w:ascii="宋体" w:hAnsi="宋体" w:eastAsia="宋体" w:cs="宋体"/>
          <w:color w:val="auto"/>
          <w:highlight w:val="none"/>
        </w:rPr>
      </w:pPr>
    </w:p>
    <w:p w14:paraId="34A477AD">
      <w:pPr>
        <w:pStyle w:val="34"/>
        <w:spacing w:beforeAutospacing="0" w:afterAutospacing="0"/>
        <w:ind w:firstLine="240"/>
        <w:jc w:val="both"/>
        <w:rPr>
          <w:rFonts w:hint="eastAsia" w:ascii="宋体" w:hAnsi="宋体" w:eastAsia="宋体" w:cs="宋体"/>
          <w:color w:val="auto"/>
          <w:highlight w:val="none"/>
        </w:rPr>
      </w:pPr>
    </w:p>
    <w:p w14:paraId="3263C82B">
      <w:pPr>
        <w:pStyle w:val="34"/>
        <w:spacing w:beforeAutospacing="0" w:afterAutospacing="0"/>
        <w:ind w:firstLine="240"/>
        <w:jc w:val="both"/>
        <w:rPr>
          <w:rFonts w:hint="eastAsia" w:ascii="宋体" w:hAnsi="宋体" w:eastAsia="宋体" w:cs="宋体"/>
          <w:color w:val="auto"/>
          <w:highlight w:val="none"/>
        </w:rPr>
      </w:pPr>
    </w:p>
    <w:p w14:paraId="533B9DCF">
      <w:pPr>
        <w:pStyle w:val="34"/>
        <w:spacing w:beforeAutospacing="0" w:afterAutospacing="0"/>
        <w:ind w:firstLine="240"/>
        <w:jc w:val="both"/>
        <w:rPr>
          <w:rFonts w:hint="eastAsia" w:ascii="宋体" w:hAnsi="宋体" w:eastAsia="宋体" w:cs="宋体"/>
          <w:color w:val="auto"/>
          <w:highlight w:val="none"/>
        </w:rPr>
      </w:pPr>
    </w:p>
    <w:p w14:paraId="1AC0FCA8">
      <w:pPr>
        <w:pStyle w:val="34"/>
        <w:spacing w:beforeAutospacing="0" w:afterAutospacing="0"/>
        <w:ind w:firstLine="240"/>
        <w:jc w:val="both"/>
        <w:rPr>
          <w:rFonts w:hint="eastAsia" w:ascii="宋体" w:hAnsi="宋体" w:eastAsia="宋体" w:cs="宋体"/>
          <w:color w:val="auto"/>
          <w:highlight w:val="none"/>
        </w:rPr>
      </w:pPr>
    </w:p>
    <w:p w14:paraId="2DD4DE7A">
      <w:pPr>
        <w:pStyle w:val="34"/>
        <w:numPr>
          <w:ilvl w:val="0"/>
          <w:numId w:val="0"/>
        </w:numPr>
        <w:spacing w:beforeAutospacing="0" w:afterAutospacing="0"/>
        <w:ind w:left="0" w:leftChars="0" w:firstLine="321" w:firstLineChars="0"/>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lang w:val="en-US" w:eastAsia="zh-CN" w:bidi="ar-SA"/>
        </w:rPr>
        <w:t>十、</w:t>
      </w:r>
      <w:r>
        <w:rPr>
          <w:rFonts w:hint="eastAsia" w:ascii="宋体" w:hAnsi="宋体" w:eastAsia="宋体" w:cs="宋体"/>
          <w:b/>
          <w:color w:val="auto"/>
          <w:sz w:val="32"/>
          <w:szCs w:val="32"/>
          <w:highlight w:val="none"/>
        </w:rPr>
        <w:t>技术要求响应及偏离表</w:t>
      </w:r>
      <w:r>
        <w:rPr>
          <w:rFonts w:hint="eastAsia" w:ascii="宋体" w:hAnsi="宋体" w:eastAsia="宋体" w:cs="宋体"/>
          <w:b/>
          <w:color w:val="auto"/>
          <w:sz w:val="32"/>
          <w:szCs w:val="32"/>
          <w:highlight w:val="none"/>
          <w:lang w:eastAsia="zh-CN"/>
        </w:rPr>
        <w:t>（</w:t>
      </w:r>
      <w:r>
        <w:rPr>
          <w:rFonts w:hint="eastAsia" w:ascii="宋体" w:hAnsi="宋体" w:eastAsia="宋体" w:cs="宋体"/>
          <w:b/>
          <w:color w:val="auto"/>
          <w:sz w:val="32"/>
          <w:szCs w:val="32"/>
          <w:highlight w:val="none"/>
          <w:lang w:val="en-US" w:eastAsia="zh-CN"/>
        </w:rPr>
        <w:t>如有</w:t>
      </w:r>
      <w:r>
        <w:rPr>
          <w:rFonts w:hint="eastAsia" w:ascii="宋体" w:hAnsi="宋体" w:eastAsia="宋体" w:cs="宋体"/>
          <w:b/>
          <w:color w:val="auto"/>
          <w:sz w:val="32"/>
          <w:szCs w:val="32"/>
          <w:highlight w:val="none"/>
          <w:lang w:eastAsia="zh-CN"/>
        </w:rPr>
        <w:t>）</w:t>
      </w:r>
    </w:p>
    <w:p w14:paraId="571D2D72">
      <w:pPr>
        <w:pStyle w:val="34"/>
        <w:numPr>
          <w:ilvl w:val="0"/>
          <w:numId w:val="0"/>
        </w:numPr>
        <w:spacing w:beforeAutospacing="0" w:afterAutospacing="0"/>
        <w:ind w:left="321"/>
        <w:jc w:val="both"/>
        <w:rPr>
          <w:rFonts w:hint="eastAsia" w:ascii="宋体" w:hAnsi="宋体" w:eastAsia="宋体" w:cs="宋体"/>
          <w:b/>
          <w:color w:val="auto"/>
          <w:sz w:val="32"/>
          <w:szCs w:val="32"/>
          <w:highlight w:val="none"/>
        </w:rPr>
      </w:pPr>
    </w:p>
    <w:tbl>
      <w:tblPr>
        <w:tblStyle w:val="38"/>
        <w:tblW w:w="897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48"/>
        <w:gridCol w:w="3057"/>
        <w:gridCol w:w="2561"/>
        <w:gridCol w:w="1286"/>
        <w:gridCol w:w="1322"/>
      </w:tblGrid>
      <w:tr w14:paraId="02732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5" w:hRule="atLeast"/>
          <w:jc w:val="center"/>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C1AEAA">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序号</w:t>
            </w:r>
          </w:p>
        </w:tc>
        <w:tc>
          <w:tcPr>
            <w:tcW w:w="30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AF72CD">
            <w:pPr>
              <w:keepNext w:val="0"/>
              <w:keepLines w:val="0"/>
              <w:widowControl/>
              <w:suppressLineNumbers w:val="0"/>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lang w:val="en-US" w:eastAsia="zh-CN" w:bidi="ar"/>
              </w:rPr>
              <w:t>招标文件要求</w:t>
            </w:r>
          </w:p>
        </w:tc>
        <w:tc>
          <w:tcPr>
            <w:tcW w:w="25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753463">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投标响应情况</w:t>
            </w: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995DD9">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超出、符合或负偏离</w:t>
            </w: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4C7952">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证明材料</w:t>
            </w:r>
          </w:p>
        </w:tc>
      </w:tr>
      <w:tr w14:paraId="22593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8" w:hRule="atLeast"/>
          <w:jc w:val="center"/>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E05C10">
            <w:pPr>
              <w:pStyle w:val="34"/>
              <w:spacing w:beforeAutospacing="0" w:afterAutospacing="0"/>
              <w:ind w:firstLine="240" w:firstLineChars="0"/>
              <w:jc w:val="both"/>
              <w:rPr>
                <w:rFonts w:hint="eastAsia" w:ascii="宋体" w:hAnsi="宋体" w:eastAsia="宋体" w:cs="宋体"/>
                <w:i w:val="0"/>
                <w:iCs w:val="0"/>
                <w:color w:val="auto"/>
                <w:sz w:val="24"/>
                <w:szCs w:val="24"/>
                <w:u w:val="none"/>
                <w:lang w:val="en-US" w:eastAsia="zh-CN" w:bidi="ar"/>
              </w:rPr>
            </w:pPr>
          </w:p>
        </w:tc>
        <w:tc>
          <w:tcPr>
            <w:tcW w:w="30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9CF496">
            <w:pPr>
              <w:jc w:val="center"/>
              <w:rPr>
                <w:rFonts w:hint="eastAsia" w:ascii="宋体" w:hAnsi="宋体" w:eastAsia="宋体" w:cs="宋体"/>
                <w:i w:val="0"/>
                <w:iCs w:val="0"/>
                <w:color w:val="auto"/>
                <w:sz w:val="22"/>
                <w:szCs w:val="22"/>
                <w:u w:val="none"/>
                <w:lang w:val="en-US" w:eastAsia="zh-CN" w:bidi="ar"/>
              </w:rPr>
            </w:pPr>
          </w:p>
        </w:tc>
        <w:tc>
          <w:tcPr>
            <w:tcW w:w="25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7A6B66">
            <w:pPr>
              <w:pStyle w:val="34"/>
              <w:spacing w:beforeAutospacing="0" w:afterAutospacing="0"/>
              <w:ind w:firstLine="240" w:firstLineChars="0"/>
              <w:jc w:val="center"/>
              <w:rPr>
                <w:rFonts w:hint="eastAsia" w:ascii="宋体" w:hAnsi="宋体" w:eastAsia="宋体" w:cs="宋体"/>
                <w:i w:val="0"/>
                <w:iCs w:val="0"/>
                <w:color w:val="auto"/>
                <w:sz w:val="24"/>
                <w:szCs w:val="24"/>
                <w:u w:val="none"/>
                <w:lang w:val="en-US" w:eastAsia="zh-CN" w:bidi="ar"/>
              </w:rPr>
            </w:pP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A1E501">
            <w:pPr>
              <w:keepNext w:val="0"/>
              <w:keepLines w:val="0"/>
              <w:widowControl/>
              <w:suppressLineNumbers w:val="0"/>
              <w:jc w:val="center"/>
              <w:rPr>
                <w:rFonts w:hint="eastAsia" w:ascii="宋体" w:hAnsi="宋体" w:eastAsia="宋体" w:cs="宋体"/>
                <w:i w:val="0"/>
                <w:iCs w:val="0"/>
                <w:color w:val="auto"/>
                <w:sz w:val="24"/>
                <w:szCs w:val="24"/>
                <w:u w:val="none"/>
                <w:lang w:val="en-US" w:eastAsia="zh-CN" w:bidi="ar"/>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AB0C22">
            <w:pPr>
              <w:keepNext w:val="0"/>
              <w:keepLines w:val="0"/>
              <w:widowControl/>
              <w:suppressLineNumbers w:val="0"/>
              <w:jc w:val="center"/>
              <w:rPr>
                <w:rFonts w:hint="eastAsia" w:ascii="宋体" w:hAnsi="宋体" w:eastAsia="宋体" w:cs="宋体"/>
                <w:i w:val="0"/>
                <w:iCs w:val="0"/>
                <w:color w:val="auto"/>
                <w:sz w:val="24"/>
                <w:szCs w:val="24"/>
                <w:u w:val="none"/>
                <w:lang w:val="en-US" w:eastAsia="zh-CN" w:bidi="ar"/>
              </w:rPr>
            </w:pPr>
          </w:p>
        </w:tc>
      </w:tr>
      <w:tr w14:paraId="05902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 w:hRule="atLeast"/>
          <w:jc w:val="center"/>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BF02F0">
            <w:pPr>
              <w:pStyle w:val="34"/>
              <w:spacing w:beforeAutospacing="0" w:afterAutospacing="0"/>
              <w:jc w:val="center"/>
              <w:rPr>
                <w:rFonts w:hint="eastAsia" w:ascii="宋体" w:hAnsi="宋体" w:eastAsia="宋体" w:cs="宋体"/>
                <w:i w:val="0"/>
                <w:iCs w:val="0"/>
                <w:color w:val="auto"/>
                <w:sz w:val="24"/>
                <w:szCs w:val="24"/>
                <w:u w:val="none"/>
                <w:lang w:val="en-US" w:eastAsia="zh-CN"/>
              </w:rPr>
            </w:pPr>
          </w:p>
        </w:tc>
        <w:tc>
          <w:tcPr>
            <w:tcW w:w="3057"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F730177">
            <w:pPr>
              <w:spacing w:after="0" w:line="240" w:lineRule="auto"/>
              <w:rPr>
                <w:rFonts w:hint="eastAsia" w:ascii="宋体" w:hAnsi="宋体" w:eastAsia="宋体" w:cs="宋体"/>
                <w:b w:val="0"/>
                <w:bCs w:val="0"/>
                <w:i w:val="0"/>
                <w:iCs w:val="0"/>
                <w:color w:val="auto"/>
                <w:sz w:val="21"/>
                <w:szCs w:val="24"/>
                <w:u w:val="none"/>
                <w:lang w:val="en-US" w:eastAsia="zh-CN" w:bidi="ar-SA"/>
              </w:rPr>
            </w:pPr>
          </w:p>
        </w:tc>
        <w:tc>
          <w:tcPr>
            <w:tcW w:w="2561"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6CC1BCA">
            <w:pPr>
              <w:spacing w:after="0" w:line="240" w:lineRule="auto"/>
              <w:rPr>
                <w:rFonts w:hint="eastAsia" w:ascii="宋体" w:hAnsi="宋体" w:eastAsia="宋体" w:cs="宋体"/>
                <w:i w:val="0"/>
                <w:iCs w:val="0"/>
                <w:color w:val="auto"/>
                <w:sz w:val="24"/>
                <w:szCs w:val="24"/>
                <w:u w:val="none"/>
              </w:rPr>
            </w:pP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D4F15F">
            <w:pPr>
              <w:jc w:val="center"/>
              <w:rPr>
                <w:rFonts w:hint="eastAsia" w:ascii="宋体" w:hAnsi="宋体" w:eastAsia="宋体" w:cs="宋体"/>
                <w:i w:val="0"/>
                <w:iCs w:val="0"/>
                <w:color w:val="auto"/>
                <w:sz w:val="24"/>
                <w:szCs w:val="24"/>
                <w:u w:val="none"/>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6A2AE9">
            <w:pPr>
              <w:jc w:val="center"/>
              <w:rPr>
                <w:rFonts w:hint="eastAsia" w:ascii="宋体" w:hAnsi="宋体" w:eastAsia="宋体" w:cs="宋体"/>
                <w:i w:val="0"/>
                <w:iCs w:val="0"/>
                <w:color w:val="auto"/>
                <w:sz w:val="24"/>
                <w:szCs w:val="24"/>
                <w:u w:val="none"/>
              </w:rPr>
            </w:pPr>
          </w:p>
        </w:tc>
      </w:tr>
      <w:tr w14:paraId="68DC50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8" w:hRule="atLeast"/>
          <w:jc w:val="center"/>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F3D3CC">
            <w:pPr>
              <w:pStyle w:val="34"/>
              <w:spacing w:beforeAutospacing="0" w:afterAutospacing="0"/>
              <w:jc w:val="center"/>
              <w:rPr>
                <w:rFonts w:hint="eastAsia" w:ascii="宋体" w:hAnsi="宋体" w:eastAsia="宋体" w:cs="宋体"/>
                <w:i w:val="0"/>
                <w:iCs w:val="0"/>
                <w:color w:val="auto"/>
                <w:sz w:val="24"/>
                <w:szCs w:val="24"/>
                <w:u w:val="none"/>
                <w:lang w:val="en-US" w:eastAsia="zh-CN"/>
              </w:rPr>
            </w:pPr>
          </w:p>
        </w:tc>
        <w:tc>
          <w:tcPr>
            <w:tcW w:w="30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C87DEA">
            <w:pPr>
              <w:rPr>
                <w:rFonts w:hint="eastAsia" w:ascii="宋体" w:hAnsi="宋体" w:eastAsia="宋体" w:cs="宋体"/>
                <w:b w:val="0"/>
                <w:bCs w:val="0"/>
                <w:i w:val="0"/>
                <w:iCs w:val="0"/>
                <w:color w:val="auto"/>
                <w:sz w:val="21"/>
                <w:szCs w:val="24"/>
                <w:u w:val="none"/>
                <w:lang w:val="en-US" w:eastAsia="zh-CN" w:bidi="ar-SA"/>
              </w:rPr>
            </w:pPr>
          </w:p>
        </w:tc>
        <w:tc>
          <w:tcPr>
            <w:tcW w:w="25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611432">
            <w:pPr>
              <w:pStyle w:val="34"/>
              <w:spacing w:beforeAutospacing="0" w:afterAutospacing="0"/>
              <w:ind w:firstLine="240" w:firstLineChars="0"/>
              <w:jc w:val="center"/>
              <w:rPr>
                <w:rFonts w:hint="eastAsia" w:ascii="宋体" w:hAnsi="宋体" w:eastAsia="宋体" w:cs="宋体"/>
                <w:i w:val="0"/>
                <w:iCs w:val="0"/>
                <w:color w:val="auto"/>
                <w:sz w:val="24"/>
                <w:szCs w:val="24"/>
                <w:u w:val="none"/>
              </w:rPr>
            </w:pP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203797">
            <w:pPr>
              <w:jc w:val="center"/>
              <w:rPr>
                <w:rFonts w:hint="eastAsia" w:ascii="宋体" w:hAnsi="宋体" w:eastAsia="宋体" w:cs="宋体"/>
                <w:i w:val="0"/>
                <w:iCs w:val="0"/>
                <w:color w:val="auto"/>
                <w:sz w:val="24"/>
                <w:szCs w:val="24"/>
                <w:u w:val="none"/>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E8969E">
            <w:pPr>
              <w:jc w:val="center"/>
              <w:rPr>
                <w:rFonts w:hint="eastAsia" w:ascii="宋体" w:hAnsi="宋体" w:eastAsia="宋体" w:cs="宋体"/>
                <w:i w:val="0"/>
                <w:iCs w:val="0"/>
                <w:color w:val="auto"/>
                <w:sz w:val="24"/>
                <w:szCs w:val="24"/>
                <w:u w:val="none"/>
              </w:rPr>
            </w:pPr>
          </w:p>
        </w:tc>
      </w:tr>
      <w:tr w14:paraId="77CFD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 w:hRule="atLeast"/>
          <w:jc w:val="center"/>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5FE85D">
            <w:pPr>
              <w:pStyle w:val="34"/>
              <w:spacing w:beforeAutospacing="0" w:afterAutospacing="0"/>
              <w:ind w:firstLine="240" w:firstLineChars="0"/>
              <w:jc w:val="center"/>
              <w:rPr>
                <w:rFonts w:hint="eastAsia" w:ascii="宋体" w:hAnsi="宋体" w:eastAsia="宋体" w:cs="宋体"/>
                <w:i w:val="0"/>
                <w:iCs w:val="0"/>
                <w:color w:val="auto"/>
                <w:sz w:val="24"/>
                <w:szCs w:val="24"/>
                <w:u w:val="none"/>
                <w:lang w:val="en-US" w:eastAsia="zh-CN"/>
              </w:rPr>
            </w:pPr>
          </w:p>
        </w:tc>
        <w:tc>
          <w:tcPr>
            <w:tcW w:w="30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524898">
            <w:pPr>
              <w:jc w:val="center"/>
              <w:rPr>
                <w:rFonts w:hint="eastAsia" w:ascii="宋体" w:hAnsi="宋体" w:eastAsia="宋体" w:cs="宋体"/>
                <w:b w:val="0"/>
                <w:bCs w:val="0"/>
                <w:i w:val="0"/>
                <w:iCs w:val="0"/>
                <w:color w:val="auto"/>
                <w:sz w:val="21"/>
                <w:szCs w:val="24"/>
                <w:u w:val="none"/>
                <w:lang w:val="en-US" w:eastAsia="zh-CN" w:bidi="ar-SA"/>
              </w:rPr>
            </w:pPr>
          </w:p>
        </w:tc>
        <w:tc>
          <w:tcPr>
            <w:tcW w:w="25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B9435E">
            <w:pPr>
              <w:jc w:val="center"/>
              <w:rPr>
                <w:rFonts w:hint="eastAsia" w:ascii="宋体" w:hAnsi="宋体" w:eastAsia="宋体" w:cs="宋体"/>
                <w:i w:val="0"/>
                <w:iCs w:val="0"/>
                <w:color w:val="auto"/>
                <w:sz w:val="24"/>
                <w:szCs w:val="24"/>
                <w:u w:val="none"/>
              </w:rPr>
            </w:pP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B051E2">
            <w:pPr>
              <w:jc w:val="center"/>
              <w:rPr>
                <w:rFonts w:hint="eastAsia" w:ascii="宋体" w:hAnsi="宋体" w:eastAsia="宋体" w:cs="宋体"/>
                <w:i w:val="0"/>
                <w:iCs w:val="0"/>
                <w:color w:val="auto"/>
                <w:sz w:val="24"/>
                <w:szCs w:val="24"/>
                <w:u w:val="none"/>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02EACC">
            <w:pPr>
              <w:jc w:val="center"/>
              <w:rPr>
                <w:rFonts w:hint="eastAsia" w:ascii="宋体" w:hAnsi="宋体" w:eastAsia="宋体" w:cs="宋体"/>
                <w:i w:val="0"/>
                <w:iCs w:val="0"/>
                <w:color w:val="auto"/>
                <w:sz w:val="24"/>
                <w:szCs w:val="24"/>
                <w:u w:val="none"/>
              </w:rPr>
            </w:pPr>
          </w:p>
        </w:tc>
      </w:tr>
      <w:tr w14:paraId="7A19E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 w:hRule="atLeast"/>
          <w:jc w:val="center"/>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3AEC63">
            <w:pPr>
              <w:pStyle w:val="34"/>
              <w:spacing w:beforeAutospacing="0" w:afterAutospacing="0"/>
              <w:jc w:val="center"/>
              <w:rPr>
                <w:rFonts w:hint="eastAsia" w:ascii="宋体" w:hAnsi="宋体" w:eastAsia="宋体" w:cs="宋体"/>
                <w:i w:val="0"/>
                <w:iCs w:val="0"/>
                <w:color w:val="auto"/>
                <w:sz w:val="24"/>
                <w:szCs w:val="24"/>
                <w:u w:val="none"/>
                <w:lang w:val="en-US" w:eastAsia="zh-CN"/>
              </w:rPr>
            </w:pPr>
          </w:p>
        </w:tc>
        <w:tc>
          <w:tcPr>
            <w:tcW w:w="30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7EEB4C">
            <w:pPr>
              <w:jc w:val="center"/>
              <w:rPr>
                <w:rFonts w:hint="eastAsia" w:ascii="宋体" w:hAnsi="宋体" w:eastAsia="宋体" w:cs="宋体"/>
                <w:b w:val="0"/>
                <w:bCs w:val="0"/>
                <w:i w:val="0"/>
                <w:iCs w:val="0"/>
                <w:color w:val="auto"/>
                <w:sz w:val="21"/>
                <w:szCs w:val="24"/>
                <w:u w:val="none"/>
                <w:lang w:val="en-US" w:eastAsia="zh-CN" w:bidi="ar-SA"/>
              </w:rPr>
            </w:pPr>
          </w:p>
        </w:tc>
        <w:tc>
          <w:tcPr>
            <w:tcW w:w="25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E31EFF">
            <w:pPr>
              <w:pStyle w:val="34"/>
              <w:spacing w:beforeAutospacing="0" w:afterAutospacing="0"/>
              <w:ind w:firstLine="240" w:firstLineChars="0"/>
              <w:jc w:val="center"/>
              <w:rPr>
                <w:rFonts w:hint="eastAsia" w:ascii="宋体" w:hAnsi="宋体" w:eastAsia="宋体" w:cs="宋体"/>
                <w:i w:val="0"/>
                <w:iCs w:val="0"/>
                <w:color w:val="auto"/>
                <w:sz w:val="24"/>
                <w:szCs w:val="24"/>
                <w:u w:val="none"/>
              </w:rPr>
            </w:pP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4C37E9">
            <w:pPr>
              <w:jc w:val="center"/>
              <w:rPr>
                <w:rFonts w:hint="eastAsia" w:ascii="宋体" w:hAnsi="宋体" w:eastAsia="宋体" w:cs="宋体"/>
                <w:i w:val="0"/>
                <w:iCs w:val="0"/>
                <w:color w:val="auto"/>
                <w:sz w:val="24"/>
                <w:szCs w:val="24"/>
                <w:u w:val="none"/>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BCE758">
            <w:pPr>
              <w:jc w:val="center"/>
              <w:rPr>
                <w:rFonts w:hint="eastAsia" w:ascii="宋体" w:hAnsi="宋体" w:eastAsia="宋体" w:cs="宋体"/>
                <w:i w:val="0"/>
                <w:iCs w:val="0"/>
                <w:color w:val="auto"/>
                <w:sz w:val="24"/>
                <w:szCs w:val="24"/>
                <w:u w:val="none"/>
              </w:rPr>
            </w:pPr>
          </w:p>
        </w:tc>
      </w:tr>
      <w:tr w14:paraId="18528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8" w:hRule="atLeast"/>
          <w:jc w:val="center"/>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3F8BD5">
            <w:pPr>
              <w:pStyle w:val="34"/>
              <w:spacing w:beforeAutospacing="0" w:afterAutospacing="0"/>
              <w:jc w:val="center"/>
              <w:rPr>
                <w:rFonts w:hint="eastAsia" w:ascii="宋体" w:hAnsi="宋体" w:eastAsia="宋体" w:cs="宋体"/>
                <w:i w:val="0"/>
                <w:iCs w:val="0"/>
                <w:color w:val="auto"/>
                <w:sz w:val="24"/>
                <w:szCs w:val="24"/>
                <w:u w:val="none"/>
                <w:lang w:val="en-US" w:eastAsia="zh-CN"/>
              </w:rPr>
            </w:pPr>
          </w:p>
        </w:tc>
        <w:tc>
          <w:tcPr>
            <w:tcW w:w="30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1D5FBE">
            <w:pPr>
              <w:jc w:val="center"/>
              <w:rPr>
                <w:rFonts w:hint="eastAsia" w:ascii="宋体" w:hAnsi="宋体" w:eastAsia="宋体" w:cs="宋体"/>
                <w:color w:val="auto"/>
              </w:rPr>
            </w:pPr>
          </w:p>
        </w:tc>
        <w:tc>
          <w:tcPr>
            <w:tcW w:w="25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7D053A">
            <w:pPr>
              <w:pStyle w:val="34"/>
              <w:spacing w:beforeAutospacing="0" w:afterAutospacing="0"/>
              <w:ind w:firstLine="240" w:firstLineChars="0"/>
              <w:jc w:val="center"/>
              <w:rPr>
                <w:rFonts w:hint="eastAsia" w:ascii="宋体" w:hAnsi="宋体" w:eastAsia="宋体" w:cs="宋体"/>
                <w:i w:val="0"/>
                <w:iCs w:val="0"/>
                <w:color w:val="auto"/>
                <w:sz w:val="24"/>
                <w:szCs w:val="24"/>
                <w:u w:val="none"/>
              </w:rPr>
            </w:pP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ACAF75">
            <w:pPr>
              <w:jc w:val="center"/>
              <w:rPr>
                <w:rFonts w:hint="eastAsia" w:ascii="宋体" w:hAnsi="宋体" w:eastAsia="宋体" w:cs="宋体"/>
                <w:i w:val="0"/>
                <w:iCs w:val="0"/>
                <w:color w:val="auto"/>
                <w:sz w:val="24"/>
                <w:szCs w:val="24"/>
                <w:u w:val="none"/>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F42BB7">
            <w:pPr>
              <w:jc w:val="center"/>
              <w:rPr>
                <w:rFonts w:hint="eastAsia" w:ascii="宋体" w:hAnsi="宋体" w:eastAsia="宋体" w:cs="宋体"/>
                <w:i w:val="0"/>
                <w:iCs w:val="0"/>
                <w:color w:val="auto"/>
                <w:sz w:val="24"/>
                <w:szCs w:val="24"/>
                <w:u w:val="none"/>
              </w:rPr>
            </w:pPr>
          </w:p>
        </w:tc>
      </w:tr>
      <w:tr w14:paraId="563F4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8" w:hRule="atLeast"/>
          <w:jc w:val="center"/>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EF016A">
            <w:pPr>
              <w:pStyle w:val="34"/>
              <w:spacing w:beforeAutospacing="0" w:afterAutospacing="0"/>
              <w:ind w:firstLine="240" w:firstLineChars="0"/>
              <w:jc w:val="both"/>
              <w:rPr>
                <w:rFonts w:hint="eastAsia" w:ascii="宋体" w:hAnsi="宋体" w:eastAsia="宋体" w:cs="宋体"/>
                <w:i w:val="0"/>
                <w:iCs w:val="0"/>
                <w:color w:val="auto"/>
                <w:sz w:val="24"/>
                <w:szCs w:val="24"/>
                <w:u w:val="none"/>
                <w:lang w:val="en-US" w:eastAsia="zh-CN"/>
              </w:rPr>
            </w:pPr>
          </w:p>
        </w:tc>
        <w:tc>
          <w:tcPr>
            <w:tcW w:w="30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55AFB0">
            <w:pPr>
              <w:jc w:val="center"/>
              <w:rPr>
                <w:rFonts w:hint="eastAsia" w:ascii="宋体" w:hAnsi="宋体" w:eastAsia="宋体" w:cs="宋体"/>
                <w:color w:val="auto"/>
                <w:sz w:val="21"/>
                <w:szCs w:val="24"/>
                <w:lang w:val="en-US" w:eastAsia="zh-CN" w:bidi="ar-SA"/>
              </w:rPr>
            </w:pPr>
          </w:p>
        </w:tc>
        <w:tc>
          <w:tcPr>
            <w:tcW w:w="25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3F3C58">
            <w:pPr>
              <w:pStyle w:val="34"/>
              <w:spacing w:beforeAutospacing="0" w:afterAutospacing="0"/>
              <w:ind w:firstLine="240" w:firstLineChars="0"/>
              <w:jc w:val="center"/>
              <w:rPr>
                <w:rFonts w:hint="eastAsia" w:ascii="宋体" w:hAnsi="宋体" w:eastAsia="宋体" w:cs="宋体"/>
                <w:i w:val="0"/>
                <w:iCs w:val="0"/>
                <w:color w:val="auto"/>
                <w:sz w:val="24"/>
                <w:szCs w:val="24"/>
                <w:u w:val="none"/>
              </w:rPr>
            </w:pP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FC47C3">
            <w:pPr>
              <w:jc w:val="center"/>
              <w:rPr>
                <w:rFonts w:hint="eastAsia" w:ascii="宋体" w:hAnsi="宋体" w:eastAsia="宋体" w:cs="宋体"/>
                <w:i w:val="0"/>
                <w:iCs w:val="0"/>
                <w:color w:val="auto"/>
                <w:sz w:val="24"/>
                <w:szCs w:val="24"/>
                <w:u w:val="none"/>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AD26E6">
            <w:pPr>
              <w:jc w:val="center"/>
              <w:rPr>
                <w:rFonts w:hint="eastAsia" w:ascii="宋体" w:hAnsi="宋体" w:eastAsia="宋体" w:cs="宋体"/>
                <w:i w:val="0"/>
                <w:iCs w:val="0"/>
                <w:color w:val="auto"/>
                <w:sz w:val="24"/>
                <w:szCs w:val="24"/>
                <w:u w:val="none"/>
              </w:rPr>
            </w:pPr>
          </w:p>
        </w:tc>
      </w:tr>
      <w:tr w14:paraId="6A2BA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 w:hRule="atLeast"/>
          <w:jc w:val="center"/>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32350C">
            <w:pPr>
              <w:jc w:val="center"/>
              <w:rPr>
                <w:rFonts w:hint="default" w:ascii="宋体" w:hAnsi="宋体" w:eastAsia="宋体" w:cs="宋体"/>
                <w:b w:val="0"/>
                <w:bCs w:val="0"/>
                <w:i w:val="0"/>
                <w:iCs w:val="0"/>
                <w:color w:val="auto"/>
                <w:sz w:val="24"/>
                <w:szCs w:val="24"/>
                <w:u w:val="none"/>
                <w:lang w:val="en-US" w:eastAsia="zh-CN"/>
              </w:rPr>
            </w:pPr>
          </w:p>
        </w:tc>
        <w:tc>
          <w:tcPr>
            <w:tcW w:w="30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BF33FF">
            <w:pPr>
              <w:jc w:val="left"/>
              <w:rPr>
                <w:rFonts w:hint="eastAsia" w:ascii="宋体" w:hAnsi="宋体" w:eastAsia="宋体" w:cs="宋体"/>
                <w:b w:val="0"/>
                <w:bCs w:val="0"/>
                <w:i w:val="0"/>
                <w:iCs w:val="0"/>
                <w:color w:val="auto"/>
                <w:sz w:val="21"/>
                <w:szCs w:val="24"/>
                <w:u w:val="none"/>
                <w:lang w:val="en-US" w:eastAsia="zh-CN" w:bidi="ar-SA"/>
              </w:rPr>
            </w:pPr>
          </w:p>
        </w:tc>
        <w:tc>
          <w:tcPr>
            <w:tcW w:w="25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118FF3">
            <w:pPr>
              <w:jc w:val="center"/>
              <w:rPr>
                <w:rFonts w:hint="eastAsia" w:ascii="宋体" w:hAnsi="宋体" w:eastAsia="宋体" w:cs="宋体"/>
                <w:i w:val="0"/>
                <w:iCs w:val="0"/>
                <w:color w:val="auto"/>
                <w:sz w:val="24"/>
                <w:szCs w:val="24"/>
                <w:u w:val="none"/>
              </w:rPr>
            </w:pP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E81A07">
            <w:pPr>
              <w:jc w:val="center"/>
              <w:rPr>
                <w:rFonts w:hint="eastAsia" w:ascii="宋体" w:hAnsi="宋体" w:eastAsia="宋体" w:cs="宋体"/>
                <w:i w:val="0"/>
                <w:iCs w:val="0"/>
                <w:color w:val="auto"/>
                <w:sz w:val="24"/>
                <w:szCs w:val="24"/>
                <w:u w:val="none"/>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ED23E2">
            <w:pPr>
              <w:jc w:val="center"/>
              <w:rPr>
                <w:rFonts w:hint="eastAsia" w:ascii="宋体" w:hAnsi="宋体" w:eastAsia="宋体" w:cs="宋体"/>
                <w:i w:val="0"/>
                <w:iCs w:val="0"/>
                <w:color w:val="auto"/>
                <w:sz w:val="24"/>
                <w:szCs w:val="24"/>
                <w:u w:val="none"/>
              </w:rPr>
            </w:pPr>
          </w:p>
        </w:tc>
      </w:tr>
      <w:tr w14:paraId="5A5DD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8" w:hRule="atLeast"/>
          <w:jc w:val="center"/>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8D0C4F">
            <w:pPr>
              <w:keepNext w:val="0"/>
              <w:keepLines w:val="0"/>
              <w:widowControl/>
              <w:suppressLineNumbers w:val="0"/>
              <w:jc w:val="center"/>
              <w:rPr>
                <w:rFonts w:hint="default" w:ascii="宋体" w:hAnsi="宋体" w:eastAsia="宋体" w:cs="宋体"/>
                <w:b w:val="0"/>
                <w:bCs w:val="0"/>
                <w:i w:val="0"/>
                <w:iCs w:val="0"/>
                <w:color w:val="auto"/>
                <w:sz w:val="21"/>
                <w:szCs w:val="24"/>
                <w:u w:val="none"/>
                <w:lang w:val="en-US" w:eastAsia="zh-CN" w:bidi="ar-SA"/>
              </w:rPr>
            </w:pPr>
          </w:p>
        </w:tc>
        <w:tc>
          <w:tcPr>
            <w:tcW w:w="30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7AF653">
            <w:pPr>
              <w:keepNext w:val="0"/>
              <w:keepLines w:val="0"/>
              <w:widowControl/>
              <w:suppressLineNumbers w:val="0"/>
              <w:jc w:val="center"/>
              <w:rPr>
                <w:rFonts w:hint="eastAsia" w:ascii="宋体" w:hAnsi="宋体" w:eastAsia="宋体" w:cs="宋体"/>
                <w:b/>
                <w:bCs/>
                <w:i w:val="0"/>
                <w:iCs w:val="0"/>
                <w:color w:val="auto"/>
                <w:sz w:val="21"/>
                <w:szCs w:val="24"/>
                <w:u w:val="none"/>
                <w:lang w:val="en-US" w:eastAsia="zh-CN" w:bidi="ar-SA"/>
              </w:rPr>
            </w:pPr>
          </w:p>
        </w:tc>
        <w:tc>
          <w:tcPr>
            <w:tcW w:w="25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27122C">
            <w:pPr>
              <w:jc w:val="center"/>
              <w:rPr>
                <w:rFonts w:hint="eastAsia" w:ascii="宋体" w:hAnsi="宋体" w:eastAsia="宋体" w:cs="宋体"/>
                <w:i w:val="0"/>
                <w:iCs w:val="0"/>
                <w:color w:val="auto"/>
                <w:sz w:val="24"/>
                <w:szCs w:val="24"/>
                <w:u w:val="none"/>
              </w:rPr>
            </w:pP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AA07EC">
            <w:pPr>
              <w:jc w:val="center"/>
              <w:rPr>
                <w:rFonts w:hint="eastAsia" w:ascii="宋体" w:hAnsi="宋体" w:eastAsia="宋体" w:cs="宋体"/>
                <w:i w:val="0"/>
                <w:iCs w:val="0"/>
                <w:color w:val="auto"/>
                <w:sz w:val="24"/>
                <w:szCs w:val="24"/>
                <w:u w:val="none"/>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CDC724">
            <w:pPr>
              <w:jc w:val="center"/>
              <w:rPr>
                <w:rFonts w:hint="eastAsia" w:ascii="宋体" w:hAnsi="宋体" w:eastAsia="宋体" w:cs="宋体"/>
                <w:i w:val="0"/>
                <w:iCs w:val="0"/>
                <w:color w:val="auto"/>
                <w:sz w:val="24"/>
                <w:szCs w:val="24"/>
                <w:u w:val="none"/>
              </w:rPr>
            </w:pPr>
          </w:p>
        </w:tc>
      </w:tr>
      <w:tr w14:paraId="08856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8" w:hRule="atLeast"/>
          <w:jc w:val="center"/>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643A82">
            <w:pPr>
              <w:keepNext w:val="0"/>
              <w:keepLines w:val="0"/>
              <w:widowControl/>
              <w:suppressLineNumbers w:val="0"/>
              <w:jc w:val="center"/>
              <w:rPr>
                <w:rFonts w:hint="default" w:ascii="宋体" w:hAnsi="宋体" w:eastAsia="宋体" w:cs="宋体"/>
                <w:b w:val="0"/>
                <w:bCs w:val="0"/>
                <w:i w:val="0"/>
                <w:iCs w:val="0"/>
                <w:color w:val="auto"/>
                <w:sz w:val="21"/>
                <w:szCs w:val="24"/>
                <w:u w:val="none"/>
                <w:lang w:val="en-US" w:eastAsia="zh-CN" w:bidi="ar-SA"/>
              </w:rPr>
            </w:pPr>
          </w:p>
        </w:tc>
        <w:tc>
          <w:tcPr>
            <w:tcW w:w="30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ADB87F">
            <w:pPr>
              <w:keepNext w:val="0"/>
              <w:keepLines w:val="0"/>
              <w:widowControl/>
              <w:suppressLineNumbers w:val="0"/>
              <w:jc w:val="center"/>
              <w:rPr>
                <w:rFonts w:hint="eastAsia" w:ascii="宋体" w:hAnsi="宋体" w:eastAsia="宋体" w:cs="宋体"/>
                <w:b/>
                <w:bCs/>
                <w:i w:val="0"/>
                <w:iCs w:val="0"/>
                <w:color w:val="auto"/>
                <w:sz w:val="21"/>
                <w:szCs w:val="24"/>
                <w:u w:val="none"/>
                <w:lang w:val="en-US" w:eastAsia="zh-CN" w:bidi="ar-SA"/>
              </w:rPr>
            </w:pPr>
          </w:p>
        </w:tc>
        <w:tc>
          <w:tcPr>
            <w:tcW w:w="25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EA107C">
            <w:pPr>
              <w:jc w:val="center"/>
              <w:rPr>
                <w:rFonts w:hint="eastAsia" w:ascii="宋体" w:hAnsi="宋体" w:eastAsia="宋体" w:cs="宋体"/>
                <w:i w:val="0"/>
                <w:iCs w:val="0"/>
                <w:color w:val="auto"/>
                <w:sz w:val="24"/>
                <w:szCs w:val="24"/>
                <w:u w:val="none"/>
              </w:rPr>
            </w:pP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A0C154">
            <w:pPr>
              <w:jc w:val="center"/>
              <w:rPr>
                <w:rFonts w:hint="eastAsia" w:ascii="宋体" w:hAnsi="宋体" w:eastAsia="宋体" w:cs="宋体"/>
                <w:i w:val="0"/>
                <w:iCs w:val="0"/>
                <w:color w:val="auto"/>
                <w:sz w:val="24"/>
                <w:szCs w:val="24"/>
                <w:u w:val="none"/>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614DCF">
            <w:pPr>
              <w:jc w:val="center"/>
              <w:rPr>
                <w:rFonts w:hint="default" w:ascii="宋体" w:hAnsi="宋体" w:eastAsia="宋体" w:cs="宋体"/>
                <w:i w:val="0"/>
                <w:iCs w:val="0"/>
                <w:color w:val="auto"/>
                <w:sz w:val="24"/>
                <w:szCs w:val="24"/>
                <w:u w:val="none"/>
                <w:lang w:val="en-US"/>
              </w:rPr>
            </w:pPr>
          </w:p>
        </w:tc>
      </w:tr>
      <w:tr w14:paraId="23E98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8" w:hRule="atLeast"/>
          <w:jc w:val="center"/>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27D340">
            <w:pPr>
              <w:keepNext w:val="0"/>
              <w:keepLines w:val="0"/>
              <w:widowControl/>
              <w:suppressLineNumbers w:val="0"/>
              <w:jc w:val="center"/>
              <w:rPr>
                <w:rFonts w:hint="eastAsia" w:ascii="宋体" w:hAnsi="宋体" w:eastAsia="宋体" w:cs="宋体"/>
                <w:b w:val="0"/>
                <w:bCs w:val="0"/>
                <w:i w:val="0"/>
                <w:iCs w:val="0"/>
                <w:color w:val="auto"/>
                <w:sz w:val="21"/>
                <w:szCs w:val="24"/>
                <w:u w:val="none"/>
                <w:lang w:val="en-US" w:eastAsia="zh-CN" w:bidi="ar-SA"/>
              </w:rPr>
            </w:pPr>
          </w:p>
        </w:tc>
        <w:tc>
          <w:tcPr>
            <w:tcW w:w="30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5A31E3">
            <w:pPr>
              <w:jc w:val="center"/>
              <w:rPr>
                <w:rFonts w:hint="eastAsia" w:ascii="宋体" w:hAnsi="宋体" w:eastAsia="宋体" w:cs="宋体"/>
                <w:color w:val="auto"/>
                <w:sz w:val="21"/>
                <w:szCs w:val="24"/>
                <w:lang w:val="en-US" w:eastAsia="zh-CN" w:bidi="ar-SA"/>
              </w:rPr>
            </w:pPr>
          </w:p>
        </w:tc>
        <w:tc>
          <w:tcPr>
            <w:tcW w:w="25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94FF58">
            <w:pPr>
              <w:jc w:val="center"/>
              <w:rPr>
                <w:rFonts w:hint="eastAsia" w:ascii="宋体" w:hAnsi="宋体" w:eastAsia="宋体" w:cs="宋体"/>
                <w:i w:val="0"/>
                <w:iCs w:val="0"/>
                <w:color w:val="auto"/>
                <w:sz w:val="24"/>
                <w:szCs w:val="24"/>
                <w:u w:val="none"/>
              </w:rPr>
            </w:pP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E17707">
            <w:pPr>
              <w:jc w:val="center"/>
              <w:rPr>
                <w:rFonts w:hint="eastAsia" w:ascii="宋体" w:hAnsi="宋体" w:eastAsia="宋体" w:cs="宋体"/>
                <w:i w:val="0"/>
                <w:iCs w:val="0"/>
                <w:color w:val="auto"/>
                <w:sz w:val="24"/>
                <w:szCs w:val="24"/>
                <w:u w:val="none"/>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4420A1">
            <w:pPr>
              <w:jc w:val="center"/>
              <w:rPr>
                <w:rFonts w:hint="eastAsia" w:ascii="宋体" w:hAnsi="宋体" w:eastAsia="宋体" w:cs="宋体"/>
                <w:i w:val="0"/>
                <w:iCs w:val="0"/>
                <w:color w:val="auto"/>
                <w:sz w:val="24"/>
                <w:szCs w:val="24"/>
                <w:u w:val="none"/>
              </w:rPr>
            </w:pPr>
          </w:p>
        </w:tc>
      </w:tr>
      <w:tr w14:paraId="09ABF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 w:hRule="atLeast"/>
          <w:jc w:val="center"/>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AEC553">
            <w:pPr>
              <w:keepNext w:val="0"/>
              <w:keepLines w:val="0"/>
              <w:widowControl/>
              <w:suppressLineNumbers w:val="0"/>
              <w:jc w:val="center"/>
              <w:rPr>
                <w:rFonts w:hint="default" w:ascii="宋体" w:hAnsi="宋体" w:eastAsia="宋体" w:cs="宋体"/>
                <w:b w:val="0"/>
                <w:bCs w:val="0"/>
                <w:i w:val="0"/>
                <w:iCs w:val="0"/>
                <w:color w:val="auto"/>
                <w:sz w:val="21"/>
                <w:szCs w:val="24"/>
                <w:u w:val="none"/>
                <w:lang w:val="en-US" w:eastAsia="zh-CN" w:bidi="ar-SA"/>
              </w:rPr>
            </w:pPr>
          </w:p>
        </w:tc>
        <w:tc>
          <w:tcPr>
            <w:tcW w:w="3057"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53CF94F">
            <w:pPr>
              <w:jc w:val="center"/>
              <w:rPr>
                <w:rFonts w:hint="eastAsia" w:ascii="宋体" w:hAnsi="宋体" w:eastAsia="宋体" w:cs="宋体"/>
                <w:b/>
                <w:bCs/>
                <w:color w:val="auto"/>
                <w:lang w:val="en-US" w:eastAsia="zh-CN"/>
              </w:rPr>
            </w:pPr>
          </w:p>
        </w:tc>
        <w:tc>
          <w:tcPr>
            <w:tcW w:w="25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186A58">
            <w:pPr>
              <w:jc w:val="center"/>
              <w:rPr>
                <w:rFonts w:hint="eastAsia" w:ascii="宋体" w:hAnsi="宋体" w:eastAsia="宋体" w:cs="宋体"/>
                <w:i w:val="0"/>
                <w:iCs w:val="0"/>
                <w:color w:val="auto"/>
                <w:sz w:val="24"/>
                <w:szCs w:val="24"/>
                <w:u w:val="none"/>
              </w:rPr>
            </w:pPr>
          </w:p>
        </w:tc>
        <w:tc>
          <w:tcPr>
            <w:tcW w:w="12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43F38F">
            <w:pPr>
              <w:jc w:val="center"/>
              <w:rPr>
                <w:rFonts w:hint="eastAsia" w:ascii="宋体" w:hAnsi="宋体" w:eastAsia="宋体" w:cs="宋体"/>
                <w:i w:val="0"/>
                <w:iCs w:val="0"/>
                <w:color w:val="auto"/>
                <w:sz w:val="24"/>
                <w:szCs w:val="24"/>
                <w:u w:val="none"/>
              </w:rPr>
            </w:pPr>
          </w:p>
          <w:p w14:paraId="0F7F9052">
            <w:pPr>
              <w:rPr>
                <w:color w:val="auto"/>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65C63E">
            <w:pPr>
              <w:jc w:val="center"/>
              <w:rPr>
                <w:rFonts w:hint="eastAsia" w:ascii="宋体" w:hAnsi="宋体" w:eastAsia="宋体" w:cs="宋体"/>
                <w:i w:val="0"/>
                <w:iCs w:val="0"/>
                <w:color w:val="auto"/>
                <w:sz w:val="24"/>
                <w:szCs w:val="24"/>
                <w:u w:val="none"/>
              </w:rPr>
            </w:pPr>
          </w:p>
        </w:tc>
      </w:tr>
    </w:tbl>
    <w:p w14:paraId="1541BCE1">
      <w:pPr>
        <w:pStyle w:val="34"/>
        <w:keepNext w:val="0"/>
        <w:keepLines w:val="0"/>
        <w:pageBreakBefore w:val="0"/>
        <w:widowControl w:val="0"/>
        <w:kinsoku/>
        <w:wordWrap/>
        <w:overflowPunct/>
        <w:topLinePunct w:val="0"/>
        <w:autoSpaceDE/>
        <w:autoSpaceDN/>
        <w:bidi w:val="0"/>
        <w:adjustRightInd/>
        <w:snapToGrid/>
        <w:spacing w:beforeAutospacing="0" w:afterAutospacing="0"/>
        <w:ind w:firstLine="0"/>
        <w:jc w:val="both"/>
        <w:textAlignment w:val="auto"/>
        <w:rPr>
          <w:rFonts w:hint="eastAsia" w:ascii="宋体" w:hAnsi="宋体" w:eastAsia="宋体" w:cs="宋体"/>
          <w:color w:val="auto"/>
          <w:sz w:val="21"/>
          <w:szCs w:val="24"/>
          <w:lang w:val="en-US" w:eastAsia="zh-CN" w:bidi="ar-SA"/>
        </w:rPr>
      </w:pPr>
      <w:r>
        <w:rPr>
          <w:rFonts w:hint="eastAsia" w:ascii="宋体" w:hAnsi="宋体" w:eastAsia="宋体" w:cs="宋体"/>
          <w:color w:val="auto"/>
          <w:highlight w:val="none"/>
        </w:rPr>
        <w:t>注</w:t>
      </w:r>
      <w:r>
        <w:rPr>
          <w:rFonts w:hint="eastAsia" w:ascii="宋体" w:hAnsi="宋体" w:eastAsia="宋体" w:cs="宋体"/>
          <w:color w:val="auto"/>
          <w:sz w:val="21"/>
          <w:szCs w:val="24"/>
          <w:lang w:val="en-US" w:eastAsia="zh-CN" w:bidi="ar-SA"/>
        </w:rPr>
        <w:t>1.行数不够，可自行添加。</w:t>
      </w:r>
    </w:p>
    <w:p w14:paraId="5CD00390">
      <w:pPr>
        <w:pStyle w:val="34"/>
        <w:keepNext w:val="0"/>
        <w:keepLines w:val="0"/>
        <w:pageBreakBefore w:val="0"/>
        <w:widowControl w:val="0"/>
        <w:kinsoku/>
        <w:wordWrap/>
        <w:overflowPunct/>
        <w:topLinePunct w:val="0"/>
        <w:autoSpaceDE/>
        <w:autoSpaceDN/>
        <w:bidi w:val="0"/>
        <w:adjustRightInd/>
        <w:snapToGrid/>
        <w:spacing w:beforeAutospacing="0" w:afterAutospacing="0"/>
        <w:ind w:firstLine="0"/>
        <w:jc w:val="left"/>
        <w:textAlignment w:val="auto"/>
        <w:rPr>
          <w:rFonts w:hint="eastAsia" w:ascii="宋体" w:hAnsi="宋体" w:eastAsia="宋体" w:cs="宋体"/>
          <w:b/>
          <w:bCs/>
          <w:color w:val="auto"/>
          <w:highlight w:val="none"/>
        </w:rPr>
      </w:pPr>
      <w:r>
        <w:rPr>
          <w:rFonts w:hint="eastAsia" w:ascii="宋体" w:hAnsi="宋体" w:eastAsia="宋体" w:cs="宋体"/>
          <w:b/>
          <w:bCs/>
          <w:color w:val="auto"/>
          <w:sz w:val="21"/>
          <w:szCs w:val="24"/>
          <w:lang w:val="en-US" w:eastAsia="zh-CN" w:bidi="ar-SA"/>
        </w:rPr>
        <w:t>2.投标人须对技术要求逐条做出实质性响应，响应内容</w:t>
      </w:r>
      <w:r>
        <w:rPr>
          <w:rFonts w:hint="eastAsia" w:ascii="宋体" w:hAnsi="宋体" w:eastAsia="宋体" w:cs="宋体"/>
          <w:b/>
          <w:bCs/>
          <w:color w:val="auto"/>
          <w:sz w:val="22"/>
          <w:szCs w:val="22"/>
          <w:highlight w:val="none"/>
          <w:lang w:val="en-US" w:eastAsia="zh-CN"/>
        </w:rPr>
        <w:t>包括</w:t>
      </w:r>
      <w:r>
        <w:rPr>
          <w:rFonts w:hint="eastAsia" w:ascii="宋体" w:hAnsi="宋体" w:eastAsia="宋体" w:cs="宋体"/>
          <w:b/>
          <w:bCs/>
          <w:color w:val="auto"/>
          <w:sz w:val="21"/>
          <w:szCs w:val="24"/>
          <w:lang w:val="en-US" w:eastAsia="zh-CN" w:bidi="ar-SA"/>
        </w:rPr>
        <w:t>超出、符合或负偏离。</w:t>
      </w:r>
      <w:r>
        <w:rPr>
          <w:rFonts w:hint="eastAsia" w:ascii="宋体" w:hAnsi="宋体" w:eastAsia="宋体" w:cs="宋体"/>
          <w:b/>
          <w:bCs/>
          <w:color w:val="auto"/>
          <w:highlight w:val="none"/>
        </w:rPr>
        <w:t> </w:t>
      </w:r>
    </w:p>
    <w:p w14:paraId="665147A7">
      <w:pPr>
        <w:pStyle w:val="34"/>
        <w:spacing w:beforeAutospacing="0" w:afterAutospacing="0"/>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2B76B2C">
      <w:pPr>
        <w:pStyle w:val="34"/>
        <w:spacing w:beforeAutospacing="0" w:afterAutospacing="0" w:line="360" w:lineRule="auto"/>
        <w:ind w:right="180" w:firstLine="480"/>
        <w:jc w:val="right"/>
        <w:rPr>
          <w:rFonts w:hint="eastAsia" w:ascii="宋体" w:hAnsi="宋体" w:eastAsia="宋体" w:cs="宋体"/>
          <w:color w:val="auto"/>
          <w:highlight w:val="none"/>
        </w:rPr>
      </w:pPr>
      <w:r>
        <w:rPr>
          <w:rFonts w:hint="eastAsia" w:ascii="宋体" w:hAnsi="宋体" w:eastAsia="宋体" w:cs="宋体"/>
          <w:color w:val="auto"/>
          <w:highlight w:val="none"/>
        </w:rPr>
        <w:t> 企业名称</w:t>
      </w:r>
      <w:r>
        <w:rPr>
          <w:rFonts w:hint="eastAsia" w:ascii="宋体" w:hAnsi="宋体" w:eastAsia="宋体" w:cs="宋体"/>
          <w:b/>
          <w:bCs/>
          <w:color w:val="auto"/>
          <w:sz w:val="32"/>
          <w:szCs w:val="32"/>
          <w:highlight w:val="none"/>
          <w:lang w:val="en-US" w:eastAsia="zh-CN" w:bidi="ar-SA"/>
        </w:rPr>
        <w:t>（加盖CA电子公章）</w:t>
      </w:r>
      <w:r>
        <w:rPr>
          <w:rFonts w:hint="eastAsia" w:ascii="宋体" w:hAnsi="宋体" w:eastAsia="宋体" w:cs="宋体"/>
          <w:color w:val="auto"/>
          <w:highlight w:val="none"/>
        </w:rPr>
        <w:t>：</w:t>
      </w:r>
    </w:p>
    <w:p w14:paraId="59D79D96">
      <w:pPr>
        <w:pStyle w:val="34"/>
        <w:spacing w:beforeAutospacing="0" w:afterAutospacing="0"/>
        <w:ind w:firstLine="5724"/>
        <w:jc w:val="both"/>
        <w:rPr>
          <w:rFonts w:hint="eastAsia" w:ascii="宋体" w:hAnsi="宋体" w:eastAsia="宋体" w:cs="宋体"/>
          <w:color w:val="auto"/>
          <w:highlight w:val="none"/>
        </w:rPr>
      </w:pPr>
      <w:r>
        <w:rPr>
          <w:rFonts w:hint="eastAsia" w:ascii="宋体" w:hAnsi="宋体" w:eastAsia="宋体" w:cs="宋体"/>
          <w:color w:val="auto"/>
          <w:highlight w:val="none"/>
        </w:rPr>
        <w:t>日  期：</w:t>
      </w:r>
    </w:p>
    <w:p w14:paraId="3C086BE9">
      <w:pPr>
        <w:pStyle w:val="34"/>
        <w:spacing w:beforeAutospacing="0" w:afterAutospacing="0" w:line="360" w:lineRule="auto"/>
        <w:ind w:firstLine="240"/>
        <w:jc w:val="center"/>
        <w:rPr>
          <w:color w:val="auto"/>
          <w:highlight w:val="none"/>
        </w:rPr>
      </w:pPr>
      <w:r>
        <w:rPr>
          <w:color w:val="auto"/>
          <w:highlight w:val="none"/>
        </w:rPr>
        <w:t> </w:t>
      </w:r>
    </w:p>
    <w:p w14:paraId="1C2A909A">
      <w:pPr>
        <w:rPr>
          <w:rFonts w:ascii="黑体" w:hAnsi="宋体" w:eastAsia="黑体" w:cs="黑体"/>
          <w:b/>
          <w:color w:val="auto"/>
          <w:sz w:val="32"/>
          <w:szCs w:val="32"/>
          <w:highlight w:val="none"/>
        </w:rPr>
      </w:pPr>
      <w:r>
        <w:rPr>
          <w:rFonts w:ascii="黑体" w:hAnsi="宋体" w:eastAsia="黑体" w:cs="黑体"/>
          <w:b/>
          <w:color w:val="auto"/>
          <w:sz w:val="32"/>
          <w:szCs w:val="32"/>
          <w:highlight w:val="none"/>
        </w:rPr>
        <w:br w:type="page"/>
      </w:r>
    </w:p>
    <w:p w14:paraId="398B2D2D">
      <w:pPr>
        <w:pStyle w:val="34"/>
        <w:numPr>
          <w:ilvl w:val="0"/>
          <w:numId w:val="0"/>
        </w:numPr>
        <w:spacing w:beforeAutospacing="0" w:afterAutospacing="0"/>
        <w:ind w:left="0" w:leftChars="0" w:firstLine="321" w:firstLineChars="0"/>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lang w:val="en-US" w:eastAsia="zh-CN" w:bidi="ar-SA"/>
        </w:rPr>
        <w:t>十一、</w:t>
      </w:r>
      <w:r>
        <w:rPr>
          <w:rFonts w:hint="eastAsia" w:ascii="宋体" w:hAnsi="宋体" w:eastAsia="宋体" w:cs="宋体"/>
          <w:b/>
          <w:color w:val="auto"/>
          <w:sz w:val="32"/>
          <w:szCs w:val="32"/>
          <w:highlight w:val="none"/>
        </w:rPr>
        <w:t>商务要求响应及偏离表</w:t>
      </w:r>
      <w:r>
        <w:rPr>
          <w:rFonts w:hint="eastAsia" w:ascii="宋体" w:hAnsi="宋体" w:eastAsia="宋体" w:cs="宋体"/>
          <w:b/>
          <w:color w:val="auto"/>
          <w:sz w:val="32"/>
          <w:szCs w:val="32"/>
          <w:highlight w:val="none"/>
          <w:lang w:eastAsia="zh-CN"/>
        </w:rPr>
        <w:t>（</w:t>
      </w:r>
      <w:r>
        <w:rPr>
          <w:rFonts w:hint="eastAsia" w:ascii="宋体" w:hAnsi="宋体" w:eastAsia="宋体" w:cs="宋体"/>
          <w:b/>
          <w:color w:val="auto"/>
          <w:sz w:val="32"/>
          <w:szCs w:val="32"/>
          <w:highlight w:val="none"/>
          <w:lang w:val="en-US" w:eastAsia="zh-CN"/>
        </w:rPr>
        <w:t>如有</w:t>
      </w:r>
      <w:r>
        <w:rPr>
          <w:rFonts w:hint="eastAsia" w:ascii="宋体" w:hAnsi="宋体" w:eastAsia="宋体" w:cs="宋体"/>
          <w:b/>
          <w:color w:val="auto"/>
          <w:sz w:val="32"/>
          <w:szCs w:val="32"/>
          <w:highlight w:val="none"/>
          <w:lang w:eastAsia="zh-CN"/>
        </w:rPr>
        <w:t>）</w:t>
      </w:r>
    </w:p>
    <w:p w14:paraId="45C1A115">
      <w:pPr>
        <w:pStyle w:val="34"/>
        <w:numPr>
          <w:ilvl w:val="0"/>
          <w:numId w:val="0"/>
        </w:numPr>
        <w:spacing w:beforeAutospacing="0" w:afterAutospacing="0"/>
        <w:ind w:left="321" w:leftChars="0"/>
        <w:jc w:val="both"/>
        <w:rPr>
          <w:rFonts w:hint="eastAsia" w:ascii="宋体" w:hAnsi="宋体" w:eastAsia="宋体" w:cs="宋体"/>
          <w:b/>
          <w:color w:val="auto"/>
          <w:sz w:val="32"/>
          <w:szCs w:val="32"/>
          <w:highlight w:val="none"/>
        </w:rPr>
      </w:pPr>
    </w:p>
    <w:tbl>
      <w:tblPr>
        <w:tblStyle w:val="38"/>
        <w:tblW w:w="9151" w:type="dxa"/>
        <w:tblCellSpacing w:w="0" w:type="dxa"/>
        <w:tblInd w:w="10" w:type="dxa"/>
        <w:tblLayout w:type="fixed"/>
        <w:tblCellMar>
          <w:top w:w="0" w:type="dxa"/>
          <w:left w:w="108" w:type="dxa"/>
          <w:bottom w:w="0" w:type="dxa"/>
          <w:right w:w="108" w:type="dxa"/>
        </w:tblCellMar>
      </w:tblPr>
      <w:tblGrid>
        <w:gridCol w:w="612"/>
        <w:gridCol w:w="3219"/>
        <w:gridCol w:w="2341"/>
        <w:gridCol w:w="1617"/>
        <w:gridCol w:w="1362"/>
      </w:tblGrid>
      <w:tr w14:paraId="7DB9DD96">
        <w:tblPrEx>
          <w:tblCellMar>
            <w:top w:w="0" w:type="dxa"/>
            <w:left w:w="108" w:type="dxa"/>
            <w:bottom w:w="0" w:type="dxa"/>
            <w:right w:w="108" w:type="dxa"/>
          </w:tblCellMar>
        </w:tblPrEx>
        <w:trPr>
          <w:tblCellSpacing w:w="0" w:type="dxa"/>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0F1609">
            <w:pPr>
              <w:pStyle w:val="34"/>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32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462307">
            <w:pPr>
              <w:pStyle w:val="34"/>
              <w:spacing w:beforeAutospacing="0" w:afterAutospacing="0"/>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招标文件要求</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5EE016">
            <w:pPr>
              <w:pStyle w:val="34"/>
              <w:spacing w:beforeAutospacing="0" w:afterAutospacing="0"/>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投标响应情况</w:t>
            </w:r>
          </w:p>
        </w:tc>
        <w:tc>
          <w:tcPr>
            <w:tcW w:w="16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DB7A54">
            <w:pPr>
              <w:pStyle w:val="34"/>
              <w:spacing w:beforeAutospacing="0" w:afterAutospacing="0"/>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超出、符合或</w:t>
            </w:r>
            <w:r>
              <w:rPr>
                <w:rFonts w:hint="eastAsia" w:ascii="宋体" w:hAnsi="宋体" w:eastAsia="宋体" w:cs="宋体"/>
                <w:color w:val="auto"/>
                <w:highlight w:val="none"/>
                <w:lang w:val="en-US" w:eastAsia="zh-CN"/>
              </w:rPr>
              <w:t>负</w:t>
            </w:r>
            <w:r>
              <w:rPr>
                <w:rFonts w:hint="eastAsia" w:ascii="宋体" w:hAnsi="宋体" w:eastAsia="宋体" w:cs="宋体"/>
                <w:color w:val="auto"/>
                <w:highlight w:val="none"/>
              </w:rPr>
              <w:t>偏离</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225C8C">
            <w:pPr>
              <w:pStyle w:val="34"/>
              <w:spacing w:beforeAutospacing="0" w:afterAutospacing="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备注</w:t>
            </w:r>
          </w:p>
        </w:tc>
      </w:tr>
      <w:tr w14:paraId="25D3D0ED">
        <w:tblPrEx>
          <w:tblCellMar>
            <w:top w:w="0" w:type="dxa"/>
            <w:left w:w="108" w:type="dxa"/>
            <w:bottom w:w="0" w:type="dxa"/>
            <w:right w:w="108" w:type="dxa"/>
          </w:tblCellMar>
        </w:tblPrEx>
        <w:trPr>
          <w:trHeight w:val="640" w:hRule="atLeast"/>
          <w:tblCellSpacing w:w="0" w:type="dxa"/>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2B44A7">
            <w:pPr>
              <w:pStyle w:val="34"/>
              <w:spacing w:beforeAutospacing="0" w:afterAutospacing="0"/>
              <w:ind w:firstLine="240"/>
              <w:jc w:val="both"/>
              <w:rPr>
                <w:rFonts w:hint="default" w:ascii="宋体" w:hAnsi="宋体" w:eastAsia="宋体" w:cs="宋体"/>
                <w:color w:val="auto"/>
                <w:highlight w:val="none"/>
                <w:lang w:val="en-US" w:eastAsia="zh-CN"/>
              </w:rPr>
            </w:pPr>
          </w:p>
        </w:tc>
        <w:tc>
          <w:tcPr>
            <w:tcW w:w="32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BCFFAC">
            <w:pPr>
              <w:jc w:val="center"/>
              <w:rPr>
                <w:rFonts w:hint="eastAsia" w:ascii="宋体" w:hAnsi="宋体" w:eastAsia="宋体" w:cs="宋体"/>
                <w:color w:val="auto"/>
              </w:rPr>
            </w:pP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67E7A5">
            <w:pPr>
              <w:pStyle w:val="34"/>
              <w:spacing w:beforeAutospacing="0" w:afterAutospacing="0"/>
              <w:ind w:firstLine="240"/>
              <w:jc w:val="center"/>
              <w:rPr>
                <w:rFonts w:hint="eastAsia" w:ascii="宋体" w:hAnsi="宋体" w:eastAsia="宋体" w:cs="宋体"/>
                <w:color w:val="auto"/>
                <w:highlight w:val="none"/>
              </w:rPr>
            </w:pPr>
          </w:p>
        </w:tc>
        <w:tc>
          <w:tcPr>
            <w:tcW w:w="16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A5F1CC">
            <w:pPr>
              <w:pStyle w:val="34"/>
              <w:spacing w:beforeAutospacing="0" w:afterAutospacing="0"/>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94DDEB">
            <w:pPr>
              <w:pStyle w:val="34"/>
              <w:spacing w:beforeAutospacing="0" w:afterAutospacing="0"/>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3A3D6070">
        <w:tblPrEx>
          <w:tblCellMar>
            <w:top w:w="0" w:type="dxa"/>
            <w:left w:w="108" w:type="dxa"/>
            <w:bottom w:w="0" w:type="dxa"/>
            <w:right w:w="108" w:type="dxa"/>
          </w:tblCellMar>
        </w:tblPrEx>
        <w:trPr>
          <w:trHeight w:val="592" w:hRule="atLeast"/>
          <w:tblCellSpacing w:w="0" w:type="dxa"/>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BB1F80">
            <w:pPr>
              <w:pStyle w:val="34"/>
              <w:spacing w:beforeAutospacing="0" w:afterAutospacing="0"/>
              <w:ind w:firstLine="240"/>
              <w:jc w:val="both"/>
              <w:rPr>
                <w:rFonts w:hint="default" w:ascii="宋体" w:hAnsi="宋体" w:eastAsia="宋体" w:cs="宋体"/>
                <w:color w:val="auto"/>
                <w:highlight w:val="none"/>
                <w:lang w:val="en-US" w:eastAsia="zh-CN"/>
              </w:rPr>
            </w:pPr>
          </w:p>
        </w:tc>
        <w:tc>
          <w:tcPr>
            <w:tcW w:w="3219"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A2B0F6C">
            <w:pPr>
              <w:spacing w:after="0" w:line="240" w:lineRule="auto"/>
              <w:rPr>
                <w:rFonts w:hint="eastAsia" w:ascii="宋体" w:hAnsi="宋体" w:eastAsia="宋体" w:cstheme="minorBidi"/>
                <w:color w:val="auto"/>
                <w:sz w:val="21"/>
                <w:szCs w:val="24"/>
                <w:highlight w:val="none"/>
                <w:lang w:val="en-US" w:eastAsia="zh-CN" w:bidi="ar-SA"/>
              </w:rPr>
            </w:pP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1D412D1">
            <w:pPr>
              <w:spacing w:after="0" w:line="240" w:lineRule="auto"/>
              <w:rPr>
                <w:rFonts w:hint="eastAsia" w:ascii="宋体" w:hAnsi="宋体" w:eastAsia="宋体" w:cstheme="minorBidi"/>
                <w:color w:val="auto"/>
                <w:sz w:val="21"/>
                <w:szCs w:val="24"/>
                <w:highlight w:val="none"/>
                <w:lang w:val="en-US" w:eastAsia="zh-CN" w:bidi="ar-SA"/>
              </w:rPr>
            </w:pPr>
          </w:p>
        </w:tc>
        <w:tc>
          <w:tcPr>
            <w:tcW w:w="16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3107FB">
            <w:pPr>
              <w:pStyle w:val="34"/>
              <w:spacing w:beforeAutospacing="0" w:afterAutospacing="0"/>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F16485">
            <w:pPr>
              <w:pStyle w:val="34"/>
              <w:spacing w:beforeAutospacing="0" w:afterAutospacing="0"/>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64B71690">
        <w:tblPrEx>
          <w:tblCellMar>
            <w:top w:w="0" w:type="dxa"/>
            <w:left w:w="108" w:type="dxa"/>
            <w:bottom w:w="0" w:type="dxa"/>
            <w:right w:w="108" w:type="dxa"/>
          </w:tblCellMar>
        </w:tblPrEx>
        <w:trPr>
          <w:trHeight w:val="640" w:hRule="atLeast"/>
          <w:tblCellSpacing w:w="0" w:type="dxa"/>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DDEE3D">
            <w:pPr>
              <w:pStyle w:val="34"/>
              <w:spacing w:beforeAutospacing="0" w:afterAutospacing="0"/>
              <w:ind w:firstLine="240"/>
              <w:jc w:val="both"/>
              <w:rPr>
                <w:rFonts w:hint="default" w:ascii="宋体" w:hAnsi="宋体" w:eastAsia="宋体" w:cs="宋体"/>
                <w:color w:val="auto"/>
                <w:highlight w:val="none"/>
                <w:lang w:val="en-US" w:eastAsia="zh-CN"/>
              </w:rPr>
            </w:pPr>
          </w:p>
        </w:tc>
        <w:tc>
          <w:tcPr>
            <w:tcW w:w="32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F89F69">
            <w:pPr>
              <w:rPr>
                <w:rFonts w:hint="eastAsia" w:ascii="宋体" w:hAnsi="宋体" w:eastAsia="宋体" w:cs="宋体"/>
                <w:color w:val="auto"/>
              </w:rPr>
            </w:pP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0FD4A3">
            <w:pPr>
              <w:pStyle w:val="34"/>
              <w:spacing w:beforeAutospacing="0" w:afterAutospacing="0"/>
              <w:ind w:firstLine="240"/>
              <w:jc w:val="center"/>
              <w:rPr>
                <w:rFonts w:hint="eastAsia" w:ascii="宋体" w:hAnsi="宋体" w:eastAsia="宋体" w:cs="宋体"/>
                <w:color w:val="auto"/>
                <w:highlight w:val="none"/>
              </w:rPr>
            </w:pPr>
          </w:p>
        </w:tc>
        <w:tc>
          <w:tcPr>
            <w:tcW w:w="16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588C7F">
            <w:pPr>
              <w:pStyle w:val="34"/>
              <w:spacing w:beforeAutospacing="0" w:afterAutospacing="0"/>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E4B997">
            <w:pPr>
              <w:pStyle w:val="34"/>
              <w:spacing w:beforeAutospacing="0" w:afterAutospacing="0"/>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37C293B">
        <w:tblPrEx>
          <w:tblCellMar>
            <w:top w:w="0" w:type="dxa"/>
            <w:left w:w="108" w:type="dxa"/>
            <w:bottom w:w="0" w:type="dxa"/>
            <w:right w:w="108" w:type="dxa"/>
          </w:tblCellMar>
        </w:tblPrEx>
        <w:trPr>
          <w:trHeight w:val="640" w:hRule="atLeast"/>
          <w:tblCellSpacing w:w="0" w:type="dxa"/>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F056DB">
            <w:pPr>
              <w:pStyle w:val="34"/>
              <w:spacing w:beforeAutospacing="0" w:afterAutospacing="0"/>
              <w:ind w:firstLine="240"/>
              <w:jc w:val="both"/>
              <w:rPr>
                <w:rFonts w:hint="default" w:ascii="宋体" w:hAnsi="宋体" w:eastAsia="宋体" w:cs="宋体"/>
                <w:color w:val="auto"/>
                <w:highlight w:val="none"/>
                <w:lang w:val="en-US" w:eastAsia="zh-CN"/>
              </w:rPr>
            </w:pPr>
          </w:p>
        </w:tc>
        <w:tc>
          <w:tcPr>
            <w:tcW w:w="32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55AC30">
            <w:pPr>
              <w:jc w:val="center"/>
              <w:rPr>
                <w:rFonts w:hint="eastAsia" w:ascii="宋体" w:hAnsi="宋体" w:eastAsia="宋体" w:cs="宋体"/>
                <w:color w:val="auto"/>
              </w:rPr>
            </w:pP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A9EE3D">
            <w:pPr>
              <w:pStyle w:val="34"/>
              <w:spacing w:beforeAutospacing="0" w:afterAutospacing="0"/>
              <w:ind w:firstLine="240"/>
              <w:jc w:val="center"/>
              <w:rPr>
                <w:rFonts w:hint="eastAsia" w:ascii="宋体" w:hAnsi="宋体" w:eastAsia="宋体" w:cs="宋体"/>
                <w:color w:val="auto"/>
                <w:highlight w:val="none"/>
              </w:rPr>
            </w:pPr>
          </w:p>
        </w:tc>
        <w:tc>
          <w:tcPr>
            <w:tcW w:w="16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0B0458">
            <w:pPr>
              <w:pStyle w:val="34"/>
              <w:spacing w:beforeAutospacing="0" w:afterAutospacing="0"/>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A2459A">
            <w:pPr>
              <w:pStyle w:val="34"/>
              <w:spacing w:beforeAutospacing="0" w:afterAutospacing="0"/>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5DCFB061">
        <w:tblPrEx>
          <w:tblCellMar>
            <w:top w:w="0" w:type="dxa"/>
            <w:left w:w="108" w:type="dxa"/>
            <w:bottom w:w="0" w:type="dxa"/>
            <w:right w:w="108" w:type="dxa"/>
          </w:tblCellMar>
        </w:tblPrEx>
        <w:trPr>
          <w:trHeight w:val="640" w:hRule="atLeast"/>
          <w:tblCellSpacing w:w="0" w:type="dxa"/>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762156">
            <w:pPr>
              <w:pStyle w:val="34"/>
              <w:spacing w:beforeAutospacing="0" w:afterAutospacing="0"/>
              <w:ind w:firstLine="240"/>
              <w:jc w:val="both"/>
              <w:rPr>
                <w:rFonts w:hint="default" w:ascii="宋体" w:hAnsi="宋体" w:eastAsia="宋体" w:cs="宋体"/>
                <w:color w:val="auto"/>
                <w:highlight w:val="none"/>
                <w:lang w:val="en-US" w:eastAsia="zh-CN"/>
              </w:rPr>
            </w:pPr>
          </w:p>
        </w:tc>
        <w:tc>
          <w:tcPr>
            <w:tcW w:w="32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D955FC">
            <w:pPr>
              <w:jc w:val="center"/>
              <w:rPr>
                <w:rFonts w:hint="eastAsia" w:ascii="宋体" w:hAnsi="宋体" w:eastAsia="宋体" w:cs="宋体"/>
                <w:b/>
                <w:bCs/>
                <w:color w:val="auto"/>
              </w:rPr>
            </w:pP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E46ED2">
            <w:pPr>
              <w:pStyle w:val="34"/>
              <w:spacing w:beforeAutospacing="0" w:afterAutospacing="0"/>
              <w:ind w:firstLine="240"/>
              <w:jc w:val="center"/>
              <w:rPr>
                <w:rFonts w:hint="eastAsia" w:ascii="宋体" w:hAnsi="宋体" w:eastAsia="宋体" w:cs="宋体"/>
                <w:color w:val="auto"/>
                <w:highlight w:val="none"/>
              </w:rPr>
            </w:pPr>
          </w:p>
        </w:tc>
        <w:tc>
          <w:tcPr>
            <w:tcW w:w="16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246BA0">
            <w:pPr>
              <w:pStyle w:val="34"/>
              <w:spacing w:beforeAutospacing="0" w:afterAutospacing="0"/>
              <w:ind w:firstLine="240"/>
              <w:jc w:val="center"/>
              <w:rPr>
                <w:rFonts w:hint="eastAsia" w:ascii="宋体" w:hAnsi="宋体" w:eastAsia="宋体" w:cs="宋体"/>
                <w:color w:val="auto"/>
                <w:highlight w:val="none"/>
              </w:rPr>
            </w:pP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694E2B">
            <w:pPr>
              <w:pStyle w:val="34"/>
              <w:spacing w:beforeAutospacing="0" w:afterAutospacing="0"/>
              <w:ind w:firstLine="240"/>
              <w:jc w:val="center"/>
              <w:rPr>
                <w:rFonts w:hint="eastAsia" w:ascii="宋体" w:hAnsi="宋体" w:eastAsia="宋体" w:cs="宋体"/>
                <w:color w:val="auto"/>
                <w:highlight w:val="none"/>
              </w:rPr>
            </w:pPr>
          </w:p>
        </w:tc>
      </w:tr>
    </w:tbl>
    <w:p w14:paraId="1C02AACC">
      <w:pPr>
        <w:pStyle w:val="34"/>
        <w:keepNext w:val="0"/>
        <w:keepLines w:val="0"/>
        <w:pageBreakBefore w:val="0"/>
        <w:widowControl w:val="0"/>
        <w:kinsoku/>
        <w:wordWrap/>
        <w:overflowPunct/>
        <w:topLinePunct w:val="0"/>
        <w:autoSpaceDE/>
        <w:autoSpaceDN/>
        <w:bidi w:val="0"/>
        <w:adjustRightInd/>
        <w:snapToGrid/>
        <w:spacing w:beforeAutospacing="0" w:afterAutospacing="0"/>
        <w:ind w:firstLine="0"/>
        <w:jc w:val="both"/>
        <w:textAlignment w:val="auto"/>
        <w:rPr>
          <w:rFonts w:hint="eastAsia" w:ascii="宋体" w:hAnsi="宋体" w:eastAsia="宋体" w:cs="宋体"/>
          <w:color w:val="auto"/>
          <w:sz w:val="21"/>
          <w:szCs w:val="24"/>
          <w:lang w:val="en-US" w:eastAsia="zh-CN" w:bidi="ar-SA"/>
        </w:rPr>
      </w:pPr>
      <w:r>
        <w:rPr>
          <w:rFonts w:hint="eastAsia" w:ascii="宋体" w:hAnsi="宋体" w:eastAsia="宋体" w:cs="宋体"/>
          <w:color w:val="auto"/>
          <w:highlight w:val="none"/>
        </w:rPr>
        <w:t>注</w:t>
      </w:r>
      <w:r>
        <w:rPr>
          <w:rFonts w:hint="eastAsia" w:ascii="宋体" w:hAnsi="宋体" w:eastAsia="宋体" w:cs="宋体"/>
          <w:color w:val="auto"/>
          <w:sz w:val="21"/>
          <w:szCs w:val="24"/>
          <w:lang w:val="en-US" w:eastAsia="zh-CN" w:bidi="ar-SA"/>
        </w:rPr>
        <w:t>：1.行数不够，可自行添加。</w:t>
      </w:r>
    </w:p>
    <w:p w14:paraId="21E5FD58">
      <w:pPr>
        <w:pStyle w:val="34"/>
        <w:keepNext w:val="0"/>
        <w:keepLines w:val="0"/>
        <w:pageBreakBefore w:val="0"/>
        <w:widowControl w:val="0"/>
        <w:kinsoku/>
        <w:wordWrap/>
        <w:overflowPunct/>
        <w:topLinePunct w:val="0"/>
        <w:autoSpaceDE/>
        <w:autoSpaceDN/>
        <w:bidi w:val="0"/>
        <w:adjustRightInd/>
        <w:snapToGrid/>
        <w:spacing w:beforeAutospacing="0" w:afterAutospacing="0"/>
        <w:ind w:firstLine="0"/>
        <w:jc w:val="both"/>
        <w:textAlignment w:val="auto"/>
        <w:rPr>
          <w:rFonts w:hint="eastAsia" w:ascii="宋体" w:hAnsi="宋体" w:eastAsia="宋体" w:cs="宋体"/>
          <w:color w:val="auto"/>
          <w:highlight w:val="none"/>
        </w:rPr>
      </w:pPr>
      <w:r>
        <w:rPr>
          <w:rFonts w:hint="eastAsia" w:ascii="宋体" w:hAnsi="宋体" w:eastAsia="宋体" w:cs="宋体"/>
          <w:b/>
          <w:bCs/>
          <w:color w:val="auto"/>
          <w:sz w:val="21"/>
          <w:szCs w:val="24"/>
          <w:lang w:val="en-US" w:eastAsia="zh-CN" w:bidi="ar-SA"/>
        </w:rPr>
        <w:t>2.投标人须对商务要求逐条做出实质性响应，响应内容包括超出、符合或负偏离。 </w:t>
      </w:r>
    </w:p>
    <w:p w14:paraId="10471B42">
      <w:pPr>
        <w:pStyle w:val="34"/>
        <w:spacing w:beforeAutospacing="0" w:afterAutospacing="0" w:line="360" w:lineRule="auto"/>
        <w:ind w:right="180" w:firstLine="480"/>
        <w:jc w:val="right"/>
        <w:rPr>
          <w:rFonts w:hint="eastAsia" w:ascii="宋体" w:hAnsi="宋体" w:eastAsia="宋体" w:cs="宋体"/>
          <w:color w:val="auto"/>
          <w:highlight w:val="none"/>
        </w:rPr>
      </w:pPr>
      <w:r>
        <w:rPr>
          <w:rFonts w:hint="eastAsia" w:ascii="宋体" w:hAnsi="宋体" w:eastAsia="宋体" w:cs="宋体"/>
          <w:color w:val="auto"/>
          <w:highlight w:val="none"/>
        </w:rPr>
        <w:t>企业名称</w:t>
      </w:r>
      <w:r>
        <w:rPr>
          <w:rFonts w:hint="eastAsia" w:ascii="宋体" w:hAnsi="宋体" w:eastAsia="宋体" w:cs="宋体"/>
          <w:b/>
          <w:bCs/>
          <w:color w:val="auto"/>
          <w:sz w:val="32"/>
          <w:szCs w:val="32"/>
          <w:highlight w:val="none"/>
          <w:lang w:val="en-US" w:eastAsia="zh-CN" w:bidi="ar-SA"/>
        </w:rPr>
        <w:t>（加盖CA电子位公章）</w:t>
      </w:r>
      <w:r>
        <w:rPr>
          <w:rFonts w:hint="eastAsia" w:ascii="宋体" w:hAnsi="宋体" w:eastAsia="宋体" w:cs="宋体"/>
          <w:color w:val="auto"/>
          <w:highlight w:val="none"/>
        </w:rPr>
        <w:t>：</w:t>
      </w:r>
    </w:p>
    <w:p w14:paraId="5FEED3D6">
      <w:pPr>
        <w:pStyle w:val="34"/>
        <w:spacing w:beforeAutospacing="0" w:afterAutospacing="0" w:line="360" w:lineRule="auto"/>
        <w:ind w:firstLine="321"/>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日  期：</w:t>
      </w:r>
    </w:p>
    <w:p w14:paraId="31958531">
      <w:pPr>
        <w:pStyle w:val="34"/>
        <w:spacing w:beforeAutospacing="0" w:afterAutospacing="0" w:line="360" w:lineRule="auto"/>
        <w:ind w:firstLine="321"/>
        <w:jc w:val="center"/>
        <w:rPr>
          <w:rFonts w:hint="eastAsia" w:ascii="宋体" w:hAnsi="宋体" w:eastAsia="宋体" w:cs="宋体"/>
          <w:color w:val="auto"/>
          <w:highlight w:val="none"/>
        </w:rPr>
      </w:pPr>
    </w:p>
    <w:p w14:paraId="59BC98B4">
      <w:pPr>
        <w:pStyle w:val="34"/>
        <w:spacing w:beforeAutospacing="0" w:afterAutospacing="0" w:line="360" w:lineRule="auto"/>
        <w:ind w:firstLine="321"/>
        <w:jc w:val="center"/>
        <w:rPr>
          <w:rFonts w:hint="eastAsia" w:ascii="宋体" w:hAnsi="宋体" w:eastAsia="宋体" w:cs="宋体"/>
          <w:color w:val="auto"/>
          <w:highlight w:val="none"/>
        </w:rPr>
      </w:pPr>
    </w:p>
    <w:p w14:paraId="12D9FB6E">
      <w:pPr>
        <w:pStyle w:val="34"/>
        <w:spacing w:beforeAutospacing="0" w:afterAutospacing="0" w:line="360" w:lineRule="auto"/>
        <w:ind w:firstLine="321"/>
        <w:jc w:val="center"/>
        <w:rPr>
          <w:rFonts w:hint="eastAsia" w:ascii="宋体" w:hAnsi="宋体" w:eastAsia="宋体" w:cs="宋体"/>
          <w:color w:val="auto"/>
          <w:highlight w:val="none"/>
        </w:rPr>
      </w:pPr>
    </w:p>
    <w:p w14:paraId="416810BE">
      <w:pPr>
        <w:pStyle w:val="34"/>
        <w:spacing w:beforeAutospacing="0" w:afterAutospacing="0" w:line="360" w:lineRule="auto"/>
        <w:ind w:firstLine="321"/>
        <w:jc w:val="center"/>
        <w:rPr>
          <w:rFonts w:hint="eastAsia" w:ascii="宋体" w:hAnsi="宋体" w:eastAsia="宋体" w:cs="宋体"/>
          <w:color w:val="auto"/>
          <w:highlight w:val="none"/>
        </w:rPr>
      </w:pPr>
    </w:p>
    <w:p w14:paraId="028813D3">
      <w:pPr>
        <w:pStyle w:val="34"/>
        <w:spacing w:beforeAutospacing="0" w:afterAutospacing="0" w:line="360" w:lineRule="auto"/>
        <w:ind w:firstLine="321"/>
        <w:jc w:val="center"/>
        <w:rPr>
          <w:rFonts w:hint="eastAsia" w:ascii="宋体" w:hAnsi="宋体" w:eastAsia="宋体" w:cs="宋体"/>
          <w:color w:val="auto"/>
          <w:highlight w:val="none"/>
        </w:rPr>
      </w:pPr>
    </w:p>
    <w:p w14:paraId="595CB1CC">
      <w:pPr>
        <w:pStyle w:val="34"/>
        <w:spacing w:beforeAutospacing="0" w:afterAutospacing="0" w:line="360" w:lineRule="auto"/>
        <w:ind w:firstLine="321"/>
        <w:jc w:val="center"/>
        <w:rPr>
          <w:rFonts w:hint="eastAsia" w:ascii="宋体" w:hAnsi="宋体" w:eastAsia="宋体" w:cs="宋体"/>
          <w:color w:val="auto"/>
          <w:highlight w:val="none"/>
        </w:rPr>
      </w:pPr>
    </w:p>
    <w:p w14:paraId="778CB7DE">
      <w:pPr>
        <w:pStyle w:val="34"/>
        <w:spacing w:beforeAutospacing="0" w:afterAutospacing="0" w:line="360" w:lineRule="auto"/>
        <w:ind w:firstLine="321"/>
        <w:jc w:val="center"/>
        <w:rPr>
          <w:rFonts w:hint="eastAsia" w:ascii="宋体" w:hAnsi="宋体" w:eastAsia="宋体" w:cs="宋体"/>
          <w:color w:val="auto"/>
          <w:highlight w:val="none"/>
        </w:rPr>
      </w:pPr>
    </w:p>
    <w:p w14:paraId="1ABA1267">
      <w:pPr>
        <w:pStyle w:val="34"/>
        <w:spacing w:beforeAutospacing="0" w:afterAutospacing="0" w:line="360" w:lineRule="auto"/>
        <w:ind w:firstLine="321"/>
        <w:jc w:val="center"/>
        <w:rPr>
          <w:rFonts w:hint="eastAsia" w:ascii="宋体" w:hAnsi="宋体" w:eastAsia="宋体" w:cs="宋体"/>
          <w:color w:val="auto"/>
          <w:highlight w:val="none"/>
        </w:rPr>
      </w:pPr>
    </w:p>
    <w:p w14:paraId="5BB90C41">
      <w:pPr>
        <w:pStyle w:val="34"/>
        <w:spacing w:beforeAutospacing="0" w:afterAutospacing="0" w:line="360" w:lineRule="auto"/>
        <w:ind w:firstLine="321"/>
        <w:jc w:val="center"/>
        <w:rPr>
          <w:rFonts w:hint="eastAsia" w:ascii="宋体" w:hAnsi="宋体" w:eastAsia="宋体" w:cs="宋体"/>
          <w:color w:val="auto"/>
          <w:highlight w:val="none"/>
        </w:rPr>
      </w:pPr>
    </w:p>
    <w:p w14:paraId="36F30A13">
      <w:pPr>
        <w:pStyle w:val="34"/>
        <w:spacing w:beforeAutospacing="0" w:afterAutospacing="0" w:line="360" w:lineRule="auto"/>
        <w:ind w:firstLine="321"/>
        <w:jc w:val="center"/>
        <w:rPr>
          <w:rFonts w:hint="eastAsia" w:ascii="宋体" w:hAnsi="宋体" w:eastAsia="宋体" w:cs="宋体"/>
          <w:color w:val="auto"/>
          <w:highlight w:val="none"/>
        </w:rPr>
      </w:pPr>
    </w:p>
    <w:p w14:paraId="684A6F47">
      <w:pPr>
        <w:pStyle w:val="34"/>
        <w:spacing w:beforeAutospacing="0" w:afterAutospacing="0" w:line="360" w:lineRule="auto"/>
        <w:ind w:firstLine="321"/>
        <w:jc w:val="center"/>
        <w:rPr>
          <w:rFonts w:hint="eastAsia" w:ascii="宋体" w:hAnsi="宋体" w:eastAsia="宋体" w:cs="宋体"/>
          <w:color w:val="auto"/>
          <w:highlight w:val="none"/>
        </w:rPr>
      </w:pPr>
    </w:p>
    <w:p w14:paraId="632483DB">
      <w:pPr>
        <w:pStyle w:val="34"/>
        <w:spacing w:beforeAutospacing="0" w:afterAutospacing="0" w:line="360" w:lineRule="auto"/>
        <w:ind w:firstLine="321"/>
        <w:jc w:val="center"/>
        <w:rPr>
          <w:rFonts w:hint="eastAsia" w:ascii="宋体" w:hAnsi="宋体" w:eastAsia="宋体" w:cs="宋体"/>
          <w:color w:val="auto"/>
          <w:highlight w:val="none"/>
        </w:rPr>
      </w:pPr>
    </w:p>
    <w:p w14:paraId="57B718D8">
      <w:pPr>
        <w:pStyle w:val="34"/>
        <w:spacing w:beforeAutospacing="0" w:afterAutospacing="0" w:line="360" w:lineRule="auto"/>
        <w:ind w:firstLine="321"/>
        <w:jc w:val="center"/>
        <w:rPr>
          <w:rFonts w:hint="eastAsia" w:ascii="宋体" w:hAnsi="宋体" w:eastAsia="宋体" w:cs="宋体"/>
          <w:color w:val="auto"/>
          <w:highlight w:val="none"/>
        </w:rPr>
      </w:pPr>
    </w:p>
    <w:p w14:paraId="7374B284">
      <w:pPr>
        <w:pStyle w:val="34"/>
        <w:spacing w:beforeAutospacing="0" w:afterAutospacing="0" w:line="360" w:lineRule="auto"/>
        <w:ind w:firstLine="321"/>
        <w:jc w:val="center"/>
        <w:rPr>
          <w:rFonts w:hint="eastAsia" w:ascii="宋体" w:hAnsi="宋体" w:eastAsia="宋体" w:cs="宋体"/>
          <w:color w:val="auto"/>
          <w:highlight w:val="none"/>
        </w:rPr>
      </w:pPr>
    </w:p>
    <w:p w14:paraId="778B2986">
      <w:pPr>
        <w:pStyle w:val="34"/>
        <w:spacing w:beforeAutospacing="0" w:afterAutospacing="0" w:line="360" w:lineRule="auto"/>
        <w:ind w:firstLine="321"/>
        <w:jc w:val="center"/>
        <w:rPr>
          <w:rFonts w:hint="eastAsia" w:ascii="宋体" w:hAnsi="宋体" w:eastAsia="宋体" w:cs="宋体"/>
          <w:color w:val="auto"/>
          <w:highlight w:val="none"/>
        </w:rPr>
      </w:pPr>
    </w:p>
    <w:p w14:paraId="36B5F82F">
      <w:pPr>
        <w:pStyle w:val="34"/>
        <w:spacing w:beforeAutospacing="0" w:afterAutospacing="0"/>
        <w:ind w:firstLine="321"/>
        <w:jc w:val="center"/>
        <w:rPr>
          <w:rFonts w:hint="eastAsia" w:ascii="宋体" w:hAnsi="宋体" w:eastAsia="宋体" w:cs="宋体"/>
          <w:b/>
          <w:iCs/>
          <w:color w:val="auto"/>
          <w:sz w:val="32"/>
          <w:szCs w:val="32"/>
          <w:highlight w:val="none"/>
          <w:lang w:val="en-US" w:eastAsia="zh-CN"/>
        </w:rPr>
      </w:pPr>
    </w:p>
    <w:p w14:paraId="2DBE12D9">
      <w:pPr>
        <w:pStyle w:val="34"/>
        <w:spacing w:beforeAutospacing="0" w:afterAutospacing="0"/>
        <w:ind w:firstLine="321"/>
        <w:jc w:val="center"/>
        <w:rPr>
          <w:rFonts w:hint="eastAsia" w:ascii="宋体" w:hAnsi="宋体" w:eastAsia="宋体" w:cs="宋体"/>
          <w:b/>
          <w:iCs/>
          <w:color w:val="auto"/>
          <w:sz w:val="32"/>
          <w:szCs w:val="32"/>
          <w:highlight w:val="none"/>
        </w:rPr>
      </w:pPr>
      <w:r>
        <w:rPr>
          <w:rFonts w:hint="eastAsia" w:ascii="宋体" w:hAnsi="宋体" w:eastAsia="宋体" w:cs="宋体"/>
          <w:b/>
          <w:iCs/>
          <w:color w:val="auto"/>
          <w:sz w:val="32"/>
          <w:szCs w:val="32"/>
          <w:highlight w:val="none"/>
          <w:lang w:val="en-US" w:eastAsia="zh-CN"/>
        </w:rPr>
        <w:t>十二、</w:t>
      </w:r>
      <w:r>
        <w:rPr>
          <w:rFonts w:hint="eastAsia" w:ascii="宋体" w:hAnsi="宋体" w:eastAsia="宋体" w:cs="宋体"/>
          <w:b/>
          <w:iCs/>
          <w:color w:val="auto"/>
          <w:sz w:val="32"/>
          <w:szCs w:val="32"/>
          <w:highlight w:val="none"/>
        </w:rPr>
        <w:t>开标一览表</w:t>
      </w:r>
    </w:p>
    <w:p w14:paraId="6D8E60E4">
      <w:pPr>
        <w:pStyle w:val="34"/>
        <w:spacing w:beforeAutospacing="0" w:afterAutospacing="0"/>
        <w:ind w:firstLine="321"/>
        <w:jc w:val="both"/>
        <w:rPr>
          <w:rFonts w:hint="eastAsia" w:ascii="宋体" w:hAnsi="宋体" w:eastAsia="宋体" w:cs="宋体"/>
          <w:b/>
          <w:iCs/>
          <w:color w:val="auto"/>
          <w:sz w:val="32"/>
          <w:szCs w:val="32"/>
          <w:highlight w:val="none"/>
        </w:rPr>
      </w:pPr>
    </w:p>
    <w:p w14:paraId="184BC238">
      <w:pPr>
        <w:pStyle w:val="34"/>
        <w:spacing w:beforeAutospacing="0" w:afterAutospacing="0"/>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投标人全称</w:t>
      </w:r>
      <w:r>
        <w:rPr>
          <w:rFonts w:hint="eastAsia" w:ascii="宋体" w:hAnsi="宋体" w:eastAsia="宋体" w:cs="宋体"/>
          <w:b/>
          <w:bCs/>
          <w:color w:val="auto"/>
          <w:sz w:val="32"/>
          <w:szCs w:val="32"/>
          <w:highlight w:val="none"/>
          <w:lang w:val="en-US" w:eastAsia="zh-CN" w:bidi="ar-SA"/>
        </w:rPr>
        <w:t>（加盖CA电子公章）</w:t>
      </w:r>
      <w:r>
        <w:rPr>
          <w:rFonts w:hint="eastAsia" w:ascii="宋体" w:hAnsi="宋体" w:eastAsia="宋体" w:cs="宋体"/>
          <w:color w:val="auto"/>
          <w:highlight w:val="none"/>
        </w:rPr>
        <w:t>：</w:t>
      </w:r>
    </w:p>
    <w:p w14:paraId="06C82A35">
      <w:pPr>
        <w:pStyle w:val="34"/>
        <w:spacing w:beforeAutospacing="0" w:afterAutospacing="0"/>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项目名称：</w:t>
      </w:r>
    </w:p>
    <w:tbl>
      <w:tblPr>
        <w:tblStyle w:val="38"/>
        <w:tblpPr w:leftFromText="180" w:rightFromText="180" w:vertAnchor="text" w:horzAnchor="page" w:tblpX="1885" w:tblpY="312"/>
        <w:tblW w:w="8413"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13"/>
      </w:tblGrid>
      <w:tr w14:paraId="4A7F8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tblCellSpacing w:w="0" w:type="dxa"/>
        </w:trPr>
        <w:tc>
          <w:tcPr>
            <w:tcW w:w="8413" w:type="dxa"/>
            <w:shd w:val="clear" w:color="auto" w:fill="auto"/>
            <w:noWrap w:val="0"/>
            <w:vAlign w:val="center"/>
          </w:tcPr>
          <w:p w14:paraId="60EFF201">
            <w:pPr>
              <w:pStyle w:val="34"/>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投标总报价</w:t>
            </w:r>
          </w:p>
        </w:tc>
      </w:tr>
      <w:tr w14:paraId="7D4D2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blCellSpacing w:w="0" w:type="dxa"/>
        </w:trPr>
        <w:tc>
          <w:tcPr>
            <w:tcW w:w="8413" w:type="dxa"/>
            <w:shd w:val="clear" w:color="auto" w:fill="auto"/>
            <w:noWrap w:val="0"/>
            <w:vAlign w:val="center"/>
          </w:tcPr>
          <w:p w14:paraId="348802C4">
            <w:pPr>
              <w:pStyle w:val="34"/>
              <w:spacing w:beforeAutospacing="0" w:afterAutospacing="0" w:line="0" w:lineRule="atLeast"/>
              <w:ind w:firstLine="240"/>
              <w:rPr>
                <w:rFonts w:hint="eastAsia" w:ascii="宋体" w:hAnsi="宋体" w:eastAsia="宋体" w:cs="宋体"/>
                <w:color w:val="auto"/>
                <w:highlight w:val="none"/>
              </w:rPr>
            </w:pPr>
            <w:r>
              <w:rPr>
                <w:rFonts w:hint="eastAsia" w:ascii="宋体" w:hAnsi="宋体" w:eastAsia="宋体" w:cs="宋体"/>
                <w:color w:val="auto"/>
                <w:highlight w:val="none"/>
              </w:rPr>
              <w:t>小写：            （大写人民币：        元）</w:t>
            </w:r>
          </w:p>
        </w:tc>
      </w:tr>
    </w:tbl>
    <w:p w14:paraId="7DE9BC61">
      <w:pPr>
        <w:pStyle w:val="34"/>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72EF287F">
      <w:pPr>
        <w:pStyle w:val="34"/>
        <w:spacing w:beforeAutospacing="0" w:afterAutospacing="0"/>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E68F01A">
      <w:pPr>
        <w:pStyle w:val="34"/>
        <w:spacing w:beforeAutospacing="0" w:afterAutospacing="0"/>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55F2DD40">
      <w:pPr>
        <w:pStyle w:val="34"/>
        <w:spacing w:beforeAutospacing="0" w:afterAutospacing="0"/>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C7B5B38">
      <w:pPr>
        <w:pStyle w:val="34"/>
        <w:spacing w:beforeAutospacing="0" w:afterAutospacing="0" w:line="0" w:lineRule="atLeast"/>
        <w:ind w:firstLine="321"/>
        <w:jc w:val="center"/>
        <w:rPr>
          <w:rFonts w:hint="eastAsia" w:ascii="宋体" w:hAnsi="宋体" w:eastAsia="宋体" w:cs="宋体"/>
          <w:b/>
          <w:color w:val="auto"/>
          <w:sz w:val="32"/>
          <w:szCs w:val="32"/>
          <w:highlight w:val="none"/>
        </w:rPr>
      </w:pPr>
    </w:p>
    <w:p w14:paraId="3252CAC9">
      <w:pPr>
        <w:pStyle w:val="34"/>
        <w:spacing w:beforeAutospacing="0" w:afterAutospacing="0" w:line="360" w:lineRule="auto"/>
        <w:ind w:firstLine="321"/>
        <w:jc w:val="center"/>
        <w:rPr>
          <w:rFonts w:hint="eastAsia" w:ascii="宋体" w:hAnsi="宋体" w:eastAsia="宋体" w:cs="宋体"/>
          <w:color w:val="auto"/>
          <w:highlight w:val="none"/>
        </w:rPr>
      </w:pPr>
    </w:p>
    <w:p w14:paraId="2733751E">
      <w:pPr>
        <w:pStyle w:val="34"/>
        <w:spacing w:beforeAutospacing="0" w:afterAutospacing="0" w:line="360" w:lineRule="auto"/>
        <w:ind w:firstLine="321"/>
        <w:jc w:val="center"/>
        <w:rPr>
          <w:rFonts w:hint="eastAsia" w:ascii="宋体" w:hAnsi="宋体" w:eastAsia="宋体" w:cs="宋体"/>
          <w:color w:val="auto"/>
          <w:highlight w:val="none"/>
        </w:rPr>
      </w:pPr>
    </w:p>
    <w:p w14:paraId="2C0BED67">
      <w:pPr>
        <w:pStyle w:val="34"/>
        <w:spacing w:beforeAutospacing="0" w:afterAutospacing="0" w:line="360" w:lineRule="auto"/>
        <w:ind w:firstLine="321"/>
        <w:jc w:val="center"/>
        <w:rPr>
          <w:rFonts w:hint="eastAsia" w:ascii="宋体" w:hAnsi="宋体" w:eastAsia="宋体" w:cs="宋体"/>
          <w:color w:val="auto"/>
          <w:highlight w:val="none"/>
        </w:rPr>
      </w:pPr>
    </w:p>
    <w:p w14:paraId="14AE3217">
      <w:pPr>
        <w:pStyle w:val="34"/>
        <w:spacing w:beforeAutospacing="0" w:afterAutospacing="0" w:line="360" w:lineRule="auto"/>
        <w:ind w:firstLine="321"/>
        <w:jc w:val="center"/>
        <w:rPr>
          <w:rFonts w:hint="eastAsia" w:ascii="宋体" w:hAnsi="宋体" w:eastAsia="宋体" w:cs="宋体"/>
          <w:color w:val="auto"/>
          <w:highlight w:val="none"/>
        </w:rPr>
      </w:pPr>
    </w:p>
    <w:p w14:paraId="0B8809AC">
      <w:pPr>
        <w:pStyle w:val="34"/>
        <w:spacing w:beforeAutospacing="0" w:afterAutospacing="0" w:line="360" w:lineRule="auto"/>
        <w:ind w:firstLine="321"/>
        <w:jc w:val="center"/>
        <w:rPr>
          <w:rFonts w:hint="eastAsia" w:ascii="宋体" w:hAnsi="宋体" w:eastAsia="宋体" w:cs="宋体"/>
          <w:color w:val="auto"/>
          <w:highlight w:val="none"/>
        </w:rPr>
      </w:pPr>
    </w:p>
    <w:p w14:paraId="1F99B03A">
      <w:pPr>
        <w:pStyle w:val="34"/>
        <w:spacing w:beforeAutospacing="0" w:afterAutospacing="0" w:line="360" w:lineRule="auto"/>
        <w:ind w:firstLine="321"/>
        <w:jc w:val="center"/>
        <w:rPr>
          <w:rFonts w:hint="eastAsia" w:ascii="宋体" w:hAnsi="宋体" w:eastAsia="宋体" w:cs="宋体"/>
          <w:color w:val="auto"/>
          <w:highlight w:val="none"/>
        </w:rPr>
      </w:pPr>
    </w:p>
    <w:p w14:paraId="063A41D1">
      <w:pPr>
        <w:pStyle w:val="34"/>
        <w:spacing w:beforeAutospacing="0" w:afterAutospacing="0" w:line="360" w:lineRule="auto"/>
        <w:ind w:firstLine="321"/>
        <w:jc w:val="center"/>
        <w:rPr>
          <w:rFonts w:hint="eastAsia" w:ascii="宋体" w:hAnsi="宋体" w:eastAsia="宋体" w:cs="宋体"/>
          <w:color w:val="auto"/>
          <w:highlight w:val="none"/>
        </w:rPr>
      </w:pPr>
    </w:p>
    <w:p w14:paraId="08F4E4CE">
      <w:pPr>
        <w:pStyle w:val="34"/>
        <w:spacing w:beforeAutospacing="0" w:afterAutospacing="0" w:line="360" w:lineRule="auto"/>
        <w:ind w:firstLine="321"/>
        <w:jc w:val="center"/>
        <w:rPr>
          <w:rFonts w:hint="eastAsia" w:ascii="宋体" w:hAnsi="宋体" w:eastAsia="宋体" w:cs="宋体"/>
          <w:color w:val="auto"/>
          <w:highlight w:val="none"/>
        </w:rPr>
      </w:pPr>
    </w:p>
    <w:p w14:paraId="4773397E">
      <w:pPr>
        <w:pStyle w:val="34"/>
        <w:spacing w:beforeAutospacing="0" w:afterAutospacing="0" w:line="360" w:lineRule="auto"/>
        <w:ind w:firstLine="321"/>
        <w:jc w:val="center"/>
        <w:rPr>
          <w:rFonts w:hint="eastAsia" w:ascii="宋体" w:hAnsi="宋体" w:eastAsia="宋体" w:cs="宋体"/>
          <w:color w:val="auto"/>
          <w:highlight w:val="none"/>
        </w:rPr>
      </w:pPr>
    </w:p>
    <w:p w14:paraId="42BAB79D">
      <w:pPr>
        <w:pStyle w:val="34"/>
        <w:spacing w:beforeAutospacing="0" w:afterAutospacing="0" w:line="360" w:lineRule="auto"/>
        <w:ind w:firstLine="321"/>
        <w:jc w:val="center"/>
        <w:rPr>
          <w:rFonts w:hint="eastAsia" w:ascii="宋体" w:hAnsi="宋体" w:eastAsia="宋体" w:cs="宋体"/>
          <w:color w:val="auto"/>
          <w:highlight w:val="none"/>
        </w:rPr>
      </w:pPr>
    </w:p>
    <w:p w14:paraId="5811DD7F">
      <w:pPr>
        <w:pStyle w:val="34"/>
        <w:spacing w:beforeAutospacing="0" w:afterAutospacing="0" w:line="360" w:lineRule="auto"/>
        <w:ind w:firstLine="321"/>
        <w:jc w:val="center"/>
        <w:rPr>
          <w:rFonts w:hint="eastAsia" w:ascii="宋体" w:hAnsi="宋体" w:eastAsia="宋体" w:cs="宋体"/>
          <w:color w:val="auto"/>
          <w:highlight w:val="none"/>
        </w:rPr>
      </w:pPr>
    </w:p>
    <w:p w14:paraId="24BC469A">
      <w:pPr>
        <w:pStyle w:val="34"/>
        <w:spacing w:beforeAutospacing="0" w:afterAutospacing="0" w:line="360" w:lineRule="auto"/>
        <w:ind w:firstLine="321"/>
        <w:jc w:val="center"/>
        <w:rPr>
          <w:rFonts w:hint="eastAsia" w:ascii="宋体" w:hAnsi="宋体" w:eastAsia="宋体" w:cs="宋体"/>
          <w:color w:val="auto"/>
          <w:highlight w:val="none"/>
        </w:rPr>
      </w:pPr>
    </w:p>
    <w:p w14:paraId="04F01DFD">
      <w:pPr>
        <w:pStyle w:val="34"/>
        <w:spacing w:beforeAutospacing="0" w:afterAutospacing="0" w:line="360" w:lineRule="auto"/>
        <w:ind w:firstLine="321"/>
        <w:jc w:val="center"/>
        <w:rPr>
          <w:rFonts w:hint="eastAsia" w:ascii="宋体" w:hAnsi="宋体" w:eastAsia="宋体" w:cs="宋体"/>
          <w:color w:val="auto"/>
          <w:highlight w:val="none"/>
        </w:rPr>
      </w:pPr>
    </w:p>
    <w:p w14:paraId="6E4BF63C">
      <w:pPr>
        <w:pStyle w:val="34"/>
        <w:spacing w:beforeAutospacing="0" w:afterAutospacing="0" w:line="360" w:lineRule="auto"/>
        <w:ind w:firstLine="321"/>
        <w:jc w:val="center"/>
        <w:rPr>
          <w:rFonts w:hint="eastAsia" w:ascii="宋体" w:hAnsi="宋体" w:eastAsia="宋体" w:cs="宋体"/>
          <w:color w:val="auto"/>
          <w:highlight w:val="none"/>
        </w:rPr>
      </w:pPr>
    </w:p>
    <w:p w14:paraId="0C72185E">
      <w:pPr>
        <w:pStyle w:val="34"/>
        <w:spacing w:beforeAutospacing="0" w:afterAutospacing="0" w:line="360" w:lineRule="auto"/>
        <w:ind w:firstLine="321"/>
        <w:jc w:val="center"/>
        <w:rPr>
          <w:rFonts w:hint="eastAsia" w:ascii="宋体" w:hAnsi="宋体" w:eastAsia="宋体" w:cs="宋体"/>
          <w:color w:val="auto"/>
          <w:highlight w:val="none"/>
        </w:rPr>
      </w:pPr>
    </w:p>
    <w:p w14:paraId="4E16E3E4">
      <w:pPr>
        <w:pStyle w:val="34"/>
        <w:spacing w:beforeAutospacing="0" w:afterAutospacing="0" w:line="360" w:lineRule="auto"/>
        <w:ind w:firstLine="321"/>
        <w:jc w:val="center"/>
        <w:rPr>
          <w:rFonts w:hint="eastAsia" w:ascii="宋体" w:hAnsi="宋体" w:eastAsia="宋体" w:cs="宋体"/>
          <w:color w:val="auto"/>
          <w:highlight w:val="none"/>
        </w:rPr>
      </w:pPr>
    </w:p>
    <w:p w14:paraId="741ED059">
      <w:pPr>
        <w:pStyle w:val="34"/>
        <w:spacing w:beforeAutospacing="0" w:afterAutospacing="0" w:line="360" w:lineRule="auto"/>
        <w:ind w:firstLine="321"/>
        <w:jc w:val="center"/>
        <w:rPr>
          <w:rFonts w:hint="eastAsia" w:ascii="宋体" w:hAnsi="宋体" w:eastAsia="宋体" w:cs="宋体"/>
          <w:color w:val="auto"/>
          <w:highlight w:val="none"/>
        </w:rPr>
      </w:pPr>
    </w:p>
    <w:p w14:paraId="6631528E">
      <w:pPr>
        <w:pStyle w:val="34"/>
        <w:spacing w:beforeAutospacing="0" w:afterAutospacing="0" w:line="360" w:lineRule="auto"/>
        <w:ind w:firstLine="321"/>
        <w:jc w:val="center"/>
        <w:rPr>
          <w:rFonts w:hint="eastAsia" w:ascii="宋体" w:hAnsi="宋体" w:eastAsia="宋体" w:cs="宋体"/>
          <w:color w:val="auto"/>
          <w:highlight w:val="none"/>
        </w:rPr>
      </w:pPr>
    </w:p>
    <w:p w14:paraId="14DA8163">
      <w:pPr>
        <w:pStyle w:val="34"/>
        <w:spacing w:beforeAutospacing="0" w:afterAutospacing="0" w:line="0" w:lineRule="atLeast"/>
        <w:ind w:firstLine="321"/>
        <w:jc w:val="cente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rPr>
        <w:t>十三、</w:t>
      </w:r>
      <w:r>
        <w:rPr>
          <w:rFonts w:hint="eastAsia" w:ascii="黑体" w:hAnsi="宋体" w:eastAsia="黑体" w:cs="黑体"/>
          <w:b/>
          <w:color w:val="auto"/>
          <w:sz w:val="32"/>
          <w:szCs w:val="32"/>
          <w:highlight w:val="none"/>
          <w:lang w:eastAsia="zh-CN"/>
        </w:rPr>
        <w:t>中</w:t>
      </w:r>
      <w:r>
        <w:rPr>
          <w:rFonts w:hint="eastAsia" w:ascii="黑体" w:hAnsi="宋体" w:eastAsia="黑体" w:cs="黑体"/>
          <w:b/>
          <w:color w:val="auto"/>
          <w:sz w:val="32"/>
          <w:szCs w:val="32"/>
          <w:highlight w:val="none"/>
        </w:rPr>
        <w:t>小企业声明函（</w:t>
      </w:r>
      <w:r>
        <w:rPr>
          <w:rFonts w:hint="eastAsia" w:ascii="黑体" w:hAnsi="宋体" w:eastAsia="黑体" w:cs="黑体"/>
          <w:b/>
          <w:color w:val="auto"/>
          <w:sz w:val="32"/>
          <w:szCs w:val="32"/>
          <w:highlight w:val="none"/>
          <w:lang w:val="en-US" w:eastAsia="zh-CN"/>
        </w:rPr>
        <w:t>服务</w:t>
      </w:r>
      <w:r>
        <w:rPr>
          <w:rFonts w:hint="eastAsia" w:ascii="黑体" w:hAnsi="宋体" w:eastAsia="黑体" w:cs="黑体"/>
          <w:b/>
          <w:color w:val="auto"/>
          <w:sz w:val="32"/>
          <w:szCs w:val="32"/>
          <w:highlight w:val="none"/>
        </w:rPr>
        <w:t>）</w:t>
      </w:r>
    </w:p>
    <w:p w14:paraId="74790DFC">
      <w:pPr>
        <w:widowControl/>
        <w:spacing w:before="100" w:beforeAutospacing="1" w:after="100" w:afterAutospacing="1" w:line="435" w:lineRule="exact"/>
        <w:ind w:firstLine="480"/>
        <w:jc w:val="left"/>
        <w:rPr>
          <w:rFonts w:hint="eastAsia" w:ascii="仿宋_GB2312" w:eastAsia="仿宋_GB2312"/>
          <w:color w:val="auto"/>
          <w:sz w:val="24"/>
          <w:szCs w:val="24"/>
          <w:highlight w:val="none"/>
        </w:rPr>
      </w:pPr>
    </w:p>
    <w:p w14:paraId="12D1A02C">
      <w:pPr>
        <w:widowControl/>
        <w:spacing w:before="100" w:beforeAutospacing="1" w:after="100" w:afterAutospacing="1" w:line="435"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i/>
          <w:iCs/>
          <w:color w:val="auto"/>
          <w:sz w:val="24"/>
          <w:szCs w:val="24"/>
          <w:highlight w:val="none"/>
          <w:u w:val="single"/>
        </w:rPr>
        <w:t>（单位名称）</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的</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i/>
          <w:iCs/>
          <w:color w:val="auto"/>
          <w:sz w:val="24"/>
          <w:szCs w:val="24"/>
          <w:highlight w:val="none"/>
          <w:u w:val="single"/>
        </w:rPr>
        <w:t>（项目名称）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w:t>
      </w:r>
      <w:r>
        <w:rPr>
          <w:rFonts w:hint="eastAsia" w:ascii="宋体" w:hAnsi="宋体" w:eastAsia="宋体" w:cs="宋体"/>
          <w:color w:val="auto"/>
          <w:sz w:val="24"/>
          <w:szCs w:val="24"/>
          <w:highlight w:val="none"/>
        </w:rPr>
        <w:t>购活动，</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全部由符合政策要求的中小企业</w:t>
      </w:r>
      <w:r>
        <w:rPr>
          <w:rFonts w:hint="eastAsia" w:ascii="宋体" w:hAnsi="宋体" w:eastAsia="宋体" w:cs="宋体"/>
          <w:color w:val="auto"/>
          <w:sz w:val="24"/>
          <w:szCs w:val="24"/>
          <w:highlight w:val="none"/>
          <w:lang w:val="en-US" w:eastAsia="zh-CN"/>
        </w:rPr>
        <w:t>承接</w:t>
      </w:r>
      <w:r>
        <w:rPr>
          <w:rFonts w:hint="eastAsia" w:ascii="宋体" w:hAnsi="宋体" w:eastAsia="宋体" w:cs="宋体"/>
          <w:color w:val="auto"/>
          <w:sz w:val="24"/>
          <w:szCs w:val="24"/>
          <w:highlight w:val="none"/>
        </w:rPr>
        <w:t>。相关企业（含联合体中的中小企业、签订分包意向协议的中小企业）的具体情况如下：</w:t>
      </w:r>
    </w:p>
    <w:p w14:paraId="656409A5">
      <w:pPr>
        <w:widowControl/>
        <w:spacing w:before="100" w:beforeAutospacing="1" w:after="100" w:afterAutospacing="1" w:line="435" w:lineRule="exact"/>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i/>
          <w:iCs/>
          <w:color w:val="auto"/>
          <w:sz w:val="24"/>
          <w:szCs w:val="24"/>
          <w:highlight w:val="none"/>
          <w:u w:val="single"/>
          <w:lang w:bidi="ar"/>
        </w:rPr>
        <w:t>（</w:t>
      </w:r>
      <w:r>
        <w:rPr>
          <w:rFonts w:hint="eastAsia" w:ascii="宋体" w:hAnsi="宋体" w:eastAsia="宋体" w:cs="宋体"/>
          <w:i/>
          <w:iCs/>
          <w:color w:val="auto"/>
          <w:sz w:val="24"/>
          <w:szCs w:val="24"/>
          <w:highlight w:val="none"/>
          <w:u w:val="single"/>
        </w:rPr>
        <w:t>标的名称）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（采购文件中明确的所属行业）</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行业；</w:t>
      </w:r>
      <w:r>
        <w:rPr>
          <w:rFonts w:hint="eastAsia" w:ascii="宋体" w:hAnsi="宋体" w:eastAsia="宋体" w:cs="宋体"/>
          <w:color w:val="auto"/>
          <w:sz w:val="24"/>
          <w:szCs w:val="24"/>
          <w:highlight w:val="none"/>
          <w:lang w:val="en-US" w:eastAsia="zh-CN"/>
        </w:rPr>
        <w:t>承接企业</w:t>
      </w:r>
      <w:r>
        <w:rPr>
          <w:rFonts w:hint="eastAsia" w:ascii="宋体" w:hAnsi="宋体" w:eastAsia="宋体" w:cs="宋体"/>
          <w:color w:val="auto"/>
          <w:sz w:val="24"/>
          <w:szCs w:val="24"/>
          <w:highlight w:val="none"/>
        </w:rPr>
        <w:t xml:space="preserve">为 </w:t>
      </w:r>
      <w:r>
        <w:rPr>
          <w:rFonts w:hint="eastAsia" w:ascii="宋体" w:hAnsi="宋体" w:eastAsia="宋体" w:cs="宋体"/>
          <w:color w:val="auto"/>
          <w:sz w:val="24"/>
          <w:szCs w:val="24"/>
          <w:highlight w:val="none"/>
          <w:u w:val="single"/>
        </w:rPr>
        <w:t xml:space="preserve">    </w:t>
      </w:r>
      <w:r>
        <w:rPr>
          <w:rFonts w:hint="eastAsia" w:ascii="宋体" w:hAnsi="宋体" w:eastAsia="宋体" w:cs="宋体"/>
          <w:i/>
          <w:iCs/>
          <w:color w:val="auto"/>
          <w:sz w:val="24"/>
          <w:szCs w:val="24"/>
          <w:highlight w:val="none"/>
          <w:u w:val="single"/>
        </w:rPr>
        <w:t>（企业名称）</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人，</w:t>
      </w:r>
      <w:r>
        <w:rPr>
          <w:rFonts w:hint="eastAsia" w:ascii="宋体" w:hAnsi="宋体" w:eastAsia="宋体" w:cs="宋体"/>
          <w:color w:val="auto"/>
          <w:sz w:val="24"/>
          <w:szCs w:val="24"/>
          <w:highlight w:val="none"/>
        </w:rPr>
        <w:t>营业收入为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w:t>
      </w:r>
      <w:r>
        <w:rPr>
          <w:rFonts w:hint="eastAsia" w:ascii="宋体" w:hAnsi="宋体" w:eastAsia="宋体" w:cs="宋体"/>
          <w:color w:val="auto"/>
          <w:sz w:val="24"/>
          <w:szCs w:val="24"/>
          <w:highlight w:val="none"/>
        </w:rPr>
        <w:t>资产总额为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w:t>
      </w:r>
      <w:r>
        <w:rPr>
          <w:rFonts w:hint="eastAsia" w:ascii="宋体" w:hAnsi="宋体" w:eastAsia="宋体" w:cs="宋体"/>
          <w:color w:val="auto"/>
          <w:sz w:val="24"/>
          <w:szCs w:val="24"/>
          <w:highlight w:val="none"/>
        </w:rPr>
        <w:t>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i/>
          <w:iCs/>
          <w:color w:val="auto"/>
          <w:sz w:val="24"/>
          <w:szCs w:val="24"/>
          <w:highlight w:val="none"/>
          <w:u w:val="single"/>
        </w:rPr>
        <w:t>（中型企业、小型企业、微型企业）</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bidi="ar"/>
        </w:rPr>
        <w:t>；</w:t>
      </w:r>
    </w:p>
    <w:p w14:paraId="521C8424">
      <w:pPr>
        <w:widowControl/>
        <w:spacing w:before="100" w:beforeAutospacing="1" w:after="100" w:afterAutospacing="1" w:line="435"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i/>
          <w:iCs/>
          <w:color w:val="auto"/>
          <w:sz w:val="24"/>
          <w:szCs w:val="24"/>
          <w:highlight w:val="none"/>
          <w:u w:val="single"/>
          <w:lang w:bidi="ar"/>
        </w:rPr>
        <w:t>（</w:t>
      </w:r>
      <w:r>
        <w:rPr>
          <w:rFonts w:hint="eastAsia" w:ascii="宋体" w:hAnsi="宋体" w:eastAsia="宋体" w:cs="宋体"/>
          <w:i/>
          <w:iCs/>
          <w:color w:val="auto"/>
          <w:sz w:val="24"/>
          <w:szCs w:val="24"/>
          <w:highlight w:val="none"/>
          <w:u w:val="single"/>
        </w:rPr>
        <w:t>标的名称）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（采购文件中明确的所属行业）</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行业；</w:t>
      </w:r>
      <w:r>
        <w:rPr>
          <w:rFonts w:hint="eastAsia" w:ascii="宋体" w:hAnsi="宋体" w:eastAsia="宋体" w:cs="宋体"/>
          <w:color w:val="auto"/>
          <w:sz w:val="24"/>
          <w:szCs w:val="24"/>
          <w:highlight w:val="none"/>
          <w:lang w:val="en-US" w:eastAsia="zh-CN"/>
        </w:rPr>
        <w:t>承接企业</w:t>
      </w:r>
      <w:r>
        <w:rPr>
          <w:rFonts w:hint="eastAsia" w:ascii="宋体" w:hAnsi="宋体" w:eastAsia="宋体" w:cs="宋体"/>
          <w:color w:val="auto"/>
          <w:sz w:val="24"/>
          <w:szCs w:val="24"/>
          <w:highlight w:val="none"/>
        </w:rPr>
        <w:t xml:space="preserve">为 </w:t>
      </w:r>
      <w:r>
        <w:rPr>
          <w:rFonts w:hint="eastAsia" w:ascii="宋体" w:hAnsi="宋体" w:eastAsia="宋体" w:cs="宋体"/>
          <w:color w:val="auto"/>
          <w:sz w:val="24"/>
          <w:szCs w:val="24"/>
          <w:highlight w:val="none"/>
          <w:u w:val="single"/>
        </w:rPr>
        <w:t xml:space="preserve">    </w:t>
      </w:r>
      <w:r>
        <w:rPr>
          <w:rFonts w:hint="eastAsia" w:ascii="宋体" w:hAnsi="宋体" w:eastAsia="宋体" w:cs="宋体"/>
          <w:i/>
          <w:iCs/>
          <w:color w:val="auto"/>
          <w:sz w:val="24"/>
          <w:szCs w:val="24"/>
          <w:highlight w:val="none"/>
          <w:u w:val="single"/>
        </w:rPr>
        <w:t>（企业名称）</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人，</w:t>
      </w:r>
      <w:r>
        <w:rPr>
          <w:rFonts w:hint="eastAsia" w:ascii="宋体" w:hAnsi="宋体" w:eastAsia="宋体" w:cs="宋体"/>
          <w:color w:val="auto"/>
          <w:sz w:val="24"/>
          <w:szCs w:val="24"/>
          <w:highlight w:val="none"/>
        </w:rPr>
        <w:t>营业收入为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w:t>
      </w:r>
      <w:r>
        <w:rPr>
          <w:rFonts w:hint="eastAsia" w:ascii="宋体" w:hAnsi="宋体" w:eastAsia="宋体" w:cs="宋体"/>
          <w:color w:val="auto"/>
          <w:sz w:val="24"/>
          <w:szCs w:val="24"/>
          <w:highlight w:val="none"/>
        </w:rPr>
        <w:t>资产总额为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w:t>
      </w:r>
      <w:r>
        <w:rPr>
          <w:rFonts w:hint="eastAsia" w:ascii="宋体" w:hAnsi="宋体" w:eastAsia="宋体" w:cs="宋体"/>
          <w:color w:val="auto"/>
          <w:sz w:val="24"/>
          <w:szCs w:val="24"/>
          <w:highlight w:val="none"/>
        </w:rPr>
        <w:t>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i/>
          <w:iCs/>
          <w:color w:val="auto"/>
          <w:sz w:val="24"/>
          <w:szCs w:val="24"/>
          <w:highlight w:val="none"/>
          <w:u w:val="single"/>
        </w:rPr>
        <w:t>（中型企业、小型企业、微型企业）</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bidi="ar"/>
        </w:rPr>
        <w:t>；</w:t>
      </w:r>
    </w:p>
    <w:p w14:paraId="2758EEAC">
      <w:pPr>
        <w:widowControl/>
        <w:spacing w:before="100" w:beforeAutospacing="1" w:after="100" w:afterAutospacing="1" w:line="435"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w:t>
      </w:r>
    </w:p>
    <w:p w14:paraId="724F6602">
      <w:pPr>
        <w:widowControl/>
        <w:spacing w:before="100" w:beforeAutospacing="1" w:after="100" w:afterAutospacing="1" w:line="435"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3227AEDC">
      <w:pPr>
        <w:widowControl/>
        <w:spacing w:before="100" w:beforeAutospacing="1" w:after="100" w:afterAutospacing="1" w:line="435"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19CBAD85">
      <w:pPr>
        <w:keepNext w:val="0"/>
        <w:keepLines w:val="0"/>
        <w:pageBreakBefore w:val="0"/>
        <w:widowControl/>
        <w:kinsoku/>
        <w:wordWrap/>
        <w:overflowPunct/>
        <w:topLinePunct w:val="0"/>
        <w:autoSpaceDE/>
        <w:autoSpaceDN/>
        <w:bidi w:val="0"/>
        <w:adjustRightInd/>
        <w:snapToGrid/>
        <w:spacing w:before="100" w:beforeAutospacing="1" w:after="100" w:afterAutospacing="1" w:line="435" w:lineRule="exact"/>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企业名称</w:t>
      </w:r>
      <w:r>
        <w:rPr>
          <w:rFonts w:hint="eastAsia" w:ascii="宋体" w:hAnsi="宋体" w:eastAsia="宋体" w:cs="宋体"/>
          <w:b/>
          <w:bCs/>
          <w:color w:val="auto"/>
          <w:sz w:val="32"/>
          <w:szCs w:val="32"/>
          <w:highlight w:val="none"/>
          <w:lang w:val="en-US" w:eastAsia="zh-CN" w:bidi="ar-SA"/>
        </w:rPr>
        <w:t>（加盖CA电子公章）</w:t>
      </w:r>
      <w:r>
        <w:rPr>
          <w:rFonts w:hint="eastAsia" w:ascii="宋体" w:hAnsi="宋体" w:eastAsia="宋体" w:cs="宋体"/>
          <w:color w:val="auto"/>
          <w:sz w:val="24"/>
          <w:szCs w:val="24"/>
          <w:highlight w:val="none"/>
        </w:rPr>
        <w:t>：</w:t>
      </w:r>
    </w:p>
    <w:p w14:paraId="16036499">
      <w:pPr>
        <w:widowControl/>
        <w:spacing w:before="100" w:beforeAutospacing="1" w:after="100" w:afterAutospacing="1" w:line="435" w:lineRule="exact"/>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 期：</w:t>
      </w:r>
    </w:p>
    <w:p w14:paraId="70863833">
      <w:pPr>
        <w:pStyle w:val="34"/>
        <w:keepNext w:val="0"/>
        <w:keepLines w:val="0"/>
        <w:pageBreakBefore w:val="0"/>
        <w:widowControl w:val="0"/>
        <w:spacing w:beforeAutospacing="0" w:afterAutospacing="0" w:line="52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0D6DFFCD">
      <w:pPr>
        <w:pStyle w:val="34"/>
        <w:keepNext w:val="0"/>
        <w:keepLines w:val="0"/>
        <w:pageBreakBefore w:val="0"/>
        <w:widowControl w:val="0"/>
        <w:spacing w:beforeAutospacing="0" w:afterAutospacing="0" w:line="52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40DF0152">
      <w:pPr>
        <w:pStyle w:val="34"/>
        <w:spacing w:beforeAutospacing="0" w:afterAutospacing="0" w:line="360" w:lineRule="auto"/>
        <w:ind w:firstLine="321"/>
        <w:jc w:val="center"/>
        <w:rPr>
          <w:rFonts w:hint="eastAsia" w:ascii="宋体" w:hAnsi="宋体" w:eastAsia="宋体" w:cs="宋体"/>
          <w:color w:val="auto"/>
          <w:highlight w:val="none"/>
        </w:rPr>
      </w:pPr>
    </w:p>
    <w:p w14:paraId="48DA2E1A">
      <w:pPr>
        <w:pStyle w:val="34"/>
        <w:spacing w:beforeAutospacing="0" w:afterAutospacing="0" w:line="360" w:lineRule="auto"/>
        <w:ind w:firstLine="321"/>
        <w:jc w:val="center"/>
        <w:rPr>
          <w:rFonts w:hint="eastAsia" w:ascii="宋体" w:hAnsi="宋体" w:eastAsia="宋体" w:cs="宋体"/>
          <w:color w:val="auto"/>
          <w:highlight w:val="none"/>
        </w:rPr>
      </w:pPr>
    </w:p>
    <w:p w14:paraId="70EDDB60">
      <w:pPr>
        <w:pStyle w:val="34"/>
        <w:numPr>
          <w:ilvl w:val="0"/>
          <w:numId w:val="0"/>
        </w:numPr>
        <w:spacing w:beforeAutospacing="0" w:afterAutospacing="0" w:line="0" w:lineRule="atLeast"/>
        <w:ind w:left="321"/>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十四、</w:t>
      </w:r>
      <w:r>
        <w:rPr>
          <w:rFonts w:hint="eastAsia" w:ascii="宋体" w:hAnsi="宋体" w:eastAsia="宋体" w:cs="宋体"/>
          <w:b/>
          <w:color w:val="auto"/>
          <w:sz w:val="32"/>
          <w:szCs w:val="32"/>
          <w:highlight w:val="none"/>
        </w:rPr>
        <w:t>残疾人福利性单位声明函</w:t>
      </w:r>
    </w:p>
    <w:p w14:paraId="49ADF284">
      <w:pPr>
        <w:pStyle w:val="34"/>
        <w:widowControl w:val="0"/>
        <w:numPr>
          <w:ilvl w:val="0"/>
          <w:numId w:val="0"/>
        </w:numPr>
        <w:spacing w:beforeAutospacing="0" w:afterAutospacing="0" w:line="0" w:lineRule="atLeast"/>
        <w:jc w:val="center"/>
        <w:rPr>
          <w:rFonts w:hint="eastAsia" w:ascii="宋体" w:hAnsi="宋体" w:eastAsia="宋体" w:cs="宋体"/>
          <w:b/>
          <w:color w:val="auto"/>
          <w:sz w:val="32"/>
          <w:szCs w:val="32"/>
          <w:highlight w:val="none"/>
        </w:rPr>
      </w:pPr>
    </w:p>
    <w:p w14:paraId="42C7F57A">
      <w:pPr>
        <w:pStyle w:val="34"/>
        <w:keepNext w:val="0"/>
        <w:keepLines w:val="0"/>
        <w:pageBreakBefore w:val="0"/>
        <w:widowControl w:val="0"/>
        <w:spacing w:beforeAutospacing="0" w:afterAutospacing="0" w:line="520" w:lineRule="exact"/>
        <w:ind w:firstLine="482"/>
        <w:jc w:val="both"/>
        <w:rPr>
          <w:rFonts w:hint="eastAsia" w:ascii="宋体" w:hAnsi="宋体" w:eastAsia="宋体" w:cs="宋体"/>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项目采购活动提供本单位制造的货物，或者提供其他残疾人福利性单位制造的货物（不包括使用非残疾人福利性单位注册商标的货物）。</w:t>
      </w:r>
    </w:p>
    <w:p w14:paraId="0E7CD5AE">
      <w:pPr>
        <w:pStyle w:val="34"/>
        <w:keepNext w:val="0"/>
        <w:keepLines w:val="0"/>
        <w:pageBreakBefore w:val="0"/>
        <w:widowControl w:val="0"/>
        <w:spacing w:beforeAutospacing="0" w:afterAutospacing="0" w:line="520" w:lineRule="exact"/>
        <w:ind w:firstLine="482"/>
        <w:jc w:val="both"/>
        <w:rPr>
          <w:rFonts w:hint="eastAsia" w:ascii="宋体" w:hAnsi="宋体" w:eastAsia="宋体" w:cs="宋体"/>
          <w:color w:val="auto"/>
          <w:highlight w:val="none"/>
        </w:rPr>
      </w:pPr>
      <w:r>
        <w:rPr>
          <w:rFonts w:hint="eastAsia" w:ascii="宋体" w:hAnsi="宋体" w:eastAsia="宋体" w:cs="宋体"/>
          <w:color w:val="auto"/>
          <w:highlight w:val="none"/>
        </w:rPr>
        <w:t>本单位对上述声明的真实性负责。如有虚假，将依法承担相应责任。</w:t>
      </w:r>
    </w:p>
    <w:p w14:paraId="3C4B8F34">
      <w:pPr>
        <w:pStyle w:val="34"/>
        <w:keepNext w:val="0"/>
        <w:keepLines w:val="0"/>
        <w:pageBreakBefore w:val="0"/>
        <w:widowControl w:val="0"/>
        <w:spacing w:beforeAutospacing="0" w:afterAutospacing="0" w:line="520" w:lineRule="exact"/>
        <w:ind w:firstLine="482"/>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2890812">
      <w:pPr>
        <w:pStyle w:val="34"/>
        <w:keepNext w:val="0"/>
        <w:keepLines w:val="0"/>
        <w:pageBreakBefore w:val="0"/>
        <w:widowControl w:val="0"/>
        <w:spacing w:beforeAutospacing="0" w:afterAutospacing="0" w:line="520" w:lineRule="exact"/>
        <w:ind w:firstLine="482"/>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备注：1、供应商如不提供此声明函，价格将不做相应扣除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。2、中标供应商为残疾人福利单位的，此声明函将随中标结果同时公告，接受社会监督</w:t>
      </w:r>
      <w:r>
        <w:rPr>
          <w:rFonts w:hint="eastAsia" w:ascii="宋体" w:hAnsi="宋体" w:eastAsia="宋体" w:cs="宋体"/>
          <w:color w:val="auto"/>
          <w:highlight w:val="none"/>
          <w:lang w:eastAsia="zh-CN"/>
        </w:rPr>
        <w:t>。</w:t>
      </w:r>
    </w:p>
    <w:p w14:paraId="6E65B23D">
      <w:pPr>
        <w:pStyle w:val="34"/>
        <w:spacing w:beforeAutospacing="0" w:afterAutospacing="0" w:line="0" w:lineRule="atLeast"/>
        <w:ind w:firstLine="624"/>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AB7AE0B">
      <w:pPr>
        <w:pStyle w:val="34"/>
        <w:tabs>
          <w:tab w:val="left" w:pos="4864"/>
        </w:tabs>
        <w:spacing w:beforeAutospacing="0" w:afterAutospacing="0" w:line="0" w:lineRule="atLeast"/>
        <w:ind w:right="1560" w:firstLine="624"/>
        <w:jc w:val="center"/>
        <w:rPr>
          <w:rFonts w:hint="eastAsia" w:ascii="宋体" w:hAnsi="宋体" w:eastAsia="宋体" w:cs="宋体"/>
          <w:color w:val="auto"/>
          <w:highlight w:val="none"/>
        </w:rPr>
      </w:pPr>
      <w:r>
        <w:rPr>
          <w:rFonts w:hint="eastAsia" w:ascii="宋体" w:hAnsi="宋体" w:eastAsia="宋体" w:cs="宋体"/>
          <w:color w:val="auto"/>
          <w:sz w:val="30"/>
          <w:szCs w:val="30"/>
          <w:highlight w:val="none"/>
        </w:rPr>
        <w:t>     </w:t>
      </w:r>
      <w:r>
        <w:rPr>
          <w:rFonts w:hint="eastAsia" w:ascii="宋体" w:hAnsi="宋体" w:eastAsia="宋体" w:cs="宋体"/>
          <w:color w:val="auto"/>
          <w:highlight w:val="none"/>
        </w:rPr>
        <w:t>供应商全称</w:t>
      </w:r>
      <w:r>
        <w:rPr>
          <w:rFonts w:hint="eastAsia" w:ascii="宋体" w:hAnsi="宋体" w:eastAsia="宋体" w:cs="宋体"/>
          <w:b/>
          <w:bCs/>
          <w:color w:val="auto"/>
          <w:sz w:val="32"/>
          <w:szCs w:val="32"/>
          <w:highlight w:val="none"/>
          <w:lang w:val="en-US" w:eastAsia="zh-CN" w:bidi="ar-SA"/>
        </w:rPr>
        <w:t>（加盖CA电子公章）</w:t>
      </w:r>
      <w:r>
        <w:rPr>
          <w:rFonts w:hint="eastAsia" w:ascii="宋体" w:hAnsi="宋体" w:eastAsia="宋体" w:cs="宋体"/>
          <w:color w:val="auto"/>
          <w:highlight w:val="none"/>
        </w:rPr>
        <w:t>：</w:t>
      </w:r>
    </w:p>
    <w:p w14:paraId="0F7647C1">
      <w:pPr>
        <w:pStyle w:val="34"/>
        <w:tabs>
          <w:tab w:val="left" w:pos="4864"/>
        </w:tabs>
        <w:spacing w:beforeAutospacing="0" w:afterAutospacing="0" w:line="0" w:lineRule="atLeast"/>
        <w:ind w:right="1560"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        日  期：</w:t>
      </w:r>
    </w:p>
    <w:p w14:paraId="3DEC357A">
      <w:pPr>
        <w:pStyle w:val="34"/>
        <w:numPr>
          <w:ilvl w:val="-1"/>
          <w:numId w:val="0"/>
        </w:numPr>
        <w:spacing w:beforeAutospacing="0" w:afterAutospacing="0"/>
        <w:ind w:firstLine="0"/>
        <w:jc w:val="center"/>
        <w:rPr>
          <w:rFonts w:hint="eastAsia" w:ascii="黑体" w:hAnsi="宋体" w:eastAsia="黑体" w:cs="黑体"/>
          <w:b/>
          <w:color w:val="auto"/>
          <w:sz w:val="32"/>
          <w:szCs w:val="32"/>
          <w:highlight w:val="yellow"/>
          <w:lang w:val="en-US" w:eastAsia="zh-CN"/>
        </w:rPr>
      </w:pPr>
    </w:p>
    <w:p w14:paraId="73B7B8AC">
      <w:pPr>
        <w:pStyle w:val="34"/>
        <w:numPr>
          <w:ilvl w:val="-1"/>
          <w:numId w:val="0"/>
        </w:numPr>
        <w:spacing w:beforeAutospacing="0" w:afterAutospacing="0"/>
        <w:ind w:firstLine="0"/>
        <w:jc w:val="center"/>
        <w:rPr>
          <w:rFonts w:hint="eastAsia" w:ascii="黑体" w:hAnsi="宋体" w:eastAsia="黑体" w:cs="黑体"/>
          <w:b/>
          <w:color w:val="auto"/>
          <w:sz w:val="32"/>
          <w:szCs w:val="32"/>
          <w:highlight w:val="yellow"/>
          <w:lang w:val="en-US" w:eastAsia="zh-CN"/>
        </w:rPr>
      </w:pPr>
    </w:p>
    <w:p w14:paraId="7DC04750">
      <w:pPr>
        <w:pStyle w:val="34"/>
        <w:numPr>
          <w:ilvl w:val="-1"/>
          <w:numId w:val="0"/>
        </w:numPr>
        <w:spacing w:beforeAutospacing="0" w:afterAutospacing="0"/>
        <w:ind w:firstLine="0"/>
        <w:jc w:val="center"/>
        <w:rPr>
          <w:rFonts w:hint="eastAsia" w:ascii="黑体" w:hAnsi="宋体" w:eastAsia="黑体" w:cs="黑体"/>
          <w:b/>
          <w:color w:val="auto"/>
          <w:sz w:val="32"/>
          <w:szCs w:val="32"/>
          <w:highlight w:val="yellow"/>
          <w:lang w:val="en-US" w:eastAsia="zh-CN"/>
        </w:rPr>
      </w:pPr>
    </w:p>
    <w:p w14:paraId="3E81F8F6">
      <w:pPr>
        <w:pStyle w:val="34"/>
        <w:numPr>
          <w:ilvl w:val="-1"/>
          <w:numId w:val="0"/>
        </w:numPr>
        <w:spacing w:beforeAutospacing="0" w:afterAutospacing="0"/>
        <w:ind w:firstLine="0"/>
        <w:jc w:val="center"/>
        <w:rPr>
          <w:rFonts w:hint="eastAsia" w:ascii="黑体" w:hAnsi="宋体" w:eastAsia="黑体" w:cs="黑体"/>
          <w:b/>
          <w:color w:val="auto"/>
          <w:sz w:val="32"/>
          <w:szCs w:val="32"/>
          <w:highlight w:val="yellow"/>
          <w:lang w:val="en-US" w:eastAsia="zh-CN"/>
        </w:rPr>
      </w:pPr>
    </w:p>
    <w:p w14:paraId="15979EA6">
      <w:pPr>
        <w:pStyle w:val="34"/>
        <w:numPr>
          <w:ilvl w:val="-1"/>
          <w:numId w:val="0"/>
        </w:numPr>
        <w:spacing w:beforeAutospacing="0" w:afterAutospacing="0"/>
        <w:ind w:firstLine="0"/>
        <w:jc w:val="center"/>
        <w:rPr>
          <w:rFonts w:hint="eastAsia" w:ascii="黑体" w:hAnsi="宋体" w:eastAsia="黑体" w:cs="黑体"/>
          <w:b/>
          <w:color w:val="auto"/>
          <w:sz w:val="32"/>
          <w:szCs w:val="32"/>
          <w:highlight w:val="yellow"/>
          <w:lang w:val="en-US" w:eastAsia="zh-CN"/>
        </w:rPr>
      </w:pPr>
    </w:p>
    <w:p w14:paraId="5B246889">
      <w:pPr>
        <w:pStyle w:val="34"/>
        <w:numPr>
          <w:ilvl w:val="-1"/>
          <w:numId w:val="0"/>
        </w:numPr>
        <w:spacing w:beforeAutospacing="0" w:afterAutospacing="0"/>
        <w:ind w:firstLine="0"/>
        <w:jc w:val="center"/>
        <w:rPr>
          <w:rFonts w:hint="eastAsia" w:ascii="黑体" w:hAnsi="宋体" w:eastAsia="黑体" w:cs="黑体"/>
          <w:b/>
          <w:color w:val="auto"/>
          <w:sz w:val="32"/>
          <w:szCs w:val="32"/>
          <w:highlight w:val="yellow"/>
          <w:lang w:val="en-US" w:eastAsia="zh-CN"/>
        </w:rPr>
      </w:pPr>
    </w:p>
    <w:p w14:paraId="43EE9E7C">
      <w:pPr>
        <w:pStyle w:val="34"/>
        <w:numPr>
          <w:ilvl w:val="-1"/>
          <w:numId w:val="0"/>
        </w:numPr>
        <w:spacing w:beforeAutospacing="0" w:afterAutospacing="0"/>
        <w:ind w:firstLine="0"/>
        <w:jc w:val="center"/>
        <w:rPr>
          <w:rFonts w:hint="eastAsia" w:ascii="黑体" w:hAnsi="宋体" w:eastAsia="黑体" w:cs="黑体"/>
          <w:b/>
          <w:color w:val="auto"/>
          <w:sz w:val="32"/>
          <w:szCs w:val="32"/>
          <w:highlight w:val="yellow"/>
          <w:lang w:val="en-US" w:eastAsia="zh-CN"/>
        </w:rPr>
      </w:pPr>
    </w:p>
    <w:p w14:paraId="0489D05D">
      <w:pPr>
        <w:pStyle w:val="34"/>
        <w:numPr>
          <w:ilvl w:val="-1"/>
          <w:numId w:val="0"/>
        </w:numPr>
        <w:spacing w:beforeAutospacing="0" w:afterAutospacing="0"/>
        <w:ind w:firstLine="0"/>
        <w:jc w:val="center"/>
        <w:rPr>
          <w:rFonts w:hint="eastAsia" w:ascii="黑体" w:hAnsi="宋体" w:eastAsia="黑体" w:cs="黑体"/>
          <w:b/>
          <w:color w:val="auto"/>
          <w:sz w:val="32"/>
          <w:szCs w:val="32"/>
          <w:highlight w:val="yellow"/>
          <w:lang w:val="en-US" w:eastAsia="zh-CN"/>
        </w:rPr>
      </w:pPr>
    </w:p>
    <w:p w14:paraId="7719E558">
      <w:pPr>
        <w:pStyle w:val="34"/>
        <w:numPr>
          <w:ilvl w:val="-1"/>
          <w:numId w:val="0"/>
        </w:numPr>
        <w:spacing w:beforeAutospacing="0" w:afterAutospacing="0"/>
        <w:ind w:firstLine="0"/>
        <w:jc w:val="center"/>
        <w:rPr>
          <w:rFonts w:hint="eastAsia" w:ascii="黑体" w:hAnsi="宋体" w:eastAsia="黑体" w:cs="黑体"/>
          <w:b/>
          <w:color w:val="auto"/>
          <w:sz w:val="32"/>
          <w:szCs w:val="32"/>
          <w:highlight w:val="yellow"/>
          <w:lang w:val="en-US" w:eastAsia="zh-CN"/>
        </w:rPr>
      </w:pPr>
    </w:p>
    <w:p w14:paraId="2556CDC9">
      <w:pPr>
        <w:pStyle w:val="34"/>
        <w:numPr>
          <w:ilvl w:val="-1"/>
          <w:numId w:val="0"/>
        </w:numPr>
        <w:spacing w:beforeAutospacing="0" w:afterAutospacing="0"/>
        <w:ind w:firstLine="0"/>
        <w:jc w:val="center"/>
        <w:rPr>
          <w:rFonts w:hint="eastAsia" w:ascii="黑体" w:hAnsi="宋体" w:eastAsia="黑体" w:cs="黑体"/>
          <w:b/>
          <w:color w:val="auto"/>
          <w:sz w:val="32"/>
          <w:szCs w:val="32"/>
          <w:highlight w:val="yellow"/>
          <w:lang w:val="en-US" w:eastAsia="zh-CN"/>
        </w:rPr>
      </w:pPr>
    </w:p>
    <w:p w14:paraId="1CC97F67">
      <w:pPr>
        <w:pStyle w:val="34"/>
        <w:numPr>
          <w:ilvl w:val="-1"/>
          <w:numId w:val="0"/>
        </w:numPr>
        <w:spacing w:beforeAutospacing="0" w:afterAutospacing="0"/>
        <w:ind w:firstLine="0"/>
        <w:jc w:val="center"/>
        <w:rPr>
          <w:rFonts w:hint="eastAsia" w:ascii="黑体" w:hAnsi="宋体" w:eastAsia="黑体" w:cs="黑体"/>
          <w:b/>
          <w:color w:val="auto"/>
          <w:sz w:val="32"/>
          <w:szCs w:val="32"/>
          <w:highlight w:val="yellow"/>
          <w:lang w:val="en-US" w:eastAsia="zh-CN"/>
        </w:rPr>
      </w:pPr>
    </w:p>
    <w:p w14:paraId="6D907BB8">
      <w:pPr>
        <w:pStyle w:val="34"/>
        <w:numPr>
          <w:ilvl w:val="-1"/>
          <w:numId w:val="0"/>
        </w:numPr>
        <w:spacing w:beforeAutospacing="0" w:afterAutospacing="0"/>
        <w:ind w:firstLine="0"/>
        <w:jc w:val="center"/>
        <w:rPr>
          <w:rFonts w:hint="eastAsia" w:ascii="黑体" w:hAnsi="宋体" w:eastAsia="黑体" w:cs="黑体"/>
          <w:b/>
          <w:color w:val="auto"/>
          <w:sz w:val="32"/>
          <w:szCs w:val="32"/>
          <w:highlight w:val="yellow"/>
          <w:lang w:val="en-US" w:eastAsia="zh-CN"/>
        </w:rPr>
      </w:pPr>
    </w:p>
    <w:p w14:paraId="3FE89C7E">
      <w:pPr>
        <w:pStyle w:val="34"/>
        <w:numPr>
          <w:ilvl w:val="-1"/>
          <w:numId w:val="0"/>
        </w:numPr>
        <w:spacing w:beforeAutospacing="0" w:afterAutospacing="0"/>
        <w:ind w:firstLine="0"/>
        <w:jc w:val="center"/>
        <w:rPr>
          <w:rFonts w:hint="eastAsia" w:ascii="黑体" w:hAnsi="宋体" w:eastAsia="黑体" w:cs="黑体"/>
          <w:b/>
          <w:color w:val="auto"/>
          <w:sz w:val="32"/>
          <w:szCs w:val="32"/>
          <w:highlight w:val="yellow"/>
          <w:lang w:val="en-US" w:eastAsia="zh-CN"/>
        </w:rPr>
      </w:pPr>
    </w:p>
    <w:p w14:paraId="4651D02A">
      <w:pPr>
        <w:pStyle w:val="34"/>
        <w:numPr>
          <w:ilvl w:val="-1"/>
          <w:numId w:val="0"/>
        </w:numPr>
        <w:spacing w:beforeAutospacing="0" w:afterAutospacing="0"/>
        <w:ind w:firstLine="0"/>
        <w:jc w:val="center"/>
        <w:rPr>
          <w:rFonts w:hint="eastAsia" w:ascii="黑体" w:hAnsi="宋体" w:eastAsia="黑体" w:cs="黑体"/>
          <w:b/>
          <w:color w:val="auto"/>
          <w:sz w:val="32"/>
          <w:szCs w:val="32"/>
          <w:highlight w:val="yellow"/>
          <w:lang w:val="en-US" w:eastAsia="zh-CN"/>
        </w:rPr>
      </w:pPr>
    </w:p>
    <w:p w14:paraId="343D8676">
      <w:pPr>
        <w:pStyle w:val="34"/>
        <w:numPr>
          <w:ilvl w:val="-1"/>
          <w:numId w:val="0"/>
        </w:numPr>
        <w:spacing w:beforeAutospacing="0" w:afterAutospacing="0"/>
        <w:ind w:firstLine="0"/>
        <w:jc w:val="center"/>
        <w:rPr>
          <w:rFonts w:hint="eastAsia" w:ascii="黑体" w:hAnsi="宋体" w:eastAsia="黑体" w:cs="黑体"/>
          <w:b/>
          <w:color w:val="auto"/>
          <w:sz w:val="32"/>
          <w:szCs w:val="32"/>
          <w:highlight w:val="yellow"/>
          <w:lang w:val="en-US" w:eastAsia="zh-CN"/>
        </w:rPr>
      </w:pPr>
    </w:p>
    <w:p w14:paraId="586326E6">
      <w:pPr>
        <w:pStyle w:val="34"/>
        <w:spacing w:beforeAutospacing="0" w:afterAutospacing="0"/>
        <w:ind w:firstLine="321"/>
        <w:jc w:val="center"/>
        <w:rPr>
          <w:color w:val="auto"/>
          <w:highlight w:val="none"/>
        </w:rPr>
      </w:pPr>
    </w:p>
    <w:bookmarkEnd w:id="48"/>
    <w:bookmarkEnd w:id="96"/>
    <w:bookmarkEnd w:id="97"/>
    <w:bookmarkEnd w:id="98"/>
    <w:bookmarkEnd w:id="99"/>
    <w:bookmarkEnd w:id="100"/>
    <w:bookmarkEnd w:id="101"/>
    <w:bookmarkEnd w:id="102"/>
    <w:bookmarkEnd w:id="103"/>
    <w:bookmarkEnd w:id="110"/>
    <w:bookmarkEnd w:id="111"/>
    <w:bookmarkEnd w:id="118"/>
    <w:bookmarkEnd w:id="156"/>
    <w:bookmarkEnd w:id="157"/>
    <w:bookmarkEnd w:id="162"/>
    <w:bookmarkEnd w:id="163"/>
    <w:bookmarkEnd w:id="164"/>
    <w:bookmarkEnd w:id="165"/>
    <w:bookmarkEnd w:id="166"/>
    <w:bookmarkEnd w:id="167"/>
    <w:bookmarkEnd w:id="168"/>
    <w:p w14:paraId="6A20649D">
      <w:pPr>
        <w:pStyle w:val="34"/>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leftChars="0" w:right="0" w:rightChars="0"/>
        <w:jc w:val="center"/>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bidi="ar-SA"/>
        </w:rPr>
        <w:t>十五、</w:t>
      </w:r>
      <w:r>
        <w:rPr>
          <w:rFonts w:hint="eastAsia" w:ascii="宋体" w:hAnsi="宋体" w:eastAsia="宋体" w:cs="宋体"/>
          <w:b/>
          <w:bCs/>
          <w:color w:val="auto"/>
          <w:sz w:val="32"/>
          <w:szCs w:val="32"/>
          <w:lang w:val="en-US" w:eastAsia="zh-CN"/>
        </w:rPr>
        <w:t>项目服务方案</w:t>
      </w:r>
    </w:p>
    <w:p w14:paraId="586C407E">
      <w:pPr>
        <w:pStyle w:val="34"/>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0" w:rightChars="0"/>
        <w:jc w:val="both"/>
        <w:rPr>
          <w:rFonts w:hint="eastAsia" w:ascii="宋体" w:hAnsi="宋体" w:eastAsia="宋体" w:cs="宋体"/>
          <w:b/>
          <w:bCs/>
          <w:color w:val="auto"/>
          <w:sz w:val="32"/>
          <w:szCs w:val="32"/>
          <w:lang w:val="en-US" w:eastAsia="zh-CN"/>
        </w:rPr>
      </w:pPr>
    </w:p>
    <w:p w14:paraId="6AFFCC37">
      <w:pPr>
        <w:pStyle w:val="34"/>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0" w:rightChars="0"/>
        <w:jc w:val="center"/>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根据本项目招标文件第五章评标办法与评标标准“项目服务方案”要求编制</w:t>
      </w:r>
    </w:p>
    <w:p w14:paraId="6CBA5354">
      <w:pPr>
        <w:pStyle w:val="34"/>
        <w:spacing w:beforeAutospacing="0" w:afterAutospacing="0" w:line="360" w:lineRule="auto"/>
        <w:ind w:firstLine="513"/>
        <w:jc w:val="both"/>
        <w:rPr>
          <w:rFonts w:hint="eastAsia" w:ascii="宋体" w:hAnsi="宋体" w:eastAsia="宋体" w:cs="宋体"/>
          <w:color w:val="auto"/>
          <w:sz w:val="24"/>
          <w:szCs w:val="24"/>
          <w:highlight w:val="none"/>
          <w:lang w:val="en-US" w:eastAsia="zh-CN"/>
        </w:rPr>
      </w:pPr>
    </w:p>
    <w:p w14:paraId="02CBF9D1">
      <w:pPr>
        <w:pStyle w:val="34"/>
        <w:spacing w:beforeAutospacing="0" w:afterAutospacing="0" w:line="360" w:lineRule="auto"/>
        <w:ind w:firstLine="513"/>
        <w:jc w:val="both"/>
        <w:rPr>
          <w:rFonts w:hint="eastAsia" w:ascii="宋体" w:hAnsi="宋体" w:eastAsia="宋体" w:cs="宋体"/>
          <w:color w:val="auto"/>
          <w:sz w:val="24"/>
          <w:szCs w:val="24"/>
          <w:highlight w:val="none"/>
          <w:lang w:val="en-US" w:eastAsia="zh-CN"/>
        </w:rPr>
      </w:pPr>
    </w:p>
    <w:p w14:paraId="4109D032">
      <w:pPr>
        <w:pStyle w:val="34"/>
        <w:numPr>
          <w:ilvl w:val="-1"/>
          <w:numId w:val="0"/>
        </w:numPr>
        <w:spacing w:beforeAutospacing="0" w:afterAutospacing="0"/>
        <w:ind w:firstLine="0"/>
        <w:jc w:val="center"/>
        <w:rPr>
          <w:rFonts w:hint="eastAsia" w:ascii="黑体" w:hAnsi="宋体" w:eastAsia="黑体" w:cs="黑体"/>
          <w:b/>
          <w:color w:val="auto"/>
          <w:sz w:val="32"/>
          <w:szCs w:val="32"/>
          <w:highlight w:val="yellow"/>
          <w:lang w:val="en-US" w:eastAsia="zh-CN"/>
        </w:rPr>
      </w:pPr>
    </w:p>
    <w:p w14:paraId="65CCB53B">
      <w:pPr>
        <w:pStyle w:val="34"/>
        <w:spacing w:beforeAutospacing="0" w:afterAutospacing="0" w:line="0" w:lineRule="atLeast"/>
        <w:ind w:firstLine="321"/>
        <w:jc w:val="center"/>
        <w:rPr>
          <w:rFonts w:hint="eastAsia" w:ascii="宋体" w:hAnsi="宋体" w:eastAsia="宋体" w:cs="宋体"/>
          <w:b/>
          <w:color w:val="auto"/>
          <w:sz w:val="32"/>
          <w:szCs w:val="32"/>
          <w:highlight w:val="none"/>
        </w:rPr>
      </w:pPr>
    </w:p>
    <w:p w14:paraId="26ADBDF6">
      <w:pPr>
        <w:pStyle w:val="34"/>
        <w:numPr>
          <w:ilvl w:val="0"/>
          <w:numId w:val="0"/>
        </w:numPr>
        <w:spacing w:beforeAutospacing="0" w:afterAutospacing="0" w:line="0" w:lineRule="atLeast"/>
        <w:ind w:left="321"/>
        <w:jc w:val="cente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p>
    <w:p w14:paraId="093B19C8">
      <w:pPr>
        <w:widowControl/>
        <w:spacing w:line="499" w:lineRule="atLeast"/>
        <w:jc w:val="center"/>
        <w:rPr>
          <w:rFonts w:hint="eastAsia" w:ascii="宋体" w:hAnsi="宋体" w:eastAsia="宋体" w:cs="宋体"/>
          <w:b/>
          <w:bCs/>
          <w:color w:val="auto"/>
          <w:sz w:val="24"/>
          <w:highlight w:val="none"/>
        </w:rPr>
      </w:pPr>
      <w:r>
        <w:rPr>
          <w:rFonts w:hint="eastAsia" w:ascii="宋体" w:hAnsi="宋体" w:eastAsia="宋体" w:cs="宋体"/>
          <w:b/>
          <w:bCs/>
          <w:color w:val="auto"/>
          <w:sz w:val="32"/>
          <w:szCs w:val="32"/>
          <w:highlight w:val="none"/>
          <w:lang w:val="en-US" w:eastAsia="zh-CN"/>
        </w:rPr>
        <w:t>十六、</w:t>
      </w:r>
      <w:r>
        <w:rPr>
          <w:rFonts w:hint="eastAsia" w:ascii="宋体" w:hAnsi="宋体" w:eastAsia="宋体" w:cs="宋体"/>
          <w:b/>
          <w:bCs/>
          <w:color w:val="auto"/>
          <w:sz w:val="32"/>
          <w:szCs w:val="32"/>
          <w:highlight w:val="none"/>
        </w:rPr>
        <w:t>政府采购事前信用承诺书</w:t>
      </w:r>
    </w:p>
    <w:p w14:paraId="227465BE">
      <w:pPr>
        <w:widowControl/>
        <w:spacing w:line="499" w:lineRule="atLeast"/>
        <w:ind w:firstLine="640"/>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w:t>
      </w:r>
    </w:p>
    <w:p w14:paraId="607398E4">
      <w:pPr>
        <w:widowControl/>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74DC8407">
      <w:pPr>
        <w:widowControl/>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0B67C8B8">
      <w:pPr>
        <w:widowControl/>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26D426F">
      <w:pPr>
        <w:widowControl/>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427094DD">
      <w:pPr>
        <w:widowControl/>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（四）严格遵守即时信息公示规定，及时维护和更新维护和更新盐城市政府采购网中与本单位相关的信息；</w:t>
      </w:r>
    </w:p>
    <w:p w14:paraId="40209691">
      <w:pPr>
        <w:widowControl/>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90A40D2">
      <w:pPr>
        <w:widowControl/>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094C1C7A">
      <w:pPr>
        <w:widowControl/>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C5ED677">
      <w:pPr>
        <w:widowControl/>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3036813B">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1DD5A925">
      <w:pPr>
        <w:widowControl/>
        <w:spacing w:line="499" w:lineRule="atLeast"/>
        <w:jc w:val="left"/>
        <w:rPr>
          <w:rFonts w:hint="eastAsia" w:ascii="宋体" w:hAnsi="宋体" w:eastAsia="宋体" w:cs="宋体"/>
          <w:color w:val="auto"/>
          <w:sz w:val="24"/>
          <w:highlight w:val="none"/>
        </w:rPr>
      </w:pPr>
    </w:p>
    <w:p w14:paraId="0FA6CE4E">
      <w:pPr>
        <w:widowControl/>
        <w:spacing w:line="499" w:lineRule="atLeast"/>
        <w:ind w:firstLine="504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b/>
          <w:bCs/>
          <w:color w:val="auto"/>
          <w:sz w:val="32"/>
          <w:szCs w:val="32"/>
          <w:highlight w:val="none"/>
        </w:rPr>
        <w:t>签名</w:t>
      </w:r>
      <w:r>
        <w:rPr>
          <w:rFonts w:hint="eastAsia" w:ascii="宋体" w:hAnsi="宋体" w:eastAsia="宋体" w:cs="宋体"/>
          <w:color w:val="auto"/>
          <w:sz w:val="24"/>
          <w:highlight w:val="none"/>
        </w:rPr>
        <w:t>：</w:t>
      </w:r>
    </w:p>
    <w:p w14:paraId="0B418D7B">
      <w:pPr>
        <w:widowControl/>
        <w:spacing w:line="499"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单位名称</w:t>
      </w:r>
      <w:r>
        <w:rPr>
          <w:rFonts w:hint="eastAsia" w:ascii="宋体" w:hAnsi="宋体" w:eastAsia="宋体" w:cs="宋体"/>
          <w:b/>
          <w:bCs/>
          <w:color w:val="auto"/>
          <w:sz w:val="32"/>
          <w:szCs w:val="32"/>
          <w:highlight w:val="none"/>
        </w:rPr>
        <w:t>（盖章）</w:t>
      </w:r>
      <w:r>
        <w:rPr>
          <w:rFonts w:hint="eastAsia" w:ascii="宋体" w:hAnsi="宋体" w:eastAsia="宋体" w:cs="宋体"/>
          <w:color w:val="auto"/>
          <w:sz w:val="24"/>
          <w:highlight w:val="none"/>
        </w:rPr>
        <w:t>：</w:t>
      </w:r>
    </w:p>
    <w:p w14:paraId="1C6680ED">
      <w:pPr>
        <w:widowControl/>
        <w:spacing w:line="499"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年 月 日</w:t>
      </w:r>
    </w:p>
    <w:p w14:paraId="28547149">
      <w:pPr>
        <w:pStyle w:val="34"/>
        <w:spacing w:beforeAutospacing="0" w:afterAutospacing="0"/>
        <w:jc w:val="center"/>
        <w:rPr>
          <w:rFonts w:hint="eastAsia" w:ascii="宋体" w:hAnsi="宋体" w:eastAsia="宋体" w:cs="宋体"/>
          <w:b/>
          <w:color w:val="auto"/>
          <w:sz w:val="40"/>
          <w:szCs w:val="40"/>
          <w:highlight w:val="none"/>
        </w:rPr>
      </w:pPr>
    </w:p>
    <w:p w14:paraId="7828CD54">
      <w:pPr>
        <w:pStyle w:val="34"/>
        <w:spacing w:beforeAutospacing="0" w:afterAutospacing="0"/>
        <w:jc w:val="center"/>
        <w:rPr>
          <w:rFonts w:hint="eastAsia" w:ascii="宋体" w:hAnsi="宋体" w:eastAsia="宋体" w:cs="宋体"/>
          <w:b/>
          <w:color w:val="auto"/>
          <w:sz w:val="40"/>
          <w:szCs w:val="40"/>
          <w:highlight w:val="none"/>
        </w:rPr>
      </w:pPr>
    </w:p>
    <w:p w14:paraId="26BD5E33">
      <w:pPr>
        <w:pStyle w:val="34"/>
        <w:spacing w:beforeAutospacing="0" w:afterAutospacing="0"/>
        <w:jc w:val="center"/>
        <w:rPr>
          <w:rFonts w:hint="eastAsia" w:ascii="宋体" w:hAnsi="宋体" w:eastAsia="宋体" w:cs="宋体"/>
          <w:b/>
          <w:color w:val="auto"/>
          <w:sz w:val="40"/>
          <w:szCs w:val="40"/>
          <w:highlight w:val="none"/>
        </w:rPr>
      </w:pPr>
    </w:p>
    <w:p w14:paraId="420F4050">
      <w:pPr>
        <w:pStyle w:val="34"/>
        <w:spacing w:beforeAutospacing="0" w:afterAutospacing="0"/>
        <w:jc w:val="center"/>
        <w:rPr>
          <w:rFonts w:hint="eastAsia" w:ascii="宋体" w:hAnsi="宋体" w:eastAsia="宋体" w:cs="宋体"/>
          <w:b/>
          <w:color w:val="auto"/>
          <w:sz w:val="40"/>
          <w:szCs w:val="40"/>
          <w:highlight w:val="none"/>
        </w:rPr>
      </w:pPr>
    </w:p>
    <w:p w14:paraId="41B5762E">
      <w:pPr>
        <w:pStyle w:val="34"/>
        <w:numPr>
          <w:ilvl w:val="0"/>
          <w:numId w:val="0"/>
        </w:numPr>
        <w:spacing w:beforeAutospacing="0" w:afterAutospacing="0" w:line="0" w:lineRule="atLeast"/>
        <w:ind w:left="321"/>
        <w:jc w:val="center"/>
        <w:rPr>
          <w:rFonts w:hint="eastAsia" w:ascii="黑体" w:hAnsi="宋体" w:eastAsia="黑体" w:cs="黑体"/>
          <w:b/>
          <w:color w:val="auto"/>
          <w:sz w:val="32"/>
          <w:szCs w:val="32"/>
          <w:highlight w:val="none"/>
        </w:rPr>
      </w:pPr>
      <w:r>
        <w:rPr>
          <w:rFonts w:hint="eastAsia" w:ascii="宋体" w:hAnsi="宋体" w:eastAsia="宋体" w:cs="宋体"/>
          <w:b/>
          <w:bCs/>
          <w:color w:val="auto"/>
          <w:sz w:val="32"/>
          <w:szCs w:val="32"/>
          <w:highlight w:val="none"/>
          <w:lang w:val="en-US" w:eastAsia="zh-CN"/>
        </w:rPr>
        <w:t>十七、招标文件中约定的其他材料</w:t>
      </w:r>
    </w:p>
    <w:p w14:paraId="4239296E">
      <w:pPr>
        <w:pStyle w:val="34"/>
        <w:spacing w:beforeAutospacing="0" w:afterAutospacing="0"/>
        <w:jc w:val="center"/>
        <w:rPr>
          <w:rFonts w:hint="eastAsia" w:ascii="宋体" w:hAnsi="宋体" w:cs="宋体"/>
          <w:b/>
          <w:color w:val="auto"/>
          <w:sz w:val="40"/>
          <w:szCs w:val="40"/>
          <w:highlight w:val="none"/>
        </w:rPr>
      </w:pPr>
    </w:p>
    <w:p w14:paraId="5BB2CDBC">
      <w:pPr>
        <w:pStyle w:val="34"/>
        <w:spacing w:beforeAutospacing="0" w:afterAutospacing="0"/>
        <w:jc w:val="center"/>
        <w:rPr>
          <w:rFonts w:hint="eastAsia" w:ascii="宋体" w:hAnsi="宋体" w:cs="宋体"/>
          <w:b/>
          <w:color w:val="auto"/>
          <w:sz w:val="40"/>
          <w:szCs w:val="40"/>
          <w:highlight w:val="none"/>
        </w:rPr>
      </w:pPr>
    </w:p>
    <w:p w14:paraId="3FB9D4E4">
      <w:pPr>
        <w:pStyle w:val="34"/>
        <w:spacing w:beforeAutospacing="0" w:afterAutospacing="0"/>
        <w:jc w:val="center"/>
        <w:rPr>
          <w:rFonts w:hint="eastAsia" w:ascii="宋体" w:hAnsi="宋体" w:cs="宋体"/>
          <w:b/>
          <w:color w:val="auto"/>
          <w:sz w:val="40"/>
          <w:szCs w:val="40"/>
          <w:highlight w:val="none"/>
        </w:rPr>
      </w:pPr>
    </w:p>
    <w:p w14:paraId="3D3849E4">
      <w:pPr>
        <w:pStyle w:val="34"/>
        <w:spacing w:beforeAutospacing="0" w:afterAutospacing="0"/>
        <w:jc w:val="center"/>
        <w:rPr>
          <w:rFonts w:hint="eastAsia" w:ascii="宋体" w:hAnsi="宋体" w:cs="宋体"/>
          <w:b/>
          <w:color w:val="auto"/>
          <w:sz w:val="40"/>
          <w:szCs w:val="40"/>
          <w:highlight w:val="none"/>
        </w:rPr>
      </w:pPr>
    </w:p>
    <w:p w14:paraId="2EF2CF30">
      <w:pPr>
        <w:pStyle w:val="34"/>
        <w:spacing w:beforeAutospacing="0" w:afterAutospacing="0"/>
        <w:jc w:val="center"/>
        <w:rPr>
          <w:rFonts w:hint="eastAsia" w:ascii="宋体" w:hAnsi="宋体" w:cs="宋体"/>
          <w:b/>
          <w:color w:val="auto"/>
          <w:sz w:val="40"/>
          <w:szCs w:val="40"/>
          <w:highlight w:val="none"/>
        </w:rPr>
      </w:pPr>
    </w:p>
    <w:p w14:paraId="783FDD9F">
      <w:pPr>
        <w:pStyle w:val="34"/>
        <w:spacing w:beforeAutospacing="0" w:afterAutospacing="0"/>
        <w:jc w:val="center"/>
        <w:rPr>
          <w:rFonts w:hint="eastAsia" w:ascii="宋体" w:hAnsi="宋体" w:cs="宋体"/>
          <w:b/>
          <w:color w:val="auto"/>
          <w:sz w:val="40"/>
          <w:szCs w:val="40"/>
          <w:highlight w:val="none"/>
        </w:rPr>
      </w:pPr>
    </w:p>
    <w:p w14:paraId="42C7400D">
      <w:pPr>
        <w:pStyle w:val="34"/>
        <w:spacing w:beforeAutospacing="0" w:afterAutospacing="0"/>
        <w:jc w:val="center"/>
        <w:rPr>
          <w:rFonts w:hint="eastAsia" w:ascii="宋体" w:hAnsi="宋体" w:cs="宋体"/>
          <w:b/>
          <w:color w:val="auto"/>
          <w:sz w:val="40"/>
          <w:szCs w:val="40"/>
          <w:highlight w:val="none"/>
        </w:rPr>
      </w:pPr>
    </w:p>
    <w:p w14:paraId="750B60B7">
      <w:pPr>
        <w:pStyle w:val="34"/>
        <w:spacing w:beforeAutospacing="0" w:afterAutospacing="0"/>
        <w:jc w:val="center"/>
        <w:rPr>
          <w:rFonts w:hint="eastAsia" w:ascii="宋体" w:hAnsi="宋体" w:cs="宋体"/>
          <w:b/>
          <w:color w:val="auto"/>
          <w:sz w:val="40"/>
          <w:szCs w:val="40"/>
          <w:highlight w:val="none"/>
        </w:rPr>
      </w:pPr>
    </w:p>
    <w:p w14:paraId="597290BC">
      <w:pPr>
        <w:pStyle w:val="34"/>
        <w:spacing w:beforeAutospacing="0" w:afterAutospacing="0"/>
        <w:jc w:val="center"/>
        <w:rPr>
          <w:rFonts w:hint="eastAsia" w:ascii="宋体" w:hAnsi="宋体" w:cs="宋体"/>
          <w:b/>
          <w:color w:val="auto"/>
          <w:sz w:val="40"/>
          <w:szCs w:val="40"/>
          <w:highlight w:val="none"/>
        </w:rPr>
      </w:pPr>
    </w:p>
    <w:p w14:paraId="12EC9D8C">
      <w:pPr>
        <w:pStyle w:val="34"/>
        <w:spacing w:beforeAutospacing="0" w:afterAutospacing="0"/>
        <w:jc w:val="center"/>
        <w:rPr>
          <w:rFonts w:hint="eastAsia" w:ascii="宋体" w:hAnsi="宋体" w:cs="宋体"/>
          <w:b/>
          <w:color w:val="auto"/>
          <w:sz w:val="40"/>
          <w:szCs w:val="40"/>
          <w:highlight w:val="none"/>
        </w:rPr>
      </w:pPr>
    </w:p>
    <w:p w14:paraId="36434E58">
      <w:pPr>
        <w:pStyle w:val="34"/>
        <w:spacing w:beforeAutospacing="0" w:afterAutospacing="0"/>
        <w:jc w:val="center"/>
        <w:rPr>
          <w:rFonts w:hint="eastAsia" w:ascii="宋体" w:hAnsi="宋体" w:cs="宋体"/>
          <w:b/>
          <w:color w:val="auto"/>
          <w:sz w:val="40"/>
          <w:szCs w:val="40"/>
          <w:highlight w:val="none"/>
        </w:rPr>
      </w:pPr>
    </w:p>
    <w:p w14:paraId="2DF717EF">
      <w:pPr>
        <w:pStyle w:val="34"/>
        <w:spacing w:beforeAutospacing="0" w:afterAutospacing="0"/>
        <w:jc w:val="center"/>
        <w:rPr>
          <w:rFonts w:hint="eastAsia" w:ascii="宋体" w:hAnsi="宋体" w:cs="宋体"/>
          <w:b/>
          <w:color w:val="auto"/>
          <w:sz w:val="40"/>
          <w:szCs w:val="40"/>
          <w:highlight w:val="none"/>
        </w:rPr>
      </w:pPr>
    </w:p>
    <w:p w14:paraId="47988932">
      <w:pPr>
        <w:pStyle w:val="34"/>
        <w:spacing w:beforeAutospacing="0" w:afterAutospacing="0"/>
        <w:jc w:val="center"/>
        <w:rPr>
          <w:rFonts w:hint="eastAsia" w:ascii="宋体" w:hAnsi="宋体" w:cs="宋体"/>
          <w:b/>
          <w:color w:val="auto"/>
          <w:sz w:val="40"/>
          <w:szCs w:val="40"/>
          <w:highlight w:val="none"/>
        </w:rPr>
      </w:pPr>
    </w:p>
    <w:p w14:paraId="0D8CCC72">
      <w:pPr>
        <w:pStyle w:val="34"/>
        <w:spacing w:beforeAutospacing="0" w:afterAutospacing="0"/>
        <w:jc w:val="center"/>
        <w:rPr>
          <w:rFonts w:hint="eastAsia" w:ascii="宋体" w:hAnsi="宋体" w:cs="宋体"/>
          <w:b/>
          <w:color w:val="auto"/>
          <w:sz w:val="40"/>
          <w:szCs w:val="40"/>
          <w:highlight w:val="none"/>
        </w:rPr>
      </w:pPr>
    </w:p>
    <w:p w14:paraId="2F508E7E">
      <w:pPr>
        <w:pStyle w:val="34"/>
        <w:spacing w:beforeAutospacing="0" w:afterAutospacing="0"/>
        <w:jc w:val="center"/>
        <w:rPr>
          <w:rFonts w:hint="eastAsia" w:ascii="宋体" w:hAnsi="宋体" w:cs="宋体"/>
          <w:b/>
          <w:color w:val="auto"/>
          <w:sz w:val="40"/>
          <w:szCs w:val="40"/>
          <w:highlight w:val="none"/>
        </w:rPr>
      </w:pPr>
    </w:p>
    <w:p w14:paraId="2D5B22B1">
      <w:pPr>
        <w:pStyle w:val="34"/>
        <w:spacing w:beforeAutospacing="0" w:afterAutospacing="0"/>
        <w:jc w:val="center"/>
        <w:rPr>
          <w:rFonts w:hint="eastAsia" w:ascii="宋体" w:hAnsi="宋体" w:cs="宋体"/>
          <w:b/>
          <w:color w:val="auto"/>
          <w:sz w:val="40"/>
          <w:szCs w:val="40"/>
          <w:highlight w:val="none"/>
        </w:rPr>
      </w:pPr>
    </w:p>
    <w:p w14:paraId="3BA33139">
      <w:pPr>
        <w:pStyle w:val="34"/>
        <w:spacing w:beforeAutospacing="0" w:afterAutospacing="0"/>
        <w:jc w:val="center"/>
        <w:rPr>
          <w:rFonts w:hint="eastAsia" w:ascii="宋体" w:hAnsi="宋体" w:cs="宋体"/>
          <w:b/>
          <w:color w:val="auto"/>
          <w:sz w:val="40"/>
          <w:szCs w:val="40"/>
          <w:highlight w:val="none"/>
        </w:rPr>
      </w:pPr>
    </w:p>
    <w:p w14:paraId="01E353D8">
      <w:pPr>
        <w:pStyle w:val="34"/>
        <w:spacing w:beforeAutospacing="0" w:afterAutospacing="0"/>
        <w:jc w:val="center"/>
        <w:rPr>
          <w:rFonts w:hint="eastAsia" w:ascii="宋体" w:hAnsi="宋体" w:cs="宋体"/>
          <w:b/>
          <w:color w:val="auto"/>
          <w:sz w:val="40"/>
          <w:szCs w:val="40"/>
          <w:highlight w:val="none"/>
        </w:rPr>
      </w:pPr>
    </w:p>
    <w:p w14:paraId="0636392E">
      <w:pPr>
        <w:pStyle w:val="34"/>
        <w:spacing w:beforeAutospacing="0" w:afterAutospacing="0"/>
        <w:jc w:val="center"/>
        <w:rPr>
          <w:rFonts w:hint="eastAsia" w:ascii="宋体" w:hAnsi="宋体" w:cs="宋体"/>
          <w:b/>
          <w:color w:val="auto"/>
          <w:sz w:val="40"/>
          <w:szCs w:val="40"/>
          <w:highlight w:val="none"/>
        </w:rPr>
      </w:pPr>
    </w:p>
    <w:p w14:paraId="6AB3AF65">
      <w:pPr>
        <w:pStyle w:val="34"/>
        <w:spacing w:beforeAutospacing="0" w:afterAutospacing="0"/>
        <w:jc w:val="center"/>
        <w:rPr>
          <w:rFonts w:hint="eastAsia" w:ascii="宋体" w:hAnsi="宋体" w:cs="宋体"/>
          <w:b/>
          <w:color w:val="auto"/>
          <w:sz w:val="40"/>
          <w:szCs w:val="40"/>
          <w:highlight w:val="none"/>
        </w:rPr>
      </w:pPr>
    </w:p>
    <w:p w14:paraId="1E49FCBC">
      <w:pPr>
        <w:pStyle w:val="34"/>
        <w:spacing w:beforeAutospacing="0" w:afterAutospacing="0"/>
        <w:jc w:val="center"/>
        <w:rPr>
          <w:rFonts w:hint="eastAsia" w:ascii="宋体" w:hAnsi="宋体" w:cs="宋体"/>
          <w:b/>
          <w:color w:val="auto"/>
          <w:sz w:val="40"/>
          <w:szCs w:val="40"/>
          <w:highlight w:val="none"/>
        </w:rPr>
      </w:pPr>
    </w:p>
    <w:p w14:paraId="35FA9120">
      <w:pPr>
        <w:pStyle w:val="34"/>
        <w:spacing w:beforeAutospacing="0" w:afterAutospacing="0"/>
        <w:jc w:val="center"/>
        <w:rPr>
          <w:rFonts w:hint="eastAsia" w:ascii="宋体" w:hAnsi="宋体" w:cs="宋体"/>
          <w:b/>
          <w:color w:val="auto"/>
          <w:sz w:val="40"/>
          <w:szCs w:val="40"/>
          <w:highlight w:val="none"/>
        </w:rPr>
      </w:pPr>
    </w:p>
    <w:p w14:paraId="267AAD2C">
      <w:pPr>
        <w:pStyle w:val="34"/>
        <w:spacing w:beforeAutospacing="0" w:afterAutospacing="0"/>
        <w:jc w:val="center"/>
        <w:rPr>
          <w:rFonts w:hint="eastAsia" w:ascii="宋体" w:hAnsi="宋体" w:cs="宋体"/>
          <w:b/>
          <w:color w:val="auto"/>
          <w:sz w:val="40"/>
          <w:szCs w:val="40"/>
          <w:highlight w:val="none"/>
        </w:rPr>
      </w:pPr>
    </w:p>
    <w:p w14:paraId="10BC1B2D">
      <w:pPr>
        <w:pStyle w:val="34"/>
        <w:spacing w:beforeAutospacing="0" w:afterAutospacing="0"/>
        <w:jc w:val="center"/>
        <w:rPr>
          <w:rFonts w:hint="eastAsia" w:ascii="宋体" w:hAnsi="宋体" w:cs="宋体"/>
          <w:b/>
          <w:color w:val="auto"/>
          <w:sz w:val="40"/>
          <w:szCs w:val="40"/>
          <w:highlight w:val="none"/>
        </w:rPr>
      </w:pPr>
    </w:p>
    <w:p w14:paraId="0218C6F6">
      <w:pPr>
        <w:pStyle w:val="34"/>
        <w:spacing w:beforeAutospacing="0" w:afterAutospacing="0"/>
        <w:jc w:val="center"/>
        <w:rPr>
          <w:rFonts w:hint="eastAsia" w:ascii="宋体" w:hAnsi="宋体" w:cs="宋体"/>
          <w:b/>
          <w:color w:val="auto"/>
          <w:sz w:val="40"/>
          <w:szCs w:val="40"/>
          <w:highlight w:val="none"/>
        </w:rPr>
      </w:pPr>
    </w:p>
    <w:p w14:paraId="001A090A">
      <w:pPr>
        <w:pStyle w:val="34"/>
        <w:spacing w:beforeAutospacing="0" w:afterAutospacing="0"/>
        <w:jc w:val="center"/>
        <w:rPr>
          <w:rFonts w:hint="eastAsia" w:ascii="宋体" w:hAnsi="宋体" w:cs="宋体"/>
          <w:b/>
          <w:color w:val="auto"/>
          <w:sz w:val="40"/>
          <w:szCs w:val="40"/>
          <w:highlight w:val="none"/>
        </w:rPr>
      </w:pPr>
      <w:r>
        <w:rPr>
          <w:rFonts w:hint="eastAsia" w:ascii="宋体" w:hAnsi="宋体" w:cs="宋体"/>
          <w:b/>
          <w:color w:val="auto"/>
          <w:sz w:val="40"/>
          <w:szCs w:val="40"/>
          <w:highlight w:val="none"/>
        </w:rPr>
        <w:t>质疑函范本</w:t>
      </w:r>
    </w:p>
    <w:p w14:paraId="7FFF8880">
      <w:pPr>
        <w:pStyle w:val="34"/>
        <w:spacing w:beforeAutospacing="0" w:afterAutospacing="0"/>
        <w:jc w:val="center"/>
        <w:rPr>
          <w:rFonts w:hint="eastAsia" w:ascii="宋体" w:hAnsi="宋体" w:cs="宋体"/>
          <w:b/>
          <w:color w:val="auto"/>
          <w:sz w:val="40"/>
          <w:szCs w:val="40"/>
          <w:highlight w:val="none"/>
        </w:rPr>
      </w:pPr>
    </w:p>
    <w:p w14:paraId="0D1195CE">
      <w:pPr>
        <w:pStyle w:val="34"/>
        <w:spacing w:before="290" w:beforeAutospacing="0" w:afterAutospacing="0" w:line="360" w:lineRule="auto"/>
        <w:jc w:val="both"/>
        <w:rPr>
          <w:rFonts w:ascii="宋体" w:hAnsi="宋体"/>
          <w:color w:val="auto"/>
          <w:highlight w:val="none"/>
        </w:rPr>
      </w:pPr>
      <w:r>
        <w:rPr>
          <w:rFonts w:hint="eastAsia" w:ascii="宋体" w:hAnsi="宋体" w:cs="宋体"/>
          <w:color w:val="auto"/>
          <w:highlight w:val="none"/>
        </w:rPr>
        <w:t>一、质疑供应商基本信息</w:t>
      </w:r>
    </w:p>
    <w:p w14:paraId="09E6AEAA">
      <w:pPr>
        <w:pStyle w:val="34"/>
        <w:spacing w:beforeAutospacing="0" w:afterAutospacing="0" w:line="360" w:lineRule="auto"/>
        <w:jc w:val="both"/>
        <w:rPr>
          <w:rFonts w:ascii="宋体" w:hAnsi="宋体"/>
          <w:color w:val="auto"/>
          <w:highlight w:val="none"/>
        </w:rPr>
      </w:pPr>
      <w:r>
        <w:rPr>
          <w:rFonts w:hint="eastAsia" w:ascii="宋体" w:hAnsi="宋体" w:cs="宋体"/>
          <w:color w:val="auto"/>
          <w:highlight w:val="none"/>
        </w:rPr>
        <w:t>质疑供应商：</w:t>
      </w:r>
      <w:r>
        <w:rPr>
          <w:rFonts w:hint="eastAsia" w:ascii="宋体" w:hAnsi="宋体" w:cs="宋体"/>
          <w:color w:val="auto"/>
          <w:highlight w:val="none"/>
          <w:u w:val="single"/>
        </w:rPr>
        <w:t xml:space="preserve">                    </w:t>
      </w:r>
    </w:p>
    <w:p w14:paraId="263094EF">
      <w:pPr>
        <w:pStyle w:val="34"/>
        <w:spacing w:beforeAutospacing="0" w:afterAutospacing="0" w:line="360" w:lineRule="auto"/>
        <w:jc w:val="both"/>
        <w:rPr>
          <w:rFonts w:hint="eastAsia" w:ascii="宋体" w:hAnsi="宋体" w:cs="宋体"/>
          <w:color w:val="auto"/>
          <w:highlight w:val="none"/>
          <w:u w:val="single"/>
        </w:rPr>
      </w:pPr>
      <w:r>
        <w:rPr>
          <w:rFonts w:hint="eastAsia" w:ascii="宋体" w:hAnsi="宋体" w:cs="宋体"/>
          <w:color w:val="auto"/>
          <w:highlight w:val="none"/>
        </w:rPr>
        <w:t>地址：</w:t>
      </w:r>
      <w:r>
        <w:rPr>
          <w:rFonts w:hint="eastAsia" w:ascii="宋体" w:hAnsi="宋体" w:cs="宋体"/>
          <w:color w:val="auto"/>
          <w:highlight w:val="none"/>
          <w:u w:val="single"/>
        </w:rPr>
        <w:t xml:space="preserve">                      </w:t>
      </w:r>
    </w:p>
    <w:p w14:paraId="04CABF57">
      <w:pPr>
        <w:pStyle w:val="34"/>
        <w:spacing w:beforeAutospacing="0" w:afterAutospacing="0" w:line="360" w:lineRule="auto"/>
        <w:jc w:val="both"/>
        <w:rPr>
          <w:rFonts w:ascii="宋体" w:hAnsi="宋体"/>
          <w:color w:val="auto"/>
          <w:highlight w:val="none"/>
        </w:rPr>
      </w:pPr>
      <w:r>
        <w:rPr>
          <w:rFonts w:hint="eastAsia" w:ascii="宋体" w:hAnsi="宋体" w:cs="宋体"/>
          <w:color w:val="auto"/>
          <w:highlight w:val="none"/>
        </w:rPr>
        <w:t>邮编：</w:t>
      </w:r>
      <w:r>
        <w:rPr>
          <w:rFonts w:hint="eastAsia" w:ascii="宋体" w:hAnsi="宋体" w:cs="宋体"/>
          <w:color w:val="auto"/>
          <w:highlight w:val="none"/>
          <w:u w:val="single"/>
        </w:rPr>
        <w:t xml:space="preserve">                     </w:t>
      </w:r>
    </w:p>
    <w:p w14:paraId="23BAB254">
      <w:pPr>
        <w:pStyle w:val="34"/>
        <w:spacing w:beforeAutospacing="0" w:afterAutospacing="0" w:line="360" w:lineRule="auto"/>
        <w:jc w:val="both"/>
        <w:rPr>
          <w:rFonts w:hint="eastAsia" w:ascii="宋体" w:hAnsi="宋体" w:cs="宋体"/>
          <w:color w:val="auto"/>
          <w:highlight w:val="none"/>
          <w:u w:val="single"/>
        </w:rPr>
      </w:pPr>
      <w:r>
        <w:rPr>
          <w:rFonts w:hint="eastAsia" w:ascii="宋体" w:hAnsi="宋体" w:cs="宋体"/>
          <w:color w:val="auto"/>
          <w:highlight w:val="none"/>
        </w:rPr>
        <w:t>联系人：</w:t>
      </w:r>
      <w:r>
        <w:rPr>
          <w:rFonts w:hint="eastAsia" w:ascii="宋体" w:hAnsi="宋体" w:cs="宋体"/>
          <w:color w:val="auto"/>
          <w:highlight w:val="none"/>
          <w:u w:val="single"/>
        </w:rPr>
        <w:t xml:space="preserve">                     </w:t>
      </w:r>
    </w:p>
    <w:p w14:paraId="0756E0FF">
      <w:pPr>
        <w:pStyle w:val="34"/>
        <w:spacing w:beforeAutospacing="0" w:afterAutospacing="0" w:line="360" w:lineRule="auto"/>
        <w:jc w:val="both"/>
        <w:rPr>
          <w:rFonts w:ascii="宋体" w:hAnsi="宋体"/>
          <w:color w:val="auto"/>
          <w:highlight w:val="none"/>
        </w:rPr>
      </w:pPr>
      <w:r>
        <w:rPr>
          <w:rFonts w:hint="eastAsia" w:ascii="宋体" w:hAnsi="宋体" w:cs="宋体"/>
          <w:color w:val="auto"/>
          <w:highlight w:val="none"/>
        </w:rPr>
        <w:t>联系电话：</w:t>
      </w:r>
      <w:r>
        <w:rPr>
          <w:rFonts w:hint="eastAsia" w:ascii="宋体" w:hAnsi="宋体" w:cs="宋体"/>
          <w:color w:val="auto"/>
          <w:highlight w:val="none"/>
          <w:u w:val="single"/>
        </w:rPr>
        <w:t>                   </w:t>
      </w:r>
    </w:p>
    <w:p w14:paraId="595C7243">
      <w:pPr>
        <w:pStyle w:val="34"/>
        <w:spacing w:beforeAutospacing="0" w:afterAutospacing="0" w:line="360" w:lineRule="auto"/>
        <w:jc w:val="both"/>
        <w:rPr>
          <w:rFonts w:ascii="宋体" w:hAnsi="宋体"/>
          <w:color w:val="auto"/>
          <w:highlight w:val="none"/>
        </w:rPr>
      </w:pPr>
      <w:r>
        <w:rPr>
          <w:rFonts w:hint="eastAsia" w:ascii="宋体" w:hAnsi="宋体" w:cs="宋体"/>
          <w:color w:val="auto"/>
          <w:highlight w:val="none"/>
        </w:rPr>
        <w:t>授权代表：</w:t>
      </w:r>
      <w:r>
        <w:rPr>
          <w:rFonts w:hint="eastAsia" w:ascii="宋体" w:hAnsi="宋体" w:cs="宋体"/>
          <w:color w:val="auto"/>
          <w:highlight w:val="none"/>
          <w:u w:val="single"/>
        </w:rPr>
        <w:t>                   </w:t>
      </w:r>
    </w:p>
    <w:p w14:paraId="32924924">
      <w:pPr>
        <w:pStyle w:val="34"/>
        <w:spacing w:beforeAutospacing="0" w:afterAutospacing="0" w:line="360" w:lineRule="auto"/>
        <w:jc w:val="both"/>
        <w:rPr>
          <w:rFonts w:ascii="宋体" w:hAnsi="宋体"/>
          <w:color w:val="auto"/>
          <w:highlight w:val="none"/>
        </w:rPr>
      </w:pPr>
      <w:r>
        <w:rPr>
          <w:rFonts w:hint="eastAsia" w:ascii="宋体" w:hAnsi="宋体" w:cs="宋体"/>
          <w:color w:val="auto"/>
          <w:highlight w:val="none"/>
        </w:rPr>
        <w:t>联系电话：</w:t>
      </w:r>
      <w:r>
        <w:rPr>
          <w:rFonts w:hint="eastAsia" w:ascii="宋体" w:hAnsi="宋体" w:cs="宋体"/>
          <w:color w:val="auto"/>
          <w:highlight w:val="none"/>
          <w:u w:val="single"/>
        </w:rPr>
        <w:t xml:space="preserve">                      </w:t>
      </w:r>
    </w:p>
    <w:p w14:paraId="3659FEF4">
      <w:pPr>
        <w:pStyle w:val="34"/>
        <w:spacing w:beforeAutospacing="0" w:afterAutospacing="0" w:line="360" w:lineRule="auto"/>
        <w:jc w:val="both"/>
        <w:rPr>
          <w:rFonts w:ascii="宋体" w:hAnsi="宋体" w:cs="宋体"/>
          <w:color w:val="auto"/>
          <w:highlight w:val="none"/>
          <w:u w:val="single"/>
        </w:rPr>
      </w:pPr>
      <w:r>
        <w:rPr>
          <w:rFonts w:hint="eastAsia" w:ascii="宋体" w:hAnsi="宋体" w:cs="宋体"/>
          <w:color w:val="auto"/>
          <w:highlight w:val="none"/>
        </w:rPr>
        <w:t>地址： </w:t>
      </w:r>
      <w:r>
        <w:rPr>
          <w:rFonts w:hint="eastAsia" w:ascii="宋体" w:hAnsi="宋体" w:cs="宋体"/>
          <w:color w:val="auto"/>
          <w:highlight w:val="none"/>
          <w:u w:val="single"/>
        </w:rPr>
        <w:t xml:space="preserve">                     </w:t>
      </w:r>
    </w:p>
    <w:p w14:paraId="05A445ED">
      <w:pPr>
        <w:pStyle w:val="34"/>
        <w:spacing w:beforeAutospacing="0" w:afterAutospacing="0" w:line="360" w:lineRule="auto"/>
        <w:jc w:val="both"/>
        <w:rPr>
          <w:rFonts w:ascii="宋体" w:hAnsi="宋体"/>
          <w:color w:val="auto"/>
          <w:highlight w:val="none"/>
        </w:rPr>
      </w:pPr>
      <w:r>
        <w:rPr>
          <w:rFonts w:hint="eastAsia" w:ascii="宋体" w:hAnsi="宋体" w:cs="宋体"/>
          <w:color w:val="auto"/>
          <w:highlight w:val="none"/>
        </w:rPr>
        <w:t>邮编：</w:t>
      </w:r>
      <w:r>
        <w:rPr>
          <w:rFonts w:hint="eastAsia" w:ascii="宋体" w:hAnsi="宋体" w:cs="宋体"/>
          <w:color w:val="auto"/>
          <w:highlight w:val="none"/>
          <w:u w:val="single"/>
        </w:rPr>
        <w:t xml:space="preserve">                       </w:t>
      </w:r>
    </w:p>
    <w:p w14:paraId="68483DDA">
      <w:pPr>
        <w:pStyle w:val="34"/>
        <w:spacing w:beforeAutospacing="0" w:afterAutospacing="0" w:line="360" w:lineRule="auto"/>
        <w:jc w:val="both"/>
        <w:rPr>
          <w:rFonts w:ascii="宋体" w:hAnsi="宋体"/>
          <w:color w:val="auto"/>
          <w:highlight w:val="none"/>
        </w:rPr>
      </w:pPr>
      <w:r>
        <w:rPr>
          <w:rFonts w:hint="eastAsia" w:ascii="宋体" w:hAnsi="宋体" w:cs="宋体"/>
          <w:color w:val="auto"/>
          <w:highlight w:val="none"/>
        </w:rPr>
        <w:t>二、质疑项目基本情况</w:t>
      </w:r>
    </w:p>
    <w:p w14:paraId="20ED3540">
      <w:pPr>
        <w:pStyle w:val="34"/>
        <w:spacing w:beforeAutospacing="0" w:afterAutospacing="0" w:line="360" w:lineRule="auto"/>
        <w:jc w:val="both"/>
        <w:rPr>
          <w:rFonts w:ascii="宋体" w:hAnsi="宋体"/>
          <w:color w:val="auto"/>
          <w:highlight w:val="none"/>
        </w:rPr>
      </w:pPr>
      <w:r>
        <w:rPr>
          <w:rFonts w:hint="eastAsia" w:ascii="宋体" w:hAnsi="宋体" w:cs="宋体"/>
          <w:color w:val="auto"/>
          <w:highlight w:val="none"/>
        </w:rPr>
        <w:t>质疑项目的名称：</w:t>
      </w:r>
      <w:r>
        <w:rPr>
          <w:rFonts w:hint="eastAsia" w:ascii="宋体" w:hAnsi="宋体" w:cs="宋体"/>
          <w:color w:val="auto"/>
          <w:highlight w:val="none"/>
          <w:u w:val="single"/>
        </w:rPr>
        <w:t xml:space="preserve">                     </w:t>
      </w:r>
    </w:p>
    <w:p w14:paraId="209276FF">
      <w:pPr>
        <w:pStyle w:val="34"/>
        <w:spacing w:beforeAutospacing="0" w:afterAutospacing="0" w:line="360" w:lineRule="auto"/>
        <w:jc w:val="both"/>
        <w:rPr>
          <w:rFonts w:ascii="宋体" w:hAnsi="宋体" w:cs="宋体"/>
          <w:color w:val="auto"/>
          <w:highlight w:val="none"/>
          <w:u w:val="single"/>
        </w:rPr>
      </w:pPr>
      <w:r>
        <w:rPr>
          <w:rFonts w:hint="eastAsia" w:ascii="宋体" w:hAnsi="宋体" w:cs="宋体"/>
          <w:color w:val="auto"/>
          <w:highlight w:val="none"/>
        </w:rPr>
        <w:t>质疑项目的编号：</w:t>
      </w:r>
      <w:r>
        <w:rPr>
          <w:rFonts w:hint="eastAsia" w:ascii="宋体" w:hAnsi="宋体" w:cs="宋体"/>
          <w:color w:val="auto"/>
          <w:highlight w:val="none"/>
          <w:u w:val="single"/>
        </w:rPr>
        <w:t xml:space="preserve">                     </w:t>
      </w:r>
    </w:p>
    <w:p w14:paraId="0BBE4DF6">
      <w:pPr>
        <w:pStyle w:val="34"/>
        <w:spacing w:beforeAutospacing="0" w:afterAutospacing="0" w:line="360" w:lineRule="auto"/>
        <w:jc w:val="both"/>
        <w:rPr>
          <w:rFonts w:hint="eastAsia" w:ascii="宋体" w:hAnsi="宋体"/>
          <w:color w:val="auto"/>
          <w:highlight w:val="none"/>
        </w:rPr>
      </w:pPr>
      <w:r>
        <w:rPr>
          <w:rFonts w:hint="eastAsia" w:ascii="宋体" w:hAnsi="宋体" w:cs="宋体"/>
          <w:color w:val="auto"/>
          <w:highlight w:val="none"/>
        </w:rPr>
        <w:t>包号：</w:t>
      </w:r>
      <w:r>
        <w:rPr>
          <w:rFonts w:hint="eastAsia" w:ascii="宋体" w:hAnsi="宋体" w:cs="宋体"/>
          <w:color w:val="auto"/>
          <w:highlight w:val="none"/>
          <w:u w:val="single"/>
        </w:rPr>
        <w:t xml:space="preserve">                          </w:t>
      </w:r>
    </w:p>
    <w:p w14:paraId="0ABDC29B">
      <w:pPr>
        <w:pStyle w:val="34"/>
        <w:spacing w:beforeAutospacing="0" w:afterAutospacing="0" w:line="360" w:lineRule="auto"/>
        <w:jc w:val="both"/>
        <w:rPr>
          <w:rFonts w:ascii="宋体" w:hAnsi="宋体"/>
          <w:color w:val="auto"/>
          <w:highlight w:val="none"/>
        </w:rPr>
      </w:pPr>
      <w:r>
        <w:rPr>
          <w:rFonts w:hint="eastAsia" w:ascii="宋体" w:hAnsi="宋体" w:cs="宋体"/>
          <w:color w:val="auto"/>
          <w:highlight w:val="none"/>
        </w:rPr>
        <w:t>采购人名称：</w:t>
      </w:r>
      <w:r>
        <w:rPr>
          <w:rFonts w:hint="eastAsia" w:ascii="宋体" w:hAnsi="宋体" w:cs="宋体"/>
          <w:color w:val="auto"/>
          <w:highlight w:val="none"/>
          <w:u w:val="single"/>
        </w:rPr>
        <w:t xml:space="preserve">                          </w:t>
      </w:r>
    </w:p>
    <w:p w14:paraId="5DAA0EE0">
      <w:pPr>
        <w:pStyle w:val="34"/>
        <w:spacing w:beforeAutospacing="0" w:afterAutospacing="0" w:line="360" w:lineRule="auto"/>
        <w:jc w:val="both"/>
        <w:rPr>
          <w:rFonts w:ascii="宋体" w:hAnsi="宋体"/>
          <w:color w:val="auto"/>
          <w:highlight w:val="none"/>
        </w:rPr>
      </w:pPr>
      <w:r>
        <w:rPr>
          <w:rFonts w:hint="eastAsia" w:ascii="宋体" w:hAnsi="宋体" w:cs="宋体"/>
          <w:color w:val="auto"/>
          <w:highlight w:val="none"/>
        </w:rPr>
        <w:t>采购文件获取日期：</w:t>
      </w:r>
      <w:r>
        <w:rPr>
          <w:rFonts w:hint="eastAsia" w:ascii="宋体" w:hAnsi="宋体" w:cs="宋体"/>
          <w:color w:val="auto"/>
          <w:highlight w:val="none"/>
          <w:u w:val="single"/>
        </w:rPr>
        <w:t xml:space="preserve">                        </w:t>
      </w:r>
    </w:p>
    <w:p w14:paraId="0ABFAB94">
      <w:pPr>
        <w:pStyle w:val="34"/>
        <w:spacing w:beforeAutospacing="0" w:afterAutospacing="0" w:line="360" w:lineRule="auto"/>
        <w:jc w:val="both"/>
        <w:rPr>
          <w:rFonts w:ascii="宋体" w:hAnsi="宋体"/>
          <w:color w:val="auto"/>
          <w:highlight w:val="none"/>
        </w:rPr>
      </w:pPr>
      <w:r>
        <w:rPr>
          <w:rFonts w:hint="eastAsia" w:ascii="宋体" w:hAnsi="宋体" w:cs="宋体"/>
          <w:color w:val="auto"/>
          <w:highlight w:val="none"/>
        </w:rPr>
        <w:t>三、质疑事项具体内容</w:t>
      </w:r>
    </w:p>
    <w:p w14:paraId="18CFE29A">
      <w:pPr>
        <w:pStyle w:val="34"/>
        <w:spacing w:beforeAutospacing="0" w:afterAutospacing="0" w:line="360" w:lineRule="auto"/>
        <w:jc w:val="both"/>
        <w:rPr>
          <w:rFonts w:ascii="宋体" w:hAnsi="宋体"/>
          <w:color w:val="auto"/>
          <w:highlight w:val="none"/>
        </w:rPr>
      </w:pPr>
      <w:r>
        <w:rPr>
          <w:rFonts w:hint="eastAsia" w:ascii="宋体" w:hAnsi="宋体" w:cs="宋体"/>
          <w:color w:val="auto"/>
          <w:highlight w:val="none"/>
        </w:rPr>
        <w:t>质疑事项1：</w:t>
      </w:r>
      <w:r>
        <w:rPr>
          <w:rFonts w:hint="eastAsia" w:ascii="宋体" w:hAnsi="宋体" w:cs="宋体"/>
          <w:color w:val="auto"/>
          <w:highlight w:val="none"/>
          <w:u w:val="single"/>
        </w:rPr>
        <w:t xml:space="preserve">                         </w:t>
      </w:r>
    </w:p>
    <w:p w14:paraId="390DABA6">
      <w:pPr>
        <w:pStyle w:val="34"/>
        <w:spacing w:beforeAutospacing="0" w:afterAutospacing="0" w:line="360" w:lineRule="auto"/>
        <w:jc w:val="both"/>
        <w:rPr>
          <w:rFonts w:ascii="宋体" w:hAnsi="宋体"/>
          <w:color w:val="auto"/>
          <w:highlight w:val="none"/>
        </w:rPr>
      </w:pPr>
      <w:r>
        <w:rPr>
          <w:rFonts w:hint="eastAsia" w:ascii="宋体" w:hAnsi="宋体" w:cs="宋体"/>
          <w:color w:val="auto"/>
          <w:highlight w:val="none"/>
        </w:rPr>
        <w:t>事实依据：</w:t>
      </w:r>
      <w:r>
        <w:rPr>
          <w:rFonts w:hint="eastAsia" w:ascii="宋体" w:hAnsi="宋体" w:cs="宋体"/>
          <w:color w:val="auto"/>
          <w:highlight w:val="none"/>
          <w:u w:val="single"/>
        </w:rPr>
        <w:t xml:space="preserve">                          </w:t>
      </w:r>
    </w:p>
    <w:p w14:paraId="5B9C1B2D">
      <w:pPr>
        <w:pStyle w:val="34"/>
        <w:spacing w:beforeAutospacing="0" w:afterAutospacing="0" w:line="360" w:lineRule="auto"/>
        <w:jc w:val="both"/>
        <w:rPr>
          <w:rFonts w:ascii="宋体" w:hAnsi="宋体"/>
          <w:color w:val="auto"/>
          <w:highlight w:val="none"/>
        </w:rPr>
      </w:pPr>
      <w:r>
        <w:rPr>
          <w:rFonts w:hint="eastAsia" w:ascii="宋体" w:hAnsi="宋体" w:cs="宋体"/>
          <w:color w:val="auto"/>
          <w:highlight w:val="none"/>
        </w:rPr>
        <w:t>法律依据：</w:t>
      </w:r>
      <w:r>
        <w:rPr>
          <w:rFonts w:hint="eastAsia" w:ascii="宋体" w:hAnsi="宋体" w:cs="宋体"/>
          <w:color w:val="auto"/>
          <w:highlight w:val="none"/>
          <w:u w:val="single"/>
        </w:rPr>
        <w:t xml:space="preserve">                               </w:t>
      </w:r>
    </w:p>
    <w:p w14:paraId="2DC856E9">
      <w:pPr>
        <w:pStyle w:val="34"/>
        <w:spacing w:beforeAutospacing="0" w:afterAutospacing="0" w:line="360" w:lineRule="auto"/>
        <w:jc w:val="both"/>
        <w:rPr>
          <w:rFonts w:ascii="宋体" w:hAnsi="宋体"/>
          <w:color w:val="auto"/>
          <w:highlight w:val="none"/>
        </w:rPr>
      </w:pPr>
      <w:r>
        <w:rPr>
          <w:rFonts w:hint="eastAsia" w:ascii="宋体" w:hAnsi="宋体" w:cs="宋体"/>
          <w:color w:val="auto"/>
          <w:highlight w:val="none"/>
          <w:u w:val="single"/>
        </w:rPr>
        <w:t xml:space="preserve">                                                                           </w:t>
      </w:r>
    </w:p>
    <w:p w14:paraId="2EF00438">
      <w:pPr>
        <w:pStyle w:val="34"/>
        <w:spacing w:beforeAutospacing="0" w:afterAutospacing="0" w:line="360" w:lineRule="auto"/>
        <w:jc w:val="both"/>
        <w:rPr>
          <w:rFonts w:ascii="宋体" w:hAnsi="宋体"/>
          <w:color w:val="auto"/>
          <w:highlight w:val="none"/>
        </w:rPr>
      </w:pPr>
      <w:r>
        <w:rPr>
          <w:rFonts w:hint="eastAsia" w:ascii="宋体" w:hAnsi="宋体" w:cs="宋体"/>
          <w:color w:val="auto"/>
          <w:highlight w:val="none"/>
        </w:rPr>
        <w:t>质疑事项2</w:t>
      </w:r>
    </w:p>
    <w:p w14:paraId="6B1EAE63">
      <w:pPr>
        <w:pStyle w:val="34"/>
        <w:spacing w:beforeAutospacing="0" w:afterAutospacing="0" w:line="360" w:lineRule="auto"/>
        <w:jc w:val="both"/>
        <w:rPr>
          <w:rFonts w:ascii="宋体" w:hAnsi="宋体"/>
          <w:color w:val="auto"/>
          <w:highlight w:val="none"/>
        </w:rPr>
      </w:pPr>
      <w:r>
        <w:rPr>
          <w:rFonts w:hint="eastAsia" w:ascii="宋体" w:hAnsi="宋体" w:cs="宋体"/>
          <w:color w:val="auto"/>
          <w:highlight w:val="none"/>
        </w:rPr>
        <w:t>……</w:t>
      </w:r>
    </w:p>
    <w:p w14:paraId="2091FCEC">
      <w:pPr>
        <w:pStyle w:val="34"/>
        <w:spacing w:beforeAutospacing="0" w:afterAutospacing="0" w:line="360" w:lineRule="auto"/>
        <w:jc w:val="both"/>
        <w:rPr>
          <w:rFonts w:ascii="宋体" w:hAnsi="宋体"/>
          <w:color w:val="auto"/>
          <w:highlight w:val="none"/>
        </w:rPr>
      </w:pPr>
      <w:r>
        <w:rPr>
          <w:rFonts w:hint="eastAsia" w:ascii="宋体" w:hAnsi="宋体" w:cs="宋体"/>
          <w:color w:val="auto"/>
          <w:highlight w:val="none"/>
        </w:rPr>
        <w:t>四、与质疑事项相关的质疑请求</w:t>
      </w:r>
    </w:p>
    <w:p w14:paraId="18BB3637">
      <w:pPr>
        <w:pStyle w:val="34"/>
        <w:spacing w:beforeAutospacing="0" w:afterAutospacing="0" w:line="360" w:lineRule="auto"/>
        <w:jc w:val="both"/>
        <w:rPr>
          <w:rFonts w:ascii="宋体" w:hAnsi="宋体"/>
          <w:color w:val="auto"/>
          <w:highlight w:val="none"/>
        </w:rPr>
      </w:pPr>
      <w:r>
        <w:rPr>
          <w:rFonts w:hint="eastAsia" w:ascii="宋体" w:hAnsi="宋体" w:cs="宋体"/>
          <w:color w:val="auto"/>
          <w:highlight w:val="none"/>
        </w:rPr>
        <w:t>请求：</w:t>
      </w:r>
      <w:r>
        <w:rPr>
          <w:rFonts w:hint="eastAsia" w:ascii="宋体" w:hAnsi="宋体" w:cs="宋体"/>
          <w:color w:val="auto"/>
          <w:highlight w:val="none"/>
          <w:u w:val="single"/>
        </w:rPr>
        <w:t xml:space="preserve">                    </w:t>
      </w:r>
    </w:p>
    <w:p w14:paraId="28B7CEDC">
      <w:pPr>
        <w:pStyle w:val="34"/>
        <w:spacing w:beforeAutospacing="0" w:afterAutospacing="0"/>
        <w:jc w:val="both"/>
        <w:rPr>
          <w:rFonts w:ascii="宋体" w:hAnsi="宋体" w:cs="宋体"/>
          <w:color w:val="auto"/>
          <w:highlight w:val="none"/>
        </w:rPr>
      </w:pPr>
      <w:r>
        <w:rPr>
          <w:rFonts w:hint="eastAsia" w:ascii="宋体" w:hAnsi="宋体" w:cs="宋体"/>
          <w:color w:val="auto"/>
          <w:highlight w:val="none"/>
        </w:rPr>
        <w:t xml:space="preserve">签字(签章)：                   </w:t>
      </w:r>
    </w:p>
    <w:p w14:paraId="42019988">
      <w:pPr>
        <w:pStyle w:val="34"/>
        <w:spacing w:beforeAutospacing="0" w:afterAutospacing="0"/>
        <w:jc w:val="both"/>
        <w:rPr>
          <w:rFonts w:ascii="宋体" w:hAnsi="宋体"/>
          <w:color w:val="auto"/>
          <w:highlight w:val="none"/>
        </w:rPr>
      </w:pPr>
      <w:r>
        <w:rPr>
          <w:rFonts w:hint="eastAsia" w:ascii="宋体" w:hAnsi="宋体" w:cs="宋体"/>
          <w:color w:val="auto"/>
          <w:highlight w:val="none"/>
        </w:rPr>
        <w:t xml:space="preserve">公章：                      </w:t>
      </w:r>
    </w:p>
    <w:p w14:paraId="6B66E1D8">
      <w:pPr>
        <w:pStyle w:val="34"/>
        <w:spacing w:beforeAutospacing="0" w:afterAutospacing="0"/>
        <w:jc w:val="both"/>
        <w:rPr>
          <w:rFonts w:hint="eastAsia" w:ascii="宋体" w:hAnsi="宋体" w:cs="宋体"/>
          <w:color w:val="auto"/>
          <w:highlight w:val="none"/>
        </w:rPr>
      </w:pPr>
      <w:r>
        <w:rPr>
          <w:rFonts w:hint="eastAsia" w:ascii="宋体" w:hAnsi="宋体" w:cs="宋体"/>
          <w:color w:val="auto"/>
          <w:highlight w:val="none"/>
        </w:rPr>
        <w:t>日期：</w:t>
      </w:r>
    </w:p>
    <w:p w14:paraId="752B4D2C">
      <w:pPr>
        <w:pStyle w:val="34"/>
        <w:spacing w:beforeAutospacing="0" w:afterAutospacing="0"/>
        <w:jc w:val="both"/>
        <w:rPr>
          <w:rFonts w:hint="eastAsia" w:ascii="宋体" w:hAnsi="宋体" w:cs="宋体"/>
          <w:color w:val="auto"/>
          <w:highlight w:val="none"/>
        </w:rPr>
      </w:pPr>
    </w:p>
    <w:p w14:paraId="3AB65878">
      <w:pPr>
        <w:pStyle w:val="34"/>
        <w:spacing w:beforeAutospacing="0" w:afterAutospacing="0"/>
        <w:jc w:val="both"/>
        <w:rPr>
          <w:rFonts w:hint="eastAsia" w:ascii="宋体" w:hAnsi="宋体" w:cs="宋体"/>
          <w:color w:val="auto"/>
          <w:highlight w:val="none"/>
        </w:rPr>
      </w:pPr>
    </w:p>
    <w:p w14:paraId="059DDDA8">
      <w:pPr>
        <w:pStyle w:val="34"/>
        <w:spacing w:beforeAutospacing="0" w:afterAutospacing="0"/>
        <w:jc w:val="both"/>
        <w:rPr>
          <w:rFonts w:hint="eastAsia" w:ascii="宋体" w:hAnsi="宋体" w:cs="宋体"/>
          <w:color w:val="auto"/>
          <w:highlight w:val="none"/>
        </w:rPr>
      </w:pPr>
    </w:p>
    <w:p w14:paraId="58BB4ACD">
      <w:pPr>
        <w:pStyle w:val="34"/>
        <w:spacing w:beforeAutospacing="0" w:afterAutospacing="0"/>
        <w:jc w:val="both"/>
        <w:rPr>
          <w:rFonts w:ascii="宋体" w:hAnsi="宋体"/>
          <w:color w:val="auto"/>
          <w:highlight w:val="none"/>
        </w:rPr>
      </w:pPr>
      <w:r>
        <w:rPr>
          <w:rFonts w:hint="eastAsia" w:ascii="宋体" w:hAnsi="宋体" w:cs="宋体"/>
          <w:color w:val="auto"/>
          <w:highlight w:val="none"/>
        </w:rPr>
        <w:t xml:space="preserve">    </w:t>
      </w:r>
    </w:p>
    <w:p w14:paraId="6889F837">
      <w:pPr>
        <w:pStyle w:val="34"/>
        <w:spacing w:beforeAutospacing="0" w:afterAutospacing="0" w:line="0" w:lineRule="atLeast"/>
        <w:jc w:val="both"/>
        <w:rPr>
          <w:rFonts w:ascii="宋体" w:hAnsi="宋体"/>
          <w:color w:val="auto"/>
          <w:highlight w:val="none"/>
        </w:rPr>
      </w:pPr>
      <w:r>
        <w:rPr>
          <w:rFonts w:hint="eastAsia" w:ascii="宋体" w:hAnsi="宋体" w:cs="宋体"/>
          <w:b/>
          <w:color w:val="auto"/>
          <w:highlight w:val="none"/>
        </w:rPr>
        <w:t>质疑函制作说明：</w:t>
      </w:r>
    </w:p>
    <w:p w14:paraId="166EA517">
      <w:pPr>
        <w:widowControl/>
        <w:numPr>
          <w:ilvl w:val="0"/>
          <w:numId w:val="3"/>
        </w:numPr>
        <w:spacing w:line="0" w:lineRule="atLeast"/>
        <w:ind w:left="482" w:firstLine="480"/>
        <w:jc w:val="left"/>
        <w:rPr>
          <w:rFonts w:ascii="宋体" w:hAnsi="宋体" w:cs="宋体"/>
          <w:color w:val="auto"/>
          <w:sz w:val="24"/>
          <w:highlight w:val="none"/>
        </w:rPr>
      </w:pPr>
      <w:r>
        <w:rPr>
          <w:rFonts w:hint="eastAsia" w:ascii="宋体" w:hAnsi="宋体" w:cs="宋体"/>
          <w:color w:val="auto"/>
          <w:sz w:val="24"/>
          <w:highlight w:val="none"/>
        </w:rPr>
        <w:t>供应商提出质疑时，应提交质疑函和必要的证明材料。</w:t>
      </w:r>
    </w:p>
    <w:p w14:paraId="049D8AB8">
      <w:pPr>
        <w:widowControl/>
        <w:numPr>
          <w:ilvl w:val="0"/>
          <w:numId w:val="3"/>
        </w:numPr>
        <w:spacing w:line="0" w:lineRule="atLeast"/>
        <w:ind w:left="482" w:firstLine="480"/>
        <w:jc w:val="left"/>
        <w:rPr>
          <w:rFonts w:ascii="宋体" w:hAnsi="宋体" w:cs="宋体"/>
          <w:color w:val="auto"/>
          <w:sz w:val="24"/>
          <w:highlight w:val="none"/>
        </w:rPr>
      </w:pPr>
      <w:r>
        <w:rPr>
          <w:rFonts w:hint="eastAsia" w:ascii="宋体" w:hAnsi="宋体" w:cs="宋体"/>
          <w:color w:val="auto"/>
          <w:sz w:val="24"/>
          <w:highlight w:val="none"/>
        </w:rPr>
        <w:t>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99796AB">
      <w:pPr>
        <w:widowControl/>
        <w:numPr>
          <w:ilvl w:val="0"/>
          <w:numId w:val="3"/>
        </w:numPr>
        <w:spacing w:line="0" w:lineRule="atLeast"/>
        <w:ind w:left="482" w:firstLine="480"/>
        <w:jc w:val="left"/>
        <w:rPr>
          <w:rFonts w:ascii="宋体" w:hAnsi="宋体" w:cs="宋体"/>
          <w:color w:val="auto"/>
          <w:sz w:val="24"/>
          <w:highlight w:val="none"/>
        </w:rPr>
      </w:pPr>
      <w:r>
        <w:rPr>
          <w:rFonts w:hint="eastAsia" w:ascii="宋体" w:hAnsi="宋体" w:cs="宋体"/>
          <w:color w:val="auto"/>
          <w:sz w:val="24"/>
          <w:highlight w:val="none"/>
        </w:rPr>
        <w:t>质疑供应商若对项目的某一分包进行质疑，质疑函中应列明具体分包号。</w:t>
      </w:r>
    </w:p>
    <w:p w14:paraId="05282A49">
      <w:pPr>
        <w:widowControl/>
        <w:numPr>
          <w:ilvl w:val="0"/>
          <w:numId w:val="3"/>
        </w:numPr>
        <w:spacing w:line="0" w:lineRule="atLeast"/>
        <w:ind w:left="482" w:firstLine="480"/>
        <w:jc w:val="left"/>
        <w:rPr>
          <w:rFonts w:ascii="宋体" w:hAnsi="宋体" w:cs="宋体"/>
          <w:color w:val="auto"/>
          <w:sz w:val="24"/>
          <w:highlight w:val="none"/>
        </w:rPr>
      </w:pPr>
      <w:r>
        <w:rPr>
          <w:rFonts w:hint="eastAsia" w:ascii="宋体" w:hAnsi="宋体" w:cs="宋体"/>
          <w:color w:val="auto"/>
          <w:sz w:val="24"/>
          <w:highlight w:val="none"/>
        </w:rPr>
        <w:t>质疑函的质疑事项应具体、明确，并有必要的事实依据和法律依据。</w:t>
      </w:r>
    </w:p>
    <w:p w14:paraId="465C58E2">
      <w:pPr>
        <w:widowControl/>
        <w:numPr>
          <w:ilvl w:val="0"/>
          <w:numId w:val="3"/>
        </w:numPr>
        <w:spacing w:line="0" w:lineRule="atLeast"/>
        <w:ind w:left="482" w:firstLine="480"/>
        <w:jc w:val="left"/>
        <w:rPr>
          <w:rFonts w:ascii="宋体" w:hAnsi="宋体" w:cs="宋体"/>
          <w:color w:val="auto"/>
          <w:sz w:val="24"/>
          <w:highlight w:val="none"/>
        </w:rPr>
      </w:pPr>
      <w:r>
        <w:rPr>
          <w:rFonts w:hint="eastAsia" w:ascii="宋体" w:hAnsi="宋体" w:cs="宋体"/>
          <w:color w:val="auto"/>
          <w:sz w:val="24"/>
          <w:highlight w:val="none"/>
        </w:rPr>
        <w:t>质疑函的质疑请求应与质疑事项相关。</w:t>
      </w:r>
    </w:p>
    <w:p w14:paraId="1CB8DF1B">
      <w:pPr>
        <w:widowControl/>
        <w:numPr>
          <w:ilvl w:val="0"/>
          <w:numId w:val="3"/>
        </w:numPr>
        <w:spacing w:line="0" w:lineRule="atLeast"/>
        <w:ind w:left="482" w:firstLine="480"/>
        <w:jc w:val="left"/>
        <w:rPr>
          <w:rFonts w:ascii="宋体" w:hAnsi="宋体" w:cs="宋体"/>
          <w:color w:val="auto"/>
          <w:sz w:val="24"/>
          <w:highlight w:val="none"/>
        </w:rPr>
      </w:pPr>
      <w:r>
        <w:rPr>
          <w:rFonts w:hint="eastAsia" w:ascii="宋体" w:hAnsi="宋体" w:cs="宋体"/>
          <w:color w:val="auto"/>
          <w:sz w:val="24"/>
          <w:highlight w:val="none"/>
        </w:rPr>
        <w:t>质疑供应商为自然人的，质疑函应由本人签字；质疑供应商为法人或者其他组织的，质疑函应由法定代表人、主要负责人，或者其授权代表签字或者盖章，并加盖公章。</w:t>
      </w:r>
    </w:p>
    <w:p w14:paraId="6748618D">
      <w:pPr>
        <w:pStyle w:val="34"/>
        <w:spacing w:before="0" w:beforeAutospacing="0" w:after="0" w:afterAutospacing="0"/>
        <w:jc w:val="center"/>
        <w:rPr>
          <w:rFonts w:hint="eastAsia" w:ascii="宋体" w:hAnsi="宋体" w:cs="宋体"/>
          <w:b/>
          <w:color w:val="auto"/>
          <w:sz w:val="32"/>
          <w:szCs w:val="32"/>
          <w:highlight w:val="none"/>
        </w:rPr>
      </w:pPr>
    </w:p>
    <w:p w14:paraId="6248F8EC">
      <w:pPr>
        <w:pStyle w:val="34"/>
        <w:spacing w:before="0" w:beforeAutospacing="0" w:after="0" w:afterAutospacing="0"/>
        <w:jc w:val="center"/>
        <w:rPr>
          <w:rFonts w:hint="eastAsia" w:ascii="宋体" w:hAnsi="宋体" w:cs="宋体"/>
          <w:b/>
          <w:color w:val="auto"/>
          <w:sz w:val="32"/>
          <w:szCs w:val="32"/>
          <w:highlight w:val="none"/>
        </w:rPr>
      </w:pPr>
    </w:p>
    <w:p w14:paraId="6822AE9B">
      <w:pPr>
        <w:rPr>
          <w:color w:val="auto"/>
          <w:highlight w:val="none"/>
        </w:rPr>
      </w:pPr>
    </w:p>
    <w:p w14:paraId="2D445938">
      <w:pPr>
        <w:rPr>
          <w:color w:val="auto"/>
          <w:highlight w:val="none"/>
        </w:rPr>
      </w:pPr>
    </w:p>
    <w:p w14:paraId="2671DA77">
      <w:pPr>
        <w:rPr>
          <w:color w:val="auto"/>
          <w:highlight w:val="none"/>
        </w:rPr>
      </w:pPr>
    </w:p>
    <w:p w14:paraId="1C682C5F">
      <w:pPr>
        <w:rPr>
          <w:color w:val="auto"/>
          <w:highlight w:val="none"/>
        </w:rPr>
      </w:pPr>
    </w:p>
    <w:p w14:paraId="04214CB2">
      <w:pPr>
        <w:rPr>
          <w:color w:val="auto"/>
          <w:highlight w:val="none"/>
        </w:rPr>
      </w:pPr>
    </w:p>
    <w:p w14:paraId="499366FA">
      <w:pPr>
        <w:rPr>
          <w:color w:val="auto"/>
          <w:highlight w:val="none"/>
        </w:rPr>
      </w:pPr>
    </w:p>
    <w:p w14:paraId="146CFAA5">
      <w:pPr>
        <w:rPr>
          <w:color w:val="auto"/>
          <w:highlight w:val="none"/>
        </w:rPr>
      </w:pPr>
    </w:p>
    <w:p w14:paraId="78453D84">
      <w:pPr>
        <w:rPr>
          <w:color w:val="auto"/>
          <w:highlight w:val="none"/>
        </w:rPr>
      </w:pPr>
    </w:p>
    <w:p w14:paraId="7A6C72BF">
      <w:pPr>
        <w:rPr>
          <w:color w:val="auto"/>
          <w:highlight w:val="none"/>
        </w:rPr>
      </w:pPr>
    </w:p>
    <w:p w14:paraId="54AF1581">
      <w:pPr>
        <w:rPr>
          <w:color w:val="auto"/>
          <w:highlight w:val="none"/>
        </w:rPr>
      </w:pPr>
    </w:p>
    <w:sectPr>
      <w:pgSz w:w="11906" w:h="16838"/>
      <w:pgMar w:top="1440" w:right="1800" w:bottom="1440" w:left="1800" w:header="851" w:footer="992" w:gutter="0"/>
      <w:pgNumType w:fmt="decimal"/>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Formata">
    <w:altName w:val="Yu Gothic UI"/>
    <w:panose1 w:val="020B0503020202020204"/>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_x000B__x000C_">
    <w:altName w:val="Yu Gothic UI"/>
    <w:panose1 w:val="020B0503020202020204"/>
    <w:charset w:val="00"/>
    <w:family w:val="auto"/>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95600">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21BB7B">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2473"/>
    </w:sdtPr>
    <w:sdtContent>
      <w:p w14:paraId="46C46125">
        <w:pPr>
          <w:pStyle w:val="22"/>
          <w:jc w:val="center"/>
        </w:pPr>
        <w:r>
          <w:fldChar w:fldCharType="begin"/>
        </w:r>
        <w:r>
          <w:instrText xml:space="preserve">PAGE   \* MERGEFORMAT</w:instrText>
        </w:r>
        <w:r>
          <w:fldChar w:fldCharType="separate"/>
        </w:r>
        <w:r>
          <w:rPr>
            <w:lang w:val="zh-CN"/>
          </w:rPr>
          <w:t>2</w:t>
        </w:r>
        <w:r>
          <w:fldChar w:fldCharType="end"/>
        </w:r>
      </w:p>
    </w:sdtContent>
  </w:sdt>
  <w:p w14:paraId="25DEF643">
    <w:pPr>
      <w:pStyle w:val="2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5AF76">
    <w:pPr>
      <w:pStyle w:val="22"/>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5918"/>
                          </w:sdtPr>
                          <w:sdtContent>
                            <w:p w14:paraId="65BB73B7">
                              <w:pPr>
                                <w:pStyle w:val="22"/>
                                <w:jc w:val="center"/>
                              </w:pPr>
                              <w:r>
                                <w:fldChar w:fldCharType="begin"/>
                              </w:r>
                              <w:r>
                                <w:instrText xml:space="preserve">PAGE   \* MERGEFORMAT</w:instrText>
                              </w:r>
                              <w:r>
                                <w:fldChar w:fldCharType="separate"/>
                              </w:r>
                              <w:r>
                                <w:rPr>
                                  <w:lang w:val="zh-CN"/>
                                </w:rPr>
                                <w:t>2</w:t>
                              </w:r>
                              <w:r>
                                <w:fldChar w:fldCharType="end"/>
                              </w:r>
                            </w:p>
                          </w:sdtContent>
                        </w:sdt>
                        <w:p w14:paraId="71CA2338">
                          <w:pPr>
                            <w:pStyle w:val="44"/>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sdt>
                    <w:sdtPr>
                      <w:id w:val="147475918"/>
                    </w:sdtPr>
                    <w:sdtContent>
                      <w:p w14:paraId="65BB73B7">
                        <w:pPr>
                          <w:pStyle w:val="22"/>
                          <w:jc w:val="center"/>
                        </w:pPr>
                        <w:r>
                          <w:fldChar w:fldCharType="begin"/>
                        </w:r>
                        <w:r>
                          <w:instrText xml:space="preserve">PAGE   \* MERGEFORMAT</w:instrText>
                        </w:r>
                        <w:r>
                          <w:fldChar w:fldCharType="separate"/>
                        </w:r>
                        <w:r>
                          <w:rPr>
                            <w:lang w:val="zh-CN"/>
                          </w:rPr>
                          <w:t>2</w:t>
                        </w:r>
                        <w:r>
                          <w:fldChar w:fldCharType="end"/>
                        </w:r>
                      </w:p>
                    </w:sdtContent>
                  </w:sdt>
                  <w:p w14:paraId="71CA2338">
                    <w:pPr>
                      <w:pStyle w:val="44"/>
                    </w:pPr>
                  </w:p>
                </w:txbxContent>
              </v:textbox>
            </v:shape>
          </w:pict>
        </mc:Fallback>
      </mc:AlternateContent>
    </w:r>
  </w:p>
  <w:p w14:paraId="574A2FA6">
    <w:pPr>
      <w:pStyle w:val="2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B84A10">
    <w:pPr>
      <w:pStyle w:val="2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499241">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D499241">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AE2BC6"/>
    <w:multiLevelType w:val="multilevel"/>
    <w:tmpl w:val="8FAE2BC6"/>
    <w:lvl w:ilvl="0" w:tentative="0">
      <w:start w:val="1"/>
      <w:numFmt w:val="decimal"/>
      <w:lvlText w:val="%1."/>
      <w:lvlJc w:val="left"/>
      <w:pPr>
        <w:ind w:left="840" w:hanging="36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
    <w:nsid w:val="CB6B2438"/>
    <w:multiLevelType w:val="multilevel"/>
    <w:tmpl w:val="CB6B2438"/>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5DFECC2"/>
    <w:multiLevelType w:val="singleLevel"/>
    <w:tmpl w:val="05DFECC2"/>
    <w:lvl w:ilvl="0" w:tentative="0">
      <w:start w:val="3"/>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revisionView w:markup="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4009B"/>
    <w:rsid w:val="012C2953"/>
    <w:rsid w:val="02654E41"/>
    <w:rsid w:val="02D2752A"/>
    <w:rsid w:val="03463A74"/>
    <w:rsid w:val="039C5442"/>
    <w:rsid w:val="03E868D9"/>
    <w:rsid w:val="05F477B7"/>
    <w:rsid w:val="0662477F"/>
    <w:rsid w:val="068663C4"/>
    <w:rsid w:val="06EE3151"/>
    <w:rsid w:val="073A569E"/>
    <w:rsid w:val="07893F2F"/>
    <w:rsid w:val="081C1F94"/>
    <w:rsid w:val="08514A4D"/>
    <w:rsid w:val="0A3E0796"/>
    <w:rsid w:val="0A9B46A5"/>
    <w:rsid w:val="0AE00993"/>
    <w:rsid w:val="0B0B0C84"/>
    <w:rsid w:val="0BC5431F"/>
    <w:rsid w:val="0BF40511"/>
    <w:rsid w:val="0C7E2C45"/>
    <w:rsid w:val="0CEC47C3"/>
    <w:rsid w:val="0D1A0E57"/>
    <w:rsid w:val="0D36577E"/>
    <w:rsid w:val="0DA25D4B"/>
    <w:rsid w:val="0E3E21E1"/>
    <w:rsid w:val="0E590AFF"/>
    <w:rsid w:val="0E8E5690"/>
    <w:rsid w:val="0EE0662D"/>
    <w:rsid w:val="0F4075C9"/>
    <w:rsid w:val="0F751969"/>
    <w:rsid w:val="0F952997"/>
    <w:rsid w:val="0F956BB3"/>
    <w:rsid w:val="0FB029A1"/>
    <w:rsid w:val="0FC5304C"/>
    <w:rsid w:val="10771710"/>
    <w:rsid w:val="108A0980"/>
    <w:rsid w:val="10C04E65"/>
    <w:rsid w:val="10C86750"/>
    <w:rsid w:val="11643B91"/>
    <w:rsid w:val="123A69E4"/>
    <w:rsid w:val="124F46F3"/>
    <w:rsid w:val="12A6533A"/>
    <w:rsid w:val="12C7072D"/>
    <w:rsid w:val="12E22503"/>
    <w:rsid w:val="13062664"/>
    <w:rsid w:val="13257202"/>
    <w:rsid w:val="13A4175E"/>
    <w:rsid w:val="14694C0A"/>
    <w:rsid w:val="14877E44"/>
    <w:rsid w:val="15131ECD"/>
    <w:rsid w:val="151439D2"/>
    <w:rsid w:val="15467FEB"/>
    <w:rsid w:val="15D849FF"/>
    <w:rsid w:val="170F5507"/>
    <w:rsid w:val="17283617"/>
    <w:rsid w:val="173043C7"/>
    <w:rsid w:val="174D6D27"/>
    <w:rsid w:val="174E5AF0"/>
    <w:rsid w:val="176A2E18"/>
    <w:rsid w:val="17EC02EE"/>
    <w:rsid w:val="18357EE7"/>
    <w:rsid w:val="183E6C48"/>
    <w:rsid w:val="185C1918"/>
    <w:rsid w:val="185E2E43"/>
    <w:rsid w:val="19EB674A"/>
    <w:rsid w:val="1A952EBF"/>
    <w:rsid w:val="1B726EB7"/>
    <w:rsid w:val="1B746F78"/>
    <w:rsid w:val="1BC0585B"/>
    <w:rsid w:val="1BC2127F"/>
    <w:rsid w:val="1C215A59"/>
    <w:rsid w:val="1C2E5379"/>
    <w:rsid w:val="1C65720B"/>
    <w:rsid w:val="1CE235FB"/>
    <w:rsid w:val="1CE343B6"/>
    <w:rsid w:val="1D6719D4"/>
    <w:rsid w:val="1DA54833"/>
    <w:rsid w:val="1E9A4F48"/>
    <w:rsid w:val="1EDC0634"/>
    <w:rsid w:val="201666F1"/>
    <w:rsid w:val="20735A50"/>
    <w:rsid w:val="20FD42EC"/>
    <w:rsid w:val="219A61C9"/>
    <w:rsid w:val="21B9578A"/>
    <w:rsid w:val="21BD7368"/>
    <w:rsid w:val="222B6E5B"/>
    <w:rsid w:val="22621291"/>
    <w:rsid w:val="228F44CC"/>
    <w:rsid w:val="22EE4940"/>
    <w:rsid w:val="23447230"/>
    <w:rsid w:val="23D83E1C"/>
    <w:rsid w:val="24303C58"/>
    <w:rsid w:val="24343749"/>
    <w:rsid w:val="243713A1"/>
    <w:rsid w:val="24952391"/>
    <w:rsid w:val="24961D0D"/>
    <w:rsid w:val="250862B9"/>
    <w:rsid w:val="252523ED"/>
    <w:rsid w:val="254A5A35"/>
    <w:rsid w:val="256F74FA"/>
    <w:rsid w:val="257876DE"/>
    <w:rsid w:val="257B0F03"/>
    <w:rsid w:val="25CC175F"/>
    <w:rsid w:val="26562947"/>
    <w:rsid w:val="26A5448A"/>
    <w:rsid w:val="26C348A5"/>
    <w:rsid w:val="272922EB"/>
    <w:rsid w:val="27B54BA0"/>
    <w:rsid w:val="27EE31D8"/>
    <w:rsid w:val="287E31E4"/>
    <w:rsid w:val="29902A01"/>
    <w:rsid w:val="29F16DF3"/>
    <w:rsid w:val="2A524929"/>
    <w:rsid w:val="2A946B01"/>
    <w:rsid w:val="2AA66B98"/>
    <w:rsid w:val="2B3109E2"/>
    <w:rsid w:val="2B451B3A"/>
    <w:rsid w:val="2B960845"/>
    <w:rsid w:val="2BA76928"/>
    <w:rsid w:val="2C4D5E0D"/>
    <w:rsid w:val="2C532BDA"/>
    <w:rsid w:val="2D035FCE"/>
    <w:rsid w:val="2D3E1194"/>
    <w:rsid w:val="2DAA7084"/>
    <w:rsid w:val="2DEA4E78"/>
    <w:rsid w:val="2EF51D26"/>
    <w:rsid w:val="2F6A3A62"/>
    <w:rsid w:val="2F7215C9"/>
    <w:rsid w:val="2FDB3950"/>
    <w:rsid w:val="302D1247"/>
    <w:rsid w:val="30322514"/>
    <w:rsid w:val="311741D6"/>
    <w:rsid w:val="31B45EC9"/>
    <w:rsid w:val="31ED3189"/>
    <w:rsid w:val="3279467C"/>
    <w:rsid w:val="32A55811"/>
    <w:rsid w:val="33062754"/>
    <w:rsid w:val="342667F2"/>
    <w:rsid w:val="343D57A7"/>
    <w:rsid w:val="34943763"/>
    <w:rsid w:val="355C48AD"/>
    <w:rsid w:val="35C97A69"/>
    <w:rsid w:val="36017203"/>
    <w:rsid w:val="361C228F"/>
    <w:rsid w:val="368C345F"/>
    <w:rsid w:val="36A82F9A"/>
    <w:rsid w:val="3744384B"/>
    <w:rsid w:val="37D42D2A"/>
    <w:rsid w:val="38321BDD"/>
    <w:rsid w:val="388313AF"/>
    <w:rsid w:val="38E83622"/>
    <w:rsid w:val="3929719C"/>
    <w:rsid w:val="399F120C"/>
    <w:rsid w:val="3A2B01A1"/>
    <w:rsid w:val="3A641997"/>
    <w:rsid w:val="3AD15273"/>
    <w:rsid w:val="3B3F7FA9"/>
    <w:rsid w:val="3BB41F29"/>
    <w:rsid w:val="3D312055"/>
    <w:rsid w:val="3D3B124C"/>
    <w:rsid w:val="3E4E6CA6"/>
    <w:rsid w:val="3E6D1A7C"/>
    <w:rsid w:val="3EB556A0"/>
    <w:rsid w:val="3F1D1ECF"/>
    <w:rsid w:val="3F473ED8"/>
    <w:rsid w:val="3F6E3B5B"/>
    <w:rsid w:val="3F8B7F51"/>
    <w:rsid w:val="40AD71E9"/>
    <w:rsid w:val="40E63D94"/>
    <w:rsid w:val="413A40DE"/>
    <w:rsid w:val="415C79E3"/>
    <w:rsid w:val="418256BE"/>
    <w:rsid w:val="41AB6FE1"/>
    <w:rsid w:val="41CF6754"/>
    <w:rsid w:val="42042307"/>
    <w:rsid w:val="4487121B"/>
    <w:rsid w:val="454B5DB8"/>
    <w:rsid w:val="45B019B9"/>
    <w:rsid w:val="45BD3691"/>
    <w:rsid w:val="45FA7841"/>
    <w:rsid w:val="461E3A15"/>
    <w:rsid w:val="462B4021"/>
    <w:rsid w:val="46317690"/>
    <w:rsid w:val="463827CD"/>
    <w:rsid w:val="469029A0"/>
    <w:rsid w:val="47777325"/>
    <w:rsid w:val="4812704D"/>
    <w:rsid w:val="481A02A2"/>
    <w:rsid w:val="48946B38"/>
    <w:rsid w:val="48C52AC1"/>
    <w:rsid w:val="48E8716D"/>
    <w:rsid w:val="48F81653"/>
    <w:rsid w:val="494A0AAA"/>
    <w:rsid w:val="4A06762B"/>
    <w:rsid w:val="4A506004"/>
    <w:rsid w:val="4B755CF0"/>
    <w:rsid w:val="4BB5666E"/>
    <w:rsid w:val="4BBE1169"/>
    <w:rsid w:val="4C9C2A40"/>
    <w:rsid w:val="4CD64AED"/>
    <w:rsid w:val="4DA370C6"/>
    <w:rsid w:val="4DAD53C4"/>
    <w:rsid w:val="4E481A1B"/>
    <w:rsid w:val="4E8C7B5A"/>
    <w:rsid w:val="4F982A7B"/>
    <w:rsid w:val="4FD121BE"/>
    <w:rsid w:val="4FD80B7D"/>
    <w:rsid w:val="50003008"/>
    <w:rsid w:val="50356612"/>
    <w:rsid w:val="50D457E8"/>
    <w:rsid w:val="50DF21FA"/>
    <w:rsid w:val="517645BA"/>
    <w:rsid w:val="51EC53F1"/>
    <w:rsid w:val="524349D3"/>
    <w:rsid w:val="524F2E0A"/>
    <w:rsid w:val="526C1327"/>
    <w:rsid w:val="52744D7E"/>
    <w:rsid w:val="529E1C09"/>
    <w:rsid w:val="52D27B05"/>
    <w:rsid w:val="532E7431"/>
    <w:rsid w:val="5345477B"/>
    <w:rsid w:val="54701694"/>
    <w:rsid w:val="550D3076"/>
    <w:rsid w:val="55233806"/>
    <w:rsid w:val="554C1DF1"/>
    <w:rsid w:val="55BD4A9D"/>
    <w:rsid w:val="55CF47D0"/>
    <w:rsid w:val="57396EB2"/>
    <w:rsid w:val="57763155"/>
    <w:rsid w:val="5805272B"/>
    <w:rsid w:val="5814296E"/>
    <w:rsid w:val="59AD6BD6"/>
    <w:rsid w:val="5A326A06"/>
    <w:rsid w:val="5A501F55"/>
    <w:rsid w:val="5A7870EE"/>
    <w:rsid w:val="5ACB37B8"/>
    <w:rsid w:val="5C2D6F47"/>
    <w:rsid w:val="5C65278F"/>
    <w:rsid w:val="5CB06BCA"/>
    <w:rsid w:val="5CE44F06"/>
    <w:rsid w:val="5D540225"/>
    <w:rsid w:val="5D685941"/>
    <w:rsid w:val="5D7C348F"/>
    <w:rsid w:val="5DA14CA4"/>
    <w:rsid w:val="5DBF70F0"/>
    <w:rsid w:val="5E47584B"/>
    <w:rsid w:val="5E9071F2"/>
    <w:rsid w:val="5F443EE8"/>
    <w:rsid w:val="5F930AF8"/>
    <w:rsid w:val="5FD27396"/>
    <w:rsid w:val="601C6864"/>
    <w:rsid w:val="604858AA"/>
    <w:rsid w:val="60715291"/>
    <w:rsid w:val="60F45F0F"/>
    <w:rsid w:val="61306D4F"/>
    <w:rsid w:val="615E3CAF"/>
    <w:rsid w:val="61AF3E33"/>
    <w:rsid w:val="622639C9"/>
    <w:rsid w:val="62881E22"/>
    <w:rsid w:val="62A57D4F"/>
    <w:rsid w:val="63984453"/>
    <w:rsid w:val="641A08EF"/>
    <w:rsid w:val="642B52C7"/>
    <w:rsid w:val="643728BE"/>
    <w:rsid w:val="64690CE6"/>
    <w:rsid w:val="64FE29DC"/>
    <w:rsid w:val="6509582C"/>
    <w:rsid w:val="652578EB"/>
    <w:rsid w:val="66A13350"/>
    <w:rsid w:val="66CA0391"/>
    <w:rsid w:val="671309C0"/>
    <w:rsid w:val="676072E5"/>
    <w:rsid w:val="677C5D7A"/>
    <w:rsid w:val="67B304DF"/>
    <w:rsid w:val="67C43A69"/>
    <w:rsid w:val="67EC2FBF"/>
    <w:rsid w:val="68C6733C"/>
    <w:rsid w:val="69020CEC"/>
    <w:rsid w:val="695D0146"/>
    <w:rsid w:val="69A51678"/>
    <w:rsid w:val="6A256453"/>
    <w:rsid w:val="6A3822CA"/>
    <w:rsid w:val="6AAD4C88"/>
    <w:rsid w:val="6ADA17F5"/>
    <w:rsid w:val="6B0B401A"/>
    <w:rsid w:val="6C5324BE"/>
    <w:rsid w:val="6C5A20EB"/>
    <w:rsid w:val="6C613F7C"/>
    <w:rsid w:val="6CE93F71"/>
    <w:rsid w:val="6D246346"/>
    <w:rsid w:val="6D87532F"/>
    <w:rsid w:val="6E035861"/>
    <w:rsid w:val="6E096E47"/>
    <w:rsid w:val="6E587E52"/>
    <w:rsid w:val="6E6506EE"/>
    <w:rsid w:val="6EE40E94"/>
    <w:rsid w:val="6F111B3C"/>
    <w:rsid w:val="6F3C5AED"/>
    <w:rsid w:val="6F9B1553"/>
    <w:rsid w:val="6FC73CF4"/>
    <w:rsid w:val="70B2584A"/>
    <w:rsid w:val="70BC27CE"/>
    <w:rsid w:val="70C2594D"/>
    <w:rsid w:val="7157594D"/>
    <w:rsid w:val="71AB5C99"/>
    <w:rsid w:val="71CC79D6"/>
    <w:rsid w:val="71DC05BC"/>
    <w:rsid w:val="71DE7E1D"/>
    <w:rsid w:val="71EE2679"/>
    <w:rsid w:val="722A3062"/>
    <w:rsid w:val="72412E07"/>
    <w:rsid w:val="730C3C9E"/>
    <w:rsid w:val="73E6120B"/>
    <w:rsid w:val="743D707D"/>
    <w:rsid w:val="7443040B"/>
    <w:rsid w:val="747A27E3"/>
    <w:rsid w:val="751A59DC"/>
    <w:rsid w:val="7564460A"/>
    <w:rsid w:val="761756AB"/>
    <w:rsid w:val="769D2054"/>
    <w:rsid w:val="76C70E7F"/>
    <w:rsid w:val="77752FD1"/>
    <w:rsid w:val="7775590E"/>
    <w:rsid w:val="794B4235"/>
    <w:rsid w:val="79AA0277"/>
    <w:rsid w:val="79B0209F"/>
    <w:rsid w:val="79E45E91"/>
    <w:rsid w:val="7A2D1941"/>
    <w:rsid w:val="7A316FC1"/>
    <w:rsid w:val="7A503677"/>
    <w:rsid w:val="7A9F4B33"/>
    <w:rsid w:val="7AA53BCD"/>
    <w:rsid w:val="7B5573A2"/>
    <w:rsid w:val="7C466FC5"/>
    <w:rsid w:val="7CA67789"/>
    <w:rsid w:val="7D5E7E3F"/>
    <w:rsid w:val="7DBA7990"/>
    <w:rsid w:val="7DC51E91"/>
    <w:rsid w:val="7E561BCC"/>
    <w:rsid w:val="7EE81C2A"/>
    <w:rsid w:val="7EEB3B79"/>
    <w:rsid w:val="7F182A08"/>
    <w:rsid w:val="7F29749B"/>
    <w:rsid w:val="7F6C60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19"/>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3">
    <w:name w:val="heading 1"/>
    <w:basedOn w:val="1"/>
    <w:next w:val="1"/>
    <w:qFormat/>
    <w:uiPriority w:val="9"/>
    <w:pPr>
      <w:keepNext/>
      <w:widowControl/>
      <w:jc w:val="center"/>
      <w:outlineLvl w:val="0"/>
    </w:pPr>
    <w:rPr>
      <w:rFonts w:ascii="Times New Roman" w:hAnsi="Times New Roman" w:cs="Times New Roman"/>
      <w:b/>
      <w:color w:val="000000"/>
      <w:szCs w:val="20"/>
    </w:rPr>
  </w:style>
  <w:style w:type="paragraph" w:styleId="4">
    <w:name w:val="heading 2"/>
    <w:basedOn w:val="1"/>
    <w:next w:val="1"/>
    <w:link w:val="47"/>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8"/>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4"/>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spacing w:after="160" w:line="259" w:lineRule="auto"/>
    </w:pPr>
    <w:rPr>
      <w:rFonts w:hint="default" w:ascii="Formata" w:hAnsi="Times New Roman" w:eastAsia="Formata" w:cs="Times New Roman"/>
      <w:color w:val="000000"/>
      <w:sz w:val="24"/>
      <w:szCs w:val="24"/>
      <w:lang w:val="en-US" w:eastAsia="zh-CN" w:bidi="ar-SA"/>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Body Text"/>
    <w:basedOn w:val="1"/>
    <w:next w:val="1"/>
    <w:qFormat/>
    <w:uiPriority w:val="0"/>
    <w:pPr>
      <w:spacing w:after="120"/>
      <w:jc w:val="center"/>
    </w:pPr>
  </w:style>
  <w:style w:type="paragraph" w:styleId="15">
    <w:name w:val="Body Text Indent"/>
    <w:basedOn w:val="1"/>
    <w:next w:val="16"/>
    <w:qFormat/>
    <w:uiPriority w:val="0"/>
    <w:pPr>
      <w:ind w:firstLine="225"/>
    </w:pPr>
    <w:rPr>
      <w:rFonts w:ascii="仿宋_GB2312" w:eastAsia="仿宋_GB2312"/>
      <w:sz w:val="32"/>
    </w:rPr>
  </w:style>
  <w:style w:type="paragraph" w:styleId="16">
    <w:name w:val="envelope return"/>
    <w:basedOn w:val="1"/>
    <w:qFormat/>
    <w:uiPriority w:val="0"/>
    <w:pPr>
      <w:snapToGrid w:val="0"/>
    </w:pPr>
    <w:rPr>
      <w:rFonts w:ascii="Arial" w:hAnsi="Arial"/>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unhideWhenUsed/>
    <w:qFormat/>
    <w:uiPriority w:val="99"/>
    <w:rPr>
      <w:rFonts w:ascii="宋体" w:hAnsi="Courier New" w:cs="Courier New"/>
      <w:szCs w:val="21"/>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91"/>
    <w:semiHidden/>
    <w:unhideWhenUsed/>
    <w:qFormat/>
    <w:uiPriority w:val="99"/>
    <w:pPr>
      <w:spacing w:after="0" w:line="240" w:lineRule="auto"/>
    </w:pPr>
    <w:rPr>
      <w:sz w:val="20"/>
    </w:rPr>
  </w:style>
  <w:style w:type="paragraph" w:styleId="22">
    <w:name w:val="footer"/>
    <w:basedOn w:val="1"/>
    <w:link w:val="195"/>
    <w:qFormat/>
    <w:uiPriority w:val="99"/>
    <w:pPr>
      <w:tabs>
        <w:tab w:val="center" w:pos="4153"/>
        <w:tab w:val="right" w:pos="8306"/>
      </w:tabs>
      <w:jc w:val="left"/>
    </w:pPr>
    <w:rPr>
      <w:sz w:val="18"/>
      <w:szCs w:val="18"/>
    </w:rPr>
  </w:style>
  <w:style w:type="paragraph" w:styleId="23">
    <w:name w:val="header"/>
    <w:basedOn w:val="1"/>
    <w:link w:val="194"/>
    <w:qFormat/>
    <w:uiPriority w:val="0"/>
    <w:pPr>
      <w:pBdr>
        <w:bottom w:val="single" w:color="auto" w:sz="6" w:space="1"/>
      </w:pBdr>
      <w:tabs>
        <w:tab w:val="center" w:pos="4153"/>
        <w:tab w:val="right" w:pos="8306"/>
      </w:tabs>
      <w:jc w:val="center"/>
    </w:pPr>
    <w:rPr>
      <w:sz w:val="18"/>
      <w:szCs w:val="18"/>
    </w:r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7"/>
    <w:qFormat/>
    <w:uiPriority w:val="11"/>
    <w:pPr>
      <w:spacing w:before="200" w:after="200"/>
    </w:pPr>
    <w:rPr>
      <w:sz w:val="24"/>
      <w:szCs w:val="24"/>
    </w:rPr>
  </w:style>
  <w:style w:type="paragraph" w:styleId="27">
    <w:name w:val="footnote text"/>
    <w:basedOn w:val="1"/>
    <w:link w:val="190"/>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Body Text Indent 3"/>
    <w:basedOn w:val="1"/>
    <w:link w:val="202"/>
    <w:qFormat/>
    <w:uiPriority w:val="0"/>
    <w:pPr>
      <w:spacing w:after="120"/>
      <w:ind w:left="420"/>
    </w:pPr>
    <w:rPr>
      <w:sz w:val="16"/>
      <w:szCs w:val="16"/>
    </w:r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sz w:val="24"/>
    </w:rPr>
  </w:style>
  <w:style w:type="paragraph" w:styleId="34">
    <w:name w:val="Normal (Web)"/>
    <w:basedOn w:val="1"/>
    <w:qFormat/>
    <w:uiPriority w:val="0"/>
    <w:pPr>
      <w:spacing w:beforeAutospacing="1" w:afterAutospacing="1"/>
      <w:jc w:val="left"/>
    </w:pPr>
    <w:rPr>
      <w:rFonts w:cs="Times New Roman"/>
      <w:sz w:val="24"/>
    </w:rPr>
  </w:style>
  <w:style w:type="paragraph" w:styleId="35">
    <w:name w:val="Title"/>
    <w:basedOn w:val="1"/>
    <w:next w:val="1"/>
    <w:qFormat/>
    <w:uiPriority w:val="10"/>
    <w:pPr>
      <w:spacing w:before="240" w:after="60"/>
      <w:jc w:val="center"/>
      <w:outlineLvl w:val="0"/>
    </w:pPr>
    <w:rPr>
      <w:rFonts w:ascii="Cambria" w:hAnsi="Cambria" w:eastAsia="宋体" w:cs="Times New Roman"/>
      <w:b/>
      <w:bCs/>
      <w:sz w:val="32"/>
      <w:szCs w:val="32"/>
    </w:rPr>
  </w:style>
  <w:style w:type="paragraph" w:styleId="36">
    <w:name w:val="Body Text First Indent"/>
    <w:basedOn w:val="1"/>
    <w:unhideWhenUsed/>
    <w:qFormat/>
    <w:uiPriority w:val="99"/>
    <w:pPr>
      <w:ind w:firstLine="420"/>
    </w:pPr>
    <w:rPr>
      <w:rFonts w:ascii="Times New Roman" w:hAnsi="Times New Roman" w:eastAsia="宋体" w:cs="Times New Roman"/>
    </w:rPr>
  </w:style>
  <w:style w:type="paragraph" w:styleId="37">
    <w:name w:val="Body Text First Indent 2"/>
    <w:basedOn w:val="15"/>
    <w:unhideWhenUsed/>
    <w:qFormat/>
    <w:uiPriority w:val="0"/>
    <w:pPr>
      <w:widowControl w:val="0"/>
      <w:spacing w:after="120"/>
      <w:ind w:left="420" w:firstLine="420"/>
      <w:jc w:val="both"/>
    </w:pPr>
    <w:rPr>
      <w:rFonts w:hint="default" w:ascii="Times New Roman" w:hAnsi="Times New Roman" w:eastAsia="宋体" w:cs="Times New Roman"/>
      <w:sz w:val="21"/>
      <w:szCs w:val="20"/>
      <w:lang w:val="en-US" w:eastAsia="zh-CN"/>
    </w:rPr>
  </w:style>
  <w:style w:type="table" w:styleId="39">
    <w:name w:val="Table Grid"/>
    <w:basedOn w:val="3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1">
    <w:name w:val="endnote reference"/>
    <w:basedOn w:val="40"/>
    <w:semiHidden/>
    <w:unhideWhenUsed/>
    <w:qFormat/>
    <w:uiPriority w:val="99"/>
    <w:rPr>
      <w:vertAlign w:val="superscript"/>
    </w:rPr>
  </w:style>
  <w:style w:type="character" w:styleId="42">
    <w:name w:val="Hyperlink"/>
    <w:unhideWhenUsed/>
    <w:qFormat/>
    <w:uiPriority w:val="99"/>
    <w:rPr>
      <w:color w:val="0563C1" w:themeColor="hyperlink"/>
      <w:u w:val="single"/>
      <w14:textFill>
        <w14:solidFill>
          <w14:schemeClr w14:val="hlink"/>
        </w14:solidFill>
      </w14:textFill>
    </w:rPr>
  </w:style>
  <w:style w:type="character" w:styleId="43">
    <w:name w:val="footnote reference"/>
    <w:basedOn w:val="40"/>
    <w:unhideWhenUsed/>
    <w:qFormat/>
    <w:uiPriority w:val="99"/>
    <w:rPr>
      <w:vertAlign w:val="superscript"/>
    </w:rPr>
  </w:style>
  <w:style w:type="paragraph" w:customStyle="1" w:styleId="44">
    <w:name w:val="索引 91"/>
    <w:basedOn w:val="1"/>
    <w:next w:val="1"/>
    <w:qFormat/>
    <w:uiPriority w:val="0"/>
    <w:pPr>
      <w:ind w:left="1600"/>
    </w:pPr>
    <w:rPr>
      <w:rFonts w:ascii="Times New Roman" w:hAnsi="Times New Roman" w:eastAsia="宋体" w:cs="Times New Roman"/>
    </w:rPr>
  </w:style>
  <w:style w:type="paragraph" w:customStyle="1" w:styleId="45">
    <w:name w:val="正文文本11"/>
    <w:basedOn w:val="1"/>
    <w:qFormat/>
    <w:uiPriority w:val="99"/>
    <w:rPr>
      <w:rFonts w:ascii="楷体_GB2312" w:hAnsi="宋体" w:eastAsia="楷体_GB2312"/>
      <w:sz w:val="28"/>
      <w:szCs w:val="28"/>
    </w:rPr>
  </w:style>
  <w:style w:type="character" w:customStyle="1" w:styleId="46">
    <w:name w:val="Heading 1 Char"/>
    <w:basedOn w:val="40"/>
    <w:qFormat/>
    <w:uiPriority w:val="9"/>
    <w:rPr>
      <w:rFonts w:ascii="Arial" w:hAnsi="Arial" w:eastAsia="Arial" w:cs="Arial"/>
      <w:sz w:val="40"/>
      <w:szCs w:val="40"/>
    </w:rPr>
  </w:style>
  <w:style w:type="character" w:customStyle="1" w:styleId="47">
    <w:name w:val="Heading 2 Char"/>
    <w:basedOn w:val="40"/>
    <w:link w:val="4"/>
    <w:qFormat/>
    <w:uiPriority w:val="9"/>
    <w:rPr>
      <w:rFonts w:ascii="Arial" w:hAnsi="Arial" w:eastAsia="Arial" w:cs="Arial"/>
      <w:sz w:val="34"/>
    </w:rPr>
  </w:style>
  <w:style w:type="character" w:customStyle="1" w:styleId="48">
    <w:name w:val="Heading 3 Char"/>
    <w:basedOn w:val="40"/>
    <w:link w:val="5"/>
    <w:qFormat/>
    <w:uiPriority w:val="9"/>
    <w:rPr>
      <w:rFonts w:ascii="Arial" w:hAnsi="Arial" w:eastAsia="Arial" w:cs="Arial"/>
      <w:sz w:val="30"/>
      <w:szCs w:val="30"/>
    </w:rPr>
  </w:style>
  <w:style w:type="character" w:customStyle="1" w:styleId="49">
    <w:name w:val="Heading 4 Char"/>
    <w:basedOn w:val="40"/>
    <w:link w:val="6"/>
    <w:qFormat/>
    <w:uiPriority w:val="9"/>
    <w:rPr>
      <w:rFonts w:ascii="Arial" w:hAnsi="Arial" w:eastAsia="Arial" w:cs="Arial"/>
      <w:b/>
      <w:bCs/>
      <w:sz w:val="26"/>
      <w:szCs w:val="26"/>
    </w:rPr>
  </w:style>
  <w:style w:type="character" w:customStyle="1" w:styleId="50">
    <w:name w:val="Heading 5 Char"/>
    <w:basedOn w:val="40"/>
    <w:link w:val="7"/>
    <w:qFormat/>
    <w:uiPriority w:val="9"/>
    <w:rPr>
      <w:rFonts w:ascii="Arial" w:hAnsi="Arial" w:eastAsia="Arial" w:cs="Arial"/>
      <w:b/>
      <w:bCs/>
      <w:sz w:val="24"/>
      <w:szCs w:val="24"/>
    </w:rPr>
  </w:style>
  <w:style w:type="character" w:customStyle="1" w:styleId="51">
    <w:name w:val="Heading 6 Char"/>
    <w:basedOn w:val="40"/>
    <w:link w:val="8"/>
    <w:qFormat/>
    <w:uiPriority w:val="9"/>
    <w:rPr>
      <w:rFonts w:ascii="Arial" w:hAnsi="Arial" w:eastAsia="Arial" w:cs="Arial"/>
      <w:b/>
      <w:bCs/>
      <w:sz w:val="22"/>
      <w:szCs w:val="22"/>
    </w:rPr>
  </w:style>
  <w:style w:type="character" w:customStyle="1" w:styleId="52">
    <w:name w:val="Heading 7 Char"/>
    <w:basedOn w:val="40"/>
    <w:link w:val="9"/>
    <w:qFormat/>
    <w:uiPriority w:val="9"/>
    <w:rPr>
      <w:rFonts w:ascii="Arial" w:hAnsi="Arial" w:eastAsia="Arial" w:cs="Arial"/>
      <w:b/>
      <w:bCs/>
      <w:i/>
      <w:iCs/>
      <w:sz w:val="22"/>
      <w:szCs w:val="22"/>
    </w:rPr>
  </w:style>
  <w:style w:type="character" w:customStyle="1" w:styleId="53">
    <w:name w:val="Heading 8 Char"/>
    <w:basedOn w:val="40"/>
    <w:link w:val="10"/>
    <w:qFormat/>
    <w:uiPriority w:val="9"/>
    <w:rPr>
      <w:rFonts w:ascii="Arial" w:hAnsi="Arial" w:eastAsia="Arial" w:cs="Arial"/>
      <w:i/>
      <w:iCs/>
      <w:sz w:val="22"/>
      <w:szCs w:val="22"/>
    </w:rPr>
  </w:style>
  <w:style w:type="character" w:customStyle="1" w:styleId="54">
    <w:name w:val="Heading 9 Char"/>
    <w:basedOn w:val="40"/>
    <w:link w:val="11"/>
    <w:qFormat/>
    <w:uiPriority w:val="9"/>
    <w:rPr>
      <w:rFonts w:ascii="Arial" w:hAnsi="Arial" w:eastAsia="Arial" w:cs="Arial"/>
      <w:i/>
      <w:iCs/>
      <w:sz w:val="21"/>
      <w:szCs w:val="21"/>
    </w:rPr>
  </w:style>
  <w:style w:type="paragraph" w:styleId="55">
    <w:name w:val="No Spacing"/>
    <w:qFormat/>
    <w:uiPriority w:val="1"/>
    <w:pPr>
      <w:spacing w:before="0" w:after="0" w:line="240" w:lineRule="auto"/>
    </w:pPr>
    <w:rPr>
      <w:rFonts w:hint="default" w:ascii="Times New Roman" w:hAnsi="Times New Roman" w:eastAsia="宋体" w:cs="Times New Roman"/>
    </w:rPr>
  </w:style>
  <w:style w:type="character" w:customStyle="1" w:styleId="56">
    <w:name w:val="Title Char"/>
    <w:basedOn w:val="40"/>
    <w:qFormat/>
    <w:uiPriority w:val="10"/>
    <w:rPr>
      <w:sz w:val="48"/>
      <w:szCs w:val="48"/>
    </w:rPr>
  </w:style>
  <w:style w:type="character" w:customStyle="1" w:styleId="57">
    <w:name w:val="Subtitle Char"/>
    <w:basedOn w:val="40"/>
    <w:link w:val="26"/>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Quote Char"/>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1">
    <w:name w:val="Intense Quote Char"/>
    <w:link w:val="60"/>
    <w:qFormat/>
    <w:uiPriority w:val="30"/>
    <w:rPr>
      <w:i/>
    </w:rPr>
  </w:style>
  <w:style w:type="character" w:customStyle="1" w:styleId="62">
    <w:name w:val="Header Char"/>
    <w:basedOn w:val="40"/>
    <w:qFormat/>
    <w:uiPriority w:val="99"/>
  </w:style>
  <w:style w:type="character" w:customStyle="1" w:styleId="63">
    <w:name w:val="Footer Char"/>
    <w:basedOn w:val="40"/>
    <w:qFormat/>
    <w:uiPriority w:val="99"/>
  </w:style>
  <w:style w:type="character" w:customStyle="1" w:styleId="64">
    <w:name w:val="Caption Char"/>
    <w:qFormat/>
    <w:uiPriority w:val="99"/>
  </w:style>
  <w:style w:type="table" w:customStyle="1" w:styleId="65">
    <w:name w:val="Table Grid Light"/>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Plain Table 1"/>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basedOn w:val="3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basedOn w:val="3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basedOn w:val="3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basedOn w:val="3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basedOn w:val="3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basedOn w:val="38"/>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3">
    <w:name w:val="Grid Table 1 Light - Accent 2"/>
    <w:basedOn w:val="38"/>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4">
    <w:name w:val="Grid Table 1 Light - Accent 3"/>
    <w:basedOn w:val="38"/>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5">
    <w:name w:val="Grid Table 1 Light - Accent 4"/>
    <w:basedOn w:val="38"/>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6">
    <w:name w:val="Grid Table 1 Light - Accent 5"/>
    <w:basedOn w:val="38"/>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7">
    <w:name w:val="Grid Table 1 Light - Accent 6"/>
    <w:basedOn w:val="38"/>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8">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basedOn w:val="38"/>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0">
    <w:name w:val="Grid Table 2 - Accent 2"/>
    <w:basedOn w:val="38"/>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1">
    <w:name w:val="Grid Table 2 - Accent 3"/>
    <w:basedOn w:val="38"/>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2">
    <w:name w:val="Grid Table 2 - Accent 4"/>
    <w:basedOn w:val="38"/>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3">
    <w:name w:val="Grid Table 2 - Accent 5"/>
    <w:basedOn w:val="38"/>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4">
    <w:name w:val="Grid Table 2 - Accent 6"/>
    <w:basedOn w:val="38"/>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5">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basedOn w:val="38"/>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7">
    <w:name w:val="Grid Table 3 - Accent 2"/>
    <w:basedOn w:val="38"/>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8">
    <w:name w:val="Grid Table 3 - Accent 3"/>
    <w:basedOn w:val="38"/>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9">
    <w:name w:val="Grid Table 3 - Accent 4"/>
    <w:basedOn w:val="38"/>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0">
    <w:name w:val="Grid Table 3 - Accent 5"/>
    <w:basedOn w:val="38"/>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1">
    <w:name w:val="Grid Table 3 - Accent 6"/>
    <w:basedOn w:val="38"/>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2">
    <w:name w:val="Grid Table 4"/>
    <w:basedOn w:val="3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basedOn w:val="38"/>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4">
    <w:name w:val="Grid Table 4 - Accent 2"/>
    <w:basedOn w:val="38"/>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5">
    <w:name w:val="Grid Table 4 - Accent 3"/>
    <w:basedOn w:val="38"/>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6">
    <w:name w:val="Grid Table 4 - Accent 4"/>
    <w:basedOn w:val="38"/>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7">
    <w:name w:val="Grid Table 4 - Accent 5"/>
    <w:basedOn w:val="38"/>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8">
    <w:name w:val="Grid Table 4 - Accent 6"/>
    <w:basedOn w:val="38"/>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9">
    <w:name w:val="Grid Table 5 Dark"/>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1">
    <w:name w:val="Grid Table 5 Dark - Accent 2"/>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2">
    <w:name w:val="Grid Table 5 Dark - Accent 3"/>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3">
    <w:name w:val="Grid Table 5 Dark- Accent 4"/>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4">
    <w:name w:val="Grid Table 5 Dark - Accent 5"/>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5">
    <w:name w:val="Grid Table 5 Dark - Accent 6"/>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6">
    <w:name w:val="Grid Table 6 Colorful"/>
    <w:basedOn w:val="3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basedOn w:val="38"/>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basedOn w:val="38"/>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basedOn w:val="38"/>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basedOn w:val="38"/>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basedOn w:val="38"/>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2">
    <w:name w:val="Grid Table 6 Colorful - Accent 6"/>
    <w:basedOn w:val="38"/>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3">
    <w:name w:val="Grid Table 7 Colorful"/>
    <w:basedOn w:val="3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basedOn w:val="38"/>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basedOn w:val="38"/>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basedOn w:val="38"/>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basedOn w:val="38"/>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basedOn w:val="38"/>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9">
    <w:name w:val="Grid Table 7 Colorful - Accent 6"/>
    <w:basedOn w:val="38"/>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0">
    <w:name w:val="List Table 1 Light"/>
    <w:basedOn w:val="3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basedOn w:val="38"/>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2">
    <w:name w:val="List Table 1 Light - Accent 2"/>
    <w:basedOn w:val="38"/>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3">
    <w:name w:val="List Table 1 Light - Accent 3"/>
    <w:basedOn w:val="38"/>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4">
    <w:name w:val="List Table 1 Light - Accent 4"/>
    <w:basedOn w:val="38"/>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5">
    <w:name w:val="List Table 1 Light - Accent 5"/>
    <w:basedOn w:val="38"/>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6">
    <w:name w:val="List Table 1 Light - Accent 6"/>
    <w:basedOn w:val="38"/>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7">
    <w:name w:val="List Table 2"/>
    <w:basedOn w:val="3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basedOn w:val="38"/>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9">
    <w:name w:val="List Table 2 - Accent 2"/>
    <w:basedOn w:val="38"/>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0">
    <w:name w:val="List Table 2 - Accent 3"/>
    <w:basedOn w:val="38"/>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1">
    <w:name w:val="List Table 2 - Accent 4"/>
    <w:basedOn w:val="38"/>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2">
    <w:name w:val="List Table 2 - Accent 5"/>
    <w:basedOn w:val="38"/>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3">
    <w:name w:val="List Table 2 - Accent 6"/>
    <w:basedOn w:val="38"/>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4">
    <w:name w:val="List Table 3"/>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basedOn w:val="38"/>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6">
    <w:name w:val="List Table 3 - Accent 2"/>
    <w:basedOn w:val="38"/>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7">
    <w:name w:val="List Table 3 - Accent 3"/>
    <w:basedOn w:val="38"/>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8">
    <w:name w:val="List Table 3 - Accent 4"/>
    <w:basedOn w:val="38"/>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9">
    <w:name w:val="List Table 3 - Accent 5"/>
    <w:basedOn w:val="38"/>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0">
    <w:name w:val="List Table 3 - Accent 6"/>
    <w:basedOn w:val="38"/>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1">
    <w:name w:val="List Table 4"/>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basedOn w:val="38"/>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3">
    <w:name w:val="List Table 4 - Accent 2"/>
    <w:basedOn w:val="38"/>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4">
    <w:name w:val="List Table 4 - Accent 3"/>
    <w:basedOn w:val="38"/>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5">
    <w:name w:val="List Table 4 - Accent 4"/>
    <w:basedOn w:val="38"/>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6">
    <w:name w:val="List Table 4 - Accent 5"/>
    <w:basedOn w:val="38"/>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7">
    <w:name w:val="List Table 4 - Accent 6"/>
    <w:basedOn w:val="38"/>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8">
    <w:name w:val="List Table 5 Dark"/>
    <w:basedOn w:val="3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basedOn w:val="38"/>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0">
    <w:name w:val="List Table 5 Dark - Accent 2"/>
    <w:basedOn w:val="38"/>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1">
    <w:name w:val="List Table 5 Dark - Accent 3"/>
    <w:basedOn w:val="38"/>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2">
    <w:name w:val="List Table 5 Dark - Accent 4"/>
    <w:basedOn w:val="38"/>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3">
    <w:name w:val="List Table 5 Dark - Accent 5"/>
    <w:basedOn w:val="38"/>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4">
    <w:name w:val="List Table 5 Dark - Accent 6"/>
    <w:basedOn w:val="38"/>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5">
    <w:name w:val="List Table 6 Colorful"/>
    <w:basedOn w:val="3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basedOn w:val="38"/>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7">
    <w:name w:val="List Table 6 Colorful - Accent 2"/>
    <w:basedOn w:val="38"/>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basedOn w:val="38"/>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basedOn w:val="38"/>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basedOn w:val="38"/>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basedOn w:val="38"/>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2">
    <w:name w:val="List Table 7 Colorful"/>
    <w:basedOn w:val="3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basedOn w:val="38"/>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4">
    <w:name w:val="List Table 7 Colorful - Accent 2"/>
    <w:basedOn w:val="38"/>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basedOn w:val="38"/>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basedOn w:val="38"/>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basedOn w:val="38"/>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basedOn w:val="38"/>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9">
    <w:name w:val="Lined - Accent"/>
    <w:basedOn w:val="3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basedOn w:val="38"/>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1">
    <w:name w:val="Lined - Accent 2"/>
    <w:basedOn w:val="38"/>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2">
    <w:name w:val="Lined - Accent 3"/>
    <w:basedOn w:val="38"/>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3">
    <w:name w:val="Lined - Accent 4"/>
    <w:basedOn w:val="38"/>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4">
    <w:name w:val="Lined - Accent 5"/>
    <w:basedOn w:val="38"/>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5">
    <w:name w:val="Lined - Accent 6"/>
    <w:basedOn w:val="38"/>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6">
    <w:name w:val="Bordered &amp; Lined - Accent"/>
    <w:basedOn w:val="3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basedOn w:val="38"/>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8">
    <w:name w:val="Bordered &amp; Lined - Accent 2"/>
    <w:basedOn w:val="38"/>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9">
    <w:name w:val="Bordered &amp; Lined - Accent 3"/>
    <w:basedOn w:val="38"/>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0">
    <w:name w:val="Bordered &amp; Lined - Accent 4"/>
    <w:basedOn w:val="38"/>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1">
    <w:name w:val="Bordered &amp; Lined - Accent 5"/>
    <w:basedOn w:val="38"/>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2">
    <w:name w:val="Bordered &amp; Lined - Accent 6"/>
    <w:basedOn w:val="38"/>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3">
    <w:name w:val="Bordered"/>
    <w:basedOn w:val="3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basedOn w:val="38"/>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5">
    <w:name w:val="Bordered - Accent 2"/>
    <w:basedOn w:val="38"/>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6">
    <w:name w:val="Bordered - Accent 3"/>
    <w:basedOn w:val="38"/>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7">
    <w:name w:val="Bordered - Accent 4"/>
    <w:basedOn w:val="38"/>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8">
    <w:name w:val="Bordered - Accent 5"/>
    <w:basedOn w:val="38"/>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9">
    <w:name w:val="Bordered - Accent 6"/>
    <w:basedOn w:val="38"/>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0">
    <w:name w:val="Footnote Text Char"/>
    <w:link w:val="27"/>
    <w:qFormat/>
    <w:uiPriority w:val="99"/>
    <w:rPr>
      <w:sz w:val="18"/>
    </w:rPr>
  </w:style>
  <w:style w:type="character" w:customStyle="1" w:styleId="191">
    <w:name w:val="Endnote Text Char"/>
    <w:link w:val="21"/>
    <w:qFormat/>
    <w:uiPriority w:val="99"/>
    <w:rPr>
      <w:sz w:val="20"/>
    </w:rPr>
  </w:style>
  <w:style w:type="paragraph" w:customStyle="1" w:styleId="192">
    <w:name w:val="TOC Heading"/>
    <w:unhideWhenUsed/>
    <w:qFormat/>
    <w:uiPriority w:val="39"/>
    <w:rPr>
      <w:rFonts w:hint="default" w:ascii="Times New Roman" w:hAnsi="Times New Roman" w:eastAsia="宋体" w:cs="Times New Roman"/>
    </w:rPr>
  </w:style>
  <w:style w:type="paragraph" w:customStyle="1" w:styleId="193">
    <w:name w:val="首行缩进"/>
    <w:basedOn w:val="1"/>
    <w:qFormat/>
    <w:uiPriority w:val="0"/>
    <w:pPr>
      <w:spacing w:line="360" w:lineRule="auto"/>
    </w:pPr>
    <w:rPr>
      <w:rFonts w:cs="宋体"/>
    </w:rPr>
  </w:style>
  <w:style w:type="character" w:customStyle="1" w:styleId="194">
    <w:name w:val="页眉 字符"/>
    <w:basedOn w:val="40"/>
    <w:link w:val="23"/>
    <w:qFormat/>
    <w:uiPriority w:val="0"/>
    <w:rPr>
      <w:rFonts w:asciiTheme="minorHAnsi" w:hAnsiTheme="minorHAnsi" w:eastAsiaTheme="minorEastAsia" w:cstheme="minorBidi"/>
      <w:sz w:val="18"/>
      <w:szCs w:val="18"/>
    </w:rPr>
  </w:style>
  <w:style w:type="character" w:customStyle="1" w:styleId="195">
    <w:name w:val="页脚 字符"/>
    <w:basedOn w:val="40"/>
    <w:link w:val="22"/>
    <w:qFormat/>
    <w:uiPriority w:val="99"/>
    <w:rPr>
      <w:rFonts w:asciiTheme="minorHAnsi" w:hAnsiTheme="minorHAnsi" w:eastAsiaTheme="minorEastAsia" w:cstheme="minorBidi"/>
      <w:sz w:val="18"/>
      <w:szCs w:val="18"/>
    </w:rPr>
  </w:style>
  <w:style w:type="paragraph" w:customStyle="1" w:styleId="196">
    <w:name w:val="段"/>
    <w:basedOn w:val="1"/>
    <w:qFormat/>
    <w:uiPriority w:val="0"/>
    <w:pPr>
      <w:widowControl/>
      <w:ind w:firstLine="200"/>
    </w:pPr>
    <w:rPr>
      <w:rFonts w:hint="eastAsia" w:ascii="宋体" w:hAnsi="Calibri" w:eastAsia="宋体" w:cs="Times New Roman"/>
      <w:szCs w:val="21"/>
    </w:rPr>
  </w:style>
  <w:style w:type="paragraph" w:customStyle="1" w:styleId="197">
    <w:name w:val="WPSOffice手动目录 1"/>
    <w:qFormat/>
    <w:uiPriority w:val="0"/>
    <w:rPr>
      <w:rFonts w:hint="default" w:ascii="Times New Roman" w:hAnsi="Times New Roman" w:eastAsia="宋体" w:cs="Times New Roman"/>
      <w:lang w:val="en-US" w:eastAsia="zh-CN" w:bidi="ar-SA"/>
    </w:rPr>
  </w:style>
  <w:style w:type="paragraph" w:styleId="198">
    <w:name w:val="List Paragraph"/>
    <w:basedOn w:val="1"/>
    <w:unhideWhenUsed/>
    <w:qFormat/>
    <w:uiPriority w:val="34"/>
    <w:pPr>
      <w:ind w:firstLine="420"/>
    </w:pPr>
  </w:style>
  <w:style w:type="character" w:customStyle="1" w:styleId="199">
    <w:name w:val="wyg1"/>
    <w:qFormat/>
    <w:uiPriority w:val="0"/>
    <w:rPr>
      <w:color w:val="000000"/>
      <w:sz w:val="20"/>
      <w:szCs w:val="20"/>
      <w:u w:val="none"/>
    </w:rPr>
  </w:style>
  <w:style w:type="character" w:customStyle="1" w:styleId="200">
    <w:name w:val="s141"/>
    <w:qFormat/>
    <w:uiPriority w:val="0"/>
    <w:rPr>
      <w:rFonts w:hint="default" w:ascii="_x000B__x000C_" w:hAnsi="_x000B__x000C_"/>
      <w:sz w:val="21"/>
      <w:szCs w:val="21"/>
    </w:rPr>
  </w:style>
  <w:style w:type="paragraph" w:customStyle="1" w:styleId="201">
    <w:name w:val="4"/>
    <w:basedOn w:val="1"/>
    <w:next w:val="29"/>
    <w:qFormat/>
    <w:uiPriority w:val="0"/>
    <w:pPr>
      <w:spacing w:line="360" w:lineRule="auto"/>
      <w:ind w:firstLine="420"/>
    </w:pPr>
    <w:rPr>
      <w:rFonts w:ascii="Times New Roman" w:hAnsi="Times New Roman" w:eastAsia="宋体" w:cs="Times New Roman"/>
      <w:color w:val="FF0000"/>
      <w:sz w:val="24"/>
    </w:rPr>
  </w:style>
  <w:style w:type="character" w:customStyle="1" w:styleId="202">
    <w:name w:val="正文文本缩进 3 字符"/>
    <w:basedOn w:val="40"/>
    <w:link w:val="29"/>
    <w:qFormat/>
    <w:uiPriority w:val="0"/>
    <w:rPr>
      <w:rFonts w:asciiTheme="minorHAnsi" w:hAnsiTheme="minorHAnsi" w:eastAsiaTheme="minorEastAsia" w:cstheme="minorBidi"/>
      <w:sz w:val="16"/>
      <w:szCs w:val="16"/>
    </w:rPr>
  </w:style>
  <w:style w:type="paragraph" w:customStyle="1" w:styleId="203">
    <w:name w:val="正文1"/>
    <w:qFormat/>
    <w:uiPriority w:val="0"/>
    <w:pPr>
      <w:widowControl w:val="0"/>
      <w:jc w:val="both"/>
    </w:pPr>
    <w:rPr>
      <w:rFonts w:hint="default" w:ascii="Times New Roman" w:hAnsi="Arial Unicode MS" w:eastAsia="Arial Unicode MS" w:cs="Arial Unicode MS"/>
      <w:color w:val="000000"/>
      <w:sz w:val="21"/>
      <w:szCs w:val="21"/>
      <w:u w:val="none"/>
      <w:lang w:val="en-US" w:eastAsia="zh-CN" w:bidi="ar-SA"/>
    </w:rPr>
  </w:style>
  <w:style w:type="paragraph" w:customStyle="1" w:styleId="204">
    <w:name w:val="列表段落1"/>
    <w:basedOn w:val="1"/>
    <w:qFormat/>
    <w:uiPriority w:val="0"/>
    <w:pPr>
      <w:spacing w:after="160" w:line="259" w:lineRule="auto"/>
      <w:ind w:firstLine="420"/>
    </w:pPr>
    <w:rPr>
      <w:rFonts w:ascii="Calibri" w:hAnsi="Calibri" w:eastAsia="宋体" w:cs="Times New Roman"/>
      <w:szCs w:val="24"/>
    </w:rPr>
  </w:style>
  <w:style w:type="table" w:customStyle="1" w:styleId="205">
    <w:name w:val="Table Normal"/>
    <w:unhideWhenUsed/>
    <w:qFormat/>
    <w:uiPriority w:val="0"/>
    <w:tblPr>
      <w:tblCellMar>
        <w:top w:w="0" w:type="dxa"/>
        <w:left w:w="0" w:type="dxa"/>
        <w:bottom w:w="0" w:type="dxa"/>
        <w:right w:w="0" w:type="dxa"/>
      </w:tblCellMar>
    </w:tblPr>
  </w:style>
  <w:style w:type="paragraph" w:customStyle="1" w:styleId="206">
    <w:name w:val="TOC Heading1"/>
    <w:next w:val="1"/>
    <w:qFormat/>
    <w:uiPriority w:val="0"/>
    <w:rPr>
      <w:rFonts w:hint="default" w:ascii="Times New Roman" w:hAnsi="Times New Roman" w:eastAsia="宋体" w:cs="Times New Roman"/>
      <w:sz w:val="32"/>
      <w:lang w:val="en-US" w:eastAsia="zh-CN" w:bidi="ar-SA"/>
    </w:rPr>
  </w:style>
  <w:style w:type="character" w:customStyle="1" w:styleId="207">
    <w:name w:val="font11"/>
    <w:basedOn w:val="40"/>
    <w:qFormat/>
    <w:uiPriority w:val="0"/>
    <w:rPr>
      <w:rFonts w:hint="eastAsia" w:ascii="宋体" w:hAnsi="宋体" w:eastAsia="宋体" w:cs="宋体"/>
      <w:color w:val="000000"/>
      <w:sz w:val="18"/>
      <w:szCs w:val="18"/>
      <w:u w:val="none"/>
    </w:rPr>
  </w:style>
  <w:style w:type="paragraph" w:customStyle="1" w:styleId="208">
    <w:name w:val="标题二、"/>
    <w:basedOn w:val="1"/>
    <w:qFormat/>
    <w:uiPriority w:val="99"/>
    <w:pPr>
      <w:spacing w:line="360" w:lineRule="auto"/>
      <w:ind w:firstLine="200"/>
      <w:outlineLvl w:val="2"/>
    </w:pPr>
    <w:rPr>
      <w:rFonts w:ascii="宋体" w:hAnsi="宋体"/>
      <w:b/>
      <w:szCs w:val="21"/>
    </w:rPr>
  </w:style>
  <w:style w:type="paragraph" w:customStyle="1" w:styleId="209">
    <w:name w:val="列出段落1"/>
    <w:basedOn w:val="1"/>
    <w:qFormat/>
    <w:uiPriority w:val="0"/>
    <w:pPr>
      <w:ind w:firstLine="200"/>
    </w:pPr>
    <w:rPr>
      <w:rFonts w:ascii="Calibri" w:hAnsi="Calibri" w:eastAsia="宋体" w:cs="Times New Roman"/>
      <w:szCs w:val="22"/>
    </w:rPr>
  </w:style>
  <w:style w:type="paragraph" w:customStyle="1" w:styleId="210">
    <w:name w:val="正文首行缩进 21"/>
    <w:basedOn w:val="211"/>
    <w:qFormat/>
    <w:uiPriority w:val="0"/>
    <w:pPr>
      <w:spacing w:after="120" w:line="240" w:lineRule="auto"/>
      <w:ind w:left="420" w:firstLine="420"/>
    </w:pPr>
  </w:style>
  <w:style w:type="paragraph" w:customStyle="1" w:styleId="211">
    <w:name w:val="正文文本缩进1"/>
    <w:basedOn w:val="1"/>
    <w:qFormat/>
    <w:uiPriority w:val="99"/>
    <w:pPr>
      <w:spacing w:line="360" w:lineRule="auto"/>
      <w:ind w:firstLine="600"/>
    </w:pPr>
    <w:rPr>
      <w:szCs w:val="20"/>
    </w:rPr>
  </w:style>
  <w:style w:type="character" w:customStyle="1" w:styleId="212">
    <w:name w:val="10"/>
    <w:qFormat/>
    <w:uiPriority w:val="0"/>
    <w:rPr>
      <w:rFonts w:ascii="Times New Roman" w:hAnsi="Times New Roman" w:cs="Times New Roman"/>
    </w:rPr>
  </w:style>
  <w:style w:type="paragraph" w:customStyle="1" w:styleId="213">
    <w:name w:val="正文_2_1"/>
    <w:basedOn w:val="1"/>
    <w:qFormat/>
    <w:uiPriority w:val="0"/>
    <w:rPr>
      <w:rFonts w:cs="宋体"/>
      <w:kern w:val="2"/>
      <w:sz w:val="21"/>
      <w:szCs w:val="21"/>
    </w:rPr>
  </w:style>
  <w:style w:type="character" w:customStyle="1" w:styleId="214">
    <w:name w:val="NormalCharacter12"/>
    <w:link w:val="1"/>
    <w:qFormat/>
    <w:uiPriority w:val="0"/>
    <w:rPr>
      <w:rFonts w:ascii="Calibri" w:hAnsi="Calibri" w:eastAsia="宋体" w:cs="Times New Roman"/>
      <w:sz w:val="28"/>
      <w:szCs w:val="22"/>
      <w:lang w:val="en-US" w:eastAsia="zh-CN" w:bidi="ar-SA"/>
    </w:rPr>
  </w:style>
  <w:style w:type="paragraph" w:customStyle="1" w:styleId="215">
    <w:name w:val="Table Text"/>
    <w:basedOn w:val="1"/>
    <w:semiHidden/>
    <w:qFormat/>
    <w:uiPriority w:val="0"/>
    <w:rPr>
      <w:rFonts w:ascii="宋体" w:hAnsi="宋体" w:eastAsia="宋体" w:cs="宋体"/>
      <w:sz w:val="20"/>
      <w:szCs w:val="20"/>
      <w:lang w:val="en-US" w:eastAsia="en-US" w:bidi="ar-SA"/>
    </w:rPr>
  </w:style>
  <w:style w:type="paragraph" w:customStyle="1" w:styleId="216">
    <w:name w:val="Normal_17"/>
    <w:qFormat/>
    <w:uiPriority w:val="0"/>
    <w:rPr>
      <w:rFonts w:hint="default" w:ascii="Times New Roman" w:hAnsi="Times New Roman" w:eastAsia="Times New Roman" w:cs="Times New Roman"/>
      <w:sz w:val="24"/>
      <w:szCs w:val="24"/>
    </w:rPr>
  </w:style>
  <w:style w:type="character" w:customStyle="1" w:styleId="217">
    <w:name w:val="默认段落字体11"/>
    <w:link w:val="1"/>
    <w:unhideWhenUsed/>
    <w:qFormat/>
    <w:uiPriority w:val="1"/>
    <w:rPr>
      <w:rFonts w:hint="default" w:asciiTheme="minorHAnsi" w:hAnsiTheme="minorHAnsi" w:eastAsiaTheme="minorEastAsia" w:cstheme="minorBidi"/>
      <w:sz w:val="21"/>
      <w:szCs w:val="24"/>
      <w:lang w:val="en-US" w:eastAsia="zh-CN" w:bidi="ar-SA"/>
    </w:rPr>
  </w:style>
  <w:style w:type="paragraph" w:customStyle="1" w:styleId="218">
    <w:name w:val="普通正文"/>
    <w:basedOn w:val="1"/>
    <w:autoRedefine/>
    <w:qFormat/>
    <w:uiPriority w:val="0"/>
    <w:pPr>
      <w:spacing w:before="120" w:after="120" w:line="360" w:lineRule="auto"/>
      <w:ind w:firstLine="480"/>
      <w:jc w:val="left"/>
    </w:pPr>
    <w:rPr>
      <w:rFonts w:ascii="Arial" w:hAnsi="Arial" w:eastAsia="等线" w:cs="Arial"/>
      <w:kern w:val="0"/>
      <w:sz w:val="24"/>
    </w:rPr>
  </w:style>
  <w:style w:type="character" w:customStyle="1" w:styleId="219">
    <w:name w:val="要点1"/>
    <w:link w:val="1"/>
    <w:qFormat/>
    <w:uiPriority w:val="0"/>
    <w:rPr>
      <w:rFonts w:hint="default" w:ascii="Times New Roman" w:hAnsi="Times New Roman" w:eastAsia="宋体" w:cs="Times New Roman"/>
      <w:sz w:val="21"/>
      <w:szCs w:val="22"/>
      <w:lang w:val="en-US" w:eastAsia="zh-CN" w:bidi="ar-SA"/>
    </w:rPr>
  </w:style>
  <w:style w:type="character" w:customStyle="1" w:styleId="220">
    <w:name w:val="NormalCharacter1"/>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49</Pages>
  <Words>48</Words>
  <Characters>78</Characters>
  <TotalTime>13</TotalTime>
  <ScaleCrop>false</ScaleCrop>
  <LinksUpToDate>false</LinksUpToDate>
  <CharactersWithSpaces>84</CharactersWithSpaces>
  <Application>WPS Office_12.1.0.29680_F1E327BC-269C-435d-A152-05C5408002CA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可乐</cp:lastModifiedBy>
  <cp:lastPrinted>2025-02-10T09:29:00Z</cp:lastPrinted>
  <dcterms:modified xsi:type="dcterms:W3CDTF">2026-11-05T09:18:44Z</dcterms:modified>
  <cp:revision>146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114662362D4E4031845243E09CD8784C_13</vt:lpwstr>
  </property>
  <property fmtid="{D5CDD505-2E9C-101B-9397-08002B2CF9AE}" pid="4" name="KSOTemplateDocerSaveRecord">
    <vt:lpwstr>eyJoZGlkIjoiZDhhYTZlYjIxZGRiZTg0N2JmZDFkNmY1MWZiZTUzZWIiLCJ1c2VySWQiOiI2OTE4NDQwNzYifQ==</vt:lpwstr>
  </property>
</Properties>
</file>