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jc w:val="center"/>
        <w:rPr>
          <w:rFonts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JSZC-320585-SZTZ-G2026-0019</w:t>
      </w:r>
      <w:r>
        <w:rPr>
          <w:rFonts w:hint="eastAsia" w:ascii="宋体" w:hAnsi="宋体" w:cs="宋体"/>
          <w:b/>
          <w:color w:val="auto"/>
          <w:sz w:val="30"/>
          <w:szCs w:val="30"/>
          <w:highlight w:val="none"/>
        </w:rPr>
        <w:t xml:space="preserve">  </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招标项目名称：太仓市2026年度国土空间规划五年实施评估与城市中心区控规动态维护及城市更新策略研究年度服务项目</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w:t>
      </w:r>
      <w:r/>
    </w:p>
    <w:p>
      <w:pPr>
        <w:ind w:left="480"/>
        <w:spacing w:line="360" w:lineRule="auto"/>
        <w:rPr>
          <w:rFonts w:ascii="宋体" w:hAnsi="宋体" w:cs="宋体"/>
          <w:color w:val="auto"/>
          <w:sz w:val="30"/>
          <w:highlight w:val="none"/>
        </w:rPr>
      </w:pPr>
      <w:r>
        <w:rPr>
          <w:rFonts w:hint="eastAsia" w:ascii="宋体" w:hAnsi="宋体" w:cs="宋体"/>
          <w:b/>
          <w:bCs/>
          <w:color w:val="auto"/>
          <w:sz w:val="30"/>
          <w:highlight w:val="none"/>
        </w:rPr>
        <w:t xml:space="preserve">标的所属行业：（十六）其他未列明行业</w:t>
      </w:r>
      <w:r/>
    </w:p>
    <w:p>
      <w:pPr>
        <w:ind w:left="480" w:right="-159"/>
        <w:spacing w:line="48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招标单位：太仓市自然资源和规划局</w:t>
      </w:r>
      <w:r/>
    </w:p>
    <w:p>
      <w:pPr>
        <w:ind w:left="480" w:right="-159"/>
        <w:spacing w:line="480" w:lineRule="auto"/>
        <w:rPr>
          <w:rFonts w:ascii="宋体" w:hAnsi="宋体" w:cs="宋体"/>
          <w:color w:val="auto"/>
          <w:sz w:val="30"/>
          <w:highlight w:val="none"/>
        </w:rPr>
      </w:pPr>
      <w:r>
        <w:rPr>
          <w:rFonts w:hint="eastAsia" w:ascii="宋体" w:hAnsi="宋体" w:cs="宋体"/>
          <w:b/>
          <w:color w:val="auto"/>
          <w:sz w:val="30"/>
          <w:szCs w:val="30"/>
          <w:highlight w:val="none"/>
        </w:rPr>
        <w:t xml:space="preserve">招标代理单位：苏州泰至鑫项目管理有限公司</w:t>
      </w:r>
      <w:r>
        <w:rPr>
          <w:rFonts w:hint="eastAsia" w:ascii="宋体" w:hAnsi="宋体" w:cs="宋体"/>
          <w:color w:val="auto"/>
          <w:sz w:val="30"/>
          <w:highlight w:val="none"/>
        </w:rPr>
        <w:t xml:space="preserve"> </w:t>
      </w:r>
      <w:r/>
    </w:p>
    <w:p>
      <w:pPr>
        <w:ind w:left="480" w:right="-159"/>
        <w:spacing w:line="480" w:lineRule="auto"/>
        <w:rPr>
          <w:rFonts w:cs="宋体"/>
          <w:b/>
          <w:color w:val="auto"/>
          <w:sz w:val="30"/>
          <w:szCs w:val="30"/>
          <w:highlight w:val="none"/>
        </w:rPr>
      </w:pPr>
      <w:r>
        <w:rPr>
          <w:rFonts w:hint="eastAsia" w:cs="宋体"/>
          <w:b/>
          <w:color w:val="auto"/>
          <w:sz w:val="30"/>
          <w:szCs w:val="30"/>
          <w:highlight w:val="none"/>
        </w:rPr>
        <w:t xml:space="preserve"> </w:t>
      </w:r>
      <w:r/>
    </w:p>
    <w:p>
      <w:pPr>
        <w:ind w:firstLine="600"/>
        <w:rPr>
          <w:rFonts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ascii="宋体" w:hAnsi="宋体" w:cs="宋体"/>
          <w:b/>
          <w:bCs/>
          <w:color w:val="auto"/>
          <w:sz w:val="44"/>
          <w:szCs w:val="44"/>
          <w:highlight w:val="none"/>
        </w:rPr>
      </w:pPr>
      <w:r>
        <w:rPr>
          <w:rFonts w:hint="eastAsia" w:cs="宋体"/>
          <w:b/>
          <w:color w:val="auto"/>
          <w:sz w:val="30"/>
          <w:szCs w:val="30"/>
          <w:highlight w:val="none"/>
        </w:rPr>
        <w:t xml:space="preserve">二〇二六年十</w:t>
      </w:r>
      <w:r>
        <w:rPr>
          <w:rFonts w:hint="eastAsia" w:cs="宋体"/>
          <w:b/>
          <w:color w:val="auto"/>
          <w:sz w:val="30"/>
          <w:szCs w:val="30"/>
          <w:highlight w:val="none"/>
          <w:lang w:val="en-US" w:eastAsia="zh-CN"/>
        </w:rPr>
        <w:t xml:space="preserve">一</w:t>
      </w:r>
      <w:r>
        <w:rPr>
          <w:rFonts w:hint="eastAsia" w:cs="宋体"/>
          <w:b/>
          <w:color w:val="auto"/>
          <w:sz w:val="30"/>
          <w:szCs w:val="30"/>
          <w:highlight w:val="none"/>
        </w:rPr>
        <w:t xml:space="preserve">月</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ascii="宋体" w:hAnsi="宋体" w:cs="宋体"/>
          <w:b/>
          <w:bCs/>
          <w:color w:val="auto"/>
          <w:spacing w:val="20"/>
          <w:sz w:val="30"/>
          <w:highlight w:val="none"/>
        </w:rPr>
      </w:pPr>
      <w:r>
        <w:rPr>
          <w:rFonts w:ascii="宋体" w:hAnsi="宋体" w:cs="宋体"/>
          <w:b/>
          <w:bCs/>
          <w:color w:val="auto"/>
          <w:spacing w:val="20"/>
          <w:sz w:val="30"/>
          <w:highlight w:val="none"/>
        </w:rPr>
      </w:r>
      <w:r/>
    </w:p>
    <w:p>
      <w:pPr>
        <w:pStyle w:val="760"/>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76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76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76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76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76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76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760"/>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tab/>
      </w:r>
      <w:r/>
    </w:p>
    <w:p>
      <w:pPr>
        <w:pStyle w:val="736"/>
        <w:numPr>
          <w:ilvl w:val="0"/>
          <w:numId w:val="0"/>
        </w:numPr>
        <w:jc w:val="center"/>
        <w:spacing w:before="0" w:after="0" w:line="480" w:lineRule="auto"/>
        <w:rPr>
          <w:rFonts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74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太仓市自然资源和规划局</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JSZC-320585-SZTZ-G2026-0019</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763"/>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太仓市2026年度国土空间规划五年实施评估与城市中心区控规动态维护及城市更新策略研究年度服务项目</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763"/>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bidi="zh-CN"/>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地址：太仓市上海东路333号高展商务大厦1003室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时间：自招标文件公告发布之日起5个工作日 </w:t>
            </w:r>
            <w:r/>
          </w:p>
          <w:p>
            <w:pPr>
              <w:jc w:val="both"/>
              <w:spacing w:line="360" w:lineRule="auto"/>
              <w:shd w:val="clear" w:color="auto" w:fill="ffff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auto"/>
                <w:sz w:val="21"/>
                <w:szCs w:val="21"/>
                <w:highlight w:val="none"/>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投标人对招标文件如有疑问，请将疑问按网上相关流程提出。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13145086180。</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auto" w:fill="ffffff"/>
              <w:rPr>
                <w:rFonts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lang w:bidi="ar"/>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bidi="ar"/>
              </w:rPr>
              <w:t xml:space="preserve">2026年11月25日09点30分</w:t>
            </w:r>
            <w:r>
              <w:rPr>
                <w:rFonts w:hint="eastAsia" w:ascii="宋体" w:hAnsi="宋体" w:cs="宋体"/>
                <w:color w:val="auto"/>
                <w:sz w:val="21"/>
                <w:szCs w:val="21"/>
                <w:highlight w:val="none"/>
                <w:shd w:val="clear" w:color="auto" w:fill="ffffff"/>
                <w:lang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时间：2026年11月25日09点30分（北京时间）</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代理</w:t>
            </w:r>
            <w:r>
              <w:rPr>
                <w:rFonts w:hint="eastAsia" w:ascii="宋体" w:hAnsi="宋体" w:cs="宋体"/>
                <w:color w:val="auto"/>
                <w:sz w:val="21"/>
                <w:szCs w:val="21"/>
                <w:highlight w:val="none"/>
                <w:lang w:val="zh-CN"/>
              </w:rPr>
              <w:t xml:space="preserve">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highlight w:val="none"/>
              </w:rPr>
            </w:pPr>
            <w:r>
              <w:rPr>
                <w:rFonts w:hint="eastAsia" w:ascii="宋体" w:hAnsi="宋体" w:cs="宋体"/>
                <w:color w:val="auto"/>
                <w:sz w:val="21"/>
                <w:highlight w:val="none"/>
              </w:rPr>
              <w:t xml:space="preserve">由采购人支付。</w:t>
            </w:r>
            <w:r/>
          </w:p>
          <w:p>
            <w:pPr>
              <w:jc w:val="both"/>
              <w:spacing w:line="360" w:lineRule="auto"/>
              <w:widowControl w:val="off"/>
              <w:rPr>
                <w:rFonts w:ascii="宋体" w:hAnsi="宋体" w:cs="宋体"/>
                <w:color w:val="auto"/>
                <w:sz w:val="21"/>
                <w:highlight w:val="none"/>
              </w:rPr>
            </w:pPr>
            <w:r>
              <w:rPr>
                <w:rFonts w:hint="eastAsia" w:ascii="宋体" w:hAnsi="宋体" w:cs="宋体"/>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pStyle w:val="830"/>
              <w:jc w:val="both"/>
              <w:spacing w:line="360" w:lineRule="auto"/>
              <w:rPr>
                <w:rFonts w:ascii="宋体" w:hAnsi="宋体" w:cs="宋体"/>
                <w:color w:val="auto"/>
                <w:sz w:val="21"/>
                <w:highlight w:val="none"/>
              </w:rPr>
            </w:pPr>
            <w:r>
              <w:rPr>
                <w:rFonts w:hint="eastAsia" w:ascii="宋体" w:hAnsi="宋体" w:cs="宋体"/>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3500元整的，则按人民币3500元整计收。</w:t>
            </w:r>
            <w:r/>
          </w:p>
          <w:p>
            <w:pPr>
              <w:pStyle w:val="830"/>
              <w:jc w:val="both"/>
              <w:spacing w:line="360" w:lineRule="auto"/>
              <w:rPr>
                <w:rFonts w:ascii="宋体" w:hAnsi="宋体" w:cs="宋体"/>
                <w:color w:val="auto"/>
                <w:sz w:val="21"/>
                <w:highlight w:val="none"/>
              </w:rPr>
            </w:pPr>
            <w:r>
              <w:rPr>
                <w:rFonts w:hint="eastAsia" w:ascii="宋体" w:hAnsi="宋体" w:cs="宋体"/>
                <w:color w:val="auto"/>
                <w:sz w:val="21"/>
                <w:highlight w:val="none"/>
              </w:rPr>
              <w:t xml:space="preserve">本项目代理服务费：</w:t>
            </w:r>
            <w:r/>
          </w:p>
          <w:p>
            <w:pPr>
              <w:pStyle w:val="830"/>
              <w:jc w:val="both"/>
              <w:spacing w:line="360" w:lineRule="auto"/>
              <w:rPr>
                <w:rFonts w:hint="eastAsia" w:ascii="宋体" w:hAnsi="宋体" w:eastAsia="宋体" w:cs="宋体"/>
                <w:color w:val="auto"/>
                <w:sz w:val="21"/>
                <w:highlight w:val="none"/>
                <w:lang w:eastAsia="zh-CN"/>
              </w:rPr>
            </w:pPr>
            <w:r>
              <w:rPr>
                <w:rFonts w:hint="eastAsia" w:ascii="宋体" w:hAnsi="宋体" w:cs="宋体"/>
                <w:color w:val="auto"/>
                <w:sz w:val="21"/>
                <w:highlight w:val="none"/>
              </w:rPr>
              <w:t xml:space="preserve">采购包1：</w:t>
            </w:r>
            <w:r>
              <w:rPr>
                <w:rFonts w:hint="eastAsia" w:ascii="宋体" w:hAnsi="宋体" w:cs="宋体"/>
                <w:color w:val="auto"/>
                <w:sz w:val="21"/>
                <w:highlight w:val="none"/>
                <w:lang w:eastAsia="zh-CN"/>
              </w:rPr>
              <w:t xml:space="preserve">13500.00元</w:t>
            </w:r>
            <w:r/>
          </w:p>
          <w:p>
            <w:pPr>
              <w:pStyle w:val="830"/>
              <w:jc w:val="both"/>
              <w:spacing w:line="360" w:lineRule="auto"/>
              <w:rPr>
                <w:rFonts w:ascii="宋体" w:hAnsi="宋体" w:cs="宋体"/>
                <w:color w:val="auto"/>
                <w:sz w:val="21"/>
                <w:szCs w:val="21"/>
                <w:highlight w:val="none"/>
                <w:lang w:val="zh-CN"/>
              </w:rPr>
            </w:pPr>
            <w:r>
              <w:rPr>
                <w:rFonts w:hint="eastAsia" w:ascii="宋体" w:hAnsi="宋体" w:cs="宋体"/>
                <w:color w:val="auto"/>
                <w:sz w:val="21"/>
                <w:highlight w:val="none"/>
              </w:rPr>
              <w:t xml:space="preserve">采购包2：</w:t>
            </w:r>
            <w:r>
              <w:rPr>
                <w:rFonts w:hint="eastAsia" w:ascii="宋体" w:hAnsi="宋体" w:cs="宋体"/>
                <w:color w:val="auto"/>
                <w:sz w:val="21"/>
                <w:highlight w:val="none"/>
                <w:lang w:eastAsia="zh-CN"/>
              </w:rPr>
              <w:t xml:space="preserve">4500.00元</w:t>
            </w:r>
            <w:r>
              <w:rPr>
                <w:rFonts w:hint="eastAsia" w:ascii="宋体" w:hAnsi="宋体" w:cs="宋体"/>
                <w:color w:val="auto"/>
                <w:sz w:val="21"/>
                <w:highlight w:val="none"/>
              </w:rPr>
              <w:t xml:space="preserve">   </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828"/>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bl>
    <w:p>
      <w:pPr>
        <w:ind w:firstLine="544"/>
        <w:jc w:val="right"/>
        <w:spacing w:line="360" w:lineRule="auto"/>
        <w:shd w:val="clear" w:color="auto" w:fill="ffffff"/>
        <w:rPr>
          <w:rFonts w:ascii="宋体" w:hAnsi="宋体" w:cs="宋体"/>
          <w:color w:val="auto"/>
          <w:sz w:val="21"/>
          <w:szCs w:val="21"/>
          <w:highlight w:val="none"/>
        </w:rPr>
      </w:pPr>
      <w:r>
        <w:rPr>
          <w:rFonts w:hint="eastAsia" w:ascii="宋体" w:hAnsi="宋体" w:cs="宋体"/>
          <w:bCs/>
          <w:color w:val="auto"/>
          <w:spacing w:val="-14"/>
          <w:sz w:val="30"/>
          <w:highlight w:val="none"/>
        </w:rPr>
        <w:br w:type="page" w:clear="all"/>
      </w:r>
      <w:r/>
    </w:p>
    <w:p>
      <w:pPr>
        <w:pStyle w:val="736"/>
        <w:numPr>
          <w:ilvl w:val="0"/>
          <w:numId w:val="0"/>
        </w:numPr>
        <w:jc w:val="center"/>
        <w:spacing w:before="0" w:after="0" w:line="480" w:lineRule="auto"/>
        <w:rPr>
          <w:rFonts w:ascii="宋体" w:hAnsi="宋体" w:eastAsia="宋体" w:cs="宋体"/>
          <w:color w:val="auto"/>
          <w:sz w:val="32"/>
          <w:szCs w:val="32"/>
          <w:highlight w:val="none"/>
        </w:rPr>
      </w:pPr>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746"/>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28"/>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太仓市2026年度国土空间规划五年实施评估与城市中心区控规动态维护及城市更新策略研究年度服务项目 </w:t>
            </w:r>
            <w:r>
              <w:rPr>
                <w:rFonts w:hint="eastAsia" w:ascii="仿宋" w:hAnsi="仿宋" w:eastAsia="仿宋" w:cs="仿宋"/>
                <w:color w:val="auto"/>
                <w:sz w:val="21"/>
                <w:szCs w:val="21"/>
                <w:highlight w:val="none"/>
                <w:lang w:eastAsia="zh-CN"/>
              </w:rPr>
              <w:t xml:space="preserve">JSZC-320585-SZTZ-G2026-0019</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hint="eastAsia" w:ascii="仿宋" w:hAnsi="仿宋" w:eastAsia="仿宋" w:cs="仿宋"/>
                <w:color w:val="auto"/>
                <w:sz w:val="21"/>
                <w:szCs w:val="21"/>
                <w:highlight w:val="none"/>
                <w:lang w:eastAsia="zh-CN"/>
              </w:rPr>
              <w:t xml:space="preserve">2026年11月25日09点30分</w:t>
            </w:r>
            <w:r>
              <w:rPr>
                <w:rFonts w:hint="eastAsia" w:ascii="仿宋" w:hAnsi="仿宋" w:eastAsia="仿宋" w:cs="仿宋"/>
                <w:color w:val="auto"/>
                <w:sz w:val="21"/>
                <w:szCs w:val="21"/>
                <w:highlight w:val="none"/>
              </w:rPr>
              <w:t xml:space="preserve"> （北京时间）前递交投标文件。</w:t>
            </w:r>
            <w:r/>
          </w:p>
        </w:tc>
      </w:tr>
    </w:tbl>
    <w:p>
      <w:pPr>
        <w:pStyle w:val="737"/>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72"/>
          <w:rFonts w:hint="eastAsia" w:ascii="仿宋" w:hAnsi="仿宋" w:eastAsia="仿宋" w:cs="仿宋"/>
          <w:b/>
          <w:bCs/>
          <w:color w:val="auto"/>
          <w:sz w:val="21"/>
          <w:szCs w:val="21"/>
          <w:highlight w:val="none"/>
        </w:rPr>
        <w:t xml:space="preserve">一、项目基本情况</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JSZC-320585-SZTZ-G2026-0019</w:t>
      </w:r>
      <w:r>
        <w:rPr>
          <w:rFonts w:hint="eastAsia" w:ascii="仿宋" w:hAnsi="仿宋" w:eastAsia="仿宋" w:cs="仿宋"/>
          <w:color w:val="auto"/>
          <w:sz w:val="21"/>
          <w:szCs w:val="21"/>
          <w:highlight w:val="none"/>
        </w:rPr>
        <w:t xml:space="preserve"> </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项目名称：太仓市2026年度国土空间规划五年实施评估与城市中心区控规动态维护及城市更新策略研究年度服务项目 </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val="en-US" w:eastAsia="zh-CN"/>
        </w:rPr>
        <w:t xml:space="preserve">120</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 xml:space="preserve">00000万元</w:t>
      </w:r>
      <w:r>
        <w:rPr>
          <w:rFonts w:hint="eastAsia" w:ascii="仿宋" w:hAnsi="仿宋" w:eastAsia="仿宋" w:cs="仿宋"/>
          <w:color w:val="auto"/>
          <w:sz w:val="21"/>
          <w:szCs w:val="21"/>
          <w:highlight w:val="none"/>
        </w:rPr>
        <w:t xml:space="preserve">   （采购包1:</w:t>
      </w:r>
      <w:r>
        <w:rPr>
          <w:rFonts w:hint="eastAsia" w:ascii="仿宋" w:hAnsi="仿宋" w:eastAsia="仿宋" w:cs="仿宋"/>
          <w:color w:val="auto"/>
          <w:sz w:val="21"/>
          <w:szCs w:val="21"/>
          <w:highlight w:val="none"/>
          <w:lang w:val="en-US" w:eastAsia="zh-CN"/>
        </w:rPr>
        <w:t xml:space="preserve">90</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lang w:eastAsia="zh-CN"/>
        </w:rPr>
        <w:t xml:space="preserve">00000万元</w:t>
      </w:r>
      <w:r>
        <w:rPr>
          <w:rFonts w:hint="eastAsia" w:ascii="仿宋" w:hAnsi="仿宋" w:eastAsia="仿宋" w:cs="仿宋"/>
          <w:color w:val="auto"/>
          <w:sz w:val="21"/>
          <w:szCs w:val="21"/>
          <w:highlight w:val="none"/>
        </w:rPr>
        <w:t xml:space="preserve">；采购包2:</w:t>
      </w:r>
      <w:r>
        <w:rPr>
          <w:rFonts w:hint="eastAsia" w:ascii="仿宋" w:hAnsi="仿宋" w:eastAsia="仿宋" w:cs="仿宋"/>
          <w:color w:val="auto"/>
          <w:sz w:val="21"/>
          <w:szCs w:val="21"/>
          <w:highlight w:val="none"/>
          <w:lang w:val="en-US" w:eastAsia="zh-CN"/>
        </w:rPr>
        <w:t xml:space="preserve">30</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lang w:eastAsia="zh-CN"/>
        </w:rPr>
        <w:t xml:space="preserve">00000万元</w:t>
      </w:r>
      <w:r>
        <w:rPr>
          <w:rFonts w:hint="eastAsia" w:ascii="仿宋" w:hAnsi="仿宋" w:eastAsia="仿宋" w:cs="仿宋"/>
          <w:color w:val="auto"/>
          <w:sz w:val="21"/>
          <w:szCs w:val="21"/>
          <w:highlight w:val="none"/>
        </w:rPr>
        <w:t xml:space="preserve">）</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eastAsia="zh-CN"/>
        </w:rPr>
        <w:t xml:space="preserve">117.700000万元</w:t>
      </w:r>
      <w:r>
        <w:rPr>
          <w:rFonts w:hint="eastAsia" w:ascii="仿宋" w:hAnsi="仿宋" w:eastAsia="仿宋" w:cs="仿宋"/>
          <w:color w:val="auto"/>
          <w:sz w:val="21"/>
          <w:szCs w:val="21"/>
          <w:highlight w:val="none"/>
        </w:rPr>
        <w:t xml:space="preserve">   （采购包1:</w:t>
      </w:r>
      <w:r>
        <w:rPr>
          <w:rFonts w:hint="eastAsia" w:ascii="仿宋" w:hAnsi="仿宋" w:eastAsia="仿宋" w:cs="仿宋"/>
          <w:color w:val="auto"/>
          <w:sz w:val="21"/>
          <w:szCs w:val="21"/>
          <w:highlight w:val="none"/>
          <w:lang w:eastAsia="zh-CN"/>
        </w:rPr>
        <w:t xml:space="preserve">88.400000万元</w:t>
      </w:r>
      <w:r>
        <w:rPr>
          <w:rFonts w:hint="eastAsia" w:ascii="仿宋" w:hAnsi="仿宋" w:eastAsia="仿宋" w:cs="仿宋"/>
          <w:color w:val="auto"/>
          <w:sz w:val="21"/>
          <w:szCs w:val="21"/>
          <w:highlight w:val="none"/>
        </w:rPr>
        <w:t xml:space="preserve">；采购包2:</w:t>
      </w:r>
      <w:r>
        <w:rPr>
          <w:rFonts w:hint="eastAsia" w:ascii="仿宋" w:hAnsi="仿宋" w:eastAsia="仿宋" w:cs="仿宋"/>
          <w:color w:val="auto"/>
          <w:sz w:val="21"/>
          <w:szCs w:val="21"/>
          <w:highlight w:val="none"/>
          <w:lang w:eastAsia="zh-CN"/>
        </w:rPr>
        <w:t xml:space="preserve">29.300000万元</w:t>
      </w:r>
      <w:r>
        <w:rPr>
          <w:rFonts w:hint="eastAsia" w:ascii="仿宋" w:hAnsi="仿宋" w:eastAsia="仿宋" w:cs="仿宋"/>
          <w:color w:val="auto"/>
          <w:sz w:val="21"/>
          <w:szCs w:val="21"/>
          <w:highlight w:val="none"/>
        </w:rPr>
        <w:t xml:space="preserve">）</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pStyle w:val="76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采购需求：太仓市2026年度国土空间规划五年实施评估与城市中心区控规动态维护及城市更新策略研究年度服务项目</w:t>
      </w:r>
      <w:r>
        <w:rPr>
          <w:rFonts w:hint="eastAsia" w:ascii="仿宋" w:hAnsi="仿宋" w:eastAsia="仿宋" w:cs="仿宋"/>
          <w:bCs/>
          <w:color w:val="auto"/>
          <w:sz w:val="21"/>
          <w:szCs w:val="21"/>
          <w:highlight w:val="none"/>
        </w:rPr>
        <w:t xml:space="preserve">。采购包1：</w:t>
      </w:r>
      <w:r>
        <w:rPr>
          <w:rFonts w:hint="eastAsia" w:ascii="仿宋" w:hAnsi="仿宋" w:eastAsia="仿宋" w:cs="仿宋"/>
          <w:color w:val="auto"/>
          <w:sz w:val="21"/>
          <w:szCs w:val="21"/>
          <w:highlight w:val="none"/>
        </w:rPr>
        <w:t xml:space="preserve">太仓市2026年度国土空间规划五年实施评估</w:t>
      </w:r>
      <w:r>
        <w:rPr>
          <w:rFonts w:hint="eastAsia" w:ascii="仿宋" w:hAnsi="仿宋" w:eastAsia="仿宋" w:cs="仿宋"/>
          <w:bCs/>
          <w:color w:val="auto"/>
          <w:sz w:val="21"/>
          <w:szCs w:val="21"/>
          <w:highlight w:val="none"/>
        </w:rPr>
        <w:t xml:space="preserve">；采购包2：</w:t>
      </w:r>
      <w:r>
        <w:rPr>
          <w:rFonts w:hint="eastAsia" w:ascii="仿宋" w:hAnsi="仿宋" w:eastAsia="仿宋" w:cs="仿宋"/>
          <w:color w:val="auto"/>
          <w:sz w:val="21"/>
          <w:szCs w:val="21"/>
          <w:highlight w:val="none"/>
        </w:rPr>
        <w:t xml:space="preserve">太仓市城市中心区控规动态维护及城市更新策略研究年度服务（2026年度）。具体要求详见第三章项目需求。</w:t>
      </w:r>
      <w:r/>
    </w:p>
    <w:p>
      <w:pPr>
        <w:pStyle w:val="76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p>
    <w:p>
      <w:pPr>
        <w:pStyle w:val="76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采购包1：</w:t>
      </w:r>
      <w:r>
        <w:rPr>
          <w:rFonts w:hint="eastAsia" w:ascii="仿宋" w:hAnsi="仿宋" w:eastAsia="仿宋" w:cs="仿宋"/>
          <w:color w:val="auto"/>
          <w:sz w:val="21"/>
          <w:szCs w:val="21"/>
          <w:highlight w:val="none"/>
          <w:lang w:eastAsia="zh-CN" w:bidi="ar"/>
        </w:rPr>
        <w:t xml:space="preserve">一年内完成全部工作任务，提交最终成果。</w:t>
      </w:r>
      <w:r/>
    </w:p>
    <w:p>
      <w:pPr>
        <w:pStyle w:val="76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采购包2：</w:t>
      </w:r>
      <w:r>
        <w:rPr>
          <w:rFonts w:hint="eastAsia" w:ascii="仿宋" w:hAnsi="仿宋" w:eastAsia="仿宋" w:cs="仿宋"/>
          <w:color w:val="auto"/>
          <w:sz w:val="21"/>
          <w:szCs w:val="21"/>
          <w:highlight w:val="none"/>
          <w:lang w:eastAsia="zh-CN"/>
        </w:rPr>
        <w:t xml:space="preserve">一年或项目累计结算金额达到预算金额止（以先到项为准）</w:t>
      </w:r>
      <w:r>
        <w:rPr>
          <w:rFonts w:hint="eastAsia" w:ascii="仿宋" w:hAnsi="仿宋" w:eastAsia="仿宋" w:cs="仿宋"/>
          <w:color w:val="auto"/>
          <w:sz w:val="21"/>
          <w:szCs w:val="21"/>
          <w:highlight w:val="none"/>
          <w:lang w:bidi="ar"/>
        </w:rPr>
        <w:t xml:space="preserve">。</w:t>
      </w:r>
      <w:r/>
    </w:p>
    <w:p>
      <w:pPr>
        <w:pStyle w:val="76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本项目（是/否）接受联合体投标：否</w:t>
      </w:r>
      <w:r/>
    </w:p>
    <w:p>
      <w:pPr>
        <w:pStyle w:val="737"/>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772"/>
          <w:rFonts w:hint="eastAsia" w:ascii="仿宋" w:hAnsi="仿宋" w:eastAsia="仿宋" w:cs="仿宋"/>
          <w:b/>
          <w:bCs/>
          <w:color w:val="auto"/>
          <w:sz w:val="21"/>
          <w:szCs w:val="21"/>
          <w:highlight w:val="none"/>
        </w:rPr>
        <w:t xml:space="preserve">二、申请人的资格要求</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4.具有履行合同所必需的设备和专业技术能力；</w:t>
      </w:r>
      <w:r/>
    </w:p>
    <w:p>
      <w:pPr>
        <w:ind w:firstLine="420"/>
        <w:jc w:val="both"/>
        <w:spacing w:line="36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6.法律、行政法规规定的其他条件。</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pStyle w:val="766"/>
        <w:ind w:firstLine="422"/>
        <w:spacing w:before="0" w:beforeAutospacing="0" w:after="0" w:afterAutospacing="0" w:line="360" w:lineRule="auto"/>
        <w:rPr>
          <w:rFonts w:ascii="仿宋" w:hAnsi="仿宋" w:eastAsia="仿宋" w:cs="仿宋"/>
          <w:b/>
          <w:bCs/>
          <w:color w:val="auto"/>
          <w:sz w:val="21"/>
          <w:szCs w:val="21"/>
          <w:highlight w:val="none"/>
        </w:rPr>
      </w:pPr>
      <w:r>
        <w:rPr>
          <w:rStyle w:val="772"/>
          <w:rFonts w:hint="eastAsia" w:ascii="仿宋" w:hAnsi="仿宋" w:eastAsia="仿宋" w:cs="仿宋"/>
          <w:color w:val="auto"/>
          <w:sz w:val="21"/>
          <w:szCs w:val="21"/>
          <w:highlight w:val="none"/>
        </w:rPr>
        <w:t xml:space="preserve">1.</w:t>
      </w:r>
      <w:r>
        <w:rPr>
          <w:rFonts w:hint="eastAsia" w:ascii="仿宋" w:hAnsi="仿宋" w:eastAsia="仿宋" w:cs="仿宋"/>
          <w:b/>
          <w:bCs/>
          <w:color w:val="auto"/>
          <w:sz w:val="21"/>
          <w:szCs w:val="21"/>
          <w:highlight w:val="none"/>
        </w:rPr>
        <w:t xml:space="preserve"> 未被“信用中国”网站（www.creditchina.gov.cn）或中国政府采购网（https://www.ccgp.gov.cn/search/cr/）列入失信被执行人、重大税收违法案件当事人名单、政府采购严重违法失信行为记录名单。</w:t>
      </w:r>
      <w:r/>
    </w:p>
    <w:p>
      <w:pPr>
        <w:pStyle w:val="766"/>
        <w:ind w:firstLine="422"/>
        <w:spacing w:before="0" w:beforeAutospacing="0" w:after="0" w:afterAutospacing="0" w:line="360" w:lineRule="auto"/>
        <w:rPr>
          <w:rFonts w:hint="eastAsia" w:ascii="仿宋" w:hAnsi="仿宋" w:eastAsia="仿宋" w:cs="仿宋"/>
          <w:b/>
          <w:bCs/>
          <w:color w:val="auto"/>
          <w:sz w:val="21"/>
          <w:szCs w:val="21"/>
          <w:highlight w:val="none"/>
          <w:lang w:eastAsia="zh-CN"/>
        </w:rPr>
      </w:pPr>
      <w:r>
        <w:rPr>
          <w:rFonts w:ascii="仿宋" w:hAnsi="仿宋" w:eastAsia="仿宋" w:cs="仿宋"/>
          <w:b/>
          <w:bCs/>
          <w:color w:val="auto"/>
          <w:sz w:val="21"/>
          <w:szCs w:val="21"/>
          <w:highlight w:val="none"/>
          <w:shd w:val="clear" w:color="auto" w:fill="ffffff"/>
        </w:rPr>
        <w:t xml:space="preserve">2.</w:t>
      </w:r>
      <w:r>
        <w:rPr>
          <w:rFonts w:hint="eastAsia" w:ascii="仿宋" w:hAnsi="仿宋" w:eastAsia="仿宋" w:cs="仿宋"/>
          <w:b/>
          <w:bCs/>
          <w:color w:val="auto"/>
          <w:sz w:val="21"/>
          <w:szCs w:val="21"/>
          <w:highlight w:val="none"/>
          <w:lang w:val="en-US" w:eastAsia="zh-CN"/>
        </w:rPr>
        <w:t xml:space="preserve">采购包1：</w:t>
      </w:r>
      <w:r>
        <w:rPr>
          <w:rFonts w:hint="eastAsia" w:ascii="仿宋" w:hAnsi="仿宋" w:eastAsia="仿宋" w:cs="仿宋"/>
          <w:b/>
          <w:bCs/>
          <w:color w:val="auto"/>
          <w:sz w:val="21"/>
          <w:szCs w:val="21"/>
          <w:highlight w:val="none"/>
        </w:rPr>
        <w:t xml:space="preserve">供应商须具有行政主管部门颁发的城乡规划</w:t>
      </w:r>
      <w:r>
        <w:rPr>
          <w:rFonts w:ascii="仿宋" w:hAnsi="仿宋" w:eastAsia="仿宋" w:cs="仿宋"/>
          <w:b/>
          <w:bCs/>
          <w:color w:val="auto"/>
          <w:sz w:val="21"/>
          <w:szCs w:val="21"/>
          <w:highlight w:val="none"/>
        </w:rPr>
        <w:t xml:space="preserve">(国土空间规划)编制</w:t>
      </w:r>
      <w:r>
        <w:rPr>
          <w:rFonts w:hint="eastAsia" w:ascii="仿宋" w:hAnsi="仿宋" w:eastAsia="仿宋" w:cs="仿宋"/>
          <w:b/>
          <w:bCs/>
          <w:color w:val="auto"/>
          <w:sz w:val="21"/>
          <w:szCs w:val="21"/>
          <w:highlight w:val="none"/>
          <w:lang w:val="en-US" w:eastAsia="zh-CN"/>
        </w:rPr>
        <w:t xml:space="preserve">甲级</w:t>
      </w:r>
      <w:r>
        <w:rPr>
          <w:rFonts w:ascii="仿宋" w:hAnsi="仿宋" w:eastAsia="仿宋" w:cs="仿宋"/>
          <w:b/>
          <w:bCs/>
          <w:color w:val="auto"/>
          <w:sz w:val="21"/>
          <w:szCs w:val="21"/>
          <w:highlight w:val="none"/>
        </w:rPr>
        <w:t xml:space="preserve">资质证书</w:t>
      </w:r>
      <w:r>
        <w:rPr>
          <w:rFonts w:hint="eastAsia" w:ascii="仿宋" w:hAnsi="仿宋" w:eastAsia="仿宋" w:cs="仿宋"/>
          <w:b/>
          <w:bCs/>
          <w:color w:val="auto"/>
          <w:sz w:val="21"/>
          <w:szCs w:val="21"/>
          <w:highlight w:val="none"/>
          <w:lang w:eastAsia="zh-CN"/>
        </w:rPr>
        <w:t xml:space="preserve">；</w:t>
      </w:r>
      <w:r/>
    </w:p>
    <w:p>
      <w:pPr>
        <w:pStyle w:val="737"/>
        <w:numPr>
          <w:ilvl w:val="1"/>
          <w:numId w:val="0"/>
        </w:numPr>
        <w:ind w:firstLine="422"/>
        <w:keepLines w:val="0"/>
        <w:keepNext w:val="0"/>
        <w:spacing w:before="0" w:after="0" w:line="360" w:lineRule="auto"/>
        <w:rPr>
          <w:rStyle w:val="772"/>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采购包2：</w:t>
      </w:r>
      <w:r>
        <w:rPr>
          <w:rFonts w:hint="eastAsia" w:ascii="仿宋" w:hAnsi="仿宋" w:eastAsia="仿宋" w:cs="仿宋"/>
          <w:b/>
          <w:bCs/>
          <w:color w:val="auto"/>
          <w:sz w:val="21"/>
          <w:szCs w:val="21"/>
          <w:highlight w:val="none"/>
        </w:rPr>
        <w:t xml:space="preserve">供应商须具有行政主管部门颁发的城乡规划</w:t>
      </w:r>
      <w:r>
        <w:rPr>
          <w:rFonts w:ascii="仿宋" w:hAnsi="仿宋" w:eastAsia="仿宋" w:cs="仿宋"/>
          <w:b/>
          <w:bCs/>
          <w:color w:val="auto"/>
          <w:sz w:val="21"/>
          <w:szCs w:val="21"/>
          <w:highlight w:val="none"/>
        </w:rPr>
        <w:t xml:space="preserve">(国土空间规划)编制</w:t>
      </w:r>
      <w:r>
        <w:rPr>
          <w:rFonts w:hint="eastAsia" w:ascii="仿宋" w:hAnsi="仿宋" w:eastAsia="仿宋" w:cs="仿宋"/>
          <w:b/>
          <w:bCs/>
          <w:color w:val="auto"/>
          <w:sz w:val="21"/>
          <w:szCs w:val="21"/>
          <w:highlight w:val="none"/>
          <w:lang w:val="en-US" w:eastAsia="zh-CN"/>
        </w:rPr>
        <w:t xml:space="preserve">乙级及以上</w:t>
      </w:r>
      <w:r>
        <w:rPr>
          <w:rFonts w:ascii="仿宋" w:hAnsi="仿宋" w:eastAsia="仿宋" w:cs="仿宋"/>
          <w:b/>
          <w:bCs/>
          <w:color w:val="auto"/>
          <w:sz w:val="21"/>
          <w:szCs w:val="21"/>
          <w:highlight w:val="none"/>
        </w:rPr>
        <w:t xml:space="preserve">资质证书。</w:t>
      </w:r>
      <w:r/>
    </w:p>
    <w:p>
      <w:pPr>
        <w:pStyle w:val="737"/>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72"/>
          <w:rFonts w:hint="eastAsia" w:ascii="仿宋" w:hAnsi="仿宋" w:eastAsia="仿宋" w:cs="仿宋"/>
          <w:b/>
          <w:bCs/>
          <w:color w:val="auto"/>
          <w:sz w:val="21"/>
          <w:szCs w:val="21"/>
          <w:highlight w:val="none"/>
        </w:rPr>
        <w:t xml:space="preserve">三、获取招标文件</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时间：自招标文件公告发布之日起5个工作日 </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737"/>
        <w:numPr>
          <w:ilvl w:val="1"/>
          <w:numId w:val="0"/>
        </w:numPr>
        <w:ind w:left="480"/>
        <w:keepLines w:val="0"/>
        <w:keepNext w:val="0"/>
        <w:spacing w:before="0" w:after="0" w:line="360" w:lineRule="auto"/>
        <w:rPr>
          <w:rFonts w:ascii="仿宋" w:hAnsi="仿宋" w:eastAsia="仿宋" w:cs="仿宋"/>
          <w:color w:val="auto"/>
          <w:sz w:val="21"/>
          <w:szCs w:val="21"/>
          <w:highlight w:val="none"/>
        </w:rPr>
      </w:pPr>
      <w:r>
        <w:rPr>
          <w:rStyle w:val="772"/>
          <w:rFonts w:hint="eastAsia" w:ascii="仿宋" w:hAnsi="仿宋" w:eastAsia="仿宋" w:cs="仿宋"/>
          <w:b/>
          <w:bCs/>
          <w:color w:val="auto"/>
          <w:sz w:val="21"/>
          <w:szCs w:val="21"/>
          <w:highlight w:val="none"/>
        </w:rPr>
        <w:t xml:space="preserve">四、提交投标文件截止时间、开标时间和地点</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2026年11月25日09点30分</w:t>
      </w:r>
      <w:r>
        <w:rPr>
          <w:rFonts w:hint="eastAsia" w:ascii="仿宋" w:hAnsi="仿宋" w:eastAsia="仿宋" w:cs="仿宋"/>
          <w:color w:val="auto"/>
          <w:sz w:val="21"/>
          <w:szCs w:val="21"/>
          <w:highlight w:val="none"/>
        </w:rPr>
        <w:t xml:space="preserve"> （北京时间）</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737"/>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72"/>
          <w:rFonts w:hint="eastAsia" w:ascii="仿宋" w:hAnsi="仿宋" w:eastAsia="仿宋" w:cs="仿宋"/>
          <w:b/>
          <w:bCs/>
          <w:color w:val="auto"/>
          <w:sz w:val="21"/>
          <w:szCs w:val="21"/>
          <w:highlight w:val="none"/>
        </w:rPr>
        <w:t xml:space="preserve">五、公告期限</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737"/>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72"/>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ascii="仿宋" w:hAnsi="仿宋" w:eastAsia="仿宋" w:cs="仿宋"/>
          <w:color w:val="auto"/>
          <w:sz w:val="21"/>
          <w:szCs w:val="21"/>
          <w:highlight w:val="none"/>
        </w:rPr>
      </w:pPr>
      <w:r>
        <w:rPr>
          <w:rStyle w:val="772"/>
          <w:rFonts w:hint="eastAsia" w:ascii="仿宋" w:hAnsi="仿宋" w:eastAsia="仿宋" w:cs="仿宋"/>
          <w:color w:val="auto"/>
          <w:sz w:val="21"/>
          <w:szCs w:val="21"/>
          <w:highlight w:val="none"/>
          <w:lang w:bidi="ar"/>
        </w:rPr>
        <w:t xml:space="preserve">1、拒绝下述供应商参加本次采购活动：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auto"/>
          <w:sz w:val="21"/>
          <w:szCs w:val="21"/>
          <w:highlight w:val="none"/>
        </w:rPr>
      </w:pPr>
      <w:r>
        <w:rPr>
          <w:rStyle w:val="772"/>
          <w:rFonts w:hint="eastAsia" w:ascii="仿宋" w:hAnsi="仿宋" w:eastAsia="仿宋" w:cs="仿宋"/>
          <w:color w:val="auto"/>
          <w:sz w:val="21"/>
          <w:szCs w:val="21"/>
          <w:highlight w:val="none"/>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2）投标人登录苏采云系统，点击开标大厅，选择开标项目，完成不见面开标流程。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3）投标截止时间后根据系统提示解密电子投标文件。</w:t>
      </w:r>
      <w:r>
        <w:rPr>
          <w:rStyle w:val="772"/>
          <w:rFonts w:hint="eastAsia" w:ascii="仿宋" w:hAnsi="仿宋" w:eastAsia="仿宋" w:cs="仿宋"/>
          <w:color w:val="auto"/>
          <w:sz w:val="21"/>
          <w:szCs w:val="21"/>
          <w:highlight w:val="none"/>
          <w:lang w:bidi="ar"/>
        </w:rPr>
        <w:t xml:space="preserve">解密时间为15分钟，</w:t>
      </w:r>
      <w:r>
        <w:rPr>
          <w:rFonts w:hint="eastAsia" w:ascii="仿宋" w:hAnsi="仿宋" w:eastAsia="仿宋" w:cs="仿宋"/>
          <w:color w:val="auto"/>
          <w:sz w:val="21"/>
          <w:szCs w:val="21"/>
          <w:highlight w:val="none"/>
          <w:lang w:bidi="ar"/>
        </w:rPr>
        <w:t xml:space="preserve">未在规定时间内完成解密，其投标文件将被拒绝，不参与后续投标流程。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Style w:val="772"/>
          <w:rFonts w:hint="eastAsia" w:ascii="仿宋" w:hAnsi="仿宋" w:eastAsia="仿宋" w:cs="仿宋"/>
          <w:color w:val="auto"/>
          <w:sz w:val="21"/>
          <w:szCs w:val="21"/>
          <w:highlight w:val="none"/>
          <w:lang w:bidi="ar"/>
        </w:rPr>
        <w:t xml:space="preserve">有关苏采云系统驱动安装，</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登录苏州政府采购网，点击页面底部苏采云图标，进入苏采云政府采购一体化平台，点击“驱动下载”，下载</w:t>
      </w:r>
      <w:r>
        <w:rPr>
          <w:rStyle w:val="772"/>
          <w:rFonts w:hint="eastAsia" w:ascii="仿宋" w:hAnsi="仿宋" w:eastAsia="仿宋" w:cs="仿宋"/>
          <w:color w:val="auto"/>
          <w:sz w:val="21"/>
          <w:szCs w:val="21"/>
          <w:highlight w:val="none"/>
          <w:lang w:bidi="ar"/>
        </w:rPr>
        <w:t xml:space="preserve">“政务CA、方正签章控件驱动安装包及安装说明”</w:t>
      </w:r>
      <w:r>
        <w:rPr>
          <w:rFonts w:hint="eastAsia" w:ascii="仿宋" w:hAnsi="仿宋" w:eastAsia="仿宋" w:cs="仿宋"/>
          <w:color w:val="auto"/>
          <w:sz w:val="21"/>
          <w:szCs w:val="21"/>
          <w:highlight w:val="none"/>
          <w:lang w:bidi="ar"/>
        </w:rPr>
        <w:t xml:space="preserve">文件，按要求安装驱动。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w:t>
      </w:r>
      <w:r>
        <w:rPr>
          <w:rStyle w:val="772"/>
          <w:rFonts w:hint="eastAsia" w:ascii="仿宋" w:hAnsi="仿宋" w:eastAsia="仿宋" w:cs="仿宋"/>
          <w:color w:val="auto"/>
          <w:sz w:val="21"/>
          <w:szCs w:val="21"/>
          <w:highlight w:val="none"/>
          <w:lang w:bidi="ar"/>
        </w:rPr>
        <w:t xml:space="preserve">有关供应商注册、报名、下载电子招标文件、制作上传电子投标文件</w:t>
      </w:r>
      <w:r>
        <w:rPr>
          <w:rFonts w:hint="eastAsia" w:ascii="仿宋" w:hAnsi="仿宋" w:eastAsia="仿宋" w:cs="仿宋"/>
          <w:color w:val="auto"/>
          <w:sz w:val="21"/>
          <w:szCs w:val="21"/>
          <w:highlight w:val="none"/>
          <w:lang w:bidi="ar"/>
        </w:rPr>
        <w:t xml:space="preserve">、不见面开标及其他注意事项登录苏州政府采购网，在“下载中心”栏目下载“</w:t>
      </w:r>
      <w:r>
        <w:rPr>
          <w:rStyle w:val="772"/>
          <w:rFonts w:hint="eastAsia" w:ascii="仿宋" w:hAnsi="仿宋" w:eastAsia="仿宋" w:cs="仿宋"/>
          <w:color w:val="auto"/>
          <w:sz w:val="21"/>
          <w:szCs w:val="21"/>
          <w:highlight w:val="none"/>
          <w:lang w:bidi="ar"/>
        </w:rPr>
        <w:t xml:space="preserve">苏采云系统供应商操作手册”</w:t>
      </w:r>
      <w:r>
        <w:rPr>
          <w:rFonts w:hint="eastAsia" w:ascii="仿宋" w:hAnsi="仿宋" w:eastAsia="仿宋" w:cs="仿宋"/>
          <w:color w:val="auto"/>
          <w:sz w:val="21"/>
          <w:szCs w:val="21"/>
          <w:highlight w:val="none"/>
          <w:lang w:bidi="ar"/>
        </w:rPr>
        <w:t xml:space="preserve">查阅。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w:t>
      </w:r>
      <w:r>
        <w:rPr>
          <w:rStyle w:val="772"/>
          <w:rFonts w:hint="eastAsia" w:ascii="仿宋" w:hAnsi="仿宋" w:eastAsia="仿宋" w:cs="仿宋"/>
          <w:color w:val="auto"/>
          <w:sz w:val="21"/>
          <w:szCs w:val="21"/>
          <w:highlight w:val="none"/>
          <w:lang w:bidi="ar"/>
        </w:rPr>
        <w:t xml:space="preserve">有关办理CA数字申领及电子签章事项</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，登录苏州政府采购网，点击页面底部苏采云图标，进入苏采云政府采购一体化平台，下载</w:t>
      </w:r>
      <w:r>
        <w:rPr>
          <w:rStyle w:val="772"/>
          <w:rFonts w:hint="eastAsia" w:ascii="仿宋" w:hAnsi="仿宋" w:eastAsia="仿宋" w:cs="仿宋"/>
          <w:color w:val="auto"/>
          <w:sz w:val="21"/>
          <w:szCs w:val="21"/>
          <w:highlight w:val="none"/>
          <w:lang w:bidi="ar"/>
        </w:rPr>
        <w:t xml:space="preserve">“新CA办理指南”</w:t>
      </w:r>
      <w:r>
        <w:rPr>
          <w:rFonts w:hint="eastAsia" w:ascii="仿宋" w:hAnsi="仿宋" w:eastAsia="仿宋" w:cs="仿宋"/>
          <w:color w:val="auto"/>
          <w:sz w:val="21"/>
          <w:szCs w:val="21"/>
          <w:highlight w:val="none"/>
          <w:lang w:bidi="ar"/>
        </w:rPr>
        <w:t xml:space="preserve">文件查阅。</w:t>
      </w:r>
      <w:r/>
    </w:p>
    <w:p>
      <w:pPr>
        <w:ind w:firstLine="422"/>
        <w:spacing w:line="360" w:lineRule="auto"/>
        <w:rPr>
          <w:rFonts w:ascii="仿宋" w:hAnsi="仿宋" w:eastAsia="仿宋" w:cs="仿宋"/>
          <w:color w:val="auto"/>
          <w:sz w:val="21"/>
          <w:szCs w:val="21"/>
          <w:highlight w:val="none"/>
        </w:rPr>
      </w:pPr>
      <w:r>
        <w:rPr>
          <w:rStyle w:val="772"/>
          <w:rFonts w:hint="eastAsia" w:ascii="仿宋" w:hAnsi="仿宋" w:eastAsia="仿宋" w:cs="仿宋"/>
          <w:color w:val="auto"/>
          <w:sz w:val="21"/>
          <w:szCs w:val="21"/>
          <w:highlight w:val="none"/>
          <w:lang w:bidi="ar"/>
        </w:rPr>
        <w:t xml:space="preserve">7、本次招标投标保证金</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本项目无须缴纳投标保证金</w:t>
      </w:r>
      <w:r>
        <w:rPr>
          <w:rStyle w:val="772"/>
          <w:rFonts w:hint="eastAsia" w:ascii="仿宋" w:hAnsi="仿宋" w:eastAsia="仿宋" w:cs="仿宋"/>
          <w:color w:val="auto"/>
          <w:sz w:val="21"/>
          <w:szCs w:val="21"/>
          <w:highlight w:val="none"/>
          <w:lang w:bidi="ar"/>
        </w:rPr>
        <w:t xml:space="preserve">。</w:t>
      </w:r>
      <w:r/>
    </w:p>
    <w:p>
      <w:pPr>
        <w:numPr>
          <w:ilvl w:val="0"/>
          <w:numId w:val="4"/>
        </w:numPr>
        <w:ind w:firstLine="422"/>
        <w:spacing w:line="360" w:lineRule="auto"/>
        <w:rPr>
          <w:rStyle w:val="772"/>
          <w:rFonts w:ascii="仿宋" w:hAnsi="仿宋" w:eastAsia="仿宋" w:cs="仿宋"/>
          <w:color w:val="auto"/>
          <w:sz w:val="21"/>
          <w:szCs w:val="21"/>
          <w:highlight w:val="none"/>
          <w:lang w:bidi="ar"/>
        </w:rPr>
      </w:pPr>
      <w:r>
        <w:rPr>
          <w:rStyle w:val="772"/>
          <w:rFonts w:hint="eastAsia" w:ascii="仿宋" w:hAnsi="仿宋" w:eastAsia="仿宋" w:cs="仿宋"/>
          <w:color w:val="auto"/>
          <w:sz w:val="21"/>
          <w:szCs w:val="21"/>
          <w:highlight w:val="none"/>
          <w:lang w:bidi="ar"/>
        </w:rPr>
        <w:t xml:space="preserve">代理服务费：</w:t>
      </w:r>
      <w:r/>
    </w:p>
    <w:p>
      <w:pPr>
        <w:ind w:firstLine="420"/>
        <w:jc w:val="both"/>
        <w:spacing w:line="360" w:lineRule="auto"/>
        <w:widowControl w:val="off"/>
        <w:rPr>
          <w:rFonts w:ascii="仿宋" w:hAnsi="仿宋" w:eastAsia="仿宋" w:cs="仿宋"/>
          <w:color w:val="auto"/>
          <w:sz w:val="21"/>
          <w:highlight w:val="none"/>
        </w:rPr>
      </w:pPr>
      <w:r>
        <w:rPr>
          <w:rFonts w:hint="eastAsia" w:ascii="仿宋" w:hAnsi="仿宋" w:eastAsia="仿宋" w:cs="仿宋"/>
          <w:color w:val="auto"/>
          <w:sz w:val="21"/>
          <w:highlight w:val="none"/>
        </w:rPr>
        <w:t xml:space="preserve">由采购人支付。</w:t>
      </w:r>
      <w:r/>
    </w:p>
    <w:p>
      <w:pPr>
        <w:ind w:firstLine="420"/>
        <w:jc w:val="both"/>
        <w:spacing w:line="360" w:lineRule="auto"/>
        <w:widowControl w:val="off"/>
        <w:rPr>
          <w:rFonts w:ascii="仿宋" w:hAnsi="仿宋" w:eastAsia="仿宋" w:cs="仿宋"/>
          <w:color w:val="auto"/>
          <w:sz w:val="21"/>
          <w:highlight w:val="none"/>
        </w:rPr>
      </w:pPr>
      <w:r>
        <w:rPr>
          <w:rFonts w:hint="eastAsia" w:ascii="仿宋" w:hAnsi="仿宋" w:eastAsia="仿宋" w:cs="仿宋"/>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jc w:val="both"/>
        <w:spacing w:line="360" w:lineRule="auto"/>
        <w:shd w:val="clear" w:color="auto" w:fill="ffffff"/>
        <w:rPr>
          <w:rFonts w:ascii="仿宋" w:hAnsi="仿宋" w:eastAsia="仿宋" w:cs="仿宋"/>
          <w:color w:val="auto"/>
          <w:sz w:val="21"/>
          <w:highlight w:val="none"/>
        </w:rPr>
      </w:pPr>
      <w:r>
        <w:rPr>
          <w:rFonts w:hint="eastAsia" w:ascii="仿宋" w:hAnsi="仿宋" w:eastAsia="仿宋" w:cs="仿宋"/>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3500元整的，则按人民币3500元整计收。</w:t>
      </w:r>
      <w:r/>
    </w:p>
    <w:p>
      <w:pPr>
        <w:pStyle w:val="830"/>
        <w:ind w:firstLine="420"/>
        <w:jc w:val="both"/>
        <w:spacing w:line="360" w:lineRule="auto"/>
        <w:rPr>
          <w:rFonts w:ascii="仿宋" w:hAnsi="仿宋" w:eastAsia="仿宋" w:cs="仿宋"/>
          <w:color w:val="auto"/>
          <w:sz w:val="21"/>
          <w:highlight w:val="none"/>
        </w:rPr>
      </w:pPr>
      <w:r>
        <w:rPr>
          <w:rFonts w:hint="eastAsia" w:ascii="仿宋" w:hAnsi="仿宋" w:eastAsia="仿宋" w:cs="仿宋"/>
          <w:color w:val="auto"/>
          <w:sz w:val="21"/>
          <w:highlight w:val="none"/>
        </w:rPr>
        <w:t xml:space="preserve">本项目代理服务费：</w:t>
      </w:r>
      <w:r/>
    </w:p>
    <w:p>
      <w:pPr>
        <w:pStyle w:val="830"/>
        <w:ind w:firstLine="420"/>
        <w:jc w:val="both"/>
        <w:spacing w:line="360" w:lineRule="auto"/>
        <w:rPr>
          <w:rFonts w:hint="eastAsia" w:ascii="仿宋" w:hAnsi="仿宋" w:eastAsia="仿宋" w:cs="仿宋"/>
          <w:color w:val="auto"/>
          <w:sz w:val="21"/>
          <w:highlight w:val="none"/>
          <w:lang w:eastAsia="zh-CN"/>
        </w:rPr>
      </w:pPr>
      <w:r>
        <w:rPr>
          <w:rFonts w:hint="eastAsia" w:ascii="仿宋" w:hAnsi="仿宋" w:eastAsia="仿宋" w:cs="仿宋"/>
          <w:color w:val="auto"/>
          <w:sz w:val="21"/>
          <w:highlight w:val="none"/>
        </w:rPr>
        <w:t xml:space="preserve">采购包1：</w:t>
      </w:r>
      <w:r>
        <w:rPr>
          <w:rFonts w:hint="eastAsia" w:ascii="仿宋" w:hAnsi="仿宋" w:eastAsia="仿宋" w:cs="仿宋"/>
          <w:color w:val="auto"/>
          <w:sz w:val="21"/>
          <w:highlight w:val="none"/>
          <w:lang w:eastAsia="zh-CN"/>
        </w:rPr>
        <w:t xml:space="preserve">13500.00元</w:t>
      </w:r>
      <w:r/>
    </w:p>
    <w:p>
      <w:pPr>
        <w:ind w:firstLine="420"/>
        <w:jc w:val="both"/>
        <w:spacing w:line="360" w:lineRule="auto"/>
        <w:shd w:val="clear" w:color="auto" w:fill="ffffff"/>
        <w:rPr>
          <w:rFonts w:ascii="仿宋" w:hAnsi="仿宋" w:eastAsia="仿宋" w:cs="仿宋"/>
          <w:color w:val="auto"/>
          <w:sz w:val="21"/>
          <w:highlight w:val="none"/>
        </w:rPr>
      </w:pPr>
      <w:r>
        <w:rPr>
          <w:rFonts w:hint="eastAsia" w:ascii="仿宋" w:hAnsi="仿宋" w:eastAsia="仿宋" w:cs="仿宋"/>
          <w:color w:val="auto"/>
          <w:sz w:val="21"/>
          <w:highlight w:val="none"/>
        </w:rPr>
        <w:t xml:space="preserve">采购包2：</w:t>
      </w:r>
      <w:r>
        <w:rPr>
          <w:rFonts w:hint="eastAsia" w:ascii="仿宋" w:hAnsi="仿宋" w:eastAsia="仿宋" w:cs="仿宋"/>
          <w:color w:val="auto"/>
          <w:sz w:val="21"/>
          <w:highlight w:val="none"/>
          <w:lang w:eastAsia="zh-CN"/>
        </w:rPr>
        <w:t xml:space="preserve">4500.00元</w:t>
      </w:r>
      <w:r>
        <w:rPr>
          <w:rFonts w:hint="eastAsia" w:ascii="仿宋" w:hAnsi="仿宋" w:eastAsia="仿宋" w:cs="仿宋"/>
          <w:color w:val="auto"/>
          <w:sz w:val="21"/>
          <w:highlight w:val="none"/>
        </w:rPr>
        <w:t xml:space="preserve">   </w:t>
      </w:r>
      <w:r/>
    </w:p>
    <w:p>
      <w:pPr>
        <w:ind w:firstLine="420"/>
        <w:jc w:val="both"/>
        <w:spacing w:line="360" w:lineRule="auto"/>
        <w:shd w:val="clear" w:color="auto" w:fill="ffffff"/>
        <w:rPr>
          <w:color w:val="auto"/>
          <w:sz w:val="21"/>
          <w:szCs w:val="21"/>
          <w:highlight w:val="none"/>
        </w:rPr>
      </w:pPr>
      <w:r>
        <w:rPr>
          <w:rStyle w:val="772"/>
          <w:rFonts w:hint="eastAsia" w:ascii="仿宋" w:hAnsi="仿宋" w:eastAsia="仿宋" w:cs="仿宋"/>
          <w:b w:val="0"/>
          <w:bCs w:val="0"/>
          <w:color w:val="auto"/>
          <w:sz w:val="21"/>
          <w:szCs w:val="21"/>
          <w:highlight w:val="none"/>
        </w:rPr>
        <w:t xml:space="preserve">9、</w:t>
      </w:r>
      <w:r>
        <w:rPr>
          <w:rFonts w:hint="eastAsia" w:ascii="仿宋" w:hAnsi="仿宋" w:eastAsia="仿宋" w:cs="仿宋"/>
          <w:color w:val="auto"/>
          <w:sz w:val="21"/>
          <w:szCs w:val="21"/>
          <w:highlight w:val="none"/>
          <w:shd w:val="clear" w:color="auto" w:fill="ffffff"/>
          <w:lang w:bidi="ar"/>
        </w:rPr>
        <w:t xml:space="preserve">政府采购履约资金扶持政策  </w:t>
      </w:r>
      <w:r/>
    </w:p>
    <w:p>
      <w:pPr>
        <w:pStyle w:val="737"/>
        <w:numPr>
          <w:ilvl w:val="1"/>
          <w:numId w:val="0"/>
        </w:numPr>
        <w:ind w:firstLine="420"/>
        <w:keepLines w:val="0"/>
        <w:keepNext w:val="0"/>
        <w:spacing w:before="0" w:after="0" w:line="360" w:lineRule="auto"/>
        <w:rPr>
          <w:rStyle w:val="772"/>
          <w:rFonts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shd w:val="clear" w:color="auto" w:fill="ffffff"/>
          <w:lang w:bidi="ar"/>
        </w:rPr>
        <w:t xml:space="preserve">中标供应商可凭政府采购合同办理融资贷款，详情请见江苏政府采购网“政采贷”专栏。</w:t>
      </w:r>
      <w:r/>
    </w:p>
    <w:p>
      <w:pPr>
        <w:ind w:firstLine="420"/>
        <w:jc w:val="both"/>
        <w:spacing w:line="360" w:lineRule="auto"/>
        <w:widowControl w:val="off"/>
        <w:rPr>
          <w:rStyle w:val="772"/>
          <w:rFonts w:ascii="仿宋" w:hAnsi="仿宋" w:eastAsia="仿宋" w:cs="仿宋"/>
          <w:color w:val="auto"/>
          <w:sz w:val="21"/>
          <w:szCs w:val="21"/>
          <w:highlight w:val="none"/>
        </w:rPr>
      </w:pPr>
      <w:r>
        <w:rPr>
          <w:rStyle w:val="772"/>
          <w:rFonts w:hint="eastAsia" w:ascii="仿宋" w:hAnsi="仿宋" w:eastAsia="仿宋" w:cs="仿宋"/>
          <w:b w:val="0"/>
          <w:bCs w:val="0"/>
          <w:color w:val="auto"/>
          <w:sz w:val="21"/>
          <w:szCs w:val="21"/>
          <w:highlight w:val="none"/>
        </w:rPr>
        <w:t xml:space="preserve">10、</w:t>
      </w:r>
      <w:r>
        <w:rPr>
          <w:rFonts w:hint="eastAsia" w:ascii="仿宋" w:hAnsi="仿宋" w:eastAsia="仿宋" w:cs="仿宋"/>
          <w:b/>
          <w:bCs/>
          <w:color w:val="auto"/>
          <w:sz w:val="21"/>
          <w:szCs w:val="21"/>
          <w:highlight w:val="none"/>
        </w:rPr>
        <w:t xml:space="preserve">本项目允许投标单位报名多个采购包，投标单位根据各采购包要求分别制作投标文件，</w:t>
      </w:r>
      <w:r>
        <w:rPr>
          <w:rStyle w:val="772"/>
          <w:rFonts w:hint="eastAsia" w:ascii="仿宋" w:hAnsi="仿宋" w:eastAsia="仿宋" w:cs="仿宋"/>
          <w:color w:val="auto"/>
          <w:sz w:val="21"/>
          <w:szCs w:val="21"/>
          <w:highlight w:val="none"/>
        </w:rPr>
        <w:t xml:space="preserve">允许同一投标人同时中标两个采购包</w:t>
      </w:r>
      <w:r>
        <w:rPr>
          <w:rFonts w:hint="eastAsia" w:ascii="仿宋" w:hAnsi="仿宋" w:eastAsia="仿宋" w:cs="仿宋"/>
          <w:b/>
          <w:bCs/>
          <w:color w:val="auto"/>
          <w:sz w:val="21"/>
          <w:szCs w:val="21"/>
          <w:highlight w:val="none"/>
        </w:rPr>
        <w:t xml:space="preserve">。各采购包独立评审、分别签订合同。</w:t>
      </w:r>
      <w:r/>
    </w:p>
    <w:p>
      <w:pPr>
        <w:pStyle w:val="737"/>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72"/>
          <w:rFonts w:hint="eastAsia" w:ascii="仿宋" w:hAnsi="仿宋" w:eastAsia="仿宋" w:cs="仿宋"/>
          <w:b/>
          <w:bCs/>
          <w:color w:val="auto"/>
          <w:sz w:val="21"/>
          <w:szCs w:val="21"/>
          <w:highlight w:val="none"/>
        </w:rPr>
        <w:t xml:space="preserve">七、对本次招标提出询问，请按以下方式联系</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单位名称：太仓市自然资源和规划局 </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单位地址：太仓市上海东路96号</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联系人：马静旖     </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联系电话：0512-53516017</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单位名称：苏州泰至鑫项目管理有限公司</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单位地址：太仓市上海东路333号高展商务大厦1003室</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联系人：顾孙英</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联系电话：13145086180</w:t>
      </w:r>
      <w:r/>
    </w:p>
    <w:p>
      <w:pPr>
        <w:pStyle w:val="76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顾孙英 联系电话：13145086180</w:t>
      </w:r>
      <w:r/>
    </w:p>
    <w:p>
      <w:pPr>
        <w:ind w:firstLine="422"/>
        <w:jc w:val="both"/>
        <w:spacing w:line="360" w:lineRule="auto"/>
        <w:rPr>
          <w:rFonts w:ascii="仿宋" w:hAnsi="仿宋" w:eastAsia="仿宋" w:cs="仿宋"/>
          <w:color w:val="auto"/>
          <w:sz w:val="21"/>
          <w:szCs w:val="21"/>
          <w:highlight w:val="none"/>
        </w:rPr>
      </w:pPr>
      <w:r>
        <w:rPr>
          <w:rStyle w:val="772"/>
          <w:rFonts w:hint="eastAsia" w:ascii="仿宋" w:hAnsi="仿宋" w:eastAsia="仿宋" w:cs="仿宋"/>
          <w:color w:val="auto"/>
          <w:sz w:val="21"/>
          <w:szCs w:val="21"/>
          <w:highlight w:val="none"/>
          <w:lang w:bidi="ar"/>
        </w:rPr>
        <w:t xml:space="preserve">有关电子投标制作技术疑问，请咨询苏采云软件公司客服：18261002950、0512-69820854、0519-86722802，政府采购监督电话：0512-53512539</w:t>
      </w:r>
      <w:r/>
    </w:p>
    <w:p>
      <w:pPr>
        <w:ind w:firstLine="420"/>
        <w:jc w:val="both"/>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747"/>
        <w:ind w:firstLine="500"/>
        <w:rPr>
          <w:color w:val="auto"/>
          <w:highlight w:val="none"/>
        </w:rPr>
      </w:pPr>
      <w:r>
        <w:rPr>
          <w:color w:val="auto"/>
          <w:highlight w:val="none"/>
        </w:rPr>
      </w:r>
      <w:r/>
    </w:p>
    <w:p>
      <w:pPr>
        <w:jc w:val="both"/>
        <w:widowControl w:val="off"/>
        <w:rPr>
          <w:rStyle w:val="781"/>
          <w:rFonts w:ascii="宋体" w:hAnsi="宋体" w:eastAsia="宋体" w:cs="宋体"/>
          <w:color w:val="auto"/>
          <w:sz w:val="32"/>
          <w:szCs w:val="32"/>
          <w:highlight w:val="none"/>
        </w:rPr>
      </w:pPr>
      <w:r/>
      <w:bookmarkStart w:id="2" w:name="_Toc15584"/>
      <w:r/>
      <w:r/>
    </w:p>
    <w:p>
      <w:pPr>
        <w:jc w:val="center"/>
        <w:widowControl w:val="off"/>
        <w:rPr>
          <w:rStyle w:val="781"/>
          <w:rFonts w:ascii="宋体" w:hAnsi="宋体" w:eastAsia="宋体" w:cs="宋体"/>
          <w:color w:val="auto"/>
          <w:sz w:val="32"/>
          <w:szCs w:val="32"/>
          <w:highlight w:val="none"/>
        </w:rPr>
      </w:pPr>
      <w:r>
        <w:rPr>
          <w:rStyle w:val="781"/>
          <w:rFonts w:hint="eastAsia" w:ascii="宋体" w:hAnsi="宋体" w:eastAsia="宋体" w:cs="宋体"/>
          <w:color w:val="auto"/>
          <w:sz w:val="32"/>
          <w:szCs w:val="32"/>
          <w:highlight w:val="none"/>
        </w:rPr>
        <w:t xml:space="preserve">第二章 投标人须知</w:t>
      </w:r>
      <w:bookmarkEnd w:id="2"/>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本次招标不接受联合投标。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13.1.1 开标一览表；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13.1.2投标报价明细表</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 资格性、符合性、技术、商务部分：</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具有独立承担民事责任的能力：提供投标单位营业执照及法定代表人身份证扫描件或自然人的身份证明、授权委托书（如有授权）、被授权人身份证（如有授权）、关于资格文件的声明函、投标人基本情况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13.2.1.2具有良好的商业信誉和健全的财务会计制度：提供参加本次政府采购活动前的财务状况报告或者银行出具的资信证明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13.2.1.3具有履行合同所必需的设备和专业技术能力：提供履行合同所必需的设备和专业技术能力的证明材料或书面声明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13.2.1.4具有依法缴纳税收和社会保障资金的良好记录：提供参加本次政府采购活动前半年任意一个月份依法缴纳税收和社会保障资金的证明材料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13.2.1.5参加政府采购活动前三年内，在经营活动中没有重大违法记录：提供参加本次政府采购活动前3年内在经营活动中没有重大违法记录的书面声明（详见投标文件格式）；</w:t>
      </w:r>
      <w:r/>
    </w:p>
    <w:p>
      <w:pPr>
        <w:ind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13.2.1.6投标人证明其符合招标文件规定的投标人特定资格条件的证书、证明和文件材料；（如有）</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13.2.2.1服务要求偏离表（详见投标文件格式）；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spacing w:line="360" w:lineRule="auto"/>
        <w:tabs>
          <w:tab w:val="left" w:pos="420" w:leader="none"/>
          <w:tab w:val="left" w:pos="540" w:leader="none"/>
        </w:tabs>
        <w:rPr>
          <w:rFonts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rPr>
        <w:t xml:space="preserve">投标总报价应</w:t>
      </w:r>
      <w:r>
        <w:rPr>
          <w:rFonts w:hint="eastAsia" w:ascii="宋体" w:hAnsi="宋体" w:cs="宋体"/>
          <w:color w:val="auto"/>
          <w:sz w:val="21"/>
          <w:szCs w:val="21"/>
          <w:highlight w:val="none"/>
        </w:rPr>
        <w:t xml:space="preserve">包括完成本项工作所需的一切费用，</w:t>
      </w:r>
      <w:r>
        <w:rPr>
          <w:rFonts w:hint="eastAsia" w:ascii="宋体" w:hAnsi="宋体" w:cs="宋体"/>
          <w:color w:val="auto"/>
          <w:sz w:val="21"/>
          <w:szCs w:val="21"/>
          <w:highlight w:val="none"/>
        </w:rPr>
        <w:t xml:space="preserve">包括但不限于提供完整的方案编制及后续服务所需的勘测费、调查费、劳务费、咨询费、会务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w:t>
      </w:r>
      <w:r>
        <w:rPr>
          <w:rFonts w:hint="eastAsia" w:ascii="宋体" w:hAnsi="宋体" w:cs="宋体"/>
          <w:color w:val="auto"/>
          <w:sz w:val="21"/>
          <w:szCs w:val="21"/>
          <w:highlight w:val="none"/>
        </w:rPr>
        <w:t xml:space="preserve">构</w:t>
      </w:r>
      <w:r>
        <w:rPr>
          <w:rFonts w:hint="eastAsia" w:ascii="宋体" w:hAnsi="宋体" w:cs="宋体"/>
          <w:color w:val="auto"/>
          <w:sz w:val="21"/>
          <w:szCs w:val="21"/>
          <w:highlight w:val="none"/>
          <w:lang w:val="zh-CN"/>
        </w:rPr>
        <w:t xml:space="preserve">确认不符合政府采购相关法律法规规定的，将拒绝其参与政府采购活动。</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766"/>
        <w:ind w:firstLine="420"/>
        <w:spacing w:before="0" w:beforeAutospacing="0" w:after="0" w:afterAutospacing="0" w:line="360" w:lineRule="auto"/>
        <w:shd w:val="clear" w:color="auto" w:fill="ffffff"/>
        <w:rPr>
          <w:color w:val="auto"/>
          <w:sz w:val="21"/>
          <w:szCs w:val="21"/>
          <w:highlight w:val="none"/>
        </w:rPr>
      </w:pPr>
      <w:r>
        <w:rPr>
          <w:rFonts w:hint="eastAsia"/>
          <w:color w:val="auto"/>
          <w:sz w:val="21"/>
          <w:szCs w:val="21"/>
          <w:highlight w:val="none"/>
          <w:lang w:val="zh-CN"/>
        </w:rPr>
        <w:t xml:space="preserve">24.7</w:t>
      </w:r>
      <w:r>
        <w:rPr>
          <w:rFonts w:hint="eastAsia"/>
          <w:color w:val="auto"/>
          <w:sz w:val="21"/>
          <w:szCs w:val="21"/>
          <w:highlight w:val="none"/>
        </w:rPr>
        <w:t xml:space="preserve">异常低价</w:t>
      </w:r>
      <w:r/>
    </w:p>
    <w:p>
      <w:pPr>
        <w:pStyle w:val="766"/>
        <w:ind w:firstLine="420"/>
        <w:spacing w:before="0" w:beforeAutospacing="0" w:after="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24.7.1政府采购评审中出现下列情形之一的，评审委员会应当启动异常低价投标（响应）审查程序：</w:t>
      </w:r>
      <w:r/>
    </w:p>
    <w:p>
      <w:pPr>
        <w:ind w:firstLine="420"/>
        <w:spacing w:line="360" w:lineRule="auto"/>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（1）投标（响应）报价低于全部通过符合性审查供应商投标（响应）报价平均值50%的，即投标（响应）报价&lt;全部通过符合性审查供应商投标（响应）报价平均值×50%；</w:t>
      </w:r>
      <w:r/>
    </w:p>
    <w:p>
      <w:pPr>
        <w:ind w:firstLine="420"/>
        <w:spacing w:line="360" w:lineRule="auto"/>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（2）投标（响应）报价低于通过符合性审查的次低报价供应商投标（响应）报价50%的，即投标（响应）报价&lt;通过符合性审查的次低报价供应商投标（响应）报价×50%；</w:t>
      </w:r>
      <w:r/>
    </w:p>
    <w:p>
      <w:pPr>
        <w:ind w:firstLine="420"/>
        <w:spacing w:line="360" w:lineRule="auto"/>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（3）投标（响应）报价低于采购项目最高限价45%的，即投标（响应）报价&lt;采购项目最高限价×45%；</w:t>
      </w:r>
      <w:r/>
    </w:p>
    <w:p>
      <w:pPr>
        <w:ind w:firstLine="420"/>
        <w:spacing w:line="360" w:lineRule="auto"/>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（4）评审委员会基于专业判断，认为供应商报价过低，有可能影响产品质量或者不能诚信履约的其他情形。</w:t>
      </w:r>
      <w:r/>
    </w:p>
    <w:p>
      <w:pPr>
        <w:ind w:firstLine="420"/>
        <w:spacing w:line="360" w:lineRule="auto"/>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firstLine="420"/>
        <w:spacing w:line="360" w:lineRule="auto"/>
        <w:shd w:val="clear" w:color="auto" w:fill="ffffff"/>
        <w:rPr>
          <w:rFonts w:ascii="宋体" w:hAnsi="宋体" w:cs="宋体"/>
          <w:color w:val="auto"/>
          <w:sz w:val="21"/>
          <w:szCs w:val="21"/>
          <w:highlight w:val="none"/>
          <w:lang w:val="zh-CN"/>
        </w:rPr>
      </w:pPr>
      <w:r>
        <w:rPr>
          <w:rFonts w:hint="eastAsia" w:ascii="宋体" w:hAnsi="宋体" w:cs="宋体"/>
          <w:color w:val="auto"/>
          <w:sz w:val="21"/>
          <w:szCs w:val="21"/>
          <w:highlight w:val="none"/>
          <w:shd w:val="clear" w:color="auto" w:fill="ffffff"/>
        </w:rPr>
        <w:t xml:space="preserve">24.7.2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w:t>
      </w:r>
      <w:r>
        <w:rPr>
          <w:rFonts w:hint="eastAsia" w:ascii="宋体" w:hAnsi="宋体" w:cs="宋体"/>
          <w:b/>
          <w:bCs/>
          <w:color w:val="auto"/>
          <w:sz w:val="21"/>
          <w:szCs w:val="21"/>
          <w:highlight w:val="none"/>
        </w:rPr>
        <w:t xml:space="preserve">代理</w:t>
      </w:r>
      <w:r>
        <w:rPr>
          <w:rFonts w:hint="eastAsia" w:ascii="宋体" w:hAnsi="宋体" w:cs="宋体"/>
          <w:b/>
          <w:bCs/>
          <w:color w:val="auto"/>
          <w:sz w:val="21"/>
          <w:szCs w:val="21"/>
          <w:highlight w:val="none"/>
          <w:lang w:val="zh-CN"/>
        </w:rPr>
        <w:t xml:space="preserve">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33.1</w:t>
      </w:r>
      <w:r>
        <w:rPr>
          <w:rFonts w:hint="eastAsia" w:ascii="宋体" w:hAnsi="宋体" w:cs="宋体"/>
          <w:color w:val="auto"/>
          <w:sz w:val="21"/>
          <w:szCs w:val="21"/>
          <w:highlight w:val="none"/>
        </w:rPr>
        <w:t xml:space="preserve">由采购人支付理</w:t>
      </w:r>
      <w:r>
        <w:rPr>
          <w:rFonts w:hint="eastAsia" w:ascii="宋体" w:hAnsi="宋体" w:cs="宋体"/>
          <w:color w:val="auto"/>
          <w:sz w:val="21"/>
          <w:szCs w:val="21"/>
          <w:highlight w:val="none"/>
          <w:lang w:val="zh-CN"/>
        </w:rPr>
        <w:t xml:space="preserve">服务费。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rPr>
          <w:rStyle w:val="781"/>
          <w:rFonts w:ascii="宋体" w:hAnsi="宋体" w:eastAsia="宋体" w:cs="宋体"/>
          <w:color w:val="auto"/>
          <w:sz w:val="32"/>
          <w:szCs w:val="32"/>
          <w:highlight w:val="none"/>
        </w:rPr>
      </w:pPr>
      <w:r/>
      <w:bookmarkStart w:id="4" w:name="_Toc28477"/>
      <w:r>
        <w:rPr>
          <w:rStyle w:val="781"/>
          <w:rFonts w:ascii="宋体" w:hAnsi="宋体" w:eastAsia="宋体" w:cs="宋体"/>
          <w:color w:val="auto"/>
          <w:sz w:val="32"/>
          <w:szCs w:val="32"/>
          <w:highlight w:val="none"/>
        </w:rPr>
        <w:br w:type="page" w:clear="all"/>
      </w:r>
      <w:r/>
    </w:p>
    <w:p>
      <w:pPr>
        <w:pStyle w:val="780"/>
        <w:jc w:val="center"/>
        <w:rPr>
          <w:color w:val="auto"/>
          <w:highlight w:val="none"/>
        </w:rPr>
      </w:pPr>
      <w:r>
        <w:rPr>
          <w:rStyle w:val="781"/>
          <w:rFonts w:hint="eastAsia" w:ascii="宋体" w:hAnsi="宋体" w:eastAsia="宋体" w:cs="宋体"/>
          <w:color w:val="auto"/>
          <w:sz w:val="32"/>
          <w:szCs w:val="32"/>
          <w:highlight w:val="none"/>
        </w:rPr>
        <w:t xml:space="preserve">第三章 </w:t>
      </w:r>
      <w:bookmarkEnd w:id="4"/>
      <w:r>
        <w:rPr>
          <w:rStyle w:val="781"/>
          <w:rFonts w:hint="eastAsia" w:ascii="宋体" w:hAnsi="宋体" w:eastAsia="宋体" w:cs="宋体"/>
          <w:color w:val="auto"/>
          <w:sz w:val="32"/>
          <w:szCs w:val="32"/>
          <w:highlight w:val="none"/>
        </w:rPr>
        <w:t xml:space="preserve">项目需求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太仓市自然资源和规划局之委托，苏州泰至鑫项目管理有限公司作为招标代理机构，对其拟采购的太仓市2026年度国土空间规划五年实施评估与城市中心区控规动态维护及城市更新策略研究年度服务项目进行国内公开招标。欢迎符合资格条件的供应商前来报名参加投标。</w:t>
      </w:r>
      <w:r/>
    </w:p>
    <w:p>
      <w:pPr>
        <w:pStyle w:val="752"/>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一、项目概况</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JSZC-320585-SZTZ-G2026-0019</w:t>
      </w:r>
      <w:r/>
    </w:p>
    <w:p>
      <w:pPr>
        <w:ind w:firstLine="422"/>
        <w:spacing w:line="360" w:lineRule="auto"/>
        <w:tabs>
          <w:tab w:val="left" w:pos="3600" w:leader="none"/>
        </w:tabs>
        <w:rPr>
          <w:rFonts w:ascii="宋体" w:hAnsi="宋体" w:cs="宋体"/>
          <w:color w:val="auto"/>
          <w:sz w:val="21"/>
          <w:szCs w:val="21"/>
          <w:highlight w:val="none"/>
        </w:rPr>
      </w:pP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项目名称：</w:t>
      </w:r>
      <w:r>
        <w:rPr>
          <w:rFonts w:hint="eastAsia" w:ascii="宋体" w:hAnsi="宋体" w:cs="宋体"/>
          <w:color w:val="auto"/>
          <w:sz w:val="21"/>
          <w:szCs w:val="21"/>
          <w:highlight w:val="none"/>
        </w:rPr>
        <w:t xml:space="preserve">太仓市2026年度国土空间规划五年实施评估与城市中心区控规动态维护及城市更新策略研究年度服务项目</w:t>
      </w:r>
      <w:r/>
    </w:p>
    <w:p>
      <w:pPr>
        <w:ind w:firstLine="422"/>
        <w:spacing w:line="360" w:lineRule="auto"/>
        <w:tabs>
          <w:tab w:val="left" w:pos="3600" w:leader="none"/>
        </w:tabs>
        <w:rPr>
          <w:rFonts w:ascii="宋体" w:hAnsi="宋体" w:cs="宋体"/>
          <w:color w:val="auto"/>
          <w:sz w:val="21"/>
          <w:szCs w:val="21"/>
          <w:highlight w:val="none"/>
          <w:lang w:val="zh-CN"/>
        </w:rPr>
      </w:pP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zh-CN"/>
        </w:rPr>
        <w:t xml:space="preserve">合同履行期限：</w:t>
      </w:r>
      <w:r/>
    </w:p>
    <w:p>
      <w:pPr>
        <w:pStyle w:val="766"/>
        <w:ind w:firstLine="420"/>
        <w:spacing w:before="0" w:beforeAutospacing="0" w:after="0" w:afterAutospacing="0" w:line="360" w:lineRule="auto"/>
        <w:rPr>
          <w:rFonts w:hint="eastAsia" w:eastAsia="宋体"/>
          <w:color w:val="auto"/>
          <w:sz w:val="21"/>
          <w:szCs w:val="21"/>
          <w:highlight w:val="none"/>
          <w:lang w:eastAsia="zh-CN"/>
        </w:rPr>
      </w:pPr>
      <w:r>
        <w:rPr>
          <w:rFonts w:hint="eastAsia"/>
          <w:color w:val="auto"/>
          <w:sz w:val="21"/>
          <w:szCs w:val="21"/>
          <w:highlight w:val="none"/>
        </w:rPr>
        <w:t xml:space="preserve">采购包1：</w:t>
      </w:r>
      <w:r>
        <w:rPr>
          <w:rFonts w:hint="eastAsia"/>
          <w:color w:val="auto"/>
          <w:sz w:val="21"/>
          <w:szCs w:val="21"/>
          <w:highlight w:val="none"/>
          <w:lang w:eastAsia="zh-CN" w:bidi="ar"/>
        </w:rPr>
        <w:t xml:space="preserve">一年内完成全部工作任务，提交最终成果。</w:t>
      </w:r>
      <w:r/>
    </w:p>
    <w:p>
      <w:pPr>
        <w:pStyle w:val="766"/>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采购包2：</w:t>
      </w:r>
      <w:r>
        <w:rPr>
          <w:rFonts w:hint="eastAsia" w:cs="宋体"/>
          <w:color w:val="auto"/>
          <w:sz w:val="21"/>
          <w:szCs w:val="21"/>
          <w:highlight w:val="none"/>
          <w:lang w:eastAsia="zh-CN"/>
        </w:rPr>
        <w:t xml:space="preserve">一年或项目累计结算金额达到预算金额止（以先到项为准）</w:t>
      </w:r>
      <w:r>
        <w:rPr>
          <w:rFonts w:hint="eastAsia"/>
          <w:color w:val="auto"/>
          <w:sz w:val="21"/>
          <w:szCs w:val="21"/>
          <w:highlight w:val="none"/>
          <w:lang w:bidi="ar"/>
        </w:rPr>
        <w:t xml:space="preserve">。</w:t>
      </w:r>
      <w:r/>
    </w:p>
    <w:p>
      <w:pPr>
        <w:pStyle w:val="766"/>
        <w:ind w:firstLine="422"/>
        <w:spacing w:before="0" w:beforeAutospacing="0" w:after="0" w:afterAutospacing="0" w:line="360" w:lineRule="auto"/>
        <w:rPr>
          <w:rFonts w:hint="eastAsia" w:ascii="宋体" w:hAnsi="宋体" w:eastAsia="宋体" w:cs="宋体"/>
          <w:color w:val="auto"/>
          <w:sz w:val="21"/>
          <w:szCs w:val="21"/>
          <w:highlight w:val="none"/>
        </w:rPr>
      </w:pPr>
      <w:r>
        <w:rPr>
          <w:rFonts w:hint="eastAsia"/>
          <w:b/>
          <w:bCs/>
          <w:color w:val="auto"/>
          <w:sz w:val="21"/>
          <w:szCs w:val="21"/>
          <w:highlight w:val="none"/>
          <w:shd w:val="clear" w:color="auto" w:fill="ffffff"/>
          <w:lang w:bidi="ar"/>
        </w:rPr>
        <w:t xml:space="preserve">4、</w:t>
      </w:r>
      <w:r>
        <w:rPr>
          <w:rFonts w:hint="eastAsia"/>
          <w:b/>
          <w:bCs/>
          <w:color w:val="auto"/>
          <w:sz w:val="21"/>
          <w:szCs w:val="21"/>
          <w:highlight w:val="none"/>
        </w:rPr>
        <w:t xml:space="preserve">预算金额</w:t>
      </w:r>
      <w:r>
        <w:rPr>
          <w:rFonts w:hint="eastAsia"/>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120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00000万元</w:t>
      </w:r>
      <w:r>
        <w:rPr>
          <w:rFonts w:hint="eastAsia" w:ascii="宋体" w:hAnsi="宋体" w:eastAsia="宋体" w:cs="宋体"/>
          <w:color w:val="auto"/>
          <w:sz w:val="21"/>
          <w:szCs w:val="21"/>
          <w:highlight w:val="none"/>
        </w:rPr>
        <w:t xml:space="preserve">（采购包1:</w:t>
      </w: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00000万元</w:t>
      </w:r>
      <w:r>
        <w:rPr>
          <w:rFonts w:hint="eastAsia" w:ascii="宋体" w:hAnsi="宋体" w:eastAsia="宋体" w:cs="宋体"/>
          <w:color w:val="auto"/>
          <w:sz w:val="21"/>
          <w:szCs w:val="21"/>
          <w:highlight w:val="none"/>
        </w:rPr>
        <w:t xml:space="preserve">；采购包2:</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00000万元</w:t>
      </w:r>
      <w:r>
        <w:rPr>
          <w:rFonts w:hint="eastAsia" w:ascii="宋体" w:hAnsi="宋体" w:eastAsia="宋体" w:cs="宋体"/>
          <w:color w:val="auto"/>
          <w:sz w:val="21"/>
          <w:szCs w:val="21"/>
          <w:highlight w:val="none"/>
        </w:rPr>
        <w:t xml:space="preserve">）</w:t>
      </w:r>
      <w:r/>
    </w:p>
    <w:p>
      <w:pPr>
        <w:pStyle w:val="766"/>
        <w:ind w:firstLine="422"/>
        <w:spacing w:before="0" w:beforeAutospacing="0" w:after="0" w:afterAutospacing="0" w:line="360" w:lineRule="auto"/>
        <w:rPr>
          <w:rFonts w:hint="eastAsia" w:eastAsia="宋体"/>
          <w:color w:val="auto"/>
          <w:sz w:val="21"/>
          <w:szCs w:val="21"/>
          <w:highlight w:val="none"/>
          <w:lang w:eastAsia="zh-CN"/>
        </w:rPr>
      </w:pPr>
      <w:r>
        <w:rPr>
          <w:rFonts w:hint="eastAsia"/>
          <w:b/>
          <w:bCs/>
          <w:color w:val="auto"/>
          <w:sz w:val="21"/>
          <w:szCs w:val="21"/>
          <w:highlight w:val="none"/>
        </w:rPr>
        <w:t xml:space="preserve">5、最高限价（如有）</w:t>
      </w:r>
      <w:r>
        <w:rPr>
          <w:rFonts w:hint="eastAsia"/>
          <w:color w:val="auto"/>
          <w:sz w:val="21"/>
          <w:szCs w:val="21"/>
          <w:highlight w:val="none"/>
        </w:rPr>
        <w:t xml:space="preserve">：</w:t>
      </w:r>
      <w:r>
        <w:rPr>
          <w:rFonts w:hint="eastAsia"/>
          <w:color w:val="auto"/>
          <w:sz w:val="21"/>
          <w:szCs w:val="21"/>
          <w:highlight w:val="none"/>
          <w:lang w:eastAsia="zh-CN"/>
        </w:rPr>
        <w:t xml:space="preserve">117.700000万元</w:t>
      </w:r>
      <w:r>
        <w:rPr>
          <w:rFonts w:hint="eastAsia"/>
          <w:color w:val="auto"/>
          <w:sz w:val="21"/>
          <w:szCs w:val="21"/>
          <w:highlight w:val="none"/>
        </w:rPr>
        <w:t xml:space="preserve">（采购包1:</w:t>
      </w:r>
      <w:r>
        <w:rPr>
          <w:rFonts w:hint="eastAsia"/>
          <w:color w:val="auto"/>
          <w:sz w:val="21"/>
          <w:szCs w:val="21"/>
          <w:highlight w:val="none"/>
          <w:lang w:eastAsia="zh-CN"/>
        </w:rPr>
        <w:t xml:space="preserve">88.400000万元</w:t>
      </w:r>
      <w:r>
        <w:rPr>
          <w:rFonts w:hint="eastAsia"/>
          <w:color w:val="auto"/>
          <w:sz w:val="21"/>
          <w:szCs w:val="21"/>
          <w:highlight w:val="none"/>
        </w:rPr>
        <w:t xml:space="preserve">；采购包2:</w:t>
      </w:r>
      <w:r>
        <w:rPr>
          <w:rFonts w:hint="eastAsia"/>
          <w:color w:val="auto"/>
          <w:sz w:val="21"/>
          <w:szCs w:val="21"/>
          <w:highlight w:val="none"/>
          <w:lang w:eastAsia="zh-CN"/>
        </w:rPr>
        <w:t xml:space="preserve">29.300000万元</w:t>
      </w:r>
      <w:r/>
    </w:p>
    <w:p>
      <w:pPr>
        <w:pStyle w:val="766"/>
        <w:ind w:firstLine="422"/>
        <w:spacing w:before="0" w:beforeAutospacing="0" w:after="0" w:afterAutospacing="0" w:line="360" w:lineRule="auto"/>
        <w:rPr>
          <w:color w:val="auto"/>
          <w:sz w:val="21"/>
          <w:szCs w:val="21"/>
          <w:highlight w:val="none"/>
        </w:rPr>
      </w:pPr>
      <w:r>
        <w:rPr>
          <w:rFonts w:hint="eastAsia"/>
          <w:b/>
          <w:bCs/>
          <w:color w:val="auto"/>
          <w:sz w:val="21"/>
          <w:szCs w:val="21"/>
          <w:highlight w:val="none"/>
        </w:rPr>
        <w:t xml:space="preserve">6、服务地点：</w:t>
      </w:r>
      <w:r>
        <w:rPr>
          <w:rFonts w:hint="eastAsia"/>
          <w:color w:val="auto"/>
          <w:sz w:val="21"/>
          <w:szCs w:val="21"/>
          <w:highlight w:val="none"/>
        </w:rPr>
        <w:t xml:space="preserve">采购方指定</w:t>
      </w:r>
      <w:r/>
    </w:p>
    <w:p>
      <w:pPr>
        <w:ind w:firstLine="422"/>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二、</w:t>
      </w:r>
      <w:r>
        <w:rPr>
          <w:rFonts w:hint="eastAsia" w:ascii="宋体" w:hAnsi="宋体" w:cs="宋体"/>
          <w:b/>
          <w:color w:val="auto"/>
          <w:sz w:val="21"/>
          <w:szCs w:val="21"/>
          <w:highlight w:val="none"/>
          <w:lang w:val="zh-CN"/>
        </w:rPr>
        <w:t xml:space="preserve">采购需求：</w:t>
      </w:r>
      <w:r/>
    </w:p>
    <w:p>
      <w:pPr>
        <w:ind w:firstLine="422"/>
        <w:keepLines/>
        <w:keepNext/>
        <w:spacing w:line="360" w:lineRule="auto"/>
        <w:rPr>
          <w:rFonts w:ascii="宋体" w:hAnsi="宋体" w:cs="宋体"/>
          <w:b/>
          <w:bCs/>
          <w:color w:val="auto"/>
          <w:sz w:val="21"/>
          <w:szCs w:val="21"/>
          <w:highlight w:val="none"/>
        </w:rPr>
        <w:outlineLvl w:val="3"/>
      </w:pPr>
      <w:r/>
      <w:bookmarkStart w:id="5" w:name="_Toc142194272"/>
      <w:r/>
      <w:bookmarkStart w:id="6" w:name="_Toc361054516"/>
      <w:r/>
      <w:bookmarkStart w:id="7" w:name="_Toc234085236"/>
      <w:r/>
      <w:bookmarkStart w:id="8" w:name="_Toc40449968"/>
      <w:r/>
      <w:bookmarkStart w:id="9" w:name="_Toc25002"/>
      <w:r>
        <w:rPr>
          <w:rFonts w:hint="eastAsia" w:ascii="宋体" w:hAnsi="宋体" w:cs="宋体"/>
          <w:b/>
          <w:bCs/>
          <w:color w:val="auto"/>
          <w:sz w:val="21"/>
          <w:szCs w:val="21"/>
          <w:highlight w:val="none"/>
        </w:rPr>
        <w:t xml:space="preserve">采购包1：太仓市2026年度国土空间规划五年实施评估</w:t>
      </w:r>
      <w:r/>
    </w:p>
    <w:p>
      <w:pPr>
        <w:ind w:firstLine="422"/>
        <w:keepLines/>
        <w:keepNext/>
        <w:spacing w:line="360" w:lineRule="auto"/>
        <w:rPr>
          <w:rFonts w:ascii="宋体" w:hAnsi="宋体" w:cs="宋体"/>
          <w:b/>
          <w:bCs/>
          <w:color w:val="auto"/>
          <w:sz w:val="21"/>
          <w:szCs w:val="21"/>
          <w:highlight w:val="none"/>
        </w:rPr>
        <w:outlineLvl w:val="3"/>
      </w:pPr>
      <w:r>
        <w:rPr>
          <w:rFonts w:hint="eastAsia" w:ascii="宋体" w:hAnsi="宋体" w:cs="宋体"/>
          <w:b/>
          <w:bCs/>
          <w:color w:val="auto"/>
          <w:sz w:val="21"/>
          <w:szCs w:val="21"/>
          <w:highlight w:val="none"/>
        </w:rPr>
        <w:t xml:space="preserve">（一）项目内容</w:t>
      </w:r>
      <w:r/>
    </w:p>
    <w:p>
      <w:pPr>
        <w:ind w:firstLine="420"/>
        <w:jc w:val="both"/>
        <w:spacing w:line="360" w:lineRule="auto"/>
        <w:widowControl w:val="off"/>
        <w:rPr>
          <w:rFonts w:ascii="宋体" w:hAnsi="宋体" w:cs="宋体"/>
          <w:color w:val="auto"/>
          <w:sz w:val="21"/>
          <w:szCs w:val="21"/>
          <w:highlight w:val="none"/>
        </w:rPr>
      </w:pPr>
      <w:r/>
      <w:bookmarkStart w:id="10" w:name="_Toc417024234"/>
      <w:r>
        <w:rPr>
          <w:rFonts w:hint="eastAsia" w:ascii="宋体" w:hAnsi="宋体" w:cs="宋体"/>
          <w:color w:val="auto"/>
          <w:sz w:val="21"/>
          <w:szCs w:val="21"/>
          <w:highlight w:val="none"/>
        </w:rPr>
        <w:t xml:space="preserve">1、五年评估</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按照自然资源办公厅印发的《国土空间规划体检评估规程（2025年修订版）》进行评估，结合202</w:t>
      </w:r>
      <w:r>
        <w:rPr>
          <w:rFonts w:hint="eastAsia" w:ascii="宋体" w:hAnsi="宋体" w:cs="宋体"/>
          <w:color w:val="auto"/>
          <w:sz w:val="21"/>
          <w:szCs w:val="21"/>
          <w:highlight w:val="none"/>
        </w:rPr>
        <w:t xml:space="preserve">5年度国土空间年度体检评估工作，全面对照国土空间总体规划和省政府对国土空间总体规划的批复要求,以战略定位、底线管控、规模结构、空间布局、支撑体系、实施保障六个方面的规划实施情况为重点，开展阶段性的全面评估和总结，对国土空间规划各项目标和指标落实情况、强制性内容执行情况、各项政策机制的建立和对规划实施的影响等方面进行系统深入分析，包括梳理城镇开发边界调入调出潜力等。结合国家和地方发展战略，分析规划面临的新形势和新要求，对未来发展趋势做出判断，并对规划的动态维护及下一个五年规划实施措施、政策机制等方面提出建议。</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2、太仓市城市重要控制线统筹优化专项研究</w:t>
      </w:r>
      <w:r/>
    </w:p>
    <w:p>
      <w:pPr>
        <w:ind w:firstLine="420"/>
        <w:jc w:val="both"/>
        <w:spacing w:line="36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摸排紫线、绿线、黄线等重要控制线管控</w:t>
      </w:r>
      <w:r>
        <w:rPr>
          <w:rFonts w:hint="eastAsia" w:ascii="宋体" w:hAnsi="宋体" w:cs="宋体"/>
          <w:color w:val="auto"/>
          <w:sz w:val="21"/>
          <w:szCs w:val="21"/>
          <w:highlight w:val="none"/>
        </w:rPr>
        <w:t xml:space="preserve">情况，围绕“单线优化”与“多线统筹”两大维度展开。城市绿线优化：结合公园城市建设与生态修复要求，完善绿地系统布局，打通生态廊道，提升绿地的服务半径覆盖率与生态功能。城市红线优化：梳理道路网络体系，结合交通流量与城市发展需求，优化道路红线宽度及线形，保障交通微循环与街道空间品质。城市黄线优化：校核重大基础设施（如交通场站、供水、供电等）的用地边界，预留未来发展弹性，确保城市生命线系统的安全与高效。城市紫线优化：深挖历史文化价值，精准划定历史文化街区、历史建筑的保护范围与建设控制地带，制定差异化的风貌管控导则。</w:t>
      </w:r>
      <w:r/>
    </w:p>
    <w:p>
      <w:pPr>
        <w:ind w:firstLine="422"/>
        <w:keepLines/>
        <w:keepNext/>
        <w:spacing w:line="360" w:lineRule="auto"/>
        <w:rPr>
          <w:rFonts w:ascii="宋体" w:hAnsi="宋体" w:cs="宋体"/>
          <w:b/>
          <w:bCs/>
          <w:color w:val="auto"/>
          <w:sz w:val="21"/>
          <w:szCs w:val="21"/>
          <w:highlight w:val="none"/>
        </w:rPr>
        <w:outlineLvl w:val="3"/>
      </w:pPr>
      <w:r>
        <w:rPr>
          <w:rFonts w:hint="eastAsia" w:ascii="宋体" w:hAnsi="宋体" w:cs="宋体"/>
          <w:b/>
          <w:bCs/>
          <w:color w:val="auto"/>
          <w:sz w:val="21"/>
          <w:szCs w:val="21"/>
          <w:highlight w:val="none"/>
        </w:rPr>
        <w:t xml:space="preserve">（二）成果要求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年评估成果由评估报告及附件组成。报告主要包括总体结论，规划实施成效、存在问题及原因分析，对策建议等。附件包括评估指标表、五年重点任务完成清单、五年规划实施分析图、五年规划实施社会满意度评价报告、五年评估基础数据库建设情况说明等。</w:t>
      </w:r>
      <w:r/>
    </w:p>
    <w:p>
      <w:pPr>
        <w:pStyle w:val="747"/>
        <w:rPr>
          <w:color w:val="auto"/>
          <w:highlight w:val="none"/>
        </w:rPr>
      </w:pPr>
      <w:r>
        <w:rPr>
          <w:rFonts w:hint="eastAsia" w:ascii="宋体" w:hAnsi="宋体" w:eastAsia="宋体" w:cs="宋体"/>
          <w:color w:val="auto"/>
          <w:spacing w:val="0"/>
          <w:sz w:val="21"/>
          <w:szCs w:val="21"/>
          <w:highlight w:val="none"/>
          <w:lang w:val="en-US" w:eastAsia="zh-CN" w:bidi="ar-SA"/>
        </w:rPr>
        <w:t xml:space="preserve">太仓市城市重要控制线统筹优化专项研究</w:t>
      </w:r>
      <w:r>
        <w:rPr>
          <w:rFonts w:hint="eastAsia" w:ascii="宋体" w:hAnsi="宋体" w:cs="宋体"/>
          <w:color w:val="auto"/>
          <w:spacing w:val="0"/>
          <w:sz w:val="21"/>
          <w:szCs w:val="21"/>
          <w:highlight w:val="none"/>
          <w:lang w:val="en-US" w:eastAsia="zh-CN" w:bidi="ar-SA"/>
        </w:rPr>
        <w:t xml:space="preserve">报告及数据报告主要包括各类控制线现状管控情况，形成相关优化文本图纸及管控建议。</w:t>
      </w:r>
      <w:r/>
    </w:p>
    <w:p>
      <w:pPr>
        <w:ind w:firstLine="422"/>
        <w:keepLines/>
        <w:keepNext/>
        <w:spacing w:line="360" w:lineRule="auto"/>
        <w:rPr>
          <w:rFonts w:ascii="宋体" w:hAnsi="宋体" w:cs="宋体"/>
          <w:b/>
          <w:bCs/>
          <w:color w:val="auto"/>
          <w:sz w:val="21"/>
          <w:szCs w:val="21"/>
          <w:highlight w:val="none"/>
        </w:rPr>
        <w:outlineLvl w:val="3"/>
      </w:pPr>
      <w:r>
        <w:rPr>
          <w:rFonts w:hint="eastAsia" w:ascii="宋体" w:hAnsi="宋体" w:cs="宋体"/>
          <w:b/>
          <w:bCs/>
          <w:color w:val="auto"/>
          <w:sz w:val="21"/>
          <w:szCs w:val="21"/>
          <w:highlight w:val="none"/>
        </w:rPr>
        <w:t xml:space="preserve">（三）组织管理要求</w:t>
      </w:r>
      <w:bookmarkEnd w:id="10"/>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项目架构及人员要求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中标人应成立项目部，并明确项目负责人、协调项目的开展，解决工作中有关重大问题。项目组人员不得少于6人。在项目建设过程中不得随意更换项目负责人，必需变更时，应先征得采购人同意。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项目负责人：不少于1人，项目负责人是项目的核心管理者，须具有丰富的项目管理经验，负责整体规划、团队协调、进度控制、资源分配、信息安全保密和风险管理等。能确保项目按时完成，并满足质量要求，同时与各方保持有效沟通，推动项目成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（2）项目组成员：不少于6人，项目组成员应具有和本项目相关的专业知识及工作经验，了解相关法律法规，并经过专业培训。</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（四）项目实施方案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响应单位应根据项目要求编制项目技术方案，具体要求如下：</w:t>
      </w:r>
      <w:r/>
    </w:p>
    <w:p>
      <w:pPr>
        <w:pStyle w:val="737"/>
        <w:numPr>
          <w:ilvl w:val="1"/>
          <w:numId w:val="0"/>
        </w:numPr>
        <w:ind w:firstLine="422"/>
        <w:keepLines w:val="0"/>
        <w:keepNext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1、项目规划方案</w:t>
      </w:r>
      <w:r/>
    </w:p>
    <w:p>
      <w:pPr>
        <w:pStyle w:val="738"/>
        <w:numPr>
          <w:ilvl w:val="2"/>
          <w:numId w:val="0"/>
        </w:numPr>
        <w:ind w:firstLine="422"/>
        <w:keepLines w:val="0"/>
        <w:keepNext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（1）五年评估</w:t>
      </w:r>
      <w:r/>
    </w:p>
    <w:p>
      <w:pPr>
        <w:pStyle w:val="766"/>
        <w:ind w:firstLine="422"/>
        <w:spacing w:before="0" w:beforeAutospacing="0" w:after="0" w:afterAutospacing="0" w:line="360" w:lineRule="auto"/>
        <w:rPr>
          <w:color w:val="auto"/>
          <w:sz w:val="21"/>
          <w:szCs w:val="21"/>
          <w:highlight w:val="none"/>
        </w:rPr>
      </w:pPr>
      <w:r>
        <w:rPr>
          <w:rStyle w:val="772"/>
          <w:rFonts w:hint="eastAsia"/>
          <w:color w:val="auto"/>
          <w:sz w:val="21"/>
          <w:szCs w:val="21"/>
          <w:highlight w:val="none"/>
        </w:rPr>
        <w:t xml:space="preserve">方案要求</w:t>
      </w:r>
      <w:r>
        <w:rPr>
          <w:rFonts w:hint="eastAsia"/>
          <w:color w:val="auto"/>
          <w:sz w:val="21"/>
          <w:szCs w:val="21"/>
          <w:highlight w:val="none"/>
        </w:rPr>
        <w:t xml:space="preserve">：按照《国土空间规划体检评估规程（2025 年修订版）》开展评估，衔接年度体检成果，围绕六大重点评估规划实施成效，分析指标与强制性内容落实情况，研判发展形势，提出规划动态维护及后续实施建议。</w:t>
      </w:r>
      <w:r/>
    </w:p>
    <w:p>
      <w:pPr>
        <w:pStyle w:val="738"/>
        <w:numPr>
          <w:ilvl w:val="2"/>
          <w:numId w:val="0"/>
        </w:numPr>
        <w:ind w:firstLine="422"/>
        <w:keepLines w:val="0"/>
        <w:keepNext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（2）太仓市城市重要控制线统筹优化专项研究</w:t>
      </w:r>
      <w:r/>
    </w:p>
    <w:p>
      <w:pPr>
        <w:pStyle w:val="766"/>
        <w:ind w:firstLine="422"/>
        <w:spacing w:before="0" w:beforeAutospacing="0" w:after="0" w:afterAutospacing="0" w:line="360" w:lineRule="auto"/>
        <w:rPr>
          <w:color w:val="auto"/>
          <w:sz w:val="21"/>
          <w:szCs w:val="21"/>
          <w:highlight w:val="none"/>
        </w:rPr>
      </w:pPr>
      <w:r>
        <w:rPr>
          <w:rStyle w:val="772"/>
          <w:rFonts w:hint="eastAsia"/>
          <w:color w:val="auto"/>
          <w:sz w:val="21"/>
          <w:szCs w:val="21"/>
          <w:highlight w:val="none"/>
        </w:rPr>
        <w:t xml:space="preserve">方案要求</w:t>
      </w:r>
      <w:r>
        <w:rPr>
          <w:rFonts w:hint="eastAsia"/>
          <w:color w:val="auto"/>
          <w:sz w:val="21"/>
          <w:szCs w:val="21"/>
          <w:highlight w:val="none"/>
        </w:rPr>
        <w:t xml:space="preserve">：摸排各类控制线现状管控情况，开展单线优化和多线统筹研究，分别优化绿线、红线、黄线、紫线管控内容，协调控制线矛盾，形成控制线优化文本图纸及管控建议。</w:t>
      </w:r>
      <w:r/>
    </w:p>
    <w:p>
      <w:pPr>
        <w:pStyle w:val="737"/>
        <w:numPr>
          <w:ilvl w:val="1"/>
          <w:numId w:val="0"/>
        </w:numPr>
        <w:ind w:firstLine="422"/>
        <w:keepLines w:val="0"/>
        <w:keepNext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2、组织管理方案</w:t>
      </w:r>
      <w:r/>
    </w:p>
    <w:p>
      <w:pPr>
        <w:pStyle w:val="738"/>
        <w:numPr>
          <w:ilvl w:val="2"/>
          <w:numId w:val="0"/>
        </w:numPr>
        <w:ind w:firstLine="422"/>
        <w:keepLines w:val="0"/>
        <w:keepNext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（1）项目进度保障方案</w:t>
      </w:r>
      <w:r/>
    </w:p>
    <w:p>
      <w:pPr>
        <w:pStyle w:val="766"/>
        <w:ind w:firstLine="422"/>
        <w:spacing w:before="0" w:beforeAutospacing="0" w:after="0" w:afterAutospacing="0" w:line="360" w:lineRule="auto"/>
        <w:rPr>
          <w:color w:val="auto"/>
          <w:sz w:val="21"/>
          <w:szCs w:val="21"/>
          <w:highlight w:val="none"/>
        </w:rPr>
      </w:pPr>
      <w:r>
        <w:rPr>
          <w:rStyle w:val="772"/>
          <w:rFonts w:hint="eastAsia"/>
          <w:color w:val="auto"/>
          <w:sz w:val="21"/>
          <w:szCs w:val="21"/>
          <w:highlight w:val="none"/>
        </w:rPr>
        <w:t xml:space="preserve">方案要求</w:t>
      </w:r>
      <w:r>
        <w:rPr>
          <w:rFonts w:hint="eastAsia"/>
          <w:color w:val="auto"/>
          <w:sz w:val="21"/>
          <w:szCs w:val="21"/>
          <w:highlight w:val="none"/>
        </w:rPr>
        <w:t xml:space="preserve">：编制项目实施计划，明确工作节点与人员安排，建立沟通汇报机制，预判项目风险并制定应对措施，保障项目按期完成交付。</w:t>
      </w:r>
      <w:r/>
    </w:p>
    <w:p>
      <w:pPr>
        <w:pStyle w:val="738"/>
        <w:numPr>
          <w:ilvl w:val="2"/>
          <w:numId w:val="0"/>
        </w:numPr>
        <w:ind w:firstLine="422"/>
        <w:keepLines w:val="0"/>
        <w:keepNext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（2）项目质量管理方案</w:t>
      </w:r>
      <w:r/>
    </w:p>
    <w:p>
      <w:pPr>
        <w:pStyle w:val="766"/>
        <w:ind w:firstLine="422"/>
        <w:spacing w:before="0" w:beforeAutospacing="0" w:after="0" w:afterAutospacing="0" w:line="360" w:lineRule="auto"/>
        <w:rPr>
          <w:color w:val="auto"/>
          <w:sz w:val="21"/>
          <w:szCs w:val="21"/>
          <w:highlight w:val="none"/>
        </w:rPr>
      </w:pPr>
      <w:r>
        <w:rPr>
          <w:rStyle w:val="772"/>
          <w:rFonts w:hint="eastAsia"/>
          <w:color w:val="auto"/>
          <w:sz w:val="21"/>
          <w:szCs w:val="21"/>
          <w:highlight w:val="none"/>
        </w:rPr>
        <w:t xml:space="preserve">方案要求</w:t>
      </w:r>
      <w:r>
        <w:rPr>
          <w:rFonts w:hint="eastAsia"/>
          <w:color w:val="auto"/>
          <w:sz w:val="21"/>
          <w:szCs w:val="21"/>
          <w:highlight w:val="none"/>
        </w:rPr>
        <w:t xml:space="preserve">：建立项目质量管控机制，落实三级审核制度，成果符合相关规范标准，根据各方评审意见修改完善，确保成果质量满足报批使用要求。</w:t>
      </w:r>
      <w:r/>
    </w:p>
    <w:p>
      <w:pPr>
        <w:pStyle w:val="738"/>
        <w:numPr>
          <w:ilvl w:val="2"/>
          <w:numId w:val="0"/>
        </w:numPr>
        <w:ind w:firstLine="422"/>
        <w:keepLines w:val="0"/>
        <w:keepNext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（3）后续服务方案</w:t>
      </w:r>
      <w:r/>
    </w:p>
    <w:p>
      <w:pPr>
        <w:pStyle w:val="766"/>
        <w:ind w:firstLine="422"/>
        <w:spacing w:before="0" w:beforeAutospacing="0" w:after="0" w:afterAutospacing="0" w:line="360" w:lineRule="auto"/>
        <w:rPr>
          <w:color w:val="auto"/>
          <w:sz w:val="21"/>
          <w:szCs w:val="21"/>
          <w:highlight w:val="none"/>
        </w:rPr>
      </w:pPr>
      <w:r>
        <w:rPr>
          <w:rStyle w:val="772"/>
          <w:rFonts w:hint="eastAsia"/>
          <w:color w:val="auto"/>
          <w:sz w:val="21"/>
          <w:szCs w:val="21"/>
          <w:highlight w:val="none"/>
        </w:rPr>
        <w:t xml:space="preserve">方案要求</w:t>
      </w:r>
      <w:r>
        <w:rPr>
          <w:rFonts w:hint="eastAsia"/>
          <w:color w:val="auto"/>
          <w:sz w:val="21"/>
          <w:szCs w:val="21"/>
          <w:highlight w:val="none"/>
        </w:rPr>
        <w:t xml:space="preserve">：成果交付后提供配套技术服务，及时响应技术咨询，做好成果修改与技术支撑。</w:t>
      </w:r>
      <w:bookmarkEnd w:id="5"/>
      <w:bookmarkEnd w:id="6"/>
      <w:bookmarkEnd w:id="7"/>
      <w:bookmarkEnd w:id="8"/>
      <w:r/>
    </w:p>
    <w:p>
      <w:pPr>
        <w:ind w:firstLine="422"/>
        <w:keepLines/>
        <w:keepNext/>
        <w:spacing w:line="360" w:lineRule="auto"/>
        <w:rPr>
          <w:rFonts w:ascii="宋体" w:hAnsi="宋体" w:cs="宋体"/>
          <w:b/>
          <w:bCs/>
          <w:color w:val="auto"/>
          <w:sz w:val="21"/>
          <w:szCs w:val="21"/>
          <w:highlight w:val="none"/>
        </w:rPr>
        <w:outlineLvl w:val="3"/>
      </w:pPr>
      <w:r>
        <w:rPr>
          <w:rFonts w:hint="eastAsia" w:ascii="宋体" w:hAnsi="宋体" w:cs="宋体"/>
          <w:b/>
          <w:bCs/>
          <w:color w:val="auto"/>
          <w:sz w:val="21"/>
          <w:szCs w:val="21"/>
          <w:highlight w:val="none"/>
        </w:rPr>
        <w:t xml:space="preserve">（五）投标报价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报价方式：</w:t>
      </w:r>
      <w:r>
        <w:rPr>
          <w:rFonts w:hint="eastAsia" w:ascii="宋体" w:hAnsi="宋体" w:cs="宋体"/>
          <w:color w:val="auto"/>
          <w:sz w:val="21"/>
          <w:szCs w:val="21"/>
          <w:highlight w:val="none"/>
          <w:lang w:val="en-US" w:eastAsia="zh-CN"/>
        </w:rPr>
        <w:t xml:space="preserve">优惠率报价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最终合同金额=预算金额*（1-中标优惠率）</w:t>
      </w:r>
      <w:r>
        <w:rPr>
          <w:rFonts w:hint="eastAsia" w:ascii="宋体" w:hAnsi="宋体" w:cs="宋体"/>
          <w:color w:val="auto"/>
          <w:sz w:val="21"/>
          <w:szCs w:val="21"/>
          <w:highlight w:val="none"/>
        </w:rPr>
        <w:t xml:space="preserve">投标报价应包括完成本项工作所需的一切费用，包括但不限于提供完整的方案编制及后续服务所需的勘测费、调查费、劳务费、咨询费、会务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2"/>
        <w:keepLines/>
        <w:keepNext/>
        <w:spacing w:line="360" w:lineRule="auto"/>
        <w:rPr>
          <w:rFonts w:ascii="宋体" w:hAnsi="宋体" w:cs="宋体"/>
          <w:b/>
          <w:bCs/>
          <w:color w:val="auto"/>
          <w:sz w:val="21"/>
          <w:szCs w:val="21"/>
          <w:highlight w:val="none"/>
        </w:rPr>
        <w:outlineLvl w:val="2"/>
      </w:pP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六</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验收</w:t>
      </w:r>
      <w:r/>
    </w:p>
    <w:p>
      <w:pPr>
        <w:ind w:firstLine="420"/>
        <w:spacing w:line="360" w:lineRule="auto"/>
        <w:rPr>
          <w:rFonts w:ascii="宋体" w:hAnsi="宋体" w:cs="宋体"/>
          <w:bCs/>
          <w:color w:val="auto"/>
          <w:sz w:val="21"/>
          <w:szCs w:val="21"/>
          <w:highlight w:val="none"/>
          <w:lang w:bidi="en-US"/>
        </w:rPr>
      </w:pPr>
      <w:r>
        <w:rPr>
          <w:rFonts w:hint="eastAsia" w:ascii="宋体" w:hAnsi="宋体" w:cs="宋体"/>
          <w:bCs/>
          <w:color w:val="auto"/>
          <w:sz w:val="21"/>
          <w:szCs w:val="21"/>
          <w:highlight w:val="none"/>
          <w:lang w:bidi="en-US"/>
        </w:rPr>
        <w:t xml:space="preserve">1、验收组织方式：本项目由甲方进行验收。</w:t>
      </w:r>
      <w:r/>
    </w:p>
    <w:p>
      <w:pPr>
        <w:ind w:firstLine="420"/>
        <w:spacing w:line="360" w:lineRule="auto"/>
        <w:rPr>
          <w:rFonts w:ascii="宋体" w:hAnsi="宋体" w:cs="宋体"/>
          <w:bCs/>
          <w:color w:val="auto"/>
          <w:sz w:val="21"/>
          <w:szCs w:val="21"/>
          <w:highlight w:val="none"/>
          <w:lang w:bidi="en-US"/>
        </w:rPr>
      </w:pPr>
      <w:r>
        <w:rPr>
          <w:rFonts w:hint="eastAsia" w:ascii="宋体" w:hAnsi="宋体" w:cs="宋体"/>
          <w:bCs/>
          <w:color w:val="auto"/>
          <w:sz w:val="21"/>
          <w:szCs w:val="21"/>
          <w:highlight w:val="none"/>
          <w:lang w:bidi="en-US"/>
        </w:rPr>
        <w:t xml:space="preserve">2、履约验收时间：项目结束进行验收，验收前甲方向乙方发出《政府采购履约验收通知单》，验收完成后形成《政府采购履约验收书》。</w:t>
      </w:r>
      <w:r/>
    </w:p>
    <w:p>
      <w:pPr>
        <w:contextualSpacing/>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lang w:bidi="en-US"/>
        </w:rPr>
        <w:t xml:space="preserve">3、履约验收的内容及标准：按采购文件要求及相关法律法规及行业标准进行验收。</w:t>
      </w:r>
      <w:r/>
    </w:p>
    <w:p>
      <w:pPr>
        <w:ind w:firstLine="422"/>
        <w:keepLines/>
        <w:keepNext/>
        <w:spacing w:line="360" w:lineRule="auto"/>
        <w:rPr>
          <w:rFonts w:ascii="宋体" w:hAnsi="宋体" w:cs="宋体"/>
          <w:b/>
          <w:bCs/>
          <w:color w:val="auto"/>
          <w:sz w:val="21"/>
          <w:szCs w:val="21"/>
          <w:highlight w:val="none"/>
        </w:rPr>
        <w:outlineLvl w:val="2"/>
      </w:pP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七</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付款方式</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合同签订后支付合同金额的30%；完成五年评估初步成果支付合同金额的20%，完成五年评估成果支付合同金额的20%；完成城市重要控制线统筹优化专项研究初步成果支付合同金额的15%，完成城市重要控制线统筹优化专项研究成果支付合同金额的15%。</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每次支付前，乙方应向甲方出具与应付款金额同等的发票，否则甲方有权拒绝支付并不承担违约责任，且乙方不得中止、延迟、终止履行本协议</w:t>
      </w:r>
      <w:r/>
    </w:p>
    <w:p>
      <w:pPr>
        <w:ind w:firstLine="422"/>
        <w:keepLines/>
        <w:keepNext/>
        <w:spacing w:line="360" w:lineRule="auto"/>
        <w:rPr>
          <w:rFonts w:ascii="宋体" w:hAnsi="宋体" w:cs="宋体"/>
          <w:b/>
          <w:bCs/>
          <w:color w:val="auto"/>
          <w:sz w:val="21"/>
          <w:szCs w:val="21"/>
          <w:highlight w:val="none"/>
          <w:lang w:val="zh-CN"/>
        </w:rPr>
        <w:outlineLvl w:val="2"/>
      </w:pPr>
      <w:r>
        <w:rPr>
          <w:rFonts w:hint="eastAsia" w:ascii="宋体" w:hAnsi="宋体" w:cs="宋体"/>
          <w:b/>
          <w:bCs/>
          <w:color w:val="auto"/>
          <w:sz w:val="21"/>
          <w:szCs w:val="21"/>
          <w:highlight w:val="none"/>
        </w:rPr>
        <w:t xml:space="preserve">采购包2：太仓市城市中心区控规动态维护及城市更新策略研究年度服务（2026年度）</w:t>
      </w:r>
      <w:r/>
    </w:p>
    <w:p>
      <w:pPr>
        <w:ind w:firstLine="422"/>
        <w:keepLines/>
        <w:keepNext/>
        <w:spacing w:line="360" w:lineRule="auto"/>
        <w:rPr>
          <w:rFonts w:hint="default" w:ascii="宋体" w:hAnsi="宋体" w:eastAsia="宋体" w:cs="宋体"/>
          <w:b/>
          <w:bCs/>
          <w:color w:val="auto"/>
          <w:sz w:val="21"/>
          <w:szCs w:val="21"/>
          <w:highlight w:val="none"/>
          <w:lang w:val="en-US" w:eastAsia="zh-CN"/>
        </w:rPr>
        <w:outlineLvl w:val="2"/>
      </w:pPr>
      <w:r>
        <w:rPr>
          <w:rFonts w:hint="eastAsia" w:ascii="宋体" w:hAnsi="宋体" w:cs="宋体"/>
          <w:b/>
          <w:bCs/>
          <w:color w:val="auto"/>
          <w:sz w:val="21"/>
          <w:szCs w:val="21"/>
          <w:highlight w:val="none"/>
        </w:rPr>
        <w:t xml:space="preserve">（一）</w:t>
      </w:r>
      <w:r>
        <w:rPr>
          <w:rFonts w:hint="eastAsia" w:ascii="宋体" w:hAnsi="宋体" w:cs="宋体"/>
          <w:b/>
          <w:bCs/>
          <w:color w:val="auto"/>
          <w:sz w:val="21"/>
          <w:szCs w:val="21"/>
          <w:highlight w:val="none"/>
          <w:lang w:val="en-US" w:eastAsia="zh-CN"/>
        </w:rPr>
        <w:t xml:space="preserve">采购清单</w:t>
      </w:r>
      <w:r/>
    </w:p>
    <w:tbl>
      <w:tblPr>
        <w:tblStyle w:val="771"/>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2381"/>
        <w:gridCol w:w="1971"/>
        <w:gridCol w:w="1518"/>
        <w:gridCol w:w="2424"/>
      </w:tblGrid>
      <w:tr>
        <w:trPr>
          <w:jc w:val="center"/>
        </w:trPr>
        <w:tc>
          <w:tcPr>
            <w:tcW w:w="88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序号</w:t>
            </w:r>
            <w:r/>
          </w:p>
        </w:tc>
        <w:tc>
          <w:tcPr>
            <w:tcW w:w="2381"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项目</w:t>
            </w:r>
            <w:r/>
          </w:p>
        </w:tc>
        <w:tc>
          <w:tcPr>
            <w:tcW w:w="1971"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单位</w:t>
            </w:r>
            <w:r/>
          </w:p>
        </w:tc>
        <w:tc>
          <w:tcPr>
            <w:tcW w:w="1518"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数量</w:t>
            </w:r>
            <w:r/>
          </w:p>
        </w:tc>
        <w:tc>
          <w:tcPr>
            <w:tcW w:w="2424"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单价最高限价</w:t>
            </w:r>
            <w:r/>
          </w:p>
        </w:tc>
      </w:tr>
      <w:tr>
        <w:trPr>
          <w:jc w:val="center"/>
        </w:trPr>
        <w:tc>
          <w:tcPr>
            <w:tcW w:w="88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w:t>
            </w:r>
            <w:r/>
          </w:p>
        </w:tc>
        <w:tc>
          <w:tcPr>
            <w:tcW w:w="2381" w:type="dxa"/>
            <w:vAlign w:val="center"/>
            <w:textDirection w:val="lrTb"/>
            <w:noWrap w:val="false"/>
          </w:tcPr>
          <w:p>
            <w:pPr>
              <w:jc w:val="center"/>
              <w:spacing w:line="360" w:lineRule="auto"/>
              <w:widowControl w:val="off"/>
              <w:rPr>
                <w:rFonts w:hint="eastAsia" w:ascii="宋体" w:hAnsi="宋体" w:cs="宋体"/>
                <w:color w:val="auto"/>
                <w:sz w:val="21"/>
                <w:szCs w:val="21"/>
                <w:highlight w:val="none"/>
                <w:vertAlign w:val="baseline"/>
              </w:rPr>
            </w:pPr>
            <w:r>
              <w:rPr>
                <w:rFonts w:hint="eastAsia" w:ascii="宋体" w:hAnsi="宋体" w:cs="宋体"/>
                <w:color w:val="auto"/>
                <w:sz w:val="21"/>
                <w:szCs w:val="21"/>
                <w:highlight w:val="none"/>
              </w:rPr>
              <w:t xml:space="preserve">城市中心区控规动态更新</w:t>
            </w:r>
            <w:r/>
          </w:p>
        </w:tc>
        <w:tc>
          <w:tcPr>
            <w:tcW w:w="1971"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cs="宋体"/>
                <w:color w:val="auto"/>
                <w:sz w:val="21"/>
                <w:szCs w:val="21"/>
                <w:highlight w:val="none"/>
                <w:lang w:val="en-US" w:eastAsia="zh-CN"/>
              </w:rPr>
              <w:t xml:space="preserve">公顷</w:t>
            </w:r>
            <w:r/>
          </w:p>
        </w:tc>
        <w:tc>
          <w:tcPr>
            <w:tcW w:w="1518"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w:t>
            </w:r>
            <w:r/>
          </w:p>
        </w:tc>
        <w:tc>
          <w:tcPr>
            <w:tcW w:w="2424"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2500元/公顷</w:t>
            </w:r>
            <w:r/>
          </w:p>
        </w:tc>
      </w:tr>
      <w:tr>
        <w:trPr>
          <w:jc w:val="center"/>
        </w:trPr>
        <w:tc>
          <w:tcPr>
            <w:tcW w:w="88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2</w:t>
            </w:r>
            <w:r/>
          </w:p>
        </w:tc>
        <w:tc>
          <w:tcPr>
            <w:tcW w:w="2381" w:type="dxa"/>
            <w:vAlign w:val="center"/>
            <w:textDirection w:val="lrTb"/>
            <w:noWrap w:val="false"/>
          </w:tcPr>
          <w:p>
            <w:pPr>
              <w:jc w:val="center"/>
              <w:spacing w:line="360" w:lineRule="auto"/>
              <w:widowControl w:val="off"/>
              <w:rPr>
                <w:rFonts w:hint="eastAsia" w:ascii="宋体" w:hAnsi="宋体" w:cs="宋体"/>
                <w:color w:val="auto"/>
                <w:sz w:val="21"/>
                <w:szCs w:val="21"/>
                <w:highlight w:val="none"/>
                <w:vertAlign w:val="baseline"/>
              </w:rPr>
            </w:pPr>
            <w:r>
              <w:rPr>
                <w:rFonts w:hint="eastAsia" w:ascii="宋体" w:hAnsi="宋体" w:cs="宋体"/>
                <w:color w:val="auto"/>
                <w:sz w:val="21"/>
                <w:szCs w:val="21"/>
                <w:highlight w:val="none"/>
              </w:rPr>
              <w:t xml:space="preserve">太仓相关规划及城市更新咨询和研究服务</w:t>
            </w:r>
            <w:r/>
          </w:p>
        </w:tc>
        <w:tc>
          <w:tcPr>
            <w:tcW w:w="1971"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cs="宋体"/>
                <w:color w:val="auto"/>
                <w:sz w:val="21"/>
                <w:szCs w:val="21"/>
                <w:highlight w:val="none"/>
                <w:lang w:val="en-US" w:eastAsia="zh-CN"/>
              </w:rPr>
              <w:t xml:space="preserve">公顷</w:t>
            </w:r>
            <w:r/>
          </w:p>
        </w:tc>
        <w:tc>
          <w:tcPr>
            <w:tcW w:w="1518"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w:t>
            </w:r>
            <w:r/>
          </w:p>
        </w:tc>
        <w:tc>
          <w:tcPr>
            <w:tcW w:w="2424"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4000元/公顷</w:t>
            </w:r>
            <w:r/>
          </w:p>
        </w:tc>
      </w:tr>
      <w:tr>
        <w:trPr>
          <w:jc w:val="center"/>
        </w:trPr>
        <w:tc>
          <w:tcPr>
            <w:tcW w:w="88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3</w:t>
            </w:r>
            <w:r/>
          </w:p>
        </w:tc>
        <w:tc>
          <w:tcPr>
            <w:tcW w:w="2381" w:type="dxa"/>
            <w:vAlign w:val="center"/>
            <w:textDirection w:val="lrTb"/>
            <w:noWrap w:val="false"/>
          </w:tcPr>
          <w:p>
            <w:pPr>
              <w:jc w:val="center"/>
              <w:spacing w:line="360" w:lineRule="auto"/>
              <w:widowControl w:val="off"/>
              <w:rPr>
                <w:rFonts w:hint="eastAsia" w:ascii="宋体" w:hAnsi="宋体" w:cs="宋体"/>
                <w:color w:val="auto"/>
                <w:sz w:val="21"/>
                <w:szCs w:val="21"/>
                <w:highlight w:val="none"/>
                <w:vertAlign w:val="baseline"/>
              </w:rPr>
            </w:pPr>
            <w:r>
              <w:rPr>
                <w:rFonts w:hint="eastAsia" w:ascii="宋体" w:hAnsi="宋体" w:cs="宋体"/>
                <w:color w:val="auto"/>
                <w:sz w:val="21"/>
                <w:szCs w:val="21"/>
                <w:highlight w:val="none"/>
              </w:rPr>
              <w:t xml:space="preserve">规划相关知识培训等技术咨询服务</w:t>
            </w:r>
            <w:r/>
          </w:p>
        </w:tc>
        <w:tc>
          <w:tcPr>
            <w:tcW w:w="1971"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cs="宋体"/>
                <w:color w:val="auto"/>
                <w:sz w:val="21"/>
                <w:szCs w:val="21"/>
                <w:highlight w:val="none"/>
                <w:lang w:val="en-US" w:eastAsia="zh-CN"/>
              </w:rPr>
              <w:t xml:space="preserve">次</w:t>
            </w:r>
            <w:r/>
          </w:p>
        </w:tc>
        <w:tc>
          <w:tcPr>
            <w:tcW w:w="1518"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w:t>
            </w:r>
            <w:r/>
          </w:p>
        </w:tc>
        <w:tc>
          <w:tcPr>
            <w:tcW w:w="2424"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lang w:val="en-US" w:eastAsia="zh-CN"/>
              </w:rPr>
              <w:t xml:space="preserve">按照</w:t>
            </w:r>
            <w:r>
              <w:rPr>
                <w:rFonts w:hint="eastAsia" w:ascii="宋体" w:hAnsi="宋体" w:cs="宋体"/>
                <w:color w:val="auto"/>
                <w:sz w:val="21"/>
                <w:szCs w:val="21"/>
                <w:highlight w:val="none"/>
              </w:rPr>
              <w:t xml:space="preserve">《城乡规划设计计费指导意见》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2017修订版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17.1收费标准的80%为最高限价</w:t>
            </w:r>
            <w:r/>
          </w:p>
        </w:tc>
      </w:tr>
    </w:tbl>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注：（1）</w:t>
      </w:r>
      <w:r>
        <w:rPr>
          <w:rFonts w:hint="eastAsia" w:ascii="宋体" w:hAnsi="宋体" w:eastAsia="宋体" w:cs="宋体"/>
          <w:color w:val="auto"/>
          <w:sz w:val="21"/>
          <w:szCs w:val="21"/>
          <w:highlight w:val="none"/>
        </w:rPr>
        <w:t xml:space="preserve">以上项目内容，以服务期间甲方发布给乙方的具体工作为准，合计总价按实结算，不超过采购包总价。</w:t>
      </w:r>
      <w:r/>
    </w:p>
    <w:p>
      <w:pPr>
        <w:ind w:firstLine="420"/>
        <w:jc w:val="both"/>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规划相关知识培训等技术咨询服务</w:t>
      </w:r>
      <w:r>
        <w:rPr>
          <w:rFonts w:hint="eastAsia" w:ascii="宋体" w:hAnsi="宋体" w:eastAsia="宋体" w:cs="宋体"/>
          <w:color w:val="auto"/>
          <w:sz w:val="21"/>
          <w:szCs w:val="21"/>
          <w:highlight w:val="none"/>
          <w:lang w:val="en-US" w:eastAsia="zh-CN"/>
        </w:rPr>
        <w:t xml:space="preserve">最终结算价格=</w:t>
      </w:r>
      <w:r>
        <w:rPr>
          <w:rFonts w:hint="eastAsia" w:ascii="宋体" w:hAnsi="宋体" w:eastAsia="宋体" w:cs="宋体"/>
          <w:color w:val="auto"/>
          <w:sz w:val="21"/>
          <w:szCs w:val="21"/>
          <w:highlight w:val="none"/>
        </w:rPr>
        <w:t xml:space="preserve">《城乡规划设计计费指导意见》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2017修订版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17.1收费标准*0.8*（1-中标优惠率）</w:t>
      </w:r>
      <w:r/>
    </w:p>
    <w:p>
      <w:pPr>
        <w:ind w:firstLine="420"/>
        <w:jc w:val="both"/>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具体要求</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1、城市中心区控规动态更新；</w:t>
      </w:r>
      <w:r/>
    </w:p>
    <w:p>
      <w:pPr>
        <w:ind w:firstLine="420"/>
        <w:jc w:val="left"/>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因法律、政策、城市中心区建设要求、国土空间总体规划变化等原因，对城市中心区控规进行动态更新，动态更新</w:t>
      </w:r>
      <w:r>
        <w:rPr>
          <w:rFonts w:hint="eastAsia" w:ascii="宋体" w:hAnsi="宋体" w:eastAsia="宋体" w:cs="宋体"/>
          <w:color w:val="auto"/>
          <w:sz w:val="21"/>
          <w:szCs w:val="21"/>
          <w:highlight w:val="none"/>
          <w:lang w:val="en-US" w:eastAsia="zh-CN"/>
        </w:rPr>
        <w:t xml:space="preserve">成果要在单元、街区、地块全层次中体现，并纳入图纸、图则及文本。</w:t>
      </w:r>
      <w:r/>
    </w:p>
    <w:p>
      <w:pPr>
        <w:numPr>
          <w:ilvl w:val="0"/>
          <w:numId w:val="5"/>
        </w:num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太仓相关规划及城市更新咨询和研究服务。</w:t>
      </w:r>
      <w:r/>
    </w:p>
    <w:p>
      <w:pPr>
        <w:ind w:firstLine="420"/>
        <w:spacing w:line="360" w:lineRule="auto"/>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lang w:val="en-US" w:eastAsia="zh-CN"/>
        </w:rPr>
        <w:t xml:space="preserve">针对规划建设项目、</w:t>
      </w:r>
      <w:r>
        <w:rPr>
          <w:rFonts w:hint="eastAsia" w:ascii="宋体" w:hAnsi="宋体" w:eastAsia="宋体" w:cs="宋体"/>
          <w:color w:val="auto"/>
          <w:sz w:val="21"/>
          <w:szCs w:val="21"/>
          <w:highlight w:val="none"/>
        </w:rPr>
        <w:t xml:space="preserve">城市更新</w:t>
      </w:r>
      <w:r>
        <w:rPr>
          <w:rFonts w:hint="eastAsia" w:ascii="宋体" w:hAnsi="宋体" w:eastAsia="宋体" w:cs="宋体"/>
          <w:color w:val="auto"/>
          <w:sz w:val="21"/>
          <w:szCs w:val="21"/>
          <w:highlight w:val="none"/>
          <w:lang w:val="en-US" w:eastAsia="zh-CN"/>
        </w:rPr>
        <w:t xml:space="preserve">项目的咨询和研究，提出专业技术意见。</w:t>
      </w:r>
      <w:r/>
    </w:p>
    <w:p>
      <w:pPr>
        <w:numPr>
          <w:ilvl w:val="0"/>
          <w:numId w:val="5"/>
        </w:num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规划相关知识培训等技术咨询服务；</w:t>
      </w:r>
      <w:r/>
    </w:p>
    <w:p>
      <w:pPr>
        <w:pStyle w:val="747"/>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w:t>
      </w:r>
      <w:r>
        <w:rPr>
          <w:rFonts w:hint="eastAsia" w:ascii="宋体" w:hAnsi="宋体" w:eastAsia="宋体" w:cs="宋体"/>
          <w:color w:val="auto"/>
          <w:spacing w:val="0"/>
          <w:sz w:val="21"/>
          <w:szCs w:val="21"/>
          <w:highlight w:val="none"/>
        </w:rPr>
        <w:t xml:space="preserve">专题考察</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专题培训</w:t>
      </w:r>
      <w:r>
        <w:rPr>
          <w:rFonts w:hint="eastAsia" w:ascii="宋体" w:hAnsi="宋体" w:eastAsia="宋体" w:cs="宋体"/>
          <w:strike w:val="0"/>
          <w:color w:val="auto"/>
          <w:sz w:val="21"/>
          <w:szCs w:val="21"/>
          <w:highlight w:val="none"/>
        </w:rPr>
        <w:t xml:space="preserve">。</w:t>
      </w:r>
      <w:r/>
    </w:p>
    <w:p>
      <w:pPr>
        <w:ind w:firstLine="422"/>
        <w:spacing w:line="360" w:lineRule="auto"/>
        <w:rPr>
          <w:rFonts w:ascii="宋体" w:hAnsi="宋体" w:cs="宋体"/>
          <w:b/>
          <w:bCs/>
          <w:color w:val="auto"/>
          <w:sz w:val="21"/>
          <w:szCs w:val="21"/>
          <w:highlight w:val="none"/>
          <w:lang w:val="zh-CN"/>
        </w:rPr>
      </w:pPr>
      <w:r/>
      <w:bookmarkStart w:id="11" w:name="_Toc12367"/>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lang w:val="zh-CN"/>
        </w:rPr>
        <w:t xml:space="preserve">）成果要求</w:t>
      </w:r>
      <w:r/>
    </w:p>
    <w:p>
      <w:pPr>
        <w:ind w:firstLine="420"/>
        <w:spacing w:line="360" w:lineRule="auto"/>
        <w:tabs>
          <w:tab w:val="left" w:pos="2160" w:leader="none"/>
        </w:tabs>
        <w:rPr>
          <w:rFonts w:ascii="宋体" w:hAnsi="宋体" w:cs="宋体"/>
          <w:color w:val="auto"/>
          <w:sz w:val="21"/>
          <w:szCs w:val="21"/>
          <w:highlight w:val="none"/>
          <w:lang w:val="zh-CN"/>
        </w:rPr>
      </w:pPr>
      <w:r>
        <w:rPr>
          <w:rFonts w:ascii="宋体" w:hAnsi="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、城市中心区控规动态</w:t>
      </w:r>
      <w:r>
        <w:rPr>
          <w:rFonts w:hint="eastAsia" w:ascii="宋体" w:hAnsi="宋体" w:cs="宋体"/>
          <w:color w:val="auto"/>
          <w:sz w:val="21"/>
          <w:szCs w:val="21"/>
          <w:highlight w:val="none"/>
        </w:rPr>
        <w:t xml:space="preserve">更新</w:t>
      </w:r>
      <w:r/>
    </w:p>
    <w:p>
      <w:pPr>
        <w:ind w:firstLine="420"/>
        <w:spacing w:line="360" w:lineRule="auto"/>
        <w:tabs>
          <w:tab w:val="left" w:pos="216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成果满足：1、《中华人民共和国城</w:t>
      </w:r>
      <w:r>
        <w:rPr>
          <w:rFonts w:hint="eastAsia" w:ascii="宋体" w:hAnsi="宋体" w:cs="宋体"/>
          <w:color w:val="auto"/>
          <w:sz w:val="21"/>
          <w:szCs w:val="21"/>
          <w:highlight w:val="none"/>
          <w:lang w:val="en-US" w:eastAsia="zh-CN"/>
        </w:rPr>
        <w:t xml:space="preserve">乡规划法》（2019年修正）；2、《江苏省城乡规划条例》（2019年修正）；3、《苏州市城乡规划条例》（2011年）；4、《国土空间调查、规划、用途管制用地用海分类指南》（2020年11月）；5、《城市居住区规划设计标准》（GB50180-2018）；6、《城市、镇控制性详细规划编制审批办法》（2011年）；7、《江苏省城市规划管理技术规定》（2025年版）；8、《江苏省控制性详细规划编制导则》（2012年修订）；9、《太仓市国土空间总体规划（2021-2035年）》：10、其它国家、省、市相关规范和标准。</w:t>
      </w:r>
      <w:r/>
    </w:p>
    <w:p>
      <w:pPr>
        <w:ind w:firstLine="420"/>
        <w:spacing w:line="360" w:lineRule="auto"/>
        <w:tabs>
          <w:tab w:val="left" w:pos="216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乙方向甲方提供满足《</w:t>
      </w:r>
      <w:r>
        <w:rPr>
          <w:rFonts w:hint="eastAsia" w:ascii="宋体" w:hAnsi="宋体" w:cs="宋体"/>
          <w:color w:val="auto"/>
          <w:sz w:val="21"/>
          <w:szCs w:val="21"/>
          <w:highlight w:val="none"/>
        </w:rPr>
        <w:t xml:space="preserve">城镇开发边界内详细规划数据库规范</w:t>
      </w:r>
      <w:r>
        <w:rPr>
          <w:rFonts w:hint="eastAsia" w:ascii="宋体" w:hAnsi="宋体" w:cs="宋体"/>
          <w:color w:val="auto"/>
          <w:sz w:val="21"/>
          <w:szCs w:val="21"/>
          <w:highlight w:val="none"/>
          <w:lang w:val="en-US" w:eastAsia="zh-CN"/>
        </w:rPr>
        <w:t xml:space="preserve">》的汇交成果</w:t>
      </w:r>
      <w:r>
        <w:rPr>
          <w:rFonts w:hint="eastAsia" w:ascii="宋体" w:hAnsi="宋体" w:cs="宋体"/>
          <w:color w:val="auto"/>
          <w:sz w:val="21"/>
          <w:szCs w:val="21"/>
          <w:highlight w:val="none"/>
          <w:lang w:val="zh-CN"/>
        </w:rPr>
        <w:t xml:space="preserve">。</w:t>
      </w:r>
      <w:r/>
    </w:p>
    <w:p>
      <w:pPr>
        <w:numPr>
          <w:ilvl w:val="0"/>
          <w:numId w:val="6"/>
        </w:numPr>
        <w:ind w:firstLine="420"/>
        <w:spacing w:line="360" w:lineRule="auto"/>
        <w:tabs>
          <w:tab w:val="left" w:pos="2160" w:leader="none"/>
        </w:tabs>
        <w:rPr>
          <w:rFonts w:hint="default" w:ascii="宋体" w:hAnsi="宋体" w:cs="宋体"/>
          <w:color w:val="auto"/>
          <w:sz w:val="21"/>
          <w:szCs w:val="21"/>
          <w:highlight w:val="none"/>
          <w:lang w:val="zh-CN"/>
        </w:rPr>
      </w:pPr>
      <w:r>
        <w:rPr>
          <w:rFonts w:hint="default" w:ascii="宋体" w:hAnsi="宋体" w:cs="宋体"/>
          <w:color w:val="auto"/>
          <w:sz w:val="21"/>
          <w:szCs w:val="21"/>
          <w:highlight w:val="none"/>
          <w:lang w:val="zh-CN"/>
        </w:rPr>
        <w:t xml:space="preserve">太仓相关规划及城市更新咨询和研究服务</w:t>
      </w:r>
      <w:r/>
    </w:p>
    <w:p>
      <w:pPr>
        <w:pStyle w:val="747"/>
        <w:numPr>
          <w:ilvl w:val="-1"/>
          <w:numId w:val="0"/>
        </w:numPr>
        <w:rPr>
          <w:rFonts w:hint="eastAsia"/>
          <w:color w:val="auto"/>
          <w:highlight w:val="none"/>
          <w:lang w:val="zh-CN"/>
        </w:rPr>
      </w:pPr>
      <w:r>
        <w:rPr>
          <w:rFonts w:hint="eastAsia"/>
          <w:color w:val="auto"/>
          <w:highlight w:val="none"/>
          <w:lang w:val="zh-CN"/>
        </w:rPr>
        <w:t xml:space="preserve">成果包含但不限于技术图纸、汇编材料，研究报告，解读PPT等。</w:t>
      </w:r>
      <w:r/>
    </w:p>
    <w:p>
      <w:pPr>
        <w:ind w:firstLine="420"/>
        <w:spacing w:line="360" w:lineRule="auto"/>
        <w:tabs>
          <w:tab w:val="left" w:pos="216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规划相关知识培训等技术咨询</w:t>
      </w:r>
      <w:r/>
    </w:p>
    <w:p>
      <w:pPr>
        <w:ind w:firstLine="420"/>
        <w:jc w:val="both"/>
        <w:spacing w:line="360" w:lineRule="auto"/>
        <w:widowControl w:val="off"/>
        <w:tabs>
          <w:tab w:val="left" w:pos="2160" w:leader="none"/>
        </w:tabs>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根据</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lang w:val="zh-CN"/>
        </w:rPr>
        <w:t xml:space="preserve">选题，</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lang w:val="zh-CN"/>
        </w:rPr>
        <w:t xml:space="preserve">选定考察或培训主题</w:t>
      </w:r>
      <w:r>
        <w:rPr>
          <w:rFonts w:hint="eastAsia" w:ascii="宋体" w:hAnsi="宋体" w:cs="宋体"/>
          <w:color w:val="auto"/>
          <w:sz w:val="21"/>
          <w:szCs w:val="21"/>
          <w:highlight w:val="none"/>
          <w:lang w:val="en-US" w:eastAsia="zh-CN"/>
        </w:rPr>
        <w:t xml:space="preserve">和具体内容，</w:t>
      </w:r>
      <w:r>
        <w:rPr>
          <w:rFonts w:hint="eastAsia" w:ascii="宋体" w:hAnsi="宋体" w:cs="宋体"/>
          <w:color w:val="auto"/>
          <w:sz w:val="21"/>
          <w:szCs w:val="21"/>
          <w:highlight w:val="none"/>
          <w:lang w:val="zh-CN"/>
        </w:rPr>
        <w:t xml:space="preserve">做好组织工作，</w:t>
      </w:r>
      <w:r>
        <w:rPr>
          <w:rFonts w:hint="eastAsia" w:ascii="宋体" w:hAnsi="宋体" w:cs="宋体"/>
          <w:color w:val="auto"/>
          <w:sz w:val="21"/>
          <w:szCs w:val="21"/>
          <w:highlight w:val="none"/>
          <w:lang w:val="en-US" w:eastAsia="zh-CN"/>
        </w:rPr>
        <w:t xml:space="preserve">并编制</w:t>
      </w:r>
      <w:r>
        <w:rPr>
          <w:rFonts w:hint="eastAsia" w:ascii="宋体" w:hAnsi="宋体" w:cs="宋体"/>
          <w:color w:val="auto"/>
          <w:sz w:val="21"/>
          <w:szCs w:val="21"/>
          <w:highlight w:val="none"/>
          <w:lang w:val="zh-CN"/>
        </w:rPr>
        <w:t xml:space="preserve">报告、</w:t>
      </w:r>
      <w:r>
        <w:rPr>
          <w:rFonts w:hint="eastAsia" w:ascii="宋体" w:hAnsi="宋体" w:cs="宋体"/>
          <w:color w:val="auto"/>
          <w:sz w:val="21"/>
          <w:szCs w:val="21"/>
          <w:highlight w:val="none"/>
          <w:lang w:val="en-US" w:eastAsia="zh-CN"/>
        </w:rPr>
        <w:t xml:space="preserve">制作课件等</w:t>
      </w:r>
      <w:r>
        <w:rPr>
          <w:rFonts w:hint="eastAsia" w:ascii="宋体" w:hAnsi="宋体" w:cs="宋体"/>
          <w:color w:val="auto"/>
          <w:sz w:val="21"/>
          <w:szCs w:val="21"/>
          <w:highlight w:val="none"/>
          <w:lang w:val="zh-CN"/>
        </w:rPr>
        <w:t xml:space="preserve">。</w:t>
      </w:r>
      <w:r/>
    </w:p>
    <w:p>
      <w:pPr>
        <w:ind w:firstLine="422"/>
        <w:keepLines/>
        <w:keepNext/>
        <w:spacing w:line="360" w:lineRule="auto"/>
        <w:rPr>
          <w:rFonts w:ascii="宋体" w:hAnsi="宋体" w:cs="宋体"/>
          <w:b/>
          <w:bCs/>
          <w:color w:val="auto"/>
          <w:sz w:val="21"/>
          <w:szCs w:val="21"/>
          <w:highlight w:val="none"/>
        </w:rPr>
        <w:outlineLvl w:val="3"/>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rPr>
        <w:t xml:space="preserve">）组织管理要求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项目架构及人员要求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中标人应成立项目部，并明确项目负责人、协调项目的开展，解决工作中有关重大问题。项目组人员不得少于6人。在项目建设过程中不得随意更换项目负责人，必需变更时，应先征得采购人同意。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项目负责人：不少于1人，项目负责人是项目的核心管理者，须具有丰富的项目管理经验，负责整体规划、团队协调、进度控制、资源分配、信息安全保密和风险管理等。能确保项目按时完成，并满足质量要求，同时与各方保持有效沟通，推动项目成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（2）项目组成员：不少于</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人，项目组成员应具有和本项目相关的专业知识及工作经验，了解相关法律法规，并经过专业培训。</w:t>
      </w:r>
      <w:r/>
    </w:p>
    <w:p>
      <w:pPr>
        <w:ind w:firstLine="422"/>
        <w:spacing w:line="360" w:lineRule="auto"/>
        <w:tabs>
          <w:tab w:val="left" w:pos="216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）技术方案要求</w:t>
      </w:r>
      <w:r/>
    </w:p>
    <w:p>
      <w:pPr>
        <w:ind w:firstLine="420"/>
        <w:spacing w:line="360" w:lineRule="auto"/>
        <w:tabs>
          <w:tab w:val="left" w:pos="216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针对本项目，投标人需提供以下相关技术方案内容：</w:t>
      </w:r>
      <w:r>
        <w:rPr>
          <w:rFonts w:hint="eastAsia" w:ascii="宋体" w:hAnsi="宋体" w:cs="宋体"/>
          <w:color w:val="auto"/>
          <w:sz w:val="21"/>
          <w:szCs w:val="21"/>
          <w:highlight w:val="none"/>
          <w:lang w:val="zh-CN"/>
        </w:rPr>
        <w:t xml:space="preserve">项目认知、规划解读、项目重点与技术路线、工作组织和进度安排</w:t>
      </w:r>
      <w:r>
        <w:rPr>
          <w:rFonts w:hint="eastAsia" w:ascii="宋体" w:hAnsi="宋体" w:cs="宋体"/>
          <w:color w:val="auto"/>
          <w:sz w:val="21"/>
          <w:szCs w:val="21"/>
          <w:highlight w:val="none"/>
        </w:rPr>
        <w:t xml:space="preserve">等。</w:t>
      </w:r>
      <w:r/>
    </w:p>
    <w:p>
      <w:pPr>
        <w:ind w:firstLine="420"/>
        <w:spacing w:line="360" w:lineRule="auto"/>
        <w:tabs>
          <w:tab w:val="left" w:pos="216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项目认知，</w:t>
      </w:r>
      <w:r>
        <w:rPr>
          <w:rFonts w:hint="eastAsia" w:ascii="宋体" w:hAnsi="宋体" w:cs="宋体"/>
          <w:color w:val="auto"/>
          <w:sz w:val="21"/>
          <w:szCs w:val="21"/>
          <w:highlight w:val="none"/>
        </w:rPr>
        <w:t xml:space="preserve">方案内容包括但不限于：</w:t>
      </w:r>
      <w:r>
        <w:rPr>
          <w:rFonts w:hint="eastAsia" w:ascii="宋体" w:hAnsi="宋体" w:cs="宋体"/>
          <w:color w:val="auto"/>
          <w:sz w:val="21"/>
          <w:szCs w:val="21"/>
          <w:highlight w:val="none"/>
          <w:lang w:val="zh-CN"/>
        </w:rPr>
        <w:tab/>
      </w:r>
      <w:r>
        <w:rPr>
          <w:rFonts w:hint="eastAsia" w:ascii="宋体" w:hAnsi="宋体" w:cs="宋体"/>
          <w:color w:val="auto"/>
          <w:sz w:val="21"/>
          <w:szCs w:val="21"/>
          <w:highlight w:val="none"/>
          <w:lang w:val="zh-CN"/>
        </w:rPr>
        <w:t xml:space="preserve">①编制背景分析、②政策要求理解、③现状综合分析、④相关案例分析。</w:t>
      </w:r>
      <w:r/>
    </w:p>
    <w:p>
      <w:pPr>
        <w:ind w:firstLine="420"/>
        <w:spacing w:line="360" w:lineRule="auto"/>
        <w:tabs>
          <w:tab w:val="left" w:pos="216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规划解读，</w:t>
      </w:r>
      <w:r>
        <w:rPr>
          <w:rFonts w:hint="eastAsia" w:ascii="宋体" w:hAnsi="宋体" w:cs="宋体"/>
          <w:color w:val="auto"/>
          <w:sz w:val="21"/>
          <w:szCs w:val="21"/>
          <w:highlight w:val="none"/>
        </w:rPr>
        <w:t xml:space="preserve">方案内容包括但不限于：</w:t>
      </w:r>
      <w:r>
        <w:rPr>
          <w:rFonts w:hint="eastAsia" w:ascii="宋体" w:hAnsi="宋体" w:cs="宋体"/>
          <w:color w:val="auto"/>
          <w:sz w:val="21"/>
          <w:szCs w:val="21"/>
          <w:highlight w:val="none"/>
          <w:lang w:val="zh-CN"/>
        </w:rPr>
        <w:t xml:space="preserve">①国土空间总体规划解读、②国土空间详细规划解读、③专项规划解读、④其他相关规划解读。</w:t>
      </w:r>
      <w:r/>
    </w:p>
    <w:p>
      <w:pPr>
        <w:ind w:firstLine="420"/>
        <w:spacing w:line="360" w:lineRule="auto"/>
        <w:tabs>
          <w:tab w:val="left" w:pos="216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项目重点与技术路线，</w:t>
      </w:r>
      <w:r>
        <w:rPr>
          <w:rFonts w:hint="eastAsia" w:ascii="宋体" w:hAnsi="宋体" w:cs="宋体"/>
          <w:color w:val="auto"/>
          <w:sz w:val="21"/>
          <w:szCs w:val="21"/>
          <w:highlight w:val="none"/>
        </w:rPr>
        <w:t xml:space="preserve">方案内容包括但不限于：</w:t>
      </w:r>
      <w:r>
        <w:rPr>
          <w:rFonts w:hint="eastAsia" w:ascii="宋体" w:hAnsi="宋体" w:cs="宋体"/>
          <w:color w:val="auto"/>
          <w:sz w:val="21"/>
          <w:szCs w:val="21"/>
          <w:highlight w:val="none"/>
          <w:lang w:val="zh-CN"/>
        </w:rPr>
        <w:t xml:space="preserve">①控规动态维护技术路线、②针对城市发展需求的相关规划研究技术思路、③城市更新研究思路与政策研究建议、④新技术方法应用思路。</w:t>
      </w:r>
      <w:r/>
    </w:p>
    <w:p>
      <w:pPr>
        <w:ind w:firstLine="420"/>
        <w:spacing w:line="360" w:lineRule="auto"/>
        <w:tabs>
          <w:tab w:val="left" w:pos="216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工作组织和进度安排，</w:t>
      </w:r>
      <w:r>
        <w:rPr>
          <w:rFonts w:hint="eastAsia" w:ascii="宋体" w:hAnsi="宋体" w:cs="宋体"/>
          <w:color w:val="auto"/>
          <w:sz w:val="21"/>
          <w:szCs w:val="21"/>
          <w:highlight w:val="none"/>
        </w:rPr>
        <w:t xml:space="preserve">方案内容包括但不限于：</w:t>
      </w:r>
      <w:r>
        <w:rPr>
          <w:rFonts w:hint="eastAsia" w:ascii="宋体" w:hAnsi="宋体" w:cs="宋体"/>
          <w:color w:val="auto"/>
          <w:sz w:val="21"/>
          <w:szCs w:val="21"/>
          <w:highlight w:val="none"/>
          <w:lang w:val="zh-CN"/>
        </w:rPr>
        <w:t xml:space="preserve">①工作组织、②设计进度安排、③质量保障措施、④服务承诺。</w:t>
      </w:r>
      <w:r/>
    </w:p>
    <w:p>
      <w:pPr>
        <w:ind w:firstLine="422"/>
        <w:keepLines/>
        <w:keepNext/>
        <w:spacing w:line="360" w:lineRule="auto"/>
        <w:rPr>
          <w:rFonts w:ascii="宋体" w:hAnsi="宋体" w:cs="宋体"/>
          <w:b/>
          <w:bCs/>
          <w:color w:val="auto"/>
          <w:sz w:val="21"/>
          <w:szCs w:val="21"/>
          <w:highlight w:val="none"/>
        </w:rPr>
        <w:outlineLvl w:val="3"/>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rPr>
        <w:t xml:space="preserve">）投标报价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报价方式：</w:t>
      </w:r>
      <w:r>
        <w:rPr>
          <w:rFonts w:hint="eastAsia" w:ascii="宋体" w:hAnsi="宋体" w:cs="宋体"/>
          <w:color w:val="auto"/>
          <w:sz w:val="21"/>
          <w:szCs w:val="21"/>
          <w:highlight w:val="none"/>
          <w:lang w:val="en-US" w:eastAsia="zh-CN"/>
        </w:rPr>
        <w:t xml:space="preserve">优惠率报价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按实结算，最总结算单价=单价最高限价*（1-中标优惠率）</w:t>
      </w:r>
      <w:r>
        <w:rPr>
          <w:rFonts w:hint="eastAsia" w:ascii="宋体" w:hAnsi="宋体" w:cs="宋体"/>
          <w:color w:val="auto"/>
          <w:sz w:val="21"/>
          <w:szCs w:val="21"/>
          <w:highlight w:val="none"/>
        </w:rPr>
        <w:t xml:space="preserve">投标报价应包括完成本项工作所需的一切费用，包括但不限于提供完整的方案编制及后续服务所需的勘测费、调查费、劳务费、咨询费、会务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2"/>
        <w:keepLines/>
        <w:keepNext/>
        <w:spacing w:line="360" w:lineRule="auto"/>
        <w:rPr>
          <w:rFonts w:ascii="宋体" w:hAnsi="宋体" w:cs="宋体"/>
          <w:b/>
          <w:bCs/>
          <w:color w:val="auto"/>
          <w:sz w:val="21"/>
          <w:szCs w:val="21"/>
          <w:highlight w:val="none"/>
        </w:rPr>
        <w:outlineLvl w:val="2"/>
      </w:pP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lang w:val="en-US" w:eastAsia="zh-CN"/>
        </w:rPr>
        <w:t xml:space="preserve">七</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验收</w:t>
      </w:r>
      <w:r/>
    </w:p>
    <w:p>
      <w:pPr>
        <w:ind w:firstLine="420"/>
        <w:spacing w:line="360" w:lineRule="auto"/>
        <w:rPr>
          <w:rFonts w:ascii="宋体" w:hAnsi="宋体" w:cs="宋体"/>
          <w:bCs/>
          <w:color w:val="auto"/>
          <w:sz w:val="21"/>
          <w:szCs w:val="21"/>
          <w:highlight w:val="none"/>
          <w:lang w:bidi="en-US"/>
        </w:rPr>
      </w:pPr>
      <w:r>
        <w:rPr>
          <w:rFonts w:hint="eastAsia" w:ascii="宋体" w:hAnsi="宋体" w:cs="宋体"/>
          <w:bCs/>
          <w:color w:val="auto"/>
          <w:sz w:val="21"/>
          <w:szCs w:val="21"/>
          <w:highlight w:val="none"/>
          <w:lang w:bidi="en-US"/>
        </w:rPr>
        <w:t xml:space="preserve">1、验收组织方式：本项目由甲方进行验收。</w:t>
      </w:r>
      <w:r/>
    </w:p>
    <w:p>
      <w:pPr>
        <w:ind w:firstLine="420"/>
        <w:spacing w:line="360" w:lineRule="auto"/>
        <w:rPr>
          <w:rFonts w:ascii="宋体" w:hAnsi="宋体" w:cs="宋体"/>
          <w:bCs/>
          <w:color w:val="auto"/>
          <w:sz w:val="21"/>
          <w:szCs w:val="21"/>
          <w:highlight w:val="none"/>
          <w:lang w:bidi="en-US"/>
        </w:rPr>
      </w:pPr>
      <w:r>
        <w:rPr>
          <w:rFonts w:hint="eastAsia" w:ascii="宋体" w:hAnsi="宋体" w:cs="宋体"/>
          <w:bCs/>
          <w:color w:val="auto"/>
          <w:sz w:val="21"/>
          <w:szCs w:val="21"/>
          <w:highlight w:val="none"/>
          <w:lang w:bidi="en-US"/>
        </w:rPr>
        <w:t xml:space="preserve">2、履约验收时间：项目结束进行验收，验收前甲方向乙方发出《政府采购履约验收通知单》，验收完成后形成《政府采购履约验收书》。</w:t>
      </w:r>
      <w:r/>
    </w:p>
    <w:p>
      <w:pPr>
        <w:ind w:firstLine="420"/>
        <w:spacing w:line="360" w:lineRule="auto"/>
        <w:tabs>
          <w:tab w:val="left" w:pos="2160" w:leader="none"/>
        </w:tabs>
        <w:rPr>
          <w:rFonts w:ascii="宋体" w:hAnsi="宋体" w:cs="宋体"/>
          <w:bCs/>
          <w:color w:val="auto"/>
          <w:sz w:val="21"/>
          <w:szCs w:val="21"/>
          <w:highlight w:val="none"/>
        </w:rPr>
      </w:pPr>
      <w:r>
        <w:rPr>
          <w:rFonts w:hint="eastAsia" w:ascii="宋体" w:hAnsi="宋体" w:cs="宋体"/>
          <w:bCs/>
          <w:color w:val="auto"/>
          <w:sz w:val="21"/>
          <w:szCs w:val="21"/>
          <w:highlight w:val="none"/>
          <w:lang w:bidi="en-US"/>
        </w:rPr>
        <w:t xml:space="preserve">3、履约验收的内容及标准：</w:t>
      </w:r>
      <w:r>
        <w:rPr>
          <w:rFonts w:hint="eastAsia" w:ascii="宋体" w:hAnsi="宋体" w:cs="宋体"/>
          <w:bCs/>
          <w:color w:val="auto"/>
          <w:sz w:val="21"/>
          <w:szCs w:val="21"/>
          <w:highlight w:val="none"/>
        </w:rPr>
        <w:t xml:space="preserve">根据招标文件、中标单位的投标文件、双方签订的合同文件及其附件、国家的相关规定；由采购方及相关部门进行验收通过</w:t>
      </w:r>
      <w:r>
        <w:rPr>
          <w:rFonts w:hint="eastAsia" w:ascii="宋体" w:hAnsi="宋体" w:cs="宋体"/>
          <w:bCs/>
          <w:color w:val="auto"/>
          <w:sz w:val="21"/>
          <w:szCs w:val="21"/>
          <w:highlight w:val="none"/>
          <w:lang w:bidi="en-US"/>
        </w:rPr>
        <w:t xml:space="preserve">。</w:t>
      </w:r>
      <w:r>
        <w:rPr>
          <w:rFonts w:hint="eastAsia" w:ascii="宋体" w:hAnsi="宋体" w:cs="宋体"/>
          <w:bCs/>
          <w:color w:val="auto"/>
          <w:sz w:val="21"/>
          <w:szCs w:val="21"/>
          <w:highlight w:val="none"/>
        </w:rPr>
        <w:t xml:space="preserve">项目提交的全部技术成果，必须能通过采购人组织的成果审查，并确保在规定时间内通过上级领导机构组织的最终核查。</w:t>
      </w:r>
      <w:r/>
    </w:p>
    <w:p>
      <w:pPr>
        <w:ind w:firstLine="420"/>
        <w:spacing w:line="360" w:lineRule="auto"/>
        <w:tabs>
          <w:tab w:val="left" w:pos="2160" w:leader="none"/>
        </w:tabs>
        <w:rPr>
          <w:rFonts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4、采购</w:t>
      </w:r>
      <w:r>
        <w:rPr>
          <w:rFonts w:hint="eastAsia" w:ascii="宋体" w:hAnsi="宋体" w:cs="宋体"/>
          <w:bCs/>
          <w:color w:val="auto"/>
          <w:sz w:val="21"/>
          <w:szCs w:val="21"/>
          <w:highlight w:val="none"/>
        </w:rPr>
        <w:t xml:space="preserve">单位有权核查中标单位提供的</w:t>
      </w:r>
      <w:r>
        <w:rPr>
          <w:rFonts w:hint="eastAsia" w:ascii="宋体" w:hAnsi="宋体" w:cs="宋体"/>
          <w:bCs/>
          <w:color w:val="auto"/>
          <w:sz w:val="21"/>
          <w:szCs w:val="21"/>
          <w:highlight w:val="none"/>
          <w:lang w:val="en-US" w:eastAsia="zh-CN"/>
        </w:rPr>
        <w:t xml:space="preserve">投标</w:t>
      </w:r>
      <w:r>
        <w:rPr>
          <w:rFonts w:hint="eastAsia" w:ascii="宋体" w:hAnsi="宋体" w:cs="宋体"/>
          <w:bCs/>
          <w:color w:val="auto"/>
          <w:sz w:val="21"/>
          <w:szCs w:val="21"/>
          <w:highlight w:val="none"/>
        </w:rPr>
        <w:t xml:space="preserve">文件中相关材料的真实性，如若发现有虚假材料一切后果由中标单位承担。</w:t>
      </w:r>
      <w:r/>
    </w:p>
    <w:p>
      <w:pPr>
        <w:ind w:firstLine="422"/>
        <w:keepLines/>
        <w:keepNext/>
        <w:spacing w:line="360" w:lineRule="auto"/>
        <w:rPr>
          <w:rFonts w:ascii="宋体" w:hAnsi="宋体" w:cs="宋体"/>
          <w:b/>
          <w:bCs/>
          <w:color w:val="auto"/>
          <w:sz w:val="21"/>
          <w:szCs w:val="21"/>
          <w:highlight w:val="none"/>
        </w:rPr>
        <w:outlineLvl w:val="2"/>
      </w:pP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lang w:val="en-US" w:eastAsia="zh-CN"/>
        </w:rPr>
        <w:t xml:space="preserve">八</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付款方式</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1、合同签订后支付合同金额的30%；</w:t>
      </w:r>
      <w:r>
        <w:rPr>
          <w:rFonts w:hint="eastAsia" w:ascii="宋体" w:hAnsi="宋体" w:cs="宋体"/>
          <w:color w:val="auto"/>
          <w:sz w:val="21"/>
          <w:szCs w:val="21"/>
          <w:highlight w:val="none"/>
          <w:lang w:val="en-US" w:eastAsia="zh-CN"/>
        </w:rPr>
        <w:t xml:space="preserve">提交全部服务成果并验收合格后按照最终完成工作量，得出最终支付金额后支付剩余合同金额</w:t>
      </w:r>
      <w:r/>
    </w:p>
    <w:p>
      <w:pPr>
        <w:ind w:firstLine="420"/>
        <w:jc w:val="both"/>
        <w:spacing w:line="360" w:lineRule="auto"/>
        <w:widowControl w:val="off"/>
        <w:rPr>
          <w:rFonts w:ascii="宋体" w:hAnsi="宋体" w:cs="宋体"/>
          <w:b/>
          <w:bCs/>
          <w:color w:val="auto"/>
          <w:sz w:val="21"/>
          <w:szCs w:val="21"/>
          <w:highlight w:val="none"/>
          <w:lang w:val="zh-CN"/>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、每次支付前，乙方应向甲方出具与应付款金额同等的发票，否则甲方有权拒绝支付并不承担违约责任，且乙方不得中止、延迟、终止履行本协议</w:t>
      </w:r>
      <w:bookmarkEnd w:id="11"/>
      <w:r/>
      <w:r/>
    </w:p>
    <w:p>
      <w:pPr>
        <w:ind w:firstLine="422"/>
        <w:keepLines/>
        <w:keepNext/>
        <w:spacing w:line="360" w:lineRule="auto"/>
        <w:rPr>
          <w:rFonts w:ascii="宋体" w:hAnsi="宋体" w:cs="宋体"/>
          <w:b/>
          <w:bCs/>
          <w:color w:val="auto"/>
          <w:sz w:val="21"/>
          <w:szCs w:val="21"/>
          <w:highlight w:val="none"/>
          <w:lang w:val="zh-CN"/>
        </w:rPr>
        <w:outlineLvl w:val="2"/>
      </w:pPr>
      <w:r>
        <w:rPr>
          <w:rFonts w:hint="eastAsia" w:ascii="宋体" w:hAnsi="宋体" w:cs="宋体"/>
          <w:b/>
          <w:bCs/>
          <w:color w:val="auto"/>
          <w:sz w:val="21"/>
          <w:szCs w:val="21"/>
          <w:highlight w:val="none"/>
          <w:lang w:val="zh-CN"/>
        </w:rPr>
        <w:t xml:space="preserve">三、其他说明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1、中标单位应能保证所提供服务涉及到的知识产权是合法取得，并享有完整的知识产权，不会因为招标人的使用而被责令停止使用、追偿或要求赔偿损失；如出现此情况，一切经济和法律责任均由中标单位；</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2、项目实施过程中涉及到的涉密和敏感图文资料、电子数据，中标单位应严格执行保密的相关规定，不得以任何方式向任何第三人披露、泄露或许可第三人使用；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3、投标人应在投标文件中说明，如能中标，在服务过程中需要招标人配合的工作和需要提供的条件。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知识产权：在合同履行过程中，由甲方向乙方提供的资料－－包括但不限于程序、文件、报告、说明、图表等均归甲方所有。在合同履行完毕后，乙方依据本合同及本合同附件向甲方提供的任何程序、文件、报告、说明、图表等的知识产权均归甲方所有（但属于乙方或第三方的除外），乙方不得以任何形式使用或向第三方透露。</w:t>
      </w:r>
      <w:r/>
    </w:p>
    <w:p>
      <w:pPr>
        <w:ind w:firstLine="420"/>
        <w:spacing w:line="360" w:lineRule="auto"/>
        <w:tabs>
          <w:tab w:val="left" w:pos="2160" w:leader="none"/>
        </w:tabs>
        <w:rPr>
          <w:rFonts w:ascii="宋体" w:hAnsi="宋体" w:cs="宋体"/>
          <w:bCs/>
          <w:color w:val="auto"/>
          <w:sz w:val="21"/>
          <w:szCs w:val="21"/>
          <w:highlight w:val="none"/>
        </w:rPr>
      </w:pPr>
      <w:r/>
      <w:bookmarkStart w:id="12" w:name="_Toc25200"/>
      <w:r>
        <w:rPr>
          <w:rFonts w:hint="eastAsia" w:ascii="宋体" w:hAnsi="宋体" w:cs="宋体"/>
          <w:color w:val="auto"/>
          <w:sz w:val="21"/>
          <w:szCs w:val="21"/>
          <w:highlight w:val="none"/>
        </w:rPr>
        <w:t xml:space="preserve">5、</w:t>
      </w:r>
      <w:r>
        <w:rPr>
          <w:rFonts w:hint="eastAsia" w:ascii="宋体" w:hAnsi="宋体" w:cs="宋体"/>
          <w:bCs/>
          <w:color w:val="auto"/>
          <w:sz w:val="21"/>
          <w:szCs w:val="21"/>
          <w:highlight w:val="none"/>
        </w:rPr>
        <w:t xml:space="preserve">投标单位须在招标文件中提供详细的服务方案。对招标文件中提出的全部技术规范要求及服务要求做出承诺，如果以其中某些条款不响应时，应在投标文件中逐条列出，未列出的视同响应。</w:t>
      </w:r>
      <w:bookmarkEnd w:id="12"/>
      <w:r/>
      <w:r/>
    </w:p>
    <w:p>
      <w:pPr>
        <w:ind w:firstLine="420"/>
        <w:spacing w:line="360" w:lineRule="auto"/>
        <w:tabs>
          <w:tab w:val="left" w:pos="216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6、凡涉及招标文件的补充说明和修改，均以苏州政府采购网发布的内容为准。</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7、保密要求：</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在合同履行期间，中标人从采购人处所获得的文件、资料及在合同履行过程中所取得的与履行合同有关的工作成果属采购人所有，中标人负有保密义务。未经采购人书面同意，中标人不得在合同期内或合同履行完毕后以任何方式泄露。</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（2）未经采购人书面同意，中标人不得把与合同有关的资料给出版社和新闻机构发表或学术引用，或者使用本合同任何部分进行促销和做广告宣传。</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（3）对于中标人使用的新技术和新方法，采购人负有保密义务，未经中标人书面同意，不得以任何方式泄露。</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（4）本合同的保密条款在合同终止后同样具有约束力。</w:t>
      </w:r>
      <w:r/>
    </w:p>
    <w:p>
      <w:pPr>
        <w:pStyle w:val="747"/>
        <w:ind w:firstLine="500"/>
        <w:rPr>
          <w:color w:val="auto"/>
          <w:highlight w:val="none"/>
        </w:rPr>
      </w:pPr>
      <w:r>
        <w:rPr>
          <w:color w:val="auto"/>
          <w:highlight w:val="none"/>
        </w:rPr>
      </w:r>
      <w:r/>
    </w:p>
    <w:p>
      <w:pPr>
        <w:rPr>
          <w:color w:val="auto"/>
          <w:highlight w:val="none"/>
        </w:rPr>
      </w:pPr>
      <w:r>
        <w:rPr>
          <w:color w:val="auto"/>
          <w:highlight w:val="none"/>
        </w:rPr>
      </w:r>
      <w:r/>
    </w:p>
    <w:p>
      <w:pPr>
        <w:jc w:val="both"/>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both"/>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00" w:lineRule="exact"/>
        <w:rPr>
          <w:rStyle w:val="7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1"/>
          <w:rFonts w:ascii="宋体" w:hAnsi="宋体" w:eastAsia="宋体" w:cs="宋体"/>
          <w:color w:val="auto"/>
          <w:sz w:val="32"/>
          <w:szCs w:val="32"/>
          <w:highlight w:val="none"/>
        </w:rPr>
      </w:pPr>
      <w:r>
        <w:rPr>
          <w:rStyle w:val="781"/>
          <w:rFonts w:hint="eastAsia" w:ascii="宋体" w:hAnsi="宋体" w:eastAsia="宋体" w:cs="宋体"/>
          <w:color w:val="auto"/>
          <w:sz w:val="32"/>
          <w:szCs w:val="32"/>
          <w:highlight w:val="none"/>
        </w:rPr>
        <w:t xml:space="preserve">第四章 投标文件格式</w:t>
      </w:r>
      <w:bookmarkEnd w:id="9"/>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ascii="宋体" w:hAnsi="宋体" w:cs="宋体"/>
          <w:b/>
          <w:bCs/>
          <w:color w:val="auto"/>
          <w:highlight w:val="none"/>
        </w:rPr>
      </w:pPr>
      <w:r>
        <w:rPr>
          <w:rFonts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b/>
          <w:color w:val="auto"/>
          <w:sz w:val="36"/>
          <w:szCs w:val="36"/>
          <w:highlight w:val="none"/>
        </w:rPr>
      </w:pPr>
      <w:r>
        <w:rPr>
          <w:rFonts w:hint="eastAsia"/>
          <w:b/>
          <w:color w:val="auto"/>
          <w:sz w:val="36"/>
          <w:szCs w:val="36"/>
          <w:highlight w:val="none"/>
        </w:rPr>
        <w:t xml:space="preserve">招标单位： </w:t>
      </w:r>
      <w:r/>
    </w:p>
    <w:p>
      <w:pPr>
        <w:ind w:left="480" w:firstLine="542"/>
        <w:rPr>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rFonts w:hint="eastAsia"/>
          <w:color w:val="auto"/>
          <w:sz w:val="36"/>
          <w:szCs w:val="36"/>
          <w:highlight w:val="none"/>
        </w:rPr>
        <w:t xml:space="preserve">      </w:t>
      </w:r>
      <w:r>
        <w:rPr>
          <w:rFonts w:hint="eastAsia"/>
          <w:b/>
          <w:bCs/>
          <w:color w:val="auto"/>
          <w:sz w:val="36"/>
          <w:szCs w:val="36"/>
          <w:highlight w:val="none"/>
        </w:rPr>
        <w:t xml:space="preserve">采购包号</w:t>
      </w:r>
      <w:r>
        <w:rPr>
          <w:rFonts w:hint="eastAsia"/>
          <w:color w:val="auto"/>
          <w:sz w:val="36"/>
          <w:szCs w:val="36"/>
          <w:highlight w:val="none"/>
        </w:rPr>
        <w:t xml:space="preserve">：</w:t>
      </w:r>
      <w:r/>
    </w:p>
    <w:p>
      <w:pPr>
        <w:ind w:firstLine="542"/>
        <w:rPr>
          <w:b/>
          <w:color w:val="auto"/>
          <w:sz w:val="36"/>
          <w:szCs w:val="36"/>
          <w:highlight w:val="none"/>
        </w:rPr>
      </w:pPr>
      <w:r>
        <w:rPr>
          <w:b/>
          <w:color w:val="auto"/>
          <w:sz w:val="36"/>
          <w:szCs w:val="36"/>
          <w:highlight w:val="none"/>
        </w:rPr>
      </w:r>
      <w:r/>
    </w:p>
    <w:p>
      <w:pPr>
        <w:ind w:firstLine="723"/>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738"/>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22"/>
        <w:jc w:val="both"/>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p>
    <w:p>
      <w:pPr>
        <w:pStyle w:val="798"/>
        <w:jc w:val="center"/>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798"/>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p>
      <w:pPr>
        <w:ind w:firstLine="420"/>
        <w:rPr>
          <w:rFonts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746"/>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hint="eastAsia" w:eastAsia="宋体" w:cs="宋体"/>
                <w:color w:val="auto"/>
                <w:sz w:val="21"/>
                <w:szCs w:val="21"/>
                <w:highlight w:val="none"/>
                <w:lang w:eastAsia="zh-CN"/>
              </w:rPr>
            </w:pPr>
            <w:r>
              <w:rPr>
                <w:rFonts w:hint="eastAsia" w:cs="宋体"/>
                <w:color w:val="auto"/>
                <w:sz w:val="21"/>
                <w:szCs w:val="21"/>
                <w:highlight w:val="none"/>
              </w:rPr>
              <w:t xml:space="preserve">投标</w:t>
            </w:r>
            <w:r>
              <w:rPr>
                <w:rFonts w:hint="eastAsia" w:cs="宋体"/>
                <w:color w:val="auto"/>
                <w:sz w:val="21"/>
                <w:szCs w:val="21"/>
                <w:highlight w:val="none"/>
                <w:lang w:val="en-US" w:eastAsia="zh-CN"/>
              </w:rPr>
              <w:t xml:space="preserve">优惠率</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rPr>
                <w:rFonts w:hint="default" w:eastAsia="宋体" w:cs="宋体"/>
                <w:color w:val="auto"/>
                <w:sz w:val="21"/>
                <w:szCs w:val="21"/>
                <w:highlight w:val="none"/>
                <w:lang w:val="en-US" w:eastAsia="zh-CN"/>
              </w:rPr>
            </w:pPr>
            <w:r>
              <w:rPr>
                <w:rFonts w:hint="eastAsia"/>
                <w:color w:val="auto"/>
                <w:sz w:val="21"/>
                <w:szCs w:val="21"/>
                <w:highlight w:val="none"/>
                <w:lang w:val="en-US" w:eastAsia="zh-CN"/>
              </w:rPr>
              <w:t xml:space="preserve">              %</w:t>
            </w:r>
            <w:r/>
          </w:p>
        </w:tc>
      </w:tr>
    </w:tbl>
    <w:p>
      <w:pPr>
        <w:contextualSpacing/>
        <w:ind w:firstLine="478"/>
        <w:jc w:val="both"/>
        <w:spacing w:line="36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、投标报价一次报定</w:t>
      </w:r>
      <w:r>
        <w:rPr>
          <w:rFonts w:hint="eastAsia" w:ascii="宋体" w:hAnsi="宋体" w:cs="宋体"/>
          <w:color w:val="auto"/>
          <w:sz w:val="21"/>
          <w:szCs w:val="21"/>
          <w:highlight w:val="none"/>
        </w:rPr>
        <w:t xml:space="preserve">应</w:t>
      </w:r>
      <w:r>
        <w:rPr>
          <w:rFonts w:hint="eastAsia" w:ascii="宋体" w:hAnsi="宋体" w:cs="宋体"/>
          <w:color w:val="auto"/>
          <w:sz w:val="21"/>
          <w:szCs w:val="21"/>
          <w:highlight w:val="none"/>
        </w:rPr>
        <w:t xml:space="preserve">包括完成本项工作所需的一切费用，包括但不限于提供完整的方案编制及后续服务所需的勘测费、调查费、劳务费、咨询费、会务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spacing w:line="360" w:lineRule="auto"/>
        <w:tabs>
          <w:tab w:val="left" w:pos="420" w:leader="none"/>
          <w:tab w:val="left" w:pos="540" w:leader="none"/>
        </w:tabs>
        <w:rPr>
          <w:rFonts w:ascii="宋体" w:hAnsi="宋体" w:cs="宋体"/>
          <w:bCs/>
          <w:color w:val="auto"/>
          <w:sz w:val="21"/>
          <w:szCs w:val="21"/>
          <w:highlight w:val="none"/>
        </w:rPr>
      </w:pPr>
      <w:r>
        <w:rPr>
          <w:rFonts w:ascii="宋体" w:hAnsi="宋体" w:cs="宋体"/>
          <w:bCs/>
          <w:color w:val="auto"/>
          <w:sz w:val="21"/>
          <w:szCs w:val="21"/>
          <w:highlight w:val="none"/>
        </w:rPr>
      </w:r>
      <w:r/>
    </w:p>
    <w:p>
      <w:pPr>
        <w:pStyle w:val="828"/>
        <w:rPr>
          <w:color w:val="auto"/>
          <w:szCs w:val="21"/>
          <w:highlight w:val="none"/>
          <w:lang w:val="zh-CN"/>
        </w:rPr>
      </w:pPr>
      <w:r>
        <w:rPr>
          <w:color w:val="auto"/>
          <w:szCs w:val="21"/>
          <w:highlight w:val="none"/>
          <w:lang w:val="zh-CN"/>
        </w:rPr>
      </w:r>
      <w:r/>
    </w:p>
    <w:p>
      <w:pPr>
        <w:ind w:firstLine="392"/>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pStyle w:val="747"/>
        <w:rPr>
          <w:color w:val="auto"/>
          <w:highlight w:val="none"/>
          <w:lang w:val="zh-CN"/>
        </w:rPr>
      </w:pPr>
      <w:r>
        <w:rPr>
          <w:color w:val="auto"/>
          <w:highlight w:val="none"/>
          <w:lang w:val="zh-CN"/>
        </w:rPr>
      </w:r>
      <w:r/>
    </w:p>
    <w:p>
      <w:pPr>
        <w:pStyle w:val="747"/>
        <w:rPr>
          <w:color w:val="auto"/>
          <w:highlight w:val="none"/>
        </w:rPr>
      </w:pPr>
      <w:r>
        <w:rPr>
          <w:rFonts w:hint="eastAsia"/>
          <w:color w:val="auto"/>
          <w:highlight w:val="none"/>
          <w:lang w:val="zh-CN"/>
        </w:rPr>
        <w:t xml:space="preserve">格式</w:t>
      </w:r>
      <w:r>
        <w:rPr>
          <w:rFonts w:hint="eastAsia"/>
          <w:color w:val="auto"/>
          <w:highlight w:val="none"/>
        </w:rPr>
        <w:t xml:space="preserve">2</w:t>
      </w:r>
      <w:r>
        <w:rPr>
          <w:rFonts w:hint="eastAsia"/>
          <w:color w:val="auto"/>
          <w:highlight w:val="none"/>
          <w:lang w:val="zh-CN"/>
        </w:rPr>
        <w:t xml:space="preserve">：</w:t>
      </w:r>
      <w:r>
        <w:rPr>
          <w:rFonts w:hint="eastAsia"/>
          <w:color w:val="auto"/>
          <w:highlight w:val="none"/>
        </w:rPr>
        <w:t xml:space="preserve">投标报价明细表</w:t>
      </w:r>
      <w:r/>
    </w:p>
    <w:p>
      <w:pPr>
        <w:pStyle w:val="747"/>
        <w:ind w:firstLine="500"/>
        <w:jc w:val="center"/>
        <w:rPr>
          <w:color w:val="auto"/>
          <w:highlight w:val="none"/>
        </w:rPr>
      </w:pPr>
      <w:r>
        <w:rPr>
          <w:rFonts w:hint="eastAsia"/>
          <w:color w:val="auto"/>
          <w:highlight w:val="none"/>
          <w:lang w:val="en-US" w:eastAsia="zh-CN"/>
        </w:rPr>
        <w:t xml:space="preserve">采购包1：</w:t>
      </w:r>
      <w:r>
        <w:rPr>
          <w:rFonts w:hint="eastAsia"/>
          <w:color w:val="auto"/>
          <w:highlight w:val="none"/>
        </w:rPr>
        <w:t xml:space="preserve">投标报价明细表</w:t>
      </w:r>
      <w:r/>
    </w:p>
    <w:p>
      <w:pPr>
        <w:ind w:firstLine="420"/>
        <w:rPr>
          <w:rFonts w:ascii="宋体" w:hAnsi="宋体"/>
          <w:color w:val="auto"/>
          <w:sz w:val="21"/>
          <w:szCs w:val="21"/>
          <w:highlight w:val="none"/>
        </w:rPr>
      </w:pPr>
      <w:r>
        <w:rPr>
          <w:rFonts w:ascii="宋体" w:hAnsi="宋体"/>
          <w:color w:val="auto"/>
          <w:sz w:val="21"/>
          <w:szCs w:val="21"/>
          <w:highlight w:val="none"/>
        </w:rPr>
      </w:r>
      <w:r/>
    </w:p>
    <w:p>
      <w:pPr>
        <w:ind w:firstLine="420"/>
        <w:rPr>
          <w:color w:val="auto"/>
          <w:highlight w:val="none"/>
        </w:rPr>
      </w:pPr>
      <w:r>
        <w:rPr>
          <w:rFonts w:hint="eastAsia" w:ascii="宋体" w:hAnsi="宋体"/>
          <w:color w:val="auto"/>
          <w:sz w:val="21"/>
          <w:szCs w:val="21"/>
          <w:highlight w:val="none"/>
        </w:rPr>
        <w:t xml:space="preserve">项目编号：                                          项目名称：          </w:t>
      </w:r>
      <w:r>
        <w:rPr>
          <w:rFonts w:hint="eastAsia" w:cs="宋体"/>
          <w:b/>
          <w:color w:val="auto"/>
          <w:szCs w:val="21"/>
          <w:highlight w:val="none"/>
        </w:rPr>
        <w:t xml:space="preserve">                                     </w:t>
      </w:r>
      <w:r/>
    </w:p>
    <w:tbl>
      <w:tblPr>
        <w:tblStyle w:val="746"/>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2431"/>
        <w:gridCol w:w="829"/>
        <w:gridCol w:w="1172"/>
        <w:gridCol w:w="1248"/>
        <w:gridCol w:w="1857"/>
        <w:gridCol w:w="980"/>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1857" w:type="dxa"/>
            <w:vAlign w:val="center"/>
            <w:textDirection w:val="lrTb"/>
            <w:noWrap w:val="false"/>
          </w:tcPr>
          <w:p>
            <w:pPr>
              <w:jc w:val="center"/>
              <w:rPr>
                <w:rFonts w:ascii="宋体" w:hAnsi="宋体" w:cs="宋体"/>
                <w:color w:val="auto"/>
                <w:sz w:val="21"/>
                <w:szCs w:val="21"/>
                <w:highlight w:val="none"/>
              </w:rPr>
            </w:pPr>
            <w:r>
              <w:rPr>
                <w:rFonts w:hint="eastAsia"/>
                <w:color w:val="auto"/>
                <w:sz w:val="21"/>
                <w:szCs w:val="21"/>
                <w:highlight w:val="none"/>
              </w:rPr>
              <w:t xml:space="preserve">小计</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75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752"/>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752"/>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752"/>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752"/>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752"/>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752"/>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752"/>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752"/>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752"/>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752"/>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254" w:type="dxa"/>
            <w:vAlign w:val="center"/>
            <w:textDirection w:val="lrTb"/>
            <w:noWrap w:val="false"/>
          </w:tcPr>
          <w:p>
            <w:pPr>
              <w:ind w:firstLine="210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投标总报价： （大写）          人民币（小写）</w:t>
            </w:r>
            <w:r/>
          </w:p>
        </w:tc>
      </w:tr>
    </w:tbl>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注：1、须按上表中的格式及要求报价；</w:t>
      </w:r>
      <w:r/>
    </w:p>
    <w:p>
      <w:pPr>
        <w:pStyle w:val="770"/>
        <w:ind w:firstLine="50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2、投标总报价应与开标一览表所报优惠率优惠后金额一致。投标总报价=采购包预算金额*（1-投标优惠率）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500"/>
        <w:jc w:val="center"/>
        <w:spacing w:line="360" w:lineRule="auto"/>
        <w:widowControl w:val="off"/>
        <w:rPr>
          <w:rFonts w:hint="eastAsia" w:ascii="Times New Roman" w:hAnsi="Times New Roman" w:eastAsia="宋体" w:cs="Times New Roman"/>
          <w:color w:val="auto"/>
          <w:spacing w:val="20"/>
          <w:sz w:val="21"/>
          <w:szCs w:val="24"/>
          <w:highlight w:val="none"/>
          <w:lang w:val="en-US" w:eastAsia="zh-CN" w:bidi="ar-SA"/>
        </w:rPr>
      </w:pPr>
      <w:r>
        <w:rPr>
          <w:rFonts w:hint="eastAsia" w:ascii="Times New Roman" w:hAnsi="Times New Roman" w:eastAsia="宋体" w:cs="Times New Roman"/>
          <w:color w:val="auto"/>
          <w:spacing w:val="20"/>
          <w:sz w:val="21"/>
          <w:szCs w:val="24"/>
          <w:highlight w:val="none"/>
          <w:lang w:val="en-US" w:eastAsia="zh-CN" w:bidi="ar-SA"/>
        </w:rPr>
      </w:r>
      <w:r/>
    </w:p>
    <w:p>
      <w:pPr>
        <w:ind w:firstLine="500"/>
        <w:jc w:val="center"/>
        <w:spacing w:line="360" w:lineRule="auto"/>
        <w:widowControl w:val="off"/>
        <w:rPr>
          <w:rFonts w:hint="eastAsia" w:ascii="Times New Roman" w:hAnsi="Times New Roman" w:eastAsia="宋体" w:cs="Times New Roman"/>
          <w:color w:val="auto"/>
          <w:spacing w:val="20"/>
          <w:sz w:val="21"/>
          <w:szCs w:val="24"/>
          <w:highlight w:val="none"/>
          <w:lang w:val="en-US" w:eastAsia="zh-CN" w:bidi="ar-SA"/>
        </w:rPr>
      </w:pPr>
      <w:r>
        <w:rPr>
          <w:rFonts w:hint="eastAsia" w:ascii="Times New Roman" w:hAnsi="Times New Roman" w:eastAsia="宋体" w:cs="Times New Roman"/>
          <w:color w:val="auto"/>
          <w:spacing w:val="20"/>
          <w:sz w:val="21"/>
          <w:szCs w:val="24"/>
          <w:highlight w:val="none"/>
          <w:lang w:val="en-US" w:eastAsia="zh-CN" w:bidi="ar-SA"/>
        </w:rPr>
      </w:r>
      <w:r/>
    </w:p>
    <w:p>
      <w:pPr>
        <w:ind w:firstLine="500"/>
        <w:jc w:val="center"/>
        <w:spacing w:line="360" w:lineRule="auto"/>
        <w:widowControl w:val="off"/>
        <w:rPr>
          <w:rFonts w:ascii="Times New Roman" w:hAnsi="Times New Roman" w:eastAsia="宋体" w:cs="Times New Roman"/>
          <w:color w:val="auto"/>
          <w:spacing w:val="20"/>
          <w:sz w:val="21"/>
          <w:szCs w:val="24"/>
          <w:highlight w:val="none"/>
          <w:lang w:val="en-US" w:eastAsia="zh-CN" w:bidi="ar-SA"/>
        </w:rPr>
      </w:pPr>
      <w:r>
        <w:rPr>
          <w:rFonts w:hint="eastAsia" w:ascii="Times New Roman" w:hAnsi="Times New Roman" w:eastAsia="宋体" w:cs="Times New Roman"/>
          <w:color w:val="auto"/>
          <w:spacing w:val="20"/>
          <w:sz w:val="21"/>
          <w:szCs w:val="24"/>
          <w:highlight w:val="none"/>
          <w:lang w:val="en-US" w:eastAsia="zh-CN" w:bidi="ar-SA"/>
        </w:rPr>
        <w:t xml:space="preserve">采购包2：投标报价明细表</w:t>
      </w:r>
      <w:r/>
    </w:p>
    <w:p>
      <w:pPr>
        <w:pStyle w:val="747"/>
        <w:rPr>
          <w:rFonts w:ascii="宋体" w:hAnsi="宋体" w:cs="宋体"/>
          <w:b/>
          <w:color w:val="auto"/>
          <w:sz w:val="21"/>
          <w:szCs w:val="21"/>
          <w:highlight w:val="none"/>
        </w:rPr>
      </w:pPr>
      <w:r>
        <w:rPr>
          <w:rFonts w:hint="eastAsia" w:ascii="宋体" w:hAnsi="宋体"/>
          <w:color w:val="auto"/>
          <w:sz w:val="21"/>
          <w:szCs w:val="21"/>
          <w:highlight w:val="none"/>
        </w:rPr>
        <w:t xml:space="preserve">项目编号：</w:t>
      </w:r>
      <w:r>
        <w:rPr>
          <w:rFonts w:hint="eastAsia" w:ascii="宋体" w:hAnsi="宋体"/>
          <w:color w:val="auto"/>
          <w:sz w:val="21"/>
          <w:szCs w:val="21"/>
          <w:highlight w:val="none"/>
          <w:u w:val="none"/>
        </w:rPr>
        <w:t xml:space="preserve">                                        </w:t>
      </w:r>
      <w:r>
        <w:rPr>
          <w:rFonts w:hint="eastAsia" w:ascii="宋体" w:hAnsi="宋体"/>
          <w:color w:val="auto"/>
          <w:sz w:val="21"/>
          <w:szCs w:val="21"/>
          <w:highlight w:val="none"/>
        </w:rPr>
        <w:t xml:space="preserve">  项目名称：   </w:t>
      </w:r>
      <w:r/>
    </w:p>
    <w:tbl>
      <w:tblPr>
        <w:tblStyle w:val="771"/>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2123"/>
        <w:gridCol w:w="798"/>
        <w:gridCol w:w="750"/>
        <w:gridCol w:w="2212"/>
        <w:gridCol w:w="1258"/>
        <w:gridCol w:w="1267"/>
      </w:tblGrid>
      <w:tr>
        <w:trPr>
          <w:jc w:val="center"/>
        </w:trPr>
        <w:tc>
          <w:tcPr>
            <w:tcW w:w="6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序号</w:t>
            </w:r>
            <w:r/>
          </w:p>
        </w:tc>
        <w:tc>
          <w:tcPr>
            <w:tcW w:w="212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项目</w:t>
            </w:r>
            <w:r/>
          </w:p>
        </w:tc>
        <w:tc>
          <w:tcPr>
            <w:tcW w:w="798"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单位</w:t>
            </w:r>
            <w:r/>
          </w:p>
        </w:tc>
        <w:tc>
          <w:tcPr>
            <w:tcW w:w="750"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数量</w:t>
            </w:r>
            <w:r/>
          </w:p>
        </w:tc>
        <w:tc>
          <w:tcPr>
            <w:tcW w:w="2212"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单价最高限价（元）</w:t>
            </w:r>
            <w:r/>
          </w:p>
        </w:tc>
        <w:tc>
          <w:tcPr>
            <w:tcW w:w="1258" w:type="dxa"/>
            <w:vAlign w:val="center"/>
            <w:textDirection w:val="lrTb"/>
            <w:noWrap w:val="false"/>
          </w:tcPr>
          <w:p>
            <w:pPr>
              <w:jc w:val="center"/>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投标优惠率（%）</w:t>
            </w:r>
            <w:r/>
          </w:p>
        </w:tc>
        <w:tc>
          <w:tcPr>
            <w:tcW w:w="1267" w:type="dxa"/>
            <w:vAlign w:val="center"/>
            <w:textDirection w:val="lrTb"/>
            <w:noWrap w:val="false"/>
          </w:tcPr>
          <w:p>
            <w:pPr>
              <w:jc w:val="center"/>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优惠后价格（元/%）</w:t>
            </w:r>
            <w:r/>
          </w:p>
        </w:tc>
      </w:tr>
      <w:tr>
        <w:trPr>
          <w:jc w:val="center"/>
        </w:trPr>
        <w:tc>
          <w:tcPr>
            <w:tcW w:w="6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w:t>
            </w:r>
            <w:r/>
          </w:p>
        </w:tc>
        <w:tc>
          <w:tcPr>
            <w:tcW w:w="2123" w:type="dxa"/>
            <w:vAlign w:val="center"/>
            <w:textDirection w:val="lrTb"/>
            <w:noWrap w:val="false"/>
          </w:tcPr>
          <w:p>
            <w:pPr>
              <w:jc w:val="center"/>
              <w:spacing w:line="360" w:lineRule="auto"/>
              <w:widowControl w:val="off"/>
              <w:rPr>
                <w:rFonts w:hint="eastAsia" w:ascii="宋体" w:hAnsi="宋体" w:cs="宋体"/>
                <w:color w:val="auto"/>
                <w:sz w:val="21"/>
                <w:szCs w:val="21"/>
                <w:highlight w:val="none"/>
                <w:vertAlign w:val="baseline"/>
              </w:rPr>
            </w:pPr>
            <w:r>
              <w:rPr>
                <w:rFonts w:hint="eastAsia" w:ascii="宋体" w:hAnsi="宋体" w:cs="宋体"/>
                <w:color w:val="auto"/>
                <w:sz w:val="21"/>
                <w:szCs w:val="21"/>
                <w:highlight w:val="none"/>
              </w:rPr>
              <w:t xml:space="preserve">城市中心区控规动态更新</w:t>
            </w:r>
            <w:r/>
          </w:p>
        </w:tc>
        <w:tc>
          <w:tcPr>
            <w:tcW w:w="798" w:type="dxa"/>
            <w:vAlign w:val="center"/>
            <w:textDirection w:val="lrTb"/>
            <w:noWrap w:val="false"/>
          </w:tcPr>
          <w:p>
            <w:pPr>
              <w:jc w:val="center"/>
              <w:spacing w:line="360" w:lineRule="auto"/>
              <w:widowControl w:val="off"/>
              <w:rPr>
                <w:rFonts w:hint="eastAsia" w:ascii="宋体" w:hAnsi="宋体" w:cs="宋体"/>
                <w:color w:val="auto"/>
                <w:sz w:val="21"/>
                <w:szCs w:val="21"/>
                <w:highlight w:val="none"/>
                <w:vertAlign w:val="baseline"/>
              </w:rPr>
            </w:pPr>
            <w:r>
              <w:rPr>
                <w:rFonts w:hint="eastAsia" w:ascii="宋体" w:hAnsi="宋体" w:cs="宋体"/>
                <w:color w:val="auto"/>
                <w:sz w:val="21"/>
                <w:szCs w:val="21"/>
                <w:highlight w:val="none"/>
                <w:lang w:val="en-US" w:eastAsia="zh-CN"/>
              </w:rPr>
              <w:t xml:space="preserve">公顷</w:t>
            </w:r>
            <w:r/>
          </w:p>
        </w:tc>
        <w:tc>
          <w:tcPr>
            <w:tcW w:w="7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w:t>
            </w:r>
            <w:r/>
          </w:p>
        </w:tc>
        <w:tc>
          <w:tcPr>
            <w:tcW w:w="2212"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2500元/公顷</w:t>
            </w:r>
            <w:r/>
          </w:p>
        </w:tc>
        <w:tc>
          <w:tcPr>
            <w:tcW w:w="1258" w:type="dxa"/>
            <w:vAlign w:val="center"/>
            <w:vMerge w:val="restart"/>
            <w:textDirection w:val="lrTb"/>
            <w:noWrap w:val="false"/>
          </w:tcPr>
          <w:p>
            <w:pPr>
              <w:jc w:val="center"/>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r>
            <w:r/>
          </w:p>
        </w:tc>
        <w:tc>
          <w:tcPr>
            <w:tcW w:w="1267" w:type="dxa"/>
            <w:vAlign w:val="center"/>
            <w:textDirection w:val="lrTb"/>
            <w:noWrap w:val="false"/>
          </w:tcPr>
          <w:p>
            <w:pPr>
              <w:jc w:val="center"/>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r>
            <w:r/>
          </w:p>
        </w:tc>
      </w:tr>
      <w:tr>
        <w:trPr>
          <w:jc w:val="center"/>
        </w:trPr>
        <w:tc>
          <w:tcPr>
            <w:tcW w:w="6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2</w:t>
            </w:r>
            <w:r/>
          </w:p>
        </w:tc>
        <w:tc>
          <w:tcPr>
            <w:tcW w:w="212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cs="宋体"/>
                <w:color w:val="auto"/>
                <w:sz w:val="21"/>
                <w:szCs w:val="21"/>
                <w:highlight w:val="none"/>
              </w:rPr>
              <w:t xml:space="preserve">太仓相关规划及城市更新咨询和研究服务</w:t>
            </w:r>
            <w:r/>
          </w:p>
        </w:tc>
        <w:tc>
          <w:tcPr>
            <w:tcW w:w="798" w:type="dxa"/>
            <w:vAlign w:val="center"/>
            <w:textDirection w:val="lrTb"/>
            <w:noWrap w:val="false"/>
          </w:tcPr>
          <w:p>
            <w:pPr>
              <w:jc w:val="center"/>
              <w:spacing w:line="360" w:lineRule="auto"/>
              <w:widowControl w:val="off"/>
              <w:rPr>
                <w:rFonts w:hint="eastAsia" w:ascii="宋体" w:hAnsi="宋体" w:cs="宋体"/>
                <w:color w:val="auto"/>
                <w:sz w:val="21"/>
                <w:szCs w:val="21"/>
                <w:highlight w:val="none"/>
                <w:vertAlign w:val="baseline"/>
              </w:rPr>
            </w:pPr>
            <w:r>
              <w:rPr>
                <w:rFonts w:hint="eastAsia" w:ascii="宋体" w:hAnsi="宋体" w:cs="宋体"/>
                <w:color w:val="auto"/>
                <w:sz w:val="21"/>
                <w:szCs w:val="21"/>
                <w:highlight w:val="none"/>
                <w:lang w:val="en-US" w:eastAsia="zh-CN"/>
              </w:rPr>
              <w:t xml:space="preserve">公顷</w:t>
            </w:r>
            <w:r/>
          </w:p>
        </w:tc>
        <w:tc>
          <w:tcPr>
            <w:tcW w:w="7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w:t>
            </w:r>
            <w:r/>
          </w:p>
        </w:tc>
        <w:tc>
          <w:tcPr>
            <w:tcW w:w="2212"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4000元/公顷</w:t>
            </w:r>
            <w:r/>
          </w:p>
        </w:tc>
        <w:tc>
          <w:tcPr>
            <w:tcW w:w="1258" w:type="dxa"/>
            <w:vAlign w:val="center"/>
            <w:vMerge w:val="continue"/>
            <w:textDirection w:val="lrTb"/>
            <w:noWrap w:val="false"/>
          </w:tcPr>
          <w:p>
            <w:pPr>
              <w:jc w:val="center"/>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r>
            <w:r/>
          </w:p>
        </w:tc>
        <w:tc>
          <w:tcPr>
            <w:tcW w:w="1267" w:type="dxa"/>
            <w:vAlign w:val="center"/>
            <w:textDirection w:val="lrTb"/>
            <w:noWrap w:val="false"/>
          </w:tcPr>
          <w:p>
            <w:pPr>
              <w:jc w:val="center"/>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r>
            <w:r/>
          </w:p>
        </w:tc>
      </w:tr>
      <w:tr>
        <w:trPr>
          <w:jc w:val="center"/>
        </w:trPr>
        <w:tc>
          <w:tcPr>
            <w:tcW w:w="6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3</w:t>
            </w:r>
            <w:r/>
          </w:p>
        </w:tc>
        <w:tc>
          <w:tcPr>
            <w:tcW w:w="2123" w:type="dxa"/>
            <w:vAlign w:val="center"/>
            <w:textDirection w:val="lrTb"/>
            <w:noWrap w:val="false"/>
          </w:tcPr>
          <w:p>
            <w:pPr>
              <w:jc w:val="center"/>
              <w:spacing w:line="360" w:lineRule="auto"/>
              <w:widowControl w:val="off"/>
              <w:rPr>
                <w:rFonts w:hint="eastAsia" w:ascii="宋体" w:hAnsi="宋体" w:cs="宋体"/>
                <w:color w:val="auto"/>
                <w:sz w:val="21"/>
                <w:szCs w:val="21"/>
                <w:highlight w:val="none"/>
                <w:vertAlign w:val="baseline"/>
              </w:rPr>
            </w:pPr>
            <w:r>
              <w:rPr>
                <w:rFonts w:hint="eastAsia" w:ascii="宋体" w:hAnsi="宋体" w:cs="宋体"/>
                <w:color w:val="auto"/>
                <w:sz w:val="21"/>
                <w:szCs w:val="21"/>
                <w:highlight w:val="none"/>
              </w:rPr>
              <w:t xml:space="preserve">规划相关知识培训等技术咨询服务</w:t>
            </w:r>
            <w:r/>
          </w:p>
        </w:tc>
        <w:tc>
          <w:tcPr>
            <w:tcW w:w="798" w:type="dxa"/>
            <w:vAlign w:val="center"/>
            <w:textDirection w:val="lrTb"/>
            <w:noWrap w:val="false"/>
          </w:tcPr>
          <w:p>
            <w:pPr>
              <w:jc w:val="center"/>
              <w:spacing w:line="360" w:lineRule="auto"/>
              <w:widowControl w:val="off"/>
              <w:rPr>
                <w:rFonts w:hint="eastAsia" w:ascii="宋体" w:hAnsi="宋体" w:cs="宋体"/>
                <w:color w:val="auto"/>
                <w:sz w:val="21"/>
                <w:szCs w:val="21"/>
                <w:highlight w:val="none"/>
                <w:vertAlign w:val="baseline"/>
              </w:rPr>
            </w:pPr>
            <w:r>
              <w:rPr>
                <w:rFonts w:hint="eastAsia" w:ascii="宋体" w:hAnsi="宋体" w:cs="宋体"/>
                <w:color w:val="auto"/>
                <w:sz w:val="21"/>
                <w:szCs w:val="21"/>
                <w:highlight w:val="none"/>
                <w:lang w:val="en-US" w:eastAsia="zh-CN"/>
              </w:rPr>
              <w:t xml:space="preserve">次</w:t>
            </w:r>
            <w:r/>
          </w:p>
        </w:tc>
        <w:tc>
          <w:tcPr>
            <w:tcW w:w="7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w:t>
            </w:r>
            <w:r/>
          </w:p>
        </w:tc>
        <w:tc>
          <w:tcPr>
            <w:tcW w:w="2212"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lang w:val="en-US" w:eastAsia="zh-CN"/>
              </w:rPr>
              <w:t xml:space="preserve">按照</w:t>
            </w:r>
            <w:r>
              <w:rPr>
                <w:rFonts w:hint="eastAsia" w:ascii="宋体" w:hAnsi="宋体" w:cs="宋体"/>
                <w:color w:val="auto"/>
                <w:sz w:val="21"/>
                <w:szCs w:val="21"/>
                <w:highlight w:val="none"/>
              </w:rPr>
              <w:t xml:space="preserve">《城乡规划设计计费指导意见》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2017修订版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17.1收费标准的80%为最高限价</w:t>
            </w:r>
            <w:r/>
          </w:p>
        </w:tc>
        <w:tc>
          <w:tcPr>
            <w:tcW w:w="1258" w:type="dxa"/>
            <w:vAlign w:val="center"/>
            <w:vMerge w:val="continue"/>
            <w:textDirection w:val="lrTb"/>
            <w:noWrap w:val="false"/>
          </w:tcPr>
          <w:p>
            <w:pPr>
              <w:jc w:val="center"/>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r>
            <w:r/>
          </w:p>
        </w:tc>
        <w:tc>
          <w:tcPr>
            <w:tcW w:w="1267" w:type="dxa"/>
            <w:vAlign w:val="center"/>
            <w:textDirection w:val="lrTb"/>
            <w:noWrap w:val="false"/>
          </w:tcPr>
          <w:p>
            <w:pPr>
              <w:jc w:val="center"/>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r>
            <w:r/>
          </w:p>
        </w:tc>
      </w:tr>
    </w:tbl>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注：1、须按上表中的格式及要求报价；</w:t>
      </w:r>
      <w:r/>
    </w:p>
    <w:p>
      <w:pPr>
        <w:ind w:firstLine="500"/>
        <w:jc w:val="both"/>
        <w:spacing w:line="360" w:lineRule="auto"/>
        <w:widowControl w:val="off"/>
        <w:rPr>
          <w:rFonts w:hint="default" w:ascii="宋体" w:hAnsi="宋体" w:eastAsia="宋体" w:cs="宋体"/>
          <w:color w:val="auto"/>
          <w:spacing w:val="20"/>
          <w:sz w:val="21"/>
          <w:szCs w:val="24"/>
          <w:highlight w:val="none"/>
          <w:lang w:val="en-US" w:eastAsia="zh-CN" w:bidi="ar-SA"/>
        </w:rPr>
      </w:pPr>
      <w:r>
        <w:rPr>
          <w:rFonts w:hint="eastAsia" w:ascii="宋体" w:hAnsi="宋体" w:eastAsia="宋体" w:cs="宋体"/>
          <w:color w:val="auto"/>
          <w:spacing w:val="20"/>
          <w:sz w:val="21"/>
          <w:szCs w:val="24"/>
          <w:highlight w:val="none"/>
          <w:lang w:val="en-US" w:eastAsia="zh-CN" w:bidi="ar-SA"/>
        </w:rPr>
        <w:t xml:space="preserve">2、优惠后</w:t>
      </w:r>
      <w:r>
        <w:rPr>
          <w:rFonts w:hint="eastAsia" w:ascii="宋体" w:hAnsi="宋体" w:cs="宋体"/>
          <w:color w:val="auto"/>
          <w:spacing w:val="20"/>
          <w:sz w:val="21"/>
          <w:szCs w:val="24"/>
          <w:highlight w:val="none"/>
          <w:lang w:val="en-US" w:eastAsia="zh-CN" w:bidi="ar-SA"/>
        </w:rPr>
        <w:t xml:space="preserve">价格</w:t>
      </w:r>
      <w:r>
        <w:rPr>
          <w:rFonts w:hint="eastAsia" w:ascii="宋体" w:hAnsi="宋体" w:eastAsia="宋体" w:cs="宋体"/>
          <w:color w:val="auto"/>
          <w:spacing w:val="20"/>
          <w:sz w:val="21"/>
          <w:szCs w:val="24"/>
          <w:highlight w:val="none"/>
          <w:lang w:val="en-US" w:eastAsia="zh-CN" w:bidi="ar-SA"/>
        </w:rPr>
        <w:t xml:space="preserve">=采购包单价最高限价*（1-投标优惠率）</w:t>
      </w:r>
      <w:r/>
    </w:p>
    <w:p>
      <w:pPr>
        <w:contextualSpacing w:val="0"/>
        <w:ind w:firstLine="420"/>
        <w:jc w:val="both"/>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规划相关知识培训等技术咨询服务</w:t>
      </w:r>
      <w:r>
        <w:rPr>
          <w:rFonts w:hint="eastAsia" w:ascii="宋体" w:hAnsi="宋体" w:cs="宋体"/>
          <w:color w:val="auto"/>
          <w:sz w:val="21"/>
          <w:szCs w:val="21"/>
          <w:highlight w:val="none"/>
          <w:lang w:val="en-US" w:eastAsia="zh-CN"/>
        </w:rPr>
        <w:t xml:space="preserve">优惠后价格=</w:t>
      </w:r>
      <w:r>
        <w:rPr>
          <w:rFonts w:hint="eastAsia" w:ascii="宋体" w:hAnsi="宋体" w:cs="宋体"/>
          <w:color w:val="auto"/>
          <w:sz w:val="21"/>
          <w:szCs w:val="21"/>
          <w:highlight w:val="none"/>
        </w:rPr>
        <w:t xml:space="preserve">《城乡规划设计计费指导意见》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2017修订版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17.1收费标准*80%*（1-投标优惠率）</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（二）投标报价合理性说明（如有）</w:t>
      </w:r>
      <w:r/>
    </w:p>
    <w:p>
      <w:pPr>
        <w:pStyle w:val="766"/>
        <w:ind w:firstLine="422"/>
        <w:spacing w:before="0" w:beforeAutospacing="0" w:after="0" w:afterAutospacing="0" w:line="360" w:lineRule="auto"/>
        <w:shd w:val="clear" w:color="auto" w:fill="ffffff"/>
        <w:rPr>
          <w:color w:val="auto"/>
          <w:sz w:val="21"/>
          <w:szCs w:val="21"/>
          <w:highlight w:val="none"/>
        </w:rPr>
      </w:pPr>
      <w:r>
        <w:rPr>
          <w:rFonts w:hint="eastAsia"/>
          <w:b/>
          <w:color w:val="auto"/>
          <w:sz w:val="21"/>
          <w:szCs w:val="21"/>
          <w:highlight w:val="none"/>
        </w:rPr>
        <w:t xml:space="preserve">注：1、</w:t>
      </w:r>
      <w:r>
        <w:rPr>
          <w:rFonts w:hint="eastAsia"/>
          <w:color w:val="auto"/>
          <w:sz w:val="21"/>
          <w:szCs w:val="21"/>
          <w:highlight w:val="none"/>
          <w:shd w:val="clear" w:color="auto" w:fill="ffffff"/>
        </w:rPr>
        <w:t xml:space="preserve">政府采购评审中出现下列情形之一的，评审委员会应当启动异常低价投标（响应）审查程序：</w:t>
      </w:r>
      <w:r/>
    </w:p>
    <w:p>
      <w:pPr>
        <w:ind w:firstLine="420"/>
        <w:spacing w:line="360" w:lineRule="auto"/>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（1）投标（响应）报价低于全部通过符合性审查供应商投标（响应）报价平均值50%的，即投标（响应）报价&lt;全部通过符合性审查供应商投标（响应）报价平均值×50%；</w:t>
      </w:r>
      <w:r/>
    </w:p>
    <w:p>
      <w:pPr>
        <w:ind w:firstLine="420"/>
        <w:spacing w:line="360" w:lineRule="auto"/>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（2）投标（响应）报价低于通过符合性审查的次低报价供应商投标（响应）报价50%的，即投标（响应）报价&lt;通过符合性审查的次低报价供应商投标（响应）报价×50%；</w:t>
      </w:r>
      <w:r/>
    </w:p>
    <w:p>
      <w:pPr>
        <w:ind w:firstLine="420"/>
        <w:spacing w:line="360" w:lineRule="auto"/>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（3）投标（响应）报价低于采购项目最高限价45%的，即投标（响应）报价&lt;采购项目最高限价×45%；</w:t>
      </w:r>
      <w:r/>
    </w:p>
    <w:p>
      <w:pPr>
        <w:ind w:firstLine="420"/>
        <w:spacing w:line="360" w:lineRule="auto"/>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（4）评审委员会基于专业判断，认为供应商报价过低，有可能影响产品质量或者不能诚信履约的其他情形。</w:t>
      </w:r>
      <w:r/>
    </w:p>
    <w:p>
      <w:pPr>
        <w:ind w:firstLine="420"/>
        <w:spacing w:line="360" w:lineRule="auto"/>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firstLine="420"/>
        <w:spacing w:line="360" w:lineRule="auto"/>
        <w:shd w:val="clear" w:color="auto" w:fill="ffffff"/>
        <w:rPr>
          <w:rFonts w:ascii="宋体" w:hAnsi="宋体" w:cs="宋体"/>
          <w:color w:val="auto"/>
          <w:sz w:val="21"/>
          <w:szCs w:val="21"/>
          <w:highlight w:val="none"/>
          <w:lang w:val="zh-CN"/>
        </w:rPr>
      </w:pPr>
      <w:r>
        <w:rPr>
          <w:rFonts w:hint="eastAsia" w:ascii="宋体" w:hAnsi="宋体" w:cs="宋体"/>
          <w:color w:val="auto"/>
          <w:sz w:val="21"/>
          <w:szCs w:val="21"/>
          <w:highlight w:val="none"/>
          <w:shd w:val="clear" w:color="auto" w:fill="ffffff"/>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pStyle w:val="747"/>
        <w:rPr>
          <w:color w:val="auto"/>
          <w:highlight w:val="none"/>
        </w:rPr>
      </w:pPr>
      <w:r>
        <w:rPr>
          <w:color w:val="auto"/>
          <w:highlight w:val="none"/>
        </w:rPr>
      </w:r>
      <w:r/>
    </w:p>
    <w:p>
      <w:pPr>
        <w:pStyle w:val="748"/>
        <w:rPr>
          <w:color w:val="auto"/>
          <w:highlight w:val="none"/>
        </w:rPr>
      </w:pPr>
      <w:r>
        <w:rPr>
          <w:color w:val="auto"/>
          <w:highlight w:val="none"/>
        </w:rPr>
      </w:r>
      <w:r/>
    </w:p>
    <w:p>
      <w:pPr>
        <w:pStyle w:val="748"/>
        <w:rPr>
          <w:color w:val="auto"/>
          <w:highlight w:val="none"/>
        </w:rPr>
      </w:pPr>
      <w:r>
        <w:rPr>
          <w:color w:val="auto"/>
          <w:highlight w:val="none"/>
        </w:rPr>
      </w:r>
      <w:r/>
    </w:p>
    <w:p>
      <w:pPr>
        <w:pStyle w:val="748"/>
        <w:rPr>
          <w:color w:val="auto"/>
          <w:highlight w:val="none"/>
        </w:rPr>
      </w:pPr>
      <w:r>
        <w:rPr>
          <w:color w:val="auto"/>
          <w:highlight w:val="none"/>
        </w:rPr>
      </w:r>
      <w:r/>
    </w:p>
    <w:p>
      <w:pPr>
        <w:pStyle w:val="748"/>
        <w:rPr>
          <w:color w:val="auto"/>
          <w:highlight w:val="none"/>
        </w:rPr>
      </w:pPr>
      <w:r>
        <w:rPr>
          <w:color w:val="auto"/>
          <w:highlight w:val="none"/>
        </w:rPr>
      </w:r>
      <w:r/>
    </w:p>
    <w:p>
      <w:pPr>
        <w:pStyle w:val="748"/>
        <w:rPr>
          <w:color w:val="auto"/>
          <w:highlight w:val="none"/>
        </w:rPr>
      </w:pPr>
      <w:r>
        <w:rPr>
          <w:color w:val="auto"/>
          <w:highlight w:val="none"/>
        </w:rPr>
      </w:r>
      <w:r/>
    </w:p>
    <w:p>
      <w:pPr>
        <w:pStyle w:val="748"/>
        <w:rPr>
          <w:color w:val="auto"/>
          <w:highlight w:val="none"/>
        </w:rPr>
      </w:pPr>
      <w:r>
        <w:rPr>
          <w:color w:val="auto"/>
          <w:highlight w:val="none"/>
        </w:rPr>
      </w:r>
      <w:r/>
    </w:p>
    <w:p>
      <w:pPr>
        <w:pStyle w:val="752"/>
        <w:numPr>
          <w:ilvl w:val="0"/>
          <w:numId w:val="7"/>
        </w:numPr>
        <w:jc w:val="center"/>
        <w:rPr>
          <w:b/>
          <w:color w:val="auto"/>
          <w:sz w:val="44"/>
          <w:szCs w:val="44"/>
          <w:highlight w:val="none"/>
        </w:rPr>
      </w:pPr>
      <w:r>
        <w:rPr>
          <w:rFonts w:hint="eastAsia"/>
          <w:b/>
          <w:color w:val="auto"/>
          <w:sz w:val="44"/>
          <w:szCs w:val="44"/>
          <w:highlight w:val="none"/>
        </w:rPr>
        <w:t xml:space="preserve">资格、技术、商务部分</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1、资格证明文件部分：</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1.1具有独立承担民事责任的能力：提供投标单位营业执照及法定代表人身份证扫描件或自然人的身份证明、授权委托书（如有授权）、被授权人身份证（如有授权）、关于资格文件的声明函、投标人基本情况表。</w:t>
      </w:r>
      <w:r/>
    </w:p>
    <w:p>
      <w:pPr>
        <w:pStyle w:val="749"/>
        <w:ind w:firstLine="422"/>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9"/>
        <w:ind w:firstLine="422"/>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格式1.关于资格文件的声明函</w:t>
      </w:r>
      <w:r/>
    </w:p>
    <w:p>
      <w:pPr>
        <w:pStyle w:val="749"/>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49"/>
        <w:ind w:firstLine="0"/>
        <w:rPr>
          <w:rFonts w:ascii="宋体" w:hAnsi="宋体" w:eastAsia="宋体" w:cs="宋体"/>
          <w:b/>
          <w:color w:val="auto"/>
          <w:highlight w:val="none"/>
        </w:rPr>
      </w:pPr>
      <w:r>
        <w:rPr>
          <w:rFonts w:ascii="宋体" w:hAnsi="宋体" w:eastAsia="宋体" w:cs="宋体"/>
          <w:b/>
          <w:color w:val="auto"/>
          <w:highlight w:val="none"/>
        </w:rPr>
      </w:r>
      <w:r/>
    </w:p>
    <w:p>
      <w:pPr>
        <w:pStyle w:val="749"/>
        <w:ind w:firstLine="0"/>
        <w:rPr>
          <w:rFonts w:ascii="宋体" w:hAnsi="宋体" w:eastAsia="宋体" w:cs="宋体"/>
          <w:color w:val="auto"/>
          <w:highlight w:val="none"/>
        </w:rPr>
      </w:pPr>
      <w:r>
        <w:rPr>
          <w:rFonts w:ascii="宋体" w:hAnsi="宋体" w:eastAsia="宋体" w:cs="宋体"/>
          <w:color w:val="auto"/>
          <w:highlight w:val="none"/>
        </w:rPr>
      </w:r>
      <w:r/>
    </w:p>
    <w:p>
      <w:pPr>
        <w:pStyle w:val="749"/>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49"/>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49"/>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u w:val="single"/>
        </w:rPr>
        <w:t xml:space="preserve">苏州泰至鑫项目管理有限公司</w:t>
      </w:r>
      <w:r>
        <w:rPr>
          <w:rFonts w:hint="eastAsia" w:ascii="宋体" w:hAnsi="宋体" w:cs="宋体"/>
          <w:b/>
          <w:bCs/>
          <w:color w:val="auto"/>
          <w:sz w:val="21"/>
          <w:szCs w:val="21"/>
          <w:highlight w:val="none"/>
        </w:rPr>
        <w:t xml:space="preserve">：</w:t>
      </w:r>
      <w:r/>
    </w:p>
    <w:p>
      <w:pPr>
        <w:pStyle w:val="749"/>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8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49"/>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9"/>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9"/>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9"/>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9"/>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格式2：投标人基本情况表</w:t>
      </w:r>
      <w:r/>
    </w:p>
    <w:p>
      <w:pPr>
        <w:pStyle w:val="749"/>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9"/>
        <w:ind w:firstLine="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rPr>
          <w:rFonts w:hint="eastAsia" w:ascii="宋体" w:hAnsi="宋体" w:cs="宋体"/>
          <w:color w:val="auto"/>
          <w:sz w:val="21"/>
          <w:szCs w:val="21"/>
          <w:highlight w:val="none"/>
          <w:u w:val="single"/>
        </w:rPr>
        <w:t xml:space="preserve">                       </w:t>
      </w:r>
      <w:r/>
    </w:p>
    <w:tbl>
      <w:tblPr>
        <w:tblStyle w:val="746"/>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03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ind w:firstLine="216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039"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2025年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2025年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49"/>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格式3：</w:t>
      </w:r>
      <w:r>
        <w:rPr>
          <w:rFonts w:hint="eastAsia" w:ascii="宋体" w:hAnsi="宋体" w:eastAsia="宋体" w:cs="宋体"/>
          <w:b/>
          <w:bCs/>
          <w:color w:val="auto"/>
          <w:sz w:val="21"/>
          <w:szCs w:val="21"/>
          <w:highlight w:val="none"/>
          <w:lang w:val="zh-CN"/>
        </w:rPr>
        <w:t xml:space="preserve">授权委托书</w:t>
      </w:r>
      <w:r/>
    </w:p>
    <w:p>
      <w:pPr>
        <w:jc w:val="center"/>
        <w:spacing w:line="360" w:lineRule="auto"/>
        <w:widowControl w:val="off"/>
        <w:rPr>
          <w:rFonts w:ascii="宋体" w:hAnsi="宋体" w:cs="宋体"/>
          <w:b/>
          <w:color w:val="auto"/>
          <w:sz w:val="21"/>
          <w:szCs w:val="21"/>
          <w:highlight w:val="none"/>
          <w:lang w:val="zh-CN"/>
        </w:rPr>
        <w:outlineLvl w:val="0"/>
      </w:pPr>
      <w:r>
        <w:rPr>
          <w:rFonts w:ascii="宋体" w:hAnsi="宋体" w:cs="宋体"/>
          <w:b/>
          <w:color w:val="auto"/>
          <w:sz w:val="21"/>
          <w:szCs w:val="21"/>
          <w:highlight w:val="none"/>
          <w:lang w:val="zh-CN"/>
        </w:rPr>
      </w:r>
      <w:r/>
    </w:p>
    <w:p>
      <w:pPr>
        <w:jc w:val="center"/>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授权委托书</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5"/>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附：法定代表人身份扫描件。</w:t>
      </w:r>
      <w:r/>
    </w:p>
    <w:p>
      <w:pPr>
        <w:pStyle w:val="749"/>
        <w:ind w:firstLine="0"/>
        <w:spacing w:line="360" w:lineRule="auto"/>
        <w:rPr>
          <w:rFonts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74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4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4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4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4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w:t>
      </w:r>
      <w:r/>
    </w:p>
    <w:p>
      <w:pPr>
        <w:ind w:left="400"/>
        <w:keepLines/>
        <w:keepNext/>
        <w:spacing w:line="360" w:lineRule="auto"/>
        <w:rPr>
          <w:rFonts w:ascii="宋体" w:hAnsi="宋体" w:cs="宋体"/>
          <w:b/>
          <w:color w:val="auto"/>
          <w:sz w:val="21"/>
          <w:szCs w:val="21"/>
          <w:highlight w:val="none"/>
          <w:lang w:val="zh-CN"/>
        </w:rPr>
        <w:outlineLvl w:val="2"/>
      </w:pPr>
      <w:r>
        <w:rPr>
          <w:rFonts w:ascii="宋体" w:hAnsi="宋体" w:cs="宋体"/>
          <w:b/>
          <w:color w:val="auto"/>
          <w:sz w:val="21"/>
          <w:szCs w:val="21"/>
          <w:highlight w:val="none"/>
          <w:lang w:val="zh-CN"/>
        </w:rPr>
      </w:r>
      <w:r/>
    </w:p>
    <w:p>
      <w:pPr>
        <w:ind w:left="400"/>
        <w:keepLines/>
        <w:keepNext/>
        <w:spacing w:line="360" w:lineRule="auto"/>
        <w:rPr>
          <w:rFonts w:ascii="宋体" w:hAnsi="宋体" w:cs="宋体"/>
          <w:b/>
          <w:color w:val="auto"/>
          <w:sz w:val="21"/>
          <w:szCs w:val="21"/>
          <w:highlight w:val="none"/>
          <w:lang w:val="zh-CN"/>
        </w:rPr>
        <w:outlineLvl w:val="2"/>
      </w:pPr>
      <w:r>
        <w:rPr>
          <w:rFonts w:ascii="宋体" w:hAnsi="宋体" w:cs="宋体"/>
          <w:b/>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22"/>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1.2具有良好的商业信誉和健全的财务会计制度：提供参加本次政府采购活动前的财务状况报告或者银行出具的资信证明</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1.3具有履行合同所必需的设备和专业技术能力：提供履行合同所必需的设备和专业技术能力的证明材料或书面声明</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1.4具有依法缴纳税收和社会保障资金的良好记录：提供参加本次政府采购活动前半年任意一个月份依法缴纳税收和社会保障资金的证明材料</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1.5参加政府采购活动前三年内，在经营活动中没有重大违法记录：提供参加本次政府采购活动前3年内在经营活动中没有重大违法记录的书面声明（详见投标文件格式）；</w:t>
      </w:r>
      <w:r/>
    </w:p>
    <w:p>
      <w:pPr>
        <w:jc w:val="both"/>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jc w:val="both"/>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格式4：</w:t>
      </w:r>
      <w:r>
        <w:rPr>
          <w:rFonts w:hint="eastAsia" w:ascii="宋体" w:hAnsi="宋体" w:cs="宋体"/>
          <w:b/>
          <w:bCs/>
          <w:color w:val="auto"/>
          <w:sz w:val="21"/>
          <w:szCs w:val="21"/>
          <w:highlight w:val="none"/>
        </w:rPr>
        <w:t xml:space="preserve">参加政府采购活动前三年内，在经营活动中没有重大违法记录声明</w:t>
      </w:r>
      <w:r/>
    </w:p>
    <w:p>
      <w:pPr>
        <w:jc w:val="cente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参加政府采购活动前三年内，在经营活动中没有重大违法记录声明</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若招标代理机构在本项目采购过程中发现我单位近三年内在政府采购活动中有重大违法记录，我单位将无条件退出本项目的招标，并承担因此引起的一切后果。</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422"/>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766"/>
        <w:ind w:firstLine="422"/>
        <w:spacing w:before="0" w:beforeAutospacing="0" w:after="0" w:afterAutospacing="0" w:line="360" w:lineRule="auto"/>
        <w:rPr>
          <w:b/>
          <w:bCs/>
          <w:color w:val="auto"/>
          <w:sz w:val="21"/>
          <w:szCs w:val="21"/>
          <w:highlight w:val="none"/>
        </w:rPr>
      </w:pPr>
      <w:r>
        <w:rPr>
          <w:rFonts w:hint="eastAsia"/>
          <w:b/>
          <w:bCs/>
          <w:color w:val="auto"/>
          <w:sz w:val="21"/>
          <w:szCs w:val="21"/>
          <w:highlight w:val="none"/>
        </w:rPr>
        <w:t xml:space="preserve">1.6</w:t>
      </w:r>
      <w:r>
        <w:rPr>
          <w:rFonts w:hint="eastAsia"/>
          <w:b/>
          <w:bCs/>
          <w:color w:val="auto"/>
          <w:sz w:val="21"/>
          <w:szCs w:val="21"/>
          <w:highlight w:val="none"/>
        </w:rPr>
        <w:t xml:space="preserve">法律、行政法规规定的其他条件。</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1.7特定资格条件：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1.7.1未被“信用中国”网站（www.creditchina.gov.cn）或中国政府采购网（https://www.ccgp.gov.cn/search/cr/）列入失信被执行人、重大税收违法案件当事人名单、政府采购严重违法失信行为记录名单。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1.7.2</w:t>
      </w:r>
      <w:r>
        <w:rPr>
          <w:rFonts w:hint="eastAsia" w:ascii="宋体" w:hAnsi="宋体" w:cs="宋体"/>
          <w:color w:val="auto"/>
          <w:sz w:val="21"/>
          <w:szCs w:val="21"/>
          <w:highlight w:val="none"/>
        </w:rPr>
        <w:t xml:space="preserve">供应商须具有行政主管部门颁发的城乡规划(国土空间规划)编制资质证书。</w:t>
      </w:r>
      <w:r/>
    </w:p>
    <w:p>
      <w:pPr>
        <w:pStyle w:val="752"/>
        <w:jc w:val="both"/>
        <w:rPr>
          <w:b/>
          <w:color w:val="auto"/>
          <w:sz w:val="44"/>
          <w:szCs w:val="44"/>
          <w:highlight w:val="none"/>
        </w:rPr>
      </w:pPr>
      <w:r>
        <w:rPr>
          <w:b/>
          <w:color w:val="auto"/>
          <w:sz w:val="44"/>
          <w:szCs w:val="44"/>
          <w:highlight w:val="none"/>
        </w:rPr>
      </w:r>
      <w:r/>
    </w:p>
    <w:p>
      <w:pPr>
        <w:ind w:firstLine="210"/>
        <w:jc w:val="center"/>
        <w:spacing w:line="360" w:lineRule="auto"/>
        <w:widowControl w:val="off"/>
        <w:rPr>
          <w:rFonts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752"/>
        <w:jc w:val="both"/>
        <w:rPr>
          <w:b/>
          <w:color w:val="auto"/>
          <w:sz w:val="44"/>
          <w:szCs w:val="44"/>
          <w:highlight w:val="none"/>
        </w:rPr>
      </w:pPr>
      <w:r>
        <w:rPr>
          <w:b/>
          <w:color w:val="auto"/>
          <w:sz w:val="44"/>
          <w:szCs w:val="44"/>
          <w:highlight w:val="none"/>
        </w:rPr>
      </w:r>
      <w:r/>
    </w:p>
    <w:p>
      <w:pPr>
        <w:pStyle w:val="752"/>
        <w:jc w:val="both"/>
        <w:rPr>
          <w:b/>
          <w:color w:val="auto"/>
          <w:sz w:val="44"/>
          <w:szCs w:val="44"/>
          <w:highlight w:val="none"/>
        </w:rPr>
      </w:pPr>
      <w:r>
        <w:rPr>
          <w:b/>
          <w:color w:val="auto"/>
          <w:sz w:val="44"/>
          <w:szCs w:val="44"/>
          <w:highlight w:val="none"/>
        </w:rPr>
      </w:r>
      <w:r/>
    </w:p>
    <w:p>
      <w:pPr>
        <w:pStyle w:val="749"/>
        <w:numPr>
          <w:ilvl w:val="0"/>
          <w:numId w:val="8"/>
        </w:num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符合性审查文件部分</w:t>
      </w:r>
      <w:r/>
    </w:p>
    <w:p>
      <w:pPr>
        <w:pStyle w:val="749"/>
        <w:rPr>
          <w:rFonts w:ascii="宋体" w:hAnsi="宋体" w:eastAsia="宋体"/>
          <w:b/>
          <w:bCs/>
          <w:color w:val="auto"/>
          <w:szCs w:val="24"/>
          <w:highlight w:val="none"/>
        </w:rPr>
      </w:pPr>
      <w:r>
        <w:rPr>
          <w:rFonts w:hint="eastAsia"/>
          <w:b/>
          <w:bCs/>
          <w:color w:val="auto"/>
          <w:szCs w:val="21"/>
          <w:highlight w:val="none"/>
        </w:rPr>
        <w:t xml:space="preserve">                  </w:t>
      </w:r>
      <w:r/>
    </w:p>
    <w:p>
      <w:pPr>
        <w:ind w:firstLine="422"/>
        <w:jc w:val="both"/>
        <w:rPr>
          <w:rFonts w:ascii="宋体" w:hAnsi="宋体" w:cs="宋体"/>
          <w:b/>
          <w:color w:val="auto"/>
          <w:sz w:val="21"/>
          <w:szCs w:val="21"/>
          <w:highlight w:val="none"/>
        </w:rPr>
      </w:pPr>
      <w:r>
        <w:rPr>
          <w:rFonts w:hint="eastAsia" w:ascii="宋体" w:hAnsi="宋体" w:cs="宋体"/>
          <w:b/>
          <w:color w:val="auto"/>
          <w:sz w:val="21"/>
          <w:szCs w:val="21"/>
          <w:highlight w:val="none"/>
          <w:lang w:bidi="ar"/>
        </w:rPr>
        <w:t xml:space="preserve">格式5：</w:t>
      </w:r>
      <w:r>
        <w:rPr>
          <w:rFonts w:hint="eastAsia" w:ascii="宋体" w:hAnsi="宋体" w:cs="宋体"/>
          <w:b/>
          <w:color w:val="auto"/>
          <w:sz w:val="21"/>
          <w:szCs w:val="21"/>
          <w:highlight w:val="none"/>
        </w:rPr>
        <w:t xml:space="preserve">服务要求偏离表</w:t>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服务要求偏离表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351"/>
        <w:gridCol w:w="2370"/>
        <w:gridCol w:w="2631"/>
        <w:gridCol w:w="1924"/>
      </w:tblGrid>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351" w:type="dxa"/>
            <w:vAlign w:val="center"/>
            <w:textDirection w:val="lrTb"/>
            <w:noWrap w:val="false"/>
          </w:tcPr>
          <w:p>
            <w:pPr>
              <w:pStyle w:val="749"/>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749"/>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749"/>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1924" w:type="dxa"/>
            <w:vAlign w:val="center"/>
            <w:textDirection w:val="lrTb"/>
            <w:noWrap w:val="false"/>
          </w:tcPr>
          <w:p>
            <w:pPr>
              <w:pStyle w:val="749"/>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35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24"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35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24"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35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24"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35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24"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35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24"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35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24"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35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24" w:type="dxa"/>
            <w:textDirection w:val="lrTb"/>
            <w:noWrap w:val="false"/>
          </w:tcPr>
          <w:p>
            <w:pPr>
              <w:pStyle w:val="74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2"/>
        <w:jc w:val="both"/>
        <w:rPr>
          <w:rFonts w:ascii="宋体" w:hAnsi="宋体" w:cs="宋体"/>
          <w:b/>
          <w:color w:val="auto"/>
          <w:sz w:val="21"/>
          <w:szCs w:val="21"/>
          <w:highlight w:val="none"/>
          <w:lang w:bidi="ar"/>
        </w:rPr>
      </w:pPr>
      <w:r>
        <w:rPr>
          <w:rFonts w:ascii="宋体" w:hAnsi="宋体" w:cs="宋体"/>
          <w:b/>
          <w:color w:val="auto"/>
          <w:sz w:val="21"/>
          <w:szCs w:val="21"/>
          <w:highlight w:val="none"/>
          <w:lang w:bidi="ar"/>
        </w:rPr>
      </w:r>
      <w:r/>
    </w:p>
    <w:p>
      <w:pPr>
        <w:ind w:firstLine="422"/>
        <w:jc w:val="both"/>
        <w:rPr>
          <w:rFonts w:ascii="宋体" w:hAnsi="宋体" w:cs="宋体"/>
          <w:b/>
          <w:color w:val="auto"/>
          <w:sz w:val="21"/>
          <w:szCs w:val="21"/>
          <w:highlight w:val="none"/>
          <w:lang w:bidi="ar"/>
        </w:rPr>
      </w:pPr>
      <w:r>
        <w:rPr>
          <w:rFonts w:ascii="宋体" w:hAnsi="宋体" w:cs="宋体"/>
          <w:b/>
          <w:color w:val="auto"/>
          <w:sz w:val="21"/>
          <w:szCs w:val="21"/>
          <w:highlight w:val="none"/>
          <w:lang w:bidi="ar"/>
        </w:rPr>
      </w:r>
      <w:r/>
    </w:p>
    <w:p>
      <w:pPr>
        <w:ind w:firstLine="422"/>
        <w:jc w:val="both"/>
        <w:rPr>
          <w:rFonts w:ascii="宋体" w:hAnsi="宋体" w:cs="宋体"/>
          <w:b/>
          <w:color w:val="auto"/>
          <w:sz w:val="21"/>
          <w:szCs w:val="21"/>
          <w:highlight w:val="none"/>
          <w:lang w:bidi="ar"/>
        </w:rPr>
      </w:pPr>
      <w:r>
        <w:rPr>
          <w:rFonts w:ascii="宋体" w:hAnsi="宋体" w:cs="宋体"/>
          <w:b/>
          <w:color w:val="auto"/>
          <w:sz w:val="21"/>
          <w:szCs w:val="21"/>
          <w:highlight w:val="none"/>
          <w:lang w:bidi="ar"/>
        </w:rPr>
      </w:r>
      <w:r/>
    </w:p>
    <w:p>
      <w:pPr>
        <w:jc w:val="both"/>
        <w:rPr>
          <w:rFonts w:ascii="宋体" w:hAnsi="宋体" w:cs="宋体"/>
          <w:b/>
          <w:color w:val="auto"/>
          <w:sz w:val="21"/>
          <w:szCs w:val="21"/>
          <w:highlight w:val="none"/>
          <w:lang w:bidi="ar"/>
        </w:rPr>
      </w:pPr>
      <w:r>
        <w:rPr>
          <w:rFonts w:ascii="宋体" w:hAnsi="宋体" w:cs="宋体"/>
          <w:b/>
          <w:color w:val="auto"/>
          <w:sz w:val="21"/>
          <w:szCs w:val="21"/>
          <w:highlight w:val="none"/>
          <w:lang w:bidi="ar"/>
        </w:rPr>
      </w:r>
      <w:r/>
    </w:p>
    <w:p>
      <w:pPr>
        <w:ind w:firstLine="422"/>
        <w:jc w:val="both"/>
        <w:rPr>
          <w:rFonts w:ascii="宋体" w:hAnsi="宋体" w:cs="宋体"/>
          <w:b/>
          <w:color w:val="auto"/>
          <w:sz w:val="21"/>
          <w:szCs w:val="21"/>
          <w:highlight w:val="none"/>
          <w:lang w:bidi="ar"/>
        </w:rPr>
      </w:pPr>
      <w:r>
        <w:rPr>
          <w:rFonts w:ascii="宋体" w:hAnsi="宋体" w:cs="宋体"/>
          <w:b/>
          <w:color w:val="auto"/>
          <w:sz w:val="21"/>
          <w:szCs w:val="21"/>
          <w:highlight w:val="none"/>
          <w:lang w:bidi="ar"/>
        </w:rPr>
      </w:r>
      <w:r/>
    </w:p>
    <w:p>
      <w:pPr>
        <w:ind w:firstLine="422"/>
        <w:jc w:val="both"/>
        <w:rPr>
          <w:rFonts w:ascii="宋体" w:hAnsi="宋体" w:cs="宋体"/>
          <w:b/>
          <w:color w:val="auto"/>
          <w:sz w:val="21"/>
          <w:szCs w:val="21"/>
          <w:highlight w:val="none"/>
        </w:rPr>
      </w:pPr>
      <w:r>
        <w:rPr>
          <w:rFonts w:hint="eastAsia" w:ascii="宋体" w:hAnsi="宋体" w:cs="宋体"/>
          <w:b/>
          <w:color w:val="auto"/>
          <w:sz w:val="21"/>
          <w:szCs w:val="21"/>
          <w:highlight w:val="none"/>
          <w:lang w:bidi="ar"/>
        </w:rPr>
        <w:t xml:space="preserve">格式6：</w:t>
      </w:r>
      <w:r>
        <w:rPr>
          <w:rFonts w:hint="eastAsia" w:ascii="宋体" w:hAnsi="宋体" w:cs="宋体"/>
          <w:b/>
          <w:color w:val="auto"/>
          <w:spacing w:val="20"/>
          <w:sz w:val="21"/>
          <w:szCs w:val="21"/>
          <w:highlight w:val="none"/>
        </w:rPr>
        <w:t xml:space="preserve">商务条款偏离表</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ascii="宋体" w:hAnsi="宋体" w:cs="宋体"/>
          <w:b/>
          <w:color w:val="auto"/>
          <w:spacing w:val="20"/>
          <w:sz w:val="21"/>
          <w:szCs w:val="21"/>
          <w:highlight w:val="none"/>
        </w:rPr>
      </w:pPr>
      <w:r>
        <w:rPr>
          <w:rFonts w:hint="eastAsia" w:ascii="宋体" w:hAnsi="宋体" w:cs="宋体"/>
          <w:b/>
          <w:color w:val="auto"/>
          <w:spacing w:val="20"/>
          <w:sz w:val="21"/>
          <w:szCs w:val="21"/>
          <w:highlight w:val="none"/>
        </w:rPr>
        <w:t xml:space="preserve">商务条款偏离表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招标编号∶</w:t>
      </w:r>
      <w:r/>
    </w:p>
    <w:tbl>
      <w:tblPr>
        <w:tblStyle w:val="746"/>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5"/>
        <w:gridCol w:w="1565"/>
        <w:gridCol w:w="2906"/>
        <w:gridCol w:w="2298"/>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投标报价</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835"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4" w:space="0"/>
              <w:right w:val="single" w:color="auto" w:sz="4" w:space="0"/>
            </w:tcBorders>
            <w:tcW w:w="1565"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4" w:space="0"/>
              <w:right w:val="single" w:color="auto" w:sz="8" w:space="0"/>
            </w:tcBorders>
            <w:tcW w:w="2906"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4" w:space="0"/>
              <w:right w:val="single" w:color="auto" w:sz="8" w:space="0"/>
            </w:tcBorders>
            <w:tcW w:w="229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660"/>
        </w:trPr>
        <w:tc>
          <w:tcPr>
            <w:tcBorders>
              <w:top w:val="single" w:color="auto" w:sz="4"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Borders>
              <w:top w:val="single" w:color="auto" w:sz="4"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服务地点</w:t>
            </w:r>
            <w:r/>
          </w:p>
        </w:tc>
        <w:tc>
          <w:tcPr>
            <w:tcBorders>
              <w:top w:val="single" w:color="auto" w:sz="4"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4"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pStyle w:val="749"/>
        <w:numPr>
          <w:ilvl w:val="0"/>
          <w:numId w:val="8"/>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技术及商务部分（投标人视各自的情况按评审要求自行编制）</w:t>
      </w:r>
      <w:r/>
    </w:p>
    <w:p>
      <w:pPr>
        <w:ind w:firstLine="422"/>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格式7：相关证书一览表</w:t>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74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47"/>
        <w:gridCol w:w="2377"/>
        <w:gridCol w:w="1800"/>
        <w:gridCol w:w="1765"/>
        <w:gridCol w:w="1823"/>
      </w:tblGrid>
      <w:tr>
        <w:trPr>
          <w:cantSplit/>
          <w:jc w:val="center"/>
          <w:trHeight w:val="740"/>
        </w:trPr>
        <w:tc>
          <w:tcPr>
            <w:tcW w:w="1547"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2377"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800"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765"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37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76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37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76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37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76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37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76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37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76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ascii="宋体" w:hAnsi="宋体" w:cs="宋体"/>
          <w:color w:val="auto"/>
          <w:highlight w:val="none"/>
        </w:rPr>
      </w:pPr>
      <w:r>
        <w:rPr>
          <w:rFonts w:ascii="宋体" w:hAnsi="宋体" w:cs="宋体"/>
          <w:color w:val="auto"/>
          <w:highlight w:val="none"/>
        </w:rPr>
      </w:r>
      <w:r/>
    </w:p>
    <w:p>
      <w:pPr>
        <w:pStyle w:val="749"/>
        <w:ind w:firstLine="0"/>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49"/>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格式8：</w:t>
      </w:r>
      <w:r>
        <w:rPr>
          <w:rFonts w:hint="eastAsia" w:ascii="宋体" w:hAnsi="宋体" w:eastAsia="宋体" w:cs="宋体"/>
          <w:b/>
          <w:bCs/>
          <w:color w:val="auto"/>
          <w:sz w:val="21"/>
          <w:szCs w:val="21"/>
          <w:highlight w:val="none"/>
        </w:rPr>
        <w:t xml:space="preserve">相关业绩一览表</w:t>
      </w:r>
      <w:r/>
    </w:p>
    <w:p>
      <w:pPr>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p>
      <w:pPr>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74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合同签订时间</w:t>
            </w:r>
            <w:r/>
          </w:p>
        </w:tc>
        <w:tc>
          <w:tcPr>
            <w:tcW w:w="1337"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pStyle w:val="749"/>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格式9：投入本项目技术（服务）人员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jc w:val="center"/>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spacing w:after="120"/>
        <w:rPr>
          <w:color w:val="auto"/>
          <w:highlight w:val="none"/>
        </w:rPr>
      </w:pPr>
      <w:r>
        <w:rPr>
          <w:color w:val="auto"/>
          <w:highlight w:val="none"/>
        </w:rPr>
      </w:r>
      <w:r/>
    </w:p>
    <w:tbl>
      <w:tblPr>
        <w:tblStyle w:val="7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相关证书、职称</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ind w:firstLine="492"/>
        <w:spacing w:line="360" w:lineRule="auto"/>
        <w:rPr>
          <w:rFonts w:ascii="宋体" w:hAnsi="宋体" w:cs="宋体"/>
          <w:color w:val="auto"/>
          <w:sz w:val="21"/>
          <w:szCs w:val="21"/>
          <w:highlight w:val="none"/>
          <w:u w:val="single"/>
        </w:rPr>
      </w:pPr>
      <w:r>
        <w:rPr>
          <w:rFonts w:ascii="宋体" w:hAnsi="宋体" w:cs="宋体"/>
          <w:color w:val="auto"/>
          <w:sz w:val="21"/>
          <w:szCs w:val="21"/>
          <w:highlight w:val="none"/>
          <w:u w:val="single"/>
        </w:rPr>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ind w:firstLine="525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pStyle w:val="749"/>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9"/>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9"/>
        <w:ind w:firstLine="422"/>
        <w:spacing w:line="360" w:lineRule="auto"/>
        <w:rPr>
          <w:color w:val="auto"/>
          <w:highlight w:val="none"/>
          <w:lang w:val="zh-CN"/>
        </w:rPr>
      </w:pPr>
      <w:r>
        <w:rPr>
          <w:rFonts w:hint="eastAsia" w:ascii="宋体" w:hAnsi="宋体" w:eastAsia="宋体" w:cs="宋体"/>
          <w:b/>
          <w:bCs/>
          <w:color w:val="auto"/>
          <w:sz w:val="21"/>
          <w:szCs w:val="21"/>
          <w:highlight w:val="none"/>
        </w:rPr>
        <w:t xml:space="preserve">4、价格折扣文件</w:t>
      </w:r>
      <w:r/>
    </w:p>
    <w:p>
      <w:pPr>
        <w:pStyle w:val="749"/>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9"/>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格式10：中小企业声明函（如有）</w:t>
      </w:r>
      <w:r/>
    </w:p>
    <w:p>
      <w:pPr>
        <w:spacing w:line="40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zh-CN"/>
        </w:rPr>
        <w:t xml:space="preserve">中小企业声明函</w:t>
      </w:r>
      <w:r/>
    </w:p>
    <w:p>
      <w:pPr>
        <w:pStyle w:val="806"/>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752"/>
        <w:ind w:right="355" w:firstLine="412"/>
        <w:jc w:val="both"/>
        <w:spacing w:line="360" w:lineRule="auto"/>
        <w:widowControl w:val="off"/>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834"/>
        <w:numPr>
          <w:ilvl w:val="0"/>
          <w:numId w:val="9"/>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834"/>
        <w:numPr>
          <w:ilvl w:val="0"/>
          <w:numId w:val="9"/>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752"/>
        <w:ind w:left="860"/>
        <w:spacing w:before="11"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752"/>
        <w:ind w:right="357" w:firstLine="645"/>
        <w:jc w:val="both"/>
        <w:spacing w:before="108" w:line="360" w:lineRule="auto"/>
        <w:widowControl w:val="off"/>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752"/>
        <w:ind w:right="315" w:firstLine="64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ind w:firstLine="420"/>
        <w:spacing w:line="40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0"/>
        <w:spacing w:line="40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2"/>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格式11：</w:t>
      </w:r>
      <w:r>
        <w:rPr>
          <w:rFonts w:hint="eastAsia" w:ascii="宋体" w:hAnsi="宋体" w:cs="宋体"/>
          <w:b/>
          <w:color w:val="auto"/>
          <w:sz w:val="21"/>
          <w:szCs w:val="21"/>
          <w:highlight w:val="none"/>
        </w:rPr>
        <w:t xml:space="preserve">残疾人福利性单位</w:t>
      </w:r>
      <w:r>
        <w:rPr>
          <w:rFonts w:hint="eastAsia" w:ascii="宋体" w:hAnsi="宋体" w:cs="宋体"/>
          <w:b/>
          <w:bCs/>
          <w:color w:val="auto"/>
          <w:sz w:val="21"/>
          <w:szCs w:val="21"/>
          <w:highlight w:val="none"/>
        </w:rPr>
        <w:t xml:space="preserve">声明函（如有）</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25"/>
        <w:ind w:left="3400" w:firstLine="425"/>
        <w:spacing w:line="360" w:lineRule="auto"/>
        <w:rPr>
          <w:rFonts w:hAnsi="宋体" w:cs="宋体"/>
          <w:color w:val="auto"/>
          <w:sz w:val="21"/>
          <w:szCs w:val="21"/>
          <w:highlight w:val="none"/>
        </w:rPr>
      </w:pPr>
      <w:r>
        <w:rPr>
          <w:rFonts w:hint="eastAsia" w:hAnsi="宋体" w:cs="宋体"/>
          <w:color w:val="auto"/>
          <w:sz w:val="21"/>
          <w:szCs w:val="21"/>
          <w:highlight w:val="none"/>
        </w:rPr>
        <w:t xml:space="preserve">投标人：（盖章）</w:t>
      </w:r>
      <w:r/>
    </w:p>
    <w:p>
      <w:pPr>
        <w:pStyle w:val="825"/>
        <w:ind w:left="3825"/>
        <w:spacing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825"/>
        <w:ind w:firstLine="5250"/>
        <w:spacing w:line="360" w:lineRule="auto"/>
        <w:rPr>
          <w:rFonts w:hAnsi="宋体" w:cs="宋体"/>
          <w:color w:val="auto"/>
          <w:sz w:val="21"/>
          <w:szCs w:val="21"/>
          <w:highlight w:val="none"/>
        </w:rPr>
      </w:pPr>
      <w:r>
        <w:rPr>
          <w:rFonts w:hint="eastAsia" w:hAnsi="宋体" w:cs="宋体"/>
          <w:color w:val="auto"/>
          <w:sz w:val="21"/>
          <w:szCs w:val="21"/>
          <w:highlight w:val="none"/>
        </w:rPr>
        <w:t xml:space="preserve">年     月     日</w:t>
      </w:r>
      <w:r/>
    </w:p>
    <w:p>
      <w:pPr>
        <w:pStyle w:val="767"/>
        <w:jc w:val="both"/>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66"/>
        <w:spacing w:before="0" w:beforeAutospacing="0" w:after="0" w:afterAutospacing="0" w:line="360" w:lineRule="auto"/>
        <w:rPr>
          <w:color w:val="auto"/>
          <w:sz w:val="21"/>
          <w:szCs w:val="21"/>
          <w:highlight w:val="none"/>
        </w:rPr>
      </w:pPr>
      <w:r/>
      <w:bookmarkStart w:id="13"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13"/>
      <w:r/>
      <w:r/>
    </w:p>
    <w:p>
      <w:pPr>
        <w:spacing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spacing w:line="400" w:lineRule="exact"/>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格式12：服务方案及其他招标文件要求自行编写格式</w:t>
      </w:r>
      <w:r/>
    </w:p>
    <w:p>
      <w:pPr>
        <w:spacing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jc w:val="both"/>
        <w:spacing w:line="360" w:lineRule="auto"/>
        <w:rPr>
          <w:rStyle w:val="781"/>
          <w:rFonts w:hint="eastAsia" w:ascii="宋体" w:hAnsi="宋体" w:eastAsia="宋体" w:cs="宋体"/>
          <w:color w:val="auto"/>
          <w:sz w:val="32"/>
          <w:szCs w:val="32"/>
          <w:highlight w:val="none"/>
        </w:rPr>
      </w:pPr>
      <w:r/>
      <w:bookmarkStart w:id="14" w:name="_Toc19345"/>
      <w:r/>
      <w:r/>
    </w:p>
    <w:p>
      <w:pPr>
        <w:jc w:val="center"/>
        <w:spacing w:line="360" w:lineRule="auto"/>
        <w:rPr>
          <w:rStyle w:val="781"/>
          <w:rFonts w:ascii="宋体" w:hAnsi="宋体" w:eastAsia="宋体" w:cs="宋体"/>
          <w:color w:val="auto"/>
          <w:sz w:val="32"/>
          <w:szCs w:val="32"/>
          <w:highlight w:val="none"/>
        </w:rPr>
      </w:pPr>
      <w:r>
        <w:rPr>
          <w:rStyle w:val="781"/>
          <w:rFonts w:hint="eastAsia" w:ascii="宋体" w:hAnsi="宋体" w:eastAsia="宋体" w:cs="宋体"/>
          <w:color w:val="auto"/>
          <w:sz w:val="32"/>
          <w:szCs w:val="32"/>
          <w:highlight w:val="none"/>
        </w:rPr>
        <w:t xml:space="preserve">第五章 评标办法及评分标准</w:t>
      </w:r>
      <w:bookmarkEnd w:id="14"/>
      <w:r/>
    </w:p>
    <w:p>
      <w:pPr>
        <w:pStyle w:val="806"/>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806"/>
        <w:numPr>
          <w:ilvl w:val="0"/>
          <w:numId w:val="10"/>
        </w:numPr>
        <w:ind w:left="0"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10"/>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10"/>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10"/>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 节能产品和环境标志产品</w:t>
      </w:r>
      <w:r/>
    </w:p>
    <w:p>
      <w:pPr>
        <w:ind w:firstLine="420"/>
        <w:spacing w:line="360" w:lineRule="auto"/>
        <w:rPr>
          <w:rFonts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4.2. 小微企业的价格分评审</w:t>
      </w:r>
      <w:r/>
    </w:p>
    <w:p>
      <w:pPr>
        <w:ind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本项目属于非专门面向中小微企业采购的项目，小微企业参与本项目的对其价格给予20%的扣除，用扣除后的价格参与评审。相关要求根据财政部《政府采购促进中小企业发展管理办法》（财库﹝2020﹞46号）及苏州市财政局《关于进一步做好政府采购政策贯彻执行工作的通知》（苏财购〔2017〕10号）、太财购[2022]12号）的规定执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（1）中小企业划分标准详见“工信部联企业〔2011〕300号通知”。</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（4）提供其他企业制造的货物或服务，须同时提供其他企业的小微企业证明材料（材料同上条）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（5）在货物采购项目中，供应商提供的货物既有小、微企业制造货物，也有中、大型企业制造货物的，不享受本办法规定的小、微企业价格扶持政策。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（7）符合中小企业划分标准的个体工商户，在政府采购活动中视同中小企业。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（8）中标、成交供应商为小微企业单位的，《中小企业声明函》应当随中标、成交结果同时公告，接受社会监督。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填报“中小企业声明函”需严格按“工信部联企业〔2011〕300号通知”中的《中小企业划型标准规定》进行。</w:t>
      </w:r>
      <w:r/>
    </w:p>
    <w:p>
      <w:pPr>
        <w:pStyle w:val="766"/>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4.3. 残疾人福利性单位政策：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pStyle w:val="766"/>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4.4. 监狱企业发展政策：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4.6. 信用查询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单位将对供应商进行信用查询，凡经确认不符合政府采购相关法律法规规定的，将拒绝其参与政府采购活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（2）查询渠道：通过“信用中国”网站、中国政府采购网等渠道查询相关主体信用记录。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采购包1：</w:t>
      </w:r>
      <w:r/>
    </w:p>
    <w:tbl>
      <w:tblPr>
        <w:tblStyle w:val="746"/>
        <w:tblW w:w="4937" w:type="pct"/>
        <w:jc w:val="center"/>
        <w:tblLayout w:type="fixed"/>
        <w:tblCellMar>
          <w:left w:w="108" w:type="dxa"/>
          <w:top w:w="0" w:type="dxa"/>
          <w:right w:w="108" w:type="dxa"/>
          <w:bottom w:w="0" w:type="dxa"/>
        </w:tblCellMar>
        <w:tblLook w:val="04A0" w:firstRow="1" w:lastRow="0" w:firstColumn="1" w:lastColumn="0" w:noHBand="0" w:noVBand="1"/>
      </w:tblPr>
      <w:tblGrid>
        <w:gridCol w:w="733"/>
        <w:gridCol w:w="897"/>
        <w:gridCol w:w="889"/>
        <w:gridCol w:w="6998"/>
      </w:tblGrid>
      <w:tr>
        <w:trPr>
          <w:jc w:val="center"/>
          <w:trHeight w:val="944"/>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3676" w:type="pct"/>
            <w:vAlign w:val="center"/>
            <w:textDirection w:val="lrTb"/>
            <w:noWrap w:val="false"/>
          </w:tcPr>
          <w:p>
            <w:pPr>
              <w:ind w:firstLine="42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评审标准</w:t>
            </w:r>
            <w:r/>
          </w:p>
        </w:tc>
      </w:tr>
      <w:tr>
        <w:trPr>
          <w:jc w:val="center"/>
          <w:trHeight w:val="948"/>
        </w:trPr>
        <w:tc>
          <w:tcPr>
            <w:shd w:val="clear" w:color="auto" w:fill="auto"/>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价格</w:t>
            </w:r>
            <w:r/>
          </w:p>
        </w:tc>
        <w:tc>
          <w:tcPr>
            <w:shd w:val="clear" w:color="auto" w:fill="auto"/>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20分</w:t>
            </w:r>
            <w:r/>
          </w:p>
        </w:tc>
        <w:tc>
          <w:tcPr>
            <w:shd w:val="clear" w:color="auto" w:fill="auto"/>
            <w:tcBorders>
              <w:top w:val="none" w:color="000000" w:sz="4" w:space="0"/>
              <w:left w:val="none" w:color="000000" w:sz="4" w:space="0"/>
              <w:bottom w:val="single" w:color="auto" w:sz="4" w:space="0"/>
              <w:right w:val="single" w:color="auto" w:sz="4" w:space="0"/>
            </w:tcBorders>
            <w:tcW w:w="3676" w:type="pct"/>
            <w:vAlign w:val="center"/>
            <w:textDirection w:val="lrTb"/>
            <w:noWrap w:val="false"/>
          </w:tcPr>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第一步：投标报价低于或等于财政预算价格的，为有效投标报价。超财政预算的投标报价或招标文件规定的报价为无效投标报价。无效投标报价的投标文件不进行评审，也不得标。</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    第二步：在所有有效投标报价中满足招标文件要求，且投标价格最低的投标报价为评标基准价，其价格分为20分，其他投标人的价格分按照下列公式计算（计算结果四舍五入 保留两位小数）。</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投标报价得分＝（评标基准价/投标报价）×20％×100</w:t>
            </w:r>
            <w:r/>
          </w:p>
        </w:tc>
      </w:tr>
      <w:tr>
        <w:trPr>
          <w:jc w:val="center"/>
          <w:trHeight w:val="532"/>
        </w:trPr>
        <w:tc>
          <w:tcPr>
            <w:shd w:val="clear" w:color="auto" w:fill="auto"/>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项目规划方案</w:t>
            </w:r>
            <w:r/>
          </w:p>
        </w:tc>
        <w:tc>
          <w:tcPr>
            <w:shd w:val="clear" w:color="auto" w:fill="auto"/>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24分</w:t>
            </w:r>
            <w:r/>
          </w:p>
        </w:tc>
        <w:tc>
          <w:tcPr>
            <w:shd w:val="clear" w:color="auto" w:fill="auto"/>
            <w:tcBorders>
              <w:top w:val="none" w:color="000000" w:sz="4" w:space="0"/>
              <w:left w:val="none" w:color="000000" w:sz="4" w:space="0"/>
              <w:bottom w:val="single" w:color="auto" w:sz="4" w:space="0"/>
              <w:right w:val="single" w:color="auto" w:sz="4" w:space="0"/>
            </w:tcBorders>
            <w:tcW w:w="3676" w:type="pct"/>
            <w:vAlign w:val="center"/>
            <w:textDirection w:val="lrTb"/>
            <w:noWrap w:val="false"/>
          </w:tcPr>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方案内容包括但不限于：①五年评估②太仓市城市重要控制线统筹优化专项研究。方案内容针对本项目且符合本项目实际需求的，每满足1项得12分，本项总分为24分。</w:t>
            </w:r>
            <w:r/>
          </w:p>
        </w:tc>
      </w:tr>
      <w:tr>
        <w:trPr>
          <w:jc w:val="center"/>
          <w:trHeight w:val="758"/>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tcPr>
          <w:p>
            <w:pPr>
              <w:jc w:val="center"/>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widowControl w:val="off"/>
              <w:rPr>
                <w:rFonts w:ascii="宋体" w:hAnsi="宋体" w:cs="宋体"/>
                <w:color w:val="auto"/>
                <w:sz w:val="20"/>
                <w:szCs w:val="20"/>
                <w:highlight w:val="none"/>
              </w:rPr>
            </w:pPr>
            <w:r>
              <w:rPr>
                <w:rFonts w:ascii="Calibri" w:hAnsi="Calibri"/>
                <w:color w:val="auto"/>
                <w:sz w:val="21"/>
                <w:szCs w:val="21"/>
                <w:highlight w:val="none"/>
              </w:rPr>
              <w:t xml:space="preserve">组织管理</w:t>
            </w:r>
            <w:r>
              <w:rPr>
                <w:rFonts w:hint="eastAsia" w:ascii="Calibri" w:hAnsi="Calibri"/>
                <w:color w:val="auto"/>
                <w:sz w:val="21"/>
                <w:szCs w:val="21"/>
                <w:highlight w:val="none"/>
              </w:rPr>
              <w:t xml:space="preserve">方案</w:t>
            </w:r>
            <w:r/>
          </w:p>
        </w:tc>
        <w:tc>
          <w:tcPr>
            <w:shd w:val="clear" w:color="auto" w:fill="auto"/>
            <w:tcBorders>
              <w:top w:val="single" w:color="auto"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12分</w:t>
            </w:r>
            <w:r/>
          </w:p>
        </w:tc>
        <w:tc>
          <w:tcPr>
            <w:shd w:val="clear" w:color="auto" w:fill="auto"/>
            <w:tcBorders>
              <w:top w:val="single" w:color="auto" w:sz="4" w:space="0"/>
              <w:left w:val="none" w:color="000000" w:sz="4" w:space="0"/>
              <w:bottom w:val="single" w:color="auto" w:sz="4" w:space="0"/>
              <w:right w:val="single" w:color="auto" w:sz="4" w:space="0"/>
            </w:tcBorders>
            <w:tcW w:w="3676" w:type="pct"/>
            <w:vAlign w:val="center"/>
            <w:textDirection w:val="lrTb"/>
            <w:noWrap w:val="false"/>
          </w:tcPr>
          <w:p>
            <w:pPr>
              <w:ind w:firstLine="420"/>
              <w:jc w:val="both"/>
              <w:spacing w:line="360" w:lineRule="auto"/>
              <w:widowControl w:val="off"/>
              <w:rPr>
                <w:rFonts w:ascii="宋体" w:hAnsi="宋体" w:cs="宋体"/>
                <w:color w:val="auto"/>
                <w:sz w:val="22"/>
                <w:szCs w:val="22"/>
                <w:highlight w:val="none"/>
              </w:rPr>
            </w:pPr>
            <w:r>
              <w:rPr>
                <w:rFonts w:hint="eastAsia" w:ascii="宋体" w:hAnsi="宋体" w:cs="宋体"/>
                <w:color w:val="auto"/>
                <w:sz w:val="21"/>
                <w:szCs w:val="21"/>
                <w:highlight w:val="none"/>
              </w:rPr>
              <w:t xml:space="preserve">方案内容包括但不限于：①</w:t>
            </w:r>
            <w:r>
              <w:rPr>
                <w:rFonts w:hint="eastAsia" w:ascii="Calibri" w:hAnsi="Calibri"/>
                <w:color w:val="auto"/>
                <w:sz w:val="21"/>
                <w:szCs w:val="21"/>
                <w:highlight w:val="none"/>
              </w:rPr>
              <w:t xml:space="preserve">项目进度保障方案</w:t>
            </w:r>
            <w:r>
              <w:rPr>
                <w:rFonts w:hint="eastAsia" w:ascii="宋体" w:hAnsi="宋体" w:cs="宋体"/>
                <w:color w:val="auto"/>
                <w:sz w:val="21"/>
                <w:szCs w:val="21"/>
                <w:highlight w:val="none"/>
              </w:rPr>
              <w:t xml:space="preserve">②</w:t>
            </w:r>
            <w:r>
              <w:rPr>
                <w:rFonts w:hint="eastAsia" w:ascii="Calibri" w:hAnsi="Calibri"/>
                <w:color w:val="auto"/>
                <w:sz w:val="21"/>
                <w:szCs w:val="21"/>
                <w:highlight w:val="none"/>
              </w:rPr>
              <w:t xml:space="preserve">项目质量管理方案</w:t>
            </w:r>
            <w:r>
              <w:rPr>
                <w:rFonts w:hint="eastAsia" w:ascii="宋体" w:hAnsi="宋体" w:cs="宋体"/>
                <w:color w:val="auto"/>
                <w:sz w:val="21"/>
                <w:szCs w:val="21"/>
                <w:highlight w:val="none"/>
              </w:rPr>
              <w:t xml:space="preserve">③</w:t>
            </w:r>
            <w:r>
              <w:rPr>
                <w:rFonts w:hint="eastAsia" w:ascii="Calibri" w:hAnsi="Calibri"/>
                <w:color w:val="auto"/>
                <w:sz w:val="21"/>
                <w:szCs w:val="21"/>
                <w:highlight w:val="none"/>
              </w:rPr>
              <w:t xml:space="preserve">后续服务方案。</w:t>
            </w:r>
            <w:r>
              <w:rPr>
                <w:rFonts w:hint="eastAsia" w:ascii="宋体" w:hAnsi="宋体" w:cs="宋体"/>
                <w:bCs/>
                <w:color w:val="auto"/>
                <w:sz w:val="21"/>
                <w:szCs w:val="21"/>
                <w:highlight w:val="none"/>
              </w:rPr>
              <w:t xml:space="preserve">方案内容针对本项目且符合本项目实际需求的，每满足1项得4分，本项总分为12分。</w:t>
            </w:r>
            <w:r/>
          </w:p>
        </w:tc>
      </w:tr>
      <w:tr>
        <w:trPr>
          <w:jc w:val="center"/>
          <w:trHeight w:val="1072"/>
        </w:trPr>
        <w:tc>
          <w:tcPr>
            <w:shd w:val="clear" w:color="auto" w:fill="auto"/>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类似业绩</w:t>
            </w:r>
            <w:r/>
          </w:p>
        </w:tc>
        <w:tc>
          <w:tcPr>
            <w:shd w:val="clear" w:color="auto" w:fill="auto"/>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8分</w:t>
            </w:r>
            <w:r/>
          </w:p>
        </w:tc>
        <w:tc>
          <w:tcPr>
            <w:shd w:val="clear" w:color="auto" w:fill="auto"/>
            <w:tcBorders>
              <w:top w:val="none" w:color="000000" w:sz="4" w:space="0"/>
              <w:left w:val="none" w:color="000000" w:sz="4" w:space="0"/>
              <w:bottom w:val="single" w:color="auto" w:sz="4" w:space="0"/>
              <w:right w:val="single" w:color="auto" w:sz="4" w:space="0"/>
            </w:tcBorders>
            <w:tcW w:w="3676" w:type="pct"/>
            <w:vAlign w:val="center"/>
            <w:textDirection w:val="lrTb"/>
            <w:noWrap w:val="false"/>
          </w:tcPr>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投标人</w:t>
            </w:r>
            <w:r>
              <w:rPr>
                <w:rFonts w:ascii="宋体" w:hAnsi="宋体" w:cs="宋体"/>
                <w:color w:val="auto"/>
                <w:sz w:val="21"/>
                <w:szCs w:val="21"/>
                <w:highlight w:val="none"/>
              </w:rPr>
              <w:t xml:space="preserve">202</w:t>
            </w:r>
            <w:r>
              <w:rPr>
                <w:rFonts w:hint="eastAsia" w:ascii="宋体" w:hAnsi="宋体" w:cs="宋体"/>
                <w:color w:val="auto"/>
                <w:sz w:val="21"/>
                <w:szCs w:val="21"/>
                <w:highlight w:val="none"/>
              </w:rPr>
              <w:t xml:space="preserve">3年</w:t>
            </w:r>
            <w:r>
              <w:rPr>
                <w:rFonts w:ascii="宋体" w:hAnsi="宋体" w:cs="宋体"/>
                <w:color w:val="auto"/>
                <w:sz w:val="21"/>
                <w:szCs w:val="21"/>
                <w:highlight w:val="none"/>
              </w:rPr>
              <w:t xml:space="preserve">1月1日以来</w:t>
            </w:r>
            <w:r>
              <w:rPr>
                <w:rFonts w:hint="eastAsia" w:ascii="宋体" w:hAnsi="宋体" w:cs="宋体"/>
                <w:color w:val="auto"/>
                <w:sz w:val="21"/>
                <w:szCs w:val="21"/>
                <w:highlight w:val="none"/>
              </w:rPr>
              <w:t xml:space="preserve">（以合同签订日期为准）</w:t>
            </w:r>
            <w:r>
              <w:rPr>
                <w:rFonts w:ascii="宋体" w:hAnsi="宋体" w:cs="宋体"/>
                <w:color w:val="auto"/>
                <w:sz w:val="21"/>
                <w:szCs w:val="21"/>
                <w:highlight w:val="none"/>
              </w:rPr>
              <w:t xml:space="preserve">承担的</w:t>
            </w:r>
            <w:r>
              <w:rPr>
                <w:rFonts w:hint="eastAsia" w:ascii="宋体" w:hAnsi="宋体" w:cs="宋体"/>
                <w:color w:val="auto"/>
                <w:sz w:val="21"/>
                <w:szCs w:val="21"/>
                <w:highlight w:val="none"/>
              </w:rPr>
              <w:t xml:space="preserve">县（市、区）级及以上国土空间总体规划或国土空间总体规划实施评估项目，有</w:t>
            </w:r>
            <w:r>
              <w:rPr>
                <w:rFonts w:ascii="宋体" w:hAnsi="宋体" w:cs="宋体"/>
                <w:color w:val="auto"/>
                <w:sz w:val="21"/>
                <w:szCs w:val="21"/>
                <w:highlight w:val="none"/>
              </w:rPr>
              <w:t xml:space="preserve">1个得2分，最高得8分（须提供合同扫描件</w:t>
            </w:r>
            <w:r>
              <w:rPr>
                <w:rFonts w:hint="eastAsia" w:ascii="宋体" w:hAnsi="宋体" w:cs="宋体"/>
                <w:color w:val="auto"/>
                <w:sz w:val="21"/>
                <w:szCs w:val="21"/>
                <w:highlight w:val="none"/>
              </w:rPr>
              <w:t xml:space="preserve">，不按要求提供不得分）</w:t>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项目负责人</w:t>
            </w:r>
            <w:r/>
          </w:p>
        </w:tc>
        <w:tc>
          <w:tcPr>
            <w:shd w:val="clear" w:color="auto" w:fill="auto"/>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8分</w:t>
            </w:r>
            <w:r/>
          </w:p>
        </w:tc>
        <w:tc>
          <w:tcPr>
            <w:shd w:val="clear" w:color="auto" w:fill="auto"/>
            <w:tcBorders>
              <w:top w:val="none" w:color="000000" w:sz="4" w:space="0"/>
              <w:left w:val="none" w:color="000000" w:sz="4" w:space="0"/>
              <w:bottom w:val="single" w:color="auto" w:sz="4" w:space="0"/>
              <w:right w:val="single" w:color="auto" w:sz="4" w:space="0"/>
            </w:tcBorders>
            <w:tcW w:w="3676" w:type="pct"/>
            <w:vAlign w:val="center"/>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（1）拟投入本项目的项目负责人具备规划类研究员级（或正高级）高级工程师职称得5分，具备规划类高级工程师职称得2分。最高得5分。（须提供人员相关证书扫描件并加盖公章，不按要求提供不得分）</w:t>
            </w:r>
            <w:r/>
          </w:p>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具备注册城乡规划师证书的得3分。</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（须提供人员相关证书扫描件并加盖公章，不按要求提供不得分）</w:t>
            </w:r>
            <w:r/>
          </w:p>
        </w:tc>
      </w:tr>
      <w:tr>
        <w:trPr>
          <w:jc w:val="center"/>
          <w:trHeight w:val="1340"/>
        </w:trPr>
        <w:tc>
          <w:tcPr>
            <w:shd w:val="clear" w:color="auto" w:fill="auto"/>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val="off"/>
              <w:rPr>
                <w:rFonts w:ascii="宋体" w:hAnsi="宋体" w:cs="宋体"/>
                <w:color w:val="auto"/>
                <w:sz w:val="20"/>
                <w:szCs w:val="20"/>
                <w:highlight w:val="none"/>
              </w:rPr>
            </w:pPr>
            <w:r>
              <w:rPr>
                <w:rFonts w:hint="eastAsia" w:ascii="宋体" w:hAnsi="宋体" w:cs="宋体"/>
                <w:color w:val="auto"/>
                <w:sz w:val="20"/>
                <w:szCs w:val="20"/>
                <w:highlight w:val="none"/>
              </w:rPr>
              <w:t xml:space="preserve">项目负责人获奖情况</w:t>
            </w:r>
            <w:r/>
          </w:p>
        </w:tc>
        <w:tc>
          <w:tcPr>
            <w:shd w:val="clear" w:color="auto" w:fill="auto"/>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4分</w:t>
            </w:r>
            <w:r/>
          </w:p>
        </w:tc>
        <w:tc>
          <w:tcPr>
            <w:shd w:val="clear" w:color="auto" w:fill="auto"/>
            <w:tcBorders>
              <w:top w:val="none" w:color="000000" w:sz="4" w:space="0"/>
              <w:left w:val="none" w:color="000000" w:sz="4" w:space="0"/>
              <w:bottom w:val="single" w:color="auto" w:sz="4" w:space="0"/>
              <w:right w:val="single" w:color="auto" w:sz="4" w:space="0"/>
            </w:tcBorders>
            <w:tcW w:w="367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拟投入本项目的项目负责人2023年1月1日以来获得过规划类省级及以上奖项的，有一个获2分，此项最高得4分</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（须提供项目负责人获奖证书扫描件并加盖公章）</w:t>
            </w:r>
            <w:r/>
          </w:p>
        </w:tc>
      </w:tr>
      <w:tr>
        <w:trPr>
          <w:jc w:val="center"/>
          <w:trHeight w:val="1369"/>
        </w:trPr>
        <w:tc>
          <w:tcPr>
            <w:shd w:val="clear" w:color="auto" w:fill="auto"/>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项目组成员</w:t>
            </w:r>
            <w:r/>
          </w:p>
        </w:tc>
        <w:tc>
          <w:tcPr>
            <w:shd w:val="clear" w:color="auto" w:fill="auto"/>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24分</w:t>
            </w:r>
            <w:r/>
          </w:p>
        </w:tc>
        <w:tc>
          <w:tcPr>
            <w:shd w:val="clear" w:color="auto" w:fill="auto"/>
            <w:tcBorders>
              <w:top w:val="none" w:color="000000" w:sz="4" w:space="0"/>
              <w:left w:val="none" w:color="000000" w:sz="4" w:space="0"/>
              <w:bottom w:val="single" w:color="auto" w:sz="4" w:space="0"/>
              <w:right w:val="single" w:color="auto" w:sz="4" w:space="0"/>
            </w:tcBorders>
            <w:tcW w:w="3676" w:type="pct"/>
            <w:vAlign w:val="center"/>
            <w:textDirection w:val="lrTb"/>
            <w:noWrap w:val="false"/>
          </w:tcPr>
          <w:p>
            <w:pPr>
              <w:numPr>
                <w:ilvl w:val="0"/>
                <w:numId w:val="11"/>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拟投入的项目组成员具有涵盖城市（乡）规划、园林、交通运输、市政工程、土地管理、建筑学6个专业的（以毕业证书为准），得6分，专业不齐的不得分。（提供人员相关证书扫描件并加盖公章）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（2）以上拟投入人员中每拥有一个高级及以上职称证书的得3分，最高得18分。</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（提供人员相关证书扫描件并加盖公章）</w:t>
            </w:r>
            <w:r/>
          </w:p>
        </w:tc>
      </w:tr>
    </w:tbl>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采购包2：</w:t>
      </w:r>
      <w:r/>
    </w:p>
    <w:tbl>
      <w:tblPr>
        <w:tblStyle w:val="746"/>
        <w:tblW w:w="953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538"/>
        <w:gridCol w:w="1115"/>
        <w:gridCol w:w="863"/>
        <w:gridCol w:w="7023"/>
      </w:tblGrid>
      <w:tr>
        <w:trPr>
          <w:jc w:val="center"/>
          <w:tblHeader/>
        </w:trPr>
        <w:tc>
          <w:tcPr>
            <w:tcBorders>
              <w:right w:val="single" w:color="auto" w:sz="4" w:space="0"/>
            </w:tcBorders>
            <w:tcW w:w="538" w:type="dxa"/>
            <w:vAlign w:val="center"/>
            <w:textDirection w:val="lrTb"/>
            <w:noWrap w:val="false"/>
          </w:tcPr>
          <w:p>
            <w:pPr>
              <w:jc w:val="cente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left w:val="single" w:color="auto" w:sz="4" w:space="0"/>
            </w:tcBorders>
            <w:tcW w:w="1115" w:type="dxa"/>
            <w:vAlign w:val="center"/>
            <w:textDirection w:val="lrTb"/>
            <w:noWrap w:val="false"/>
          </w:tcPr>
          <w:p>
            <w:pPr>
              <w:jc w:val="cente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项目</w:t>
            </w:r>
            <w:r/>
          </w:p>
        </w:tc>
        <w:tc>
          <w:tcPr>
            <w:tcW w:w="863" w:type="dxa"/>
            <w:vAlign w:val="center"/>
            <w:textDirection w:val="lrTb"/>
            <w:noWrap w:val="false"/>
          </w:tcPr>
          <w:p>
            <w:pPr>
              <w:jc w:val="cente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分值</w:t>
            </w:r>
            <w:r/>
          </w:p>
        </w:tc>
        <w:tc>
          <w:tcPr>
            <w:tcW w:w="7023" w:type="dxa"/>
            <w:vAlign w:val="center"/>
            <w:textDirection w:val="lrTb"/>
            <w:noWrap w:val="false"/>
          </w:tcPr>
          <w:p>
            <w:pPr>
              <w:jc w:val="cente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评分标准</w:t>
            </w:r>
            <w:r/>
          </w:p>
        </w:tc>
      </w:tr>
      <w:tr>
        <w:trPr>
          <w:jc w:val="center"/>
          <w:trHeight w:val="127"/>
        </w:trPr>
        <w:tc>
          <w:tcPr>
            <w:tcBorders>
              <w:bottom w:val="single" w:color="auto" w:sz="4" w:space="0"/>
            </w:tcBorders>
            <w:tcW w:w="538" w:type="dxa"/>
            <w:vAlign w:val="center"/>
            <w:textDirection w:val="lrTb"/>
            <w:noWrap w:val="false"/>
          </w:tcPr>
          <w:p>
            <w:pPr>
              <w:jc w:val="center"/>
              <w:spacing w:line="360" w:lineRule="auto"/>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1</w:t>
            </w:r>
            <w:r/>
          </w:p>
        </w:tc>
        <w:tc>
          <w:tcPr>
            <w:tcBorders>
              <w:bottom w:val="single" w:color="auto" w:sz="4" w:space="0"/>
            </w:tcBorders>
            <w:tcW w:w="1115"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价格</w:t>
            </w:r>
            <w:r/>
          </w:p>
        </w:tc>
        <w:tc>
          <w:tcPr>
            <w:tcBorders>
              <w:bottom w:val="single" w:color="auto" w:sz="4" w:space="0"/>
            </w:tcBorders>
            <w:tcW w:w="863"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20分</w:t>
            </w:r>
            <w:r/>
          </w:p>
        </w:tc>
        <w:tc>
          <w:tcPr>
            <w:tcBorders>
              <w:bottom w:val="single" w:color="auto" w:sz="4" w:space="0"/>
            </w:tcBorders>
            <w:tcW w:w="7023" w:type="dxa"/>
            <w:vAlign w:val="center"/>
            <w:textDirection w:val="lrTb"/>
            <w:noWrap w:val="false"/>
          </w:tcPr>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第一步：投标报价低于或等于财政预算价格的，为有效投标报价。超财政预算的投标报价或招标文件规定的报价为无效投标报价。无效投标报价的投标文件不进行评审，也不得标。</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    第二步：在所有有效投标报价中满足招标文件要求，且投标价格最低的投标报价为评标基准价，其价格分为20分，其他投标人的价格分按照下列公式计算（计算结果四舍五入 保留两位小数）。</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投标报价得分＝（评标基准价/投标报价）×20％×100</w:t>
            </w:r>
            <w:r/>
          </w:p>
        </w:tc>
      </w:tr>
      <w:tr>
        <w:trPr>
          <w:jc w:val="center"/>
          <w:trHeight w:val="2278"/>
        </w:trPr>
        <w:tc>
          <w:tcPr>
            <w:tcBorders>
              <w:top w:val="single" w:color="auto" w:sz="4" w:space="0"/>
              <w:bottom w:val="single" w:color="auto" w:sz="4" w:space="0"/>
            </w:tcBorders>
            <w:tcW w:w="538" w:type="dxa"/>
            <w:vAlign w:val="center"/>
            <w:textDirection w:val="lrTb"/>
            <w:noWrap w:val="false"/>
          </w:tcPr>
          <w:p>
            <w:pPr>
              <w:jc w:val="center"/>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4" w:space="0"/>
              <w:bottom w:val="single" w:color="auto" w:sz="4" w:space="0"/>
            </w:tcBorders>
            <w:tcW w:w="1115"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类似业绩</w:t>
            </w:r>
            <w:r/>
          </w:p>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（8分）</w:t>
            </w:r>
            <w:r/>
          </w:p>
        </w:tc>
        <w:tc>
          <w:tcPr>
            <w:tcBorders>
              <w:top w:val="single" w:color="auto" w:sz="4" w:space="0"/>
              <w:bottom w:val="single" w:color="auto" w:sz="4" w:space="0"/>
            </w:tcBorders>
            <w:tcW w:w="863"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auto" w:sz="4" w:space="0"/>
              <w:bottom w:val="single" w:color="auto" w:sz="4" w:space="0"/>
            </w:tcBorders>
            <w:tcW w:w="7023"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投标人2023年1月1日以来（以签订合同时间为准）承担过类似详细规划动态维护、调整等服务项目的，每个得2分，最高得4分。（提供合同扫描件，不提供不得分，分包合同无效）。</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投标人2023年1月1日以来（以签订合同时间为准）承担过类似城市更新规划服务项目的，每个得2分，最高得4分。（提供合同扫描件，不提供不得分，分包合同无效）。</w:t>
            </w:r>
            <w:r/>
          </w:p>
        </w:tc>
      </w:tr>
      <w:tr>
        <w:trPr>
          <w:jc w:val="center"/>
          <w:trHeight w:val="1329"/>
        </w:trPr>
        <w:tc>
          <w:tcPr>
            <w:tcBorders>
              <w:top w:val="single" w:color="auto" w:sz="4" w:space="0"/>
              <w:bottom w:val="single" w:color="auto" w:sz="4" w:space="0"/>
            </w:tcBorders>
            <w:tcW w:w="538" w:type="dxa"/>
            <w:vAlign w:val="center"/>
            <w:textDirection w:val="lrTb"/>
            <w:noWrap w:val="false"/>
          </w:tcPr>
          <w:p>
            <w:pPr>
              <w:jc w:val="center"/>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4" w:space="0"/>
            </w:tcBorders>
            <w:tcW w:w="111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项目认知</w:t>
            </w:r>
            <w:r/>
          </w:p>
        </w:tc>
        <w:tc>
          <w:tcPr>
            <w:tcBorders>
              <w:top w:val="single" w:color="auto" w:sz="4" w:space="0"/>
            </w:tcBorders>
            <w:tcW w:w="86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auto" w:sz="4" w:space="0"/>
            </w:tcBorders>
            <w:tcW w:w="7023" w:type="dxa"/>
            <w:vAlign w:val="center"/>
            <w:textDirection w:val="lrTb"/>
            <w:noWrap w:val="false"/>
          </w:tcPr>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本项包括：①编制背景分析、②政策要求理解、③现状综合分析、④相关案例分析。</w:t>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方案内容针对本项目且符合本项目实际需求的，每满足1项得2分，本项总分为8分。</w:t>
            </w:r>
            <w:r/>
          </w:p>
        </w:tc>
      </w:tr>
      <w:tr>
        <w:trPr>
          <w:jc w:val="center"/>
        </w:trPr>
        <w:tc>
          <w:tcPr>
            <w:tcBorders>
              <w:top w:val="single" w:color="auto" w:sz="4" w:space="0"/>
              <w:bottom w:val="single" w:color="auto" w:sz="4" w:space="0"/>
            </w:tcBorders>
            <w:tcW w:w="538" w:type="dxa"/>
            <w:vAlign w:val="center"/>
            <w:textDirection w:val="lrTb"/>
            <w:noWrap w:val="false"/>
          </w:tcPr>
          <w:p>
            <w:pPr>
              <w:jc w:val="center"/>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W w:w="111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规划解读</w:t>
            </w:r>
            <w:r/>
          </w:p>
        </w:tc>
        <w:tc>
          <w:tcPr>
            <w:tcW w:w="86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W w:w="7023" w:type="dxa"/>
            <w:vAlign w:val="center"/>
            <w:textDirection w:val="lrTb"/>
            <w:noWrap w:val="false"/>
          </w:tcPr>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本项包括：①国土空间总体规划解读、②国土空间详细规划解读、③专项规划解读、④其他相关规划解读。</w:t>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方案内容针对本项目且符合本项目实际需求的，每满足1项得3分，本项总分为12分。</w:t>
            </w:r>
            <w:r/>
          </w:p>
        </w:tc>
      </w:tr>
      <w:tr>
        <w:trPr>
          <w:jc w:val="center"/>
        </w:trPr>
        <w:tc>
          <w:tcPr>
            <w:tcBorders>
              <w:top w:val="single" w:color="auto" w:sz="4" w:space="0"/>
              <w:bottom w:val="single" w:color="auto" w:sz="4" w:space="0"/>
            </w:tcBorders>
            <w:tcW w:w="538" w:type="dxa"/>
            <w:vAlign w:val="center"/>
            <w:textDirection w:val="lrTb"/>
            <w:noWrap w:val="false"/>
          </w:tcPr>
          <w:p>
            <w:pPr>
              <w:jc w:val="center"/>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w:t>
            </w:r>
            <w:r/>
          </w:p>
        </w:tc>
        <w:tc>
          <w:tcPr>
            <w:tcW w:w="111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项目重点与技术路线</w:t>
            </w:r>
            <w:r/>
          </w:p>
        </w:tc>
        <w:tc>
          <w:tcPr>
            <w:tcW w:w="86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2</w:t>
            </w:r>
            <w:r/>
          </w:p>
        </w:tc>
        <w:tc>
          <w:tcPr>
            <w:tcW w:w="7023" w:type="dxa"/>
            <w:vAlign w:val="center"/>
            <w:textDirection w:val="lrTb"/>
            <w:noWrap w:val="false"/>
          </w:tcPr>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本项包括：①控规动态维护技术路线、②针对城市发展需求的相关规划研究技术思路、③城市更新研究思路与政策研究建议、④新技术方法应用思路。</w:t>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方案内容针对本项目且符合本项目实际需求的，每满足1项得3分，本项总分为12分。</w:t>
            </w:r>
            <w:r/>
          </w:p>
        </w:tc>
      </w:tr>
      <w:tr>
        <w:trPr>
          <w:jc w:val="center"/>
        </w:trPr>
        <w:tc>
          <w:tcPr>
            <w:tcBorders>
              <w:top w:val="single" w:color="auto" w:sz="4" w:space="0"/>
              <w:bottom w:val="single" w:color="auto" w:sz="4" w:space="0"/>
            </w:tcBorders>
            <w:tcW w:w="538" w:type="dxa"/>
            <w:vAlign w:val="center"/>
            <w:textDirection w:val="lrTb"/>
            <w:noWrap w:val="false"/>
          </w:tcPr>
          <w:p>
            <w:pPr>
              <w:jc w:val="center"/>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w:t>
            </w:r>
            <w:r/>
          </w:p>
        </w:tc>
        <w:tc>
          <w:tcPr>
            <w:tcW w:w="111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工作组织和进度安排</w:t>
            </w:r>
            <w:r/>
          </w:p>
        </w:tc>
        <w:tc>
          <w:tcPr>
            <w:tcW w:w="86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4</w:t>
            </w:r>
            <w:r/>
          </w:p>
        </w:tc>
        <w:tc>
          <w:tcPr>
            <w:tcW w:w="7023" w:type="dxa"/>
            <w:vAlign w:val="center"/>
            <w:textDirection w:val="lrTb"/>
            <w:noWrap w:val="false"/>
          </w:tcPr>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本项包括：①工作组织、②设计进度安排、③质量保障措施、④服务承诺。</w:t>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方案内容针对本项目且符合本项目实际需求的，每满足1项得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分，本项总分为</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tc>
      </w:tr>
      <w:tr>
        <w:trPr>
          <w:jc w:val="center"/>
        </w:trPr>
        <w:tc>
          <w:tcPr>
            <w:tcBorders>
              <w:top w:val="single" w:color="auto" w:sz="4" w:space="0"/>
              <w:bottom w:val="single" w:color="auto" w:sz="4" w:space="0"/>
            </w:tcBorders>
            <w:tcW w:w="538"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bottom w:val="single" w:color="auto" w:sz="4" w:space="0"/>
            </w:tcBorders>
            <w:tcW w:w="111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项目负责人</w:t>
            </w:r>
            <w:r/>
          </w:p>
        </w:tc>
        <w:tc>
          <w:tcPr>
            <w:tcW w:w="86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8</w:t>
            </w:r>
            <w:r/>
          </w:p>
        </w:tc>
        <w:tc>
          <w:tcPr>
            <w:tcW w:w="7023" w:type="dxa"/>
            <w:vAlign w:val="center"/>
            <w:textDirection w:val="lrTb"/>
            <w:noWrap w:val="false"/>
          </w:tcPr>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（1）具有规划类正高级职称的得</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分；具有规划类副高级技术职称的得</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分，其他不得分；</w:t>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（2）具备注册城乡规划师的得2分；</w:t>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（3）具备注册咨询工程师资格的得</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分。</w:t>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（注：提供证书扫描件并加盖投标人公章，不提供不得分。）</w:t>
            </w:r>
            <w:r/>
          </w:p>
        </w:tc>
      </w:tr>
      <w:tr>
        <w:trPr>
          <w:jc w:val="center"/>
        </w:trPr>
        <w:tc>
          <w:tcPr>
            <w:tcBorders>
              <w:top w:val="single" w:color="auto" w:sz="4" w:space="0"/>
              <w:bottom w:val="single" w:color="auto" w:sz="4" w:space="0"/>
            </w:tcBorders>
            <w:tcW w:w="538"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auto" w:sz="4" w:space="0"/>
            </w:tcBorders>
            <w:tcW w:w="111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项目负责人获奖</w:t>
            </w:r>
            <w:r/>
          </w:p>
        </w:tc>
        <w:tc>
          <w:tcPr>
            <w:tcW w:w="86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7023"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拟投入本项目的项目负责人2023年1月1日以来获得过城市更新类奖项的，获省级奖项的，有一个得1分；获国家级奖项的，有一个得2分。此项最高得4分。</w:t>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（注：以证书颁发日期为准，提供证书扫描件并加盖投标人公章，不提供不得分。）</w:t>
            </w:r>
            <w:r/>
          </w:p>
        </w:tc>
      </w:tr>
      <w:tr>
        <w:trPr>
          <w:jc w:val="center"/>
          <w:trHeight w:val="859"/>
        </w:trPr>
        <w:tc>
          <w:tcPr>
            <w:tcBorders>
              <w:top w:val="single" w:color="auto" w:sz="4" w:space="0"/>
              <w:bottom w:val="single" w:color="auto" w:sz="4" w:space="0"/>
            </w:tcBorders>
            <w:tcW w:w="538"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111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技术团队</w:t>
            </w:r>
            <w:r/>
          </w:p>
        </w:tc>
        <w:tc>
          <w:tcPr>
            <w:tcW w:w="86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24</w:t>
            </w:r>
            <w:r/>
          </w:p>
        </w:tc>
        <w:tc>
          <w:tcPr>
            <w:tcW w:w="7023" w:type="dxa"/>
            <w:vAlign w:val="center"/>
            <w:textDirection w:val="lrTb"/>
            <w:noWrap w:val="false"/>
          </w:tcPr>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（1）投标人配备的专业人员中，项目负责人除外，规划、建筑、市政、园林景观、交通、土地管理专业人员具备高级职称有</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人得</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分。本项最高</w:t>
            </w:r>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分。（需提供毕业证书以证明专业，提供职称证书</w:t>
            </w:r>
            <w:r>
              <w:rPr>
                <w:rFonts w:hint="eastAsia" w:ascii="宋体" w:hAnsi="宋体" w:cs="宋体"/>
                <w:color w:val="auto"/>
                <w:sz w:val="21"/>
                <w:szCs w:val="21"/>
                <w:highlight w:val="none"/>
                <w:lang w:val="en-US" w:eastAsia="zh-CN"/>
              </w:rPr>
              <w:t xml:space="preserve">扫描件并加盖公章</w:t>
            </w:r>
            <w:r>
              <w:rPr>
                <w:rFonts w:hint="eastAsia" w:ascii="宋体" w:hAnsi="宋体" w:cs="宋体"/>
                <w:color w:val="auto"/>
                <w:sz w:val="21"/>
                <w:szCs w:val="21"/>
                <w:highlight w:val="none"/>
              </w:rPr>
              <w:t xml:space="preserve">，不提供不得分。）</w:t>
            </w:r>
            <w:r/>
          </w:p>
          <w:p>
            <w:pPr>
              <w:jc w:val="both"/>
              <w:spacing w:line="400" w:lineRule="exact"/>
              <w:widowControl w:val="off"/>
              <w:rPr>
                <w:rFonts w:hint="default" w:ascii="宋体" w:hAnsi="宋体" w:cs="宋体"/>
                <w:color w:val="auto"/>
                <w:sz w:val="21"/>
                <w:szCs w:val="21"/>
                <w:highlight w:val="none"/>
                <w:lang w:val="en-US"/>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）以上人员中每有一名注册城乡规划师的得</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分，最高</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分。提供证书</w:t>
            </w:r>
            <w:r>
              <w:rPr>
                <w:rFonts w:hint="eastAsia" w:ascii="宋体" w:hAnsi="宋体" w:cs="宋体"/>
                <w:color w:val="auto"/>
                <w:sz w:val="21"/>
                <w:szCs w:val="21"/>
                <w:highlight w:val="none"/>
                <w:lang w:val="en-US" w:eastAsia="zh-CN"/>
              </w:rPr>
              <w:t xml:space="preserve">扫描件并加盖公章。</w:t>
            </w:r>
            <w:bookmarkStart w:id="20" w:name="_GoBack"/>
            <w:r/>
            <w:bookmarkEnd w:id="20"/>
            <w:r/>
            <w:r/>
          </w:p>
          <w:p>
            <w:pPr>
              <w:jc w:val="both"/>
              <w:widowControl w:val="off"/>
              <w:rPr>
                <w:rFonts w:ascii="Arial" w:hAnsi="Arial"/>
                <w:color w:val="auto"/>
                <w:sz w:val="21"/>
                <w:szCs w:val="22"/>
                <w:highlight w:val="none"/>
              </w:rPr>
            </w:pPr>
            <w:r>
              <w:rPr>
                <w:rFonts w:ascii="Arial" w:hAnsi="Arial"/>
                <w:color w:val="auto"/>
                <w:sz w:val="21"/>
                <w:szCs w:val="22"/>
                <w:highlight w:val="none"/>
              </w:rPr>
            </w:r>
            <w:r/>
          </w:p>
        </w:tc>
      </w:tr>
    </w:tbl>
    <w:p>
      <w:pPr>
        <w:pStyle w:val="806"/>
        <w:ind w:firstLine="422"/>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781"/>
          <w:rFonts w:ascii="宋体" w:hAnsi="宋体" w:eastAsia="宋体" w:cs="宋体"/>
          <w:color w:val="auto"/>
          <w:sz w:val="32"/>
          <w:szCs w:val="32"/>
          <w:highlight w:val="none"/>
        </w:rPr>
      </w:pPr>
      <w:r>
        <w:rPr>
          <w:rStyle w:val="781"/>
          <w:rFonts w:hint="eastAsia" w:ascii="宋体" w:hAnsi="宋体" w:eastAsia="宋体" w:cs="宋体"/>
          <w:color w:val="auto"/>
          <w:sz w:val="32"/>
          <w:szCs w:val="32"/>
          <w:highlight w:val="none"/>
        </w:rPr>
        <w:br w:type="page" w:clear="all"/>
      </w:r>
      <w:bookmarkStart w:id="15" w:name="_Toc31315"/>
      <w:r>
        <w:rPr>
          <w:rStyle w:val="781"/>
          <w:rFonts w:hint="eastAsia" w:ascii="宋体" w:hAnsi="宋体" w:eastAsia="宋体" w:cs="宋体"/>
          <w:color w:val="auto"/>
          <w:sz w:val="32"/>
          <w:szCs w:val="32"/>
          <w:highlight w:val="none"/>
        </w:rPr>
        <w:t xml:space="preserve">第六章 合同格式</w:t>
      </w:r>
      <w:bookmarkEnd w:id="15"/>
      <w:r/>
    </w:p>
    <w:p>
      <w:pPr>
        <w:spacing w:line="440" w:lineRule="exact"/>
        <w:rPr>
          <w:rFonts w:ascii="宋体" w:hAnsi="宋体" w:cs="宋体"/>
          <w:color w:val="auto"/>
          <w:highlight w:val="none"/>
        </w:rPr>
      </w:pPr>
      <w:r/>
      <w:bookmarkStart w:id="16" w:name="_Toc480191160"/>
      <w:r/>
      <w:bookmarkStart w:id="17" w:name="_Toc479449483"/>
      <w:r/>
      <w:bookmarkStart w:id="18" w:name="_Toc479449569"/>
      <w:r/>
      <w:bookmarkEnd w:id="16"/>
      <w:bookmarkEnd w:id="17"/>
      <w:bookmarkEnd w:id="18"/>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ascii="宋体" w:hAnsi="宋体"/>
          <w:color w:val="auto"/>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1276" w:leader="none"/>
        </w:tabs>
        <w:rPr>
          <w:rFonts w:ascii="宋体" w:hAnsi="宋体"/>
          <w:color w:val="auto"/>
          <w:sz w:val="28"/>
          <w:highlight w:val="none"/>
        </w:rPr>
      </w:pPr>
      <w:r>
        <w:rPr>
          <w:rFonts w:hint="eastAsia" w:ascii="宋体" w:hAnsi="宋体"/>
          <w:color w:val="auto"/>
          <w:sz w:val="28"/>
          <w:highlight w:val="none"/>
        </w:rPr>
        <w:t xml:space="preserve">采购包号：</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both"/>
        <w:spacing w:line="700" w:lineRule="exact"/>
        <w:rPr>
          <w:rFonts w:ascii="宋体" w:hAnsi="宋体"/>
          <w:color w:val="auto"/>
          <w:szCs w:val="22"/>
          <w:highlight w:val="none"/>
        </w:rPr>
      </w:pPr>
      <w:r>
        <w:rPr>
          <w:rFonts w:ascii="宋体" w:hAnsi="宋体"/>
          <w:color w:val="auto"/>
          <w:szCs w:val="22"/>
          <w:highlight w:val="none"/>
        </w:rPr>
      </w:r>
      <w:r/>
    </w:p>
    <w:p>
      <w:pPr>
        <w:ind w:left="4340" w:hanging="2696"/>
        <w:jc w:val="center"/>
        <w:spacing w:line="700" w:lineRule="exact"/>
        <w:rPr>
          <w:rFonts w:ascii="宋体" w:hAnsi="宋体"/>
          <w:color w:val="auto"/>
          <w:szCs w:val="22"/>
          <w:highlight w:val="none"/>
        </w:rPr>
      </w:pPr>
      <w:r>
        <w:rPr>
          <w:rFonts w:ascii="宋体" w:hAnsi="宋体"/>
          <w:color w:val="auto"/>
          <w:szCs w:val="22"/>
          <w:highlight w:val="none"/>
        </w:rPr>
      </w:r>
      <w:r/>
    </w:p>
    <w:p>
      <w:pPr>
        <w:ind w:left="1440"/>
        <w:jc w:val="both"/>
        <w:spacing w:line="700" w:lineRule="exact"/>
        <w:rPr>
          <w:rFonts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ascii="宋体" w:hAnsi="宋体"/>
          <w:color w:val="auto"/>
          <w:szCs w:val="22"/>
          <w:highlight w:val="none"/>
        </w:rPr>
      </w:pPr>
      <w:r>
        <w:rPr>
          <w:rFonts w:ascii="宋体" w:hAnsi="宋体"/>
          <w:color w:val="auto"/>
          <w:szCs w:val="22"/>
          <w:highlight w:val="none"/>
        </w:rPr>
      </w:r>
      <w:r/>
    </w:p>
    <w:p>
      <w:pPr>
        <w:ind w:firstLine="480"/>
        <w:rPr>
          <w:rFonts w:ascii="宋体" w:hAnsi="宋体"/>
          <w:color w:val="auto"/>
          <w:szCs w:val="22"/>
          <w:highlight w:val="none"/>
          <w:u w:val="single"/>
        </w:rPr>
      </w:pPr>
      <w:r>
        <w:rPr>
          <w:rFonts w:ascii="宋体" w:hAnsi="宋体"/>
          <w:color w:val="auto"/>
          <w:szCs w:val="22"/>
          <w:highlight w:val="none"/>
          <w:u w:val="single"/>
        </w:rPr>
      </w:r>
      <w:r/>
    </w:p>
    <w:p>
      <w:pPr>
        <w:pStyle w:val="798"/>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spacing w:line="360" w:lineRule="auto"/>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项目名称：</w:t>
      </w:r>
      <w:r>
        <w:rPr>
          <w:rFonts w:hint="eastAsia" w:cs="宋体"/>
          <w:color w:val="auto"/>
          <w:sz w:val="21"/>
          <w:szCs w:val="21"/>
          <w:highlight w:val="none"/>
        </w:rPr>
        <w:t xml:space="preserve">太仓市2026年度国土空间规划五年实施评估与城市中心区控规动态维护及城市更新策略研究年度服务项目</w:t>
      </w:r>
      <w:r/>
    </w:p>
    <w:tbl>
      <w:tblPr>
        <w:tblStyle w:val="74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824"/>
        <w:gridCol w:w="4814"/>
      </w:tblGrid>
      <w:tr>
        <w:trPr/>
        <w:tc>
          <w:tcPr>
            <w:tcW w:w="5040" w:type="dxa"/>
            <w:textDirection w:val="lrTb"/>
            <w:noWrap w:val="false"/>
          </w:tcPr>
          <w:p>
            <w:pPr>
              <w:spacing w:line="360" w:lineRule="auto"/>
              <w:tabs>
                <w:tab w:val="left" w:pos="6237" w:leader="none"/>
              </w:tabs>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甲方（买方）：</w:t>
            </w:r>
            <w:r>
              <w:rPr>
                <w:rFonts w:hint="eastAsia" w:cs="宋体"/>
                <w:bCs/>
                <w:color w:val="auto"/>
                <w:sz w:val="21"/>
                <w:szCs w:val="21"/>
                <w:highlight w:val="none"/>
              </w:rPr>
              <w:t xml:space="preserve">太仓市自然资源和规划局</w:t>
            </w:r>
            <w:r/>
          </w:p>
        </w:tc>
        <w:tc>
          <w:tcPr>
            <w:tcW w:w="5040" w:type="dxa"/>
            <w:textDirection w:val="lrTb"/>
            <w:noWrap w:val="false"/>
          </w:tcPr>
          <w:p>
            <w:pPr>
              <w:spacing w:line="360" w:lineRule="auto"/>
              <w:tabs>
                <w:tab w:val="left" w:pos="6237" w:leader="none"/>
              </w:tabs>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textDirection w:val="lrTb"/>
            <w:noWrap w:val="false"/>
          </w:tcPr>
          <w:p>
            <w:pPr>
              <w:spacing w:line="360" w:lineRule="auto"/>
              <w:tabs>
                <w:tab w:val="left" w:pos="6237" w:leader="none"/>
              </w:tabs>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乙方（卖方）：</w:t>
            </w:r>
            <w:r/>
          </w:p>
        </w:tc>
        <w:tc>
          <w:tcPr>
            <w:tcW w:w="5040" w:type="dxa"/>
            <w:textDirection w:val="lrTb"/>
            <w:noWrap w:val="false"/>
          </w:tcPr>
          <w:p>
            <w:pPr>
              <w:spacing w:line="360" w:lineRule="auto"/>
              <w:tabs>
                <w:tab w:val="left" w:pos="6237" w:leader="none"/>
              </w:tabs>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textDirection w:val="lrTb"/>
            <w:noWrap w:val="false"/>
          </w:tcPr>
          <w:p>
            <w:pPr>
              <w:spacing w:line="360" w:lineRule="auto"/>
              <w:tabs>
                <w:tab w:val="left" w:pos="6237" w:leader="none"/>
              </w:tabs>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签订时间：</w:t>
            </w:r>
            <w:r/>
          </w:p>
        </w:tc>
        <w:tc>
          <w:tcPr>
            <w:tcW w:w="5040" w:type="dxa"/>
            <w:textDirection w:val="lrTb"/>
            <w:noWrap w:val="false"/>
          </w:tcPr>
          <w:p>
            <w:pPr>
              <w:spacing w:line="360" w:lineRule="auto"/>
              <w:tabs>
                <w:tab w:val="left" w:pos="6237" w:leader="none"/>
              </w:tabs>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签订地点：</w:t>
            </w:r>
            <w:r/>
          </w:p>
        </w:tc>
      </w:tr>
    </w:tbl>
    <w:p>
      <w:pPr>
        <w:ind w:firstLine="480"/>
        <w:spacing w:line="360" w:lineRule="auto"/>
        <w:tabs>
          <w:tab w:val="left" w:pos="6237" w:leader="none"/>
        </w:tabs>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根据</w:t>
      </w:r>
      <w:r>
        <w:rPr>
          <w:rFonts w:hint="eastAsia" w:ascii="宋体" w:hAnsi="宋体" w:cs="宋体"/>
          <w:color w:val="auto"/>
          <w:sz w:val="21"/>
          <w:szCs w:val="21"/>
          <w:highlight w:val="none"/>
          <w:u w:val="single"/>
        </w:rPr>
        <w:t xml:space="preserve">苏州泰至鑫项目管理有限公司</w:t>
      </w:r>
      <w:r>
        <w:rPr>
          <w:rFonts w:hint="eastAsia" w:ascii="宋体" w:hAnsi="宋体" w:cs="宋体"/>
          <w:color w:val="auto"/>
          <w:sz w:val="21"/>
          <w:szCs w:val="21"/>
          <w:highlight w:val="none"/>
        </w:rPr>
        <w:t xml:space="preserve">采购编号</w:t>
      </w:r>
      <w:r>
        <w:rPr>
          <w:rFonts w:hint="eastAsia" w:cs="宋体"/>
          <w:color w:val="auto"/>
          <w:sz w:val="21"/>
          <w:szCs w:val="21"/>
          <w:highlight w:val="none"/>
          <w:u w:val="single"/>
          <w:lang w:eastAsia="zh-CN"/>
        </w:rPr>
        <w:t xml:space="preserve">JSZC-320585-SZTZ-G2026-0019</w:t>
      </w:r>
      <w:r>
        <w:rPr>
          <w:rFonts w:hint="eastAsia" w:ascii="宋体" w:hAnsi="宋体" w:cs="宋体"/>
          <w:color w:val="auto"/>
          <w:sz w:val="21"/>
          <w:szCs w:val="21"/>
          <w:highlight w:val="none"/>
        </w:rPr>
        <w:t xml:space="preserve">号政府采购文件及中标单位的投标文件和中标通知书，</w:t>
      </w:r>
      <w:r>
        <w:rPr>
          <w:rFonts w:hint="eastAsia" w:ascii="宋体" w:hAnsi="宋体" w:cs="宋体"/>
          <w:color w:val="auto"/>
          <w:sz w:val="21"/>
          <w:szCs w:val="21"/>
          <w:highlight w:val="none"/>
        </w:rPr>
        <w:t xml:space="preserve">甲乙双方就甲方聘用乙方从事</w:t>
      </w:r>
      <w:r>
        <w:rPr>
          <w:rFonts w:hint="eastAsia" w:ascii="宋体" w:hAnsi="宋体" w:cs="宋体"/>
          <w:color w:val="auto"/>
          <w:sz w:val="21"/>
          <w:szCs w:val="21"/>
          <w:highlight w:val="none"/>
          <w:u w:val="single"/>
        </w:rPr>
        <w:t xml:space="preserve"> 太仓市2026年度国土空间规划五年实施评估与城市中心区控规动态维护及城市更新策略研究年度服务项目采购包                          </w:t>
      </w:r>
      <w:r>
        <w:rPr>
          <w:rFonts w:hint="eastAsia" w:ascii="宋体" w:hAnsi="宋体" w:cs="宋体"/>
          <w:color w:val="auto"/>
          <w:sz w:val="21"/>
          <w:szCs w:val="21"/>
          <w:highlight w:val="none"/>
        </w:rPr>
        <w:t xml:space="preserve">工作，签订本合同书。</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第一条  技术服务要求</w:t>
      </w:r>
      <w:r/>
    </w:p>
    <w:p>
      <w:pPr>
        <w:contextualSpacing/>
        <w:ind w:right="480" w:firstLine="422"/>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（一）服务内容：</w:t>
      </w:r>
      <w:r/>
    </w:p>
    <w:p>
      <w:pPr>
        <w:contextualSpacing/>
        <w:ind w:right="480" w:firstLine="422"/>
        <w:jc w:val="both"/>
        <w:spacing w:line="360" w:lineRule="auto"/>
        <w:widowControl w:val="off"/>
        <w:rPr>
          <w:rFonts w:ascii="宋体" w:hAnsi="宋体" w:cs="宋体"/>
          <w:color w:val="auto"/>
          <w:sz w:val="21"/>
          <w:highlight w:val="none"/>
        </w:rPr>
      </w:pPr>
      <w:r>
        <w:rPr>
          <w:rFonts w:hint="eastAsia" w:ascii="宋体" w:hAnsi="宋体" w:cs="宋体"/>
          <w:b/>
          <w:bCs/>
          <w:color w:val="auto"/>
          <w:sz w:val="21"/>
          <w:szCs w:val="21"/>
          <w:highlight w:val="none"/>
        </w:rPr>
        <w:t xml:space="preserve">（二）合同履行期限</w:t>
      </w:r>
      <w:r>
        <w:rPr>
          <w:rFonts w:hint="eastAsia" w:ascii="宋体" w:hAnsi="宋体" w:cs="宋体"/>
          <w:color w:val="auto"/>
          <w:sz w:val="21"/>
          <w:szCs w:val="21"/>
          <w:highlight w:val="none"/>
        </w:rPr>
        <w:t xml:space="preserve">：</w:t>
      </w:r>
      <w:r/>
    </w:p>
    <w:p>
      <w:pPr>
        <w:ind w:firstLine="422"/>
        <w:spacing w:line="360" w:lineRule="auto"/>
        <w:rPr>
          <w:rFonts w:ascii="宋体" w:hAnsi="宋体" w:cs="宋体"/>
          <w:bCs/>
          <w:color w:val="auto"/>
          <w:sz w:val="21"/>
          <w:szCs w:val="21"/>
          <w:highlight w:val="none"/>
        </w:rPr>
      </w:pPr>
      <w:r>
        <w:rPr>
          <w:rFonts w:hint="eastAsia" w:ascii="宋体" w:hAnsi="宋体" w:cs="宋体"/>
          <w:b/>
          <w:color w:val="auto"/>
          <w:sz w:val="21"/>
          <w:szCs w:val="21"/>
          <w:highlight w:val="none"/>
        </w:rPr>
        <w:t xml:space="preserve">（三）</w:t>
      </w:r>
      <w:r>
        <w:rPr>
          <w:rFonts w:hint="eastAsia" w:ascii="宋体" w:hAnsi="宋体" w:cs="宋体"/>
          <w:bCs/>
          <w:color w:val="auto"/>
          <w:sz w:val="21"/>
          <w:szCs w:val="21"/>
          <w:highlight w:val="none"/>
        </w:rPr>
        <w:t xml:space="preserve">其他要求详见招标文件及乙方在投标文件中所做的承诺。</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第二条  双方的权利和义务</w:t>
      </w:r>
      <w:r/>
    </w:p>
    <w:p>
      <w:pPr>
        <w:pStyle w:val="78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甲方：</w:t>
      </w:r>
      <w:r/>
    </w:p>
    <w:p>
      <w:pPr>
        <w:pStyle w:val="78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1、协助、配合乙方收集工作区内相关资料</w:t>
      </w:r>
      <w:r/>
    </w:p>
    <w:p>
      <w:pPr>
        <w:pStyle w:val="78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2、为乙方工作提供便利条件，协调好各部门关系。</w:t>
      </w:r>
      <w:r/>
    </w:p>
    <w:p>
      <w:pPr>
        <w:pStyle w:val="78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3、保证工作经费的及时到位。</w:t>
      </w:r>
      <w:r/>
    </w:p>
    <w:p>
      <w:pPr>
        <w:pStyle w:val="78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w:t>
      </w:r>
      <w:r/>
    </w:p>
    <w:p>
      <w:pPr>
        <w:pStyle w:val="78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1、按照国家和江苏省相关法律法规、技术要求、标准规范等开展工作，</w:t>
      </w:r>
      <w:r/>
    </w:p>
    <w:p>
      <w:pPr>
        <w:pStyle w:val="78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2、及时向甲方汇报项目进展，工作中出现问题及时同甲方沟通解决。</w:t>
      </w:r>
      <w:r/>
    </w:p>
    <w:p>
      <w:pPr>
        <w:pStyle w:val="78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3、按时提交成果，并配合甲方要求做好成果应用服务工作。</w:t>
      </w:r>
      <w:r/>
    </w:p>
    <w:p>
      <w:pPr>
        <w:pStyle w:val="766"/>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乙方承诺：乙方将对在甲方指定地点因履行义务而知晓的所有内部信息严格保守秘密,绝不将该等信息泄露给任何第三方；在服务项目结束或阶段性工作结束后,协议所涉及的由甲方送交给乙方的一切保密信息,无论是书面的还是其他具体形式,均需立即交还提供方,或者予以销毁,且有关销毁凭证应同时送交给对方；</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第三条  合同金额与支付</w:t>
      </w:r>
      <w:r/>
    </w:p>
    <w:p>
      <w:pPr>
        <w:ind w:firstLine="422"/>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采购包1：</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1、根据本项目采购结果，合同总金额为人民币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contextualSpacing/>
        <w:ind w:firstLine="420"/>
        <w:jc w:val="both"/>
        <w:spacing w:line="36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2、合同价格包括</w:t>
      </w:r>
      <w:r>
        <w:rPr>
          <w:rFonts w:hint="eastAsia" w:ascii="宋体" w:hAnsi="宋体" w:cs="宋体"/>
          <w:color w:val="auto"/>
          <w:sz w:val="21"/>
          <w:szCs w:val="21"/>
          <w:highlight w:val="none"/>
        </w:rPr>
        <w:t xml:space="preserve">完成本项工作所需的一切费用，包括但不限于提供完整的方案编制及后续服务所需的勘测费、调查费、劳务费、咨询费、会务费、管理费、资料收集、专家论证、成果验收等所有服务成本、经营成本、法定税费和管理企业的利润、保险及合同包含的所有风险、责任等各项应有费用。除非因特殊原因并经买卖双方协商同意，投标人不得再要求追加任何费用。</w:t>
      </w:r>
      <w:r/>
    </w:p>
    <w:p>
      <w:pPr>
        <w:ind w:firstLine="422"/>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采购包2：</w:t>
      </w:r>
      <w:r/>
    </w:p>
    <w:p>
      <w:pPr>
        <w:ind w:firstLine="420"/>
        <w:jc w:val="both"/>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根据本项目采购结果，合同总金额为人民币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最终结算金额按最终完成工作量按实结算，具体单价详见下表：</w:t>
      </w:r>
      <w:r/>
    </w:p>
    <w:tbl>
      <w:tblPr>
        <w:tblStyle w:val="771"/>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2343"/>
        <w:gridCol w:w="835"/>
        <w:gridCol w:w="801"/>
        <w:gridCol w:w="1610"/>
        <w:gridCol w:w="1289"/>
        <w:gridCol w:w="1530"/>
      </w:tblGrid>
      <w:tr>
        <w:trPr>
          <w:jc w:val="center"/>
        </w:trPr>
        <w:tc>
          <w:tcPr>
            <w:tcW w:w="6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序号</w:t>
            </w:r>
            <w:r/>
          </w:p>
        </w:tc>
        <w:tc>
          <w:tcPr>
            <w:tcW w:w="234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项目</w:t>
            </w:r>
            <w:r/>
          </w:p>
        </w:tc>
        <w:tc>
          <w:tcPr>
            <w:tcW w:w="83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单位</w:t>
            </w:r>
            <w:r/>
          </w:p>
        </w:tc>
        <w:tc>
          <w:tcPr>
            <w:tcW w:w="801"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数量</w:t>
            </w:r>
            <w:r/>
          </w:p>
        </w:tc>
        <w:tc>
          <w:tcPr>
            <w:tcW w:w="1610"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单价最高限价（元）</w:t>
            </w:r>
            <w:r/>
          </w:p>
        </w:tc>
        <w:tc>
          <w:tcPr>
            <w:tcW w:w="1289"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优惠率（%）</w:t>
            </w:r>
            <w:r/>
          </w:p>
        </w:tc>
        <w:tc>
          <w:tcPr>
            <w:tcW w:w="1530"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优惠后单价（元）</w:t>
            </w:r>
            <w:r/>
          </w:p>
        </w:tc>
      </w:tr>
      <w:tr>
        <w:trPr>
          <w:jc w:val="center"/>
        </w:trPr>
        <w:tc>
          <w:tcPr>
            <w:tcW w:w="6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34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3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01"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610"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r>
            <w:r/>
          </w:p>
        </w:tc>
        <w:tc>
          <w:tcPr>
            <w:tcW w:w="128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53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Pr>
        <w:tc>
          <w:tcPr>
            <w:tcW w:w="6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34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r>
            <w:r/>
          </w:p>
        </w:tc>
        <w:tc>
          <w:tcPr>
            <w:tcW w:w="83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01"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610"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r>
            <w:r/>
          </w:p>
        </w:tc>
        <w:tc>
          <w:tcPr>
            <w:tcW w:w="128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53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Pr>
        <w:tc>
          <w:tcPr>
            <w:tcW w:w="65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34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3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01"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610"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r>
            <w:r/>
          </w:p>
        </w:tc>
        <w:tc>
          <w:tcPr>
            <w:tcW w:w="128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53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bl>
    <w:p>
      <w:pPr>
        <w:contextualSpacing/>
        <w:ind w:firstLine="420"/>
        <w:jc w:val="both"/>
        <w:spacing w:line="360" w:lineRule="auto"/>
        <w:widowControl w:val="off"/>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2、合同价格包括</w:t>
      </w:r>
      <w:r>
        <w:rPr>
          <w:rFonts w:hint="eastAsia" w:ascii="宋体" w:hAnsi="宋体" w:eastAsia="宋体" w:cs="宋体"/>
          <w:color w:val="auto"/>
          <w:sz w:val="21"/>
          <w:szCs w:val="21"/>
          <w:highlight w:val="none"/>
        </w:rPr>
        <w:t xml:space="preserve">完成本项工作所需的一切费用，包括但不限于提供完整的方案编制及后续服务所需的勘测费、调查费、劳务费、咨询费、会务费、管理费、资料收集、专家论证、成果验收等所有服务成本、经营成本、法定税费和管理企业的利润、保险及合同包含的所有风险、责任等各项应有费用。除非因特殊原因并经买卖双方协商同意，投标人不得再要求追加任何费用。</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3、付款方式：</w:t>
      </w:r>
      <w:r/>
    </w:p>
    <w:p>
      <w:pPr>
        <w:ind w:firstLine="422"/>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采购包1</w:t>
      </w:r>
      <w:r>
        <w:rPr>
          <w:rFonts w:hint="eastAsia" w:ascii="宋体" w:hAnsi="宋体" w:cs="宋体"/>
          <w:color w:val="auto"/>
          <w:sz w:val="21"/>
          <w:szCs w:val="21"/>
          <w:highlight w:val="none"/>
        </w:rPr>
        <w:t xml:space="preserve">：合同签订后支付合同金额的30%；完成五年评估初步成果支付合同金额的20%，完成五年评估成果支付合同金额的20%；完成城市重要控制线统筹优化专项研究初步成果支付合同金额的15%，完成城市重要控制线统筹优化专项研究成果支付合同金额的15%。</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每次支付前，乙方应向甲方出具与应付款金额同等的发票，否则甲方有权拒绝支付并不承担违约责任，且乙方不得中止、延迟、终止履行本协议</w:t>
      </w:r>
      <w:r/>
    </w:p>
    <w:p>
      <w:pPr>
        <w:ind w:firstLine="422"/>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采购包2：</w:t>
      </w:r>
      <w:r/>
    </w:p>
    <w:p>
      <w:pPr>
        <w:ind w:firstLine="42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合同签订后支付合同</w:t>
      </w:r>
      <w:r>
        <w:rPr>
          <w:rFonts w:hint="eastAsia" w:ascii="宋体" w:hAnsi="宋体" w:eastAsia="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rPr>
        <w:t xml:space="preserve">金额的30%；</w:t>
      </w:r>
      <w:r>
        <w:rPr>
          <w:rFonts w:hint="eastAsia" w:ascii="宋体" w:hAnsi="宋体" w:eastAsia="宋体" w:cs="宋体"/>
          <w:color w:val="auto"/>
          <w:sz w:val="21"/>
          <w:szCs w:val="21"/>
          <w:highlight w:val="none"/>
          <w:lang w:val="en-US" w:eastAsia="zh-CN"/>
        </w:rPr>
        <w:t xml:space="preserve">提交全部服务成果并验收合格后按照最终完成工作量，得出最终支付金额后支付剩余合同金额</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、每次支付前，乙方应向甲方出具与应付款金额同等的发票，否则甲方有权拒绝支付并不承担违约责任，且乙方不得中止、延迟、终止履行本协议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乙方开户银行：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账号：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第四条、税费</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中国政府根据现行税法规定对乙方征收的、与本合同有关的一切税费，均由乙方负担。</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第五条  技术情报及资料的保管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乙方负责对甲方所提供资料及最终成果的保密。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第六条  技术成果的归属和分享</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项目所完成的技术成果全部属于甲方所有（包括著作权等全部知识产权），未经甲方许可，乙方不得将成果全部或部分分批泄露或提供给第三方。</w:t>
      </w:r>
      <w:r/>
    </w:p>
    <w:p>
      <w:pPr>
        <w:pStyle w:val="780"/>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第七条  </w:t>
      </w:r>
      <w:r>
        <w:rPr>
          <w:rFonts w:hint="eastAsia" w:ascii="宋体" w:hAnsi="宋体" w:cs="宋体"/>
          <w:b/>
          <w:bCs/>
          <w:color w:val="auto"/>
          <w:sz w:val="21"/>
          <w:szCs w:val="21"/>
          <w:highlight w:val="none"/>
        </w:rPr>
        <w:t xml:space="preserve">质量要求</w:t>
      </w:r>
      <w:r/>
    </w:p>
    <w:p>
      <w:pPr>
        <w:contextualSpacing/>
        <w:ind w:firstLine="478"/>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1、为保证本项目实施的科学性、规范性和准确性，需严格遵照国家有关法律、法规、规章制度以及国家和行业颁布的相关技术标准和规范。</w:t>
      </w:r>
      <w:r/>
    </w:p>
    <w:p>
      <w:pPr>
        <w:contextualSpacing/>
        <w:ind w:firstLine="478"/>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2、在项目成果通过验收并实施过程中，按照项目实际需求，配合采购人进行成果应用</w:t>
      </w:r>
      <w:r>
        <w:rPr>
          <w:rFonts w:ascii="宋体" w:hAnsi="宋体" w:cs="宋体"/>
          <w:color w:val="auto"/>
          <w:sz w:val="21"/>
          <w:szCs w:val="21"/>
          <w:highlight w:val="none"/>
        </w:rPr>
        <w:t xml:space="preserve">；</w:t>
      </w:r>
      <w:r/>
    </w:p>
    <w:p>
      <w:pPr>
        <w:contextualSpacing/>
        <w:ind w:firstLine="478"/>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3、乙方需在规定的时间内完成项目服务工作，甲方将组织对成果进行确认、验收，如发现与要求不符等问题，应作详细记录，甲方有权要求终止服务，由此造成的各种费用损失均由乙方承担；</w:t>
      </w:r>
      <w:r/>
    </w:p>
    <w:p>
      <w:pPr>
        <w:contextualSpacing/>
        <w:ind w:firstLine="478"/>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4、乙方应对甲方提供的资料、信息有保密责任，不得泄漏给任何第三方；</w:t>
      </w:r>
      <w:r/>
    </w:p>
    <w:p>
      <w:pPr>
        <w:contextualSpacing/>
        <w:ind w:firstLine="478"/>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5、乙方在服务期间，如将承担的服务转包他人，或者出现弄虚作假欺骗用户，将被解除服务合同；</w:t>
      </w:r>
      <w:r/>
    </w:p>
    <w:p>
      <w:pPr>
        <w:contextualSpacing/>
        <w:ind w:firstLine="478"/>
        <w:jc w:val="both"/>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验收：</w:t>
      </w:r>
      <w:r/>
    </w:p>
    <w:p>
      <w:pPr>
        <w:ind w:firstLine="420"/>
        <w:spacing w:line="360" w:lineRule="auto"/>
        <w:rPr>
          <w:rFonts w:ascii="宋体" w:hAnsi="宋体" w:cs="宋体"/>
          <w:bCs/>
          <w:color w:val="auto"/>
          <w:sz w:val="21"/>
          <w:szCs w:val="21"/>
          <w:highlight w:val="none"/>
          <w:lang w:bidi="en-US"/>
        </w:rPr>
      </w:pPr>
      <w:r>
        <w:rPr>
          <w:rFonts w:hint="eastAsia" w:ascii="宋体" w:hAnsi="宋体" w:cs="宋体"/>
          <w:bCs/>
          <w:color w:val="auto"/>
          <w:sz w:val="21"/>
          <w:szCs w:val="21"/>
          <w:highlight w:val="none"/>
          <w:lang w:bidi="en-US"/>
        </w:rPr>
        <w:t xml:space="preserve">（1）验收组织方式：本项目由甲方进行验收。</w:t>
      </w:r>
      <w:r/>
    </w:p>
    <w:p>
      <w:pPr>
        <w:ind w:firstLine="420"/>
        <w:spacing w:line="360" w:lineRule="auto"/>
        <w:rPr>
          <w:rFonts w:ascii="宋体" w:hAnsi="宋体" w:cs="宋体"/>
          <w:bCs/>
          <w:color w:val="auto"/>
          <w:sz w:val="21"/>
          <w:szCs w:val="21"/>
          <w:highlight w:val="none"/>
          <w:lang w:bidi="en-US"/>
        </w:rPr>
      </w:pPr>
      <w:r>
        <w:rPr>
          <w:rFonts w:hint="eastAsia" w:ascii="宋体" w:hAnsi="宋体" w:cs="宋体"/>
          <w:bCs/>
          <w:color w:val="auto"/>
          <w:sz w:val="21"/>
          <w:szCs w:val="21"/>
          <w:highlight w:val="none"/>
          <w:lang w:bidi="en-US"/>
        </w:rPr>
        <w:t xml:space="preserve">（2）履约验收时间：项目结束进行验收，验收前甲方向乙方发出《政府采购履约验收通知单》，验收完成后形成《政府采购履约验收书》。</w:t>
      </w:r>
      <w:r/>
    </w:p>
    <w:p>
      <w:pPr>
        <w:contextualSpacing/>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lang w:bidi="en-US"/>
        </w:rPr>
        <w:t xml:space="preserve">（3）履约验收的内容及标准：按采购文件要求及相关法律法规及行业标准进行验收。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第八条  风险责任的承担：</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乙方需按期完成所承担的工作，若因乙方未按期完成应承担的工作造成项目延误，其风险责任由乙方承担。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第九条  违约责任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1、违约责任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2、甲方违约责任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在合同生效后，甲方无正当理由要求解除合同的，应向乙方偿付合同总价款10%的违约金，</w:t>
      </w:r>
      <w:bookmarkStart w:id="19" w:name="_Hlk112854527"/>
      <w:r>
        <w:rPr>
          <w:rFonts w:hint="eastAsia" w:ascii="宋体" w:hAnsi="宋体" w:cs="宋体"/>
          <w:color w:val="auto"/>
          <w:sz w:val="21"/>
          <w:szCs w:val="21"/>
          <w:highlight w:val="none"/>
        </w:rPr>
        <w:t xml:space="preserve">违约金不足以补偿损失的，乙方有权要求甲方补足。</w:t>
      </w:r>
      <w:bookmarkEnd w:id="19"/>
      <w:r/>
    </w:p>
    <w:p>
      <w:pPr>
        <w:numPr>
          <w:ilvl w:val="0"/>
          <w:numId w:val="12"/>
        </w:num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乙方违约责任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乙方逾期交付项目成果的，每逾期一天，应向甲方偿付合同总价款万分之五的违约金；乙方逾期交付超过15天的，甲方有权解除本合同，并要求乙方支付合同总价10%的违约金。违约金不足以补偿损失的，乙方有权要求甲方补足。</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（2）在合同生效后，乙方要求解除合同的，应向甲方偿付合同总价款10%的违约金，违约金不足以补偿损失的，甲方有权要求乙方补足。</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（3）乙方不能履行合同或者拒绝履行合同，从而影响甲方按期正常使用的，甲方有权解除合同，乙方向甲方偿付合同总价款10%的违约金，违约金不足以补偿损失的甲方有权要求乙方补足。</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4、不可抗力</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（2）合同一方因不可抗力不能履行合同的，应当及时通知对方，以减轻可能给对方造成的损失，并应当在合理期限内提供证明。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（3）本条所述的“不可抗力”系指下列甲、乙双方无法控制、不可预见的事件，但不包括甲、乙双方的违约或疏忽。这些事件包括：战争、严重火灾、洪水、台风、地震、疫情以及其他甲方和乙方商定的事件。</w:t>
      </w:r>
      <w:r/>
    </w:p>
    <w:p>
      <w:pPr>
        <w:ind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第十条  </w:t>
      </w:r>
      <w:r>
        <w:rPr>
          <w:rFonts w:hint="eastAsia" w:ascii="宋体" w:hAnsi="宋体" w:cs="宋体"/>
          <w:b/>
          <w:bCs/>
          <w:color w:val="auto"/>
          <w:sz w:val="21"/>
          <w:szCs w:val="21"/>
          <w:highlight w:val="none"/>
        </w:rPr>
        <w:t xml:space="preserve">索赔</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乙方应当保证，其依本合同为甲方提供的技术服务过程和/或其为甲方提供的服务成果不侵犯任何第三人的合法权益。如果有人提出法律诉讼或行政程序(合称“侵权指控”)，声称甲方使用的技术服务成果侵犯了其知识产权等合法权益，若该侵权行为被生效司法或行政文书所确认，乙方须赔偿甲方生效司法或行政文书所确认的金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乙方依据本合同履行义务的前提下，甲方应保证：乙方根据本合同所进行的服务符合国家的法律、法规和相关政策的规定，乙方根据本合同所进行的服务，不会侵害任何第三方的权利，如果甲方违反本条规定的保证义务，甲方应保障乙方的权利不会因此而受到损害，乙方若因此而造成损失有权向甲方追偿。</w:t>
      </w:r>
      <w:r/>
    </w:p>
    <w:p>
      <w:pPr>
        <w:ind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第十一条  </w:t>
      </w:r>
      <w:r>
        <w:rPr>
          <w:rFonts w:hint="eastAsia" w:ascii="宋体" w:hAnsi="宋体" w:cs="宋体"/>
          <w:b/>
          <w:bCs/>
          <w:color w:val="auto"/>
          <w:sz w:val="21"/>
          <w:szCs w:val="21"/>
          <w:highlight w:val="none"/>
        </w:rPr>
        <w:t xml:space="preserve">合同的转让</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合同的部分和全部都不得转让，否则甲方有权解除本合同。</w:t>
      </w:r>
      <w:r/>
    </w:p>
    <w:p>
      <w:pPr>
        <w:ind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第十二条  </w:t>
      </w:r>
      <w:r>
        <w:rPr>
          <w:rFonts w:hint="eastAsia" w:ascii="宋体" w:hAnsi="宋体" w:cs="宋体"/>
          <w:b/>
          <w:bCs/>
          <w:color w:val="auto"/>
          <w:sz w:val="21"/>
          <w:szCs w:val="21"/>
          <w:highlight w:val="none"/>
        </w:rPr>
        <w:t xml:space="preserve">合同的解除：</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1、甲方和乙方协商一致，可以解除合同。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2、有下列情形之一，合同一方可以解除合同：</w:t>
      </w:r>
      <w:r/>
    </w:p>
    <w:p>
      <w:pPr>
        <w:ind w:firstLine="420"/>
        <w:spacing w:line="360" w:lineRule="auto"/>
        <w:tabs>
          <w:tab w:val="left" w:pos="108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（1）因不可抗力致使不能实现合同目的，未受不可抗力影响的一方有权解除合同；</w:t>
      </w:r>
      <w:r/>
    </w:p>
    <w:p>
      <w:pPr>
        <w:ind w:firstLine="420"/>
        <w:spacing w:line="360" w:lineRule="auto"/>
        <w:tabs>
          <w:tab w:val="left" w:pos="108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（2）因合同一方违约导致合同不能履行，另一方有权解除合同。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3、有权解除合同的一方，应当在违约事实或不可抗力发生之后书面通知对方以主张解除合同，合同在书面通知到达对方时解除</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第十三条  </w:t>
      </w:r>
      <w:r>
        <w:rPr>
          <w:rFonts w:hint="eastAsia" w:ascii="宋体" w:hAnsi="宋体" w:cs="宋体"/>
          <w:b/>
          <w:bCs/>
          <w:color w:val="auto"/>
          <w:sz w:val="21"/>
          <w:szCs w:val="21"/>
          <w:highlight w:val="none"/>
        </w:rPr>
        <w:t xml:space="preserve">争议处置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在执行本合同中所发生的一切争议，甲方、乙方应通过友好协商的办法进行解决，如协商不能解决的，可依法向甲方所在地人民法院提起诉讼。</w:t>
      </w:r>
      <w:r/>
    </w:p>
    <w:p>
      <w:pPr>
        <w:ind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第十四条  </w:t>
      </w:r>
      <w:r>
        <w:rPr>
          <w:rFonts w:hint="eastAsia" w:ascii="宋体" w:hAnsi="宋体" w:cs="宋体"/>
          <w:b/>
          <w:bCs/>
          <w:color w:val="auto"/>
          <w:sz w:val="21"/>
          <w:szCs w:val="21"/>
          <w:highlight w:val="none"/>
        </w:rPr>
        <w:t xml:space="preserve">合同生效及其它：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1、本合同经双方签字盖章后生效，并向招标代理机构备案。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2、合同在执行过程中出现的未尽事宜，双方在不违背本合同的原则下协商解决，协商结果以书面形式记录在案，作为本合同附件，与本合同具有同等效力。</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第十五条 特别条款</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1、双方签约人为各自法定代表人或被授权代表。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2、本合同一式</w:t>
      </w:r>
      <w:r>
        <w:rPr>
          <w:rFonts w:hint="eastAsia" w:ascii="宋体" w:hAnsi="宋体" w:cs="宋体"/>
          <w:color w:val="auto"/>
          <w:sz w:val="21"/>
          <w:szCs w:val="21"/>
          <w:highlight w:val="none"/>
          <w:u w:val="single"/>
        </w:rPr>
        <w:t xml:space="preserve">伍</w:t>
      </w:r>
      <w:r>
        <w:rPr>
          <w:rFonts w:hint="eastAsia" w:ascii="宋体" w:hAnsi="宋体" w:cs="宋体"/>
          <w:color w:val="auto"/>
          <w:sz w:val="21"/>
          <w:szCs w:val="21"/>
          <w:highlight w:val="none"/>
        </w:rPr>
        <w:t xml:space="preserve">份，甲乙双方各执</w:t>
      </w:r>
      <w:r>
        <w:rPr>
          <w:rFonts w:hint="eastAsia" w:ascii="宋体" w:hAnsi="宋体" w:cs="宋体"/>
          <w:color w:val="auto"/>
          <w:sz w:val="21"/>
          <w:szCs w:val="21"/>
          <w:highlight w:val="none"/>
          <w:u w:val="single"/>
        </w:rPr>
        <w:t xml:space="preserve">贰</w:t>
      </w:r>
      <w:r>
        <w:rPr>
          <w:rFonts w:hint="eastAsia" w:ascii="宋体" w:hAnsi="宋体" w:cs="宋体"/>
          <w:color w:val="auto"/>
          <w:sz w:val="21"/>
          <w:szCs w:val="21"/>
          <w:highlight w:val="none"/>
        </w:rPr>
        <w:t xml:space="preserve">份，代理机构</w:t>
      </w:r>
      <w:r>
        <w:rPr>
          <w:rFonts w:hint="eastAsia" w:ascii="宋体" w:hAnsi="宋体" w:cs="宋体"/>
          <w:color w:val="auto"/>
          <w:sz w:val="21"/>
          <w:szCs w:val="21"/>
          <w:highlight w:val="none"/>
          <w:u w:val="single"/>
        </w:rPr>
        <w:t xml:space="preserve">壹</w:t>
      </w:r>
      <w:r>
        <w:rPr>
          <w:rFonts w:hint="eastAsia" w:ascii="宋体" w:hAnsi="宋体" w:cs="宋体"/>
          <w:color w:val="auto"/>
          <w:sz w:val="21"/>
          <w:szCs w:val="21"/>
          <w:highlight w:val="none"/>
        </w:rPr>
        <w:t xml:space="preserve">份，各份具有同等法律效力。</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bl>
      <w:tblPr>
        <w:tblStyle w:val="746"/>
        <w:tblW w:w="0" w:type="auto"/>
        <w:jc w:val="center"/>
        <w:tblLayout w:type="fixed"/>
        <w:tblCellMar>
          <w:left w:w="108" w:type="dxa"/>
          <w:top w:w="0" w:type="dxa"/>
          <w:right w:w="108" w:type="dxa"/>
          <w:bottom w:w="0" w:type="dxa"/>
        </w:tblCellMar>
        <w:tblLook w:val="04A0" w:firstRow="1" w:lastRow="0" w:firstColumn="1" w:lastColumn="0" w:noHBand="0" w:noVBand="1"/>
      </w:tblPr>
      <w:tblGrid>
        <w:gridCol w:w="4977"/>
        <w:gridCol w:w="4346"/>
      </w:tblGrid>
      <w:tr>
        <w:trPr>
          <w:jc w:val="center"/>
          <w:trHeight w:val="903"/>
        </w:trPr>
        <w:tc>
          <w:tcPr>
            <w:tcW w:w="4977" w:type="dxa"/>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甲方（盖章）：太仓市自然资源和规划局</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4346" w:type="dxa"/>
            <w:textDirection w:val="lrTb"/>
            <w:noWrap w:val="false"/>
          </w:tcPr>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乙方（盖章）：</w:t>
            </w:r>
            <w:r/>
          </w:p>
        </w:tc>
      </w:tr>
      <w:tr>
        <w:trPr>
          <w:jc w:val="center"/>
          <w:trHeight w:val="903"/>
        </w:trPr>
        <w:tc>
          <w:tcPr>
            <w:tcW w:w="4977"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代表人或委</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托代理人（签字）：</w:t>
            </w:r>
            <w:r/>
          </w:p>
        </w:tc>
        <w:tc>
          <w:tcPr>
            <w:tcW w:w="4346" w:type="dxa"/>
            <w:vAlign w:val="center"/>
            <w:textDirection w:val="lrTb"/>
            <w:noWrap w:val="false"/>
          </w:tcPr>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法定代表人或委</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托代理人（签字）：</w:t>
            </w:r>
            <w:r/>
          </w:p>
        </w:tc>
      </w:tr>
      <w:tr>
        <w:trPr>
          <w:jc w:val="center"/>
          <w:trHeight w:val="903"/>
        </w:trPr>
        <w:tc>
          <w:tcPr>
            <w:tcW w:w="4977"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w:t>
            </w:r>
            <w:r/>
          </w:p>
        </w:tc>
        <w:tc>
          <w:tcPr>
            <w:tcW w:w="4346" w:type="dxa"/>
            <w:vAlign w:val="center"/>
            <w:textDirection w:val="lrTb"/>
            <w:noWrap w:val="false"/>
          </w:tcPr>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w:t>
            </w:r>
            <w:r/>
          </w:p>
        </w:tc>
      </w:tr>
    </w:tbl>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both"/>
        <w:spacing w:line="360" w:lineRule="auto"/>
        <w:rPr>
          <w:rFonts w:ascii="宋体" w:hAnsi="宋体" w:cs="宋体"/>
          <w:b/>
          <w:color w:val="auto"/>
          <w:sz w:val="21"/>
          <w:szCs w:val="21"/>
          <w:highlight w:val="none"/>
        </w:rPr>
        <w:outlineLvl w:val="0"/>
      </w:pPr>
      <w:r>
        <w:rPr>
          <w:rFonts w:ascii="宋体" w:hAnsi="宋体" w:cs="宋体"/>
          <w:b/>
          <w:color w:val="auto"/>
          <w:sz w:val="21"/>
          <w:szCs w:val="21"/>
          <w:highlight w:val="none"/>
        </w:rPr>
      </w:r>
      <w:r/>
    </w:p>
    <w:p>
      <w:pPr>
        <w:jc w:val="both"/>
        <w:spacing w:line="360" w:lineRule="auto"/>
        <w:rPr>
          <w:rFonts w:ascii="宋体" w:hAnsi="宋体" w:cs="宋体"/>
          <w:b/>
          <w:color w:val="auto"/>
          <w:sz w:val="21"/>
          <w:szCs w:val="21"/>
          <w:highlight w:val="none"/>
        </w:rPr>
        <w:outlineLvl w:val="0"/>
      </w:pPr>
      <w:r>
        <w:rPr>
          <w:rFonts w:hint="eastAsia" w:ascii="宋体" w:hAnsi="宋体" w:cs="宋体"/>
          <w:b/>
          <w:color w:val="auto"/>
          <w:sz w:val="21"/>
          <w:szCs w:val="21"/>
          <w:highlight w:val="none"/>
        </w:rPr>
        <w:t xml:space="preserve">附件1：</w:t>
      </w:r>
      <w:r/>
    </w:p>
    <w:p>
      <w:pPr>
        <w:jc w:val="center"/>
        <w:keepLines/>
        <w:keepNext/>
        <w:spacing w:before="320" w:after="200"/>
        <w:widowControl w:val="off"/>
        <w:rPr>
          <w:rFonts w:ascii="宋体" w:hAnsi="宋体" w:cs="宋体"/>
          <w:color w:val="auto"/>
          <w:sz w:val="21"/>
          <w:szCs w:val="21"/>
          <w:highlight w:val="none"/>
        </w:rPr>
        <w:outlineLvl w:val="2"/>
      </w:pPr>
      <w:r>
        <w:rPr>
          <w:rFonts w:hint="eastAsia" w:ascii="宋体" w:hAnsi="宋体" w:cs="宋体"/>
          <w:color w:val="auto"/>
          <w:sz w:val="21"/>
          <w:szCs w:val="21"/>
          <w:highlight w:val="none"/>
        </w:rPr>
        <w:t xml:space="preserve">政府采购履约验收通知单（参考样本）</w:t>
      </w:r>
      <w:r/>
    </w:p>
    <w:p>
      <w:pPr>
        <w:ind w:left="85"/>
        <w:spacing w:before="216" w:line="214" w:lineRule="auto"/>
        <w:rPr>
          <w:rFonts w:ascii="宋体" w:hAnsi="宋体" w:cs="宋体"/>
          <w:color w:val="auto"/>
          <w:sz w:val="21"/>
          <w:szCs w:val="21"/>
          <w:highlight w:val="none"/>
          <w:lang w:eastAsia="en-US"/>
        </w:rPr>
      </w:pPr>
      <w:r>
        <w:rPr>
          <w:rFonts w:hint="eastAsia" w:ascii="宋体" w:hAnsi="宋体" w:cs="宋体"/>
          <w:color w:val="auto"/>
          <w:spacing w:val="9"/>
          <w:sz w:val="21"/>
          <w:szCs w:val="21"/>
          <w:highlight w:val="none"/>
          <w:lang w:eastAsia="en-US"/>
        </w:rPr>
        <w:t xml:space="preserve">供应商：</w:t>
      </w:r>
      <w:r/>
    </w:p>
    <w:p>
      <w:pPr>
        <w:spacing w:line="44" w:lineRule="exact"/>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bl>
      <w:tblPr>
        <w:tblStyle w:val="746"/>
        <w:tblW w:w="9435"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725"/>
      </w:tblGrid>
      <w:tr>
        <w:trPr>
          <w:trHeight w:val="562"/>
        </w:trPr>
        <w:tc>
          <w:tcPr>
            <w:tcW w:w="2610" w:type="dxa"/>
            <w:textDirection w:val="lrTb"/>
            <w:noWrap w:val="false"/>
          </w:tcPr>
          <w:p>
            <w:pPr>
              <w:ind w:left="961"/>
              <w:spacing w:before="249" w:line="212"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采购人</w:t>
            </w:r>
            <w:r/>
          </w:p>
        </w:tc>
        <w:tc>
          <w:tcPr>
            <w:gridSpan w:val="3"/>
            <w:tcW w:w="6825"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9" w:line="211"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项目名称</w:t>
            </w:r>
            <w:r/>
          </w:p>
        </w:tc>
        <w:tc>
          <w:tcPr>
            <w:gridSpan w:val="3"/>
            <w:tcW w:w="6825"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7" w:line="213"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合同名称</w:t>
            </w:r>
            <w:r/>
          </w:p>
        </w:tc>
        <w:tc>
          <w:tcPr>
            <w:gridSpan w:val="3"/>
            <w:tcW w:w="6825"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7" w:line="212"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合同编号</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7"/>
              <w:spacing w:before="247" w:line="213"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合同金额</w:t>
            </w:r>
            <w:r/>
          </w:p>
        </w:tc>
        <w:tc>
          <w:tcPr>
            <w:tcW w:w="2725"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8" w:line="212"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验收时间</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7"/>
              <w:spacing w:before="248" w:line="213"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验收地点</w:t>
            </w:r>
            <w:r/>
          </w:p>
        </w:tc>
        <w:tc>
          <w:tcPr>
            <w:tcW w:w="2725"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960"/>
              <w:spacing w:before="248" w:line="213" w:lineRule="auto"/>
              <w:rPr>
                <w:rFonts w:ascii="宋体" w:hAnsi="宋体" w:cs="宋体"/>
                <w:color w:val="auto"/>
                <w:sz w:val="21"/>
                <w:szCs w:val="21"/>
                <w:highlight w:val="none"/>
                <w:lang w:eastAsia="en-US"/>
              </w:rPr>
            </w:pPr>
            <w:r>
              <w:rPr>
                <w:rFonts w:hint="eastAsia" w:ascii="宋体" w:hAnsi="宋体" w:cs="宋体"/>
                <w:color w:val="auto"/>
                <w:spacing w:val="1"/>
                <w:sz w:val="21"/>
                <w:szCs w:val="21"/>
                <w:highlight w:val="none"/>
                <w:lang w:eastAsia="en-US"/>
              </w:rPr>
              <w:t xml:space="preserve">联系人</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5"/>
              <w:spacing w:before="248" w:line="213" w:lineRule="auto"/>
              <w:rPr>
                <w:rFonts w:ascii="宋体" w:hAnsi="宋体" w:cs="宋体"/>
                <w:color w:val="auto"/>
                <w:sz w:val="21"/>
                <w:szCs w:val="21"/>
                <w:highlight w:val="none"/>
                <w:lang w:eastAsia="en-US"/>
              </w:rPr>
            </w:pPr>
            <w:r>
              <w:rPr>
                <w:rFonts w:hint="eastAsia" w:ascii="宋体" w:hAnsi="宋体" w:cs="宋体"/>
                <w:color w:val="auto"/>
                <w:spacing w:val="3"/>
                <w:sz w:val="21"/>
                <w:szCs w:val="21"/>
                <w:highlight w:val="none"/>
                <w:lang w:eastAsia="en-US"/>
              </w:rPr>
              <w:t xml:space="preserve">联系电话</w:t>
            </w:r>
            <w:r/>
          </w:p>
        </w:tc>
        <w:tc>
          <w:tcPr>
            <w:tcW w:w="2725"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gridSpan w:val="4"/>
            <w:tcW w:w="9435" w:type="dxa"/>
            <w:textDirection w:val="lrTb"/>
            <w:noWrap w:val="false"/>
          </w:tcPr>
          <w:p>
            <w:pPr>
              <w:ind w:left="3353"/>
              <w:spacing w:before="250" w:line="212" w:lineRule="auto"/>
              <w:rPr>
                <w:rFonts w:ascii="宋体" w:hAnsi="宋体" w:cs="宋体"/>
                <w:color w:val="auto"/>
                <w:sz w:val="21"/>
                <w:szCs w:val="21"/>
                <w:highlight w:val="none"/>
              </w:rPr>
            </w:pPr>
            <w:r>
              <w:rPr>
                <w:rFonts w:hint="eastAsia" w:ascii="宋体" w:hAnsi="宋体" w:cs="宋体"/>
                <w:color w:val="auto"/>
                <w:spacing w:val="7"/>
                <w:sz w:val="21"/>
                <w:szCs w:val="21"/>
                <w:highlight w:val="none"/>
              </w:rPr>
              <w:t xml:space="preserve">履约验收方案及工作要求</w:t>
            </w:r>
            <w:r/>
          </w:p>
        </w:tc>
      </w:tr>
      <w:tr>
        <w:trPr>
          <w:trHeight w:val="7569"/>
        </w:trPr>
        <w:tc>
          <w:tcPr>
            <w:gridSpan w:val="4"/>
            <w:tcW w:w="9435" w:type="dxa"/>
            <w:textDirection w:val="lrTb"/>
            <w:noWrap w:val="false"/>
          </w:tcPr>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2"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2"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5411" w:right="2893" w:hanging="54"/>
              <w:spacing w:before="75" w:line="507" w:lineRule="auto"/>
              <w:rPr>
                <w:rFonts w:ascii="宋体" w:hAnsi="宋体" w:cs="宋体"/>
                <w:color w:val="auto"/>
                <w:sz w:val="21"/>
                <w:szCs w:val="21"/>
                <w:highlight w:val="none"/>
                <w:lang w:eastAsia="en-US"/>
              </w:rPr>
            </w:pPr>
            <w:r>
              <w:rPr>
                <w:rFonts w:hint="eastAsia" w:ascii="宋体" w:hAnsi="宋体" w:cs="宋体"/>
                <w:color w:val="auto"/>
                <w:spacing w:val="3"/>
                <w:sz w:val="21"/>
                <w:szCs w:val="21"/>
                <w:highlight w:val="none"/>
                <w:lang w:eastAsia="en-US"/>
              </w:rPr>
              <w:t xml:space="preserve">单位公章</w:t>
            </w:r>
            <w:r>
              <w:rPr>
                <w:rFonts w:hint="eastAsia" w:ascii="宋体" w:hAnsi="宋体" w:cs="宋体"/>
                <w:color w:val="auto"/>
                <w:spacing w:val="-16"/>
                <w:sz w:val="21"/>
                <w:szCs w:val="21"/>
                <w:highlight w:val="none"/>
                <w:lang w:eastAsia="en-US"/>
              </w:rPr>
              <w:t xml:space="preserve">年</w:t>
            </w:r>
            <w:r>
              <w:rPr>
                <w:rFonts w:hint="eastAsia" w:ascii="宋体" w:hAnsi="宋体" w:cs="宋体"/>
                <w:color w:val="auto"/>
                <w:spacing w:val="-16"/>
                <w:sz w:val="21"/>
                <w:szCs w:val="21"/>
                <w:highlight w:val="none"/>
              </w:rPr>
              <w:t xml:space="preserve">  </w:t>
            </w:r>
            <w:r>
              <w:rPr>
                <w:rFonts w:hint="eastAsia" w:ascii="宋体" w:hAnsi="宋体" w:cs="宋体"/>
                <w:color w:val="auto"/>
                <w:spacing w:val="-16"/>
                <w:sz w:val="21"/>
                <w:szCs w:val="21"/>
                <w:highlight w:val="none"/>
                <w:lang w:eastAsia="en-US"/>
              </w:rPr>
              <w:t xml:space="preserve">月</w:t>
            </w:r>
            <w:r>
              <w:rPr>
                <w:rFonts w:hint="eastAsia" w:ascii="宋体" w:hAnsi="宋体" w:cs="宋体"/>
                <w:color w:val="auto"/>
                <w:spacing w:val="-16"/>
                <w:sz w:val="21"/>
                <w:szCs w:val="21"/>
                <w:highlight w:val="none"/>
              </w:rPr>
              <w:t xml:space="preserve">   </w:t>
            </w:r>
            <w:r>
              <w:rPr>
                <w:rFonts w:hint="eastAsia" w:ascii="宋体" w:hAnsi="宋体" w:cs="宋体"/>
                <w:color w:val="auto"/>
                <w:spacing w:val="-16"/>
                <w:sz w:val="21"/>
                <w:szCs w:val="21"/>
                <w:highlight w:val="none"/>
                <w:lang w:eastAsia="en-US"/>
              </w:rPr>
              <w:t xml:space="preserve">日</w:t>
            </w:r>
            <w:r/>
          </w:p>
        </w:tc>
      </w:tr>
    </w:tbl>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jc w:val="both"/>
        <w:rPr>
          <w:rFonts w:ascii="宋体" w:hAnsi="宋体" w:cs="宋体"/>
          <w:color w:val="auto"/>
          <w:sz w:val="21"/>
          <w:szCs w:val="21"/>
          <w:highlight w:val="none"/>
        </w:rPr>
      </w:pPr>
      <w:r>
        <w:rPr>
          <w:rFonts w:ascii="宋体" w:hAnsi="宋体" w:cs="宋体"/>
          <w:color w:val="auto"/>
          <w:sz w:val="21"/>
          <w:szCs w:val="21"/>
          <w:highlight w:val="none"/>
        </w:rPr>
      </w:r>
      <w:r/>
    </w:p>
    <w:p>
      <w:pPr>
        <w:jc w:val="both"/>
        <w:rPr>
          <w:rFonts w:ascii="宋体" w:hAnsi="宋体" w:cs="宋体"/>
          <w:color w:val="auto"/>
          <w:sz w:val="21"/>
          <w:szCs w:val="21"/>
          <w:highlight w:val="none"/>
        </w:rPr>
      </w:pPr>
      <w:r>
        <w:rPr>
          <w:rFonts w:ascii="宋体" w:hAnsi="宋体" w:cs="宋体"/>
          <w:color w:val="auto"/>
          <w:sz w:val="21"/>
          <w:szCs w:val="21"/>
          <w:highlight w:val="none"/>
        </w:rPr>
      </w:r>
      <w:r/>
    </w:p>
    <w:p>
      <w:pPr>
        <w:jc w:val="both"/>
        <w:rPr>
          <w:rFonts w:ascii="宋体" w:hAnsi="宋体" w:cs="宋体"/>
          <w:color w:val="auto"/>
          <w:sz w:val="21"/>
          <w:szCs w:val="21"/>
          <w:highlight w:val="none"/>
        </w:rPr>
      </w:pPr>
      <w:r>
        <w:rPr>
          <w:rFonts w:hint="eastAsia" w:ascii="宋体" w:hAnsi="宋体" w:cs="宋体"/>
          <w:b/>
          <w:bCs/>
          <w:color w:val="auto"/>
          <w:sz w:val="21"/>
          <w:szCs w:val="21"/>
          <w:highlight w:val="none"/>
        </w:rPr>
        <w:t xml:space="preserve">附件2：</w:t>
      </w:r>
      <w:r/>
    </w:p>
    <w:p>
      <w:pPr>
        <w:jc w:val="center"/>
        <w:rPr>
          <w:rFonts w:ascii="宋体" w:hAnsi="宋体" w:cs="宋体"/>
          <w:color w:val="auto"/>
          <w:sz w:val="21"/>
          <w:szCs w:val="21"/>
          <w:highlight w:val="none"/>
        </w:rPr>
      </w:pPr>
      <w:r>
        <w:rPr>
          <w:rFonts w:hint="eastAsia" w:ascii="宋体" w:hAnsi="宋体" w:cs="宋体"/>
          <w:color w:val="auto"/>
          <w:spacing w:val="19"/>
          <w:sz w:val="21"/>
          <w:szCs w:val="21"/>
          <w:highlight w:val="none"/>
        </w:rPr>
        <w:t xml:space="preserve">政府采购履约验收书参考样本(服务类)</w:t>
      </w:r>
      <w:r/>
    </w:p>
    <w:tbl>
      <w:tblPr>
        <w:tblStyle w:val="746"/>
        <w:tblW w:w="9718"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
        <w:gridCol w:w="1339"/>
        <w:gridCol w:w="1251"/>
        <w:gridCol w:w="1257"/>
        <w:gridCol w:w="1162"/>
        <w:gridCol w:w="201"/>
        <w:gridCol w:w="1519"/>
        <w:gridCol w:w="1516"/>
        <w:gridCol w:w="1467"/>
      </w:tblGrid>
      <w:tr>
        <w:trPr>
          <w:gridBefore w:val="1"/>
          <w:trHeight w:val="562"/>
        </w:trPr>
        <w:tc>
          <w:tcPr>
            <w:tcW w:w="1339" w:type="dxa"/>
            <w:textDirection w:val="lrTb"/>
            <w:noWrap w:val="false"/>
          </w:tcPr>
          <w:p>
            <w:pPr>
              <w:spacing w:line="207" w:lineRule="auto"/>
              <w:rPr>
                <w:rFonts w:ascii="宋体" w:hAnsi="宋体" w:cs="宋体"/>
                <w:color w:val="auto"/>
                <w:sz w:val="21"/>
                <w:szCs w:val="21"/>
                <w:highlight w:val="none"/>
                <w:lang w:eastAsia="en-US"/>
              </w:rPr>
            </w:pPr>
            <w:r>
              <w:rPr>
                <w:rFonts w:hint="eastAsia" w:ascii="宋体" w:hAnsi="宋体" w:cs="宋体"/>
                <w:color w:val="auto"/>
                <w:spacing w:val="-3"/>
                <w:sz w:val="21"/>
                <w:szCs w:val="21"/>
                <w:highlight w:val="none"/>
                <w:lang w:eastAsia="en-US"/>
              </w:rPr>
              <w:t xml:space="preserve">采购人</w:t>
            </w:r>
            <w:r/>
          </w:p>
        </w:tc>
        <w:tc>
          <w:tcPr>
            <w:tcW w:w="1251" w:type="dxa"/>
            <w:textDirection w:val="lrTb"/>
            <w:noWrap w:val="false"/>
          </w:tcPr>
          <w:p>
            <w:pPr>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1257" w:type="dxa"/>
            <w:textDirection w:val="lrTb"/>
            <w:noWrap w:val="false"/>
          </w:tcPr>
          <w:p>
            <w:pPr>
              <w:spacing w:line="208" w:lineRule="auto"/>
              <w:rPr>
                <w:rFonts w:ascii="宋体" w:hAnsi="宋体" w:cs="宋体"/>
                <w:color w:val="auto"/>
                <w:sz w:val="21"/>
                <w:szCs w:val="21"/>
                <w:highlight w:val="none"/>
                <w:lang w:eastAsia="en-US"/>
              </w:rPr>
            </w:pPr>
            <w:r>
              <w:rPr>
                <w:rFonts w:hint="eastAsia" w:ascii="宋体" w:hAnsi="宋体" w:cs="宋体"/>
                <w:color w:val="auto"/>
                <w:spacing w:val="-3"/>
                <w:sz w:val="21"/>
                <w:szCs w:val="21"/>
                <w:highlight w:val="none"/>
                <w:lang w:eastAsia="en-US"/>
              </w:rPr>
              <w:t xml:space="preserve">项目名称</w:t>
            </w:r>
            <w:r/>
          </w:p>
        </w:tc>
        <w:tc>
          <w:tcPr>
            <w:gridSpan w:val="2"/>
            <w:tcW w:w="1363" w:type="dxa"/>
            <w:textDirection w:val="lrTb"/>
            <w:noWrap w:val="false"/>
          </w:tcPr>
          <w:p>
            <w:pPr>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gridSpan w:val="2"/>
            <w:tcW w:w="3035" w:type="dxa"/>
            <w:textDirection w:val="lrTb"/>
            <w:noWrap w:val="false"/>
          </w:tcPr>
          <w:p>
            <w:pPr>
              <w:spacing w:line="207"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合同名称</w:t>
            </w:r>
            <w:r/>
          </w:p>
        </w:tc>
        <w:tc>
          <w:tcPr>
            <w:tcW w:w="1467" w:type="dxa"/>
            <w:textDirection w:val="lrTb"/>
            <w:noWrap w:val="false"/>
          </w:tcPr>
          <w:p>
            <w:pPr>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gridBefore w:val="1"/>
          <w:trHeight w:val="564"/>
        </w:trPr>
        <w:tc>
          <w:tcPr>
            <w:tcW w:w="1339" w:type="dxa"/>
            <w:textDirection w:val="lrTb"/>
            <w:noWrap w:val="false"/>
          </w:tcPr>
          <w:p>
            <w:pPr>
              <w:spacing w:line="207" w:lineRule="auto"/>
              <w:rPr>
                <w:rFonts w:ascii="宋体" w:hAnsi="宋体" w:cs="宋体"/>
                <w:color w:val="auto"/>
                <w:sz w:val="21"/>
                <w:szCs w:val="21"/>
                <w:highlight w:val="none"/>
                <w:lang w:eastAsia="en-US"/>
              </w:rPr>
            </w:pPr>
            <w:r>
              <w:rPr>
                <w:rFonts w:hint="eastAsia" w:ascii="宋体" w:hAnsi="宋体" w:cs="宋体"/>
                <w:color w:val="auto"/>
                <w:spacing w:val="-3"/>
                <w:sz w:val="21"/>
                <w:szCs w:val="21"/>
                <w:highlight w:val="none"/>
                <w:lang w:eastAsia="en-US"/>
              </w:rPr>
              <w:t xml:space="preserve">供应商</w:t>
            </w:r>
            <w:r/>
          </w:p>
        </w:tc>
        <w:tc>
          <w:tcPr>
            <w:tcW w:w="1251" w:type="dxa"/>
            <w:textDirection w:val="lrTb"/>
            <w:noWrap w:val="false"/>
          </w:tcPr>
          <w:p>
            <w:pPr>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1257" w:type="dxa"/>
            <w:textDirection w:val="lrTb"/>
            <w:noWrap w:val="false"/>
          </w:tcPr>
          <w:p>
            <w:pPr>
              <w:spacing w:line="207"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项目及合同编号</w:t>
            </w:r>
            <w:r/>
          </w:p>
        </w:tc>
        <w:tc>
          <w:tcPr>
            <w:gridSpan w:val="2"/>
            <w:tcW w:w="1363" w:type="dxa"/>
            <w:textDirection w:val="lrTb"/>
            <w:noWrap w:val="false"/>
          </w:tcPr>
          <w:p>
            <w:pPr>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gridSpan w:val="2"/>
            <w:tcW w:w="3035" w:type="dxa"/>
            <w:textDirection w:val="lrTb"/>
            <w:noWrap w:val="false"/>
          </w:tcPr>
          <w:p>
            <w:pPr>
              <w:spacing w:line="208"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合同金额</w:t>
            </w:r>
            <w:r/>
          </w:p>
        </w:tc>
        <w:tc>
          <w:tcPr>
            <w:tcW w:w="1467" w:type="dxa"/>
            <w:textDirection w:val="lrTb"/>
            <w:noWrap w:val="false"/>
          </w:tcPr>
          <w:p>
            <w:pPr>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gridBefore w:val="1"/>
          <w:trHeight w:val="559"/>
        </w:trPr>
        <w:tc>
          <w:tcPr>
            <w:tcW w:w="1339" w:type="dxa"/>
            <w:textDirection w:val="lrTb"/>
            <w:noWrap w:val="false"/>
          </w:tcPr>
          <w:p>
            <w:pPr>
              <w:spacing w:line="240" w:lineRule="exact"/>
              <w:rPr>
                <w:rFonts w:ascii="宋体" w:hAnsi="宋体" w:cs="宋体"/>
                <w:color w:val="auto"/>
                <w:sz w:val="21"/>
                <w:szCs w:val="21"/>
                <w:highlight w:val="none"/>
                <w:lang w:eastAsia="en-US"/>
              </w:rPr>
            </w:pPr>
            <w:r>
              <w:rPr>
                <w:rFonts w:hint="eastAsia" w:ascii="宋体" w:hAnsi="宋体" w:cs="宋体"/>
                <w:color w:val="auto"/>
                <w:spacing w:val="-2"/>
                <w:position w:val="1"/>
                <w:sz w:val="21"/>
                <w:szCs w:val="21"/>
                <w:highlight w:val="none"/>
                <w:lang w:eastAsia="en-US"/>
              </w:rPr>
              <w:t xml:space="preserve">分期（段）验收</w:t>
            </w:r>
            <w:r/>
          </w:p>
        </w:tc>
        <w:tc>
          <w:tcPr>
            <w:tcW w:w="1251" w:type="dxa"/>
            <w:textDirection w:val="lrTb"/>
            <w:noWrap w:val="false"/>
          </w:tcPr>
          <w:p>
            <w:pPr>
              <w:spacing w:line="240" w:lineRule="exact"/>
              <w:rPr>
                <w:rFonts w:ascii="宋体" w:hAnsi="宋体" w:cs="宋体"/>
                <w:color w:val="auto"/>
                <w:sz w:val="21"/>
                <w:szCs w:val="21"/>
                <w:highlight w:val="none"/>
                <w:lang w:eastAsia="en-US"/>
              </w:rPr>
            </w:pPr>
            <w:r>
              <w:rPr>
                <w:rFonts w:hint="eastAsia" w:ascii="宋体" w:hAnsi="宋体" w:cs="宋体"/>
                <w:color w:val="auto"/>
                <w:spacing w:val="-6"/>
                <w:position w:val="1"/>
                <w:sz w:val="21"/>
                <w:szCs w:val="21"/>
                <w:highlight w:val="none"/>
                <w:lang w:eastAsia="en-US"/>
              </w:rPr>
              <w:t xml:space="preserve">是□否□</w:t>
            </w:r>
            <w:r/>
          </w:p>
        </w:tc>
        <w:tc>
          <w:tcPr>
            <w:tcW w:w="1257" w:type="dxa"/>
            <w:textDirection w:val="lrTb"/>
            <w:noWrap w:val="false"/>
          </w:tcPr>
          <w:p>
            <w:pPr>
              <w:spacing w:line="240" w:lineRule="exact"/>
              <w:rPr>
                <w:rFonts w:ascii="宋体" w:hAnsi="宋体" w:cs="宋体"/>
                <w:color w:val="auto"/>
                <w:sz w:val="21"/>
                <w:szCs w:val="21"/>
                <w:highlight w:val="none"/>
                <w:lang w:eastAsia="en-US"/>
              </w:rPr>
            </w:pPr>
            <w:r>
              <w:rPr>
                <w:rFonts w:hint="eastAsia" w:ascii="宋体" w:hAnsi="宋体" w:cs="宋体"/>
                <w:color w:val="auto"/>
                <w:spacing w:val="-2"/>
                <w:position w:val="1"/>
                <w:sz w:val="21"/>
                <w:szCs w:val="21"/>
                <w:highlight w:val="none"/>
                <w:lang w:eastAsia="en-US"/>
              </w:rPr>
              <w:t xml:space="preserve">分期（段）情况</w:t>
            </w:r>
            <w:r/>
          </w:p>
        </w:tc>
        <w:tc>
          <w:tcPr>
            <w:gridSpan w:val="5"/>
            <w:tcW w:w="5865" w:type="dxa"/>
            <w:textDirection w:val="lrTb"/>
            <w:noWrap w:val="false"/>
          </w:tcPr>
          <w:p>
            <w:pPr>
              <w:spacing w:line="240" w:lineRule="exact"/>
              <w:rPr>
                <w:rFonts w:ascii="宋体" w:hAnsi="宋体" w:cs="宋体"/>
                <w:color w:val="auto"/>
                <w:sz w:val="21"/>
                <w:szCs w:val="21"/>
                <w:highlight w:val="none"/>
              </w:rPr>
            </w:pPr>
            <w:r>
              <w:rPr>
                <w:rFonts w:hint="eastAsia" w:ascii="宋体" w:hAnsi="宋体" w:cs="宋体"/>
                <w:color w:val="auto"/>
                <w:spacing w:val="-1"/>
                <w:position w:val="1"/>
                <w:sz w:val="21"/>
                <w:szCs w:val="21"/>
                <w:highlight w:val="none"/>
              </w:rPr>
              <w:t xml:space="preserve">共分   期（段</w:t>
            </w:r>
            <w:r>
              <w:rPr>
                <w:rFonts w:hint="eastAsia" w:ascii="宋体" w:hAnsi="宋体" w:cs="宋体"/>
                <w:color w:val="auto"/>
                <w:spacing w:val="6"/>
                <w:position w:val="1"/>
                <w:sz w:val="21"/>
                <w:szCs w:val="21"/>
                <w:highlight w:val="none"/>
              </w:rPr>
              <w:t xml:space="preserve">），</w:t>
            </w:r>
            <w:r>
              <w:rPr>
                <w:rFonts w:hint="eastAsia" w:ascii="宋体" w:hAnsi="宋体" w:cs="宋体"/>
                <w:color w:val="auto"/>
                <w:spacing w:val="-1"/>
                <w:position w:val="1"/>
                <w:sz w:val="21"/>
                <w:szCs w:val="21"/>
                <w:highlight w:val="none"/>
              </w:rPr>
              <w:t xml:space="preserve">此为第   期（段）验收</w:t>
            </w:r>
            <w:r/>
          </w:p>
        </w:tc>
      </w:tr>
      <w:tr>
        <w:trPr>
          <w:gridBefore w:val="1"/>
          <w:trHeight w:val="1420"/>
        </w:trPr>
        <w:tc>
          <w:tcPr>
            <w:tcW w:w="1339" w:type="dxa"/>
            <w:textDirection w:val="lrTb"/>
            <w:noWrap w:val="false"/>
          </w:tcPr>
          <w:p>
            <w:pPr>
              <w:spacing w:line="264"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64"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65"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08"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验收时间</w:t>
            </w:r>
            <w:r/>
          </w:p>
        </w:tc>
        <w:tc>
          <w:tcPr>
            <w:tcW w:w="1251" w:type="dxa"/>
            <w:textDirection w:val="lrTb"/>
            <w:noWrap w:val="false"/>
          </w:tcPr>
          <w:p>
            <w:pPr>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1257" w:type="dxa"/>
            <w:textDirection w:val="lrTb"/>
            <w:noWrap w:val="false"/>
          </w:tcPr>
          <w:p>
            <w:pPr>
              <w:spacing w:line="264"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spacing w:line="264"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spacing w:line="265"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spacing w:line="208"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验收地点</w:t>
            </w:r>
            <w:r/>
          </w:p>
        </w:tc>
        <w:tc>
          <w:tcPr>
            <w:gridSpan w:val="2"/>
            <w:tcW w:w="1363" w:type="dxa"/>
            <w:textDirection w:val="lrTb"/>
            <w:noWrap w:val="false"/>
          </w:tcPr>
          <w:p>
            <w:pPr>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gridSpan w:val="2"/>
            <w:tcW w:w="3035" w:type="dxa"/>
            <w:textDirection w:val="lrTb"/>
            <w:noWrap w:val="false"/>
          </w:tcPr>
          <w:p>
            <w:pPr>
              <w:spacing w:line="264"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spacing w:line="264"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spacing w:line="265"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spacing w:line="208"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验收组织形式</w:t>
            </w:r>
            <w:r/>
          </w:p>
        </w:tc>
        <w:tc>
          <w:tcPr>
            <w:tcW w:w="1467" w:type="dxa"/>
            <w:textDirection w:val="lrTb"/>
            <w:noWrap w:val="false"/>
          </w:tcPr>
          <w:p>
            <w:pPr>
              <w:spacing w:line="239" w:lineRule="exact"/>
              <w:rPr>
                <w:rFonts w:ascii="宋体" w:hAnsi="宋体" w:cs="宋体"/>
                <w:color w:val="auto"/>
                <w:sz w:val="21"/>
                <w:szCs w:val="21"/>
                <w:highlight w:val="none"/>
              </w:rPr>
            </w:pPr>
            <w:r>
              <w:rPr>
                <w:rFonts w:hint="eastAsia" w:ascii="宋体" w:hAnsi="宋体" w:cs="宋体"/>
                <w:color w:val="auto"/>
                <w:spacing w:val="-4"/>
                <w:position w:val="1"/>
                <w:sz w:val="21"/>
                <w:szCs w:val="21"/>
                <w:highlight w:val="none"/>
              </w:rPr>
              <w:t xml:space="preserve">□自行简易验收</w:t>
            </w:r>
            <w:r/>
          </w:p>
          <w:p>
            <w:pPr>
              <w:spacing w:line="2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40" w:lineRule="exact"/>
              <w:rPr>
                <w:rFonts w:ascii="宋体" w:hAnsi="宋体" w:cs="宋体"/>
                <w:color w:val="auto"/>
                <w:sz w:val="21"/>
                <w:szCs w:val="21"/>
                <w:highlight w:val="none"/>
              </w:rPr>
            </w:pPr>
            <w:r>
              <w:rPr>
                <w:rFonts w:hint="eastAsia" w:ascii="宋体" w:hAnsi="宋体" w:cs="宋体"/>
                <w:color w:val="auto"/>
                <w:spacing w:val="-4"/>
                <w:position w:val="1"/>
                <w:sz w:val="21"/>
                <w:szCs w:val="21"/>
                <w:highlight w:val="none"/>
              </w:rPr>
              <w:t xml:space="preserve">□验收小组验收</w:t>
            </w:r>
            <w:r/>
          </w:p>
          <w:p>
            <w:pPr>
              <w:spacing w:line="262"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39" w:lineRule="exact"/>
              <w:rPr>
                <w:rFonts w:ascii="宋体" w:hAnsi="宋体" w:cs="宋体"/>
                <w:color w:val="auto"/>
                <w:sz w:val="21"/>
                <w:szCs w:val="21"/>
                <w:highlight w:val="none"/>
                <w:lang w:eastAsia="en-US"/>
              </w:rPr>
            </w:pPr>
            <w:r>
              <w:rPr>
                <w:rFonts w:hint="eastAsia" w:ascii="宋体" w:hAnsi="宋体" w:cs="宋体"/>
                <w:color w:val="auto"/>
                <w:spacing w:val="-3"/>
                <w:position w:val="1"/>
                <w:sz w:val="21"/>
                <w:szCs w:val="21"/>
                <w:highlight w:val="none"/>
                <w:lang w:eastAsia="en-US"/>
              </w:rPr>
              <w:t xml:space="preserve">□采购代理机构验收</w:t>
            </w:r>
            <w:r/>
          </w:p>
        </w:tc>
      </w:tr>
      <w:tr>
        <w:trPr>
          <w:gridBefore w:val="1"/>
          <w:trHeight w:val="641"/>
        </w:trPr>
        <w:tc>
          <w:tcPr>
            <w:tcBorders>
              <w:bottom w:val="none" w:color="000000" w:sz="4" w:space="0"/>
            </w:tcBorders>
            <w:tcW w:w="1339" w:type="dxa"/>
            <w:vMerge w:val="restart"/>
            <w:textDirection w:val="lrTb"/>
            <w:noWrap w:val="false"/>
          </w:tcPr>
          <w:p>
            <w:pPr>
              <w:spacing w:line="265"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spacing w:line="265"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spacing w:line="266"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spacing w:line="208"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验收内容</w:t>
            </w:r>
            <w:r/>
          </w:p>
        </w:tc>
        <w:tc>
          <w:tcPr>
            <w:tcW w:w="1251" w:type="dxa"/>
            <w:vAlign w:val="center"/>
            <w:vMerge w:val="restart"/>
            <w:textDirection w:val="lrTb"/>
            <w:noWrap w:val="false"/>
          </w:tcPr>
          <w:p>
            <w:pPr>
              <w:jc w:val="center"/>
              <w:spacing w:line="208"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服务质量</w:t>
            </w:r>
            <w:r/>
          </w:p>
        </w:tc>
        <w:tc>
          <w:tcPr>
            <w:tcW w:w="1257" w:type="dxa"/>
            <w:vAlign w:val="center"/>
            <w:textDirection w:val="lrTb"/>
            <w:noWrap w:val="false"/>
          </w:tcPr>
          <w:p>
            <w:pPr>
              <w:jc w:val="center"/>
              <w:spacing w:line="208"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服务进度</w:t>
            </w:r>
            <w:r/>
          </w:p>
        </w:tc>
        <w:tc>
          <w:tcPr>
            <w:gridSpan w:val="2"/>
            <w:tcW w:w="1363" w:type="dxa"/>
            <w:vAlign w:val="center"/>
            <w:textDirection w:val="lrTb"/>
            <w:noWrap w:val="false"/>
          </w:tcPr>
          <w:p>
            <w:pPr>
              <w:jc w:val="center"/>
              <w:spacing w:line="207" w:lineRule="auto"/>
              <w:rPr>
                <w:rFonts w:ascii="宋体" w:hAnsi="宋体" w:cs="宋体"/>
                <w:color w:val="auto"/>
                <w:sz w:val="21"/>
                <w:szCs w:val="21"/>
                <w:highlight w:val="none"/>
                <w:lang w:eastAsia="en-US"/>
              </w:rPr>
            </w:pPr>
            <w:r>
              <w:rPr>
                <w:rFonts w:hint="eastAsia" w:ascii="宋体" w:hAnsi="宋体" w:cs="宋体"/>
                <w:color w:val="auto"/>
                <w:spacing w:val="-1"/>
                <w:sz w:val="21"/>
                <w:szCs w:val="21"/>
                <w:highlight w:val="none"/>
                <w:lang w:eastAsia="en-US"/>
              </w:rPr>
              <w:t xml:space="preserve">人员、设备 配备情况</w:t>
            </w:r>
            <w:r/>
          </w:p>
        </w:tc>
        <w:tc>
          <w:tcPr>
            <w:tcW w:w="1519" w:type="dxa"/>
            <w:vAlign w:val="center"/>
            <w:textDirection w:val="lrTb"/>
            <w:noWrap w:val="false"/>
          </w:tcPr>
          <w:p>
            <w:pPr>
              <w:jc w:val="center"/>
              <w:spacing w:line="209"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行业、安全标准</w:t>
            </w:r>
            <w:r/>
          </w:p>
        </w:tc>
        <w:tc>
          <w:tcPr>
            <w:tcW w:w="1516" w:type="dxa"/>
            <w:vAlign w:val="center"/>
            <w:textDirection w:val="lrTb"/>
            <w:noWrap w:val="false"/>
          </w:tcPr>
          <w:p>
            <w:pPr>
              <w:jc w:val="center"/>
              <w:spacing w:line="208"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项目需求、服务承诺</w:t>
            </w:r>
            <w:r/>
          </w:p>
        </w:tc>
        <w:tc>
          <w:tcPr>
            <w:tcW w:w="1467" w:type="dxa"/>
            <w:vAlign w:val="center"/>
            <w:textDirection w:val="lrTb"/>
            <w:noWrap w:val="false"/>
          </w:tcPr>
          <w:p>
            <w:pPr>
              <w:jc w:val="center"/>
              <w:spacing w:line="208" w:lineRule="auto"/>
              <w:rPr>
                <w:rFonts w:ascii="宋体" w:hAnsi="宋体" w:cs="宋体"/>
                <w:color w:val="auto"/>
                <w:sz w:val="21"/>
                <w:szCs w:val="21"/>
                <w:highlight w:val="none"/>
              </w:rPr>
            </w:pPr>
            <w:r>
              <w:rPr>
                <w:rFonts w:hint="eastAsia" w:ascii="宋体" w:hAnsi="宋体" w:cs="宋体"/>
                <w:color w:val="auto"/>
                <w:spacing w:val="-1"/>
                <w:sz w:val="21"/>
                <w:szCs w:val="21"/>
                <w:highlight w:val="none"/>
              </w:rPr>
              <w:t xml:space="preserve">合同履约时间、 地点、方式</w:t>
            </w:r>
            <w:r/>
          </w:p>
        </w:tc>
      </w:tr>
      <w:tr>
        <w:trPr>
          <w:gridBefore w:val="1"/>
          <w:trHeight w:val="1119"/>
        </w:trPr>
        <w:tc>
          <w:tcPr>
            <w:tcBorders>
              <w:top w:val="none" w:color="000000" w:sz="4" w:space="0"/>
            </w:tcBorders>
            <w:tcW w:w="1339" w:type="dxa"/>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251" w:type="dxa"/>
            <w:vAlign w:val="center"/>
            <w:textDirection w:val="lrTb"/>
            <w:noWrap w:val="false"/>
          </w:tcPr>
          <w:p>
            <w:pPr>
              <w:ind w:hanging="2"/>
              <w:jc w:val="center"/>
              <w:spacing w:line="430" w:lineRule="auto"/>
              <w:rPr>
                <w:rFonts w:ascii="宋体" w:hAnsi="宋体" w:cs="宋体"/>
                <w:color w:val="auto"/>
                <w:sz w:val="21"/>
                <w:szCs w:val="21"/>
                <w:highlight w:val="none"/>
                <w:lang w:eastAsia="en-US"/>
              </w:rPr>
            </w:pPr>
            <w:r>
              <w:rPr>
                <w:rFonts w:hint="eastAsia" w:ascii="宋体" w:hAnsi="宋体" w:cs="宋体"/>
                <w:color w:val="auto"/>
                <w:spacing w:val="-5"/>
                <w:sz w:val="21"/>
                <w:szCs w:val="21"/>
                <w:highlight w:val="none"/>
                <w:lang w:eastAsia="en-US"/>
              </w:rPr>
              <w:t xml:space="preserve">合格□</w:t>
            </w:r>
            <w:r>
              <w:rPr>
                <w:rFonts w:hint="eastAsia" w:ascii="宋体" w:hAnsi="宋体" w:cs="宋体"/>
                <w:color w:val="auto"/>
                <w:spacing w:val="-3"/>
                <w:sz w:val="21"/>
                <w:szCs w:val="21"/>
                <w:highlight w:val="none"/>
                <w:lang w:eastAsia="en-US"/>
              </w:rPr>
              <w:t xml:space="preserve">不合格□</w:t>
            </w:r>
            <w:r/>
          </w:p>
        </w:tc>
        <w:tc>
          <w:tcPr>
            <w:tcW w:w="1257" w:type="dxa"/>
            <w:vAlign w:val="center"/>
            <w:textDirection w:val="lrTb"/>
            <w:noWrap w:val="false"/>
          </w:tcPr>
          <w:p>
            <w:pPr>
              <w:ind w:hanging="1"/>
              <w:jc w:val="center"/>
              <w:spacing w:line="430" w:lineRule="auto"/>
              <w:rPr>
                <w:rFonts w:ascii="宋体" w:hAnsi="宋体" w:cs="宋体"/>
                <w:color w:val="auto"/>
                <w:sz w:val="21"/>
                <w:szCs w:val="21"/>
                <w:highlight w:val="none"/>
                <w:lang w:eastAsia="en-US"/>
              </w:rPr>
            </w:pPr>
            <w:r>
              <w:rPr>
                <w:rFonts w:hint="eastAsia" w:ascii="宋体" w:hAnsi="宋体" w:cs="宋体"/>
                <w:color w:val="auto"/>
                <w:spacing w:val="-8"/>
                <w:sz w:val="21"/>
                <w:szCs w:val="21"/>
                <w:highlight w:val="none"/>
                <w:lang w:eastAsia="en-US"/>
              </w:rPr>
              <w:t xml:space="preserve">按时□</w:t>
            </w:r>
            <w:r>
              <w:rPr>
                <w:rFonts w:hint="eastAsia" w:ascii="宋体" w:hAnsi="宋体" w:cs="宋体"/>
                <w:color w:val="auto"/>
                <w:spacing w:val="-3"/>
                <w:sz w:val="21"/>
                <w:szCs w:val="21"/>
                <w:highlight w:val="none"/>
                <w:lang w:eastAsia="en-US"/>
              </w:rPr>
              <w:t xml:space="preserve">不按时□</w:t>
            </w:r>
            <w:r/>
          </w:p>
        </w:tc>
        <w:tc>
          <w:tcPr>
            <w:gridSpan w:val="2"/>
            <w:tcW w:w="1363" w:type="dxa"/>
            <w:vAlign w:val="center"/>
            <w:textDirection w:val="lrTb"/>
            <w:noWrap w:val="false"/>
          </w:tcPr>
          <w:p>
            <w:pPr>
              <w:ind w:hanging="2"/>
              <w:jc w:val="center"/>
              <w:spacing w:line="430" w:lineRule="auto"/>
              <w:rPr>
                <w:rFonts w:ascii="宋体" w:hAnsi="宋体" w:cs="宋体"/>
                <w:color w:val="auto"/>
                <w:sz w:val="21"/>
                <w:szCs w:val="21"/>
                <w:highlight w:val="none"/>
                <w:lang w:eastAsia="en-US"/>
              </w:rPr>
            </w:pPr>
            <w:r>
              <w:rPr>
                <w:rFonts w:hint="eastAsia" w:ascii="宋体" w:hAnsi="宋体" w:cs="宋体"/>
                <w:color w:val="auto"/>
                <w:spacing w:val="-5"/>
                <w:sz w:val="21"/>
                <w:szCs w:val="21"/>
                <w:highlight w:val="none"/>
                <w:lang w:eastAsia="en-US"/>
              </w:rPr>
              <w:t xml:space="preserve">合格□</w:t>
            </w:r>
            <w:r>
              <w:rPr>
                <w:rFonts w:hint="eastAsia" w:ascii="宋体" w:hAnsi="宋体" w:cs="宋体"/>
                <w:color w:val="auto"/>
                <w:spacing w:val="-3"/>
                <w:sz w:val="21"/>
                <w:szCs w:val="21"/>
                <w:highlight w:val="none"/>
                <w:lang w:eastAsia="en-US"/>
              </w:rPr>
              <w:t xml:space="preserve">不合格□</w:t>
            </w:r>
            <w:r/>
          </w:p>
        </w:tc>
        <w:tc>
          <w:tcPr>
            <w:tcW w:w="1519" w:type="dxa"/>
            <w:vAlign w:val="center"/>
            <w:textDirection w:val="lrTb"/>
            <w:noWrap w:val="false"/>
          </w:tcPr>
          <w:p>
            <w:pPr>
              <w:ind w:hanging="2"/>
              <w:jc w:val="center"/>
              <w:spacing w:line="430" w:lineRule="auto"/>
              <w:rPr>
                <w:rFonts w:ascii="宋体" w:hAnsi="宋体" w:cs="宋体"/>
                <w:color w:val="auto"/>
                <w:sz w:val="21"/>
                <w:szCs w:val="21"/>
                <w:highlight w:val="none"/>
                <w:lang w:eastAsia="en-US"/>
              </w:rPr>
            </w:pPr>
            <w:r>
              <w:rPr>
                <w:rFonts w:hint="eastAsia" w:ascii="宋体" w:hAnsi="宋体" w:cs="宋体"/>
                <w:color w:val="auto"/>
                <w:spacing w:val="-5"/>
                <w:sz w:val="21"/>
                <w:szCs w:val="21"/>
                <w:highlight w:val="none"/>
                <w:lang w:eastAsia="en-US"/>
              </w:rPr>
              <w:t xml:space="preserve">合格□</w:t>
            </w:r>
            <w:r>
              <w:rPr>
                <w:rFonts w:hint="eastAsia" w:ascii="宋体" w:hAnsi="宋体" w:cs="宋体"/>
                <w:color w:val="auto"/>
                <w:spacing w:val="-3"/>
                <w:sz w:val="21"/>
                <w:szCs w:val="21"/>
                <w:highlight w:val="none"/>
                <w:lang w:eastAsia="en-US"/>
              </w:rPr>
              <w:t xml:space="preserve">不合格□</w:t>
            </w:r>
            <w:r/>
          </w:p>
        </w:tc>
        <w:tc>
          <w:tcPr>
            <w:tcW w:w="1516" w:type="dxa"/>
            <w:vAlign w:val="center"/>
            <w:textDirection w:val="lrTb"/>
            <w:noWrap w:val="false"/>
          </w:tcPr>
          <w:p>
            <w:pPr>
              <w:ind w:hanging="2"/>
              <w:jc w:val="center"/>
              <w:spacing w:line="430" w:lineRule="auto"/>
              <w:rPr>
                <w:rFonts w:ascii="宋体" w:hAnsi="宋体" w:cs="宋体"/>
                <w:color w:val="auto"/>
                <w:sz w:val="21"/>
                <w:szCs w:val="21"/>
                <w:highlight w:val="none"/>
                <w:lang w:eastAsia="en-US"/>
              </w:rPr>
            </w:pPr>
            <w:r>
              <w:rPr>
                <w:rFonts w:hint="eastAsia" w:ascii="宋体" w:hAnsi="宋体" w:cs="宋体"/>
                <w:color w:val="auto"/>
                <w:spacing w:val="-5"/>
                <w:sz w:val="21"/>
                <w:szCs w:val="21"/>
                <w:highlight w:val="none"/>
                <w:lang w:eastAsia="en-US"/>
              </w:rPr>
              <w:t xml:space="preserve">合格□</w:t>
            </w:r>
            <w:r>
              <w:rPr>
                <w:rFonts w:hint="eastAsia" w:ascii="宋体" w:hAnsi="宋体" w:cs="宋体"/>
                <w:color w:val="auto"/>
                <w:spacing w:val="-3"/>
                <w:sz w:val="21"/>
                <w:szCs w:val="21"/>
                <w:highlight w:val="none"/>
                <w:lang w:eastAsia="en-US"/>
              </w:rPr>
              <w:t xml:space="preserve">不合格□</w:t>
            </w:r>
            <w:r/>
          </w:p>
        </w:tc>
        <w:tc>
          <w:tcPr>
            <w:tcW w:w="1467" w:type="dxa"/>
            <w:vAlign w:val="center"/>
            <w:textDirection w:val="lrTb"/>
            <w:noWrap w:val="false"/>
          </w:tcPr>
          <w:p>
            <w:pPr>
              <w:ind w:hanging="2"/>
              <w:jc w:val="center"/>
              <w:spacing w:line="430" w:lineRule="auto"/>
              <w:rPr>
                <w:rFonts w:ascii="宋体" w:hAnsi="宋体" w:cs="宋体"/>
                <w:color w:val="auto"/>
                <w:sz w:val="21"/>
                <w:szCs w:val="21"/>
                <w:highlight w:val="none"/>
                <w:lang w:eastAsia="en-US"/>
              </w:rPr>
            </w:pPr>
            <w:r>
              <w:rPr>
                <w:rFonts w:hint="eastAsia" w:ascii="宋体" w:hAnsi="宋体" w:cs="宋体"/>
                <w:color w:val="auto"/>
                <w:spacing w:val="-5"/>
                <w:sz w:val="21"/>
                <w:szCs w:val="21"/>
                <w:highlight w:val="none"/>
                <w:lang w:eastAsia="en-US"/>
              </w:rPr>
              <w:t xml:space="preserve">合格□</w:t>
            </w:r>
            <w:r>
              <w:rPr>
                <w:rFonts w:hint="eastAsia" w:ascii="宋体" w:hAnsi="宋体" w:cs="宋体"/>
                <w:color w:val="auto"/>
                <w:spacing w:val="-3"/>
                <w:sz w:val="21"/>
                <w:szCs w:val="21"/>
                <w:highlight w:val="none"/>
                <w:lang w:eastAsia="en-US"/>
              </w:rPr>
              <w:t xml:space="preserve">不合格□</w:t>
            </w:r>
            <w:r/>
          </w:p>
        </w:tc>
      </w:tr>
      <w:tr>
        <w:trPr>
          <w:gridBefore w:val="1"/>
          <w:trHeight w:val="1119"/>
        </w:trPr>
        <w:tc>
          <w:tcPr>
            <w:tcW w:w="1339" w:type="dxa"/>
            <w:textDirection w:val="lrTb"/>
            <w:noWrap w:val="false"/>
          </w:tcPr>
          <w:p>
            <w:pPr>
              <w:spacing w:line="208" w:lineRule="auto"/>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专业检测机构情</w:t>
            </w:r>
            <w:r/>
          </w:p>
          <w:p>
            <w:pPr>
              <w:spacing w:line="298"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07" w:lineRule="auto"/>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况说明</w:t>
            </w:r>
            <w:r/>
          </w:p>
        </w:tc>
        <w:tc>
          <w:tcPr>
            <w:gridSpan w:val="7"/>
            <w:tcW w:w="83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gridBefore w:val="1"/>
          <w:trHeight w:val="1120"/>
        </w:trPr>
        <w:tc>
          <w:tcPr>
            <w:tcW w:w="1339" w:type="dxa"/>
            <w:textDirection w:val="lrTb"/>
            <w:noWrap w:val="false"/>
          </w:tcPr>
          <w:p>
            <w:pPr>
              <w:spacing w:line="241"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07"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存在问题</w:t>
            </w:r>
            <w:r/>
          </w:p>
          <w:p>
            <w:pPr>
              <w:spacing w:line="297"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spacing w:line="207"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和改进意见</w:t>
            </w:r>
            <w:r/>
          </w:p>
        </w:tc>
        <w:tc>
          <w:tcPr>
            <w:gridSpan w:val="7"/>
            <w:tcW w:w="8373" w:type="dxa"/>
            <w:textDirection w:val="lrTb"/>
            <w:noWrap w:val="false"/>
          </w:tcPr>
          <w:p>
            <w:pPr>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687"/>
        </w:trPr>
        <w:tc>
          <w:tcPr>
            <w:gridSpan w:val="2"/>
            <w:tcW w:w="1345" w:type="dxa"/>
            <w:textDirection w:val="lrTb"/>
            <w:noWrap w:val="false"/>
          </w:tcPr>
          <w:p>
            <w:pPr>
              <w:spacing w:line="301"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spacing w:line="207" w:lineRule="auto"/>
              <w:rPr>
                <w:rFonts w:ascii="宋体" w:hAnsi="宋体" w:cs="宋体"/>
                <w:color w:val="auto"/>
                <w:sz w:val="21"/>
                <w:szCs w:val="21"/>
                <w:highlight w:val="none"/>
                <w:lang w:eastAsia="en-US"/>
              </w:rPr>
            </w:pPr>
            <w:r>
              <w:rPr>
                <w:rFonts w:hint="eastAsia" w:ascii="宋体" w:hAnsi="宋体" w:cs="宋体"/>
                <w:color w:val="auto"/>
                <w:spacing w:val="-3"/>
                <w:sz w:val="21"/>
                <w:szCs w:val="21"/>
                <w:highlight w:val="none"/>
                <w:lang w:eastAsia="en-US"/>
              </w:rPr>
              <w:t xml:space="preserve">最终结论</w:t>
            </w:r>
            <w:r/>
          </w:p>
        </w:tc>
        <w:tc>
          <w:tcPr>
            <w:gridSpan w:val="7"/>
            <w:tcW w:w="8373" w:type="dxa"/>
            <w:textDirection w:val="lrTb"/>
            <w:noWrap w:val="false"/>
          </w:tcPr>
          <w:p>
            <w:pPr>
              <w:spacing w:line="271"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ind w:firstLine="352"/>
              <w:spacing w:line="240" w:lineRule="exact"/>
              <w:rPr>
                <w:rFonts w:ascii="宋体" w:hAnsi="宋体" w:cs="宋体"/>
                <w:color w:val="auto"/>
                <w:sz w:val="21"/>
                <w:szCs w:val="21"/>
                <w:highlight w:val="none"/>
                <w:lang w:eastAsia="en-US"/>
              </w:rPr>
            </w:pPr>
            <w:r>
              <w:rPr>
                <w:rFonts w:hint="eastAsia" w:ascii="宋体" w:hAnsi="宋体" w:cs="宋体"/>
                <w:color w:val="auto"/>
                <w:spacing w:val="-2"/>
                <w:position w:val="1"/>
                <w:sz w:val="21"/>
                <w:szCs w:val="21"/>
                <w:highlight w:val="none"/>
                <w:lang w:eastAsia="en-US"/>
              </w:rPr>
              <w:t xml:space="preserve">合  格□不合格□</w:t>
            </w:r>
            <w:r/>
          </w:p>
        </w:tc>
      </w:tr>
      <w:tr>
        <w:trPr>
          <w:trHeight w:val="1119"/>
        </w:trPr>
        <w:tc>
          <w:tcPr>
            <w:gridSpan w:val="2"/>
            <w:tcW w:w="1345" w:type="dxa"/>
            <w:textDirection w:val="lrTb"/>
            <w:noWrap w:val="false"/>
          </w:tcPr>
          <w:p>
            <w:pPr>
              <w:spacing w:line="208"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验收小组成员</w:t>
            </w:r>
            <w:r/>
          </w:p>
          <w:p>
            <w:pPr>
              <w:spacing w:line="298" w:lineRule="auto"/>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p>
            <w:pPr>
              <w:spacing w:line="208"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签字</w:t>
            </w:r>
            <w:r/>
          </w:p>
        </w:tc>
        <w:tc>
          <w:tcPr>
            <w:gridSpan w:val="7"/>
            <w:tcW w:w="8373" w:type="dxa"/>
            <w:textDirection w:val="lrTb"/>
            <w:noWrap w:val="false"/>
          </w:tcPr>
          <w:p>
            <w:pPr>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778"/>
        </w:trPr>
        <w:tc>
          <w:tcPr>
            <w:gridSpan w:val="5"/>
            <w:tcW w:w="5015" w:type="dxa"/>
            <w:textDirection w:val="lrTb"/>
            <w:noWrap w:val="false"/>
          </w:tcPr>
          <w:p>
            <w:pPr>
              <w:spacing w:line="208" w:lineRule="auto"/>
              <w:rPr>
                <w:rFonts w:ascii="宋体" w:hAnsi="宋体" w:cs="宋体"/>
                <w:color w:val="auto"/>
                <w:sz w:val="21"/>
                <w:szCs w:val="21"/>
                <w:highlight w:val="none"/>
                <w:lang w:eastAsia="en-US"/>
              </w:rPr>
            </w:pPr>
            <w:r>
              <w:rPr>
                <w:rFonts w:hint="eastAsia" w:ascii="宋体" w:hAnsi="宋体" w:cs="宋体"/>
                <w:color w:val="auto"/>
                <w:spacing w:val="-1"/>
                <w:sz w:val="21"/>
                <w:szCs w:val="21"/>
                <w:highlight w:val="none"/>
                <w:lang w:eastAsia="en-US"/>
              </w:rPr>
              <w:t xml:space="preserve">采购代理机构意见</w:t>
            </w:r>
            <w:r/>
          </w:p>
        </w:tc>
        <w:tc>
          <w:tcPr>
            <w:gridSpan w:val="4"/>
            <w:tcW w:w="4703" w:type="dxa"/>
            <w:textDirection w:val="lrTb"/>
            <w:noWrap w:val="false"/>
          </w:tcPr>
          <w:p>
            <w:pPr>
              <w:spacing w:line="207"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采购人意见</w:t>
            </w:r>
            <w:r/>
          </w:p>
        </w:tc>
      </w:tr>
      <w:tr>
        <w:trPr>
          <w:trHeight w:val="999"/>
        </w:trPr>
        <w:tc>
          <w:tcPr>
            <w:gridSpan w:val="5"/>
            <w:tcW w:w="5015" w:type="dxa"/>
            <w:textDirection w:val="lrTb"/>
            <w:noWrap w:val="false"/>
          </w:tcPr>
          <w:p>
            <w:pPr>
              <w:spacing w:line="255"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55"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38" w:lineRule="exact"/>
              <w:rPr>
                <w:rFonts w:ascii="宋体" w:hAnsi="宋体" w:cs="宋体"/>
                <w:color w:val="auto"/>
                <w:sz w:val="21"/>
                <w:szCs w:val="21"/>
                <w:highlight w:val="none"/>
              </w:rPr>
            </w:pPr>
            <w:r>
              <w:rPr>
                <w:rFonts w:hint="eastAsia" w:ascii="宋体" w:hAnsi="宋体" w:cs="宋体"/>
                <w:color w:val="auto"/>
                <w:spacing w:val="1"/>
                <w:position w:val="1"/>
                <w:sz w:val="21"/>
                <w:szCs w:val="21"/>
                <w:highlight w:val="none"/>
              </w:rPr>
              <w:t xml:space="preserve">经办人：         负责人</w:t>
            </w:r>
            <w:r>
              <w:rPr>
                <w:rFonts w:hint="eastAsia" w:ascii="宋体" w:hAnsi="宋体" w:cs="宋体"/>
                <w:color w:val="auto"/>
                <w:spacing w:val="-18"/>
                <w:position w:val="1"/>
                <w:sz w:val="21"/>
                <w:szCs w:val="21"/>
                <w:highlight w:val="none"/>
              </w:rPr>
              <w:t xml:space="preserve">：（</w:t>
            </w:r>
            <w:r>
              <w:rPr>
                <w:rFonts w:hint="eastAsia" w:ascii="宋体" w:hAnsi="宋体" w:cs="宋体"/>
                <w:color w:val="auto"/>
                <w:spacing w:val="1"/>
                <w:position w:val="1"/>
                <w:sz w:val="21"/>
                <w:szCs w:val="21"/>
                <w:highlight w:val="none"/>
              </w:rPr>
              <w:t xml:space="preserve">采购代理机构公章）</w:t>
            </w:r>
            <w:r/>
          </w:p>
        </w:tc>
        <w:tc>
          <w:tcPr>
            <w:gridSpan w:val="4"/>
            <w:tcW w:w="4703" w:type="dxa"/>
            <w:textDirection w:val="lrTb"/>
            <w:noWrap w:val="false"/>
          </w:tcPr>
          <w:p>
            <w:pPr>
              <w:spacing w:line="255"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55"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38" w:lineRule="exact"/>
              <w:rPr>
                <w:rFonts w:ascii="宋体" w:hAnsi="宋体" w:cs="宋体"/>
                <w:color w:val="auto"/>
                <w:sz w:val="21"/>
                <w:szCs w:val="21"/>
                <w:highlight w:val="none"/>
              </w:rPr>
            </w:pPr>
            <w:r>
              <w:rPr>
                <w:rFonts w:hint="eastAsia" w:ascii="宋体" w:hAnsi="宋体" w:cs="宋体"/>
                <w:color w:val="auto"/>
                <w:spacing w:val="1"/>
                <w:position w:val="1"/>
                <w:sz w:val="21"/>
                <w:szCs w:val="21"/>
                <w:highlight w:val="none"/>
              </w:rPr>
              <w:t xml:space="preserve">经办人：         负责人</w:t>
            </w:r>
            <w:r>
              <w:rPr>
                <w:rFonts w:hint="eastAsia" w:ascii="宋体" w:hAnsi="宋体" w:cs="宋体"/>
                <w:color w:val="auto"/>
                <w:spacing w:val="-17"/>
                <w:position w:val="1"/>
                <w:sz w:val="21"/>
                <w:szCs w:val="21"/>
                <w:highlight w:val="none"/>
              </w:rPr>
              <w:t xml:space="preserve">：（</w:t>
            </w:r>
            <w:r>
              <w:rPr>
                <w:rFonts w:hint="eastAsia" w:ascii="宋体" w:hAnsi="宋体" w:cs="宋体"/>
                <w:color w:val="auto"/>
                <w:spacing w:val="1"/>
                <w:position w:val="1"/>
                <w:sz w:val="21"/>
                <w:szCs w:val="21"/>
                <w:highlight w:val="none"/>
              </w:rPr>
              <w:t xml:space="preserve">采购人公章）</w:t>
            </w:r>
            <w:r/>
          </w:p>
        </w:tc>
      </w:tr>
      <w:tr>
        <w:trPr>
          <w:trHeight w:val="940"/>
        </w:trPr>
        <w:tc>
          <w:tcPr>
            <w:gridSpan w:val="9"/>
            <w:tcW w:w="9718" w:type="dxa"/>
            <w:textDirection w:val="lrTb"/>
            <w:noWrap w:val="false"/>
          </w:tcPr>
          <w:p>
            <w:pPr>
              <w:spacing w:line="207" w:lineRule="auto"/>
              <w:rPr>
                <w:rFonts w:ascii="宋体" w:hAnsi="宋体" w:cs="宋体"/>
                <w:color w:val="auto"/>
                <w:spacing w:val="-2"/>
                <w:sz w:val="21"/>
                <w:szCs w:val="21"/>
                <w:highlight w:val="none"/>
              </w:rPr>
            </w:pPr>
            <w:r>
              <w:rPr>
                <w:rFonts w:ascii="宋体" w:hAnsi="宋体" w:cs="宋体"/>
                <w:color w:val="auto"/>
                <w:spacing w:val="-2"/>
                <w:sz w:val="21"/>
                <w:szCs w:val="21"/>
                <w:highlight w:val="none"/>
              </w:rPr>
            </w:r>
            <w:r/>
          </w:p>
          <w:p>
            <w:pPr>
              <w:spacing w:line="207" w:lineRule="auto"/>
              <w:rPr>
                <w:rFonts w:ascii="宋体" w:hAnsi="宋体" w:cs="宋体"/>
                <w:color w:val="auto"/>
                <w:spacing w:val="-2"/>
                <w:sz w:val="21"/>
                <w:szCs w:val="21"/>
                <w:highlight w:val="none"/>
              </w:rPr>
            </w:pPr>
            <w:r>
              <w:rPr>
                <w:rFonts w:ascii="宋体" w:hAnsi="宋体" w:cs="宋体"/>
                <w:color w:val="auto"/>
                <w:spacing w:val="-2"/>
                <w:sz w:val="21"/>
                <w:szCs w:val="21"/>
                <w:highlight w:val="none"/>
              </w:rPr>
            </w:r>
            <w:r/>
          </w:p>
          <w:p>
            <w:pPr>
              <w:spacing w:line="207" w:lineRule="auto"/>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供应商确认：</w:t>
            </w:r>
            <w:r/>
          </w:p>
          <w:p>
            <w:pPr>
              <w:jc w:val="center"/>
              <w:spacing w:line="275"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75"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75"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239" w:lineRule="exact"/>
              <w:rPr>
                <w:rFonts w:ascii="宋体" w:hAnsi="宋体" w:cs="宋体"/>
                <w:color w:val="auto"/>
                <w:sz w:val="21"/>
                <w:szCs w:val="21"/>
                <w:highlight w:val="none"/>
              </w:rPr>
            </w:pPr>
            <w:r>
              <w:rPr>
                <w:rFonts w:hint="eastAsia" w:ascii="宋体" w:hAnsi="宋体" w:cs="宋体"/>
                <w:color w:val="auto"/>
                <w:spacing w:val="-1"/>
                <w:position w:val="1"/>
                <w:sz w:val="21"/>
                <w:szCs w:val="21"/>
                <w:highlight w:val="none"/>
              </w:rPr>
              <w:t xml:space="preserve">（单位公章或授权代表签字）</w:t>
            </w:r>
            <w:r/>
          </w:p>
        </w:tc>
      </w:tr>
    </w:tbl>
    <w:p>
      <w:pPr>
        <w:ind w:left="85"/>
        <w:spacing w:before="296" w:line="211"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说明：1.该表为服务类项目履约验收的参考样表，采购人或采购代理机构可以</w:t>
      </w:r>
      <w:r>
        <w:rPr>
          <w:rFonts w:hint="eastAsia" w:ascii="宋体" w:hAnsi="宋体" w:cs="宋体"/>
          <w:color w:val="auto"/>
          <w:spacing w:val="-1"/>
          <w:sz w:val="21"/>
          <w:szCs w:val="21"/>
          <w:highlight w:val="none"/>
        </w:rPr>
        <w:t xml:space="preserve">根据工作实际进行调整。</w:t>
      </w:r>
      <w:r/>
    </w:p>
    <w:p>
      <w:pPr>
        <w:spacing w:line="295" w:lineRule="auto"/>
        <w:rPr>
          <w:rFonts w:ascii="宋体" w:hAnsi="宋体" w:cs="宋体"/>
          <w:color w:val="auto"/>
          <w:sz w:val="21"/>
          <w:szCs w:val="21"/>
          <w:highlight w:val="none"/>
        </w:rPr>
      </w:pPr>
      <w:r>
        <w:rPr>
          <w:rFonts w:ascii="宋体" w:hAnsi="宋体" w:cs="宋体"/>
          <w:color w:val="auto"/>
          <w:sz w:val="21"/>
          <w:szCs w:val="21"/>
          <w:highlight w:val="none"/>
        </w:rPr>
      </w:r>
      <w:r/>
    </w:p>
    <w:p>
      <w:pPr>
        <w:ind w:left="625"/>
        <w:spacing w:before="59" w:line="211"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2.未委托采购代理机构开展履约验收工作的，无需填写“</w:t>
      </w:r>
      <w:r>
        <w:rPr>
          <w:rFonts w:hint="eastAsia" w:ascii="宋体" w:hAnsi="宋体" w:cs="宋体"/>
          <w:color w:val="auto"/>
          <w:spacing w:val="-1"/>
          <w:sz w:val="21"/>
          <w:szCs w:val="21"/>
          <w:highlight w:val="none"/>
        </w:rPr>
        <w:t xml:space="preserve">采购代理机构意见”。</w:t>
      </w:r>
      <w:r/>
    </w:p>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73"/>
      </w:rPr>
      <w:framePr w:wrap="around" w:vAnchor="text" w:hAnchor="margin" w:xAlign="center" w:y="2"/>
    </w:pPr>
    <w:r>
      <w:fldChar w:fldCharType="begin"/>
    </w:r>
    <w:r>
      <w:rPr>
        <w:rStyle w:val="773"/>
      </w:rPr>
      <w:instrText xml:space="preserve">PAGE  </w:instrText>
    </w:r>
    <w:r>
      <w:fldChar w:fldCharType="separate"/>
    </w:r>
    <w:r>
      <w:rPr>
        <w:rStyle w:val="773"/>
      </w:rPr>
      <w:t xml:space="preserve">0</w:t>
    </w:r>
    <w:r>
      <w:fldChar w:fldCharType="end"/>
    </w:r>
    <w:r/>
  </w:p>
  <w:p>
    <w:pPr>
      <w:pStyle w:val="75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instrText xml:space="preserve">PAGE   \* MERGEFORMAT</w:instrText>
    </w:r>
    <w:r>
      <w:fldChar w:fldCharType="separate"/>
    </w:r>
    <w:r>
      <w:rPr>
        <w:lang w:val="zh-CN"/>
      </w:rPr>
      <w:t xml:space="preserve">33</w:t>
    </w:r>
    <w:r>
      <w:fldChar w:fldCharType="end"/>
    </w:r>
    <w:r/>
  </w:p>
  <w:p>
    <w:pPr>
      <w:pStyle w:val="7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instrText xml:space="preserve">PAGE   \* MERGEFORMAT</w:instrText>
    </w:r>
    <w:r>
      <w:fldChar w:fldCharType="separate"/>
    </w:r>
    <w:r>
      <w:rPr>
        <w:lang w:val="zh-CN"/>
      </w:rPr>
      <w:t xml:space="preserve">1</w:t>
    </w:r>
    <w:r>
      <w:fldChar w:fldCharType="end"/>
    </w:r>
    <w:r/>
  </w:p>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left"/>
      <w:rPr>
        <w:sz w:val="21"/>
        <w:szCs w:val="21"/>
      </w:rPr>
    </w:pPr>
    <w:r>
      <w:rPr>
        <w:rFonts w:hint="eastAsia"/>
      </w:rPr>
      <w:t xml:space="preserve"> </w:t>
    </w:r>
    <w:r>
      <w:rPr>
        <w:rFonts w:hint="eastAsia"/>
        <w:sz w:val="21"/>
        <w:szCs w:val="21"/>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招标编号： </w:t>
    </w:r>
    <w:r>
      <w:rPr>
        <w:rFonts w:hint="eastAsia"/>
        <w:lang w:eastAsia="zh-CN"/>
      </w:rPr>
      <w:t xml:space="preserve">JSZC-320585-SZTZ-G2026-0019</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rPr>
        <w:rFonts w:hint="eastAsia" w:eastAsia="宋体"/>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编号：</w:t>
    </w:r>
    <w:r>
      <w:rPr>
        <w:rFonts w:hint="eastAsia"/>
        <w:lang w:eastAsia="zh-CN"/>
      </w:rPr>
      <w:t xml:space="preserve">JSZC-320585-SZTZ-G2026-0019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736"/>
      <w:isLgl w:val="false"/>
      <w:suff w:val="nothing"/>
      <w:lvlText w:val="%1、"/>
      <w:lvlJc w:val="left"/>
      <w:pPr>
        <w:ind w:left="0" w:firstLine="0"/>
      </w:pPr>
      <w:rPr>
        <w:rFonts w:hint="eastAsia"/>
      </w:rPr>
    </w:lvl>
    <w:lvl w:ilvl="1">
      <w:start w:val="1"/>
      <w:numFmt w:val="chineseCounting"/>
      <w:pStyle w:val="737"/>
      <w:isLgl w:val="false"/>
      <w:suff w:val="nothing"/>
      <w:lvlText w:val="（%2）"/>
      <w:lvlJc w:val="left"/>
      <w:pPr>
        <w:ind w:left="0" w:firstLine="0"/>
      </w:pPr>
      <w:rPr>
        <w:rFonts w:hint="eastAsia"/>
      </w:rPr>
    </w:lvl>
    <w:lvl w:ilvl="2">
      <w:start w:val="1"/>
      <w:numFmt w:val="decimal"/>
      <w:pStyle w:val="738"/>
      <w:isLgl w:val="false"/>
      <w:suff w:val="nothing"/>
      <w:lvlText w:val="%3．"/>
      <w:lvlJc w:val="left"/>
      <w:pPr>
        <w:ind w:left="0" w:firstLine="400"/>
      </w:pPr>
      <w:rPr>
        <w:rFonts w:hint="eastAsia"/>
      </w:rPr>
    </w:lvl>
    <w:lvl w:ilvl="3">
      <w:start w:val="1"/>
      <w:numFmt w:val="decimal"/>
      <w:pStyle w:val="739"/>
      <w:isLgl w:val="false"/>
      <w:suff w:val="nothing"/>
      <w:lvlText w:val="（%4）"/>
      <w:lvlJc w:val="left"/>
      <w:pPr>
        <w:ind w:left="0" w:firstLine="402"/>
      </w:pPr>
      <w:rPr>
        <w:rFonts w:hint="eastAsia"/>
      </w:rPr>
    </w:lvl>
    <w:lvl w:ilvl="4">
      <w:start w:val="1"/>
      <w:numFmt w:val="decimalEnclosedCircleChinese"/>
      <w:pStyle w:val="740"/>
      <w:isLgl w:val="false"/>
      <w:suff w:val="nothing"/>
      <w:lvlText w:val="%5"/>
      <w:lvlJc w:val="left"/>
      <w:pPr>
        <w:ind w:left="0" w:firstLine="402"/>
      </w:pPr>
      <w:rPr>
        <w:rFonts w:hint="eastAsia"/>
      </w:rPr>
    </w:lvl>
    <w:lvl w:ilvl="5">
      <w:start w:val="1"/>
      <w:numFmt w:val="decimal"/>
      <w:pStyle w:val="741"/>
      <w:isLgl w:val="false"/>
      <w:suff w:val="nothing"/>
      <w:lvlText w:val="%6）"/>
      <w:lvlJc w:val="left"/>
      <w:pPr>
        <w:ind w:left="0" w:firstLine="402"/>
      </w:pPr>
      <w:rPr>
        <w:rFonts w:hint="eastAsia"/>
      </w:rPr>
    </w:lvl>
    <w:lvl w:ilvl="6">
      <w:start w:val="1"/>
      <w:numFmt w:val="lowerLetter"/>
      <w:pStyle w:val="742"/>
      <w:isLgl w:val="false"/>
      <w:suff w:val="nothing"/>
      <w:lvlText w:val="%7．"/>
      <w:lvlJc w:val="left"/>
      <w:pPr>
        <w:ind w:left="0" w:firstLine="402"/>
      </w:pPr>
      <w:rPr>
        <w:rFonts w:hint="eastAsia"/>
      </w:rPr>
    </w:lvl>
    <w:lvl w:ilvl="7">
      <w:start w:val="1"/>
      <w:numFmt w:val="lowerLetter"/>
      <w:pStyle w:val="743"/>
      <w:isLgl w:val="false"/>
      <w:suff w:val="nothing"/>
      <w:lvlText w:val="%8）"/>
      <w:lvlJc w:val="left"/>
      <w:pPr>
        <w:ind w:left="0" w:firstLine="402"/>
      </w:pPr>
      <w:rPr>
        <w:rFonts w:hint="eastAsia"/>
      </w:rPr>
    </w:lvl>
    <w:lvl w:ilvl="8">
      <w:start w:val="1"/>
      <w:numFmt w:val="lowerRoman"/>
      <w:pStyle w:val="744"/>
      <w:isLgl w:val="false"/>
      <w:suff w:val="nothing"/>
      <w:lvlText w:val="%9 "/>
      <w:lvlJc w:val="left"/>
      <w:pPr>
        <w:ind w:left="0" w:firstLine="402"/>
      </w:pPr>
      <w:rPr>
        <w:rFonts w:hint="eastAsia"/>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6">
    <w:multiLevelType w:val="hybridMultilevel"/>
    <w:lvl w:ilvl="0">
      <w:start w:val="1"/>
      <w:numFmt w:val="decimal"/>
      <w:pStyle w:val="835"/>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7">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815"/>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6"/>
  </w:num>
  <w:num w:numId="4">
    <w:abstractNumId w:val="10"/>
  </w:num>
  <w:num w:numId="5">
    <w:abstractNumId w:val="8"/>
  </w:num>
  <w:num w:numId="6">
    <w:abstractNumId w:val="1"/>
  </w:num>
  <w:num w:numId="7">
    <w:abstractNumId w:val="3"/>
  </w:num>
  <w:num w:numId="8">
    <w:abstractNumId w:val="11"/>
  </w:num>
  <w:num w:numId="9">
    <w:abstractNumId w:val="0"/>
  </w:num>
  <w:num w:numId="10">
    <w:abstractNumId w:val="5"/>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5"/>
    <w:link w:val="736"/>
    <w:uiPriority w:val="9"/>
    <w:rPr>
      <w:rFonts w:ascii="Arial" w:hAnsi="Arial" w:eastAsia="Arial" w:cs="Arial"/>
      <w:sz w:val="40"/>
      <w:szCs w:val="40"/>
    </w:rPr>
  </w:style>
  <w:style w:type="character" w:styleId="15">
    <w:name w:val="Heading 2 Char"/>
    <w:basedOn w:val="745"/>
    <w:link w:val="737"/>
    <w:uiPriority w:val="9"/>
    <w:rPr>
      <w:rFonts w:ascii="Arial" w:hAnsi="Arial" w:eastAsia="Arial" w:cs="Arial"/>
      <w:sz w:val="34"/>
    </w:rPr>
  </w:style>
  <w:style w:type="character" w:styleId="17">
    <w:name w:val="Heading 3 Char"/>
    <w:basedOn w:val="745"/>
    <w:link w:val="738"/>
    <w:uiPriority w:val="9"/>
    <w:rPr>
      <w:rFonts w:ascii="Arial" w:hAnsi="Arial" w:eastAsia="Arial" w:cs="Arial"/>
      <w:sz w:val="30"/>
      <w:szCs w:val="30"/>
    </w:rPr>
  </w:style>
  <w:style w:type="character" w:styleId="19">
    <w:name w:val="Heading 4 Char"/>
    <w:basedOn w:val="745"/>
    <w:link w:val="739"/>
    <w:uiPriority w:val="9"/>
    <w:rPr>
      <w:rFonts w:ascii="Arial" w:hAnsi="Arial" w:eastAsia="Arial" w:cs="Arial"/>
      <w:b/>
      <w:bCs/>
      <w:sz w:val="26"/>
      <w:szCs w:val="26"/>
    </w:rPr>
  </w:style>
  <w:style w:type="character" w:styleId="21">
    <w:name w:val="Heading 5 Char"/>
    <w:basedOn w:val="745"/>
    <w:link w:val="740"/>
    <w:uiPriority w:val="9"/>
    <w:rPr>
      <w:rFonts w:ascii="Arial" w:hAnsi="Arial" w:eastAsia="Arial" w:cs="Arial"/>
      <w:b/>
      <w:bCs/>
      <w:sz w:val="24"/>
      <w:szCs w:val="24"/>
    </w:rPr>
  </w:style>
  <w:style w:type="character" w:styleId="23">
    <w:name w:val="Heading 6 Char"/>
    <w:basedOn w:val="745"/>
    <w:link w:val="741"/>
    <w:uiPriority w:val="9"/>
    <w:rPr>
      <w:rFonts w:ascii="Arial" w:hAnsi="Arial" w:eastAsia="Arial" w:cs="Arial"/>
      <w:b/>
      <w:bCs/>
      <w:sz w:val="22"/>
      <w:szCs w:val="22"/>
    </w:rPr>
  </w:style>
  <w:style w:type="character" w:styleId="25">
    <w:name w:val="Heading 7 Char"/>
    <w:basedOn w:val="745"/>
    <w:link w:val="742"/>
    <w:uiPriority w:val="9"/>
    <w:rPr>
      <w:rFonts w:ascii="Arial" w:hAnsi="Arial" w:eastAsia="Arial" w:cs="Arial"/>
      <w:b/>
      <w:bCs/>
      <w:i/>
      <w:iCs/>
      <w:sz w:val="22"/>
      <w:szCs w:val="22"/>
    </w:rPr>
  </w:style>
  <w:style w:type="character" w:styleId="27">
    <w:name w:val="Heading 8 Char"/>
    <w:basedOn w:val="745"/>
    <w:link w:val="743"/>
    <w:uiPriority w:val="9"/>
    <w:rPr>
      <w:rFonts w:ascii="Arial" w:hAnsi="Arial" w:eastAsia="Arial" w:cs="Arial"/>
      <w:i/>
      <w:iCs/>
      <w:sz w:val="22"/>
      <w:szCs w:val="22"/>
    </w:rPr>
  </w:style>
  <w:style w:type="character" w:styleId="29">
    <w:name w:val="Heading 9 Char"/>
    <w:basedOn w:val="745"/>
    <w:link w:val="744"/>
    <w:uiPriority w:val="9"/>
    <w:rPr>
      <w:rFonts w:ascii="Arial" w:hAnsi="Arial" w:eastAsia="Arial" w:cs="Arial"/>
      <w:i/>
      <w:iCs/>
      <w:sz w:val="21"/>
      <w:szCs w:val="21"/>
    </w:rPr>
  </w:style>
  <w:style w:type="character" w:styleId="34">
    <w:name w:val="Title Char"/>
    <w:basedOn w:val="745"/>
    <w:link w:val="767"/>
    <w:uiPriority w:val="10"/>
    <w:rPr>
      <w:sz w:val="48"/>
      <w:szCs w:val="48"/>
    </w:rPr>
  </w:style>
  <w:style w:type="character" w:styleId="36">
    <w:name w:val="Subtitle Char"/>
    <w:basedOn w:val="745"/>
    <w:link w:val="762"/>
    <w:uiPriority w:val="11"/>
    <w:rPr>
      <w:sz w:val="24"/>
      <w:szCs w:val="24"/>
    </w:rPr>
  </w:style>
  <w:style w:type="paragraph" w:styleId="37">
    <w:name w:val="Quote"/>
    <w:basedOn w:val="735"/>
    <w:next w:val="735"/>
    <w:link w:val="38"/>
    <w:uiPriority w:val="29"/>
    <w:qFormat/>
    <w:pPr>
      <w:ind w:left="720" w:right="720"/>
    </w:pPr>
    <w:rPr>
      <w:i/>
    </w:rPr>
  </w:style>
  <w:style w:type="character" w:styleId="38">
    <w:name w:val="Quote Char"/>
    <w:link w:val="37"/>
    <w:uiPriority w:val="29"/>
    <w:rPr>
      <w:i/>
    </w:rPr>
  </w:style>
  <w:style w:type="paragraph" w:styleId="39">
    <w:name w:val="Intense Quote"/>
    <w:basedOn w:val="735"/>
    <w:next w:val="7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5"/>
    <w:link w:val="759"/>
    <w:uiPriority w:val="99"/>
  </w:style>
  <w:style w:type="character" w:styleId="44">
    <w:name w:val="Footer Char"/>
    <w:basedOn w:val="745"/>
    <w:link w:val="758"/>
    <w:uiPriority w:val="99"/>
  </w:style>
  <w:style w:type="paragraph" w:styleId="45">
    <w:name w:val="Caption"/>
    <w:basedOn w:val="735"/>
    <w:next w:val="735"/>
    <w:uiPriority w:val="35"/>
    <w:semiHidden/>
    <w:unhideWhenUsed/>
    <w:qFormat/>
    <w:pPr>
      <w:spacing w:line="276" w:lineRule="auto"/>
    </w:pPr>
    <w:rPr>
      <w:b/>
      <w:bCs/>
      <w:color w:val="4f81bd" w:themeColor="accent1"/>
      <w:sz w:val="18"/>
      <w:szCs w:val="18"/>
    </w:rPr>
  </w:style>
  <w:style w:type="character" w:styleId="46">
    <w:name w:val="Caption Char"/>
    <w:basedOn w:val="45"/>
    <w:link w:val="758"/>
    <w:uiPriority w:val="99"/>
  </w:style>
  <w:style w:type="table" w:styleId="48">
    <w:name w:val="Table Grid Light"/>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5"/>
    <w:uiPriority w:val="99"/>
    <w:unhideWhenUsed/>
    <w:rPr>
      <w:vertAlign w:val="superscript"/>
    </w:rPr>
  </w:style>
  <w:style w:type="paragraph" w:styleId="177">
    <w:name w:val="endnote text"/>
    <w:basedOn w:val="7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5"/>
    <w:uiPriority w:val="99"/>
    <w:semiHidden/>
    <w:unhideWhenUsed/>
    <w:rPr>
      <w:vertAlign w:val="superscript"/>
    </w:rPr>
  </w:style>
  <w:style w:type="paragraph" w:styleId="181">
    <w:name w:val="toc 2"/>
    <w:basedOn w:val="735"/>
    <w:next w:val="735"/>
    <w:uiPriority w:val="39"/>
    <w:unhideWhenUsed/>
    <w:pPr>
      <w:ind w:left="283" w:right="0" w:firstLine="0"/>
      <w:spacing w:after="57"/>
    </w:pPr>
  </w:style>
  <w:style w:type="paragraph" w:styleId="182">
    <w:name w:val="toc 3"/>
    <w:basedOn w:val="735"/>
    <w:next w:val="735"/>
    <w:uiPriority w:val="39"/>
    <w:unhideWhenUsed/>
    <w:pPr>
      <w:ind w:left="567" w:right="0" w:firstLine="0"/>
      <w:spacing w:after="57"/>
    </w:pPr>
  </w:style>
  <w:style w:type="paragraph" w:styleId="184">
    <w:name w:val="toc 5"/>
    <w:basedOn w:val="735"/>
    <w:next w:val="735"/>
    <w:uiPriority w:val="39"/>
    <w:unhideWhenUsed/>
    <w:pPr>
      <w:ind w:left="1134" w:right="0" w:firstLine="0"/>
      <w:spacing w:after="57"/>
    </w:pPr>
  </w:style>
  <w:style w:type="paragraph" w:styleId="185">
    <w:name w:val="toc 6"/>
    <w:basedOn w:val="735"/>
    <w:next w:val="735"/>
    <w:uiPriority w:val="39"/>
    <w:unhideWhenUsed/>
    <w:pPr>
      <w:ind w:left="1417" w:right="0" w:firstLine="0"/>
      <w:spacing w:after="57"/>
    </w:pPr>
  </w:style>
  <w:style w:type="paragraph" w:styleId="186">
    <w:name w:val="toc 7"/>
    <w:basedOn w:val="735"/>
    <w:next w:val="735"/>
    <w:uiPriority w:val="39"/>
    <w:unhideWhenUsed/>
    <w:pPr>
      <w:ind w:left="1701" w:right="0" w:firstLine="0"/>
      <w:spacing w:after="57"/>
    </w:pPr>
  </w:style>
  <w:style w:type="paragraph" w:styleId="187">
    <w:name w:val="toc 8"/>
    <w:basedOn w:val="735"/>
    <w:next w:val="735"/>
    <w:uiPriority w:val="39"/>
    <w:unhideWhenUsed/>
    <w:pPr>
      <w:ind w:left="1984" w:right="0" w:firstLine="0"/>
      <w:spacing w:after="57"/>
    </w:pPr>
  </w:style>
  <w:style w:type="paragraph" w:styleId="188">
    <w:name w:val="toc 9"/>
    <w:basedOn w:val="735"/>
    <w:next w:val="7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5"/>
    <w:next w:val="735"/>
    <w:uiPriority w:val="99"/>
    <w:unhideWhenUsed/>
    <w:pPr>
      <w:spacing w:after="0" w:afterAutospacing="0"/>
    </w:pPr>
  </w:style>
  <w:style w:type="paragraph" w:styleId="735" w:default="1">
    <w:name w:val="Normal"/>
    <w:next w:val="747"/>
    <w:uiPriority w:val="0"/>
    <w:qFormat/>
    <w:rPr>
      <w:rFonts w:ascii="Times New Roman" w:hAnsi="Times New Roman" w:eastAsia="宋体" w:cs="Times New Roman"/>
      <w:sz w:val="24"/>
      <w:szCs w:val="24"/>
      <w:lang w:val="en-US" w:eastAsia="zh-CN" w:bidi="ar-SA"/>
    </w:rPr>
  </w:style>
  <w:style w:type="paragraph" w:styleId="736">
    <w:name w:val="Heading 1"/>
    <w:basedOn w:val="735"/>
    <w:next w:val="735"/>
    <w:link w:val="781"/>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737">
    <w:name w:val="Heading 2"/>
    <w:basedOn w:val="735"/>
    <w:next w:val="735"/>
    <w:link w:val="782"/>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738">
    <w:name w:val="Heading 3"/>
    <w:basedOn w:val="735"/>
    <w:next w:val="735"/>
    <w:uiPriority w:val="0"/>
    <w:qFormat/>
    <w:pPr>
      <w:numPr>
        <w:ilvl w:val="2"/>
        <w:numId w:val="1"/>
      </w:numPr>
      <w:keepLines/>
      <w:keepNext/>
      <w:spacing w:before="260" w:after="260" w:line="416" w:lineRule="auto"/>
      <w:outlineLvl w:val="2"/>
    </w:pPr>
    <w:rPr>
      <w:b/>
      <w:bCs/>
      <w:sz w:val="32"/>
      <w:szCs w:val="32"/>
    </w:rPr>
  </w:style>
  <w:style w:type="paragraph" w:styleId="739">
    <w:name w:val="Heading 4"/>
    <w:basedOn w:val="735"/>
    <w:next w:val="735"/>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40">
    <w:name w:val="Heading 5"/>
    <w:basedOn w:val="735"/>
    <w:next w:val="735"/>
    <w:uiPriority w:val="0"/>
    <w:qFormat/>
    <w:pPr>
      <w:numPr>
        <w:ilvl w:val="4"/>
        <w:numId w:val="1"/>
      </w:numPr>
      <w:keepLines/>
      <w:keepNext/>
      <w:spacing w:before="280" w:after="290" w:line="376" w:lineRule="auto"/>
      <w:outlineLvl w:val="4"/>
    </w:pPr>
    <w:rPr>
      <w:b/>
      <w:bCs/>
      <w:sz w:val="28"/>
      <w:szCs w:val="28"/>
    </w:rPr>
  </w:style>
  <w:style w:type="paragraph" w:styleId="741">
    <w:name w:val="Heading 6"/>
    <w:basedOn w:val="735"/>
    <w:next w:val="735"/>
    <w:uiPriority w:val="0"/>
    <w:qFormat/>
    <w:pPr>
      <w:numPr>
        <w:ilvl w:val="5"/>
        <w:numId w:val="1"/>
      </w:numPr>
      <w:keepLines/>
      <w:keepNext/>
      <w:spacing w:before="240" w:after="64" w:line="320" w:lineRule="auto"/>
      <w:outlineLvl w:val="5"/>
    </w:pPr>
    <w:rPr>
      <w:rFonts w:ascii="Arial" w:hAnsi="Arial" w:eastAsia="黑体"/>
      <w:b/>
      <w:bCs/>
    </w:rPr>
  </w:style>
  <w:style w:type="paragraph" w:styleId="742">
    <w:name w:val="Heading 7"/>
    <w:basedOn w:val="735"/>
    <w:next w:val="735"/>
    <w:uiPriority w:val="0"/>
    <w:qFormat/>
    <w:pPr>
      <w:numPr>
        <w:ilvl w:val="6"/>
        <w:numId w:val="1"/>
      </w:numPr>
      <w:jc w:val="center"/>
      <w:keepLines/>
      <w:keepNext/>
      <w:spacing w:before="30" w:after="10"/>
      <w:outlineLvl w:val="6"/>
    </w:pPr>
    <w:rPr>
      <w:rFonts w:eastAsia="黑体"/>
      <w:lang w:val="zh-CN"/>
    </w:rPr>
  </w:style>
  <w:style w:type="paragraph" w:styleId="743">
    <w:name w:val="Heading 8"/>
    <w:basedOn w:val="742"/>
    <w:next w:val="735"/>
    <w:uiPriority w:val="0"/>
    <w:qFormat/>
    <w:pPr>
      <w:numPr>
        <w:ilvl w:val="7"/>
      </w:numPr>
      <w:keepLines w:val="0"/>
      <w:keepNext w:val="0"/>
      <w:spacing w:before="10" w:after="30"/>
      <w:outlineLvl w:val="7"/>
    </w:pPr>
  </w:style>
  <w:style w:type="paragraph" w:styleId="744">
    <w:name w:val="Heading 9"/>
    <w:basedOn w:val="735"/>
    <w:next w:val="735"/>
    <w:uiPriority w:val="0"/>
    <w:qFormat/>
    <w:pPr>
      <w:numPr>
        <w:ilvl w:val="8"/>
        <w:numId w:val="1"/>
      </w:numPr>
      <w:keepLines/>
      <w:keepNext/>
      <w:spacing w:before="240" w:after="64" w:line="317" w:lineRule="auto"/>
      <w:outlineLvl w:val="8"/>
    </w:pPr>
    <w:rPr>
      <w:rFonts w:ascii="Arial" w:hAnsi="Arial" w:eastAsia="黑体"/>
      <w:sz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Body Text Indent"/>
    <w:basedOn w:val="735"/>
    <w:next w:val="748"/>
    <w:uiPriority w:val="0"/>
    <w:qFormat/>
    <w:pPr>
      <w:ind w:firstLine="500"/>
      <w:jc w:val="both"/>
      <w:spacing w:line="360" w:lineRule="auto"/>
      <w:widowControl w:val="off"/>
    </w:pPr>
    <w:rPr>
      <w:spacing w:val="20"/>
      <w:sz w:val="21"/>
    </w:rPr>
  </w:style>
  <w:style w:type="paragraph" w:styleId="748">
    <w:name w:val="envelope return"/>
    <w:basedOn w:val="735"/>
    <w:uiPriority w:val="99"/>
    <w:unhideWhenUsed/>
    <w:qFormat/>
    <w:pPr>
      <w:ind w:firstLine="420"/>
      <w:spacing w:line="360" w:lineRule="auto"/>
    </w:pPr>
    <w:rPr>
      <w:rFonts w:asciiTheme="minorEastAsia" w:hAnsiTheme="minorEastAsia" w:eastAsiaTheme="minorEastAsia"/>
      <w:sz w:val="21"/>
      <w:szCs w:val="21"/>
    </w:rPr>
  </w:style>
  <w:style w:type="paragraph" w:styleId="749">
    <w:name w:val="Normal Indent"/>
    <w:basedOn w:val="735"/>
    <w:uiPriority w:val="0"/>
    <w:qFormat/>
    <w:pPr>
      <w:ind w:firstLine="420"/>
      <w:widowControl w:val="off"/>
    </w:pPr>
    <w:rPr>
      <w:rFonts w:eastAsia="楷体_GB2312"/>
      <w:szCs w:val="20"/>
    </w:rPr>
  </w:style>
  <w:style w:type="paragraph" w:styleId="750">
    <w:name w:val="Document Map"/>
    <w:basedOn w:val="735"/>
    <w:link w:val="783"/>
    <w:uiPriority w:val="0"/>
    <w:qFormat/>
    <w:pPr>
      <w:shd w:val="clear" w:color="auto" w:fill="000080"/>
    </w:pPr>
  </w:style>
  <w:style w:type="paragraph" w:styleId="751">
    <w:name w:val="annotation text"/>
    <w:basedOn w:val="735"/>
    <w:uiPriority w:val="0"/>
    <w:qFormat/>
  </w:style>
  <w:style w:type="paragraph" w:styleId="752">
    <w:name w:val="Body Text"/>
    <w:basedOn w:val="735"/>
    <w:uiPriority w:val="0"/>
    <w:qFormat/>
    <w:pPr>
      <w:spacing w:after="120"/>
    </w:pPr>
  </w:style>
  <w:style w:type="paragraph" w:styleId="753">
    <w:name w:val="Block Text"/>
    <w:basedOn w:val="73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754">
    <w:name w:val="Plain Text"/>
    <w:basedOn w:val="735"/>
    <w:link w:val="784"/>
    <w:uiPriority w:val="0"/>
    <w:qFormat/>
    <w:rPr>
      <w:rFonts w:ascii="宋体" w:hAnsi="Courier New" w:eastAsia="楷体_GB2312"/>
      <w:sz w:val="26"/>
      <w:szCs w:val="20"/>
    </w:rPr>
  </w:style>
  <w:style w:type="paragraph" w:styleId="755">
    <w:name w:val="Date"/>
    <w:basedOn w:val="735"/>
    <w:next w:val="735"/>
    <w:link w:val="785"/>
    <w:uiPriority w:val="0"/>
    <w:qFormat/>
    <w:pPr>
      <w:ind w:left="100"/>
      <w:jc w:val="both"/>
      <w:widowControl w:val="off"/>
    </w:pPr>
    <w:rPr>
      <w:b/>
      <w:bCs/>
      <w:spacing w:val="20"/>
      <w:sz w:val="21"/>
    </w:rPr>
  </w:style>
  <w:style w:type="paragraph" w:styleId="756">
    <w:name w:val="Body Text Indent 2"/>
    <w:basedOn w:val="735"/>
    <w:uiPriority w:val="0"/>
    <w:qFormat/>
    <w:pPr>
      <w:ind w:firstLine="460"/>
      <w:spacing w:line="360" w:lineRule="auto"/>
    </w:pPr>
    <w:rPr>
      <w:spacing w:val="20"/>
      <w:sz w:val="21"/>
    </w:rPr>
  </w:style>
  <w:style w:type="paragraph" w:styleId="757">
    <w:name w:val="Balloon Text"/>
    <w:basedOn w:val="735"/>
    <w:uiPriority w:val="0"/>
    <w:qFormat/>
    <w:rPr>
      <w:sz w:val="18"/>
      <w:szCs w:val="18"/>
    </w:rPr>
  </w:style>
  <w:style w:type="paragraph" w:styleId="758">
    <w:name w:val="Footer"/>
    <w:basedOn w:val="735"/>
    <w:link w:val="786"/>
    <w:uiPriority w:val="99"/>
    <w:qFormat/>
    <w:pPr>
      <w:widowControl w:val="off"/>
      <w:tabs>
        <w:tab w:val="center" w:pos="4153" w:leader="none"/>
        <w:tab w:val="right" w:pos="8306" w:leader="none"/>
      </w:tabs>
    </w:pPr>
    <w:rPr>
      <w:sz w:val="18"/>
      <w:szCs w:val="18"/>
    </w:rPr>
  </w:style>
  <w:style w:type="paragraph" w:styleId="759">
    <w:name w:val="Header"/>
    <w:basedOn w:val="735"/>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760">
    <w:name w:val="toc 1"/>
    <w:basedOn w:val="735"/>
    <w:next w:val="735"/>
    <w:uiPriority w:val="0"/>
    <w:qFormat/>
    <w:pPr>
      <w:widowControl w:val="off"/>
    </w:pPr>
    <w:rPr>
      <w:rFonts w:eastAsia="楷体_GB2312"/>
      <w:szCs w:val="20"/>
    </w:rPr>
  </w:style>
  <w:style w:type="paragraph" w:styleId="761">
    <w:name w:val="toc 4"/>
    <w:basedOn w:val="735"/>
    <w:next w:val="735"/>
    <w:uiPriority w:val="39"/>
    <w:unhideWhenUsed/>
    <w:qFormat/>
    <w:pPr>
      <w:ind w:left="1260"/>
    </w:pPr>
  </w:style>
  <w:style w:type="paragraph" w:styleId="762">
    <w:name w:val="Subtitle"/>
    <w:basedOn w:val="735"/>
    <w:next w:val="735"/>
    <w:uiPriority w:val="0"/>
    <w:qFormat/>
    <w:pPr>
      <w:jc w:val="center"/>
      <w:spacing w:before="240" w:after="60" w:line="312" w:lineRule="auto"/>
      <w:outlineLvl w:val="1"/>
    </w:pPr>
    <w:rPr>
      <w:rFonts w:ascii="宋体" w:hAnsi="Courier New" w:eastAsia="楷体_GB2312"/>
      <w:sz w:val="26"/>
      <w:szCs w:val="20"/>
    </w:rPr>
  </w:style>
  <w:style w:type="paragraph" w:styleId="763">
    <w:name w:val="Body Text Indent 3"/>
    <w:basedOn w:val="735"/>
    <w:link w:val="787"/>
    <w:uiPriority w:val="0"/>
    <w:qFormat/>
    <w:pPr>
      <w:ind w:firstLine="480"/>
      <w:spacing w:line="300" w:lineRule="auto"/>
      <w:widowControl w:val="off"/>
    </w:pPr>
  </w:style>
  <w:style w:type="paragraph" w:styleId="764">
    <w:name w:val="Body Text 2"/>
    <w:basedOn w:val="735"/>
    <w:uiPriority w:val="0"/>
    <w:qFormat/>
    <w:pPr>
      <w:spacing w:after="120" w:line="480" w:lineRule="auto"/>
    </w:pPr>
  </w:style>
  <w:style w:type="paragraph" w:styleId="765">
    <w:name w:val="HTML Preformatted"/>
    <w:basedOn w:val="735"/>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766">
    <w:name w:val="Normal (Web)"/>
    <w:basedOn w:val="735"/>
    <w:uiPriority w:val="0"/>
    <w:qFormat/>
    <w:pPr>
      <w:spacing w:before="100" w:beforeAutospacing="1" w:after="100" w:afterAutospacing="1"/>
    </w:pPr>
    <w:rPr>
      <w:rFonts w:ascii="宋体" w:hAnsi="宋体" w:cs="宋体"/>
    </w:rPr>
  </w:style>
  <w:style w:type="paragraph" w:styleId="767">
    <w:name w:val="Title"/>
    <w:basedOn w:val="735"/>
    <w:next w:val="735"/>
    <w:link w:val="788"/>
    <w:uiPriority w:val="0"/>
    <w:qFormat/>
    <w:pPr>
      <w:jc w:val="center"/>
      <w:spacing w:before="240" w:after="60"/>
      <w:outlineLvl w:val="0"/>
    </w:pPr>
    <w:rPr>
      <w:rFonts w:ascii="Cambria" w:hAnsi="Cambria"/>
      <w:b/>
      <w:bCs/>
      <w:sz w:val="32"/>
      <w:szCs w:val="32"/>
    </w:rPr>
  </w:style>
  <w:style w:type="paragraph" w:styleId="768">
    <w:name w:val="annotation subject"/>
    <w:basedOn w:val="751"/>
    <w:next w:val="751"/>
    <w:uiPriority w:val="0"/>
    <w:qFormat/>
    <w:rPr>
      <w:b/>
      <w:bCs/>
    </w:rPr>
  </w:style>
  <w:style w:type="paragraph" w:styleId="769">
    <w:name w:val="Body Text First Indent"/>
    <w:basedOn w:val="752"/>
    <w:uiPriority w:val="0"/>
    <w:qFormat/>
    <w:pPr>
      <w:ind w:firstLine="420"/>
      <w:tabs>
        <w:tab w:val="left" w:pos="5250" w:leader="none"/>
      </w:tabs>
    </w:pPr>
  </w:style>
  <w:style w:type="paragraph" w:styleId="770">
    <w:name w:val="Body Text First Indent 2"/>
    <w:basedOn w:val="747"/>
    <w:uiPriority w:val="99"/>
    <w:qFormat/>
    <w:pPr>
      <w:ind w:firstLine="420"/>
    </w:pPr>
  </w:style>
  <w:style w:type="table" w:styleId="771">
    <w:name w:val="Table Grid"/>
    <w:basedOn w:val="7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bCs/>
    </w:rPr>
  </w:style>
  <w:style w:type="character" w:styleId="773">
    <w:name w:val="page number"/>
    <w:uiPriority w:val="0"/>
    <w:qFormat/>
  </w:style>
  <w:style w:type="character" w:styleId="774">
    <w:name w:val="FollowedHyperlink"/>
    <w:uiPriority w:val="0"/>
    <w:qFormat/>
    <w:rPr>
      <w:color w:val="333333"/>
      <w:u w:val="none"/>
    </w:rPr>
  </w:style>
  <w:style w:type="character" w:styleId="775">
    <w:name w:val="Hyperlink"/>
    <w:uiPriority w:val="0"/>
    <w:qFormat/>
    <w:rPr>
      <w:color w:val="333333"/>
      <w:u w:val="none"/>
    </w:rPr>
  </w:style>
  <w:style w:type="character" w:styleId="776">
    <w:name w:val="annotation reference"/>
    <w:uiPriority w:val="0"/>
    <w:qFormat/>
    <w:rPr>
      <w:sz w:val="21"/>
      <w:szCs w:val="21"/>
    </w:rPr>
  </w:style>
  <w:style w:type="paragraph" w:styleId="777" w:customStyle="1">
    <w:name w:val="正文首行缩进 21"/>
    <w:basedOn w:val="778"/>
    <w:uiPriority w:val="99"/>
    <w:qFormat/>
    <w:pPr>
      <w:ind w:firstLine="420"/>
    </w:pPr>
  </w:style>
  <w:style w:type="paragraph" w:styleId="778" w:customStyle="1">
    <w:name w:val="正文文本缩进1"/>
    <w:next w:val="735"/>
    <w:uiPriority w:val="0"/>
    <w:qFormat/>
    <w:pPr>
      <w:ind w:left="570"/>
      <w:jc w:val="both"/>
      <w:spacing w:line="520" w:lineRule="exact"/>
      <w:widowControl w:val="off"/>
    </w:pPr>
    <w:rPr>
      <w:rFonts w:ascii="方正仿宋简体" w:hAnsi="创艺简仿宋" w:eastAsia="方正仿宋简体" w:cs="Times New Roman"/>
      <w:sz w:val="24"/>
      <w:szCs w:val="24"/>
      <w:lang w:val="en-US" w:eastAsia="zh-CN" w:bidi="ar-SA"/>
    </w:rPr>
  </w:style>
  <w:style w:type="paragraph" w:styleId="779" w:customStyle="1">
    <w:name w:val="样式1"/>
    <w:basedOn w:val="735"/>
    <w:uiPriority w:val="0"/>
    <w:qFormat/>
    <w:pPr>
      <w:jc w:val="center"/>
    </w:pPr>
  </w:style>
  <w:style w:type="paragraph" w:styleId="780" w:customStyle="1">
    <w:name w:val="正文1"/>
    <w:basedOn w:val="735"/>
    <w:next w:val="735"/>
    <w:uiPriority w:val="0"/>
    <w:qFormat/>
    <w:pPr>
      <w:ind w:firstLine="540"/>
    </w:pPr>
    <w:rPr>
      <w:szCs w:val="20"/>
    </w:rPr>
  </w:style>
  <w:style w:type="character" w:styleId="781" w:customStyle="1">
    <w:name w:val="标题 1 字符"/>
    <w:link w:val="736"/>
    <w:uiPriority w:val="0"/>
    <w:qFormat/>
    <w:rPr>
      <w:rFonts w:eastAsia="楷体_GB2312"/>
      <w:b/>
      <w:sz w:val="44"/>
      <w:szCs w:val="20"/>
    </w:rPr>
  </w:style>
  <w:style w:type="character" w:styleId="782" w:customStyle="1">
    <w:name w:val="标题 2 字符"/>
    <w:basedOn w:val="745"/>
    <w:link w:val="737"/>
    <w:uiPriority w:val="9"/>
    <w:qFormat/>
    <w:rPr>
      <w:rFonts w:ascii="Cambria" w:hAnsi="Cambria" w:eastAsia="宋体" w:cs="Times New Roman"/>
      <w:b/>
      <w:bCs/>
      <w:sz w:val="32"/>
      <w:szCs w:val="32"/>
    </w:rPr>
  </w:style>
  <w:style w:type="character" w:styleId="783" w:customStyle="1">
    <w:name w:val="文档结构图 字符"/>
    <w:link w:val="750"/>
    <w:uiPriority w:val="0"/>
    <w:qFormat/>
    <w:rPr>
      <w:sz w:val="24"/>
      <w:szCs w:val="24"/>
      <w:shd w:val="clear" w:color="auto" w:fill="000080"/>
    </w:rPr>
  </w:style>
  <w:style w:type="character" w:styleId="784" w:customStyle="1">
    <w:name w:val="纯文本 字符"/>
    <w:link w:val="754"/>
    <w:uiPriority w:val="0"/>
    <w:qFormat/>
    <w:rPr>
      <w:rFonts w:ascii="宋体" w:hAnsi="Courier New" w:eastAsia="楷体_GB2312"/>
      <w:sz w:val="26"/>
    </w:rPr>
  </w:style>
  <w:style w:type="character" w:styleId="785" w:customStyle="1">
    <w:name w:val="日期 字符"/>
    <w:link w:val="755"/>
    <w:uiPriority w:val="0"/>
    <w:qFormat/>
    <w:rPr>
      <w:b/>
      <w:bCs/>
      <w:spacing w:val="20"/>
      <w:sz w:val="21"/>
      <w:szCs w:val="24"/>
    </w:rPr>
  </w:style>
  <w:style w:type="character" w:styleId="786" w:customStyle="1">
    <w:name w:val="页脚 字符"/>
    <w:link w:val="758"/>
    <w:uiPriority w:val="99"/>
    <w:qFormat/>
    <w:rPr>
      <w:sz w:val="18"/>
      <w:szCs w:val="18"/>
    </w:rPr>
  </w:style>
  <w:style w:type="character" w:styleId="787" w:customStyle="1">
    <w:name w:val="正文文本缩进 3 字符"/>
    <w:link w:val="763"/>
    <w:uiPriority w:val="0"/>
    <w:qFormat/>
    <w:rPr>
      <w:sz w:val="24"/>
      <w:szCs w:val="24"/>
    </w:rPr>
  </w:style>
  <w:style w:type="character" w:styleId="788" w:customStyle="1">
    <w:name w:val="标题 字符"/>
    <w:link w:val="767"/>
    <w:uiPriority w:val="0"/>
    <w:qFormat/>
    <w:rPr>
      <w:rFonts w:ascii="Cambria" w:hAnsi="Cambria" w:cs="Times New Roman"/>
      <w:b/>
      <w:bCs/>
      <w:sz w:val="32"/>
      <w:szCs w:val="32"/>
    </w:rPr>
  </w:style>
  <w:style w:type="character" w:styleId="789" w:customStyle="1">
    <w:name w:val="font31"/>
    <w:basedOn w:val="745"/>
    <w:uiPriority w:val="0"/>
    <w:qFormat/>
    <w:rPr>
      <w:rFonts w:hint="eastAsia" w:ascii="宋体" w:hAnsi="宋体" w:eastAsia="宋体" w:cs="宋体"/>
      <w:color w:val="000000"/>
      <w:sz w:val="21"/>
      <w:szCs w:val="21"/>
      <w:u w:val="none"/>
    </w:rPr>
  </w:style>
  <w:style w:type="character" w:styleId="790" w:customStyle="1">
    <w:name w:val="无"/>
    <w:uiPriority w:val="0"/>
    <w:qFormat/>
  </w:style>
  <w:style w:type="character" w:styleId="791" w:customStyle="1">
    <w:name w:val="apple-converted-space"/>
    <w:uiPriority w:val="0"/>
    <w:qFormat/>
  </w:style>
  <w:style w:type="character" w:styleId="792" w:customStyle="1">
    <w:name w:val="font21"/>
    <w:basedOn w:val="745"/>
    <w:uiPriority w:val="0"/>
    <w:qFormat/>
    <w:rPr>
      <w:rFonts w:hint="eastAsia" w:ascii="宋体" w:hAnsi="宋体" w:eastAsia="宋体" w:cs="宋体"/>
      <w:color w:val="000000"/>
      <w:sz w:val="24"/>
      <w:szCs w:val="24"/>
      <w:u w:val="none"/>
    </w:rPr>
  </w:style>
  <w:style w:type="character" w:styleId="793" w:customStyle="1">
    <w:name w:val="NormalCharacter"/>
    <w:uiPriority w:val="0"/>
    <w:qFormat/>
  </w:style>
  <w:style w:type="character" w:styleId="794" w:customStyle="1">
    <w:name w:val="font11"/>
    <w:uiPriority w:val="0"/>
    <w:qFormat/>
    <w:rPr>
      <w:rFonts w:hint="eastAsia" w:ascii="宋体" w:hAnsi="宋体" w:eastAsia="宋体" w:cs="宋体"/>
      <w:color w:val="000000"/>
      <w:sz w:val="24"/>
      <w:szCs w:val="24"/>
      <w:u w:val="none"/>
    </w:rPr>
  </w:style>
  <w:style w:type="character" w:styleId="795" w:customStyle="1">
    <w:name w:val="font01"/>
    <w:uiPriority w:val="0"/>
    <w:qFormat/>
    <w:rPr>
      <w:rFonts w:hint="eastAsia" w:ascii="宋体" w:hAnsi="宋体" w:eastAsia="宋体" w:cs="宋体"/>
      <w:color w:val="000000"/>
      <w:sz w:val="24"/>
      <w:szCs w:val="24"/>
      <w:u w:val="none"/>
    </w:rPr>
  </w:style>
  <w:style w:type="character" w:styleId="796" w:customStyle="1">
    <w:name w:val="font51"/>
    <w:basedOn w:val="745"/>
    <w:uiPriority w:val="0"/>
    <w:qFormat/>
    <w:rPr>
      <w:rFonts w:hint="eastAsia" w:ascii="宋体" w:hAnsi="宋体" w:eastAsia="宋体" w:cs="宋体"/>
      <w:color w:val="000000"/>
      <w:sz w:val="24"/>
      <w:szCs w:val="24"/>
      <w:u w:val="none"/>
    </w:rPr>
  </w:style>
  <w:style w:type="character" w:styleId="797" w:customStyle="1">
    <w:name w:val="Plain Text Char"/>
    <w:link w:val="798"/>
    <w:uiPriority w:val="0"/>
    <w:qFormat/>
    <w:rPr>
      <w:rFonts w:ascii="宋体" w:hAnsi="Courier New" w:eastAsia="楷体_GB2312"/>
      <w:sz w:val="26"/>
    </w:rPr>
  </w:style>
  <w:style w:type="paragraph" w:styleId="798" w:customStyle="1">
    <w:name w:val="纯文本1"/>
    <w:basedOn w:val="735"/>
    <w:link w:val="797"/>
    <w:uiPriority w:val="0"/>
    <w:qFormat/>
    <w:pPr>
      <w:jc w:val="both"/>
      <w:widowControl w:val="off"/>
    </w:pPr>
    <w:rPr>
      <w:rFonts w:ascii="宋体" w:hAnsi="Courier New" w:eastAsia="楷体_GB2312"/>
      <w:sz w:val="26"/>
      <w:szCs w:val="20"/>
    </w:rPr>
  </w:style>
  <w:style w:type="character" w:styleId="799" w:customStyle="1">
    <w:name w:val="Andy_正文 Char"/>
    <w:link w:val="800"/>
    <w:uiPriority w:val="0"/>
    <w:qFormat/>
    <w:rPr>
      <w:rFonts w:ascii="Calibri" w:hAnsi="Calibri"/>
      <w:sz w:val="24"/>
      <w:szCs w:val="24"/>
    </w:rPr>
  </w:style>
  <w:style w:type="paragraph" w:styleId="800" w:customStyle="1">
    <w:name w:val="Andy_正文"/>
    <w:basedOn w:val="735"/>
    <w:link w:val="799"/>
    <w:uiPriority w:val="0"/>
    <w:qFormat/>
    <w:pPr>
      <w:ind w:firstLine="480"/>
      <w:jc w:val="both"/>
      <w:spacing w:line="360" w:lineRule="auto"/>
      <w:widowControl w:val="off"/>
    </w:pPr>
    <w:rPr>
      <w:rFonts w:ascii="Calibri" w:hAnsi="Calibri"/>
    </w:rPr>
  </w:style>
  <w:style w:type="paragraph" w:styleId="801" w:customStyle="1">
    <w:name w:val="H-TextFormat"/>
    <w:uiPriority w:val="0"/>
    <w:qFormat/>
    <w:rPr>
      <w:rFonts w:ascii="Arial" w:hAnsi="Arial" w:eastAsia="宋体" w:cs="Times New Roman"/>
      <w:sz w:val="22"/>
      <w:lang w:val="en-GB" w:eastAsia="en-US" w:bidi="ar-SA"/>
    </w:rPr>
  </w:style>
  <w:style w:type="paragraph" w:styleId="802" w:customStyle="1">
    <w:name w:val="Char1"/>
    <w:basedOn w:val="735"/>
    <w:uiPriority w:val="0"/>
    <w:qFormat/>
    <w:pPr>
      <w:jc w:val="both"/>
      <w:widowControl w:val="off"/>
    </w:pPr>
    <w:rPr>
      <w:rFonts w:ascii="Tahoma" w:hAnsi="Tahoma"/>
      <w:szCs w:val="20"/>
    </w:rPr>
  </w:style>
  <w:style w:type="paragraph" w:styleId="803" w:customStyle="1">
    <w:name w:val="_Style 12"/>
    <w:basedOn w:val="750"/>
    <w:uiPriority w:val="0"/>
    <w:qFormat/>
    <w:pPr>
      <w:spacing w:line="360" w:lineRule="auto"/>
    </w:pPr>
  </w:style>
  <w:style w:type="paragraph" w:styleId="804" w:customStyle="1">
    <w:name w:val="Table Paragraph"/>
    <w:basedOn w:val="735"/>
    <w:uiPriority w:val="1"/>
    <w:qFormat/>
    <w:pPr>
      <w:widowControl w:val="off"/>
    </w:pPr>
    <w:rPr>
      <w:rFonts w:ascii="宋体" w:hAnsi="宋体" w:cs="宋体"/>
      <w:sz w:val="22"/>
      <w:szCs w:val="22"/>
      <w:lang w:val="zh-CN" w:bidi="zh-CN"/>
    </w:rPr>
  </w:style>
  <w:style w:type="paragraph" w:styleId="805" w:customStyle="1">
    <w:name w:val="_Style 25"/>
    <w:basedOn w:val="735"/>
    <w:uiPriority w:val="0"/>
    <w:qFormat/>
    <w:pPr>
      <w:spacing w:after="160" w:line="240" w:lineRule="exact"/>
    </w:pPr>
    <w:rPr>
      <w:szCs w:val="20"/>
    </w:rPr>
  </w:style>
  <w:style w:type="paragraph" w:styleId="806" w:customStyle="1">
    <w:name w:val="纯文本11"/>
    <w:basedOn w:val="735"/>
    <w:uiPriority w:val="0"/>
    <w:qFormat/>
    <w:pPr>
      <w:jc w:val="both"/>
      <w:widowControl w:val="off"/>
    </w:pPr>
    <w:rPr>
      <w:rFonts w:ascii="宋体" w:hAnsi="Courier New" w:eastAsia="楷体_GB2312"/>
      <w:sz w:val="28"/>
      <w:szCs w:val="20"/>
    </w:rPr>
  </w:style>
  <w:style w:type="paragraph" w:styleId="807"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808" w:customStyle="1">
    <w:name w:val="Char Char Char1 Char Char Char Char"/>
    <w:basedOn w:val="735"/>
    <w:uiPriority w:val="0"/>
    <w:qFormat/>
    <w:pPr>
      <w:spacing w:after="160" w:line="240" w:lineRule="exact"/>
    </w:pPr>
  </w:style>
  <w:style w:type="paragraph" w:styleId="809" w:customStyle="1">
    <w:name w:val="表正文"/>
    <w:basedOn w:val="735"/>
    <w:next w:val="747"/>
    <w:uiPriority w:val="0"/>
    <w:qFormat/>
    <w:pPr>
      <w:ind w:left="420"/>
      <w:spacing w:after="120"/>
    </w:pPr>
    <w:rPr>
      <w:sz w:val="21"/>
    </w:rPr>
  </w:style>
  <w:style w:type="paragraph" w:styleId="810" w:customStyle="1">
    <w:name w:val="Char Char Char Char Char Char Char Char Char Char"/>
    <w:basedOn w:val="735"/>
    <w:uiPriority w:val="0"/>
    <w:qFormat/>
    <w:pPr>
      <w:ind w:left="795" w:hanging="360"/>
      <w:jc w:val="both"/>
      <w:widowControl w:val="off"/>
      <w:tabs>
        <w:tab w:val="left" w:pos="795" w:leader="none"/>
      </w:tabs>
    </w:pPr>
  </w:style>
  <w:style w:type="paragraph" w:styleId="811" w:customStyle="1">
    <w:name w:val="Char1 Char Char Char"/>
    <w:basedOn w:val="735"/>
    <w:uiPriority w:val="0"/>
    <w:qFormat/>
    <w:pPr>
      <w:jc w:val="both"/>
      <w:widowControl w:val="off"/>
    </w:pPr>
    <w:rPr>
      <w:sz w:val="21"/>
    </w:rPr>
  </w:style>
  <w:style w:type="paragraph" w:styleId="81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813">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814"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815" w:customStyle="1">
    <w:name w:val="Andy_2级"/>
    <w:basedOn w:val="735"/>
    <w:uiPriority w:val="0"/>
    <w:qFormat/>
    <w:pPr>
      <w:numPr>
        <w:ilvl w:val="1"/>
        <w:numId w:val="2"/>
      </w:numPr>
      <w:ind w:left="0" w:firstLine="510"/>
      <w:spacing w:line="360" w:lineRule="auto"/>
    </w:pPr>
    <w:rPr>
      <w:rFonts w:ascii="Calibri" w:hAnsi="Calibri"/>
      <w:szCs w:val="20"/>
    </w:rPr>
  </w:style>
  <w:style w:type="paragraph" w:styleId="816" w:customStyle="1">
    <w:name w:val="p16"/>
    <w:basedOn w:val="735"/>
    <w:uiPriority w:val="0"/>
    <w:qFormat/>
    <w:rPr>
      <w:rFonts w:ascii="宋体" w:hAnsi="宋体" w:cs="宋体"/>
      <w:sz w:val="26"/>
      <w:szCs w:val="26"/>
    </w:rPr>
  </w:style>
  <w:style w:type="paragraph" w:styleId="817" w:customStyle="1">
    <w:name w:val="纯文本3"/>
    <w:basedOn w:val="735"/>
    <w:uiPriority w:val="0"/>
    <w:qFormat/>
    <w:rPr>
      <w:rFonts w:ascii="宋体" w:hAnsi="Courier New"/>
      <w:sz w:val="26"/>
    </w:rPr>
  </w:style>
  <w:style w:type="paragraph" w:styleId="818" w:customStyle="1">
    <w:name w:val="Char Char Char"/>
    <w:basedOn w:val="735"/>
    <w:uiPriority w:val="0"/>
    <w:qFormat/>
    <w:pPr>
      <w:ind w:left="795" w:hanging="360"/>
      <w:jc w:val="both"/>
      <w:widowControl w:val="off"/>
      <w:tabs>
        <w:tab w:val="left" w:pos="795" w:leader="none"/>
      </w:tabs>
    </w:pPr>
  </w:style>
  <w:style w:type="paragraph" w:styleId="819" w:customStyle="1">
    <w:name w:val="样式2"/>
    <w:basedOn w:val="779"/>
    <w:uiPriority w:val="0"/>
    <w:qFormat/>
    <w:rPr>
      <w:sz w:val="21"/>
    </w:rPr>
  </w:style>
  <w:style w:type="paragraph" w:styleId="820" w:customStyle="1">
    <w:name w:val="f正文"/>
    <w:basedOn w:val="735"/>
    <w:uiPriority w:val="0"/>
    <w:qFormat/>
    <w:pPr>
      <w:ind w:firstLine="200"/>
    </w:pPr>
  </w:style>
  <w:style w:type="paragraph" w:styleId="821" w:customStyle="1">
    <w:name w:val="_Style 3"/>
    <w:basedOn w:val="735"/>
    <w:uiPriority w:val="0"/>
    <w:qFormat/>
    <w:pPr>
      <w:ind w:left="795" w:hanging="360"/>
      <w:jc w:val="both"/>
      <w:widowControl w:val="off"/>
      <w:tabs>
        <w:tab w:val="left" w:pos="540" w:leader="none"/>
      </w:tabs>
    </w:pPr>
  </w:style>
  <w:style w:type="paragraph" w:styleId="822" w:customStyle="1">
    <w:name w:val="Char Char Char Char Char Char Char Char Char1 Char"/>
    <w:basedOn w:val="750"/>
    <w:uiPriority w:val="0"/>
    <w:qFormat/>
    <w:pPr>
      <w:jc w:val="both"/>
      <w:spacing w:line="360" w:lineRule="auto"/>
      <w:widowControl w:val="off"/>
    </w:pPr>
    <w:rPr>
      <w:rFonts w:ascii="Tahoma" w:hAnsi="Tahoma"/>
    </w:rPr>
  </w:style>
  <w:style w:type="paragraph" w:styleId="823" w:customStyle="1">
    <w:name w:val="纯文本5"/>
    <w:basedOn w:val="735"/>
    <w:uiPriority w:val="0"/>
    <w:qFormat/>
    <w:rPr>
      <w:rFonts w:ascii="宋体" w:hAnsi="Courier New" w:eastAsia="楷体_GB2312"/>
      <w:sz w:val="28"/>
      <w:szCs w:val="20"/>
    </w:rPr>
  </w:style>
  <w:style w:type="paragraph" w:styleId="824" w:customStyle="1">
    <w:name w:val="p18"/>
    <w:basedOn w:val="735"/>
    <w:uiPriority w:val="0"/>
    <w:qFormat/>
    <w:pPr>
      <w:ind w:firstLine="420"/>
    </w:pPr>
  </w:style>
  <w:style w:type="paragraph" w:styleId="825" w:customStyle="1">
    <w:name w:val="纯文本2"/>
    <w:basedOn w:val="735"/>
    <w:uiPriority w:val="0"/>
    <w:qFormat/>
    <w:rPr>
      <w:rFonts w:ascii="宋体" w:hAnsi="Courier New"/>
    </w:rPr>
  </w:style>
  <w:style w:type="paragraph" w:styleId="826" w:customStyle="1">
    <w:name w:val="Char Char2"/>
    <w:basedOn w:val="750"/>
    <w:uiPriority w:val="0"/>
    <w:qFormat/>
    <w:pPr>
      <w:spacing w:line="360" w:lineRule="auto"/>
    </w:pPr>
  </w:style>
  <w:style w:type="paragraph" w:styleId="827" w:customStyle="1">
    <w:name w:val="_Style 5"/>
    <w:basedOn w:val="735"/>
    <w:uiPriority w:val="0"/>
    <w:qFormat/>
    <w:pPr>
      <w:spacing w:after="160" w:line="240" w:lineRule="exact"/>
    </w:pPr>
    <w:rPr>
      <w:szCs w:val="20"/>
    </w:rPr>
  </w:style>
  <w:style w:type="paragraph" w:styleId="828" w:customStyle="1">
    <w:name w:val="段"/>
    <w:next w:val="735"/>
    <w:uiPriority w:val="0"/>
    <w:qFormat/>
    <w:pPr>
      <w:ind w:firstLine="200"/>
      <w:jc w:val="both"/>
    </w:pPr>
    <w:rPr>
      <w:rFonts w:ascii="宋体" w:hAnsi="Times New Roman" w:eastAsia="宋体" w:cs="Times New Roman"/>
      <w:sz w:val="21"/>
      <w:szCs w:val="22"/>
      <w:lang w:val="en-US" w:eastAsia="zh-CN" w:bidi="ar-SA"/>
    </w:rPr>
  </w:style>
  <w:style w:type="paragraph" w:styleId="829" w:customStyle="1">
    <w:name w:val="Char Char Char Char"/>
    <w:basedOn w:val="750"/>
    <w:uiPriority w:val="0"/>
    <w:qFormat/>
    <w:pPr>
      <w:jc w:val="both"/>
      <w:spacing w:line="360" w:lineRule="auto"/>
      <w:widowControl w:val="off"/>
    </w:pPr>
    <w:rPr>
      <w:szCs w:val="20"/>
    </w:rPr>
  </w:style>
  <w:style w:type="paragraph" w:styleId="830" w:customStyle="1">
    <w:name w:val="p0"/>
    <w:basedOn w:val="735"/>
    <w:uiPriority w:val="0"/>
    <w:qFormat/>
  </w:style>
  <w:style w:type="paragraph" w:styleId="831" w:customStyle="1">
    <w:name w:val="Char Char Char Char Char Char Char Char Char1 Char1"/>
    <w:basedOn w:val="750"/>
    <w:uiPriority w:val="0"/>
    <w:qFormat/>
    <w:pPr>
      <w:jc w:val="both"/>
      <w:spacing w:line="360" w:lineRule="auto"/>
      <w:widowControl w:val="off"/>
    </w:pPr>
    <w:rPr>
      <w:rFonts w:ascii="Tahoma" w:hAnsi="Tahoma"/>
    </w:rPr>
  </w:style>
  <w:style w:type="paragraph" w:styleId="832" w:customStyle="1">
    <w:name w:val="列出段落1"/>
    <w:basedOn w:val="735"/>
    <w:uiPriority w:val="0"/>
    <w:qFormat/>
    <w:pPr>
      <w:ind w:firstLine="420"/>
    </w:pPr>
    <w:rPr>
      <w:rFonts w:ascii="Calibri" w:hAnsi="Calibri" w:cs="Calibri"/>
      <w:szCs w:val="22"/>
    </w:rPr>
  </w:style>
  <w:style w:type="paragraph" w:styleId="833" w:customStyle="1">
    <w:name w:val="纯文本111"/>
    <w:basedOn w:val="735"/>
    <w:uiPriority w:val="0"/>
    <w:qFormat/>
    <w:rPr>
      <w:rFonts w:ascii="宋体" w:hAnsi="Courier New"/>
    </w:rPr>
  </w:style>
  <w:style w:type="paragraph" w:styleId="834" w:customStyle="1">
    <w:name w:val="列表段落1"/>
    <w:basedOn w:val="735"/>
    <w:uiPriority w:val="0"/>
    <w:qFormat/>
    <w:pPr>
      <w:ind w:firstLine="420"/>
      <w:jc w:val="both"/>
      <w:widowControl w:val="off"/>
    </w:pPr>
    <w:rPr>
      <w:rFonts w:ascii="Calibri" w:hAnsi="Calibri"/>
      <w:sz w:val="21"/>
      <w:szCs w:val="22"/>
    </w:rPr>
  </w:style>
  <w:style w:type="paragraph" w:styleId="835" w:customStyle="1">
    <w:name w:val="Char Char3"/>
    <w:basedOn w:val="735"/>
    <w:uiPriority w:val="0"/>
    <w:qFormat/>
    <w:pPr>
      <w:numPr>
        <w:ilvl w:val="0"/>
        <w:numId w:val="3"/>
      </w:numPr>
      <w:jc w:val="both"/>
      <w:widowControl w:val="off"/>
    </w:pPr>
  </w:style>
  <w:style w:type="paragraph" w:styleId="836" w:customStyle="1">
    <w:name w:val="Char"/>
    <w:basedOn w:val="735"/>
    <w:uiPriority w:val="0"/>
    <w:qFormat/>
    <w:pPr>
      <w:jc w:val="both"/>
      <w:widowControl w:val="off"/>
    </w:pPr>
    <w:rPr>
      <w:rFonts w:ascii="Tahoma" w:hAnsi="Tahoma" w:cs="Tahoma"/>
    </w:rPr>
  </w:style>
  <w:style w:type="paragraph" w:styleId="837" w:customStyle="1">
    <w:name w:val="01 章标"/>
    <w:basedOn w:val="735"/>
    <w:uiPriority w:val="0"/>
    <w:qFormat/>
    <w:pPr>
      <w:ind w:firstLine="883"/>
      <w:jc w:val="center"/>
      <w:outlineLvl w:val="0"/>
    </w:pPr>
    <w:rPr>
      <w:b/>
      <w:sz w:val="44"/>
      <w:szCs w:val="44"/>
    </w:rPr>
  </w:style>
  <w:style w:type="paragraph" w:styleId="838" w:customStyle="1">
    <w:name w:val="首行缩进"/>
    <w:basedOn w:val="735"/>
    <w:uiPriority w:val="0"/>
    <w:qFormat/>
    <w:pPr>
      <w:ind w:firstLine="480"/>
    </w:pPr>
    <w:rPr>
      <w:rFonts w:eastAsia="楷体_GB2312"/>
      <w:sz w:val="26"/>
      <w:szCs w:val="20"/>
      <w:lang w:val="zh-CN"/>
    </w:rPr>
  </w:style>
  <w:style w:type="paragraph" w:styleId="839" w:customStyle="1">
    <w:name w:val="Other|1"/>
    <w:basedOn w:val="735"/>
    <w:uiPriority w:val="0"/>
    <w:qFormat/>
    <w:pPr>
      <w:spacing w:line="306" w:lineRule="exact"/>
    </w:pPr>
    <w:rPr>
      <w:rFonts w:ascii="宋体" w:hAnsi="宋体" w:cs="宋体"/>
      <w:sz w:val="20"/>
      <w:szCs w:val="20"/>
      <w:lang w:val="zh-TW" w:eastAsia="zh-TW" w:bidi="zh-TW"/>
    </w:rPr>
  </w:style>
  <w:style w:type="paragraph" w:styleId="840" w:customStyle="1">
    <w:name w:val="Plain Text1"/>
    <w:basedOn w:val="735"/>
    <w:uiPriority w:val="0"/>
    <w:qFormat/>
    <w:rPr>
      <w:rFonts w:hint="eastAsia" w:ascii="宋体" w:hAnsi="Courier New"/>
    </w:rPr>
  </w:style>
  <w:style w:type="paragraph" w:styleId="841" w:customStyle="1">
    <w:name w:val="正文2"/>
    <w:basedOn w:val="735"/>
    <w:uiPriority w:val="0"/>
    <w:qFormat/>
    <w:pPr>
      <w:ind w:firstLine="200"/>
      <w:spacing w:after="160" w:line="360" w:lineRule="auto"/>
    </w:pPr>
    <w:rPr>
      <w:rFonts w:ascii="Verdana" w:hAnsi="Verdana" w:eastAsia="黑体"/>
      <w:sz w:val="21"/>
      <w:szCs w:val="20"/>
      <w:lang w:eastAsia="en-US"/>
    </w:rPr>
  </w:style>
  <w:style w:type="paragraph" w:styleId="842" w:customStyle="1">
    <w:name w:val="图片格式"/>
    <w:basedOn w:val="735"/>
    <w:uiPriority w:val="0"/>
    <w:qFormat/>
    <w:pPr>
      <w:jc w:val="center"/>
      <w:tabs>
        <w:tab w:val="center" w:pos="4153" w:leader="none"/>
        <w:tab w:val="right" w:pos="8306" w:leader="none"/>
      </w:tabs>
    </w:pPr>
    <w:rPr>
      <w:rFonts w:cs="宋体"/>
      <w:szCs w:val="20"/>
    </w:rPr>
  </w:style>
  <w:style w:type="paragraph" w:styleId="843" w:customStyle="1">
    <w:name w:val="p17"/>
    <w:basedOn w:val="735"/>
    <w:uiPriority w:val="0"/>
    <w:qFormat/>
    <w:pPr>
      <w:jc w:val="both"/>
    </w:pPr>
    <w:rPr>
      <w:rFonts w:ascii="宋体" w:hAnsi="宋体" w:cs="宋体"/>
      <w:sz w:val="26"/>
      <w:szCs w:val="26"/>
    </w:rPr>
  </w:style>
  <w:style w:type="paragraph" w:styleId="844" w:customStyle="1">
    <w:name w:val="Char2"/>
    <w:basedOn w:val="750"/>
    <w:uiPriority w:val="0"/>
    <w:qFormat/>
    <w:pPr>
      <w:jc w:val="both"/>
      <w:spacing w:line="360" w:lineRule="auto"/>
      <w:widowControl w:val="off"/>
    </w:pPr>
    <w:rPr>
      <w:sz w:val="21"/>
    </w:rPr>
  </w:style>
  <w:style w:type="paragraph" w:styleId="845" w:customStyle="1">
    <w:name w:val="无间隔1"/>
    <w:uiPriority w:val="1"/>
    <w:qFormat/>
    <w:rPr>
      <w:rFonts w:ascii="微软雅黑." w:hAnsi="微软雅黑." w:eastAsia="宋体" w:cs="Times New Roman"/>
      <w:sz w:val="22"/>
      <w:szCs w:val="22"/>
      <w:lang w:val="en-US" w:eastAsia="zh-CN" w:bidi="ar-SA"/>
    </w:rPr>
  </w:style>
  <w:style w:type="paragraph" w:styleId="846" w:customStyle="1">
    <w:name w:val="方案正文"/>
    <w:basedOn w:val="735"/>
    <w:uiPriority w:val="0"/>
    <w:qFormat/>
    <w:pPr>
      <w:spacing w:line="440" w:lineRule="atLeast"/>
    </w:pPr>
  </w:style>
  <w:style w:type="paragraph" w:styleId="847" w:customStyle="1">
    <w:name w:val="*正文"/>
    <w:basedOn w:val="735"/>
    <w:uiPriority w:val="0"/>
    <w:qFormat/>
    <w:rPr>
      <w:rFonts w:ascii="宋体" w:hAnsi="宋体"/>
      <w:lang w:val="zh-CN"/>
    </w:rPr>
  </w:style>
  <w:style w:type="paragraph" w:styleId="848" w:customStyle="1">
    <w:name w:val="普通正文"/>
    <w:basedOn w:val="735"/>
    <w:uiPriority w:val="0"/>
    <w:qFormat/>
    <w:pPr>
      <w:ind w:firstLine="480"/>
      <w:spacing w:before="120" w:after="120" w:line="360" w:lineRule="auto"/>
    </w:pPr>
    <w:rPr>
      <w:rFonts w:ascii="Arial" w:hAnsi="Arial" w:cs="Arial"/>
    </w:rPr>
  </w:style>
  <w:style w:type="paragraph" w:styleId="849" w:customStyle="1">
    <w:name w:val="_Style 7"/>
    <w:basedOn w:val="752"/>
    <w:next w:val="769"/>
    <w:uiPriority w:val="0"/>
    <w:qFormat/>
    <w:pPr>
      <w:ind w:firstLine="420"/>
    </w:pPr>
    <w:rPr>
      <w:rFonts w:ascii="Calibri" w:hAnsi="Calibri"/>
    </w:rPr>
  </w:style>
  <w:style w:type="paragraph" w:styleId="850" w:customStyle="1">
    <w:name w:val="目录 51"/>
    <w:next w:val="735"/>
    <w:uiPriority w:val="0"/>
    <w:qFormat/>
    <w:pPr>
      <w:ind w:left="1275"/>
      <w:jc w:val="both"/>
    </w:pPr>
    <w:rPr>
      <w:rFonts w:ascii="Times New Roman" w:hAnsi="Times New Roman" w:eastAsia="宋体" w:cs="Times New Roman"/>
      <w:sz w:val="21"/>
      <w:lang w:val="en-US" w:eastAsia="zh-CN" w:bidi="ar-SA"/>
    </w:rPr>
  </w:style>
  <w:style w:type="paragraph" w:styleId="851" w:customStyle="1">
    <w:name w:val="列表段落11"/>
    <w:basedOn w:val="735"/>
    <w:uiPriority w:val="34"/>
    <w:qFormat/>
    <w:pPr>
      <w:ind w:firstLine="420"/>
    </w:pPr>
  </w:style>
  <w:style w:type="paragraph" w:styleId="852" w:customStyle="1">
    <w:name w:val="纯文本4"/>
    <w:basedOn w:val="735"/>
    <w:uiPriority w:val="0"/>
    <w:qFormat/>
    <w:pPr>
      <w:jc w:val="both"/>
      <w:widowControl w:val="off"/>
    </w:pPr>
    <w:rPr>
      <w:rFonts w:ascii="宋体" w:hAnsi="Courier New" w:eastAsia="楷体_GB2312"/>
      <w:sz w:val="26"/>
      <w:szCs w:val="20"/>
    </w:rPr>
  </w:style>
  <w:style w:type="paragraph" w:styleId="853">
    <w:name w:val="List Paragraph"/>
    <w:basedOn w:val="735"/>
    <w:uiPriority w:val="99"/>
    <w:qFormat/>
    <w:pPr>
      <w:ind w:firstLine="420"/>
    </w:pPr>
  </w:style>
  <w:style w:type="numbering" w:styleId="115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19</cp:revision>
  <dcterms:created xsi:type="dcterms:W3CDTF">2025-05-07T01:58:00Z</dcterms:created>
  <dcterms:modified xsi:type="dcterms:W3CDTF">2026-11-02T06:34:15Z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519076C9024248AC80D23E7E0372DB90_13</vt:lpwstr>
  </property>
  <property fmtid="{D5CDD505-2E9C-101B-9397-08002B2CF9AE}" pid="4" name="KSOTemplateDocerSaveRecord">
    <vt:lpwstr>eyJoZGlkIjoiNWI1MzFhYjQwMzQ3OWQwYzYxMTRhZmIwOThhMjJmYjUiLCJ1c2VySWQiOiI1NTg4NTI5ODUifQ==</vt:lpwstr>
  </property>
</Properties>
</file>