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9005A4">
      <w:pPr>
        <w:pStyle w:val="86"/>
        <w:rPr>
          <w:rFonts w:hint="eastAsia" w:ascii="宋体" w:hAnsi="宋体" w:cs="宋体"/>
          <w:color w:val="auto"/>
          <w:highlight w:val="none"/>
        </w:rPr>
      </w:pPr>
    </w:p>
    <w:p w14:paraId="435724AD">
      <w:pPr>
        <w:pStyle w:val="86"/>
        <w:rPr>
          <w:rFonts w:hint="eastAsia" w:ascii="宋体" w:hAnsi="宋体" w:cs="宋体"/>
          <w:color w:val="auto"/>
          <w:highlight w:val="none"/>
        </w:rPr>
      </w:pPr>
    </w:p>
    <w:p w14:paraId="4C2DA6E8">
      <w:pPr>
        <w:widowControl/>
        <w:shd w:val="clear" w:color="auto" w:fill="FFFFFF"/>
        <w:spacing w:line="360" w:lineRule="auto"/>
        <w:jc w:val="center"/>
        <w:rPr>
          <w:rFonts w:hint="eastAsia" w:ascii="宋体" w:hAnsi="宋体" w:cs="宋体"/>
          <w:b/>
          <w:color w:val="auto"/>
          <w:spacing w:val="-20"/>
          <w:sz w:val="48"/>
          <w:szCs w:val="48"/>
          <w:highlight w:val="none"/>
        </w:rPr>
      </w:pPr>
    </w:p>
    <w:p w14:paraId="01FCA027">
      <w:pPr>
        <w:widowControl/>
        <w:shd w:val="clear" w:color="auto" w:fill="FFFFFF"/>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sz w:val="56"/>
          <w:szCs w:val="56"/>
          <w:highlight w:val="none"/>
          <w:lang w:eastAsia="zh-CN"/>
        </w:rPr>
        <w:t>2026-2028年度新港北区绿化养护项目</w:t>
      </w:r>
    </w:p>
    <w:p w14:paraId="67FDD540">
      <w:pPr>
        <w:pStyle w:val="18"/>
        <w:rPr>
          <w:color w:val="auto"/>
          <w:highlight w:val="none"/>
        </w:rPr>
      </w:pPr>
    </w:p>
    <w:p w14:paraId="536E7B7A">
      <w:pPr>
        <w:pStyle w:val="18"/>
        <w:jc w:val="both"/>
        <w:rPr>
          <w:color w:val="auto"/>
          <w:highlight w:val="none"/>
        </w:rPr>
      </w:pPr>
    </w:p>
    <w:p w14:paraId="1B9F879E">
      <w:pPr>
        <w:rPr>
          <w:color w:val="auto"/>
          <w:highlight w:val="none"/>
        </w:rPr>
      </w:pPr>
    </w:p>
    <w:p w14:paraId="11E74DF9">
      <w:pPr>
        <w:rPr>
          <w:color w:val="auto"/>
          <w:highlight w:val="none"/>
        </w:rPr>
      </w:pPr>
    </w:p>
    <w:p w14:paraId="1B366696">
      <w:pPr>
        <w:pStyle w:val="41"/>
        <w:rPr>
          <w:rFonts w:hint="eastAsia" w:cs="宋体"/>
          <w:color w:val="auto"/>
          <w:highlight w:val="none"/>
        </w:rPr>
      </w:pPr>
    </w:p>
    <w:p w14:paraId="4894B3A5">
      <w:pPr>
        <w:widowControl/>
        <w:spacing w:line="360" w:lineRule="auto"/>
        <w:jc w:val="center"/>
        <w:rPr>
          <w:rFonts w:hint="eastAsia" w:ascii="宋体" w:hAnsi="宋体" w:cs="宋体"/>
          <w:b/>
          <w:color w:val="auto"/>
          <w:kern w:val="0"/>
          <w:sz w:val="72"/>
          <w:szCs w:val="72"/>
          <w:highlight w:val="none"/>
        </w:rPr>
      </w:pPr>
      <w:r>
        <w:rPr>
          <w:rFonts w:hint="eastAsia" w:ascii="宋体" w:hAnsi="宋体" w:cs="宋体"/>
          <w:b/>
          <w:color w:val="auto"/>
          <w:kern w:val="0"/>
          <w:sz w:val="72"/>
          <w:szCs w:val="72"/>
          <w:highlight w:val="none"/>
        </w:rPr>
        <w:t>招标文件</w:t>
      </w:r>
    </w:p>
    <w:p w14:paraId="23EC45B0">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eastAsia="宋体" w:cs="宋体"/>
          <w:b/>
          <w:color w:val="auto"/>
          <w:kern w:val="0"/>
          <w:sz w:val="36"/>
          <w:szCs w:val="36"/>
          <w:highlight w:val="none"/>
        </w:rPr>
        <w:t>项目编号：</w:t>
      </w:r>
      <w:r>
        <w:rPr>
          <w:rFonts w:hint="eastAsia" w:ascii="宋体" w:hAnsi="宋体" w:cs="宋体"/>
          <w:b/>
          <w:color w:val="auto"/>
          <w:kern w:val="0"/>
          <w:sz w:val="36"/>
          <w:szCs w:val="36"/>
          <w:highlight w:val="none"/>
          <w:lang w:eastAsia="zh-CN"/>
        </w:rPr>
        <w:t>JSZC-320113-ZXTD-G2026-0014</w:t>
      </w:r>
    </w:p>
    <w:p w14:paraId="3BD90DFC">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lang w:eastAsia="zh-CN"/>
        </w:rPr>
        <w:t>（</w:t>
      </w:r>
      <w:r>
        <w:rPr>
          <w:rFonts w:hint="eastAsia" w:ascii="宋体" w:hAnsi="宋体" w:cs="宋体"/>
          <w:b/>
          <w:color w:val="auto"/>
          <w:kern w:val="0"/>
          <w:sz w:val="36"/>
          <w:szCs w:val="36"/>
          <w:highlight w:val="none"/>
          <w:lang w:val="en-US" w:eastAsia="zh-CN"/>
        </w:rPr>
        <w:t>服务</w:t>
      </w:r>
      <w:r>
        <w:rPr>
          <w:rFonts w:hint="eastAsia" w:ascii="宋体" w:hAnsi="宋体" w:cs="宋体"/>
          <w:b/>
          <w:color w:val="auto"/>
          <w:kern w:val="0"/>
          <w:sz w:val="36"/>
          <w:szCs w:val="36"/>
          <w:highlight w:val="none"/>
          <w:lang w:eastAsia="zh-CN"/>
        </w:rPr>
        <w:t>类项目，</w:t>
      </w:r>
      <w:r>
        <w:rPr>
          <w:rFonts w:hint="eastAsia" w:ascii="宋体" w:hAnsi="宋体" w:cs="宋体"/>
          <w:b/>
          <w:color w:val="auto"/>
          <w:kern w:val="0"/>
          <w:sz w:val="36"/>
          <w:szCs w:val="36"/>
          <w:highlight w:val="none"/>
          <w:lang w:val="en-US" w:eastAsia="zh-CN"/>
        </w:rPr>
        <w:t>非</w:t>
      </w:r>
      <w:r>
        <w:rPr>
          <w:rFonts w:hint="eastAsia" w:ascii="宋体" w:hAnsi="宋体" w:cs="宋体"/>
          <w:b/>
          <w:color w:val="auto"/>
          <w:kern w:val="0"/>
          <w:sz w:val="36"/>
          <w:szCs w:val="36"/>
          <w:highlight w:val="none"/>
          <w:lang w:eastAsia="zh-CN"/>
        </w:rPr>
        <w:t>专门面向中小企业）</w:t>
      </w:r>
    </w:p>
    <w:p w14:paraId="37EF5FAF">
      <w:pPr>
        <w:widowControl/>
        <w:spacing w:line="360" w:lineRule="auto"/>
        <w:jc w:val="center"/>
        <w:rPr>
          <w:rFonts w:hint="eastAsia" w:ascii="宋体" w:hAnsi="宋体" w:cs="宋体"/>
          <w:b/>
          <w:color w:val="auto"/>
          <w:kern w:val="0"/>
          <w:sz w:val="72"/>
          <w:szCs w:val="72"/>
          <w:highlight w:val="none"/>
        </w:rPr>
      </w:pPr>
    </w:p>
    <w:p w14:paraId="70C716A1">
      <w:pPr>
        <w:widowControl/>
        <w:spacing w:line="360" w:lineRule="auto"/>
        <w:jc w:val="center"/>
        <w:rPr>
          <w:rFonts w:hint="eastAsia" w:ascii="宋体" w:hAnsi="宋体" w:cs="宋体"/>
          <w:b/>
          <w:color w:val="auto"/>
          <w:kern w:val="0"/>
          <w:sz w:val="72"/>
          <w:szCs w:val="72"/>
          <w:highlight w:val="none"/>
        </w:rPr>
      </w:pPr>
    </w:p>
    <w:p w14:paraId="6B2F254A">
      <w:pPr>
        <w:widowControl/>
        <w:spacing w:line="360" w:lineRule="auto"/>
        <w:jc w:val="center"/>
        <w:rPr>
          <w:rFonts w:hint="eastAsia" w:ascii="宋体" w:hAnsi="宋体" w:cs="宋体"/>
          <w:b/>
          <w:color w:val="auto"/>
          <w:kern w:val="0"/>
          <w:sz w:val="72"/>
          <w:szCs w:val="72"/>
          <w:highlight w:val="none"/>
        </w:rPr>
      </w:pPr>
    </w:p>
    <w:p w14:paraId="5EF8F815">
      <w:pPr>
        <w:pStyle w:val="18"/>
        <w:rPr>
          <w:color w:val="auto"/>
          <w:highlight w:val="none"/>
        </w:rPr>
      </w:pPr>
    </w:p>
    <w:p w14:paraId="2C48CAC7">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采购人：</w:t>
      </w:r>
      <w:r>
        <w:rPr>
          <w:rFonts w:hint="eastAsia" w:ascii="宋体" w:hAnsi="宋体" w:cs="宋体"/>
          <w:b/>
          <w:color w:val="auto"/>
          <w:kern w:val="0"/>
          <w:sz w:val="36"/>
          <w:szCs w:val="36"/>
          <w:highlight w:val="none"/>
          <w:lang w:eastAsia="zh-CN"/>
        </w:rPr>
        <w:t>南京市栖霞区城市管理局</w:t>
      </w:r>
    </w:p>
    <w:p w14:paraId="176F2F75">
      <w:pPr>
        <w:widowControl/>
        <w:spacing w:line="360" w:lineRule="auto"/>
        <w:jc w:val="center"/>
        <w:rPr>
          <w:rFonts w:hint="eastAsia" w:ascii="宋体" w:hAnsi="宋体" w:eastAsia="宋体" w:cs="宋体"/>
          <w:b/>
          <w:color w:val="auto"/>
          <w:kern w:val="0"/>
          <w:sz w:val="36"/>
          <w:szCs w:val="36"/>
          <w:highlight w:val="none"/>
          <w:lang w:eastAsia="zh-CN"/>
        </w:rPr>
      </w:pPr>
      <w:r>
        <w:rPr>
          <w:rFonts w:hint="eastAsia" w:ascii="宋体" w:hAnsi="宋体" w:cs="宋体"/>
          <w:b/>
          <w:color w:val="auto"/>
          <w:kern w:val="0"/>
          <w:sz w:val="36"/>
          <w:szCs w:val="36"/>
          <w:highlight w:val="none"/>
        </w:rPr>
        <w:t>采购代理机构：</w:t>
      </w:r>
      <w:r>
        <w:rPr>
          <w:rFonts w:hint="eastAsia" w:ascii="宋体" w:hAnsi="宋体" w:cs="宋体"/>
          <w:b/>
          <w:color w:val="auto"/>
          <w:kern w:val="0"/>
          <w:sz w:val="36"/>
          <w:szCs w:val="36"/>
          <w:highlight w:val="none"/>
          <w:lang w:eastAsia="zh-CN"/>
        </w:rPr>
        <w:t>江苏泰鼎工程咨询有限公司</w:t>
      </w:r>
    </w:p>
    <w:p w14:paraId="6CDFADED">
      <w:pPr>
        <w:widowControl/>
        <w:shd w:val="clear" w:color="auto" w:fill="FFFFFF"/>
        <w:spacing w:line="360" w:lineRule="auto"/>
        <w:jc w:val="center"/>
        <w:rPr>
          <w:rFonts w:hint="eastAsia" w:ascii="宋体" w:hAnsi="宋体" w:cs="宋体"/>
          <w:b/>
          <w:color w:val="auto"/>
          <w:kern w:val="0"/>
          <w:sz w:val="36"/>
          <w:szCs w:val="36"/>
          <w:highlight w:val="none"/>
        </w:rPr>
      </w:pPr>
      <w:r>
        <w:rPr>
          <w:rFonts w:hint="eastAsia" w:ascii="宋体" w:hAnsi="宋体" w:cs="宋体"/>
          <w:b/>
          <w:color w:val="auto"/>
          <w:kern w:val="0"/>
          <w:sz w:val="36"/>
          <w:szCs w:val="36"/>
          <w:highlight w:val="none"/>
        </w:rPr>
        <w:t>202</w:t>
      </w:r>
      <w:r>
        <w:rPr>
          <w:rFonts w:hint="eastAsia" w:ascii="宋体" w:hAnsi="宋体" w:cs="宋体"/>
          <w:b/>
          <w:color w:val="auto"/>
          <w:kern w:val="0"/>
          <w:sz w:val="36"/>
          <w:szCs w:val="36"/>
          <w:highlight w:val="none"/>
          <w:lang w:val="en-US" w:eastAsia="zh-CN"/>
        </w:rPr>
        <w:t>6</w:t>
      </w:r>
      <w:r>
        <w:rPr>
          <w:rFonts w:hint="eastAsia" w:ascii="宋体" w:hAnsi="宋体" w:cs="宋体"/>
          <w:b/>
          <w:color w:val="auto"/>
          <w:kern w:val="0"/>
          <w:sz w:val="36"/>
          <w:szCs w:val="36"/>
          <w:highlight w:val="none"/>
        </w:rPr>
        <w:t>年</w:t>
      </w:r>
      <w:r>
        <w:rPr>
          <w:rFonts w:hint="eastAsia" w:ascii="宋体" w:hAnsi="宋体" w:cs="宋体"/>
          <w:b/>
          <w:color w:val="auto"/>
          <w:kern w:val="0"/>
          <w:sz w:val="36"/>
          <w:szCs w:val="36"/>
          <w:highlight w:val="none"/>
          <w:lang w:val="en-US" w:eastAsia="zh-CN"/>
        </w:rPr>
        <w:t>11</w:t>
      </w:r>
      <w:r>
        <w:rPr>
          <w:rFonts w:hint="eastAsia" w:ascii="宋体" w:hAnsi="宋体" w:cs="宋体"/>
          <w:b/>
          <w:color w:val="auto"/>
          <w:kern w:val="0"/>
          <w:sz w:val="36"/>
          <w:szCs w:val="36"/>
          <w:highlight w:val="none"/>
        </w:rPr>
        <w:t>月</w:t>
      </w:r>
    </w:p>
    <w:p w14:paraId="011DBD34">
      <w:pPr>
        <w:pStyle w:val="165"/>
        <w:jc w:val="center"/>
        <w:rPr>
          <w:rFonts w:hint="eastAsia" w:ascii="宋体" w:hAnsi="宋体" w:cs="宋体"/>
          <w:color w:val="auto"/>
          <w:sz w:val="36"/>
          <w:szCs w:val="36"/>
          <w:highlight w:val="none"/>
          <w:lang w:val="zh-CN"/>
        </w:rPr>
        <w:sectPr>
          <w:footerReference r:id="rId3"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cols w:space="720" w:num="1"/>
        </w:sectPr>
      </w:pPr>
    </w:p>
    <w:p w14:paraId="3EBA64AA">
      <w:pPr>
        <w:pStyle w:val="165"/>
        <w:jc w:val="center"/>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目录</w:t>
      </w:r>
    </w:p>
    <w:p w14:paraId="53CF0CF8">
      <w:pPr>
        <w:pStyle w:val="32"/>
        <w:tabs>
          <w:tab w:val="right" w:leader="dot" w:pos="8296"/>
        </w:tabs>
        <w:rPr>
          <w:rFonts w:hint="eastAsia" w:ascii="宋体" w:hAnsi="宋体" w:cs="宋体"/>
          <w:color w:val="auto"/>
          <w:sz w:val="28"/>
          <w:szCs w:val="28"/>
          <w:highlight w:val="none"/>
        </w:rPr>
      </w:pPr>
    </w:p>
    <w:p w14:paraId="54D52AB3">
      <w:pPr>
        <w:pStyle w:val="32"/>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sz w:val="24"/>
          <w:highlight w:val="none"/>
        </w:rPr>
        <w:fldChar w:fldCharType="begin"/>
      </w:r>
      <w:r>
        <w:rPr>
          <w:rFonts w:hint="eastAsia" w:ascii="宋体" w:hAnsi="宋体" w:cs="宋体"/>
          <w:color w:val="auto"/>
          <w:sz w:val="24"/>
          <w:highlight w:val="none"/>
        </w:rPr>
        <w:instrText xml:space="preserve">TOC \o "1-1" \h \u </w:instrText>
      </w:r>
      <w:r>
        <w:rPr>
          <w:rFonts w:hint="eastAsia" w:ascii="宋体" w:hAnsi="宋体" w:cs="宋体"/>
          <w:color w:val="auto"/>
          <w:sz w:val="24"/>
          <w:highlight w:val="none"/>
        </w:rPr>
        <w:fldChar w:fldCharType="separate"/>
      </w: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_Toc22758 </w:instrText>
      </w:r>
      <w:r>
        <w:rPr>
          <w:rFonts w:hint="eastAsia" w:ascii="宋体" w:hAnsi="宋体" w:cs="宋体"/>
          <w:color w:val="auto"/>
          <w:highlight w:val="none"/>
        </w:rPr>
        <w:fldChar w:fldCharType="separate"/>
      </w:r>
      <w:r>
        <w:rPr>
          <w:rFonts w:hint="eastAsia" w:ascii="宋体" w:hAnsi="宋体" w:cs="宋体"/>
          <w:color w:val="auto"/>
          <w:kern w:val="0"/>
          <w:szCs w:val="21"/>
          <w:highlight w:val="none"/>
        </w:rPr>
        <w:t xml:space="preserve">第一章 </w:t>
      </w:r>
      <w:r>
        <w:rPr>
          <w:rFonts w:hint="eastAsia" w:ascii="宋体" w:hAnsi="宋体" w:cs="宋体"/>
          <w:color w:val="auto"/>
          <w:highlight w:val="none"/>
        </w:rPr>
        <w:t>招标公告</w:t>
      </w:r>
      <w:r>
        <w:rPr>
          <w:color w:val="auto"/>
          <w:highlight w:val="none"/>
        </w:rPr>
        <w:tab/>
      </w:r>
      <w:r>
        <w:rPr>
          <w:color w:val="auto"/>
          <w:highlight w:val="none"/>
        </w:rPr>
        <w:fldChar w:fldCharType="begin"/>
      </w:r>
      <w:r>
        <w:rPr>
          <w:color w:val="auto"/>
          <w:highlight w:val="none"/>
        </w:rPr>
        <w:instrText xml:space="preserve"> PAGEREF _Toc22758 \h </w:instrText>
      </w:r>
      <w:r>
        <w:rPr>
          <w:color w:val="auto"/>
          <w:highlight w:val="none"/>
        </w:rPr>
        <w:fldChar w:fldCharType="separate"/>
      </w:r>
      <w:r>
        <w:rPr>
          <w:color w:val="auto"/>
          <w:highlight w:val="none"/>
        </w:rPr>
        <w:t>2</w:t>
      </w:r>
      <w:r>
        <w:rPr>
          <w:color w:val="auto"/>
          <w:highlight w:val="none"/>
        </w:rPr>
        <w:fldChar w:fldCharType="end"/>
      </w:r>
      <w:r>
        <w:rPr>
          <w:rFonts w:hint="eastAsia" w:ascii="宋体" w:hAnsi="宋体" w:cs="宋体"/>
          <w:color w:val="auto"/>
          <w:highlight w:val="none"/>
        </w:rPr>
        <w:fldChar w:fldCharType="end"/>
      </w:r>
    </w:p>
    <w:p w14:paraId="13FF5D08">
      <w:pPr>
        <w:pStyle w:val="32"/>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_Toc7039 </w:instrText>
      </w:r>
      <w:r>
        <w:rPr>
          <w:rFonts w:hint="eastAsia" w:ascii="宋体" w:hAnsi="宋体" w:cs="宋体"/>
          <w:color w:val="auto"/>
          <w:highlight w:val="none"/>
        </w:rPr>
        <w:fldChar w:fldCharType="separate"/>
      </w:r>
      <w:r>
        <w:rPr>
          <w:rFonts w:hint="eastAsia" w:ascii="宋体" w:hAnsi="宋体" w:cs="宋体"/>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_Toc7039 \h </w:instrText>
      </w:r>
      <w:r>
        <w:rPr>
          <w:color w:val="auto"/>
          <w:highlight w:val="none"/>
        </w:rPr>
        <w:fldChar w:fldCharType="separate"/>
      </w:r>
      <w:r>
        <w:rPr>
          <w:color w:val="auto"/>
          <w:highlight w:val="none"/>
        </w:rPr>
        <w:t>6</w:t>
      </w:r>
      <w:r>
        <w:rPr>
          <w:color w:val="auto"/>
          <w:highlight w:val="none"/>
        </w:rPr>
        <w:fldChar w:fldCharType="end"/>
      </w:r>
      <w:r>
        <w:rPr>
          <w:rFonts w:hint="eastAsia" w:ascii="宋体" w:hAnsi="宋体" w:cs="宋体"/>
          <w:color w:val="auto"/>
          <w:highlight w:val="none"/>
        </w:rPr>
        <w:fldChar w:fldCharType="end"/>
      </w:r>
    </w:p>
    <w:p w14:paraId="57EBC990">
      <w:pPr>
        <w:pStyle w:val="32"/>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_Toc32675 </w:instrText>
      </w:r>
      <w:r>
        <w:rPr>
          <w:rFonts w:hint="eastAsia" w:ascii="宋体" w:hAnsi="宋体" w:cs="宋体"/>
          <w:color w:val="auto"/>
          <w:highlight w:val="none"/>
        </w:rPr>
        <w:fldChar w:fldCharType="separate"/>
      </w:r>
      <w:r>
        <w:rPr>
          <w:rFonts w:hint="eastAsia" w:ascii="宋体" w:hAnsi="宋体" w:cs="宋体"/>
          <w:color w:val="auto"/>
          <w:highlight w:val="none"/>
        </w:rPr>
        <w:t>第三章 评标标准</w:t>
      </w:r>
      <w:r>
        <w:rPr>
          <w:color w:val="auto"/>
          <w:highlight w:val="none"/>
        </w:rPr>
        <w:tab/>
      </w:r>
      <w:r>
        <w:rPr>
          <w:rFonts w:hint="eastAsia"/>
          <w:color w:val="auto"/>
          <w:highlight w:val="none"/>
          <w:lang w:val="en-US" w:eastAsia="zh-CN"/>
        </w:rPr>
        <w:t>1</w:t>
      </w:r>
      <w:r>
        <w:rPr>
          <w:rFonts w:hint="eastAsia" w:ascii="宋体" w:hAnsi="宋体" w:cs="宋体"/>
          <w:color w:val="auto"/>
          <w:highlight w:val="none"/>
        </w:rPr>
        <w:fldChar w:fldCharType="end"/>
      </w:r>
      <w:r>
        <w:rPr>
          <w:rFonts w:hint="eastAsia" w:ascii="宋体" w:hAnsi="宋体" w:cs="宋体"/>
          <w:color w:val="auto"/>
          <w:highlight w:val="none"/>
          <w:lang w:val="en-US" w:eastAsia="zh-CN"/>
        </w:rPr>
        <w:t>9</w:t>
      </w:r>
    </w:p>
    <w:p w14:paraId="3BFF00C9">
      <w:pPr>
        <w:pStyle w:val="32"/>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rFonts w:hint="eastAsia" w:eastAsia="宋体"/>
          <w:color w:val="auto"/>
          <w:highlight w:val="none"/>
          <w:lang w:val="en-US" w:eastAsia="zh-CN"/>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_Toc25308 </w:instrText>
      </w:r>
      <w:r>
        <w:rPr>
          <w:rFonts w:hint="eastAsia" w:ascii="宋体" w:hAnsi="宋体" w:cs="宋体"/>
          <w:color w:val="auto"/>
          <w:highlight w:val="none"/>
        </w:rPr>
        <w:fldChar w:fldCharType="separate"/>
      </w:r>
      <w:r>
        <w:rPr>
          <w:rFonts w:hint="eastAsia" w:ascii="宋体" w:hAnsi="宋体" w:cs="宋体"/>
          <w:color w:val="auto"/>
          <w:highlight w:val="none"/>
        </w:rPr>
        <w:t>第四章 采购需求</w:t>
      </w:r>
      <w:r>
        <w:rPr>
          <w:color w:val="auto"/>
          <w:highlight w:val="none"/>
        </w:rPr>
        <w:tab/>
      </w:r>
      <w:r>
        <w:rPr>
          <w:rFonts w:hint="eastAsia"/>
          <w:color w:val="auto"/>
          <w:highlight w:val="none"/>
          <w:lang w:val="en-US" w:eastAsia="zh-CN"/>
        </w:rPr>
        <w:t>2</w:t>
      </w:r>
      <w:r>
        <w:rPr>
          <w:rFonts w:hint="eastAsia" w:ascii="宋体" w:hAnsi="宋体" w:cs="宋体"/>
          <w:color w:val="auto"/>
          <w:highlight w:val="none"/>
        </w:rPr>
        <w:fldChar w:fldCharType="end"/>
      </w:r>
      <w:r>
        <w:rPr>
          <w:rFonts w:hint="eastAsia" w:ascii="宋体" w:hAnsi="宋体" w:cs="宋体"/>
          <w:color w:val="auto"/>
          <w:highlight w:val="none"/>
          <w:lang w:val="en-US" w:eastAsia="zh-CN"/>
        </w:rPr>
        <w:t>5</w:t>
      </w:r>
    </w:p>
    <w:p w14:paraId="61E0CD81">
      <w:pPr>
        <w:pStyle w:val="32"/>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_Toc1719 </w:instrText>
      </w:r>
      <w:r>
        <w:rPr>
          <w:rFonts w:hint="eastAsia" w:ascii="宋体" w:hAnsi="宋体" w:cs="宋体"/>
          <w:color w:val="auto"/>
          <w:highlight w:val="none"/>
        </w:rPr>
        <w:fldChar w:fldCharType="separate"/>
      </w:r>
      <w:r>
        <w:rPr>
          <w:rFonts w:hint="eastAsia" w:ascii="宋体" w:hAnsi="宋体" w:cs="宋体"/>
          <w:color w:val="auto"/>
          <w:highlight w:val="none"/>
        </w:rPr>
        <w:t>第五章 合同主要条款及格式</w:t>
      </w:r>
      <w:r>
        <w:rPr>
          <w:color w:val="auto"/>
          <w:highlight w:val="none"/>
        </w:rPr>
        <w:tab/>
      </w:r>
      <w:r>
        <w:rPr>
          <w:color w:val="auto"/>
          <w:highlight w:val="none"/>
        </w:rPr>
        <w:fldChar w:fldCharType="begin"/>
      </w:r>
      <w:r>
        <w:rPr>
          <w:color w:val="auto"/>
          <w:highlight w:val="none"/>
        </w:rPr>
        <w:instrText xml:space="preserve"> PAGEREF _Toc1719 \h </w:instrText>
      </w:r>
      <w:r>
        <w:rPr>
          <w:color w:val="auto"/>
          <w:highlight w:val="none"/>
        </w:rPr>
        <w:fldChar w:fldCharType="separate"/>
      </w:r>
      <w:r>
        <w:rPr>
          <w:color w:val="auto"/>
          <w:highlight w:val="none"/>
        </w:rPr>
        <w:t>35</w:t>
      </w:r>
      <w:r>
        <w:rPr>
          <w:color w:val="auto"/>
          <w:highlight w:val="none"/>
        </w:rPr>
        <w:fldChar w:fldCharType="end"/>
      </w:r>
      <w:r>
        <w:rPr>
          <w:rFonts w:hint="eastAsia" w:ascii="宋体" w:hAnsi="宋体" w:cs="宋体"/>
          <w:color w:val="auto"/>
          <w:highlight w:val="none"/>
        </w:rPr>
        <w:fldChar w:fldCharType="end"/>
      </w:r>
    </w:p>
    <w:p w14:paraId="79DE7DFB">
      <w:pPr>
        <w:pStyle w:val="32"/>
        <w:keepNext w:val="0"/>
        <w:keepLines w:val="0"/>
        <w:pageBreakBefore w:val="0"/>
        <w:widowControl w:val="0"/>
        <w:tabs>
          <w:tab w:val="right" w:leader="dot" w:pos="9638"/>
        </w:tabs>
        <w:kinsoku/>
        <w:wordWrap/>
        <w:overflowPunct/>
        <w:topLinePunct w:val="0"/>
        <w:autoSpaceDE/>
        <w:autoSpaceDN/>
        <w:bidi w:val="0"/>
        <w:adjustRightInd/>
        <w:snapToGrid/>
        <w:spacing w:line="360" w:lineRule="auto"/>
        <w:textAlignment w:val="auto"/>
        <w:rPr>
          <w:color w:val="auto"/>
          <w:highlight w:val="none"/>
        </w:rPr>
      </w:pPr>
      <w:r>
        <w:rPr>
          <w:rFonts w:hint="eastAsia" w:ascii="宋体" w:hAnsi="宋体" w:cs="宋体"/>
          <w:color w:val="auto"/>
          <w:highlight w:val="none"/>
        </w:rPr>
        <w:fldChar w:fldCharType="begin"/>
      </w:r>
      <w:r>
        <w:rPr>
          <w:rFonts w:hint="eastAsia" w:ascii="宋体" w:hAnsi="宋体" w:cs="宋体"/>
          <w:color w:val="auto"/>
          <w:highlight w:val="none"/>
        </w:rPr>
        <w:instrText xml:space="preserve"> HYPERLINK \l _Toc13466 </w:instrText>
      </w:r>
      <w:r>
        <w:rPr>
          <w:rFonts w:hint="eastAsia" w:ascii="宋体" w:hAnsi="宋体" w:cs="宋体"/>
          <w:color w:val="auto"/>
          <w:highlight w:val="none"/>
        </w:rPr>
        <w:fldChar w:fldCharType="separate"/>
      </w:r>
      <w:r>
        <w:rPr>
          <w:rFonts w:hint="eastAsia" w:ascii="宋体" w:hAnsi="宋体" w:cs="宋体"/>
          <w:color w:val="auto"/>
          <w:highlight w:val="none"/>
        </w:rPr>
        <w:t>第六章 投标文件格式及附件</w:t>
      </w:r>
      <w:r>
        <w:rPr>
          <w:color w:val="auto"/>
          <w:highlight w:val="none"/>
        </w:rPr>
        <w:tab/>
      </w:r>
      <w:r>
        <w:rPr>
          <w:color w:val="auto"/>
          <w:highlight w:val="none"/>
        </w:rPr>
        <w:fldChar w:fldCharType="begin"/>
      </w:r>
      <w:r>
        <w:rPr>
          <w:color w:val="auto"/>
          <w:highlight w:val="none"/>
        </w:rPr>
        <w:instrText xml:space="preserve"> PAGEREF _Toc13466 \h </w:instrText>
      </w:r>
      <w:r>
        <w:rPr>
          <w:color w:val="auto"/>
          <w:highlight w:val="none"/>
        </w:rPr>
        <w:fldChar w:fldCharType="separate"/>
      </w:r>
      <w:r>
        <w:rPr>
          <w:color w:val="auto"/>
          <w:highlight w:val="none"/>
        </w:rPr>
        <w:t>51</w:t>
      </w:r>
      <w:r>
        <w:rPr>
          <w:color w:val="auto"/>
          <w:highlight w:val="none"/>
        </w:rPr>
        <w:fldChar w:fldCharType="end"/>
      </w:r>
      <w:r>
        <w:rPr>
          <w:rFonts w:hint="eastAsia" w:ascii="宋体" w:hAnsi="宋体" w:cs="宋体"/>
          <w:color w:val="auto"/>
          <w:highlight w:val="none"/>
        </w:rPr>
        <w:fldChar w:fldCharType="end"/>
      </w:r>
    </w:p>
    <w:p w14:paraId="69FC9CAC">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cs="宋体"/>
          <w:color w:val="auto"/>
          <w:sz w:val="28"/>
          <w:szCs w:val="28"/>
          <w:highlight w:val="none"/>
        </w:rPr>
      </w:pPr>
      <w:r>
        <w:rPr>
          <w:rFonts w:hint="eastAsia" w:ascii="宋体" w:hAnsi="宋体" w:cs="宋体"/>
          <w:color w:val="auto"/>
          <w:highlight w:val="none"/>
        </w:rPr>
        <w:fldChar w:fldCharType="end"/>
      </w:r>
    </w:p>
    <w:p w14:paraId="56522E9A">
      <w:pPr>
        <w:widowControl/>
        <w:shd w:val="clear" w:color="auto" w:fill="FFFFFF"/>
        <w:spacing w:line="360" w:lineRule="auto"/>
        <w:jc w:val="center"/>
        <w:rPr>
          <w:rFonts w:hint="eastAsia" w:ascii="宋体" w:hAnsi="宋体" w:cs="宋体"/>
          <w:b/>
          <w:color w:val="auto"/>
          <w:kern w:val="0"/>
          <w:sz w:val="36"/>
          <w:szCs w:val="36"/>
          <w:highlight w:val="none"/>
        </w:rPr>
      </w:pPr>
    </w:p>
    <w:p w14:paraId="2487732A">
      <w:pPr>
        <w:pStyle w:val="2"/>
        <w:rPr>
          <w:rFonts w:hint="eastAsia" w:ascii="宋体" w:hAnsi="宋体" w:cs="宋体"/>
          <w:color w:val="auto"/>
          <w:kern w:val="0"/>
          <w:szCs w:val="21"/>
          <w:highlight w:val="none"/>
        </w:rPr>
        <w:sectPr>
          <w:footerReference r:id="rId4" w:type="default"/>
          <w:endnotePr>
            <w:numFmt w:val="decimal"/>
          </w:endnotePr>
          <w:pgSz w:w="11906" w:h="16838"/>
          <w:pgMar w:top="850" w:right="850" w:bottom="850" w:left="1418" w:header="227" w:footer="720" w:gutter="0"/>
          <w:pgBorders>
            <w:top w:val="none" w:sz="0" w:space="0"/>
            <w:left w:val="none" w:sz="0" w:space="0"/>
            <w:bottom w:val="none" w:sz="0" w:space="0"/>
            <w:right w:val="none" w:sz="0" w:space="0"/>
          </w:pgBorders>
          <w:pgNumType w:fmt="decimal" w:start="1"/>
          <w:cols w:space="720" w:num="1"/>
        </w:sectPr>
      </w:pPr>
      <w:bookmarkStart w:id="0" w:name="_Toc481057143"/>
      <w:bookmarkStart w:id="1" w:name="_Hlk54715254"/>
      <w:bookmarkStart w:id="2" w:name="_Hlk52290185"/>
    </w:p>
    <w:p w14:paraId="3CB4A9C7">
      <w:pPr>
        <w:pStyle w:val="2"/>
        <w:spacing w:line="360" w:lineRule="auto"/>
        <w:rPr>
          <w:rFonts w:hint="eastAsia" w:ascii="宋体" w:hAnsi="宋体" w:cs="宋体"/>
          <w:color w:val="auto"/>
          <w:kern w:val="0"/>
          <w:szCs w:val="21"/>
          <w:highlight w:val="none"/>
        </w:rPr>
      </w:pPr>
      <w:r>
        <w:rPr>
          <w:rFonts w:hint="eastAsia" w:ascii="宋体" w:hAnsi="宋体" w:cs="宋体"/>
          <w:color w:val="auto"/>
          <w:highlight w:val="none"/>
          <w:lang w:val="en-US" w:eastAsia="zh-CN"/>
        </w:rPr>
        <w:t xml:space="preserve"> </w:t>
      </w:r>
      <w:bookmarkStart w:id="3" w:name="_Toc22758"/>
      <w:r>
        <w:rPr>
          <w:rFonts w:hint="eastAsia" w:ascii="宋体" w:hAnsi="宋体" w:cs="宋体"/>
          <w:color w:val="auto"/>
          <w:highlight w:val="none"/>
        </w:rPr>
        <w:t>招标公告</w:t>
      </w:r>
      <w:bookmarkEnd w:id="0"/>
      <w:bookmarkEnd w:id="3"/>
    </w:p>
    <w:p w14:paraId="321F63B6">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b/>
          <w:bCs/>
          <w:color w:val="auto"/>
          <w:spacing w:val="8"/>
          <w:kern w:val="0"/>
          <w:szCs w:val="21"/>
          <w:highlight w:val="none"/>
        </w:rPr>
      </w:pPr>
      <w:r>
        <w:rPr>
          <w:rFonts w:hint="eastAsia" w:ascii="宋体" w:hAnsi="宋体" w:cs="宋体"/>
          <w:b/>
          <w:bCs/>
          <w:color w:val="auto"/>
          <w:spacing w:val="8"/>
          <w:kern w:val="0"/>
          <w:szCs w:val="21"/>
          <w:highlight w:val="none"/>
        </w:rPr>
        <w:t>项目概况</w:t>
      </w:r>
    </w:p>
    <w:p w14:paraId="1750E26F">
      <w:pPr>
        <w:widowControl/>
        <w:pBdr>
          <w:top w:val="single" w:color="auto" w:sz="4" w:space="1"/>
          <w:left w:val="single" w:color="auto" w:sz="4" w:space="4"/>
          <w:bottom w:val="single" w:color="auto" w:sz="4" w:space="1"/>
          <w:right w:val="single" w:color="auto" w:sz="4" w:space="4"/>
        </w:pBdr>
        <w:spacing w:line="360" w:lineRule="auto"/>
        <w:ind w:firstLine="369"/>
        <w:rPr>
          <w:rFonts w:hint="eastAsia" w:ascii="宋体" w:hAnsi="宋体" w:cs="宋体"/>
          <w:color w:val="auto"/>
          <w:kern w:val="0"/>
          <w:szCs w:val="21"/>
          <w:highlight w:val="none"/>
        </w:rPr>
      </w:pPr>
      <w:r>
        <w:rPr>
          <w:rFonts w:hint="eastAsia" w:ascii="宋体" w:hAnsi="宋体" w:cs="宋体"/>
          <w:b/>
          <w:bCs/>
          <w:color w:val="auto"/>
          <w:szCs w:val="21"/>
          <w:highlight w:val="none"/>
          <w:u w:val="single"/>
          <w:lang w:eastAsia="zh-CN"/>
        </w:rPr>
        <w:t>2026-2028年度新港北区绿化养护项目</w:t>
      </w:r>
      <w:r>
        <w:rPr>
          <w:rFonts w:hint="eastAsia" w:ascii="宋体" w:hAnsi="宋体" w:cs="宋体"/>
          <w:color w:val="auto"/>
          <w:spacing w:val="8"/>
          <w:kern w:val="0"/>
          <w:szCs w:val="21"/>
          <w:highlight w:val="none"/>
        </w:rPr>
        <w:t>的潜在投标人应在</w:t>
      </w:r>
      <w:r>
        <w:rPr>
          <w:rFonts w:hint="eastAsia" w:ascii="宋体" w:hAnsi="宋体" w:cs="宋体"/>
          <w:b/>
          <w:bCs/>
          <w:color w:val="auto"/>
          <w:szCs w:val="21"/>
          <w:highlight w:val="none"/>
          <w:u w:val="single"/>
        </w:rPr>
        <w:t>江苏政府采购网苏采云系统注册登记成功后系统内免费下载</w:t>
      </w:r>
      <w:r>
        <w:rPr>
          <w:rFonts w:hint="eastAsia" w:ascii="宋体" w:hAnsi="宋体" w:cs="宋体"/>
          <w:color w:val="auto"/>
          <w:szCs w:val="21"/>
          <w:highlight w:val="none"/>
        </w:rPr>
        <w:t>获取采购文件，并于</w:t>
      </w:r>
      <w:r>
        <w:rPr>
          <w:rFonts w:hint="eastAsia" w:ascii="宋体" w:hAnsi="宋体" w:cs="宋体"/>
          <w:b/>
          <w:bCs/>
          <w:iCs/>
          <w:color w:val="auto"/>
          <w:spacing w:val="8"/>
          <w:kern w:val="0"/>
          <w:szCs w:val="21"/>
          <w:highlight w:val="none"/>
        </w:rPr>
        <w:t>202</w:t>
      </w:r>
      <w:r>
        <w:rPr>
          <w:rFonts w:hint="eastAsia" w:ascii="宋体" w:hAnsi="宋体" w:cs="宋体"/>
          <w:b/>
          <w:bCs/>
          <w:iCs/>
          <w:color w:val="auto"/>
          <w:spacing w:val="8"/>
          <w:kern w:val="0"/>
          <w:szCs w:val="21"/>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11</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25</w:t>
      </w:r>
      <w:r>
        <w:rPr>
          <w:rFonts w:hint="eastAsia" w:ascii="宋体" w:hAnsi="宋体" w:cs="宋体"/>
          <w:b/>
          <w:bCs/>
          <w:color w:val="auto"/>
          <w:spacing w:val="8"/>
          <w:kern w:val="0"/>
          <w:szCs w:val="21"/>
          <w:highlight w:val="none"/>
        </w:rPr>
        <w:t>日</w:t>
      </w:r>
      <w:r>
        <w:rPr>
          <w:rFonts w:hint="eastAsia" w:ascii="宋体" w:hAnsi="宋体" w:cs="宋体"/>
          <w:b/>
          <w:bCs/>
          <w:color w:val="auto"/>
          <w:kern w:val="0"/>
          <w:szCs w:val="21"/>
          <w:highlight w:val="none"/>
          <w:lang w:val="en-US" w:eastAsia="zh-CN"/>
        </w:rPr>
        <w:t>14</w:t>
      </w:r>
      <w:r>
        <w:rPr>
          <w:rFonts w:hint="eastAsia" w:ascii="宋体" w:hAnsi="宋体" w:cs="宋体"/>
          <w:b/>
          <w:bCs/>
          <w:color w:val="auto"/>
          <w:kern w:val="0"/>
          <w:szCs w:val="21"/>
          <w:highlight w:val="none"/>
        </w:rPr>
        <w:t>点</w:t>
      </w:r>
      <w:r>
        <w:rPr>
          <w:rFonts w:hint="eastAsia" w:ascii="宋体" w:hAnsi="宋体" w:cs="宋体"/>
          <w:b/>
          <w:bCs/>
          <w:color w:val="auto"/>
          <w:kern w:val="0"/>
          <w:szCs w:val="21"/>
          <w:highlight w:val="none"/>
          <w:lang w:val="en-US" w:eastAsia="zh-CN"/>
        </w:rPr>
        <w:t>30</w:t>
      </w:r>
      <w:r>
        <w:rPr>
          <w:rFonts w:hint="eastAsia" w:ascii="宋体" w:hAnsi="宋体" w:cs="宋体"/>
          <w:b/>
          <w:bCs/>
          <w:color w:val="auto"/>
          <w:kern w:val="0"/>
          <w:szCs w:val="21"/>
          <w:highlight w:val="none"/>
        </w:rPr>
        <w:t>分</w:t>
      </w:r>
      <w:r>
        <w:rPr>
          <w:rFonts w:hint="eastAsia" w:ascii="宋体" w:hAnsi="宋体" w:cs="宋体"/>
          <w:color w:val="auto"/>
          <w:kern w:val="0"/>
          <w:szCs w:val="21"/>
          <w:highlight w:val="none"/>
        </w:rPr>
        <w:t>（北京时间）前递交投标文件。</w:t>
      </w:r>
    </w:p>
    <w:p w14:paraId="17456B77">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4DE608F0">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一、项目基本情况</w:t>
      </w:r>
    </w:p>
    <w:bookmarkEnd w:id="1"/>
    <w:bookmarkEnd w:id="2"/>
    <w:p w14:paraId="381B53EC">
      <w:pPr>
        <w:spacing w:line="360" w:lineRule="auto"/>
        <w:ind w:firstLine="420" w:firstLineChars="200"/>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1.1项目编号：</w:t>
      </w:r>
      <w:r>
        <w:rPr>
          <w:rFonts w:hint="eastAsia" w:ascii="宋体" w:hAnsi="宋体" w:cs="宋体"/>
          <w:bCs/>
          <w:color w:val="auto"/>
          <w:szCs w:val="21"/>
          <w:highlight w:val="none"/>
          <w:lang w:eastAsia="zh-CN"/>
        </w:rPr>
        <w:t>JSZC-320113-ZXTD-G2026-0014</w:t>
      </w:r>
    </w:p>
    <w:p w14:paraId="58510F99">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1.2项目名称：</w:t>
      </w:r>
      <w:r>
        <w:rPr>
          <w:rFonts w:hint="eastAsia" w:ascii="宋体" w:hAnsi="宋体" w:cs="宋体"/>
          <w:bCs/>
          <w:color w:val="auto"/>
          <w:szCs w:val="21"/>
          <w:highlight w:val="none"/>
          <w:lang w:eastAsia="zh-CN"/>
        </w:rPr>
        <w:t>2026-2028年度新港北区绿化养护项目</w:t>
      </w:r>
    </w:p>
    <w:p w14:paraId="5FE34F80">
      <w:pPr>
        <w:spacing w:line="360" w:lineRule="auto"/>
        <w:ind w:firstLine="420" w:firstLineChars="200"/>
        <w:rPr>
          <w:rFonts w:hint="eastAsia" w:ascii="宋体" w:hAnsi="宋体" w:cs="宋体"/>
          <w:b w:val="0"/>
          <w:bCs/>
          <w:color w:val="auto"/>
          <w:szCs w:val="21"/>
          <w:highlight w:val="none"/>
        </w:rPr>
      </w:pPr>
      <w:r>
        <w:rPr>
          <w:rFonts w:hint="eastAsia" w:ascii="宋体" w:hAnsi="宋体" w:cs="宋体"/>
          <w:b w:val="0"/>
          <w:bCs/>
          <w:color w:val="auto"/>
          <w:szCs w:val="21"/>
          <w:highlight w:val="none"/>
        </w:rPr>
        <w:t>1.3预算金额：人民币1025.778632万元。</w:t>
      </w:r>
    </w:p>
    <w:p w14:paraId="35481C78">
      <w:pPr>
        <w:spacing w:line="360" w:lineRule="auto"/>
        <w:ind w:firstLine="420" w:firstLineChars="200"/>
        <w:rPr>
          <w:rFonts w:hint="eastAsia" w:ascii="宋体" w:hAnsi="宋体" w:cs="宋体"/>
          <w:bCs/>
          <w:color w:val="auto"/>
          <w:szCs w:val="21"/>
          <w:highlight w:val="none"/>
        </w:rPr>
      </w:pPr>
      <w:r>
        <w:rPr>
          <w:rFonts w:hint="eastAsia" w:ascii="宋体" w:hAnsi="宋体" w:cs="宋体"/>
          <w:b w:val="0"/>
          <w:bCs/>
          <w:color w:val="auto"/>
          <w:szCs w:val="21"/>
          <w:highlight w:val="none"/>
        </w:rPr>
        <w:t>1.4最高限价：人民币512.889316万元</w:t>
      </w:r>
      <w:r>
        <w:rPr>
          <w:rFonts w:hint="eastAsia" w:ascii="宋体" w:hAnsi="宋体" w:cs="宋体"/>
          <w:b w:val="0"/>
          <w:bCs/>
          <w:color w:val="auto"/>
          <w:szCs w:val="21"/>
          <w:highlight w:val="none"/>
          <w:lang w:val="en-US" w:eastAsia="zh-CN"/>
        </w:rPr>
        <w:t>/年；</w:t>
      </w:r>
      <w:r>
        <w:rPr>
          <w:rFonts w:hint="eastAsia" w:ascii="宋体" w:hAnsi="宋体" w:cs="宋体"/>
          <w:b w:val="0"/>
          <w:bCs/>
          <w:color w:val="auto"/>
          <w:szCs w:val="21"/>
          <w:highlight w:val="none"/>
        </w:rPr>
        <w:t>1025.778632万元</w:t>
      </w:r>
      <w:r>
        <w:rPr>
          <w:rFonts w:hint="eastAsia" w:ascii="宋体" w:hAnsi="宋体" w:cs="宋体"/>
          <w:b w:val="0"/>
          <w:bCs/>
          <w:color w:val="auto"/>
          <w:szCs w:val="21"/>
          <w:highlight w:val="none"/>
          <w:lang w:val="en-US" w:eastAsia="zh-CN"/>
        </w:rPr>
        <w:t>/2年。投标报价超过最高限价或单项限价的为无效投标，单项限价详见招标文件。</w:t>
      </w:r>
    </w:p>
    <w:p w14:paraId="49609C5D">
      <w:pPr>
        <w:widowControl/>
        <w:shd w:val="clear" w:color="auto" w:fill="FFFFFF"/>
        <w:spacing w:line="360" w:lineRule="auto"/>
        <w:ind w:firstLine="420" w:firstLineChars="200"/>
        <w:jc w:val="left"/>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5</w:t>
      </w:r>
      <w:r>
        <w:rPr>
          <w:rFonts w:hint="eastAsia" w:ascii="宋体" w:hAnsi="宋体" w:cs="宋体"/>
          <w:bCs/>
          <w:color w:val="auto"/>
          <w:szCs w:val="21"/>
          <w:highlight w:val="none"/>
        </w:rPr>
        <w:t>采购需求：</w:t>
      </w:r>
      <w:r>
        <w:rPr>
          <w:rFonts w:hint="eastAsia" w:ascii="宋体" w:hAnsi="宋体" w:cs="宋体"/>
          <w:bCs/>
          <w:color w:val="auto"/>
          <w:szCs w:val="21"/>
          <w:highlight w:val="none"/>
          <w:lang w:val="en-US" w:eastAsia="zh-CN"/>
        </w:rPr>
        <w:t>2026-2028年度新港北区绿化养护项目。</w:t>
      </w:r>
      <w:r>
        <w:rPr>
          <w:rFonts w:hint="eastAsia" w:ascii="宋体" w:hAnsi="宋体" w:cs="宋体"/>
          <w:bCs/>
          <w:color w:val="auto"/>
          <w:szCs w:val="21"/>
          <w:highlight w:val="none"/>
        </w:rPr>
        <w:t>技术参数详见招标文件。</w:t>
      </w:r>
    </w:p>
    <w:p w14:paraId="35A9DCC6">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6</w:t>
      </w:r>
      <w:r>
        <w:rPr>
          <w:rFonts w:hint="eastAsia" w:ascii="宋体" w:hAnsi="宋体" w:cs="宋体"/>
          <w:bCs/>
          <w:color w:val="auto"/>
          <w:szCs w:val="21"/>
          <w:highlight w:val="none"/>
        </w:rPr>
        <w:t>合同履行期限：</w:t>
      </w:r>
      <w:r>
        <w:rPr>
          <w:rFonts w:hint="eastAsia" w:ascii="宋体" w:hAnsi="宋体" w:cs="宋体"/>
          <w:bCs/>
          <w:color w:val="auto"/>
          <w:szCs w:val="21"/>
          <w:highlight w:val="none"/>
          <w:lang w:val="en-US" w:eastAsia="zh-CN"/>
        </w:rPr>
        <w:t>二</w:t>
      </w:r>
      <w:r>
        <w:rPr>
          <w:rFonts w:hint="eastAsia" w:ascii="宋体" w:hAnsi="宋体" w:cs="宋体"/>
          <w:bCs/>
          <w:color w:val="auto"/>
          <w:szCs w:val="21"/>
          <w:highlight w:val="none"/>
        </w:rPr>
        <w:t>年，合同一年一签，经考核合格后可续签下一年度合同。</w:t>
      </w:r>
    </w:p>
    <w:p w14:paraId="29797C51">
      <w:pPr>
        <w:spacing w:line="360" w:lineRule="auto"/>
        <w:ind w:firstLine="420" w:firstLineChars="200"/>
        <w:rPr>
          <w:rFonts w:hint="eastAsia" w:ascii="宋体" w:hAnsi="宋体" w:cs="宋体"/>
          <w:bCs/>
          <w:color w:val="auto"/>
          <w:szCs w:val="21"/>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7</w:t>
      </w:r>
      <w:r>
        <w:rPr>
          <w:rFonts w:hint="eastAsia" w:ascii="宋体" w:hAnsi="宋体" w:cs="宋体"/>
          <w:bCs/>
          <w:color w:val="auto"/>
          <w:szCs w:val="21"/>
          <w:highlight w:val="none"/>
        </w:rPr>
        <w:t>行业划分：</w:t>
      </w:r>
      <w:r>
        <w:rPr>
          <w:rFonts w:hint="eastAsia" w:ascii="宋体" w:hAnsi="宋体" w:cs="宋体"/>
          <w:bCs/>
          <w:color w:val="auto"/>
          <w:szCs w:val="21"/>
          <w:highlight w:val="none"/>
          <w:lang w:eastAsia="zh-CN"/>
        </w:rPr>
        <w:t>其他未列明行业：</w:t>
      </w:r>
      <w:r>
        <w:rPr>
          <w:rFonts w:hint="eastAsia" w:ascii="宋体" w:hAnsi="宋体" w:cs="Arial"/>
          <w:color w:val="auto"/>
          <w:spacing w:val="8"/>
          <w:kern w:val="0"/>
          <w:highlight w:val="none"/>
        </w:rPr>
        <w:t>水利、环境和公共设施管理业</w:t>
      </w:r>
      <w:r>
        <w:rPr>
          <w:rFonts w:hint="eastAsia" w:ascii="宋体" w:hAnsi="宋体" w:cs="宋体"/>
          <w:bCs/>
          <w:color w:val="auto"/>
          <w:szCs w:val="21"/>
          <w:highlight w:val="none"/>
        </w:rPr>
        <w:t>。</w:t>
      </w:r>
    </w:p>
    <w:p w14:paraId="227AA286">
      <w:pPr>
        <w:spacing w:line="360" w:lineRule="auto"/>
        <w:ind w:firstLine="420" w:firstLineChars="200"/>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1.8</w:t>
      </w:r>
      <w:r>
        <w:rPr>
          <w:rFonts w:hint="eastAsia" w:ascii="宋体" w:hAnsi="宋体" w:cs="宋体"/>
          <w:bCs/>
          <w:color w:val="auto"/>
          <w:szCs w:val="21"/>
          <w:highlight w:val="none"/>
        </w:rPr>
        <w:t>本项目非专门面向中小企业（或监狱企业或残疾人福利性单位）采购。</w:t>
      </w:r>
    </w:p>
    <w:p w14:paraId="7D0AA0FC">
      <w:pPr>
        <w:spacing w:line="360" w:lineRule="auto"/>
        <w:ind w:firstLine="420" w:firstLineChars="200"/>
        <w:rPr>
          <w:color w:val="auto"/>
          <w:highlight w:val="none"/>
        </w:rPr>
      </w:pPr>
      <w:r>
        <w:rPr>
          <w:rFonts w:hint="eastAsia" w:ascii="宋体" w:hAnsi="宋体" w:cs="宋体"/>
          <w:bCs/>
          <w:color w:val="auto"/>
          <w:szCs w:val="21"/>
          <w:highlight w:val="none"/>
        </w:rPr>
        <w:t>1.</w:t>
      </w:r>
      <w:r>
        <w:rPr>
          <w:rFonts w:hint="eastAsia" w:ascii="宋体" w:hAnsi="宋体" w:cs="宋体"/>
          <w:bCs/>
          <w:color w:val="auto"/>
          <w:szCs w:val="21"/>
          <w:highlight w:val="none"/>
          <w:lang w:val="en-US" w:eastAsia="zh-CN"/>
        </w:rPr>
        <w:t>9</w:t>
      </w:r>
      <w:r>
        <w:rPr>
          <w:rFonts w:hint="eastAsia" w:ascii="宋体" w:hAnsi="宋体" w:cs="宋体"/>
          <w:bCs/>
          <w:color w:val="auto"/>
          <w:szCs w:val="21"/>
          <w:highlight w:val="none"/>
        </w:rPr>
        <w:t>本项目</w:t>
      </w:r>
      <w:r>
        <w:rPr>
          <w:rFonts w:hint="eastAsia" w:ascii="宋体" w:hAnsi="宋体" w:cs="宋体"/>
          <w:bCs/>
          <w:color w:val="auto"/>
          <w:szCs w:val="21"/>
          <w:highlight w:val="none"/>
          <w:lang w:val="en-US" w:eastAsia="zh-CN"/>
        </w:rPr>
        <w:t>不</w:t>
      </w:r>
      <w:r>
        <w:rPr>
          <w:rFonts w:hint="eastAsia" w:ascii="宋体" w:hAnsi="宋体" w:cs="宋体"/>
          <w:bCs/>
          <w:color w:val="auto"/>
          <w:szCs w:val="21"/>
          <w:highlight w:val="none"/>
        </w:rPr>
        <w:t>接受联合体投标。</w:t>
      </w:r>
    </w:p>
    <w:p w14:paraId="4930A374">
      <w:pPr>
        <w:adjustRightInd w:val="0"/>
        <w:snapToGrid w:val="0"/>
        <w:spacing w:line="360" w:lineRule="auto"/>
        <w:ind w:firstLine="452" w:firstLineChars="200"/>
        <w:jc w:val="left"/>
        <w:rPr>
          <w:rFonts w:hint="eastAsia" w:ascii="宋体" w:hAnsi="宋体" w:cs="宋体"/>
          <w:color w:val="auto"/>
          <w:spacing w:val="8"/>
          <w:kern w:val="0"/>
          <w:szCs w:val="21"/>
          <w:highlight w:val="none"/>
        </w:rPr>
      </w:pPr>
    </w:p>
    <w:p w14:paraId="241001AA">
      <w:pPr>
        <w:adjustRightInd w:val="0"/>
        <w:snapToGrid w:val="0"/>
        <w:spacing w:line="360" w:lineRule="auto"/>
        <w:jc w:val="left"/>
        <w:rPr>
          <w:rFonts w:hint="eastAsia" w:ascii="宋体" w:hAnsi="宋体" w:cs="宋体"/>
          <w:b/>
          <w:bCs/>
          <w:color w:val="auto"/>
          <w:sz w:val="24"/>
          <w:highlight w:val="none"/>
        </w:rPr>
      </w:pPr>
      <w:r>
        <w:rPr>
          <w:rFonts w:hint="eastAsia" w:ascii="宋体" w:hAnsi="宋体" w:cs="宋体"/>
          <w:b/>
          <w:bCs/>
          <w:color w:val="auto"/>
          <w:sz w:val="24"/>
          <w:highlight w:val="none"/>
        </w:rPr>
        <w:t>二、申请人的资格要求：</w:t>
      </w:r>
    </w:p>
    <w:p w14:paraId="1DD3E974">
      <w:pPr>
        <w:adjustRightInd w:val="0"/>
        <w:snapToGrid w:val="0"/>
        <w:spacing w:line="360" w:lineRule="auto"/>
        <w:ind w:firstLine="454" w:firstLineChars="200"/>
        <w:jc w:val="left"/>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2.1满足《中华人民共和国政府采购法》第二十二条规定：</w:t>
      </w:r>
    </w:p>
    <w:p w14:paraId="210B7A9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（1）具有独立承担民事责任的能力（提供法人或者其他组织的营业执照；供应商为自然人的，提供其身份证）；</w:t>
      </w:r>
    </w:p>
    <w:p w14:paraId="31F2D1CA">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（2）具有良好的商业信誉和健全的财务会计制度（提供</w:t>
      </w:r>
      <w:r>
        <w:rPr>
          <w:rFonts w:hint="eastAsia" w:ascii="宋体" w:hAnsi="宋体" w:cs="宋体"/>
          <w:bCs/>
          <w:color w:val="auto"/>
          <w:szCs w:val="21"/>
          <w:highlight w:val="none"/>
          <w:lang w:val="en-US" w:eastAsia="zh-CN"/>
        </w:rPr>
        <w:t>2025年度</w:t>
      </w:r>
      <w:r>
        <w:rPr>
          <w:rFonts w:hint="eastAsia" w:ascii="宋体" w:hAnsi="宋体" w:cs="宋体"/>
          <w:bCs/>
          <w:color w:val="auto"/>
          <w:szCs w:val="21"/>
          <w:highlight w:val="none"/>
        </w:rPr>
        <w:t>的财务报表，或投标截止时间前六个月内银行出具的资信证明）；</w:t>
      </w:r>
    </w:p>
    <w:p w14:paraId="51BA38FC">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（3）具有履行合同所必需的设备和专业技术能力（供应商根据履行采购项目合同需要，提供履行合同所必需的设备和专业技术能力的证明材料）；</w:t>
      </w:r>
    </w:p>
    <w:p w14:paraId="7A3298B0">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（4）有依法缴纳税收和社会保障资金的良好记录（提供参加本次政府采购活动前半年内至少一个月：</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\o\ac(○,1)</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缴纳税收的凭证；</w:t>
      </w:r>
      <w:r>
        <w:rPr>
          <w:rFonts w:hint="eastAsia" w:ascii="宋体" w:hAnsi="宋体" w:cs="宋体"/>
          <w:bCs/>
          <w:color w:val="auto"/>
          <w:szCs w:val="21"/>
          <w:highlight w:val="none"/>
        </w:rPr>
        <w:fldChar w:fldCharType="begin"/>
      </w:r>
      <w:r>
        <w:rPr>
          <w:rFonts w:hint="eastAsia" w:ascii="宋体" w:hAnsi="宋体" w:cs="宋体"/>
          <w:bCs/>
          <w:color w:val="auto"/>
          <w:szCs w:val="21"/>
          <w:highlight w:val="none"/>
        </w:rPr>
        <w:instrText xml:space="preserve"> EQ \o\ac(○,2)</w:instrText>
      </w:r>
      <w:r>
        <w:rPr>
          <w:rFonts w:hint="eastAsia" w:ascii="宋体" w:hAnsi="宋体" w:cs="宋体"/>
          <w:bCs/>
          <w:color w:val="auto"/>
          <w:szCs w:val="21"/>
          <w:highlight w:val="none"/>
        </w:rPr>
        <w:fldChar w:fldCharType="end"/>
      </w:r>
      <w:r>
        <w:rPr>
          <w:rFonts w:hint="eastAsia" w:ascii="宋体" w:hAnsi="宋体" w:cs="宋体"/>
          <w:bCs/>
          <w:color w:val="auto"/>
          <w:szCs w:val="21"/>
          <w:highlight w:val="none"/>
        </w:rPr>
        <w:t>缴纳社会保险的凭据），依法享受免缴、缓缴的，提供证明材料；</w:t>
      </w:r>
    </w:p>
    <w:p w14:paraId="4BCA9A6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（5）参加政府采购活动前三年内，在经营活动中没有重大违法记录（提供承诺书）；</w:t>
      </w:r>
    </w:p>
    <w:p w14:paraId="0D5BD68F">
      <w:pPr>
        <w:spacing w:line="360" w:lineRule="auto"/>
        <w:ind w:firstLine="420" w:firstLineChars="200"/>
        <w:rPr>
          <w:rFonts w:ascii="宋体" w:hAnsi="宋体" w:cs="宋体"/>
          <w:bCs/>
          <w:color w:val="auto"/>
          <w:szCs w:val="21"/>
          <w:highlight w:val="none"/>
        </w:rPr>
      </w:pPr>
      <w:r>
        <w:rPr>
          <w:rFonts w:hint="eastAsia" w:ascii="宋体" w:hAnsi="宋体" w:cs="宋体"/>
          <w:bCs/>
          <w:color w:val="auto"/>
          <w:szCs w:val="21"/>
          <w:highlight w:val="none"/>
        </w:rPr>
        <w:t>（6）法律、行政法规规定的其他条件：无。</w:t>
      </w:r>
    </w:p>
    <w:p w14:paraId="598EB681">
      <w:pPr>
        <w:spacing w:line="360" w:lineRule="auto"/>
        <w:ind w:firstLine="454" w:firstLineChars="200"/>
        <w:rPr>
          <w:rFonts w:hint="eastAsia" w:ascii="宋体" w:hAnsi="宋体" w:eastAsia="宋体" w:cs="宋体"/>
          <w:b/>
          <w:color w:val="auto"/>
          <w:spacing w:val="8"/>
          <w:kern w:val="0"/>
          <w:szCs w:val="21"/>
          <w:highlight w:val="none"/>
          <w:lang w:eastAsia="zh-CN"/>
        </w:rPr>
      </w:pPr>
      <w:r>
        <w:rPr>
          <w:rFonts w:hint="eastAsia" w:ascii="宋体" w:hAnsi="宋体" w:cs="宋体"/>
          <w:b/>
          <w:color w:val="auto"/>
          <w:spacing w:val="8"/>
          <w:kern w:val="0"/>
          <w:szCs w:val="21"/>
          <w:highlight w:val="none"/>
        </w:rPr>
        <w:t>2.2落实政府采购政策需满足的资格要求：</w:t>
      </w:r>
      <w:r>
        <w:rPr>
          <w:rFonts w:hint="eastAsia" w:ascii="宋体" w:hAnsi="宋体" w:cs="宋体"/>
          <w:b/>
          <w:color w:val="auto"/>
          <w:spacing w:val="8"/>
          <w:kern w:val="0"/>
          <w:szCs w:val="21"/>
          <w:highlight w:val="none"/>
          <w:lang w:val="en-US" w:eastAsia="zh-CN"/>
        </w:rPr>
        <w:t>无。</w:t>
      </w:r>
    </w:p>
    <w:p w14:paraId="6548D5D9">
      <w:pPr>
        <w:spacing w:line="360" w:lineRule="auto"/>
        <w:ind w:firstLine="458" w:firstLineChars="202"/>
        <w:rPr>
          <w:rFonts w:hint="eastAsia" w:ascii="宋体" w:hAnsi="宋体" w:cs="宋体"/>
          <w:b/>
          <w:color w:val="auto"/>
          <w:spacing w:val="8"/>
          <w:kern w:val="0"/>
          <w:szCs w:val="21"/>
          <w:highlight w:val="none"/>
        </w:rPr>
      </w:pPr>
      <w:r>
        <w:rPr>
          <w:rFonts w:hint="eastAsia" w:ascii="宋体" w:hAnsi="宋体" w:cs="宋体"/>
          <w:b/>
          <w:color w:val="auto"/>
          <w:spacing w:val="8"/>
          <w:kern w:val="0"/>
          <w:szCs w:val="21"/>
          <w:highlight w:val="none"/>
        </w:rPr>
        <w:t>2.3采购人根据采购项目的特殊要求规定的特定条件，并提供符合特殊要求的证明</w:t>
      </w:r>
      <w:r>
        <w:rPr>
          <w:rFonts w:hint="eastAsia" w:ascii="宋体" w:hAnsi="宋体" w:cs="宋体"/>
          <w:b/>
          <w:color w:val="auto"/>
          <w:szCs w:val="21"/>
          <w:highlight w:val="none"/>
        </w:rPr>
        <w:t>材料或者情况</w:t>
      </w:r>
      <w:r>
        <w:rPr>
          <w:rFonts w:hint="eastAsia" w:ascii="宋体" w:hAnsi="宋体" w:cs="宋体"/>
          <w:b/>
          <w:color w:val="auto"/>
          <w:spacing w:val="8"/>
          <w:kern w:val="0"/>
          <w:szCs w:val="21"/>
          <w:highlight w:val="none"/>
        </w:rPr>
        <w:t>说明：</w:t>
      </w:r>
      <w:r>
        <w:rPr>
          <w:rFonts w:hint="eastAsia" w:ascii="宋体" w:hAnsi="宋体" w:cs="宋体"/>
          <w:b/>
          <w:color w:val="auto"/>
          <w:spacing w:val="8"/>
          <w:kern w:val="0"/>
          <w:szCs w:val="21"/>
          <w:highlight w:val="none"/>
          <w:lang w:val="en-US" w:eastAsia="zh-CN"/>
        </w:rPr>
        <w:t>无。</w:t>
      </w:r>
    </w:p>
    <w:p w14:paraId="58146F50">
      <w:pPr>
        <w:spacing w:line="360" w:lineRule="auto"/>
        <w:ind w:firstLine="426" w:firstLineChars="202"/>
        <w:rPr>
          <w:rFonts w:hint="eastAsia" w:ascii="宋体" w:hAnsi="宋体" w:eastAsia="宋体" w:cs="宋体"/>
          <w:b/>
          <w:color w:val="auto"/>
          <w:szCs w:val="21"/>
          <w:highlight w:val="none"/>
          <w:lang w:eastAsia="zh-CN"/>
        </w:rPr>
      </w:pPr>
      <w:r>
        <w:rPr>
          <w:rFonts w:hint="eastAsia" w:ascii="宋体" w:hAnsi="宋体" w:cs="宋体"/>
          <w:b/>
          <w:color w:val="auto"/>
          <w:szCs w:val="21"/>
          <w:highlight w:val="none"/>
        </w:rPr>
        <w:t>2.4</w:t>
      </w:r>
      <w:r>
        <w:rPr>
          <w:rFonts w:hint="eastAsia" w:ascii="宋体" w:hAnsi="宋体" w:eastAsia="宋体" w:cs="宋体"/>
          <w:b/>
          <w:bCs/>
          <w:color w:val="auto"/>
          <w:spacing w:val="8"/>
          <w:kern w:val="0"/>
          <w:szCs w:val="21"/>
          <w:highlight w:val="none"/>
        </w:rPr>
        <w:t xml:space="preserve"> </w:t>
      </w:r>
      <w:r>
        <w:rPr>
          <w:rFonts w:ascii="宋体" w:hAnsi="宋体" w:cs="宋体"/>
          <w:b/>
          <w:color w:val="auto"/>
          <w:szCs w:val="21"/>
          <w:highlight w:val="none"/>
        </w:rPr>
        <w:t>提供《南京市政府采购供应商信用承诺书》（格式详见附件），法定代表人签字并盖单位公章</w:t>
      </w:r>
      <w:r>
        <w:rPr>
          <w:rFonts w:hint="eastAsia" w:ascii="宋体" w:hAnsi="宋体" w:cs="宋体"/>
          <w:b/>
          <w:color w:val="auto"/>
          <w:szCs w:val="21"/>
          <w:highlight w:val="none"/>
          <w:lang w:eastAsia="zh-CN"/>
        </w:rPr>
        <w:t>。</w:t>
      </w:r>
    </w:p>
    <w:p w14:paraId="25D7FDB7">
      <w:pPr>
        <w:spacing w:line="360" w:lineRule="auto"/>
        <w:ind w:firstLine="426" w:firstLineChars="202"/>
        <w:rPr>
          <w:rFonts w:hint="eastAsia" w:ascii="宋体" w:hAnsi="宋体" w:cs="宋体"/>
          <w:b/>
          <w:color w:val="auto"/>
          <w:szCs w:val="21"/>
          <w:highlight w:val="none"/>
        </w:rPr>
      </w:pPr>
      <w:r>
        <w:rPr>
          <w:rFonts w:hint="eastAsia" w:ascii="宋体" w:hAnsi="宋体" w:cs="宋体"/>
          <w:b/>
          <w:color w:val="auto"/>
          <w:szCs w:val="21"/>
          <w:highlight w:val="none"/>
        </w:rPr>
        <w:t>2.5 拒绝下述供应商参加本次招标活动：</w:t>
      </w:r>
    </w:p>
    <w:p w14:paraId="771122BD">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（1）单位负责人为同一人或者存在直接控股、管理关系的不同供应商，不得参加同一合同项下的政府采购活动。</w:t>
      </w:r>
    </w:p>
    <w:p w14:paraId="366C1A98">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（2）为采购项目提供整体设计、规范编制或者项目管理、监理、检测等服务的供应商，不得参加本项目的采购活动。</w:t>
      </w:r>
    </w:p>
    <w:p w14:paraId="430740B7">
      <w:pPr>
        <w:spacing w:line="360" w:lineRule="auto"/>
        <w:ind w:firstLine="424" w:firstLineChars="202"/>
        <w:rPr>
          <w:rFonts w:hint="eastAsia" w:ascii="宋体" w:hAnsi="宋体" w:cs="宋体"/>
          <w:bCs/>
          <w:color w:val="auto"/>
          <w:szCs w:val="21"/>
          <w:highlight w:val="none"/>
        </w:rPr>
      </w:pPr>
      <w:r>
        <w:rPr>
          <w:rFonts w:hint="eastAsia" w:ascii="宋体" w:hAnsi="宋体" w:cs="宋体"/>
          <w:bCs/>
          <w:color w:val="auto"/>
          <w:szCs w:val="21"/>
          <w:highlight w:val="none"/>
        </w:rPr>
        <w:t>（3）供应商被“信用中国”网站（www.creditchina.gov.cn）、“中国政府采购网”(www.ccgp.gov.cn)列入失信被执行人、</w:t>
      </w:r>
      <w:r>
        <w:rPr>
          <w:rFonts w:hint="eastAsia" w:ascii="宋体" w:hAnsi="宋体" w:cs="宋体"/>
          <w:bCs/>
          <w:color w:val="auto"/>
          <w:szCs w:val="21"/>
          <w:highlight w:val="none"/>
          <w:lang w:eastAsia="zh-CN"/>
        </w:rPr>
        <w:t>重大税收违法失信主体名单</w:t>
      </w:r>
      <w:r>
        <w:rPr>
          <w:rFonts w:hint="eastAsia" w:ascii="宋体" w:hAnsi="宋体" w:cs="宋体"/>
          <w:bCs/>
          <w:color w:val="auto"/>
          <w:szCs w:val="21"/>
          <w:highlight w:val="none"/>
        </w:rPr>
        <w:t>、政府采购严重违法失信行为记录名单。</w:t>
      </w:r>
    </w:p>
    <w:p w14:paraId="583AF21D">
      <w:pPr>
        <w:spacing w:line="360" w:lineRule="auto"/>
        <w:ind w:firstLine="420" w:firstLineChars="200"/>
        <w:rPr>
          <w:rFonts w:hint="eastAsia" w:ascii="宋体" w:hAnsi="宋体" w:cs="宋体"/>
          <w:bCs/>
          <w:color w:val="auto"/>
          <w:szCs w:val="21"/>
          <w:highlight w:val="none"/>
        </w:rPr>
      </w:pPr>
    </w:p>
    <w:p w14:paraId="768C0B27">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三、获取招标文件</w:t>
      </w:r>
    </w:p>
    <w:p w14:paraId="714B3AF0">
      <w:pPr>
        <w:widowControl/>
        <w:shd w:val="clear" w:color="auto" w:fill="FFFFFF"/>
        <w:spacing w:line="360" w:lineRule="auto"/>
        <w:ind w:firstLine="452" w:firstLineChars="200"/>
        <w:jc w:val="left"/>
        <w:rPr>
          <w:rFonts w:hint="eastAsia" w:ascii="宋体" w:hAnsi="宋体" w:cs="宋体"/>
          <w:b w:val="0"/>
          <w:bCs w:val="0"/>
          <w:color w:val="auto"/>
          <w:spacing w:val="8"/>
          <w:kern w:val="0"/>
          <w:szCs w:val="21"/>
          <w:highlight w:val="none"/>
        </w:rPr>
      </w:pPr>
      <w:r>
        <w:rPr>
          <w:rFonts w:hint="eastAsia" w:ascii="宋体" w:hAnsi="宋体" w:cs="宋体"/>
          <w:b w:val="0"/>
          <w:bCs w:val="0"/>
          <w:color w:val="auto"/>
          <w:spacing w:val="8"/>
          <w:kern w:val="0"/>
          <w:szCs w:val="21"/>
          <w:highlight w:val="none"/>
        </w:rPr>
        <w:t>3.1时间：自招标文件公告发布之日起5个工作日</w:t>
      </w:r>
    </w:p>
    <w:p w14:paraId="59F70CAA">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3.2地点：江苏政府采购网</w:t>
      </w:r>
      <w:r>
        <w:rPr>
          <w:rFonts w:hint="eastAsia" w:ascii="宋体" w:hAnsi="宋体" w:cs="宋体"/>
          <w:bCs/>
          <w:color w:val="auto"/>
          <w:szCs w:val="21"/>
          <w:highlight w:val="none"/>
        </w:rPr>
        <w:t xml:space="preserve">苏采云系统注册登记成功后系统内免费下载 </w:t>
      </w:r>
    </w:p>
    <w:p w14:paraId="024517BB">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3.3方式：</w:t>
      </w:r>
      <w:r>
        <w:rPr>
          <w:rFonts w:hint="eastAsia" w:ascii="宋体" w:hAnsi="宋体" w:cs="宋体"/>
          <w:color w:val="auto"/>
          <w:szCs w:val="21"/>
          <w:highlight w:val="none"/>
        </w:rPr>
        <w:t>采用网上注册登记方式 </w:t>
      </w:r>
    </w:p>
    <w:p w14:paraId="3B44E748">
      <w:pPr>
        <w:widowControl/>
        <w:shd w:val="clear" w:color="auto" w:fill="FFFFFF"/>
        <w:spacing w:line="360" w:lineRule="auto"/>
        <w:ind w:firstLine="452" w:firstLineChars="200"/>
        <w:jc w:val="left"/>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3.4售价</w:t>
      </w:r>
      <w:r>
        <w:rPr>
          <w:rFonts w:hint="eastAsia" w:ascii="宋体" w:hAnsi="宋体" w:cs="宋体"/>
          <w:color w:val="auto"/>
          <w:spacing w:val="8"/>
          <w:kern w:val="0"/>
          <w:szCs w:val="21"/>
          <w:highlight w:val="none"/>
          <w:lang w:eastAsia="zh-CN"/>
        </w:rPr>
        <w:t>：</w:t>
      </w:r>
      <w:r>
        <w:rPr>
          <w:rFonts w:hint="eastAsia" w:ascii="宋体" w:hAnsi="宋体" w:cs="宋体"/>
          <w:color w:val="auto"/>
          <w:spacing w:val="8"/>
          <w:kern w:val="0"/>
          <w:szCs w:val="21"/>
          <w:highlight w:val="none"/>
        </w:rPr>
        <w:t>0.00元。</w:t>
      </w:r>
    </w:p>
    <w:p w14:paraId="1626D967">
      <w:pPr>
        <w:widowControl/>
        <w:spacing w:line="360" w:lineRule="auto"/>
        <w:ind w:firstLine="360"/>
        <w:rPr>
          <w:rFonts w:hint="eastAsia" w:ascii="宋体" w:hAnsi="宋体" w:cs="宋体"/>
          <w:color w:val="auto"/>
          <w:szCs w:val="21"/>
          <w:highlight w:val="none"/>
        </w:rPr>
      </w:pPr>
    </w:p>
    <w:p w14:paraId="70B352AF">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四、提交投标文件截止时间、开标时间和地点</w:t>
      </w:r>
    </w:p>
    <w:p w14:paraId="2158683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4.1</w:t>
      </w:r>
      <w:r>
        <w:rPr>
          <w:rFonts w:hint="eastAsia" w:ascii="宋体" w:hAnsi="宋体" w:cs="宋体"/>
          <w:color w:val="auto"/>
          <w:spacing w:val="15"/>
          <w:kern w:val="0"/>
          <w:szCs w:val="21"/>
          <w:highlight w:val="none"/>
          <w:shd w:val="clear" w:color="auto" w:fill="FFFFFF"/>
        </w:rPr>
        <w:t>提交投标文件截止时间、开标时间：</w:t>
      </w:r>
      <w:r>
        <w:rPr>
          <w:rFonts w:hint="eastAsia" w:ascii="宋体" w:hAnsi="宋体" w:cs="宋体"/>
          <w:b/>
          <w:bCs/>
          <w:color w:val="auto"/>
          <w:highlight w:val="none"/>
        </w:rPr>
        <w:t>202</w:t>
      </w:r>
      <w:r>
        <w:rPr>
          <w:rFonts w:hint="eastAsia" w:ascii="宋体" w:hAnsi="宋体" w:cs="宋体"/>
          <w:b/>
          <w:bCs/>
          <w:color w:val="auto"/>
          <w:highlight w:val="none"/>
          <w:lang w:val="en-US" w:eastAsia="zh-CN"/>
        </w:rPr>
        <w:t>6</w:t>
      </w:r>
      <w:r>
        <w:rPr>
          <w:rFonts w:hint="eastAsia" w:ascii="宋体" w:hAnsi="宋体" w:cs="宋体"/>
          <w:b/>
          <w:bCs/>
          <w:color w:val="auto"/>
          <w:spacing w:val="8"/>
          <w:kern w:val="0"/>
          <w:szCs w:val="21"/>
          <w:highlight w:val="none"/>
        </w:rPr>
        <w:t>年</w:t>
      </w:r>
      <w:r>
        <w:rPr>
          <w:rFonts w:hint="eastAsia" w:ascii="宋体" w:hAnsi="宋体" w:cs="宋体"/>
          <w:b/>
          <w:bCs/>
          <w:color w:val="auto"/>
          <w:spacing w:val="8"/>
          <w:kern w:val="0"/>
          <w:szCs w:val="21"/>
          <w:highlight w:val="none"/>
          <w:lang w:val="en-US" w:eastAsia="zh-CN"/>
        </w:rPr>
        <w:t>11</w:t>
      </w:r>
      <w:r>
        <w:rPr>
          <w:rFonts w:hint="eastAsia" w:ascii="宋体" w:hAnsi="宋体" w:cs="宋体"/>
          <w:b/>
          <w:bCs/>
          <w:color w:val="auto"/>
          <w:spacing w:val="8"/>
          <w:kern w:val="0"/>
          <w:szCs w:val="21"/>
          <w:highlight w:val="none"/>
        </w:rPr>
        <w:t>月</w:t>
      </w:r>
      <w:r>
        <w:rPr>
          <w:rFonts w:hint="eastAsia" w:ascii="宋体" w:hAnsi="宋体" w:cs="宋体"/>
          <w:b/>
          <w:bCs/>
          <w:color w:val="auto"/>
          <w:spacing w:val="8"/>
          <w:kern w:val="0"/>
          <w:szCs w:val="21"/>
          <w:highlight w:val="none"/>
          <w:lang w:val="en-US" w:eastAsia="zh-CN"/>
        </w:rPr>
        <w:t>25</w:t>
      </w:r>
      <w:r>
        <w:rPr>
          <w:rFonts w:hint="eastAsia" w:ascii="宋体" w:hAnsi="宋体" w:cs="宋体"/>
          <w:b/>
          <w:bCs/>
          <w:color w:val="auto"/>
          <w:spacing w:val="8"/>
          <w:kern w:val="0"/>
          <w:szCs w:val="21"/>
          <w:highlight w:val="none"/>
        </w:rPr>
        <w:t>日</w:t>
      </w:r>
      <w:r>
        <w:rPr>
          <w:rFonts w:hint="eastAsia" w:ascii="宋体" w:hAnsi="宋体" w:cs="宋体"/>
          <w:b/>
          <w:bCs/>
          <w:color w:val="auto"/>
          <w:highlight w:val="none"/>
          <w:lang w:val="en-US" w:eastAsia="zh-CN"/>
        </w:rPr>
        <w:t>14</w:t>
      </w:r>
      <w:r>
        <w:rPr>
          <w:rFonts w:hint="eastAsia" w:ascii="宋体" w:hAnsi="宋体" w:cs="宋体"/>
          <w:b/>
          <w:bCs/>
          <w:color w:val="auto"/>
          <w:spacing w:val="8"/>
          <w:kern w:val="0"/>
          <w:szCs w:val="21"/>
          <w:highlight w:val="none"/>
        </w:rPr>
        <w:t>点</w:t>
      </w:r>
      <w:r>
        <w:rPr>
          <w:rFonts w:hint="eastAsia" w:ascii="宋体" w:hAnsi="宋体" w:cs="宋体"/>
          <w:b/>
          <w:bCs/>
          <w:color w:val="auto"/>
          <w:highlight w:val="none"/>
          <w:lang w:val="en-US" w:eastAsia="zh-CN"/>
        </w:rPr>
        <w:t>30</w:t>
      </w:r>
      <w:r>
        <w:rPr>
          <w:rFonts w:hint="eastAsia" w:ascii="宋体" w:hAnsi="宋体" w:cs="宋体"/>
          <w:b/>
          <w:bCs/>
          <w:color w:val="auto"/>
          <w:spacing w:val="8"/>
          <w:kern w:val="0"/>
          <w:szCs w:val="21"/>
          <w:highlight w:val="none"/>
        </w:rPr>
        <w:t>分</w:t>
      </w:r>
      <w:r>
        <w:rPr>
          <w:rFonts w:hint="eastAsia" w:ascii="宋体" w:hAnsi="宋体" w:cs="宋体"/>
          <w:color w:val="auto"/>
          <w:spacing w:val="8"/>
          <w:kern w:val="0"/>
          <w:szCs w:val="21"/>
          <w:highlight w:val="none"/>
        </w:rPr>
        <w:t>（北京时间）</w:t>
      </w:r>
    </w:p>
    <w:p w14:paraId="72F30F8E">
      <w:pPr>
        <w:pStyle w:val="42"/>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4.2提交投标文件地点：江苏省政府采购管</w:t>
      </w:r>
      <w:bookmarkStart w:id="41" w:name="_GoBack"/>
      <w:bookmarkEnd w:id="41"/>
      <w:r>
        <w:rPr>
          <w:rFonts w:hint="eastAsia"/>
          <w:color w:val="auto"/>
          <w:spacing w:val="15"/>
          <w:sz w:val="21"/>
          <w:szCs w:val="21"/>
          <w:highlight w:val="none"/>
          <w:shd w:val="clear" w:color="auto" w:fill="FFFFFF"/>
        </w:rPr>
        <w:t>理交易系统（苏采云）（以下简称“苏采云”）</w:t>
      </w:r>
    </w:p>
    <w:p w14:paraId="46B6A30C">
      <w:pPr>
        <w:pStyle w:val="42"/>
        <w:spacing w:before="0" w:beforeAutospacing="0" w:after="0" w:afterAutospacing="0" w:line="360" w:lineRule="auto"/>
        <w:ind w:firstLine="375"/>
        <w:rPr>
          <w:rFonts w:hint="eastAsia"/>
          <w:color w:val="auto"/>
          <w:spacing w:val="15"/>
          <w:sz w:val="21"/>
          <w:szCs w:val="21"/>
          <w:highlight w:val="none"/>
          <w:shd w:val="clear" w:color="auto" w:fill="FFFFFF"/>
        </w:rPr>
      </w:pPr>
      <w:r>
        <w:rPr>
          <w:rFonts w:hint="eastAsia"/>
          <w:color w:val="auto"/>
          <w:spacing w:val="15"/>
          <w:sz w:val="21"/>
          <w:szCs w:val="21"/>
          <w:highlight w:val="none"/>
          <w:shd w:val="clear" w:color="auto" w:fill="FFFFFF"/>
        </w:rPr>
        <w:t>4.3开标地点：“苏采云”网上开标大厅。</w:t>
      </w:r>
    </w:p>
    <w:p w14:paraId="52B0D764">
      <w:pPr>
        <w:widowControl/>
        <w:spacing w:line="360" w:lineRule="auto"/>
        <w:ind w:firstLine="370"/>
        <w:rPr>
          <w:rFonts w:hint="eastAsia" w:ascii="宋体" w:hAnsi="宋体" w:cs="宋体"/>
          <w:color w:val="auto"/>
          <w:spacing w:val="8"/>
          <w:kern w:val="0"/>
          <w:szCs w:val="21"/>
          <w:highlight w:val="none"/>
        </w:rPr>
      </w:pPr>
    </w:p>
    <w:p w14:paraId="371D71AB">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五、公告期限</w:t>
      </w:r>
    </w:p>
    <w:p w14:paraId="4EC5916F">
      <w:pPr>
        <w:widowControl/>
        <w:spacing w:line="360" w:lineRule="auto"/>
        <w:ind w:firstLine="370"/>
        <w:rPr>
          <w:rFonts w:hint="eastAsia" w:ascii="宋体" w:hAnsi="宋体" w:cs="宋体"/>
          <w:color w:val="auto"/>
          <w:spacing w:val="8"/>
          <w:kern w:val="0"/>
          <w:szCs w:val="21"/>
          <w:highlight w:val="none"/>
        </w:rPr>
      </w:pPr>
      <w:r>
        <w:rPr>
          <w:rFonts w:hint="eastAsia" w:ascii="宋体" w:hAnsi="宋体" w:cs="宋体"/>
          <w:color w:val="auto"/>
          <w:spacing w:val="8"/>
          <w:kern w:val="0"/>
          <w:szCs w:val="21"/>
          <w:highlight w:val="none"/>
        </w:rPr>
        <w:t>自本公告发布之日起5个工作日。</w:t>
      </w:r>
    </w:p>
    <w:p w14:paraId="75C79992">
      <w:pPr>
        <w:widowControl/>
        <w:spacing w:line="360" w:lineRule="auto"/>
        <w:ind w:firstLine="370"/>
        <w:rPr>
          <w:rFonts w:hint="eastAsia" w:ascii="宋体" w:hAnsi="宋体" w:cs="宋体"/>
          <w:color w:val="auto"/>
          <w:spacing w:val="8"/>
          <w:kern w:val="0"/>
          <w:szCs w:val="21"/>
          <w:highlight w:val="none"/>
        </w:rPr>
      </w:pPr>
    </w:p>
    <w:p w14:paraId="37556FB6">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六、其他补充事宜</w:t>
      </w:r>
    </w:p>
    <w:p w14:paraId="501F7175">
      <w:pPr>
        <w:widowControl/>
        <w:shd w:val="clear" w:color="auto" w:fill="FFFFFF"/>
        <w:spacing w:line="360" w:lineRule="auto"/>
        <w:ind w:firstLine="363" w:firstLineChars="173"/>
        <w:rPr>
          <w:rFonts w:hint="eastAsia" w:ascii="宋体" w:hAnsi="宋体" w:cs="宋体"/>
          <w:color w:val="auto"/>
          <w:szCs w:val="21"/>
          <w:highlight w:val="none"/>
          <w:lang w:val="zh-CN"/>
        </w:rPr>
      </w:pPr>
      <w:r>
        <w:rPr>
          <w:rFonts w:hint="eastAsia" w:ascii="宋体" w:hAnsi="宋体" w:cs="宋体"/>
          <w:color w:val="auto"/>
          <w:szCs w:val="21"/>
          <w:highlight w:val="none"/>
          <w:lang w:val="zh-CN"/>
        </w:rPr>
        <w:t>6.1本项目在</w:t>
      </w:r>
      <w:r>
        <w:rPr>
          <w:rFonts w:hint="eastAsia" w:ascii="宋体" w:hAnsi="宋体" w:cs="宋体"/>
          <w:b/>
          <w:bCs/>
          <w:color w:val="auto"/>
          <w:szCs w:val="21"/>
          <w:highlight w:val="none"/>
          <w:lang w:val="zh-CN"/>
        </w:rPr>
        <w:t>江苏政府采购网、</w:t>
      </w:r>
      <w:r>
        <w:rPr>
          <w:rFonts w:hint="eastAsia" w:ascii="宋体" w:hAnsi="宋体" w:cs="宋体"/>
          <w:b/>
          <w:bCs/>
          <w:color w:val="auto"/>
          <w:szCs w:val="21"/>
          <w:highlight w:val="none"/>
        </w:rPr>
        <w:t>中国政府采购网</w:t>
      </w:r>
      <w:r>
        <w:rPr>
          <w:rFonts w:hint="eastAsia" w:ascii="宋体" w:hAnsi="宋体" w:cs="宋体"/>
          <w:color w:val="auto"/>
          <w:szCs w:val="21"/>
          <w:highlight w:val="none"/>
          <w:lang w:val="zh-CN"/>
        </w:rPr>
        <w:t>网站发布公告。</w:t>
      </w:r>
    </w:p>
    <w:p w14:paraId="60D8242B">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color w:val="auto"/>
          <w:szCs w:val="21"/>
          <w:highlight w:val="none"/>
          <w:lang w:val="zh-CN"/>
        </w:rPr>
        <w:t>6.</w:t>
      </w:r>
      <w:r>
        <w:rPr>
          <w:rFonts w:hint="eastAsia" w:ascii="宋体" w:hAnsi="宋体" w:cs="宋体"/>
          <w:color w:val="auto"/>
          <w:szCs w:val="21"/>
          <w:highlight w:val="none"/>
        </w:rPr>
        <w:t>2</w:t>
      </w:r>
      <w:r>
        <w:rPr>
          <w:rFonts w:hint="eastAsia" w:ascii="宋体" w:hAnsi="宋体" w:cs="宋体"/>
          <w:bCs/>
          <w:color w:val="auto"/>
          <w:szCs w:val="21"/>
          <w:highlight w:val="none"/>
        </w:rPr>
        <w:t>勘察现场：</w:t>
      </w:r>
      <w:r>
        <w:rPr>
          <w:rFonts w:hint="eastAsia" w:ascii="宋体" w:hAnsi="宋体"/>
          <w:bCs/>
          <w:color w:val="auto"/>
          <w:szCs w:val="21"/>
          <w:highlight w:val="none"/>
          <w:lang w:val="en-US" w:eastAsia="zh-CN"/>
        </w:rPr>
        <w:t>投标人</w:t>
      </w:r>
      <w:r>
        <w:rPr>
          <w:rFonts w:hint="eastAsia" w:ascii="宋体" w:hAnsi="宋体"/>
          <w:bCs/>
          <w:color w:val="auto"/>
          <w:szCs w:val="21"/>
          <w:highlight w:val="none"/>
        </w:rPr>
        <w:t>可自行踏勘现场，了解项目相关情况。但投标人及其人员不得因此使招标人及其人员承担有关的责任和蒙受损失，投标人应对由此次踏勘现场而造成的人身伤害、财产损失以及任何其它损失和开支承担全部责任。请投标人务必对项目现场和周围环境进行仔细认真地查勘，投标人对现场资料和数据所作出的推论、解释和结论及由此造成的后果由投标人负责（未现场勘察和未提出疑义的投标人将被视为已勘察，认同招标项目要求的内容）</w:t>
      </w:r>
      <w:r>
        <w:rPr>
          <w:rFonts w:hint="eastAsia" w:ascii="宋体" w:hAnsi="宋体" w:cs="宋体"/>
          <w:bCs/>
          <w:color w:val="auto"/>
          <w:szCs w:val="21"/>
          <w:highlight w:val="none"/>
        </w:rPr>
        <w:t>。</w:t>
      </w:r>
    </w:p>
    <w:p w14:paraId="4701678F">
      <w:pPr>
        <w:widowControl/>
        <w:shd w:val="clear" w:color="auto" w:fill="FFFFFF"/>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6.3</w:t>
      </w:r>
      <w:r>
        <w:rPr>
          <w:rFonts w:hint="eastAsia" w:ascii="宋体" w:hAnsi="宋体" w:cs="宋体"/>
          <w:bCs/>
          <w:color w:val="auto"/>
          <w:szCs w:val="21"/>
          <w:highlight w:val="none"/>
          <w:lang w:val="en-US" w:eastAsia="zh-CN"/>
        </w:rPr>
        <w:t>供应商</w:t>
      </w:r>
      <w:r>
        <w:rPr>
          <w:rFonts w:hint="eastAsia" w:ascii="宋体" w:hAnsi="宋体" w:cs="宋体"/>
          <w:bCs/>
          <w:color w:val="auto"/>
          <w:szCs w:val="21"/>
          <w:highlight w:val="none"/>
        </w:rPr>
        <w:t>通过“苏采云”（网址：https://jszfcg.jsczt.cn/jszc/login）参与政府采购项目，需要办理江苏省政府采购数字证书及电子签章的，详见苏采云官网首页“新CA办理指南”。供应商通过苏采云官网首页进行供应商注册及CA绑定。CA登录后，供应商按《苏采云系统供应商操作手册》进行操作。</w:t>
      </w:r>
    </w:p>
    <w:p w14:paraId="38013999">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操作手册下载地址：http://www.ccgp-jiangsu.gov.cn/jiangsu/zlxz/ee/ee3a4bc5a3454aa2b0d9312230633ce9.html</w:t>
      </w:r>
    </w:p>
    <w:p w14:paraId="68063D7F">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首次登录“苏采云”系统的新用户，登录网址后，点击“用户注册”--“新CA办理指南”--获取CA后绑定、登录系统--采购项目参与--下载采购文件（文件后缀名为“.kedt”）。</w:t>
      </w:r>
    </w:p>
    <w:p w14:paraId="464F8815">
      <w:pPr>
        <w:pStyle w:val="86"/>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“苏采云”南京地区客服热线025-83633744、025-83633743。</w:t>
      </w:r>
    </w:p>
    <w:p w14:paraId="748782F0">
      <w:pPr>
        <w:pStyle w:val="86"/>
        <w:spacing w:line="360" w:lineRule="auto"/>
        <w:rPr>
          <w:color w:val="auto"/>
          <w:highlight w:val="none"/>
        </w:rPr>
      </w:pPr>
      <w:r>
        <w:rPr>
          <w:rFonts w:hint="eastAsia" w:ascii="宋体" w:hAnsi="宋体" w:cs="宋体"/>
          <w:bCs/>
          <w:color w:val="auto"/>
          <w:szCs w:val="21"/>
          <w:highlight w:val="none"/>
        </w:rPr>
        <w:t>有关本次招标的事项若存在变动或修改，请及时关注“江苏政府采购网”（www.ccgp-jiangsu.gov.cn）更正公告。</w:t>
      </w:r>
    </w:p>
    <w:p w14:paraId="0C85384F">
      <w:pPr>
        <w:widowControl/>
        <w:shd w:val="clear" w:color="auto" w:fill="FFFFFF"/>
        <w:spacing w:line="360" w:lineRule="auto"/>
        <w:ind w:firstLine="365" w:firstLineChars="173"/>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6.</w:t>
      </w:r>
      <w:r>
        <w:rPr>
          <w:rFonts w:hint="eastAsia" w:ascii="宋体" w:hAnsi="宋体" w:cs="宋体"/>
          <w:b/>
          <w:bCs/>
          <w:color w:val="auto"/>
          <w:szCs w:val="21"/>
          <w:highlight w:val="none"/>
        </w:rPr>
        <w:t>4政府采购信用承诺</w:t>
      </w:r>
    </w:p>
    <w:p w14:paraId="2EE11534">
      <w:pPr>
        <w:widowControl/>
        <w:wordWrap w:val="0"/>
        <w:spacing w:after="0" w:line="360" w:lineRule="auto"/>
        <w:ind w:firstLine="363" w:firstLineChars="173"/>
        <w:jc w:val="left"/>
        <w:rPr>
          <w:rFonts w:ascii="宋体" w:hAnsi="宋体" w:cs="宋体"/>
          <w:color w:val="auto"/>
          <w:szCs w:val="21"/>
          <w:highlight w:val="none"/>
        </w:rPr>
      </w:pPr>
      <w:r>
        <w:rPr>
          <w:rFonts w:ascii="宋体" w:hAnsi="宋体" w:cs="宋体"/>
          <w:color w:val="auto"/>
          <w:szCs w:val="21"/>
          <w:highlight w:val="none"/>
          <w:lang w:val="zh-CN"/>
        </w:rPr>
        <w:t>根据《关于在政府采购活动中推行信用承诺制的通知》宁财购通〔2021〕5号规定，</w:t>
      </w:r>
      <w:r>
        <w:rPr>
          <w:rFonts w:ascii="宋体" w:hAnsi="宋体" w:cs="宋体"/>
          <w:color w:val="auto"/>
          <w:szCs w:val="21"/>
          <w:highlight w:val="none"/>
        </w:rPr>
        <w:t>参加</w:t>
      </w:r>
      <w:r>
        <w:rPr>
          <w:rFonts w:ascii="宋体" w:hAnsi="宋体" w:cs="宋体"/>
          <w:color w:val="auto"/>
          <w:szCs w:val="21"/>
          <w:highlight w:val="none"/>
          <w:lang w:val="zh-CN"/>
        </w:rPr>
        <w:t>南京地区采购活动的供应商，应以书面形式向采购人或政府采购代理机构作出信用承诺。供应商按附件格式填写《南京市政府采购供应商信用承诺书》，</w:t>
      </w:r>
      <w:r>
        <w:rPr>
          <w:rFonts w:ascii="宋体" w:hAnsi="宋体" w:cs="宋体"/>
          <w:b/>
          <w:bCs/>
          <w:color w:val="auto"/>
          <w:szCs w:val="21"/>
          <w:highlight w:val="none"/>
          <w:lang w:val="zh-CN"/>
        </w:rPr>
        <w:t>由</w:t>
      </w:r>
      <w:r>
        <w:rPr>
          <w:rFonts w:ascii="宋体" w:hAnsi="宋体" w:cs="宋体"/>
          <w:b/>
          <w:bCs/>
          <w:color w:val="auto"/>
          <w:szCs w:val="21"/>
          <w:highlight w:val="none"/>
        </w:rPr>
        <w:t>法定代表人</w:t>
      </w:r>
      <w:r>
        <w:rPr>
          <w:rFonts w:ascii="宋体" w:hAnsi="宋体" w:cs="宋体"/>
          <w:b/>
          <w:bCs/>
          <w:color w:val="auto"/>
          <w:szCs w:val="21"/>
          <w:highlight w:val="none"/>
          <w:lang w:val="zh-CN"/>
        </w:rPr>
        <w:t>签字并盖单位公章，</w:t>
      </w:r>
      <w:r>
        <w:rPr>
          <w:rFonts w:ascii="宋体" w:hAnsi="宋体" w:cs="宋体"/>
          <w:b/>
          <w:bCs/>
          <w:color w:val="auto"/>
          <w:szCs w:val="21"/>
          <w:highlight w:val="none"/>
        </w:rPr>
        <w:t>随响应文件一并递交。</w:t>
      </w:r>
    </w:p>
    <w:p w14:paraId="4C4BC1F1">
      <w:pPr>
        <w:widowControl/>
        <w:spacing w:after="0" w:line="360" w:lineRule="auto"/>
        <w:ind w:firstLine="363" w:firstLineChars="173"/>
        <w:rPr>
          <w:rFonts w:ascii="宋体" w:hAnsi="宋体" w:cs="宋体"/>
          <w:color w:val="auto"/>
          <w:szCs w:val="21"/>
          <w:highlight w:val="none"/>
          <w:lang w:val="zh-CN"/>
        </w:rPr>
      </w:pPr>
      <w:r>
        <w:rPr>
          <w:rFonts w:ascii="宋体" w:hAnsi="宋体" w:cs="宋体"/>
          <w:color w:val="auto"/>
          <w:szCs w:val="21"/>
          <w:highlight w:val="none"/>
          <w:lang w:val="zh-CN"/>
        </w:rPr>
        <w:t>在政府采购资格审查环节，供应商只需提供书面《南京市政府采购供应商信用承诺书》，即可替代以下证明材料：</w:t>
      </w:r>
    </w:p>
    <w:p w14:paraId="57768C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（1）符合国家相关规定的财务状况报告；</w:t>
      </w:r>
    </w:p>
    <w:p w14:paraId="6D6A93BA">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（2）依法缴纳税收的证明材料；</w:t>
      </w:r>
    </w:p>
    <w:p w14:paraId="0024DDC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（3）依法缴纳社会保障资金的证明材料；</w:t>
      </w:r>
    </w:p>
    <w:p w14:paraId="102F6626">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（4）具备履行政府采购合同所必需的设备和专业技术能力的证明材料；</w:t>
      </w:r>
    </w:p>
    <w:p w14:paraId="2C753EC0">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（5）参加政府采购活动前三年内在经营活动中没有重大违法记录的证明材料；</w:t>
      </w:r>
    </w:p>
    <w:p w14:paraId="26484FB3">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（6）未被列入失信被执行人、重大税收违法失信主体、政府采购严重违法失信行为记录名单的证明材料。</w:t>
      </w:r>
    </w:p>
    <w:p w14:paraId="471E3207">
      <w:pPr>
        <w:widowControl/>
        <w:spacing w:line="360" w:lineRule="auto"/>
        <w:ind w:firstLine="363" w:firstLineChars="173"/>
        <w:rPr>
          <w:rFonts w:ascii="宋体" w:hAnsi="宋体" w:cs="宋体"/>
          <w:color w:val="auto"/>
          <w:szCs w:val="21"/>
          <w:highlight w:val="none"/>
          <w:lang w:val="zh-CN"/>
        </w:rPr>
      </w:pPr>
      <w:r>
        <w:rPr>
          <w:rFonts w:hint="eastAsia" w:ascii="宋体" w:hAnsi="宋体" w:cs="宋体"/>
          <w:color w:val="auto"/>
          <w:szCs w:val="21"/>
          <w:highlight w:val="none"/>
          <w:lang w:val="zh-CN"/>
        </w:rPr>
        <w:t>供应商在中标（成交）后，应按采购文件要求，将上述由信用承诺书替代的证明材料提交采购人或采购代理机构核验。经核验无误后，由采购人或采购代理机构发出中标（成交）通知书。</w:t>
      </w:r>
    </w:p>
    <w:p w14:paraId="62BF8455">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供应商涉及以下情形的，不适用信用承诺： </w:t>
      </w:r>
    </w:p>
    <w:p w14:paraId="17296366">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（1）供应商被列入严重失信主体名单； </w:t>
      </w:r>
    </w:p>
    <w:p w14:paraId="4211203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（2）被相关监管部门作出行政处罚且尚在处罚有效期内； </w:t>
      </w:r>
    </w:p>
    <w:p w14:paraId="422596A7">
      <w:pPr>
        <w:widowControl/>
        <w:spacing w:line="360" w:lineRule="auto"/>
        <w:ind w:firstLine="365" w:firstLineChars="173"/>
        <w:rPr>
          <w:rFonts w:ascii="宋体" w:hAnsi="宋体" w:cs="宋体"/>
          <w:b/>
          <w:bCs/>
          <w:color w:val="auto"/>
          <w:szCs w:val="21"/>
          <w:highlight w:val="none"/>
          <w:lang w:val="zh-CN"/>
        </w:rPr>
      </w:pPr>
      <w:r>
        <w:rPr>
          <w:rFonts w:hint="eastAsia" w:ascii="宋体" w:hAnsi="宋体" w:cs="宋体"/>
          <w:b/>
          <w:bCs/>
          <w:color w:val="auto"/>
          <w:szCs w:val="21"/>
          <w:highlight w:val="none"/>
          <w:lang w:val="zh-CN"/>
        </w:rPr>
        <w:t>（3）其他法律、行政法规规定的不适用信用承诺的情形。 </w:t>
      </w:r>
    </w:p>
    <w:p w14:paraId="5257BA92">
      <w:pPr>
        <w:widowControl/>
        <w:spacing w:line="360" w:lineRule="auto"/>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供应商对信用承诺内容的真实性、合法性、有效性负责。如作出虚假信用承诺，视同为“提供虚假材料谋取中标、成交”的违法行为。</w:t>
      </w:r>
    </w:p>
    <w:p w14:paraId="17ABCD6B">
      <w:pPr>
        <w:pStyle w:val="58"/>
        <w:rPr>
          <w:color w:val="auto"/>
          <w:highlight w:val="none"/>
        </w:rPr>
      </w:pPr>
    </w:p>
    <w:p w14:paraId="33B6E8EE">
      <w:pPr>
        <w:widowControl/>
        <w:spacing w:line="360" w:lineRule="auto"/>
        <w:rPr>
          <w:rFonts w:hint="eastAsia" w:ascii="宋体" w:hAnsi="宋体" w:cs="宋体"/>
          <w:b/>
          <w:color w:val="auto"/>
          <w:spacing w:val="8"/>
          <w:kern w:val="0"/>
          <w:sz w:val="24"/>
          <w:highlight w:val="none"/>
        </w:rPr>
      </w:pPr>
      <w:r>
        <w:rPr>
          <w:rFonts w:hint="eastAsia" w:ascii="宋体" w:hAnsi="宋体" w:cs="宋体"/>
          <w:b/>
          <w:color w:val="auto"/>
          <w:spacing w:val="8"/>
          <w:kern w:val="0"/>
          <w:sz w:val="24"/>
          <w:highlight w:val="none"/>
        </w:rPr>
        <w:t>七、对本次招标提出询问，请按以下方式联系</w:t>
      </w:r>
    </w:p>
    <w:p w14:paraId="1D71FAED">
      <w:pPr>
        <w:widowControl/>
        <w:spacing w:line="360" w:lineRule="auto"/>
        <w:ind w:firstLine="363" w:firstLineChars="173"/>
        <w:rPr>
          <w:rFonts w:ascii="宋体" w:hAnsi="宋体" w:cs="宋体"/>
          <w:bCs/>
          <w:color w:val="auto"/>
          <w:szCs w:val="21"/>
          <w:highlight w:val="none"/>
        </w:rPr>
      </w:pPr>
      <w:r>
        <w:rPr>
          <w:rFonts w:hint="eastAsia" w:ascii="宋体" w:hAnsi="宋体" w:cs="宋体"/>
          <w:bCs/>
          <w:color w:val="auto"/>
          <w:szCs w:val="21"/>
          <w:highlight w:val="none"/>
        </w:rPr>
        <w:t>7.1采购人信息</w:t>
      </w:r>
    </w:p>
    <w:p w14:paraId="58FE467B">
      <w:pPr>
        <w:widowControl/>
        <w:spacing w:line="360" w:lineRule="auto"/>
        <w:ind w:firstLine="363" w:firstLineChars="173"/>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名称：</w:t>
      </w:r>
      <w:r>
        <w:rPr>
          <w:rFonts w:hint="eastAsia" w:ascii="宋体" w:hAnsi="宋体" w:cs="宋体"/>
          <w:bCs/>
          <w:color w:val="auto"/>
          <w:szCs w:val="21"/>
          <w:highlight w:val="none"/>
          <w:lang w:eastAsia="zh-CN"/>
        </w:rPr>
        <w:t>南京市栖霞区城市管理局</w:t>
      </w:r>
    </w:p>
    <w:p w14:paraId="5F553298">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联系人：华坤</w:t>
      </w:r>
    </w:p>
    <w:p w14:paraId="71A55C91">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联系电话：</w:t>
      </w:r>
      <w:r>
        <w:rPr>
          <w:rFonts w:hint="eastAsia" w:ascii="宋体" w:hAnsi="宋体" w:cs="宋体"/>
          <w:bCs/>
          <w:color w:val="auto"/>
          <w:szCs w:val="21"/>
          <w:highlight w:val="none"/>
          <w:lang w:val="en-US" w:eastAsia="zh-CN"/>
        </w:rPr>
        <w:t>025-85328072</w:t>
      </w:r>
    </w:p>
    <w:p w14:paraId="5B35BCE8">
      <w:pPr>
        <w:widowControl/>
        <w:spacing w:line="360" w:lineRule="auto"/>
        <w:ind w:firstLine="363" w:firstLineChars="173"/>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地址：南京市栖霞区仙林大学城文成路1号</w:t>
      </w:r>
    </w:p>
    <w:p w14:paraId="6F38E7FD">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7.2采购代理机构信息</w:t>
      </w:r>
    </w:p>
    <w:p w14:paraId="6C267F58">
      <w:pPr>
        <w:widowControl/>
        <w:spacing w:line="360" w:lineRule="auto"/>
        <w:ind w:firstLine="363" w:firstLineChars="173"/>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rPr>
        <w:t>名称：</w:t>
      </w:r>
      <w:r>
        <w:rPr>
          <w:rFonts w:hint="eastAsia" w:ascii="宋体" w:hAnsi="宋体" w:cs="宋体"/>
          <w:bCs/>
          <w:color w:val="auto"/>
          <w:szCs w:val="21"/>
          <w:highlight w:val="none"/>
          <w:lang w:eastAsia="zh-CN"/>
        </w:rPr>
        <w:t>江苏泰鼎工程咨询有限公司</w:t>
      </w:r>
    </w:p>
    <w:p w14:paraId="046F28D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地址：南京市建邺区江东中路108号万达中心C座1303室</w:t>
      </w:r>
    </w:p>
    <w:p w14:paraId="791F2E57">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75AEBC89">
      <w:pPr>
        <w:widowControl/>
        <w:spacing w:line="360" w:lineRule="auto"/>
        <w:ind w:firstLine="363" w:firstLineChars="173"/>
        <w:rPr>
          <w:rFonts w:hint="default" w:ascii="宋体" w:hAnsi="宋体" w:eastAsia="宋体" w:cs="宋体"/>
          <w:bCs/>
          <w:color w:val="auto"/>
          <w:szCs w:val="21"/>
          <w:highlight w:val="none"/>
          <w:lang w:val="en-US" w:eastAsia="zh-CN"/>
        </w:rPr>
      </w:pPr>
      <w:r>
        <w:rPr>
          <w:rFonts w:hint="eastAsia" w:ascii="宋体" w:hAnsi="宋体" w:cs="宋体"/>
          <w:bCs/>
          <w:color w:val="auto"/>
          <w:szCs w:val="21"/>
          <w:highlight w:val="none"/>
        </w:rPr>
        <w:t>电子邮箱：</w:t>
      </w:r>
      <w:r>
        <w:rPr>
          <w:rFonts w:hint="eastAsia" w:ascii="宋体" w:hAnsi="宋体" w:cs="宋体"/>
          <w:bCs/>
          <w:color w:val="auto"/>
          <w:szCs w:val="21"/>
          <w:highlight w:val="none"/>
          <w:lang w:val="en-US" w:eastAsia="zh-CN"/>
        </w:rPr>
        <w:t>3842687197@qq.com</w:t>
      </w:r>
    </w:p>
    <w:p w14:paraId="66ED29DF">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联系方式：15077870622</w:t>
      </w:r>
    </w:p>
    <w:p w14:paraId="12F1617E">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7.3项目联系方式</w:t>
      </w:r>
    </w:p>
    <w:p w14:paraId="19872C96">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联系人：</w:t>
      </w:r>
      <w:r>
        <w:rPr>
          <w:rFonts w:hint="eastAsia" w:ascii="宋体" w:hAnsi="宋体" w:cs="宋体"/>
          <w:bCs/>
          <w:color w:val="auto"/>
          <w:szCs w:val="21"/>
          <w:highlight w:val="none"/>
          <w:lang w:val="en-US" w:eastAsia="zh-CN"/>
        </w:rPr>
        <w:t>陈工、肖工</w:t>
      </w:r>
    </w:p>
    <w:p w14:paraId="1D807C2D">
      <w:pPr>
        <w:widowControl/>
        <w:spacing w:line="360" w:lineRule="auto"/>
        <w:ind w:firstLine="363" w:firstLineChars="173"/>
        <w:rPr>
          <w:rFonts w:hint="eastAsia" w:ascii="宋体" w:hAnsi="宋体" w:cs="宋体"/>
          <w:bCs/>
          <w:color w:val="auto"/>
          <w:szCs w:val="21"/>
          <w:highlight w:val="none"/>
        </w:rPr>
      </w:pPr>
      <w:r>
        <w:rPr>
          <w:rFonts w:hint="eastAsia" w:ascii="宋体" w:hAnsi="宋体" w:cs="宋体"/>
          <w:bCs/>
          <w:color w:val="auto"/>
          <w:szCs w:val="21"/>
          <w:highlight w:val="none"/>
        </w:rPr>
        <w:t>电话：15077870622</w:t>
      </w:r>
    </w:p>
    <w:p w14:paraId="7F7EBF82">
      <w:pPr>
        <w:widowControl/>
        <w:spacing w:line="360" w:lineRule="auto"/>
        <w:ind w:firstLine="363" w:firstLineChars="173"/>
        <w:rPr>
          <w:rFonts w:hint="eastAsia" w:ascii="宋体" w:hAnsi="宋体" w:cs="宋体"/>
          <w:color w:val="auto"/>
          <w:highlight w:val="none"/>
        </w:rPr>
      </w:pPr>
      <w:r>
        <w:rPr>
          <w:rFonts w:hint="eastAsia" w:ascii="宋体" w:hAnsi="宋体" w:cs="宋体"/>
          <w:color w:val="auto"/>
          <w:highlight w:val="none"/>
        </w:rPr>
        <w:br w:type="page"/>
      </w:r>
    </w:p>
    <w:p w14:paraId="1BDB1F34">
      <w:pPr>
        <w:pStyle w:val="2"/>
        <w:spacing w:line="360" w:lineRule="auto"/>
        <w:jc w:val="center"/>
        <w:rPr>
          <w:rFonts w:hint="eastAsia" w:ascii="宋体" w:hAnsi="宋体" w:cs="宋体"/>
          <w:color w:val="auto"/>
          <w:highlight w:val="none"/>
        </w:rPr>
      </w:pPr>
      <w:bookmarkStart w:id="4" w:name="_Toc7039"/>
      <w:bookmarkStart w:id="5" w:name="_Toc452625218"/>
      <w:r>
        <w:rPr>
          <w:rFonts w:hint="eastAsia" w:ascii="宋体" w:hAnsi="宋体" w:cs="宋体"/>
          <w:color w:val="auto"/>
          <w:highlight w:val="none"/>
        </w:rPr>
        <w:t>投标人须知</w:t>
      </w:r>
      <w:bookmarkEnd w:id="4"/>
      <w:bookmarkEnd w:id="5"/>
    </w:p>
    <w:p w14:paraId="70CFFA90">
      <w:pPr>
        <w:widowControl/>
        <w:shd w:val="clear" w:color="auto" w:fill="FFFFFF"/>
        <w:spacing w:line="360" w:lineRule="auto"/>
        <w:ind w:firstLine="424" w:firstLineChars="201"/>
        <w:rPr>
          <w:rFonts w:hint="eastAsia" w:ascii="宋体" w:hAnsi="宋体" w:cs="宋体"/>
          <w:color w:val="auto"/>
          <w:kern w:val="0"/>
          <w:szCs w:val="21"/>
          <w:highlight w:val="none"/>
        </w:rPr>
      </w:pPr>
      <w:r>
        <w:rPr>
          <w:rFonts w:hint="eastAsia" w:ascii="宋体" w:hAnsi="宋体" w:cs="宋体"/>
          <w:b/>
          <w:bCs/>
          <w:color w:val="auto"/>
          <w:kern w:val="0"/>
          <w:szCs w:val="21"/>
          <w:highlight w:val="none"/>
        </w:rPr>
        <w:t>一、总 则</w:t>
      </w:r>
    </w:p>
    <w:p w14:paraId="7E9E081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1、适用法律</w:t>
      </w:r>
    </w:p>
    <w:p w14:paraId="70BB413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本次招标，适用《中华人民共和国政府采购法》（以下简称政府采购法）《中华人民共和国政府采购法实施条例》（以下简称政府采购法实施条例）《政府采购货物和服务招标投标管理办法》等法律、行政法规、部门规章和规范性文件。</w:t>
      </w:r>
    </w:p>
    <w:p w14:paraId="59DC62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2、定义</w:t>
      </w:r>
    </w:p>
    <w:p w14:paraId="0D684D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2.1“采购人”是指依法进行政府采购的国家机关、事业单位、团体组织。</w:t>
      </w:r>
    </w:p>
    <w:p w14:paraId="3417DBB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2.2“投标人（供应商）”是指参加投标竞争，并符合招标文件规定资格条件的法人、其他组织或者自然人。</w:t>
      </w:r>
    </w:p>
    <w:p w14:paraId="74B8730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2.3“采购代理机构”是指集中采购机构和集中采购机构以外的采购代理机构，集中采购机构以外的采购代理机构，是从事采购代理业务的社会中介机构。</w:t>
      </w:r>
    </w:p>
    <w:p w14:paraId="3A56532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2.4“货物和服务”指本招标文件中所述</w:t>
      </w:r>
      <w:r>
        <w:rPr>
          <w:rFonts w:hint="eastAsia" w:ascii="宋体" w:hAnsi="宋体" w:cs="宋体"/>
          <w:bCs/>
          <w:color w:val="auto"/>
          <w:kern w:val="0"/>
          <w:szCs w:val="21"/>
          <w:highlight w:val="none"/>
        </w:rPr>
        <w:t>产品</w:t>
      </w:r>
      <w:r>
        <w:rPr>
          <w:rFonts w:hint="eastAsia" w:ascii="宋体" w:hAnsi="宋体" w:cs="宋体"/>
          <w:color w:val="auto"/>
          <w:kern w:val="0"/>
          <w:szCs w:val="21"/>
          <w:highlight w:val="none"/>
        </w:rPr>
        <w:t>及相关服务。</w:t>
      </w:r>
    </w:p>
    <w:p w14:paraId="6707561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2.5“用户或使用单位”是指使用货物，接受服务的单位。</w:t>
      </w:r>
    </w:p>
    <w:p w14:paraId="05F81E6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3、政策功能</w:t>
      </w:r>
    </w:p>
    <w:p w14:paraId="2F91D3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p>
    <w:p w14:paraId="62A1A6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p>
    <w:p w14:paraId="46E61B8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2595851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p>
    <w:p w14:paraId="6EC034C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3.5强制采购信息安全产品。参加政府采购活动的信息安全产品投标人应当选择经国家认证的信息安全产品投标，并提供由国家信息安全认证中心按国家标准认证颁发的有效认证证书。</w:t>
      </w:r>
    </w:p>
    <w:p w14:paraId="4EE58E8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3.6进口产品政策</w:t>
      </w:r>
    </w:p>
    <w:p w14:paraId="6658403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（1）除招标公告载明接受进口产品参加外，不允许进口产品参加。进口产品认定依照《财政部关于政府采购进口产品管理有关问题的通知》（财办库〔2008〕248号）的规定。</w:t>
      </w:r>
    </w:p>
    <w:p w14:paraId="5B0B01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（2）允许进口产品参加的，满足需求的国内产品可以参加。</w:t>
      </w:r>
    </w:p>
    <w:p w14:paraId="624969C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（3）允许进口产品参加的，优先采购向我国企业转让技术、与我国企业签订消化吸收再创新方案的投标人的进口产品。</w:t>
      </w:r>
    </w:p>
    <w:p w14:paraId="65C23AA3">
      <w:pPr>
        <w:widowControl/>
        <w:shd w:val="clear" w:color="auto" w:fill="FFFFFF"/>
        <w:spacing w:line="360" w:lineRule="auto"/>
        <w:ind w:firstLine="42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rPr>
        <w:t>3.7 本国产品支持政策</w:t>
      </w:r>
      <w:r>
        <w:rPr>
          <w:rFonts w:hint="eastAsia" w:ascii="宋体" w:hAnsi="宋体" w:cs="宋体"/>
          <w:color w:val="auto"/>
          <w:kern w:val="0"/>
          <w:szCs w:val="21"/>
          <w:highlight w:val="none"/>
          <w:lang w:val="en-US" w:eastAsia="zh-CN"/>
        </w:rPr>
        <w:t>(本项目不适用)</w:t>
      </w:r>
    </w:p>
    <w:p w14:paraId="4562DCA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F85B6D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应当出具《关于符合本国产品标准的声明函》（格式见第六章），否则不得享受价格评审优惠。本国产品支持政策详见《国务院办公厅关于在政府采购中实施本国产品标准及相关政策的通知》（国办发〔2025〕34号）。</w:t>
      </w:r>
    </w:p>
    <w:p w14:paraId="6B8522A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3.8未按要求提供相关材料的，不享受相关政策。</w:t>
      </w:r>
    </w:p>
    <w:p w14:paraId="6D719B9E">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二、招标文件构成</w:t>
      </w:r>
    </w:p>
    <w:p w14:paraId="7C377F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4、招标文件组成</w:t>
      </w:r>
    </w:p>
    <w:p w14:paraId="53D20C3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4.1招标文件包括以下主要内容：</w:t>
      </w:r>
    </w:p>
    <w:p w14:paraId="5FF0A1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（1）招标公告；</w:t>
      </w:r>
    </w:p>
    <w:p w14:paraId="6D9F6C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（2）投标人须知；</w:t>
      </w:r>
    </w:p>
    <w:p w14:paraId="3174FF7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（3）评标标准；</w:t>
      </w:r>
    </w:p>
    <w:p w14:paraId="682EB7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（4）采购需求；</w:t>
      </w:r>
    </w:p>
    <w:p w14:paraId="37EB1C5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（5）合同主要条款及格式；</w:t>
      </w:r>
    </w:p>
    <w:p w14:paraId="13C2641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（6）投标文件格式及附件。</w:t>
      </w:r>
    </w:p>
    <w:p w14:paraId="067354B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如标书制作工具中格式和内容与“江苏政府采购网/中国政府采购网”发布的招标文件不一致的，以上述网站发布的招标文件为准。</w:t>
      </w:r>
    </w:p>
    <w:p w14:paraId="433603E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4.2 招标的最小单位是标段。招标货物数量及技术要求中未分标段的，投标人对要求提供的货物和服务不得部分投标；招标货物数量及技术要求中已经分标段的，可以以标段为单位投标。</w:t>
      </w:r>
    </w:p>
    <w:p w14:paraId="3470740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4.3 采购代理机构如果要求投标人按照招标文件规定提交备选投标方案的，投标人可以提交备选方案；否则，备选方案将被拒绝。</w:t>
      </w:r>
    </w:p>
    <w:p w14:paraId="54FAA85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4.4招标文件中要求的产品品牌或型号，是采购人根据项目所要实现的功能推荐的品牌或型号，仅供投标人参考，并不是限制条件。</w:t>
      </w:r>
    </w:p>
    <w:p w14:paraId="5CDAAF8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5、招标文件的澄清或者修改</w:t>
      </w:r>
    </w:p>
    <w:p w14:paraId="3DD37B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5.1采购人或者采购代理机构可以对已发出的招标文件进行必要的澄清或者修改，但不得改变采购标的和资格条件。澄清或者修改应当在原公告发布媒体上发布澄清公告。澄清或者修改的内容为招标文件的组成部分。</w:t>
      </w:r>
    </w:p>
    <w:p w14:paraId="5F071B8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p>
    <w:p w14:paraId="522525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5.3 投标人应在提交投标文件截止时间前，关注原公告媒体有关本项目的更正公告，根据更正公告内容自行决定是否需要重新制作和提交投标文件，并承担由此产生的相应责任。</w:t>
      </w:r>
    </w:p>
    <w:p w14:paraId="49DF242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三、投标文件的编制</w:t>
      </w:r>
    </w:p>
    <w:p w14:paraId="0B53EBC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6、投标文件的语言、计量单位、货币和编制</w:t>
      </w:r>
    </w:p>
    <w:p w14:paraId="535ACCF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p>
    <w:p w14:paraId="7EE4485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6.2投标人所使用的计量单位应为国家法定计量单位。</w:t>
      </w:r>
    </w:p>
    <w:p w14:paraId="2D802FF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6.3投标人应用人民币报价。投标产品如果是进口产品的，应提供人民币与</w:t>
      </w:r>
      <w:r>
        <w:rPr>
          <w:rFonts w:hint="eastAsia" w:ascii="宋体" w:hAnsi="宋体" w:cs="宋体"/>
          <w:b/>
          <w:bCs/>
          <w:color w:val="auto"/>
          <w:kern w:val="0"/>
          <w:szCs w:val="21"/>
          <w:highlight w:val="none"/>
        </w:rPr>
        <w:t>外币之间的汇率。</w:t>
      </w:r>
    </w:p>
    <w:p w14:paraId="6E9D2C1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6.4投标文件应按照招标文件的规定编写并制作目录。</w:t>
      </w:r>
    </w:p>
    <w:p w14:paraId="7A4A83F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6.5投标人应在投标文件中写清相应的项目编号、项目名称、投标人全称、地址、电话、传真等。</w:t>
      </w:r>
    </w:p>
    <w:p w14:paraId="0E1567E1">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Cs/>
          <w:color w:val="auto"/>
          <w:kern w:val="0"/>
          <w:szCs w:val="21"/>
          <w:highlight w:val="none"/>
        </w:rPr>
        <w:t>6.6</w:t>
      </w:r>
      <w:r>
        <w:rPr>
          <w:rFonts w:hint="eastAsia" w:ascii="宋体" w:hAnsi="宋体" w:cs="宋体"/>
          <w:color w:val="auto"/>
          <w:kern w:val="0"/>
          <w:szCs w:val="21"/>
          <w:highlight w:val="none"/>
        </w:rPr>
        <w:t>投标人根据招标文件载明的标的采购项目实际情况，拟在中标后将中标项目的非主体、非关键性工作交由他人完成的，应当在投标文件中载明。</w:t>
      </w:r>
    </w:p>
    <w:p w14:paraId="57C9A961">
      <w:pPr>
        <w:widowControl/>
        <w:numPr>
          <w:ilvl w:val="0"/>
          <w:numId w:val="4"/>
        </w:numPr>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联合体投标</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本项目不接受</w:t>
      </w:r>
      <w:r>
        <w:rPr>
          <w:rFonts w:hint="eastAsia" w:ascii="宋体" w:hAnsi="宋体" w:cs="宋体"/>
          <w:b/>
          <w:bCs/>
          <w:color w:val="auto"/>
          <w:kern w:val="0"/>
          <w:szCs w:val="21"/>
          <w:highlight w:val="none"/>
          <w:lang w:eastAsia="zh-CN"/>
        </w:rPr>
        <w:t>）</w:t>
      </w:r>
    </w:p>
    <w:p w14:paraId="285BA6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7.1 两个以上的自然人、法人或者其他组织可以组成一个联合体，以一个投标人的身份共同参加政府采购。</w:t>
      </w:r>
    </w:p>
    <w:p w14:paraId="0924FD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7.2 联合体中有同类资质的投标人按照联合体分工承担相同工作的，按照资质等级较低的投标人确定资质等级。</w:t>
      </w:r>
    </w:p>
    <w:p w14:paraId="68F33E19">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7.3 联合体各方之间应当签订联合体协议，明确约定联合体各方承担的工作和相应的责任，并将联合体协议连同投标文件一同提交。</w:t>
      </w:r>
    </w:p>
    <w:p w14:paraId="13C5E6C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7.4 以联合体形式参加政府采购活动的，联合体各方不得再单独参加或者与其他投标人另外组成联合体参加同一合同项下的政府采购活动。</w:t>
      </w:r>
    </w:p>
    <w:p w14:paraId="0CB10E70">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8、投标文件的组成</w:t>
      </w:r>
    </w:p>
    <w:p w14:paraId="7F2408C2">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color w:val="auto"/>
          <w:kern w:val="0"/>
          <w:szCs w:val="21"/>
          <w:highlight w:val="none"/>
        </w:rPr>
        <w:t>8.1投标人应当根据招标文件要求编制投标文件，投标文件应对招标文件提出的要求和条件作出实质性响应，并在《商务条款偏离表》和《</w:t>
      </w:r>
      <w:r>
        <w:rPr>
          <w:rFonts w:hint="eastAsia" w:ascii="宋体" w:hAnsi="宋体" w:cs="宋体"/>
          <w:color w:val="auto"/>
          <w:kern w:val="0"/>
          <w:szCs w:val="21"/>
          <w:highlight w:val="none"/>
          <w:lang w:eastAsia="zh-CN"/>
        </w:rPr>
        <w:t>采购需求偏离表</w:t>
      </w:r>
      <w:r>
        <w:rPr>
          <w:rFonts w:hint="eastAsia" w:ascii="宋体" w:hAnsi="宋体" w:cs="宋体"/>
          <w:color w:val="auto"/>
          <w:kern w:val="0"/>
          <w:szCs w:val="21"/>
          <w:highlight w:val="none"/>
        </w:rPr>
        <w:t>》等处逐条标明满足与否。</w:t>
      </w:r>
      <w:r>
        <w:rPr>
          <w:rFonts w:hint="eastAsia" w:ascii="宋体" w:hAnsi="宋体" w:cs="宋体"/>
          <w:b/>
          <w:color w:val="auto"/>
          <w:kern w:val="0"/>
          <w:szCs w:val="21"/>
          <w:highlight w:val="none"/>
        </w:rPr>
        <w:t>对带</w:t>
      </w:r>
      <w:r>
        <w:rPr>
          <w:rFonts w:hint="eastAsia" w:ascii="宋体" w:hAnsi="宋体" w:cs="宋体"/>
          <w:b/>
          <w:bCs/>
          <w:color w:val="auto"/>
          <w:kern w:val="0"/>
          <w:szCs w:val="21"/>
          <w:highlight w:val="none"/>
        </w:rPr>
        <w:t>星号（“</w:t>
      </w:r>
      <w:r>
        <w:rPr>
          <w:rFonts w:hint="eastAsia"/>
          <w:color w:val="auto"/>
          <w:highlight w:val="none"/>
        </w:rPr>
        <w:t>★</w:t>
      </w:r>
      <w:r>
        <w:rPr>
          <w:rFonts w:hint="eastAsia" w:ascii="宋体" w:hAnsi="宋体" w:cs="宋体"/>
          <w:b/>
          <w:bCs/>
          <w:color w:val="auto"/>
          <w:kern w:val="0"/>
          <w:szCs w:val="21"/>
          <w:highlight w:val="none"/>
        </w:rPr>
        <w:t>”）的技术条款必须在投标文件中提供技术支持资料</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如需要</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具体以采购需求中文件要求为准</w:t>
      </w:r>
      <w:r>
        <w:rPr>
          <w:rFonts w:hint="eastAsia" w:ascii="宋体" w:hAnsi="宋体" w:cs="宋体"/>
          <w:b/>
          <w:bCs/>
          <w:color w:val="auto"/>
          <w:kern w:val="0"/>
          <w:szCs w:val="21"/>
          <w:highlight w:val="none"/>
        </w:rPr>
        <w:t>。</w:t>
      </w:r>
    </w:p>
    <w:p w14:paraId="00C81B9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8.2 投标文件由商务、技术、价格以及其他部分内容组成。投标文件目录及有关格式按招标文件“第六章 投标文件格式及附件”的要求编制。</w:t>
      </w:r>
    </w:p>
    <w:p w14:paraId="493EA68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9、投标文件的商务内容</w:t>
      </w:r>
    </w:p>
    <w:p w14:paraId="396D7D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9.1商务部分内容是证明投标人有资格参加投标和中标后有能力履行合同的文件，这些文件应能满足招标的要求，包括但不限于下列文件（</w:t>
      </w:r>
      <w:r>
        <w:rPr>
          <w:rFonts w:hint="eastAsia" w:ascii="宋体" w:hAnsi="宋体" w:cs="宋体"/>
          <w:b/>
          <w:color w:val="auto"/>
          <w:kern w:val="0"/>
          <w:szCs w:val="21"/>
          <w:highlight w:val="none"/>
        </w:rPr>
        <w:t>（1）-（5）所述材料不得有缺失或提供不全或不满足招标文件的实质性要求</w:t>
      </w:r>
      <w:r>
        <w:rPr>
          <w:rFonts w:hint="eastAsia" w:ascii="宋体" w:hAnsi="宋体" w:cs="宋体"/>
          <w:color w:val="auto"/>
          <w:kern w:val="0"/>
          <w:szCs w:val="21"/>
          <w:highlight w:val="none"/>
        </w:rPr>
        <w:t>）：</w:t>
      </w:r>
    </w:p>
    <w:p w14:paraId="3D0938E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（1）投标函（投标申请及声明）</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1D094AA2">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（2）法人授权书</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r>
        <w:rPr>
          <w:rFonts w:hint="eastAsia" w:ascii="宋体" w:hAnsi="宋体" w:cs="宋体"/>
          <w:color w:val="auto"/>
          <w:kern w:val="0"/>
          <w:szCs w:val="21"/>
          <w:highlight w:val="none"/>
        </w:rPr>
        <w:t>；</w:t>
      </w:r>
    </w:p>
    <w:p w14:paraId="0F2B526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（3）投标人资格资信证明文件：</w:t>
      </w:r>
    </w:p>
    <w:p w14:paraId="5E246E8A">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2.1《中华人民共和国政府采购法》规定的资格条件证明文件；</w:t>
      </w:r>
    </w:p>
    <w:p w14:paraId="344EE148">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2.2</w:t>
      </w:r>
      <w:r>
        <w:rPr>
          <w:rFonts w:hint="eastAsia" w:ascii="宋体" w:hAnsi="宋体" w:cs="宋体"/>
          <w:color w:val="auto"/>
          <w:spacing w:val="8"/>
          <w:kern w:val="0"/>
          <w:szCs w:val="21"/>
          <w:highlight w:val="none"/>
        </w:rPr>
        <w:t>落实政府采购政策需满足的资格要求；</w:t>
      </w:r>
    </w:p>
    <w:p w14:paraId="7EAF6557">
      <w:pPr>
        <w:numPr>
          <w:ilvl w:val="1"/>
          <w:numId w:val="5"/>
        </w:numPr>
        <w:tabs>
          <w:tab w:val="left" w:pos="840"/>
        </w:tabs>
        <w:spacing w:line="360" w:lineRule="auto"/>
        <w:ind w:left="0" w:firstLine="367" w:firstLineChars="175"/>
        <w:rPr>
          <w:rFonts w:hint="eastAsia" w:ascii="宋体" w:hAnsi="宋体" w:cs="宋体"/>
          <w:bCs/>
          <w:color w:val="auto"/>
          <w:szCs w:val="21"/>
          <w:highlight w:val="none"/>
        </w:rPr>
      </w:pPr>
      <w:r>
        <w:rPr>
          <w:rFonts w:hint="eastAsia" w:ascii="宋体" w:hAnsi="宋体" w:cs="宋体"/>
          <w:bCs/>
          <w:color w:val="auto"/>
          <w:szCs w:val="21"/>
          <w:highlight w:val="none"/>
        </w:rPr>
        <w:t>第一章招标公告中 2.3 采购人根据采购项目的特殊要求规定的特定条件证明文件。</w:t>
      </w:r>
    </w:p>
    <w:p w14:paraId="1DEE4BE1">
      <w:pPr>
        <w:widowControl/>
        <w:shd w:val="clear" w:color="auto" w:fill="FFFFFF"/>
        <w:spacing w:line="360" w:lineRule="auto"/>
        <w:ind w:firstLine="420" w:firstLineChars="20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（4）开标一览表</w:t>
      </w:r>
      <w:r>
        <w:rPr>
          <w:rFonts w:hint="eastAsia" w:ascii="宋体" w:hAnsi="宋体" w:cs="宋体"/>
          <w:bCs/>
          <w:color w:val="auto"/>
          <w:szCs w:val="21"/>
          <w:highlight w:val="none"/>
        </w:rPr>
        <w:t>（</w:t>
      </w:r>
      <w:r>
        <w:rPr>
          <w:rFonts w:hint="eastAsia" w:ascii="宋体" w:hAnsi="宋体" w:cs="宋体"/>
          <w:b/>
          <w:bCs/>
          <w:color w:val="auto"/>
          <w:szCs w:val="21"/>
          <w:highlight w:val="none"/>
        </w:rPr>
        <w:t>格式见第六章</w:t>
      </w:r>
      <w:r>
        <w:rPr>
          <w:rFonts w:hint="eastAsia" w:ascii="宋体" w:hAnsi="宋体" w:cs="宋体"/>
          <w:bCs/>
          <w:color w:val="auto"/>
          <w:szCs w:val="21"/>
          <w:highlight w:val="none"/>
        </w:rPr>
        <w:t>）；</w:t>
      </w:r>
    </w:p>
    <w:p w14:paraId="1F152A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（5）《</w:t>
      </w:r>
      <w:r>
        <w:rPr>
          <w:rFonts w:hint="eastAsia" w:ascii="宋体" w:hAnsi="宋体" w:cs="宋体"/>
          <w:color w:val="auto"/>
          <w:kern w:val="0"/>
          <w:szCs w:val="21"/>
          <w:highlight w:val="none"/>
          <w:lang w:eastAsia="zh-CN"/>
        </w:rPr>
        <w:t>南京市政府采购供应商信用承诺书</w:t>
      </w:r>
      <w:r>
        <w:rPr>
          <w:rFonts w:hint="eastAsia" w:ascii="宋体" w:hAnsi="宋体" w:cs="宋体"/>
          <w:color w:val="auto"/>
          <w:kern w:val="0"/>
          <w:szCs w:val="21"/>
          <w:highlight w:val="none"/>
        </w:rPr>
        <w:t>》</w:t>
      </w:r>
      <w:r>
        <w:rPr>
          <w:rFonts w:hint="eastAsia" w:ascii="宋体" w:hAnsi="宋体" w:cs="宋体"/>
          <w:b/>
          <w:color w:val="auto"/>
          <w:szCs w:val="21"/>
          <w:highlight w:val="none"/>
          <w:lang w:val="zh-CN"/>
        </w:rPr>
        <w:t>；</w:t>
      </w:r>
    </w:p>
    <w:p w14:paraId="1332144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（6）《商务条款偏离表》；</w:t>
      </w:r>
    </w:p>
    <w:p w14:paraId="3375F7BB">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（7）第三章评标标准中对应的所需证明材料（如有自行添加）；</w:t>
      </w:r>
    </w:p>
    <w:p w14:paraId="07C5561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（8）要求采购人提供的配合（如有自拟并自行添加）；</w:t>
      </w:r>
    </w:p>
    <w:p w14:paraId="56E5341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（9）其他（投标人认为有必要提供的声明和文件，如有，自行拟定并添加）。</w:t>
      </w:r>
    </w:p>
    <w:p w14:paraId="76D8BF8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10、投标文件的技术内容</w:t>
      </w:r>
    </w:p>
    <w:p w14:paraId="084FD714">
      <w:pPr>
        <w:widowControl/>
        <w:adjustRightInd w:val="0"/>
        <w:spacing w:line="360" w:lineRule="auto"/>
        <w:ind w:firstLine="420"/>
        <w:jc w:val="left"/>
        <w:rPr>
          <w:rFonts w:hint="eastAsia" w:ascii="宋体" w:hAnsi="宋体" w:cs="宋体"/>
          <w:color w:val="auto"/>
          <w:szCs w:val="21"/>
          <w:highlight w:val="none"/>
          <w:lang w:val="zh-CN"/>
        </w:rPr>
      </w:pPr>
      <w:r>
        <w:rPr>
          <w:rFonts w:hint="eastAsia" w:ascii="宋体" w:hAnsi="宋体" w:cs="宋体"/>
          <w:color w:val="auto"/>
          <w:szCs w:val="21"/>
          <w:highlight w:val="none"/>
          <w:lang w:val="zh-CN"/>
        </w:rPr>
        <w:t>技术部分</w:t>
      </w:r>
      <w:r>
        <w:rPr>
          <w:rFonts w:hint="eastAsia" w:ascii="宋体" w:hAnsi="宋体" w:cs="宋体"/>
          <w:color w:val="auto"/>
          <w:kern w:val="0"/>
          <w:szCs w:val="21"/>
          <w:highlight w:val="none"/>
        </w:rPr>
        <w:t>内容</w:t>
      </w:r>
      <w:r>
        <w:rPr>
          <w:rFonts w:hint="eastAsia" w:ascii="宋体" w:hAnsi="宋体" w:cs="宋体"/>
          <w:color w:val="auto"/>
          <w:szCs w:val="21"/>
          <w:highlight w:val="none"/>
          <w:lang w:val="zh-CN"/>
        </w:rPr>
        <w:t>是证明</w:t>
      </w:r>
      <w:r>
        <w:rPr>
          <w:rFonts w:hint="eastAsia" w:ascii="宋体" w:hAnsi="宋体" w:cs="宋体"/>
          <w:color w:val="auto"/>
          <w:szCs w:val="21"/>
          <w:highlight w:val="none"/>
        </w:rPr>
        <w:t>投标人提供的货物和服务是合格的、并符合招标文件要求的证明文件，以及</w:t>
      </w:r>
      <w:r>
        <w:rPr>
          <w:rFonts w:hint="eastAsia" w:ascii="宋体" w:hAnsi="宋体" w:cs="宋体"/>
          <w:color w:val="auto"/>
          <w:szCs w:val="21"/>
          <w:highlight w:val="none"/>
          <w:lang w:val="zh-CN"/>
        </w:rPr>
        <w:t>对货物和服务的详细说明，这些文件可以是文字资料、图纸、数据</w:t>
      </w:r>
      <w:r>
        <w:rPr>
          <w:rFonts w:hint="eastAsia" w:ascii="宋体" w:hAnsi="宋体" w:cs="宋体"/>
          <w:color w:val="auto"/>
          <w:szCs w:val="21"/>
          <w:highlight w:val="none"/>
        </w:rPr>
        <w:t>或其他证明文件</w:t>
      </w:r>
      <w:r>
        <w:rPr>
          <w:rFonts w:hint="eastAsia" w:ascii="宋体" w:hAnsi="宋体" w:cs="宋体"/>
          <w:color w:val="auto"/>
          <w:szCs w:val="21"/>
          <w:highlight w:val="none"/>
          <w:lang w:val="zh-CN"/>
        </w:rPr>
        <w:t>等。提供的货物和服务如与招标文件要求有不符之处，应说明其差别之所在。包括但不限于下列文件：</w:t>
      </w:r>
    </w:p>
    <w:p w14:paraId="74748182">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（1）技术说明或服务方案；</w:t>
      </w:r>
    </w:p>
    <w:p w14:paraId="7CCCC93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（2）《采购需求偏离表》；</w:t>
      </w:r>
    </w:p>
    <w:p w14:paraId="547B108E">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（3）服务承诺；</w:t>
      </w:r>
    </w:p>
    <w:p w14:paraId="7034BB47">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（4）投标人拟投入本项目的设备、人员情况一览表；</w:t>
      </w:r>
    </w:p>
    <w:p w14:paraId="1D8F4AD1">
      <w:pPr>
        <w:widowControl/>
        <w:adjustRightInd w:val="0"/>
        <w:spacing w:line="360" w:lineRule="auto"/>
        <w:ind w:firstLine="420"/>
        <w:jc w:val="left"/>
        <w:rPr>
          <w:rFonts w:hint="eastAsia" w:ascii="宋体" w:hAnsi="宋体" w:cs="宋体"/>
          <w:color w:val="auto"/>
          <w:kern w:val="0"/>
          <w:szCs w:val="21"/>
          <w:highlight w:val="none"/>
          <w:lang w:val="zh-CN"/>
        </w:rPr>
      </w:pPr>
      <w:r>
        <w:rPr>
          <w:rFonts w:hint="eastAsia" w:ascii="宋体" w:hAnsi="宋体" w:cs="宋体"/>
          <w:color w:val="auto"/>
          <w:kern w:val="0"/>
          <w:szCs w:val="21"/>
          <w:highlight w:val="none"/>
          <w:lang w:val="zh-CN"/>
        </w:rPr>
        <w:t>（5）投标人认为需要提供的其他技术资料。</w:t>
      </w:r>
    </w:p>
    <w:p w14:paraId="352607F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11、投标文件的价格内容</w:t>
      </w:r>
    </w:p>
    <w:p w14:paraId="386990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11.1价格部分内容是对采购标的价格构成的说明，招标文件如无特别说明，每一项货物及服务仅接受一个价格。</w:t>
      </w:r>
    </w:p>
    <w:p w14:paraId="6A8784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11.2报价应包含为履行本项目合同项下所有义务的全部含税费用（包括但不限于</w:t>
      </w:r>
      <w:r>
        <w:rPr>
          <w:rFonts w:hint="eastAsia" w:ascii="宋体" w:hAnsi="宋体" w:cs="宋体"/>
          <w:color w:val="auto"/>
          <w:szCs w:val="21"/>
          <w:highlight w:val="none"/>
        </w:rPr>
        <w:t>货物设计、制造、包装、仓储、运输</w:t>
      </w:r>
      <w:r>
        <w:rPr>
          <w:rFonts w:hint="eastAsia" w:ascii="宋体" w:hAnsi="宋体" w:cs="宋体"/>
          <w:color w:val="auto"/>
          <w:szCs w:val="21"/>
          <w:highlight w:val="none"/>
          <w:lang w:val="en-US" w:eastAsia="zh-CN"/>
        </w:rPr>
        <w:t>装卸</w:t>
      </w:r>
      <w:r>
        <w:rPr>
          <w:rFonts w:hint="eastAsia" w:ascii="宋体" w:hAnsi="宋体" w:cs="宋体"/>
          <w:color w:val="auto"/>
          <w:szCs w:val="21"/>
          <w:highlight w:val="none"/>
        </w:rPr>
        <w:t>、保险、安装、调试及其材料及验收合格之前保管及保修期内备品备件、专用工具、伴随服务、技术图纸资料、人员培训发生的所有含税费用、支付给员工的工资和国家强制缴纳的各种社会保障资金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auto"/>
          <w:kern w:val="0"/>
          <w:szCs w:val="21"/>
          <w:highlight w:val="none"/>
        </w:rPr>
        <w:t>）</w:t>
      </w:r>
      <w:r>
        <w:rPr>
          <w:rFonts w:hint="eastAsia" w:ascii="宋体" w:hAnsi="宋体" w:cs="宋体"/>
          <w:color w:val="auto"/>
          <w:kern w:val="0"/>
          <w:szCs w:val="21"/>
          <w:highlight w:val="none"/>
          <w:lang w:val="zh-CN"/>
        </w:rPr>
        <w:t>，</w:t>
      </w:r>
      <w:r>
        <w:rPr>
          <w:rFonts w:hint="eastAsia" w:ascii="宋体" w:hAnsi="宋体" w:cs="宋体"/>
          <w:bCs/>
          <w:color w:val="auto"/>
          <w:szCs w:val="21"/>
          <w:highlight w:val="none"/>
        </w:rPr>
        <w:t>以</w:t>
      </w:r>
      <w:r>
        <w:rPr>
          <w:rFonts w:hint="eastAsia" w:ascii="宋体" w:hAnsi="宋体" w:cs="宋体"/>
          <w:color w:val="auto"/>
          <w:szCs w:val="21"/>
          <w:highlight w:val="none"/>
        </w:rPr>
        <w:t>及投标人认为需要的其他费用等</w:t>
      </w:r>
      <w:r>
        <w:rPr>
          <w:rFonts w:hint="eastAsia" w:ascii="宋体" w:hAnsi="宋体" w:cs="宋体"/>
          <w:b/>
          <w:color w:val="auto"/>
          <w:szCs w:val="21"/>
          <w:highlight w:val="none"/>
        </w:rPr>
        <w:t>。</w:t>
      </w:r>
    </w:p>
    <w:p w14:paraId="2F4BA3D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11.3投标人的任何错漏、优惠、竞争性报价不得作为减轻责任、减少服务、增加收费、降低质量的理由。</w:t>
      </w:r>
    </w:p>
    <w:p w14:paraId="792F78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eastAsia" w:ascii="宋体" w:hAnsi="宋体" w:cs="宋体"/>
          <w:b/>
          <w:bCs/>
          <w:color w:val="auto"/>
          <w:kern w:val="0"/>
          <w:szCs w:val="21"/>
          <w:highlight w:val="none"/>
        </w:rPr>
        <w:t>无效投标处理</w:t>
      </w:r>
      <w:r>
        <w:rPr>
          <w:rFonts w:hint="eastAsia" w:ascii="宋体" w:hAnsi="宋体" w:cs="宋体"/>
          <w:color w:val="auto"/>
          <w:kern w:val="0"/>
          <w:szCs w:val="21"/>
          <w:highlight w:val="none"/>
        </w:rPr>
        <w:t>。</w:t>
      </w:r>
    </w:p>
    <w:p w14:paraId="284AB2D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11.5 投标人应在《开标一览表》《分项报价表》等标明投标货物和服务的单价、总价以及分项报价等。</w:t>
      </w:r>
    </w:p>
    <w:p w14:paraId="6E2929C4">
      <w:pPr>
        <w:widowControl/>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11.</w:t>
      </w:r>
      <w:r>
        <w:rPr>
          <w:rFonts w:hint="eastAsia" w:ascii="宋体" w:hAnsi="宋体" w:cs="宋体"/>
          <w:b/>
          <w:bCs/>
          <w:color w:val="auto"/>
          <w:kern w:val="0"/>
          <w:szCs w:val="21"/>
          <w:highlight w:val="none"/>
          <w:lang w:val="en-US" w:eastAsia="zh-CN"/>
        </w:rPr>
        <w:t>6</w:t>
      </w:r>
      <w:r>
        <w:rPr>
          <w:rFonts w:hint="eastAsia" w:ascii="宋体" w:hAnsi="宋体" w:cs="宋体"/>
          <w:b/>
          <w:bCs/>
          <w:color w:val="auto"/>
          <w:kern w:val="0"/>
          <w:szCs w:val="21"/>
          <w:highlight w:val="none"/>
        </w:rPr>
        <w:t>本项目预算为：详见第一章</w:t>
      </w:r>
      <w:r>
        <w:rPr>
          <w:rFonts w:hint="eastAsia" w:ascii="宋体" w:hAnsi="宋体" w:cs="宋体"/>
          <w:bCs/>
          <w:color w:val="auto"/>
          <w:kern w:val="0"/>
          <w:szCs w:val="21"/>
          <w:highlight w:val="none"/>
        </w:rPr>
        <w:t>。</w:t>
      </w:r>
    </w:p>
    <w:p w14:paraId="4A38AF1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12、投标文件的其他部分</w:t>
      </w:r>
    </w:p>
    <w:p w14:paraId="42319BF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12.1 其他部分由投标人根据编制投标文件需要提供的其他相关文件组成。</w:t>
      </w:r>
    </w:p>
    <w:p w14:paraId="63E24C27">
      <w:pPr>
        <w:autoSpaceDE w:val="0"/>
        <w:autoSpaceDN w:val="0"/>
        <w:spacing w:line="360" w:lineRule="auto"/>
        <w:ind w:firstLine="420"/>
        <w:rPr>
          <w:rFonts w:ascii="Arial" w:hAnsi="Arial"/>
          <w:color w:val="auto"/>
          <w:szCs w:val="21"/>
          <w:highlight w:val="none"/>
        </w:rPr>
      </w:pPr>
      <w:r>
        <w:rPr>
          <w:rFonts w:hint="eastAsia" w:ascii="宋体" w:hAnsi="宋体" w:cs="宋体"/>
          <w:color w:val="auto"/>
          <w:kern w:val="0"/>
          <w:szCs w:val="21"/>
          <w:highlight w:val="none"/>
        </w:rPr>
        <w:t>12.2</w:t>
      </w:r>
      <w:r>
        <w:rPr>
          <w:rFonts w:hint="eastAsia" w:ascii="Arial" w:hAnsi="Arial"/>
          <w:color w:val="auto"/>
          <w:szCs w:val="21"/>
          <w:highlight w:val="none"/>
        </w:rPr>
        <w:t xml:space="preserve"> </w:t>
      </w:r>
      <w:r>
        <w:rPr>
          <w:rFonts w:hint="eastAsia" w:ascii="Arial" w:hAnsi="Arial"/>
          <w:color w:val="auto"/>
          <w:szCs w:val="21"/>
          <w:highlight w:val="none"/>
          <w:lang w:val="zh-CN"/>
        </w:rPr>
        <w:t>如标书制作工具中格式和内容与“江苏政府采购网、中国政府采购网”发布的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文件不一致，以</w:t>
      </w:r>
      <w:r>
        <w:rPr>
          <w:rFonts w:hint="eastAsia" w:ascii="Arial" w:hAnsi="Arial"/>
          <w:color w:val="auto"/>
          <w:szCs w:val="21"/>
          <w:highlight w:val="none"/>
        </w:rPr>
        <w:t>上述网站</w:t>
      </w:r>
      <w:r>
        <w:rPr>
          <w:rFonts w:hint="eastAsia" w:ascii="Arial" w:hAnsi="Arial"/>
          <w:color w:val="auto"/>
          <w:szCs w:val="21"/>
          <w:highlight w:val="none"/>
          <w:lang w:val="zh-CN"/>
        </w:rPr>
        <w:t>发布的</w:t>
      </w:r>
      <w:r>
        <w:rPr>
          <w:rFonts w:hint="eastAsia" w:ascii="Arial" w:hAnsi="Arial"/>
          <w:color w:val="auto"/>
          <w:szCs w:val="21"/>
          <w:highlight w:val="none"/>
          <w:lang w:val="en-US" w:eastAsia="zh-CN"/>
        </w:rPr>
        <w:t>采购</w:t>
      </w:r>
      <w:r>
        <w:rPr>
          <w:rFonts w:hint="eastAsia" w:ascii="Arial" w:hAnsi="Arial"/>
          <w:color w:val="auto"/>
          <w:szCs w:val="21"/>
          <w:highlight w:val="none"/>
          <w:lang w:val="zh-CN"/>
        </w:rPr>
        <w:t>文件为准。</w:t>
      </w:r>
    </w:p>
    <w:p w14:paraId="3BE5828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13、投标保证金（本项目无需缴纳投标保证金）</w:t>
      </w:r>
    </w:p>
    <w:p w14:paraId="652F75EE">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14、投标有效期</w:t>
      </w:r>
    </w:p>
    <w:p w14:paraId="777E7C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14.1 自开标之日起</w:t>
      </w:r>
      <w:r>
        <w:rPr>
          <w:rFonts w:hint="eastAsia" w:ascii="宋体" w:hAnsi="宋体" w:cs="宋体"/>
          <w:b/>
          <w:color w:val="auto"/>
          <w:kern w:val="0"/>
          <w:szCs w:val="21"/>
          <w:highlight w:val="none"/>
        </w:rPr>
        <w:t>90</w:t>
      </w:r>
      <w:r>
        <w:rPr>
          <w:rFonts w:hint="eastAsia" w:ascii="宋体" w:hAnsi="宋体" w:cs="宋体"/>
          <w:color w:val="auto"/>
          <w:kern w:val="0"/>
          <w:szCs w:val="21"/>
          <w:highlight w:val="none"/>
        </w:rPr>
        <w:t>天内投标有效</w:t>
      </w:r>
      <w:r>
        <w:rPr>
          <w:rFonts w:hint="eastAsia" w:ascii="宋体" w:hAnsi="宋体" w:cs="宋体"/>
          <w:b/>
          <w:color w:val="auto"/>
          <w:highlight w:val="none"/>
        </w:rPr>
        <w:t>，投标有效期从提交投标文件的截止之日起算。投标文件中承诺的投标有效期应当不少于招标文件中载明的投标有效期。</w:t>
      </w:r>
    </w:p>
    <w:p w14:paraId="15B583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14.2 特殊情况下，在原投标有效期截止之前，采购代理机构可要求投标人同意延长投标有效期，这种要求与答复均应以书面形式提交。投标人可拒绝这种要求。接受延长投标有效期的投标人将不会要求和允许修正其投标。</w:t>
      </w:r>
    </w:p>
    <w:p w14:paraId="429A839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15、投标文件签署</w:t>
      </w:r>
    </w:p>
    <w:p w14:paraId="61FF48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15.1 投标文件应按照招标文件要求加盖电子公章，否则视为无效投标。</w:t>
      </w:r>
    </w:p>
    <w:p w14:paraId="5068EB1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16、投标费用</w:t>
      </w:r>
    </w:p>
    <w:p w14:paraId="7477F0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16.1 投标人应承担所有与准备和参加投标有关的费用，无论招标结果如何，采购代理机构和采购人在任何情况下均无义务和责任承担这些费用。</w:t>
      </w:r>
    </w:p>
    <w:p w14:paraId="0F757973">
      <w:pPr>
        <w:widowControl/>
        <w:shd w:val="clear" w:color="auto" w:fill="FFFFFF"/>
        <w:spacing w:line="360" w:lineRule="auto"/>
        <w:ind w:firstLine="420"/>
        <w:rPr>
          <w:rFonts w:hint="eastAsia" w:ascii="宋体" w:hAnsi="宋体" w:eastAsia="宋体" w:cs="宋体"/>
          <w:bCs/>
          <w:color w:val="auto"/>
          <w:kern w:val="0"/>
          <w:szCs w:val="21"/>
          <w:highlight w:val="none"/>
          <w:lang w:eastAsia="zh-CN"/>
        </w:rPr>
      </w:pPr>
      <w:r>
        <w:rPr>
          <w:rFonts w:hint="eastAsia" w:ascii="宋体" w:hAnsi="宋体" w:cs="宋体"/>
          <w:bCs/>
          <w:color w:val="auto"/>
          <w:kern w:val="0"/>
          <w:szCs w:val="21"/>
          <w:highlight w:val="none"/>
        </w:rPr>
        <w:t>16.2 招标代理服务费：</w:t>
      </w:r>
    </w:p>
    <w:p w14:paraId="263504BC">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宋体" w:hAnsi="宋体" w:cs="宋体"/>
          <w:bCs/>
          <w:color w:val="auto"/>
          <w:kern w:val="0"/>
          <w:szCs w:val="21"/>
          <w:highlight w:val="none"/>
          <w:lang w:val="en-US" w:eastAsia="zh-CN"/>
        </w:rPr>
        <w:t>1、</w:t>
      </w:r>
      <w:r>
        <w:rPr>
          <w:rFonts w:hint="eastAsia" w:ascii="宋体" w:hAnsi="宋体" w:cs="宋体"/>
          <w:bCs/>
          <w:color w:val="auto"/>
          <w:kern w:val="0"/>
          <w:szCs w:val="21"/>
          <w:highlight w:val="none"/>
          <w:lang w:eastAsia="zh-CN"/>
        </w:rPr>
        <w:t>（</w:t>
      </w:r>
      <w:r>
        <w:rPr>
          <w:rFonts w:hint="eastAsia" w:ascii="宋体" w:hAnsi="宋体" w:cs="宋体"/>
          <w:bCs/>
          <w:color w:val="auto"/>
          <w:kern w:val="0"/>
          <w:szCs w:val="21"/>
          <w:highlight w:val="none"/>
          <w:lang w:val="en-US" w:eastAsia="zh-CN"/>
        </w:rPr>
        <w:t>1</w:t>
      </w:r>
      <w:r>
        <w:rPr>
          <w:rFonts w:hint="eastAsia" w:ascii="宋体" w:hAnsi="宋体" w:cs="宋体"/>
          <w:bCs/>
          <w:color w:val="auto"/>
          <w:kern w:val="0"/>
          <w:szCs w:val="21"/>
          <w:highlight w:val="none"/>
          <w:lang w:eastAsia="zh-CN"/>
        </w:rPr>
        <w:t>）</w:t>
      </w:r>
      <w:r>
        <w:rPr>
          <w:rFonts w:hint="eastAsia" w:ascii="宋体" w:hAnsi="宋体" w:cs="宋体"/>
          <w:bCs/>
          <w:color w:val="auto"/>
          <w:kern w:val="0"/>
          <w:szCs w:val="21"/>
          <w:highlight w:val="none"/>
        </w:rPr>
        <w:t>本次招标，代理服务费</w:t>
      </w:r>
      <w:r>
        <w:rPr>
          <w:rFonts w:hint="eastAsia" w:ascii="Arial" w:hAnsi="Arial"/>
          <w:color w:val="auto"/>
          <w:szCs w:val="21"/>
          <w:highlight w:val="none"/>
          <w:lang w:val="zh-CN"/>
        </w:rPr>
        <w:t>根据中标金额</w:t>
      </w:r>
      <w:r>
        <w:rPr>
          <w:rFonts w:hint="eastAsia" w:ascii="Arial" w:hAnsi="Arial"/>
          <w:color w:val="auto"/>
          <w:szCs w:val="21"/>
          <w:highlight w:val="none"/>
          <w:lang w:val="en-US" w:eastAsia="zh-CN"/>
        </w:rPr>
        <w:t>按照《江苏省政府采购代理服务收费指导意见》（苏政采协[2024]20号）收费标准的36.2%取费（不足5000按5000计算）。</w:t>
      </w:r>
    </w:p>
    <w:p w14:paraId="6934BDA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（2）招标代理服务费由中标/成交供应商支付给招标代理。</w:t>
      </w:r>
    </w:p>
    <w:p w14:paraId="390FD2C6">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（3）支付招标代理服务费的时间：发中标/成交通知书前支付。</w:t>
      </w:r>
    </w:p>
    <w:p w14:paraId="160B10AF">
      <w:pPr>
        <w:widowControl/>
        <w:shd w:val="clear" w:color="auto" w:fill="FFFFFF"/>
        <w:spacing w:line="360" w:lineRule="auto"/>
        <w:ind w:firstLine="420"/>
        <w:rPr>
          <w:rFonts w:hint="eastAsia" w:ascii="Arial" w:hAnsi="Arial"/>
          <w:color w:val="auto"/>
          <w:szCs w:val="21"/>
          <w:highlight w:val="none"/>
          <w:lang w:val="en-US" w:eastAsia="zh-CN"/>
        </w:rPr>
      </w:pPr>
      <w:r>
        <w:rPr>
          <w:rFonts w:hint="eastAsia" w:ascii="Arial" w:hAnsi="Arial"/>
          <w:color w:val="auto"/>
          <w:szCs w:val="21"/>
          <w:highlight w:val="none"/>
          <w:lang w:val="en-US" w:eastAsia="zh-CN"/>
        </w:rPr>
        <w:t>2、原因：招标代理相关费用已纳入项目采购预算，供应商应在报价中一并考虑。</w:t>
      </w:r>
    </w:p>
    <w:p w14:paraId="2772B43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Arial" w:hAnsi="Arial"/>
          <w:color w:val="auto"/>
          <w:szCs w:val="21"/>
          <w:highlight w:val="none"/>
          <w:lang w:val="en-US" w:eastAsia="zh-CN"/>
        </w:rPr>
        <w:t>3、确立标准的依据：根据“南京市栖霞区城市管理局招标及采购代理服务框架协议采购成交结果”确定。</w:t>
      </w:r>
    </w:p>
    <w:p w14:paraId="06EE529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四、投标文件的递交</w:t>
      </w:r>
    </w:p>
    <w:p w14:paraId="464ADE6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17、投标文件的递交</w:t>
      </w:r>
    </w:p>
    <w:p w14:paraId="1F11657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17.1 投标人应当按照《操作手册》规定，在招标公告规定的投标截止时间前制作并上传电子投标文件。招标代理机构拒绝接收提交投标文件截止时间后上传的任何电子投标文件。</w:t>
      </w:r>
    </w:p>
    <w:p w14:paraId="04197E33">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18、投标文件的解密</w:t>
      </w:r>
    </w:p>
    <w:p w14:paraId="51687F4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18.1 投标人应当按照《操作手册》规定，在“苏采云”系统规定的时间内对投标文件进行解密。</w:t>
      </w:r>
    </w:p>
    <w:p w14:paraId="22EF43E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18.</w:t>
      </w:r>
      <w:r>
        <w:rPr>
          <w:rFonts w:hint="eastAsia" w:ascii="宋体" w:hAnsi="宋体" w:cs="宋体"/>
          <w:color w:val="auto"/>
          <w:kern w:val="0"/>
          <w:szCs w:val="21"/>
          <w:highlight w:val="none"/>
          <w:lang w:val="en-US" w:eastAsia="zh-CN"/>
        </w:rPr>
        <w:t>2</w:t>
      </w:r>
      <w:r>
        <w:rPr>
          <w:rFonts w:hint="eastAsia" w:ascii="宋体" w:hAnsi="宋体" w:cs="宋体"/>
          <w:color w:val="auto"/>
          <w:kern w:val="0"/>
          <w:szCs w:val="21"/>
          <w:highlight w:val="none"/>
        </w:rPr>
        <w:t xml:space="preserve"> 投标人应充分考虑网络环境、网络带宽等因素可能对投标产生的影响，如因投标人自身原因造成的电子投标文件解密不成功的，做无效投标处理。</w:t>
      </w:r>
    </w:p>
    <w:p w14:paraId="5451209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19、投标文件的修改和撤回</w:t>
      </w:r>
    </w:p>
    <w:p w14:paraId="5EC6BD8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19.1投标人在投标截止时间前，可以对所递交的投标文件进行补充、修改或者撤回，并书面通知采购人或者采购代理机构。补充、修改的内容应当按照招标文件要求签署、盖章、密封后，作为投标文件的组成部分。</w:t>
      </w:r>
    </w:p>
    <w:p w14:paraId="17C6B26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19.2 投标截止时间之后，投标文件不得撤回。</w:t>
      </w:r>
    </w:p>
    <w:p w14:paraId="032E1E5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20、诚实信用</w:t>
      </w:r>
    </w:p>
    <w:p w14:paraId="5781D1A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20.1投标人应当遵循公平竞争的原则，不得恶意串通，不得妨碍其他投标人的竞争行为，不得损害采购人或者其他投标人的合法权益。</w:t>
      </w:r>
    </w:p>
    <w:p w14:paraId="0E3B3B2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20.2在评标过程中发现投标人有上述情形的，评标委员会应当认定其投标无效，并书面报告本级财政部门。</w:t>
      </w:r>
    </w:p>
    <w:p w14:paraId="0FA6F3FF">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五、开标、评标与定标</w:t>
      </w:r>
    </w:p>
    <w:p w14:paraId="4F3FF59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21、开标</w:t>
      </w:r>
    </w:p>
    <w:p w14:paraId="54CEDFC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21.1 代理机构在招标公告中规定的时间和地点组织公开开标。投标人按照《操作手册》规定参加开标活动，并在“苏采云”系统规定的时间内对投标文件进行解密。“苏采云”系统公布各投标人名称和投标价格。</w:t>
      </w:r>
    </w:p>
    <w:p w14:paraId="00D7FEB1">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21.2 投标人在开标过程中涉及到的投标文件解密、开标结果确认等工作，应按照《操作手册》规定执行。</w:t>
      </w:r>
    </w:p>
    <w:p w14:paraId="20D47349">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21.3投标人不足3家的，不得开标。</w:t>
      </w:r>
    </w:p>
    <w:p w14:paraId="7D458D8D">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21.4 投标人如果对开标过程和开标结果有疑义，应当根据《操作手册》规定提出，“苏采云”系统中《开标记录表》公布后5分钟内未提出的，视同认可开标结果。</w:t>
      </w:r>
    </w:p>
    <w:p w14:paraId="6D24CC6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21.5公开招标数额标准以上的采购项目，投标截止后投标人不足3家或者通过资格审查或符合性审查的投标人不足3家的，除采购任务取消情形外，按照以下方式处理：</w:t>
      </w:r>
    </w:p>
    <w:p w14:paraId="1A2F97DA">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（1）招标文件存在不合理条款或者招标程序不符合规定的，采购人、采购代理机构改正后依法重新招标；</w:t>
      </w:r>
    </w:p>
    <w:p w14:paraId="6C1CA58B">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（2）招标文件没有不合理条款、招标程序符合规定，需要采用其他采购方式采购的，采购人依法报财政部门批准，经批准后，可变更为其他采购方式采购。</w:t>
      </w:r>
    </w:p>
    <w:p w14:paraId="7858FDE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22、评标</w:t>
      </w:r>
    </w:p>
    <w:p w14:paraId="79BF69B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22.1 评标委员会</w:t>
      </w:r>
    </w:p>
    <w:p w14:paraId="2DF84C66">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
          <w:bCs/>
          <w:color w:val="auto"/>
          <w:kern w:val="0"/>
          <w:szCs w:val="21"/>
          <w:highlight w:val="none"/>
        </w:rPr>
        <w:t>22.1.1</w:t>
      </w:r>
      <w:r>
        <w:rPr>
          <w:rFonts w:hint="eastAsia" w:ascii="宋体" w:hAnsi="宋体" w:cs="宋体"/>
          <w:bCs/>
          <w:color w:val="auto"/>
          <w:kern w:val="0"/>
          <w:szCs w:val="21"/>
          <w:highlight w:val="none"/>
        </w:rPr>
        <w:t>评标委员会负责具体评标事务，并独立履行下列职责：</w:t>
      </w:r>
    </w:p>
    <w:p w14:paraId="6B45EA39">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（一）审查、评价投标文件是否符合招标文件的商务、技术等实质性要求；</w:t>
      </w:r>
    </w:p>
    <w:p w14:paraId="0998A5F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（二）要求投标人对投标文件有关事项作出澄清或者说明；</w:t>
      </w:r>
    </w:p>
    <w:p w14:paraId="2759456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（三）对投标文件进行比较和评价；</w:t>
      </w:r>
    </w:p>
    <w:p w14:paraId="323183BB">
      <w:pPr>
        <w:widowControl/>
        <w:shd w:val="clear" w:color="auto" w:fill="FFFFFF"/>
        <w:spacing w:line="360" w:lineRule="auto"/>
        <w:ind w:firstLine="420"/>
        <w:rPr>
          <w:rFonts w:hint="eastAsia" w:ascii="宋体" w:hAnsi="宋体" w:cs="宋体"/>
          <w:bCs/>
          <w:color w:val="auto"/>
          <w:kern w:val="0"/>
          <w:szCs w:val="21"/>
          <w:highlight w:val="none"/>
        </w:rPr>
      </w:pPr>
      <w:r>
        <w:rPr>
          <w:rFonts w:hint="eastAsia" w:ascii="宋体" w:hAnsi="宋体" w:cs="宋体"/>
          <w:bCs/>
          <w:color w:val="auto"/>
          <w:kern w:val="0"/>
          <w:szCs w:val="21"/>
          <w:highlight w:val="none"/>
        </w:rPr>
        <w:t>（四）确定中标候选人名单，以及根据采购人委托直接确定中标人；</w:t>
      </w:r>
    </w:p>
    <w:p w14:paraId="51D68DF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Cs/>
          <w:color w:val="auto"/>
          <w:kern w:val="0"/>
          <w:szCs w:val="21"/>
          <w:highlight w:val="none"/>
        </w:rPr>
        <w:t>（五）向采购人、采购代理机构或者有关部门报告评标中发现的违法行为。</w:t>
      </w:r>
    </w:p>
    <w:p w14:paraId="6BC9376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 xml:space="preserve">22.1.2 </w:t>
      </w:r>
      <w:r>
        <w:rPr>
          <w:rFonts w:hint="eastAsia" w:ascii="宋体" w:hAnsi="宋体" w:cs="宋体"/>
          <w:color w:val="auto"/>
          <w:kern w:val="0"/>
          <w:szCs w:val="21"/>
          <w:highlight w:val="none"/>
        </w:rPr>
        <w:t>评标委员会由</w:t>
      </w:r>
      <w:r>
        <w:rPr>
          <w:rFonts w:hint="eastAsia" w:ascii="宋体" w:hAnsi="宋体" w:cs="宋体"/>
          <w:bCs/>
          <w:color w:val="auto"/>
          <w:kern w:val="0"/>
          <w:szCs w:val="21"/>
          <w:highlight w:val="none"/>
        </w:rPr>
        <w:t>采购人</w:t>
      </w:r>
      <w:r>
        <w:rPr>
          <w:rFonts w:hint="eastAsia" w:ascii="宋体" w:hAnsi="宋体" w:cs="宋体"/>
          <w:color w:val="auto"/>
          <w:kern w:val="0"/>
          <w:szCs w:val="21"/>
          <w:highlight w:val="none"/>
        </w:rPr>
        <w:t>代表和有关技术、经济等方面的专家组成，独立开展评审工作。</w:t>
      </w:r>
    </w:p>
    <w:p w14:paraId="745E064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  评标程序</w:t>
      </w:r>
    </w:p>
    <w:p w14:paraId="794F7CEF">
      <w:pPr>
        <w:widowControl/>
        <w:shd w:val="clear" w:color="auto" w:fill="FFFFFF"/>
        <w:spacing w:line="360" w:lineRule="auto"/>
        <w:ind w:firstLine="420"/>
        <w:jc w:val="left"/>
        <w:rPr>
          <w:rFonts w:hint="eastAsia" w:ascii="宋体" w:hAnsi="宋体" w:cs="宋体"/>
          <w:b/>
          <w:color w:val="auto"/>
          <w:kern w:val="0"/>
          <w:szCs w:val="21"/>
          <w:highlight w:val="none"/>
        </w:rPr>
      </w:pPr>
      <w:r>
        <w:rPr>
          <w:rFonts w:hint="eastAsia" w:ascii="宋体" w:hAnsi="宋体" w:cs="宋体"/>
          <w:b/>
          <w:color w:val="auto"/>
          <w:kern w:val="0"/>
          <w:szCs w:val="21"/>
          <w:highlight w:val="none"/>
        </w:rPr>
        <w:t xml:space="preserve">22.2.1 </w:t>
      </w:r>
      <w:r>
        <w:rPr>
          <w:rFonts w:hint="eastAsia" w:ascii="宋体" w:hAnsi="宋体" w:cs="宋体"/>
          <w:b/>
          <w:bCs/>
          <w:color w:val="auto"/>
          <w:kern w:val="0"/>
          <w:szCs w:val="21"/>
          <w:highlight w:val="none"/>
        </w:rPr>
        <w:t>投标文件的资格性检查。</w:t>
      </w:r>
      <w:r>
        <w:rPr>
          <w:rFonts w:hint="eastAsia" w:ascii="宋体" w:hAnsi="宋体" w:cs="宋体"/>
          <w:color w:val="auto"/>
          <w:kern w:val="0"/>
          <w:szCs w:val="21"/>
          <w:highlight w:val="none"/>
        </w:rPr>
        <w:t>公开招标采购项目开标结束后，</w:t>
      </w:r>
      <w:r>
        <w:rPr>
          <w:rFonts w:hint="eastAsia" w:ascii="宋体" w:hAnsi="宋体" w:cs="宋体"/>
          <w:color w:val="auto"/>
          <w:highlight w:val="none"/>
        </w:rPr>
        <w:t>采购人</w:t>
      </w:r>
      <w:r>
        <w:rPr>
          <w:rFonts w:hint="eastAsia" w:ascii="宋体" w:hAnsi="宋体" w:cs="宋体"/>
          <w:color w:val="auto"/>
          <w:kern w:val="0"/>
          <w:szCs w:val="21"/>
          <w:highlight w:val="none"/>
        </w:rPr>
        <w:t>或者</w:t>
      </w:r>
      <w:r>
        <w:rPr>
          <w:rFonts w:hint="eastAsia" w:ascii="宋体" w:hAnsi="宋体" w:cs="宋体"/>
          <w:color w:val="auto"/>
          <w:highlight w:val="none"/>
        </w:rPr>
        <w:t>采购代理机构</w:t>
      </w:r>
      <w:r>
        <w:rPr>
          <w:rFonts w:hint="eastAsia" w:ascii="宋体" w:hAnsi="宋体" w:cs="宋体"/>
          <w:color w:val="auto"/>
          <w:kern w:val="0"/>
          <w:szCs w:val="21"/>
          <w:highlight w:val="none"/>
        </w:rPr>
        <w:t>应当依法对投标人的资格进行审查。合格投标人不足3家的，不得评标。</w:t>
      </w:r>
    </w:p>
    <w:p w14:paraId="481B61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22.2.2投标文件的符合性审查</w:t>
      </w:r>
      <w:r>
        <w:rPr>
          <w:rFonts w:hint="eastAsia" w:ascii="宋体" w:hAnsi="宋体" w:cs="宋体"/>
          <w:color w:val="auto"/>
          <w:kern w:val="0"/>
          <w:szCs w:val="21"/>
          <w:highlight w:val="none"/>
        </w:rPr>
        <w:t>。评标委员会对通过资格性检查的投标人的投标文件进行符合性审查，以确定其是否满足招标文件的实质性要求。投标文件有下列情况之一的，在符合性检查时按照无效投标处理：</w:t>
      </w:r>
    </w:p>
    <w:p w14:paraId="26CC5E5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1</w:t>
      </w:r>
      <w:r>
        <w:rPr>
          <w:rFonts w:hint="eastAsia" w:ascii="宋体" w:hAnsi="宋体" w:cs="宋体"/>
          <w:b/>
          <w:color w:val="auto"/>
          <w:kern w:val="0"/>
          <w:szCs w:val="21"/>
          <w:highlight w:val="none"/>
        </w:rPr>
        <w:t>）同一投标人提交两个（含两个）以上不同的投标报价的；</w:t>
      </w:r>
    </w:p>
    <w:p w14:paraId="5C58598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2</w:t>
      </w:r>
      <w:r>
        <w:rPr>
          <w:rFonts w:hint="eastAsia" w:ascii="宋体" w:hAnsi="宋体" w:cs="宋体"/>
          <w:b/>
          <w:color w:val="auto"/>
          <w:kern w:val="0"/>
          <w:szCs w:val="21"/>
          <w:highlight w:val="none"/>
        </w:rPr>
        <w:t>）投标文件未按照招标文件要求加盖电子公章的；</w:t>
      </w:r>
    </w:p>
    <w:p w14:paraId="42C55E47">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3</w:t>
      </w:r>
      <w:r>
        <w:rPr>
          <w:rFonts w:hint="eastAsia" w:ascii="宋体" w:hAnsi="宋体" w:cs="宋体"/>
          <w:b/>
          <w:color w:val="auto"/>
          <w:kern w:val="0"/>
          <w:szCs w:val="21"/>
          <w:highlight w:val="none"/>
        </w:rPr>
        <w:t>）报价超过招标文件中规定的预算金额或者最高限价的；</w:t>
      </w:r>
    </w:p>
    <w:p w14:paraId="74DA774B">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4</w:t>
      </w:r>
      <w:r>
        <w:rPr>
          <w:rFonts w:hint="eastAsia" w:ascii="宋体" w:hAnsi="宋体" w:cs="宋体"/>
          <w:b/>
          <w:color w:val="auto"/>
          <w:kern w:val="0"/>
          <w:szCs w:val="21"/>
          <w:highlight w:val="none"/>
        </w:rPr>
        <w:t>）投标文件含有采购人不能接受的附加条件的；</w:t>
      </w:r>
    </w:p>
    <w:p w14:paraId="70652B8E">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5</w:t>
      </w:r>
      <w:r>
        <w:rPr>
          <w:rFonts w:hint="eastAsia" w:ascii="宋体" w:hAnsi="宋体" w:cs="宋体"/>
          <w:b/>
          <w:color w:val="auto"/>
          <w:kern w:val="0"/>
          <w:szCs w:val="21"/>
          <w:highlight w:val="none"/>
        </w:rPr>
        <w:t>）投标文件内容不全或不符合招标文件中规定的其他实质性要求的；</w:t>
      </w:r>
    </w:p>
    <w:p w14:paraId="4D0EE80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color w:val="auto"/>
          <w:kern w:val="0"/>
          <w:szCs w:val="21"/>
          <w:highlight w:val="none"/>
        </w:rPr>
        <w:t>（</w:t>
      </w:r>
      <w:r>
        <w:rPr>
          <w:rFonts w:hint="eastAsia" w:ascii="宋体" w:hAnsi="宋体" w:cs="宋体"/>
          <w:b/>
          <w:color w:val="auto"/>
          <w:kern w:val="0"/>
          <w:szCs w:val="21"/>
          <w:highlight w:val="none"/>
          <w:lang w:val="en-US" w:eastAsia="zh-CN"/>
        </w:rPr>
        <w:t>6</w:t>
      </w:r>
      <w:r>
        <w:rPr>
          <w:rFonts w:hint="eastAsia" w:ascii="宋体" w:hAnsi="宋体" w:cs="宋体"/>
          <w:b/>
          <w:color w:val="auto"/>
          <w:kern w:val="0"/>
          <w:szCs w:val="21"/>
          <w:highlight w:val="none"/>
        </w:rPr>
        <w:t>）现行法律、法规、规章和招标文件规定的其他无效情形。</w:t>
      </w:r>
    </w:p>
    <w:p w14:paraId="588149F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22.2.2.1 实质性要求是指本招标文件中用带星号（“</w:t>
      </w:r>
      <w:r>
        <w:rPr>
          <w:rFonts w:hint="eastAsia"/>
          <w:color w:val="auto"/>
          <w:highlight w:val="none"/>
        </w:rPr>
        <w:t>★</w:t>
      </w:r>
      <w:r>
        <w:rPr>
          <w:rFonts w:hint="eastAsia" w:ascii="宋体" w:hAnsi="宋体" w:cs="宋体"/>
          <w:b/>
          <w:bCs/>
          <w:color w:val="auto"/>
          <w:kern w:val="0"/>
          <w:szCs w:val="21"/>
          <w:highlight w:val="none"/>
        </w:rPr>
        <w:t>”）、“必须”或“应（应当）”等其他文字说明的商务和技术要求。</w:t>
      </w:r>
    </w:p>
    <w:p w14:paraId="17B55E03">
      <w:pPr>
        <w:widowControl/>
        <w:shd w:val="clear" w:color="auto" w:fill="FFFFFF"/>
        <w:spacing w:line="360" w:lineRule="auto"/>
        <w:ind w:firstLine="420"/>
        <w:rPr>
          <w:rFonts w:hint="eastAsia" w:ascii="宋体" w:hAnsi="宋体" w:cs="宋体"/>
          <w:b/>
          <w:bCs/>
          <w:color w:val="auto"/>
          <w:kern w:val="0"/>
          <w:szCs w:val="21"/>
          <w:highlight w:val="none"/>
        </w:rPr>
      </w:pPr>
      <w:r>
        <w:rPr>
          <w:rFonts w:ascii="宋体" w:hAnsi="宋体" w:cs="宋体"/>
          <w:b/>
          <w:bCs/>
          <w:color w:val="auto"/>
          <w:kern w:val="0"/>
          <w:szCs w:val="21"/>
          <w:highlight w:val="none"/>
        </w:rPr>
        <w:t>22.2.2.</w:t>
      </w:r>
      <w:r>
        <w:rPr>
          <w:rFonts w:hint="eastAsia" w:ascii="宋体" w:hAnsi="宋体" w:cs="宋体"/>
          <w:b/>
          <w:bCs/>
          <w:color w:val="auto"/>
          <w:kern w:val="0"/>
          <w:szCs w:val="21"/>
          <w:highlight w:val="none"/>
        </w:rPr>
        <w:t>2未通过资格审查或符合性审查的投标人，代理机构将通过“苏采云”系统告知其具体原因，评标结束后不再接受有关询问。</w:t>
      </w:r>
    </w:p>
    <w:p w14:paraId="44A480C4">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22.2.2.3有下列情形之一的予以废标：</w:t>
      </w:r>
    </w:p>
    <w:p w14:paraId="25539C8A">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（1）符合专业条件的投标人或者对招标文件作实质性响应的投标人不足三家的；</w:t>
      </w:r>
    </w:p>
    <w:p w14:paraId="459EF0B8">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（2）出现影响采购公正的违法、违规行为的；</w:t>
      </w:r>
    </w:p>
    <w:p w14:paraId="45DBB1D3">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（3）投标人的报价均超过了采购预算，采购人不能支付的；</w:t>
      </w:r>
    </w:p>
    <w:p w14:paraId="23026A91">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（4）因苏采云系统故障造成开标不成功的；</w:t>
      </w:r>
    </w:p>
    <w:p w14:paraId="13A75D85">
      <w:pPr>
        <w:widowControl/>
        <w:shd w:val="clear" w:color="auto" w:fill="FFFFFF"/>
        <w:spacing w:line="360" w:lineRule="auto"/>
        <w:ind w:firstLine="420"/>
        <w:jc w:val="left"/>
        <w:rPr>
          <w:rFonts w:hint="eastAsia" w:ascii="宋体" w:hAnsi="宋体" w:eastAsia="宋体" w:cs="宋体"/>
          <w:b/>
          <w:bCs/>
          <w:color w:val="auto"/>
          <w:kern w:val="0"/>
          <w:szCs w:val="21"/>
          <w:highlight w:val="none"/>
          <w:lang w:eastAsia="zh-CN"/>
        </w:rPr>
      </w:pPr>
      <w:r>
        <w:rPr>
          <w:rFonts w:hint="eastAsia" w:ascii="宋体" w:hAnsi="宋体" w:cs="宋体"/>
          <w:b/>
          <w:bCs/>
          <w:color w:val="auto"/>
          <w:kern w:val="0"/>
          <w:szCs w:val="21"/>
          <w:highlight w:val="none"/>
        </w:rPr>
        <w:t>（5）因重大变故，采购任务取消的</w:t>
      </w:r>
      <w:r>
        <w:rPr>
          <w:rFonts w:hint="eastAsia" w:ascii="宋体" w:hAnsi="宋体" w:cs="宋体"/>
          <w:b/>
          <w:bCs/>
          <w:color w:val="auto"/>
          <w:kern w:val="0"/>
          <w:szCs w:val="21"/>
          <w:highlight w:val="none"/>
          <w:lang w:eastAsia="zh-CN"/>
        </w:rPr>
        <w:t>；</w:t>
      </w:r>
    </w:p>
    <w:p w14:paraId="0C05E56B">
      <w:pPr>
        <w:widowControl/>
        <w:shd w:val="clear" w:color="auto" w:fill="FFFFFF"/>
        <w:spacing w:line="360" w:lineRule="auto"/>
        <w:ind w:firstLine="42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（6）投标人以明显低于其他通过符合性审查投标人的报价，有可能影响产品质量或者不能诚信履约的，且不能证明其报价合理性的。</w:t>
      </w:r>
    </w:p>
    <w:p w14:paraId="59A5197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w:t>
      </w:r>
      <w:r>
        <w:rPr>
          <w:rFonts w:hint="eastAsia" w:ascii="宋体" w:hAnsi="宋体" w:cs="宋体"/>
          <w:b/>
          <w:bCs/>
          <w:color w:val="auto"/>
          <w:kern w:val="0"/>
          <w:szCs w:val="21"/>
          <w:highlight w:val="none"/>
        </w:rPr>
        <w:t>澄清有关问题</w:t>
      </w:r>
      <w:r>
        <w:rPr>
          <w:rFonts w:hint="eastAsia" w:ascii="宋体" w:hAnsi="宋体" w:cs="宋体"/>
          <w:color w:val="auto"/>
          <w:kern w:val="0"/>
          <w:szCs w:val="21"/>
          <w:highlight w:val="none"/>
        </w:rPr>
        <w:t>。</w:t>
      </w:r>
    </w:p>
    <w:p w14:paraId="45A7C95E">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22.2.3.1 评标期间，评委会对投标文件中含义不明确、同类问题表述不一致或者有明显文字和计算错误的内容，有权要求投标人作出必要的澄清、说明或者补正。</w:t>
      </w:r>
    </w:p>
    <w:p w14:paraId="4DE1261C">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投标人的澄清、说明或者补正不得超出投标文件的范围或者改变投标文件的实质性内容。</w:t>
      </w:r>
    </w:p>
    <w:p w14:paraId="70C075B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评委会并非对每个投标人都做澄清要求。</w:t>
      </w:r>
    </w:p>
    <w:p w14:paraId="6237B3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p>
    <w:p w14:paraId="5E4BA18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22.2.3.3 接到评委会澄清、说明和补正要求的，投标人如未按规定作出澄清、说明和补正，其风险由投标人自行承担。</w:t>
      </w:r>
    </w:p>
    <w:p w14:paraId="151E463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22.2.3.4投标文件报价出现前后不一致的，除招标文件另有规定外，按照下列规定修正：</w:t>
      </w:r>
    </w:p>
    <w:p w14:paraId="5214EFE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（1）投标文件中开标一览表（报价表）内容与投标文件中相应内容不一致的，以开标一览表（报价表）为准；</w:t>
      </w:r>
    </w:p>
    <w:p w14:paraId="4EDD65F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（2）大写金额和小写金额不一致的，以大写金额为准；</w:t>
      </w:r>
    </w:p>
    <w:p w14:paraId="1045CB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（3）单价金额小数点或者百分比有明显错位的，以开标一览表的总价为准，并修改单价；</w:t>
      </w:r>
    </w:p>
    <w:p w14:paraId="74A49A2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（4）总价金额与按单价汇总金额不一致的，以单价金额计算结果为准。</w:t>
      </w:r>
    </w:p>
    <w:p w14:paraId="10D899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p>
    <w:p w14:paraId="50128CB8">
      <w:pPr>
        <w:widowControl/>
        <w:shd w:val="clear" w:color="auto" w:fill="FFFFFF"/>
        <w:spacing w:line="360" w:lineRule="auto"/>
        <w:ind w:firstLine="420"/>
        <w:rPr>
          <w:rFonts w:hint="eastAsia" w:ascii="宋体" w:hAnsi="宋体" w:cs="宋体"/>
          <w:b/>
          <w:color w:val="auto"/>
          <w:kern w:val="0"/>
          <w:szCs w:val="21"/>
          <w:highlight w:val="none"/>
        </w:rPr>
      </w:pPr>
      <w:r>
        <w:rPr>
          <w:rFonts w:ascii="宋体" w:hAnsi="宋体" w:cs="宋体"/>
          <w:color w:val="auto"/>
          <w:kern w:val="0"/>
          <w:szCs w:val="21"/>
          <w:highlight w:val="none"/>
        </w:rPr>
        <w:t>2</w:t>
      </w:r>
      <w:r>
        <w:rPr>
          <w:rFonts w:hint="eastAsia" w:ascii="宋体" w:hAnsi="宋体" w:cs="宋体"/>
          <w:color w:val="auto"/>
          <w:kern w:val="0"/>
          <w:szCs w:val="21"/>
          <w:highlight w:val="none"/>
          <w:lang w:val="en-US" w:eastAsia="zh-CN"/>
        </w:rPr>
        <w:t>2</w:t>
      </w:r>
      <w:r>
        <w:rPr>
          <w:rFonts w:ascii="宋体" w:hAnsi="宋体" w:cs="宋体"/>
          <w:color w:val="auto"/>
          <w:kern w:val="0"/>
          <w:szCs w:val="21"/>
          <w:highlight w:val="none"/>
        </w:rPr>
        <w:t>.2.3.</w:t>
      </w:r>
      <w:r>
        <w:rPr>
          <w:rFonts w:hint="eastAsia" w:ascii="宋体" w:hAnsi="宋体" w:cs="宋体"/>
          <w:color w:val="auto"/>
          <w:kern w:val="0"/>
          <w:szCs w:val="21"/>
          <w:highlight w:val="none"/>
        </w:rPr>
        <w:t>5投标人在开、评标全过程中应保持通讯畅通，及时登录苏采云系统查阅、答复相关信息，并安排专人与代理机构及评委会联系。</w:t>
      </w:r>
    </w:p>
    <w:p w14:paraId="5E533754">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22.2.3.6</w:t>
      </w:r>
      <w:r>
        <w:rPr>
          <w:rFonts w:hint="eastAsia" w:ascii="宋体" w:hAnsi="宋体" w:cs="宋体"/>
          <w:color w:val="auto"/>
          <w:highlight w:val="none"/>
        </w:rPr>
        <w:t>评标委员会认为投标人的报价明显低于其他通过符合性审查投标人的报价，有可能影响产品质量或者不能诚信履约的，将要求其在评标现场合理的时间内提供书面说明，必要时提交相关证明材料；</w:t>
      </w:r>
      <w:r>
        <w:rPr>
          <w:rFonts w:hint="eastAsia" w:ascii="宋体" w:hAnsi="宋体" w:cs="宋体"/>
          <w:b/>
          <w:color w:val="auto"/>
          <w:highlight w:val="none"/>
        </w:rPr>
        <w:t>投标人不能证明其报价合理性的，评标委员会将其作为无效投标处理。</w:t>
      </w:r>
    </w:p>
    <w:p w14:paraId="2588F028">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22.2.4</w:t>
      </w:r>
      <w:r>
        <w:rPr>
          <w:rFonts w:hint="eastAsia" w:ascii="宋体" w:hAnsi="宋体" w:cs="宋体"/>
          <w:bCs/>
          <w:color w:val="auto"/>
          <w:kern w:val="0"/>
          <w:szCs w:val="21"/>
          <w:highlight w:val="none"/>
        </w:rPr>
        <w:t>比较与评价。</w:t>
      </w:r>
      <w:r>
        <w:rPr>
          <w:rFonts w:hint="eastAsia" w:ascii="宋体" w:hAnsi="宋体" w:cs="宋体"/>
          <w:color w:val="auto"/>
          <w:kern w:val="0"/>
          <w:szCs w:val="21"/>
          <w:highlight w:val="none"/>
        </w:rPr>
        <w:t>评标委员会应当按照招标文件中规定的评标方法和标准，对符合性审查合格的投标文件进行商务和技术评估，综合比较与评价。</w:t>
      </w:r>
    </w:p>
    <w:p w14:paraId="5EB56B9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22.3 评标方法和标准</w:t>
      </w:r>
    </w:p>
    <w:p w14:paraId="15EB19E5">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22.3.1评标方法分为最低评标价法和综合评分法。本次招标的评标方法和标准，详见本招标文件第三章。</w:t>
      </w:r>
    </w:p>
    <w:p w14:paraId="7806AD6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22.3.2最低评标价法，是指投标文件满足招标文件全部实质性要求，且投标报价最低的投标人为中标候选人的评标方法。</w:t>
      </w:r>
    </w:p>
    <w:p w14:paraId="2CD9136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采用最低评标价法评标时，除了算术修正和落实政府采购政策需进行的价格扣除外，不对投标人的投标价格进行任何调整。</w:t>
      </w:r>
    </w:p>
    <w:p w14:paraId="4A3BEE1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22.3.3综合评分法，是指投标文件满足招标文件全部实质性要求，且按照评审因素的量化指标评审得分最高的投标人为中标候选人的评标方法。</w:t>
      </w:r>
    </w:p>
    <w:p w14:paraId="24726CAF">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评审因素，包括价格、技术、商务等。</w:t>
      </w:r>
    </w:p>
    <w:p w14:paraId="44E67ACD">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评标时，评标委员会各成员应当独立对每个投标人的投标文件进行评价，并汇总每个投标人的得分。</w:t>
      </w:r>
    </w:p>
    <w:p w14:paraId="0F23196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价格分采用低价优先法计算，即满足招标文件要求且投标价格最低的投标报价为评标基准价，其价格分为满分。</w:t>
      </w:r>
    </w:p>
    <w:p w14:paraId="59F2C1E3">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评标总得分＝F1×A1＋F2×A2＋……＋Fn×An</w:t>
      </w:r>
    </w:p>
    <w:p w14:paraId="3E9E688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F1、F2……Fn分别为各项评审因素的得分；</w:t>
      </w:r>
    </w:p>
    <w:p w14:paraId="15801E4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A1、A2、……An 分别为各项评审因素所占的权重(A1＋A2＋……＋An＝1)。</w:t>
      </w:r>
    </w:p>
    <w:p w14:paraId="5EAC32B7">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因落实政府采购政策进行价格调整的，以调整后的价格计算评标基准价和投标报价。</w:t>
      </w:r>
    </w:p>
    <w:p w14:paraId="3366B31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 评标委员会启动异常低价投标审查的情形和具体要求</w:t>
      </w:r>
    </w:p>
    <w:p w14:paraId="1A0728AA">
      <w:pPr>
        <w:widowControl/>
        <w:shd w:val="clear" w:color="auto" w:fill="FFFFFF"/>
        <w:spacing w:line="360" w:lineRule="auto"/>
        <w:ind w:firstLine="422" w:firstLineChars="200"/>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xml:space="preserve">22.4.1评标过程中出现下列情形之一的，评标委员会应当启动异常低价投标审查程序： </w:t>
      </w:r>
    </w:p>
    <w:p w14:paraId="561090FE">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（1）投标报价低于全部通过符合性审查投标人投标报价平均值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%的，即投标报价&lt;全部通过符合性审查投标人投标报价平均值×</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C27770C">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（2）投标报价低于通过符合性审查的次低报价投标人投标报价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%的，即投标报价&lt;通过符合性审查的次低报价投标人投标报价×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D913B1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（3）投标报价低于本项目最高限价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%的，即投标报价&lt;本项目最高限价×</w:t>
      </w:r>
      <w:r>
        <w:rPr>
          <w:rFonts w:hint="eastAsia" w:ascii="宋体" w:hAnsi="宋体" w:cs="宋体"/>
          <w:b/>
          <w:bCs/>
          <w:color w:val="auto"/>
          <w:kern w:val="0"/>
          <w:szCs w:val="21"/>
          <w:highlight w:val="none"/>
          <w:lang w:val="en-US" w:eastAsia="zh-CN"/>
        </w:rPr>
        <w:t>65</w:t>
      </w:r>
      <w:r>
        <w:rPr>
          <w:rFonts w:hint="eastAsia" w:ascii="宋体" w:hAnsi="宋体" w:cs="宋体"/>
          <w:b/>
          <w:bCs/>
          <w:color w:val="auto"/>
          <w:kern w:val="0"/>
          <w:szCs w:val="21"/>
          <w:highlight w:val="none"/>
        </w:rPr>
        <w:t>%；</w:t>
      </w:r>
    </w:p>
    <w:p w14:paraId="12CAFF1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（4）评标委员会基于专业判断，认为投标人报价过低，有可能影响产品质量或者不能诚信履约的其他情形。</w:t>
      </w:r>
    </w:p>
    <w:p w14:paraId="7535BC26">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22.4.2 评标委员会启动异常低价投标审查后，属于22.4.1条第（1）项至第（4）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30分钟。其中，属于22.4.1条第（3）项情形的，供应商已随投标文件一并提交相关书面说明及必要的证明材料的，在评标现场可不再重复提交。</w:t>
      </w:r>
    </w:p>
    <w:p w14:paraId="1CD70141">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22.4.3评标委员会依据专业经验，参考同类项目中标（成交）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p>
    <w:p w14:paraId="0C34B13D">
      <w:pPr>
        <w:widowControl/>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22.4.4异常低价投标审查的启动原因、审查意见和审查结果应当在评标报告中记录，并随投标人提供的相关书面说明及证明材料，以及评标委员会有关互联网浏览、查询历史一并归档。</w:t>
      </w:r>
    </w:p>
    <w:p w14:paraId="6A7D8A66">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w:t>
      </w:r>
      <w:r>
        <w:rPr>
          <w:rFonts w:hint="eastAsia" w:ascii="宋体" w:hAnsi="宋体" w:cs="宋体"/>
          <w:b/>
          <w:color w:val="auto"/>
          <w:kern w:val="0"/>
          <w:szCs w:val="21"/>
          <w:highlight w:val="none"/>
        </w:rPr>
        <w:t>确定中标人</w:t>
      </w:r>
    </w:p>
    <w:p w14:paraId="125CA17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23.1 采用最低评标价法的，评标结果按投标报价由低到高顺序排列。投标报价相同的并列。投标文件满足招标文件全部实质性要求且投标报价最低的投标人为排名第一的中标候选人。</w:t>
      </w:r>
    </w:p>
    <w:p w14:paraId="58EBEE81">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099211D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23.3 中标人确定后，在省级以上财政部门指定的媒体上公告中标结果，中标公告期为1个工作日，公告的同时向中标人发出中标通知书。中标人可在中标结果公告届满之日起三十日内,登录苏采云系统下载。</w:t>
      </w:r>
    </w:p>
    <w:p w14:paraId="0EFF4B02">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因系统存储空间有限，中标结果公告届满之日起三十日后，苏采云系统不再保证提供下载《中标通知书》服务，因未及时下载而造成的不利后果由中标人自行承担。</w:t>
      </w:r>
    </w:p>
    <w:p w14:paraId="69062F68">
      <w:pPr>
        <w:widowControl/>
        <w:shd w:val="clear" w:color="auto" w:fill="FFFFFF"/>
        <w:spacing w:line="360" w:lineRule="auto"/>
        <w:ind w:firstLine="420"/>
        <w:rPr>
          <w:rFonts w:hint="eastAsia" w:ascii="宋体" w:hAnsi="宋体" w:cs="宋体"/>
          <w:b/>
          <w:color w:val="auto"/>
          <w:kern w:val="0"/>
          <w:szCs w:val="21"/>
          <w:highlight w:val="none"/>
        </w:rPr>
      </w:pPr>
      <w:r>
        <w:rPr>
          <w:rFonts w:hint="eastAsia" w:ascii="宋体" w:hAnsi="宋体" w:cs="宋体"/>
          <w:b/>
          <w:bCs/>
          <w:color w:val="auto"/>
          <w:kern w:val="0"/>
          <w:szCs w:val="21"/>
          <w:highlight w:val="none"/>
        </w:rPr>
        <w:t>23.4 中标通知书对采购人和中标人具有同等法律效力。中标通知书发出后，采购人不得</w:t>
      </w:r>
      <w:r>
        <w:rPr>
          <w:rFonts w:hint="eastAsia" w:ascii="宋体" w:hAnsi="宋体" w:cs="宋体"/>
          <w:b/>
          <w:color w:val="auto"/>
          <w:kern w:val="0"/>
          <w:szCs w:val="21"/>
          <w:highlight w:val="none"/>
        </w:rPr>
        <w:t>违法改变中标结果，中标人无正当理由不得放弃中标。</w:t>
      </w:r>
    </w:p>
    <w:p w14:paraId="5AEE4A4D">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23.5 所有投标文件不论中标与否，均不退回。</w:t>
      </w:r>
    </w:p>
    <w:p w14:paraId="2CA1D8EB">
      <w:pPr>
        <w:widowControl/>
        <w:shd w:val="clear" w:color="auto" w:fill="FFFFFF"/>
        <w:spacing w:line="360" w:lineRule="auto"/>
        <w:ind w:firstLine="412"/>
        <w:rPr>
          <w:rFonts w:hint="eastAsia" w:ascii="宋体" w:hAnsi="宋体" w:cs="宋体"/>
          <w:color w:val="auto"/>
          <w:kern w:val="0"/>
          <w:szCs w:val="21"/>
          <w:highlight w:val="none"/>
        </w:rPr>
      </w:pPr>
      <w:r>
        <w:rPr>
          <w:rFonts w:hint="eastAsia" w:ascii="宋体" w:hAnsi="宋体" w:cs="宋体"/>
          <w:b/>
          <w:bCs/>
          <w:color w:val="auto"/>
          <w:kern w:val="0"/>
          <w:szCs w:val="21"/>
          <w:highlight w:val="none"/>
        </w:rPr>
        <w:t>24、编写评标报告</w:t>
      </w:r>
    </w:p>
    <w:p w14:paraId="6AFB1FF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24.1评标委员会根据全体评标成员签字的原始评标记录和评标结果编写评标报告。</w:t>
      </w:r>
    </w:p>
    <w:p w14:paraId="16FA870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25、评标过程的保密性</w:t>
      </w:r>
    </w:p>
    <w:p w14:paraId="38CB72F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25.1 采购人和采购代理机构将采取必要措施，保证评标在严格保密的情况下进行。</w:t>
      </w:r>
    </w:p>
    <w:p w14:paraId="33EC4D23">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25.2 任何单位和个人不得非法干预、影响评标办法的确定，以及评标过程和结果。</w:t>
      </w:r>
    </w:p>
    <w:p w14:paraId="5554FC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25.3 凡是与审查、澄清、评价和比较投标的有关资料等，均不向投标人及与评标无关的其他人员透露。</w:t>
      </w:r>
    </w:p>
    <w:p w14:paraId="676FB1E0">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六、签订合同</w:t>
      </w:r>
    </w:p>
    <w:p w14:paraId="3803A35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26、签订合同</w:t>
      </w:r>
    </w:p>
    <w:p w14:paraId="1D8DBDA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26.1采购人与中标人应当自中标通知书发出之日起30日内，按照招标文件和中标人投标文件的规定，签订书面合同。所签订的合同不得对招标文件确定的事项和中标人投标文件作实质性修改。</w:t>
      </w:r>
    </w:p>
    <w:p w14:paraId="6A5BADA2">
      <w:pPr>
        <w:widowControl/>
        <w:shd w:val="clear" w:color="auto" w:fill="FFFFFF"/>
        <w:spacing w:line="360" w:lineRule="auto"/>
        <w:ind w:firstLine="420"/>
        <w:rPr>
          <w:rFonts w:hint="eastAsia" w:ascii="宋体" w:hAnsi="宋体" w:cs="宋体"/>
          <w:b/>
          <w:bCs/>
          <w:color w:val="auto"/>
          <w:szCs w:val="21"/>
          <w:highlight w:val="none"/>
        </w:rPr>
      </w:pPr>
      <w:r>
        <w:rPr>
          <w:rFonts w:hint="eastAsia" w:ascii="宋体" w:hAnsi="宋体" w:cs="宋体"/>
          <w:b/>
          <w:color w:val="auto"/>
          <w:kern w:val="0"/>
          <w:szCs w:val="21"/>
          <w:highlight w:val="none"/>
        </w:rPr>
        <w:t>26.2</w:t>
      </w:r>
      <w:r>
        <w:rPr>
          <w:rFonts w:hint="eastAsia" w:ascii="宋体" w:hAnsi="宋体" w:cs="宋体"/>
          <w:color w:val="auto"/>
          <w:szCs w:val="21"/>
          <w:highlight w:val="none"/>
        </w:rPr>
        <w:t>除继续履行将损害国家利益和社会公众利益的，政府采购合同的双方当事人不得擅自变更、中止或者终止合同。</w:t>
      </w:r>
      <w:r>
        <w:rPr>
          <w:rFonts w:hint="eastAsia" w:ascii="宋体" w:hAnsi="宋体" w:cs="宋体"/>
          <w:b/>
          <w:bCs/>
          <w:color w:val="auto"/>
          <w:szCs w:val="21"/>
          <w:highlight w:val="none"/>
        </w:rPr>
        <w:t>放弃或拒绝签订合同的，中标人不得参加对该项目重新开展的采购活动，投标保证金不予退还</w:t>
      </w:r>
      <w:r>
        <w:rPr>
          <w:rFonts w:hint="eastAsia" w:ascii="宋体" w:hAnsi="宋体" w:cs="宋体"/>
          <w:b/>
          <w:bCs/>
          <w:color w:val="auto"/>
          <w:kern w:val="0"/>
          <w:szCs w:val="21"/>
          <w:highlight w:val="none"/>
        </w:rPr>
        <w:t>，不收取投标保证金的项目，中标人应向采购人支付采购人为招标所发生的相关费用，</w:t>
      </w:r>
      <w:r>
        <w:rPr>
          <w:rFonts w:hint="eastAsia" w:ascii="宋体" w:hAnsi="宋体" w:cs="宋体"/>
          <w:b/>
          <w:bCs/>
          <w:color w:val="auto"/>
          <w:szCs w:val="21"/>
          <w:highlight w:val="none"/>
        </w:rPr>
        <w:t>由财政部门列入不良行为记录名单，在一至三年内禁止参加政府采购活动，并予以通报。</w:t>
      </w:r>
    </w:p>
    <w:p w14:paraId="701F0D5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26.3采购人不得向中标人提出任何不合理的要求作为签订合同的条件。</w:t>
      </w:r>
    </w:p>
    <w:p w14:paraId="41E935C7">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26.4中标人拒绝与采购人签订合同的，采购人可以按照评审报告推荐的中标或者成交候选人名单排序，确定下一候选人为中标或者成交供应商，也可以重新开展政府采购活动。</w:t>
      </w:r>
    </w:p>
    <w:p w14:paraId="26FB2D8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26.5 政府采购合同履行中，采购人需追加与合同标的相同的货物或者服务的，在不改变合同其他条款的前提下，可以与供应商协商签订补充合同，但所有补充合同的采购金额不得超过原合同采购金额的百分之十。</w:t>
      </w:r>
    </w:p>
    <w:p w14:paraId="4EF14114">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26.6 采购人与中标人应当根据合同的约定依法履行合同义务。</w:t>
      </w:r>
    </w:p>
    <w:p w14:paraId="2984510B">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七、质疑和投诉</w:t>
      </w:r>
    </w:p>
    <w:p w14:paraId="3A2EF5F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27、质疑</w:t>
      </w:r>
    </w:p>
    <w:p w14:paraId="15D5C175">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27.1供应商对招标活动事项有疑问的，可以向采购代理机构提出询问，采购代理机构将依法作出答复，但答复的内容不涉及商业秘密</w:t>
      </w:r>
      <w:r>
        <w:rPr>
          <w:rFonts w:hint="eastAsia" w:ascii="宋体" w:hAnsi="宋体" w:cs="宋体"/>
          <w:b/>
          <w:bCs/>
          <w:color w:val="auto"/>
          <w:kern w:val="0"/>
          <w:szCs w:val="21"/>
          <w:highlight w:val="none"/>
        </w:rPr>
        <w:t>。</w:t>
      </w:r>
    </w:p>
    <w:p w14:paraId="358D0D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27.2提出质疑的供应商应当是参与所质疑项目采购活动的供应商。潜在供应商已依法获取其可质疑的采购文件的，可以对该文件提出质疑。</w:t>
      </w:r>
    </w:p>
    <w:p w14:paraId="4F620D7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27.3供应商认为采购文件、采购过程和中标结果使自己的合法权益受到损害的，可以在知道或者应知其权益受到损害之日起七个工作日内，</w:t>
      </w:r>
      <w:r>
        <w:rPr>
          <w:rFonts w:hint="eastAsia" w:ascii="宋体" w:hAnsi="宋体" w:cs="宋体"/>
          <w:b/>
          <w:bCs/>
          <w:color w:val="auto"/>
          <w:kern w:val="0"/>
          <w:szCs w:val="21"/>
          <w:highlight w:val="none"/>
          <w:lang w:val="en-US" w:eastAsia="zh-CN"/>
        </w:rPr>
        <w:t>以书面形式向</w:t>
      </w:r>
      <w:r>
        <w:rPr>
          <w:rFonts w:hint="eastAsia" w:ascii="宋体" w:hAnsi="宋体" w:cs="宋体"/>
          <w:b/>
          <w:bCs/>
          <w:color w:val="auto"/>
          <w:kern w:val="0"/>
          <w:szCs w:val="21"/>
          <w:highlight w:val="none"/>
        </w:rPr>
        <w:t>采购人或采购代理机构</w:t>
      </w:r>
      <w:r>
        <w:rPr>
          <w:rFonts w:hint="eastAsia" w:ascii="宋体" w:hAnsi="宋体" w:cs="宋体"/>
          <w:b/>
          <w:bCs/>
          <w:color w:val="auto"/>
          <w:kern w:val="0"/>
          <w:szCs w:val="21"/>
          <w:highlight w:val="none"/>
          <w:lang w:val="en-US" w:eastAsia="zh-CN"/>
        </w:rPr>
        <w:t>提出质疑</w:t>
      </w:r>
      <w:r>
        <w:rPr>
          <w:rFonts w:hint="eastAsia" w:ascii="宋体" w:hAnsi="宋体" w:cs="宋体"/>
          <w:color w:val="auto"/>
          <w:kern w:val="0"/>
          <w:szCs w:val="21"/>
          <w:highlight w:val="none"/>
        </w:rPr>
        <w:t>。</w:t>
      </w:r>
    </w:p>
    <w:p w14:paraId="6B2EAE0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D19DBBC">
      <w:pPr>
        <w:widowControl/>
        <w:shd w:val="clear" w:color="auto" w:fill="FFFFFF"/>
        <w:spacing w:line="360" w:lineRule="auto"/>
        <w:ind w:firstLine="420"/>
        <w:rPr>
          <w:rFonts w:hint="eastAsia" w:ascii="宋体" w:hAnsi="宋体" w:cs="宋体"/>
          <w:b/>
          <w:bCs/>
          <w:color w:val="auto"/>
          <w:kern w:val="0"/>
          <w:szCs w:val="21"/>
          <w:highlight w:val="none"/>
        </w:rPr>
      </w:pPr>
      <w:r>
        <w:rPr>
          <w:rFonts w:hint="eastAsia" w:ascii="宋体" w:hAnsi="宋体" w:cs="宋体"/>
          <w:b/>
          <w:bCs/>
          <w:color w:val="auto"/>
          <w:highlight w:val="none"/>
        </w:rPr>
        <w:t>供应商必须在法定质疑期内一次性提出针对同一采购程序环节的质疑。</w:t>
      </w:r>
    </w:p>
    <w:p w14:paraId="30869C3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27.4 供应商提出质疑应当提交质疑函和必要的证明材料。质疑函应当包括下列内容：</w:t>
      </w:r>
    </w:p>
    <w:p w14:paraId="3E1EEE1A">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（一）供应商的姓名或者名称、地址、邮编、联系人及联系电话；</w:t>
      </w:r>
    </w:p>
    <w:p w14:paraId="292AAB6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（二）质疑项目的名称、编号；</w:t>
      </w:r>
    </w:p>
    <w:p w14:paraId="3F7D33D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（三）具体、明确的质疑事项和与质疑事项相关的请求（具体条款）；</w:t>
      </w:r>
    </w:p>
    <w:p w14:paraId="0ABE6F4C">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（四）事实依据（具体条款）；</w:t>
      </w:r>
    </w:p>
    <w:p w14:paraId="746CB346">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（五）必要的法律依据（具体条款）；</w:t>
      </w:r>
    </w:p>
    <w:p w14:paraId="05BE5BC8">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（六）提出质疑的日期。</w:t>
      </w:r>
    </w:p>
    <w:p w14:paraId="0CAF6C45">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p>
    <w:p w14:paraId="38DB01A8">
      <w:pPr>
        <w:widowControl/>
        <w:shd w:val="clear" w:color="auto" w:fill="FFFFFF"/>
        <w:spacing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质疑函应当使用中文。相关当事人提供外文书证或者外国语视听资料的，应当附有中文译本，由翻译机构盖章或者翻译人员签名。</w:t>
      </w:r>
    </w:p>
    <w:p w14:paraId="4A4A1069">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5</w:t>
      </w:r>
      <w:r>
        <w:rPr>
          <w:rFonts w:hint="eastAsia" w:ascii="宋体" w:hAnsi="宋体" w:cs="宋体"/>
          <w:color w:val="auto"/>
          <w:kern w:val="0"/>
          <w:szCs w:val="21"/>
          <w:highlight w:val="none"/>
        </w:rPr>
        <w:t>投标人不得虚假质疑和恶意质疑，并对质疑内容的真实性承担责任。投标人或者其他利害关系人通过捏造事实、伪造证明材料等方式提出异议或投诉，阻碍招投标活动正常进行的，属于严重不良行为，</w:t>
      </w:r>
      <w:r>
        <w:rPr>
          <w:rFonts w:hint="eastAsia" w:ascii="宋体" w:hAnsi="宋体" w:cs="宋体"/>
          <w:b/>
          <w:bCs/>
          <w:color w:val="auto"/>
          <w:kern w:val="0"/>
          <w:szCs w:val="21"/>
          <w:highlight w:val="none"/>
        </w:rPr>
        <w:t>财政部门将依法予以处罚</w:t>
      </w:r>
      <w:r>
        <w:rPr>
          <w:rFonts w:hint="eastAsia" w:ascii="宋体" w:hAnsi="宋体" w:cs="宋体"/>
          <w:color w:val="auto"/>
          <w:kern w:val="0"/>
          <w:szCs w:val="21"/>
          <w:highlight w:val="none"/>
        </w:rPr>
        <w:t>。</w:t>
      </w:r>
    </w:p>
    <w:p w14:paraId="7FA1F5EE">
      <w:pPr>
        <w:widowControl/>
        <w:shd w:val="clear" w:color="auto" w:fill="FFFFFF"/>
        <w:spacing w:line="360" w:lineRule="auto"/>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27.</w:t>
      </w:r>
      <w:r>
        <w:rPr>
          <w:rFonts w:hint="eastAsia" w:ascii="宋体" w:hAnsi="宋体" w:cs="宋体"/>
          <w:color w:val="auto"/>
          <w:kern w:val="0"/>
          <w:szCs w:val="21"/>
          <w:highlight w:val="none"/>
          <w:lang w:val="en-US" w:eastAsia="zh-CN"/>
        </w:rPr>
        <w:t>6</w:t>
      </w:r>
      <w:r>
        <w:rPr>
          <w:rFonts w:hint="eastAsia" w:ascii="宋体" w:hAnsi="宋体" w:cs="宋体"/>
          <w:color w:val="auto"/>
          <w:kern w:val="0"/>
          <w:szCs w:val="21"/>
          <w:highlight w:val="none"/>
        </w:rPr>
        <w:t>采购代理机构在收到投标人的书面质疑后将及时组织调查核实，在</w:t>
      </w:r>
      <w:r>
        <w:rPr>
          <w:rFonts w:hint="eastAsia" w:ascii="宋体" w:hAnsi="宋体" w:cs="宋体"/>
          <w:b/>
          <w:bCs/>
          <w:color w:val="auto"/>
          <w:kern w:val="0"/>
          <w:szCs w:val="21"/>
          <w:highlight w:val="none"/>
        </w:rPr>
        <w:t>七个工作日内</w:t>
      </w:r>
      <w:r>
        <w:rPr>
          <w:rFonts w:hint="eastAsia" w:ascii="宋体" w:hAnsi="宋体" w:cs="宋体"/>
          <w:color w:val="auto"/>
          <w:kern w:val="0"/>
          <w:szCs w:val="21"/>
          <w:highlight w:val="none"/>
        </w:rPr>
        <w:t>作出答复，并以书面或在网站公告形式通知质疑投标人和其他有关投标人，答复的内容不涉及商业秘密。</w:t>
      </w:r>
    </w:p>
    <w:p w14:paraId="503F2A3C">
      <w:pPr>
        <w:widowControl/>
        <w:shd w:val="clear" w:color="auto" w:fill="FFFFFF"/>
        <w:spacing w:line="420" w:lineRule="exact"/>
        <w:ind w:firstLine="420"/>
        <w:rPr>
          <w:rFonts w:hint="eastAsia" w:ascii="宋体" w:hAnsi="宋体" w:cs="宋体"/>
          <w:color w:val="auto"/>
          <w:kern w:val="0"/>
          <w:szCs w:val="21"/>
          <w:highlight w:val="none"/>
        </w:rPr>
      </w:pPr>
      <w:r>
        <w:rPr>
          <w:rFonts w:hint="eastAsia" w:ascii="宋体" w:hAnsi="宋体" w:cs="宋体"/>
          <w:b/>
          <w:bCs/>
          <w:color w:val="auto"/>
          <w:kern w:val="0"/>
          <w:szCs w:val="21"/>
          <w:highlight w:val="none"/>
        </w:rPr>
        <w:t>28、投诉</w:t>
      </w:r>
    </w:p>
    <w:p w14:paraId="5EFB2FDA">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28.1质疑供应商对采购代理机构的答复不满意或者采购代理机构未在规定的时间内作出答复的，可以在答复期满后十五个工作日内向同级政府采购监督管理部门投诉。</w:t>
      </w:r>
    </w:p>
    <w:p w14:paraId="3BCCC03E">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28.2供应商投诉应当有明确的请求和必要的证明材料。供应商投诉的事项不得超出已质疑事项的范围。</w:t>
      </w:r>
    </w:p>
    <w:p w14:paraId="3676F054">
      <w:pPr>
        <w:spacing w:line="420" w:lineRule="exact"/>
        <w:ind w:firstLine="420" w:firstLineChars="200"/>
        <w:rPr>
          <w:rFonts w:hint="eastAsia" w:ascii="宋体" w:hAnsi="宋体" w:cs="宋体"/>
          <w:color w:val="auto"/>
          <w:highlight w:val="none"/>
        </w:rPr>
      </w:pPr>
      <w:r>
        <w:rPr>
          <w:rFonts w:hint="eastAsia" w:ascii="宋体" w:hAnsi="宋体" w:cs="宋体"/>
          <w:color w:val="auto"/>
          <w:szCs w:val="21"/>
          <w:highlight w:val="none"/>
        </w:rPr>
        <w:t>28.3投诉人对政府采购监督管理部门的投诉处理决定不服或者政府采购监督管理部门逾期未作处理的，可以依法申请行政复议或者向人民法院提起行政诉讼。</w:t>
      </w:r>
    </w:p>
    <w:p w14:paraId="57F356D1">
      <w:pPr>
        <w:spacing w:line="420" w:lineRule="exact"/>
        <w:ind w:firstLine="420" w:firstLineChars="200"/>
        <w:rPr>
          <w:rFonts w:hint="eastAsia" w:ascii="宋体" w:hAnsi="宋体" w:cs="宋体"/>
          <w:color w:val="auto"/>
          <w:szCs w:val="21"/>
          <w:highlight w:val="none"/>
        </w:rPr>
      </w:pPr>
      <w:r>
        <w:rPr>
          <w:rFonts w:hint="eastAsia" w:ascii="宋体" w:hAnsi="宋体" w:cs="宋体"/>
          <w:color w:val="auto"/>
          <w:highlight w:val="none"/>
        </w:rPr>
        <w:t>28.4 投诉人有下列行为之一的，属于严重失信行为，</w:t>
      </w:r>
      <w:r>
        <w:rPr>
          <w:rFonts w:hint="eastAsia" w:ascii="宋体" w:hAnsi="宋体" w:cs="宋体"/>
          <w:color w:val="auto"/>
          <w:szCs w:val="21"/>
          <w:highlight w:val="none"/>
        </w:rPr>
        <w:t>由财政部门列入不良行为记录名单，禁止其一至三年内参加政府采购活动。</w:t>
      </w:r>
    </w:p>
    <w:p w14:paraId="5787159D">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（1）投诉人在全国范围12个月内三次以上投诉查无实据的；</w:t>
      </w:r>
    </w:p>
    <w:p w14:paraId="4F50F4B2">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（2）采用捏造事实、提供虚假材料或者以非法手段取得证明材料等方式进行虚假、恶意投诉。</w:t>
      </w:r>
    </w:p>
    <w:p w14:paraId="5889A919">
      <w:pPr>
        <w:spacing w:line="420" w:lineRule="exact"/>
        <w:ind w:firstLine="420" w:firstLineChars="200"/>
        <w:rPr>
          <w:rFonts w:hint="eastAsia" w:ascii="宋体" w:hAnsi="宋体" w:cs="宋体"/>
          <w:color w:val="auto"/>
          <w:highlight w:val="none"/>
        </w:rPr>
      </w:pPr>
      <w:r>
        <w:rPr>
          <w:rFonts w:hint="eastAsia" w:ascii="宋体" w:hAnsi="宋体" w:cs="宋体"/>
          <w:color w:val="auto"/>
          <w:highlight w:val="none"/>
        </w:rPr>
        <w:t>证据来源的合法性存在明显疑问，投诉人无法证明其取得方式合法的，视为以非法手段取得证明材料。</w:t>
      </w:r>
    </w:p>
    <w:p w14:paraId="4D955111">
      <w:pPr>
        <w:widowControl/>
        <w:shd w:val="clear" w:color="auto" w:fill="FFFFFF"/>
        <w:spacing w:line="360" w:lineRule="auto"/>
        <w:ind w:firstLine="422" w:firstLineChars="200"/>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29、其他</w:t>
      </w:r>
    </w:p>
    <w:p w14:paraId="6C74AC75">
      <w:pPr>
        <w:spacing w:line="360" w:lineRule="auto"/>
        <w:ind w:firstLine="420" w:firstLineChars="200"/>
        <w:rPr>
          <w:rFonts w:hint="eastAsia" w:ascii="宋体" w:hAnsi="宋体" w:cs="宋体"/>
          <w:color w:val="auto"/>
          <w:szCs w:val="20"/>
          <w:highlight w:val="none"/>
        </w:rPr>
      </w:pPr>
      <w:r>
        <w:rPr>
          <w:rFonts w:hint="eastAsia" w:ascii="宋体" w:hAnsi="宋体" w:cs="宋体"/>
          <w:color w:val="auto"/>
          <w:szCs w:val="20"/>
          <w:highlight w:val="none"/>
        </w:rPr>
        <w:t>29.1本项目根据江苏省财政厅关于加强政府绿色采购有关事项的通知（苏财购</w:t>
      </w:r>
      <w:r>
        <w:rPr>
          <w:rFonts w:hint="eastAsia" w:ascii="宋体" w:hAnsi="宋体" w:cs="宋体"/>
          <w:color w:val="auto"/>
          <w:kern w:val="0"/>
          <w:szCs w:val="21"/>
          <w:highlight w:val="none"/>
        </w:rPr>
        <w:t>〔2023〕65号</w:t>
      </w:r>
      <w:r>
        <w:rPr>
          <w:rFonts w:hint="eastAsia" w:ascii="宋体" w:hAnsi="宋体" w:cs="宋体"/>
          <w:color w:val="auto"/>
          <w:szCs w:val="20"/>
          <w:highlight w:val="none"/>
        </w:rPr>
        <w:t>）规定，执行绿色采购需求标准。</w:t>
      </w:r>
    </w:p>
    <w:p w14:paraId="5C143F32">
      <w:pPr>
        <w:rPr>
          <w:rFonts w:hint="eastAsia" w:ascii="宋体" w:hAnsi="宋体" w:cs="宋体"/>
          <w:color w:val="auto"/>
          <w:highlight w:val="none"/>
        </w:rPr>
      </w:pPr>
      <w:r>
        <w:rPr>
          <w:rFonts w:hint="eastAsia" w:ascii="宋体" w:hAnsi="宋体" w:cs="宋体"/>
          <w:color w:val="auto"/>
          <w:highlight w:val="none"/>
        </w:rPr>
        <w:br w:type="page"/>
      </w:r>
    </w:p>
    <w:p w14:paraId="3E531E26">
      <w:pPr>
        <w:pStyle w:val="2"/>
        <w:spacing w:line="360" w:lineRule="auto"/>
        <w:jc w:val="center"/>
        <w:rPr>
          <w:rFonts w:hint="eastAsia" w:ascii="宋体" w:hAnsi="宋体" w:cs="宋体"/>
          <w:color w:val="auto"/>
          <w:highlight w:val="none"/>
        </w:rPr>
      </w:pPr>
      <w:bookmarkStart w:id="6" w:name="_Toc481057145"/>
      <w:r>
        <w:rPr>
          <w:rFonts w:hint="eastAsia" w:ascii="宋体" w:hAnsi="宋体" w:cs="宋体"/>
          <w:color w:val="auto"/>
          <w:highlight w:val="none"/>
        </w:rPr>
        <w:t xml:space="preserve"> </w:t>
      </w:r>
      <w:bookmarkStart w:id="7" w:name="_Toc32675"/>
      <w:r>
        <w:rPr>
          <w:rFonts w:hint="eastAsia" w:ascii="宋体" w:hAnsi="宋体" w:cs="宋体"/>
          <w:color w:val="auto"/>
          <w:highlight w:val="none"/>
        </w:rPr>
        <w:t>评标标准</w:t>
      </w:r>
      <w:bookmarkEnd w:id="7"/>
    </w:p>
    <w:bookmarkEnd w:id="6"/>
    <w:p w14:paraId="0F2C89DC">
      <w:pPr>
        <w:spacing w:line="360" w:lineRule="auto"/>
        <w:ind w:firstLine="420" w:firstLineChars="200"/>
        <w:rPr>
          <w:rFonts w:hint="eastAsia" w:ascii="宋体" w:hAnsi="宋体" w:cs="宋体"/>
          <w:color w:val="auto"/>
          <w:highlight w:val="none"/>
        </w:rPr>
      </w:pPr>
      <w:r>
        <w:rPr>
          <w:rFonts w:hint="eastAsia" w:ascii="宋体" w:hAnsi="宋体" w:cs="宋体"/>
          <w:color w:val="auto"/>
          <w:highlight w:val="none"/>
        </w:rPr>
        <w:t>本项目采用综合评分法，评分统计方法采用百分制（满分100分），将全部评委评分直接进行算术平均，小数点后保留2位。按评审后得分由高到低顺序排列，得分相同的，按投标报价由低到高顺序排列，得分且投标报价相同的，按技术指标优劣顺序排列，由评标委员会确定。</w:t>
      </w:r>
    </w:p>
    <w:tbl>
      <w:tblPr>
        <w:tblStyle w:val="46"/>
        <w:tblW w:w="96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40"/>
        <w:gridCol w:w="1499"/>
        <w:gridCol w:w="6602"/>
        <w:gridCol w:w="891"/>
      </w:tblGrid>
      <w:tr w14:paraId="4F0FF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6EEF75E8">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序号</w:t>
            </w:r>
          </w:p>
        </w:tc>
        <w:tc>
          <w:tcPr>
            <w:tcW w:w="1499" w:type="dxa"/>
            <w:tcMar>
              <w:top w:w="0" w:type="dxa"/>
              <w:left w:w="108" w:type="dxa"/>
              <w:bottom w:w="0" w:type="dxa"/>
              <w:right w:w="108" w:type="dxa"/>
            </w:tcMar>
            <w:vAlign w:val="center"/>
          </w:tcPr>
          <w:p w14:paraId="6C080005">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评分因素</w:t>
            </w:r>
          </w:p>
        </w:tc>
        <w:tc>
          <w:tcPr>
            <w:tcW w:w="6602" w:type="dxa"/>
            <w:tcMar>
              <w:top w:w="0" w:type="dxa"/>
              <w:left w:w="108" w:type="dxa"/>
              <w:bottom w:w="0" w:type="dxa"/>
              <w:right w:w="108" w:type="dxa"/>
            </w:tcMar>
            <w:vAlign w:val="center"/>
          </w:tcPr>
          <w:p w14:paraId="6D14E751">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评审标准</w:t>
            </w:r>
          </w:p>
        </w:tc>
        <w:tc>
          <w:tcPr>
            <w:tcW w:w="891" w:type="dxa"/>
            <w:tcMar>
              <w:top w:w="0" w:type="dxa"/>
              <w:left w:w="108" w:type="dxa"/>
              <w:bottom w:w="0" w:type="dxa"/>
              <w:right w:w="108" w:type="dxa"/>
            </w:tcMar>
            <w:vAlign w:val="center"/>
          </w:tcPr>
          <w:p w14:paraId="7443E211">
            <w:pPr>
              <w:widowControl/>
              <w:spacing w:line="360" w:lineRule="auto"/>
              <w:jc w:val="center"/>
              <w:rPr>
                <w:rFonts w:ascii="宋体" w:hAnsi="宋体"/>
                <w:color w:val="auto"/>
                <w:kern w:val="0"/>
                <w:highlight w:val="none"/>
              </w:rPr>
            </w:pPr>
            <w:r>
              <w:rPr>
                <w:rFonts w:hint="eastAsia" w:ascii="宋体" w:hAnsi="宋体"/>
                <w:color w:val="auto"/>
                <w:kern w:val="0"/>
                <w:highlight w:val="none"/>
              </w:rPr>
              <w:t>分值</w:t>
            </w:r>
          </w:p>
        </w:tc>
      </w:tr>
      <w:tr w14:paraId="5CD43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8BCA893">
            <w:pPr>
              <w:widowControl/>
              <w:spacing w:line="360" w:lineRule="auto"/>
              <w:jc w:val="center"/>
              <w:rPr>
                <w:rFonts w:ascii="宋体" w:hAnsi="宋体"/>
                <w:color w:val="auto"/>
                <w:kern w:val="0"/>
                <w:highlight w:val="none"/>
              </w:rPr>
            </w:pPr>
            <w:r>
              <w:rPr>
                <w:rFonts w:hint="eastAsia" w:ascii="宋体" w:hAnsi="宋体"/>
                <w:b/>
                <w:bCs/>
                <w:color w:val="auto"/>
                <w:kern w:val="0"/>
                <w:highlight w:val="none"/>
              </w:rPr>
              <w:t>1</w:t>
            </w:r>
          </w:p>
        </w:tc>
        <w:tc>
          <w:tcPr>
            <w:tcW w:w="1499" w:type="dxa"/>
            <w:tcMar>
              <w:top w:w="0" w:type="dxa"/>
              <w:left w:w="108" w:type="dxa"/>
              <w:bottom w:w="0" w:type="dxa"/>
              <w:right w:w="108" w:type="dxa"/>
            </w:tcMar>
            <w:vAlign w:val="center"/>
          </w:tcPr>
          <w:p w14:paraId="0DAD5F04">
            <w:pPr>
              <w:widowControl/>
              <w:spacing w:line="360" w:lineRule="auto"/>
              <w:jc w:val="center"/>
              <w:rPr>
                <w:rFonts w:ascii="宋体" w:hAnsi="宋体"/>
                <w:b w:val="0"/>
                <w:bCs w:val="0"/>
                <w:color w:val="auto"/>
                <w:kern w:val="0"/>
                <w:highlight w:val="none"/>
              </w:rPr>
            </w:pPr>
            <w:r>
              <w:rPr>
                <w:rFonts w:hint="eastAsia" w:ascii="宋体" w:hAnsi="宋体"/>
                <w:b w:val="0"/>
                <w:bCs w:val="0"/>
                <w:color w:val="auto"/>
                <w:kern w:val="0"/>
                <w:highlight w:val="none"/>
              </w:rPr>
              <w:t>价格</w:t>
            </w:r>
          </w:p>
        </w:tc>
        <w:tc>
          <w:tcPr>
            <w:tcW w:w="6602" w:type="dxa"/>
            <w:tcMar>
              <w:top w:w="0" w:type="dxa"/>
              <w:left w:w="108" w:type="dxa"/>
              <w:bottom w:w="0" w:type="dxa"/>
              <w:right w:w="108" w:type="dxa"/>
            </w:tcMar>
            <w:vAlign w:val="center"/>
          </w:tcPr>
          <w:p w14:paraId="6F05B0A0">
            <w:pPr>
              <w:widowControl/>
              <w:spacing w:line="360" w:lineRule="auto"/>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rPr>
              <w:t>采用低价优先法计算，即满足招标文件基本要求且投标价格最低的投标报价为评标基准价为满分，即</w:t>
            </w:r>
            <w:r>
              <w:rPr>
                <w:rFonts w:hint="eastAsia" w:ascii="宋体" w:hAnsi="宋体"/>
                <w:b w:val="0"/>
                <w:bCs w:val="0"/>
                <w:color w:val="auto"/>
                <w:kern w:val="0"/>
                <w:highlight w:val="none"/>
                <w:lang w:val="en-US" w:eastAsia="zh-CN"/>
              </w:rPr>
              <w:t>15</w:t>
            </w:r>
            <w:r>
              <w:rPr>
                <w:rFonts w:hint="eastAsia" w:ascii="宋体" w:hAnsi="宋体"/>
                <w:b w:val="0"/>
                <w:bCs w:val="0"/>
                <w:color w:val="auto"/>
                <w:kern w:val="0"/>
                <w:highlight w:val="none"/>
              </w:rPr>
              <w:t>分。其他</w:t>
            </w:r>
            <w:r>
              <w:rPr>
                <w:rFonts w:hint="eastAsia" w:ascii="宋体" w:hAnsi="宋体"/>
                <w:b w:val="0"/>
                <w:bCs w:val="0"/>
                <w:color w:val="auto"/>
                <w:kern w:val="0"/>
                <w:highlight w:val="none"/>
                <w:lang w:eastAsia="zh-CN"/>
              </w:rPr>
              <w:t>投标人</w:t>
            </w:r>
            <w:r>
              <w:rPr>
                <w:rFonts w:hint="eastAsia" w:ascii="宋体" w:hAnsi="宋体"/>
                <w:b w:val="0"/>
                <w:bCs w:val="0"/>
                <w:color w:val="auto"/>
                <w:kern w:val="0"/>
                <w:highlight w:val="none"/>
              </w:rPr>
              <w:t>的价格分按照下列公式计算（小数点保留二位）；投标报价得分=（评标基准价/投标报价）×</w:t>
            </w:r>
            <w:r>
              <w:rPr>
                <w:rFonts w:hint="eastAsia" w:ascii="宋体" w:hAnsi="宋体"/>
                <w:b w:val="0"/>
                <w:bCs w:val="0"/>
                <w:color w:val="auto"/>
                <w:kern w:val="0"/>
                <w:highlight w:val="none"/>
                <w:lang w:val="en-US" w:eastAsia="zh-CN"/>
              </w:rPr>
              <w:t>15</w:t>
            </w:r>
          </w:p>
        </w:tc>
        <w:tc>
          <w:tcPr>
            <w:tcW w:w="891" w:type="dxa"/>
            <w:tcMar>
              <w:top w:w="0" w:type="dxa"/>
              <w:left w:w="108" w:type="dxa"/>
              <w:bottom w:w="0" w:type="dxa"/>
              <w:right w:w="108" w:type="dxa"/>
            </w:tcMar>
            <w:vAlign w:val="center"/>
          </w:tcPr>
          <w:p w14:paraId="6D83524C">
            <w:pPr>
              <w:widowControl/>
              <w:spacing w:line="360" w:lineRule="auto"/>
              <w:jc w:val="center"/>
              <w:rPr>
                <w:rFonts w:hint="default" w:ascii="宋体" w:hAnsi="宋体" w:eastAsia="宋体"/>
                <w:b w:val="0"/>
                <w:bCs w:val="0"/>
                <w:color w:val="auto"/>
                <w:kern w:val="0"/>
                <w:highlight w:val="none"/>
                <w:lang w:val="en-US" w:eastAsia="zh-CN"/>
              </w:rPr>
            </w:pPr>
            <w:r>
              <w:rPr>
                <w:rFonts w:hint="eastAsia" w:ascii="宋体" w:hAnsi="宋体"/>
                <w:b w:val="0"/>
                <w:bCs w:val="0"/>
                <w:color w:val="auto"/>
                <w:kern w:val="0"/>
                <w:highlight w:val="none"/>
                <w:lang w:val="en-US" w:eastAsia="zh-CN"/>
              </w:rPr>
              <w:t>15</w:t>
            </w:r>
          </w:p>
        </w:tc>
      </w:tr>
      <w:tr w14:paraId="17994A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41300117">
            <w:pPr>
              <w:widowControl/>
              <w:spacing w:line="360" w:lineRule="auto"/>
              <w:jc w:val="center"/>
              <w:rPr>
                <w:rFonts w:hint="eastAsia" w:ascii="宋体" w:hAnsi="宋体" w:eastAsia="宋体"/>
                <w:b/>
                <w:bCs/>
                <w:color w:val="auto"/>
                <w:kern w:val="0"/>
                <w:highlight w:val="none"/>
                <w:lang w:val="en-US" w:eastAsia="zh-CN"/>
              </w:rPr>
            </w:pPr>
            <w:r>
              <w:rPr>
                <w:rFonts w:hint="eastAsia" w:ascii="宋体" w:hAnsi="宋体"/>
                <w:b/>
                <w:bCs/>
                <w:color w:val="auto"/>
                <w:kern w:val="0"/>
                <w:highlight w:val="none"/>
                <w:lang w:val="en-US" w:eastAsia="zh-CN"/>
              </w:rPr>
              <w:t>2</w:t>
            </w:r>
          </w:p>
        </w:tc>
        <w:tc>
          <w:tcPr>
            <w:tcW w:w="1499" w:type="dxa"/>
            <w:tcMar>
              <w:top w:w="0" w:type="dxa"/>
              <w:left w:w="108" w:type="dxa"/>
              <w:bottom w:w="0" w:type="dxa"/>
              <w:right w:w="108" w:type="dxa"/>
            </w:tcMar>
            <w:vAlign w:val="center"/>
          </w:tcPr>
          <w:p w14:paraId="4757E59C">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业绩</w:t>
            </w:r>
          </w:p>
        </w:tc>
        <w:tc>
          <w:tcPr>
            <w:tcW w:w="6602" w:type="dxa"/>
            <w:tcMar>
              <w:top w:w="0" w:type="dxa"/>
              <w:left w:w="108" w:type="dxa"/>
              <w:bottom w:w="0" w:type="dxa"/>
              <w:right w:w="108" w:type="dxa"/>
            </w:tcMar>
            <w:vAlign w:val="center"/>
          </w:tcPr>
          <w:p w14:paraId="2925F857">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2023年1月1日</w:t>
            </w:r>
            <w:r>
              <w:rPr>
                <w:rFonts w:hint="eastAsia" w:ascii="宋体" w:hAnsi="宋体" w:eastAsia="宋体" w:cs="宋体"/>
                <w:color w:val="auto"/>
                <w:sz w:val="21"/>
                <w:szCs w:val="21"/>
                <w:highlight w:val="none"/>
              </w:rPr>
              <w:t>（含）</w:t>
            </w:r>
            <w:r>
              <w:rPr>
                <w:rFonts w:hint="eastAsia" w:ascii="宋体" w:hAnsi="宋体"/>
                <w:b w:val="0"/>
                <w:bCs w:val="0"/>
                <w:color w:val="auto"/>
                <w:kern w:val="0"/>
                <w:highlight w:val="none"/>
              </w:rPr>
              <w:t>以来</w:t>
            </w:r>
            <w:r>
              <w:rPr>
                <w:rFonts w:hint="eastAsia" w:ascii="宋体" w:hAnsi="宋体" w:eastAsia="宋体" w:cs="Times New Roman"/>
                <w:color w:val="auto"/>
                <w:kern w:val="2"/>
                <w:sz w:val="21"/>
                <w:szCs w:val="21"/>
                <w:highlight w:val="none"/>
                <w:lang w:val="en-US" w:eastAsia="zh-CN" w:bidi="ar-SA"/>
              </w:rPr>
              <w:t>投标人</w:t>
            </w:r>
            <w:r>
              <w:rPr>
                <w:rFonts w:hint="eastAsia" w:ascii="宋体" w:hAnsi="宋体"/>
                <w:b w:val="0"/>
                <w:bCs w:val="0"/>
                <w:color w:val="auto"/>
                <w:kern w:val="0"/>
                <w:highlight w:val="none"/>
                <w:lang w:val="en-US" w:eastAsia="zh-CN"/>
              </w:rPr>
              <w:t>承担</w:t>
            </w:r>
            <w:r>
              <w:rPr>
                <w:rFonts w:hint="eastAsia" w:ascii="宋体" w:hAnsi="宋体"/>
                <w:b w:val="0"/>
                <w:bCs w:val="0"/>
                <w:color w:val="auto"/>
                <w:kern w:val="0"/>
                <w:highlight w:val="none"/>
              </w:rPr>
              <w:t>过类似</w:t>
            </w:r>
            <w:r>
              <w:rPr>
                <w:rFonts w:hint="eastAsia" w:ascii="宋体" w:hAnsi="宋体"/>
                <w:b w:val="0"/>
                <w:bCs w:val="0"/>
                <w:color w:val="auto"/>
                <w:kern w:val="0"/>
                <w:highlight w:val="none"/>
                <w:lang w:val="en-US" w:eastAsia="zh-CN"/>
              </w:rPr>
              <w:t>绿化养护</w:t>
            </w:r>
            <w:r>
              <w:rPr>
                <w:rFonts w:hint="eastAsia" w:ascii="宋体" w:hAnsi="宋体"/>
                <w:b w:val="0"/>
                <w:bCs w:val="0"/>
                <w:color w:val="auto"/>
                <w:kern w:val="0"/>
                <w:highlight w:val="none"/>
              </w:rPr>
              <w:t>业绩的，一个得3分，最多得</w:t>
            </w:r>
            <w:r>
              <w:rPr>
                <w:rFonts w:hint="eastAsia" w:ascii="宋体" w:hAnsi="宋体"/>
                <w:b w:val="0"/>
                <w:bCs w:val="0"/>
                <w:color w:val="auto"/>
                <w:kern w:val="0"/>
                <w:highlight w:val="none"/>
                <w:lang w:val="en-US" w:eastAsia="zh-CN"/>
              </w:rPr>
              <w:t>9</w:t>
            </w:r>
            <w:r>
              <w:rPr>
                <w:rFonts w:hint="eastAsia" w:ascii="宋体" w:hAnsi="宋体"/>
                <w:b w:val="0"/>
                <w:bCs w:val="0"/>
                <w:color w:val="auto"/>
                <w:kern w:val="0"/>
                <w:highlight w:val="none"/>
              </w:rPr>
              <w:t>分。</w:t>
            </w:r>
          </w:p>
          <w:p w14:paraId="2672E758">
            <w:pPr>
              <w:widowControl/>
              <w:spacing w:line="360" w:lineRule="auto"/>
              <w:rPr>
                <w:rFonts w:hint="eastAsia" w:ascii="宋体" w:hAnsi="宋体"/>
                <w:b w:val="0"/>
                <w:bCs w:val="0"/>
                <w:color w:val="auto"/>
                <w:kern w:val="0"/>
                <w:highlight w:val="none"/>
              </w:rPr>
            </w:pPr>
            <w:r>
              <w:rPr>
                <w:rFonts w:hint="eastAsia" w:ascii="宋体" w:hAnsi="宋体"/>
                <w:b w:val="0"/>
                <w:bCs w:val="0"/>
                <w:color w:val="auto"/>
                <w:kern w:val="0"/>
                <w:highlight w:val="none"/>
              </w:rPr>
              <w:t>（注：提供合同扫描件加盖</w:t>
            </w:r>
            <w:r>
              <w:rPr>
                <w:rFonts w:hint="eastAsia" w:ascii="宋体" w:hAnsi="宋体" w:eastAsia="宋体" w:cs="Times New Roman"/>
                <w:color w:val="auto"/>
                <w:kern w:val="2"/>
                <w:sz w:val="21"/>
                <w:szCs w:val="21"/>
                <w:highlight w:val="none"/>
                <w:lang w:val="en-US" w:eastAsia="zh-CN" w:bidi="ar-SA"/>
              </w:rPr>
              <w:t>投标人</w:t>
            </w:r>
            <w:r>
              <w:rPr>
                <w:rFonts w:hint="eastAsia" w:ascii="宋体" w:hAnsi="宋体"/>
                <w:b w:val="0"/>
                <w:bCs w:val="0"/>
                <w:color w:val="auto"/>
                <w:kern w:val="0"/>
                <w:highlight w:val="none"/>
              </w:rPr>
              <w:t>公章编入投标文件中，时间以合同签订时间为准</w:t>
            </w:r>
            <w:r>
              <w:rPr>
                <w:rFonts w:hint="eastAsia" w:ascii="宋体" w:hAnsi="宋体"/>
                <w:b w:val="0"/>
                <w:bCs w:val="0"/>
                <w:color w:val="auto"/>
                <w:kern w:val="0"/>
                <w:highlight w:val="none"/>
                <w:lang w:eastAsia="zh-CN"/>
              </w:rPr>
              <w:t>，</w:t>
            </w:r>
            <w:r>
              <w:rPr>
                <w:rFonts w:hint="eastAsia" w:ascii="宋体" w:hAnsi="宋体"/>
                <w:b w:val="0"/>
                <w:bCs w:val="0"/>
                <w:color w:val="auto"/>
                <w:kern w:val="0"/>
                <w:highlight w:val="none"/>
                <w:lang w:val="en-US" w:eastAsia="zh-CN"/>
              </w:rPr>
              <w:t>无签订时间不得分</w:t>
            </w:r>
            <w:r>
              <w:rPr>
                <w:rFonts w:hint="eastAsia" w:ascii="宋体" w:hAnsi="宋体"/>
                <w:b w:val="0"/>
                <w:bCs w:val="0"/>
                <w:color w:val="auto"/>
                <w:kern w:val="0"/>
                <w:highlight w:val="none"/>
              </w:rPr>
              <w:t>，合同须能反映相关数据和内容，否则不得分。)</w:t>
            </w:r>
          </w:p>
        </w:tc>
        <w:tc>
          <w:tcPr>
            <w:tcW w:w="891" w:type="dxa"/>
            <w:tcMar>
              <w:top w:w="0" w:type="dxa"/>
              <w:left w:w="108" w:type="dxa"/>
              <w:bottom w:w="0" w:type="dxa"/>
              <w:right w:w="108" w:type="dxa"/>
            </w:tcMar>
            <w:vAlign w:val="center"/>
          </w:tcPr>
          <w:p w14:paraId="14C7993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9</w:t>
            </w:r>
          </w:p>
        </w:tc>
      </w:tr>
      <w:tr w14:paraId="73277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tcMar>
              <w:top w:w="0" w:type="dxa"/>
              <w:left w:w="108" w:type="dxa"/>
              <w:bottom w:w="0" w:type="dxa"/>
              <w:right w:w="108" w:type="dxa"/>
            </w:tcMar>
            <w:vAlign w:val="center"/>
          </w:tcPr>
          <w:p w14:paraId="1FFA7C80">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3</w:t>
            </w:r>
          </w:p>
        </w:tc>
        <w:tc>
          <w:tcPr>
            <w:tcW w:w="1499" w:type="dxa"/>
            <w:tcMar>
              <w:top w:w="0" w:type="dxa"/>
              <w:left w:w="108" w:type="dxa"/>
              <w:bottom w:w="0" w:type="dxa"/>
              <w:right w:w="108" w:type="dxa"/>
            </w:tcMar>
            <w:vAlign w:val="center"/>
          </w:tcPr>
          <w:p w14:paraId="4B36745D">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车辆及设备</w:t>
            </w:r>
          </w:p>
        </w:tc>
        <w:tc>
          <w:tcPr>
            <w:tcW w:w="6602" w:type="dxa"/>
            <w:tcMar>
              <w:top w:w="0" w:type="dxa"/>
              <w:left w:w="108" w:type="dxa"/>
              <w:bottom w:w="0" w:type="dxa"/>
              <w:right w:w="108" w:type="dxa"/>
            </w:tcMar>
            <w:vAlign w:val="center"/>
          </w:tcPr>
          <w:p w14:paraId="72A1C8DD">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（1）具有洒水车</w:t>
            </w:r>
            <w:r>
              <w:rPr>
                <w:rFonts w:hint="eastAsia" w:ascii="宋体" w:hAnsi="宋体" w:cs="宋体"/>
                <w:color w:val="auto"/>
                <w:sz w:val="21"/>
                <w:szCs w:val="21"/>
                <w:highlight w:val="none"/>
                <w:lang w:val="en-US" w:eastAsia="zh-CN"/>
              </w:rPr>
              <w:t>2辆及以上</w:t>
            </w:r>
            <w:r>
              <w:rPr>
                <w:rFonts w:hint="eastAsia" w:ascii="宋体" w:hAnsi="宋体" w:eastAsia="宋体" w:cs="宋体"/>
                <w:color w:val="auto"/>
                <w:sz w:val="21"/>
                <w:szCs w:val="21"/>
                <w:highlight w:val="none"/>
              </w:rPr>
              <w:t>（</w:t>
            </w:r>
            <w:r>
              <w:rPr>
                <w:rFonts w:hint="eastAsia"/>
                <w:bCs/>
                <w:color w:val="auto"/>
                <w:szCs w:val="21"/>
                <w:highlight w:val="none"/>
                <w:lang w:eastAsia="zh-CN"/>
              </w:rPr>
              <w:t>核定载质量</w:t>
            </w:r>
            <w:r>
              <w:rPr>
                <w:rFonts w:hint="eastAsia" w:ascii="宋体" w:hAnsi="宋体" w:eastAsia="宋体" w:cs="宋体"/>
                <w:color w:val="auto"/>
                <w:sz w:val="21"/>
                <w:szCs w:val="21"/>
                <w:highlight w:val="none"/>
              </w:rPr>
              <w:t>8吨及以上）得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1C51E07C">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（2）具有</w:t>
            </w:r>
            <w:r>
              <w:rPr>
                <w:rFonts w:hint="eastAsia" w:ascii="宋体" w:hAnsi="宋体"/>
                <w:color w:val="auto"/>
                <w:kern w:val="0"/>
                <w:highlight w:val="none"/>
              </w:rPr>
              <w:t>运输货车</w:t>
            </w:r>
            <w:r>
              <w:rPr>
                <w:rFonts w:hint="eastAsia" w:ascii="宋体" w:hAnsi="宋体" w:cs="宋体"/>
                <w:color w:val="auto"/>
                <w:sz w:val="21"/>
                <w:szCs w:val="21"/>
                <w:highlight w:val="none"/>
                <w:lang w:val="en-US" w:eastAsia="zh-CN"/>
              </w:rPr>
              <w:t>1辆及以上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72ECCE22">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（3）具有</w:t>
            </w:r>
            <w:r>
              <w:rPr>
                <w:rFonts w:hint="eastAsia" w:ascii="宋体" w:hAnsi="宋体"/>
                <w:color w:val="auto"/>
                <w:kern w:val="0"/>
                <w:highlight w:val="none"/>
              </w:rPr>
              <w:t>巡查应急车</w:t>
            </w:r>
            <w:r>
              <w:rPr>
                <w:rFonts w:hint="eastAsia" w:ascii="宋体" w:hAnsi="宋体" w:cs="宋体"/>
                <w:color w:val="auto"/>
                <w:sz w:val="21"/>
                <w:szCs w:val="21"/>
                <w:highlight w:val="none"/>
                <w:lang w:val="en-US" w:eastAsia="zh-CN"/>
              </w:rPr>
              <w:t>1辆及以上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p>
          <w:p w14:paraId="4F613B57">
            <w:pPr>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s="宋体"/>
                <w:color w:val="auto"/>
                <w:sz w:val="21"/>
                <w:szCs w:val="21"/>
                <w:highlight w:val="none"/>
                <w:lang w:val="en-US" w:eastAsia="zh-CN"/>
              </w:rPr>
              <w:t>登高车2辆及以上</w:t>
            </w:r>
            <w:r>
              <w:rPr>
                <w:rFonts w:hint="eastAsia" w:ascii="宋体" w:hAnsi="宋体" w:eastAsia="宋体" w:cs="宋体"/>
                <w:color w:val="auto"/>
                <w:sz w:val="21"/>
                <w:szCs w:val="21"/>
                <w:highlight w:val="none"/>
              </w:rPr>
              <w:t>得</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分</w:t>
            </w:r>
            <w:r>
              <w:rPr>
                <w:rFonts w:hint="eastAsia" w:ascii="宋体" w:hAnsi="宋体" w:cs="宋体"/>
                <w:color w:val="auto"/>
                <w:sz w:val="21"/>
                <w:szCs w:val="21"/>
                <w:highlight w:val="none"/>
                <w:lang w:eastAsia="zh-CN"/>
              </w:rPr>
              <w:t>；</w:t>
            </w:r>
          </w:p>
          <w:p w14:paraId="0B568EE2">
            <w:pPr>
              <w:spacing w:line="360" w:lineRule="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具有</w:t>
            </w:r>
            <w:r>
              <w:rPr>
                <w:rFonts w:hint="eastAsia" w:ascii="宋体" w:hAnsi="宋体"/>
                <w:color w:val="auto"/>
                <w:kern w:val="0"/>
                <w:highlight w:val="none"/>
              </w:rPr>
              <w:t>油锯</w:t>
            </w:r>
            <w:r>
              <w:rPr>
                <w:rFonts w:hint="eastAsia" w:ascii="宋体" w:hAnsi="宋体"/>
                <w:color w:val="auto"/>
                <w:kern w:val="0"/>
                <w:highlight w:val="none"/>
                <w:lang w:val="en-US" w:eastAsia="zh-CN"/>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08B9D8D5">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）具有</w:t>
            </w:r>
            <w:r>
              <w:rPr>
                <w:rFonts w:hint="eastAsia" w:ascii="宋体" w:hAnsi="宋体"/>
                <w:color w:val="auto"/>
                <w:kern w:val="0"/>
                <w:highlight w:val="none"/>
              </w:rPr>
              <w:t>高枝锯</w:t>
            </w:r>
            <w:r>
              <w:rPr>
                <w:rFonts w:hint="eastAsia" w:ascii="宋体" w:hAnsi="宋体"/>
                <w:color w:val="auto"/>
                <w:kern w:val="0"/>
                <w:highlight w:val="none"/>
                <w:lang w:val="en-US" w:eastAsia="zh-CN"/>
              </w:rPr>
              <w:t>得</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分；</w:t>
            </w:r>
          </w:p>
          <w:p w14:paraId="34A1E4E9">
            <w:pPr>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投标人承诺如果中标，须提供自有或租赁或承诺的同等类别和数量的车辆及设备，在服务期限内不挪作他用</w:t>
            </w:r>
            <w:r>
              <w:rPr>
                <w:rFonts w:hint="eastAsia" w:ascii="宋体" w:hAnsi="宋体" w:eastAsia="宋体" w:cs="宋体"/>
                <w:color w:val="auto"/>
                <w:sz w:val="21"/>
                <w:szCs w:val="21"/>
                <w:highlight w:val="none"/>
              </w:rPr>
              <w:t>，承诺书内容完整得1分，不完整或未提供承诺书不得分。（提供承诺书</w:t>
            </w:r>
            <w:r>
              <w:rPr>
                <w:rFonts w:hint="eastAsia" w:ascii="宋体" w:hAnsi="宋体" w:cs="宋体"/>
                <w:color w:val="auto"/>
                <w:sz w:val="21"/>
                <w:szCs w:val="21"/>
                <w:highlight w:val="none"/>
                <w:lang w:val="en-US" w:eastAsia="zh-CN"/>
              </w:rPr>
              <w:t>加盖公章</w:t>
            </w:r>
            <w:r>
              <w:rPr>
                <w:rFonts w:hint="eastAsia" w:ascii="宋体" w:hAnsi="宋体" w:eastAsia="宋体" w:cs="宋体"/>
                <w:color w:val="auto"/>
                <w:sz w:val="21"/>
                <w:szCs w:val="21"/>
                <w:highlight w:val="none"/>
              </w:rPr>
              <w:t>）</w:t>
            </w:r>
          </w:p>
          <w:p w14:paraId="1C100AB4">
            <w:pPr>
              <w:spacing w:line="360" w:lineRule="auto"/>
              <w:rPr>
                <w:rFonts w:hint="eastAsia" w:ascii="宋体" w:hAnsi="宋体"/>
                <w:color w:val="auto"/>
                <w:highlight w:val="none"/>
                <w:lang w:val="en-US" w:eastAsia="zh-CN"/>
              </w:rPr>
            </w:pPr>
            <w:r>
              <w:rPr>
                <w:rFonts w:hint="eastAsia" w:ascii="宋体" w:hAnsi="宋体" w:eastAsia="宋体" w:cs="宋体"/>
                <w:color w:val="auto"/>
                <w:sz w:val="21"/>
                <w:szCs w:val="21"/>
                <w:highlight w:val="none"/>
              </w:rPr>
              <w:t>（以上</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w:t>
            </w:r>
            <w:r>
              <w:rPr>
                <w:rFonts w:hint="eastAsia" w:ascii="宋体" w:hAnsi="宋体"/>
                <w:color w:val="auto"/>
                <w:highlight w:val="none"/>
              </w:rPr>
              <w:t>车辆或设备需为</w:t>
            </w:r>
            <w:r>
              <w:rPr>
                <w:rFonts w:hint="eastAsia" w:ascii="宋体" w:hAnsi="宋体"/>
                <w:color w:val="auto"/>
                <w:highlight w:val="none"/>
                <w:lang w:val="en-US" w:eastAsia="zh-CN"/>
              </w:rPr>
              <w:t>投标人</w:t>
            </w:r>
            <w:r>
              <w:rPr>
                <w:rFonts w:hint="eastAsia" w:ascii="宋体" w:hAnsi="宋体"/>
                <w:b/>
                <w:bCs/>
                <w:color w:val="auto"/>
                <w:highlight w:val="none"/>
              </w:rPr>
              <w:t>自有或者租赁或承诺</w:t>
            </w:r>
            <w:r>
              <w:rPr>
                <w:rFonts w:hint="eastAsia" w:ascii="宋体" w:hAnsi="宋体"/>
                <w:color w:val="auto"/>
                <w:highlight w:val="none"/>
                <w:lang w:eastAsia="zh-CN"/>
              </w:rPr>
              <w:t>，</w:t>
            </w:r>
            <w:r>
              <w:rPr>
                <w:rFonts w:hint="eastAsia" w:ascii="宋体" w:hAnsi="宋体" w:eastAsia="宋体" w:cs="宋体"/>
                <w:color w:val="auto"/>
                <w:sz w:val="21"/>
                <w:szCs w:val="21"/>
                <w:highlight w:val="none"/>
              </w:rPr>
              <w:t>车辆及设备</w:t>
            </w:r>
            <w:r>
              <w:rPr>
                <w:rFonts w:hint="eastAsia" w:ascii="宋体" w:hAnsi="宋体" w:eastAsia="宋体" w:cs="宋体"/>
                <w:b/>
                <w:bCs/>
                <w:color w:val="auto"/>
                <w:sz w:val="21"/>
                <w:szCs w:val="21"/>
                <w:highlight w:val="none"/>
              </w:rPr>
              <w:t>自有</w:t>
            </w:r>
            <w:r>
              <w:rPr>
                <w:rFonts w:hint="eastAsia" w:ascii="宋体" w:hAnsi="宋体" w:eastAsia="宋体" w:cs="宋体"/>
                <w:color w:val="auto"/>
                <w:sz w:val="21"/>
                <w:szCs w:val="21"/>
                <w:highlight w:val="none"/>
              </w:rPr>
              <w:t>的需提供自有购置发票扫描件加盖公章</w:t>
            </w:r>
            <w:r>
              <w:rPr>
                <w:rFonts w:hint="eastAsia" w:ascii="宋体" w:hAnsi="宋体" w:cs="宋体"/>
                <w:color w:val="auto"/>
                <w:sz w:val="21"/>
                <w:szCs w:val="21"/>
                <w:highlight w:val="none"/>
                <w:lang w:eastAsia="zh-CN"/>
              </w:rPr>
              <w:t>；</w:t>
            </w:r>
            <w:r>
              <w:rPr>
                <w:rFonts w:hint="eastAsia" w:ascii="宋体" w:hAnsi="宋体" w:eastAsia="宋体" w:cs="宋体"/>
                <w:b/>
                <w:bCs/>
                <w:color w:val="auto"/>
                <w:sz w:val="21"/>
                <w:szCs w:val="21"/>
                <w:highlight w:val="none"/>
              </w:rPr>
              <w:t>租赁</w:t>
            </w:r>
            <w:r>
              <w:rPr>
                <w:rFonts w:hint="eastAsia" w:ascii="宋体" w:hAnsi="宋体" w:eastAsia="宋体" w:cs="宋体"/>
                <w:color w:val="auto"/>
                <w:sz w:val="21"/>
                <w:szCs w:val="21"/>
                <w:highlight w:val="none"/>
              </w:rPr>
              <w:t>的需提供租赁合同扫描件加盖公章</w:t>
            </w:r>
            <w:r>
              <w:rPr>
                <w:rFonts w:hint="eastAsia" w:ascii="宋体" w:hAnsi="宋体" w:eastAsia="宋体" w:cs="宋体"/>
                <w:color w:val="auto"/>
                <w:sz w:val="21"/>
                <w:szCs w:val="21"/>
                <w:highlight w:val="none"/>
                <w:lang w:eastAsia="zh-CN"/>
              </w:rPr>
              <w:t>，租赁期限需要覆盖服务期，如未覆盖服务期需要</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承诺</w:t>
            </w:r>
            <w:r>
              <w:rPr>
                <w:rFonts w:hint="eastAsia" w:ascii="宋体" w:hAnsi="宋体" w:eastAsia="宋体" w:cs="宋体"/>
                <w:color w:val="auto"/>
                <w:sz w:val="21"/>
                <w:szCs w:val="21"/>
                <w:highlight w:val="none"/>
                <w:lang w:val="en-US" w:eastAsia="zh-CN"/>
              </w:rPr>
              <w:t>书</w:t>
            </w:r>
            <w:r>
              <w:rPr>
                <w:rFonts w:hint="eastAsia" w:ascii="宋体" w:hAnsi="宋体" w:eastAsia="宋体" w:cs="宋体"/>
                <w:color w:val="auto"/>
                <w:sz w:val="21"/>
                <w:szCs w:val="21"/>
                <w:highlight w:val="none"/>
                <w:lang w:eastAsia="zh-CN"/>
              </w:rPr>
              <w:t>到期后续签并覆盖服务期</w:t>
            </w:r>
            <w:r>
              <w:rPr>
                <w:rFonts w:hint="eastAsia" w:ascii="宋体" w:hAnsi="宋体" w:cs="宋体"/>
                <w:color w:val="auto"/>
                <w:sz w:val="21"/>
                <w:szCs w:val="21"/>
                <w:highlight w:val="none"/>
                <w:lang w:val="en-US" w:eastAsia="zh-CN"/>
              </w:rPr>
              <w:t>加盖公章</w:t>
            </w:r>
            <w:r>
              <w:rPr>
                <w:rFonts w:hint="eastAsia" w:ascii="宋体" w:hAnsi="宋体" w:cs="宋体"/>
                <w:color w:val="auto"/>
                <w:sz w:val="21"/>
                <w:szCs w:val="21"/>
                <w:highlight w:val="none"/>
                <w:lang w:eastAsia="zh-CN"/>
              </w:rPr>
              <w:t>；</w:t>
            </w:r>
            <w:r>
              <w:rPr>
                <w:rFonts w:hint="eastAsia" w:ascii="宋体" w:hAnsi="宋体"/>
                <w:b/>
                <w:bCs/>
                <w:color w:val="auto"/>
                <w:highlight w:val="none"/>
                <w:lang w:val="en-US" w:eastAsia="zh-CN"/>
              </w:rPr>
              <w:t>承诺</w:t>
            </w:r>
            <w:r>
              <w:rPr>
                <w:rFonts w:hint="eastAsia" w:ascii="宋体" w:hAnsi="宋体"/>
                <w:color w:val="auto"/>
                <w:highlight w:val="none"/>
                <w:lang w:val="en-US" w:eastAsia="zh-CN"/>
              </w:rPr>
              <w:t>的</w:t>
            </w:r>
            <w:r>
              <w:rPr>
                <w:rFonts w:ascii="宋体" w:hAnsi="宋体"/>
                <w:color w:val="auto"/>
                <w:highlight w:val="none"/>
              </w:rPr>
              <w:t>需</w:t>
            </w:r>
            <w:r>
              <w:rPr>
                <w:rFonts w:hint="eastAsia" w:ascii="宋体" w:hAnsi="宋体"/>
                <w:color w:val="auto"/>
                <w:highlight w:val="none"/>
                <w:lang w:val="en-US" w:eastAsia="zh-CN"/>
              </w:rPr>
              <w:t>提供承诺书加盖公章：承诺中标后十日内备齐，否则不得分。</w:t>
            </w:r>
          </w:p>
          <w:p w14:paraId="09B75307">
            <w:pPr>
              <w:pStyle w:val="27"/>
              <w:ind w:left="0" w:leftChars="0" w:firstLine="0" w:firstLineChars="0"/>
              <w:rPr>
                <w:rFonts w:hint="eastAsia"/>
                <w:color w:val="auto"/>
                <w:highlight w:val="none"/>
              </w:rPr>
            </w:pPr>
            <w:r>
              <w:rPr>
                <w:rFonts w:hint="eastAsia" w:ascii="宋体" w:hAnsi="宋体" w:eastAsia="宋体" w:cs="宋体"/>
                <w:color w:val="auto"/>
                <w:sz w:val="21"/>
                <w:szCs w:val="21"/>
                <w:highlight w:val="none"/>
              </w:rPr>
              <w:t>以上车辆及设备扫描件须清晰可辨，能够反映相关信息，否则不得分。</w:t>
            </w:r>
          </w:p>
        </w:tc>
        <w:tc>
          <w:tcPr>
            <w:tcW w:w="891" w:type="dxa"/>
            <w:tcMar>
              <w:top w:w="0" w:type="dxa"/>
              <w:left w:w="108" w:type="dxa"/>
              <w:bottom w:w="0" w:type="dxa"/>
              <w:right w:w="108" w:type="dxa"/>
            </w:tcMar>
            <w:vAlign w:val="center"/>
          </w:tcPr>
          <w:p w14:paraId="5C8E9A64">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11</w:t>
            </w:r>
          </w:p>
        </w:tc>
      </w:tr>
      <w:tr w14:paraId="5791FF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293" w:hRule="atLeast"/>
          <w:jc w:val="center"/>
        </w:trPr>
        <w:tc>
          <w:tcPr>
            <w:tcW w:w="640" w:type="dxa"/>
            <w:vMerge w:val="restart"/>
            <w:tcMar>
              <w:top w:w="0" w:type="dxa"/>
              <w:left w:w="108" w:type="dxa"/>
              <w:bottom w:w="0" w:type="dxa"/>
              <w:right w:w="108" w:type="dxa"/>
            </w:tcMar>
            <w:vAlign w:val="center"/>
          </w:tcPr>
          <w:p w14:paraId="3AA9BE5D">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4</w:t>
            </w:r>
          </w:p>
        </w:tc>
        <w:tc>
          <w:tcPr>
            <w:tcW w:w="1499" w:type="dxa"/>
            <w:vMerge w:val="restart"/>
            <w:tcMar>
              <w:top w:w="0" w:type="dxa"/>
              <w:left w:w="108" w:type="dxa"/>
              <w:bottom w:w="0" w:type="dxa"/>
              <w:right w:w="108" w:type="dxa"/>
            </w:tcMar>
            <w:vAlign w:val="center"/>
          </w:tcPr>
          <w:p w14:paraId="733A26B8">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人员投入</w:t>
            </w:r>
          </w:p>
        </w:tc>
        <w:tc>
          <w:tcPr>
            <w:tcW w:w="6602" w:type="dxa"/>
            <w:tcMar>
              <w:top w:w="0" w:type="dxa"/>
              <w:left w:w="108" w:type="dxa"/>
              <w:bottom w:w="0" w:type="dxa"/>
              <w:right w:w="108" w:type="dxa"/>
            </w:tcMar>
            <w:vAlign w:val="center"/>
          </w:tcPr>
          <w:p w14:paraId="53402852">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项目负责人：具有园林绿化类相关专业高级及以上技术职称的得4分（如具有园林绿化类相关专业中级技术职称的得2分）。（满分4分）</w:t>
            </w:r>
          </w:p>
          <w:p w14:paraId="0BD92927">
            <w:pPr>
              <w:widowControl/>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提供①</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为其缴纳的近六个月中任意一个月的养老保险证明材料并加盖社保中心章或社保中心参保缴费证明电子专用章（具有可验证的二维码或验证码）②毕业证书</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如需</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③职称证书【专业以职称证书上注明的专业为准，职称证书无法体现专业的，以毕业证书为准】园林绿化类专业是指园林绿化工程规划、园林绿化设计、园林绿化施工及养护管理相关的专业，包括：园林（含园林规划设计、园林植物、风景园林、园林绿化等）、园艺、养护、景观、植物（含植保、森保等）、环境艺术等专业。注：以上证明材料扫描件加盖</w:t>
            </w:r>
            <w:r>
              <w:rPr>
                <w:rFonts w:hint="eastAsia" w:ascii="宋体" w:hAnsi="宋体" w:cs="宋体"/>
                <w:color w:val="auto"/>
                <w:sz w:val="21"/>
                <w:szCs w:val="21"/>
                <w:highlight w:val="none"/>
                <w:lang w:eastAsia="zh-CN"/>
              </w:rPr>
              <w:t>投标人</w:t>
            </w:r>
            <w:r>
              <w:rPr>
                <w:rFonts w:hint="eastAsia" w:ascii="宋体" w:hAnsi="宋体" w:eastAsia="宋体" w:cs="宋体"/>
                <w:color w:val="auto"/>
                <w:sz w:val="21"/>
                <w:szCs w:val="21"/>
                <w:highlight w:val="none"/>
              </w:rPr>
              <w:t>公章编入投标文件中。</w:t>
            </w:r>
          </w:p>
        </w:tc>
        <w:tc>
          <w:tcPr>
            <w:tcW w:w="891" w:type="dxa"/>
            <w:tcMar>
              <w:top w:w="0" w:type="dxa"/>
              <w:left w:w="108" w:type="dxa"/>
              <w:bottom w:w="0" w:type="dxa"/>
              <w:right w:w="108" w:type="dxa"/>
            </w:tcMar>
            <w:vAlign w:val="center"/>
          </w:tcPr>
          <w:p w14:paraId="4848A2AB">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4</w:t>
            </w:r>
          </w:p>
        </w:tc>
      </w:tr>
      <w:tr w14:paraId="0D73A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865" w:hRule="atLeast"/>
          <w:jc w:val="center"/>
        </w:trPr>
        <w:tc>
          <w:tcPr>
            <w:tcW w:w="640" w:type="dxa"/>
            <w:vMerge w:val="continue"/>
            <w:tcMar>
              <w:top w:w="0" w:type="dxa"/>
              <w:left w:w="108" w:type="dxa"/>
              <w:bottom w:w="0" w:type="dxa"/>
              <w:right w:w="108" w:type="dxa"/>
            </w:tcMar>
            <w:vAlign w:val="center"/>
          </w:tcPr>
          <w:p w14:paraId="56461070">
            <w:pPr>
              <w:widowControl/>
              <w:spacing w:line="360" w:lineRule="auto"/>
              <w:jc w:val="center"/>
              <w:rPr>
                <w:rFonts w:hint="eastAsia" w:ascii="宋体" w:hAnsi="宋体"/>
                <w:b/>
                <w:bCs/>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264C51AD">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1DEA9562">
            <w:pPr>
              <w:widowControl/>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投标人拟投入本项目的人员中（除项目负责人外）含1名中级及以上花卉工，3名中级及以上绿化工的得3分，每缺少1人扣1分，扣完为止。以上人员工种不重复计算得分。</w:t>
            </w:r>
          </w:p>
          <w:p w14:paraId="7FBB6D97">
            <w:pPr>
              <w:widowControl/>
              <w:spacing w:line="360" w:lineRule="auto"/>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（提供①投标人为其缴纳的近六个月中任意一个月的养老保险证明材料并加盖社保中心章或社保中心参保缴费证明电子专用章（具有可验证的二维码或验证码）②技能证书）</w:t>
            </w:r>
          </w:p>
          <w:p w14:paraId="569E830D">
            <w:pPr>
              <w:widowControl/>
              <w:spacing w:line="36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注：以上证明材料扫描件加盖投标人公章编入投标文件中。</w:t>
            </w:r>
          </w:p>
        </w:tc>
        <w:tc>
          <w:tcPr>
            <w:tcW w:w="891" w:type="dxa"/>
            <w:tcMar>
              <w:top w:w="0" w:type="dxa"/>
              <w:left w:w="108" w:type="dxa"/>
              <w:bottom w:w="0" w:type="dxa"/>
              <w:right w:w="108" w:type="dxa"/>
            </w:tcMar>
            <w:vAlign w:val="center"/>
          </w:tcPr>
          <w:p w14:paraId="6136C8F3">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DF77A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tcMar>
              <w:top w:w="0" w:type="dxa"/>
              <w:left w:w="108" w:type="dxa"/>
              <w:bottom w:w="0" w:type="dxa"/>
              <w:right w:w="108" w:type="dxa"/>
            </w:tcMar>
            <w:vAlign w:val="center"/>
          </w:tcPr>
          <w:p w14:paraId="4D31DDFA">
            <w:pPr>
              <w:widowControl/>
              <w:spacing w:line="360" w:lineRule="auto"/>
              <w:jc w:val="center"/>
              <w:rPr>
                <w:rFonts w:hint="eastAsia" w:ascii="宋体" w:hAnsi="宋体"/>
                <w:b/>
                <w:bCs/>
                <w:color w:val="auto"/>
                <w:kern w:val="0"/>
                <w:highlight w:val="none"/>
                <w:lang w:val="en-US" w:eastAsia="zh-CN"/>
              </w:rPr>
            </w:pPr>
          </w:p>
        </w:tc>
        <w:tc>
          <w:tcPr>
            <w:tcW w:w="1499" w:type="dxa"/>
            <w:vMerge w:val="continue"/>
            <w:tcMar>
              <w:top w:w="0" w:type="dxa"/>
              <w:left w:w="108" w:type="dxa"/>
              <w:bottom w:w="0" w:type="dxa"/>
              <w:right w:w="108" w:type="dxa"/>
            </w:tcMar>
            <w:vAlign w:val="center"/>
          </w:tcPr>
          <w:p w14:paraId="67A859F7">
            <w:pPr>
              <w:widowControl/>
              <w:spacing w:line="360" w:lineRule="auto"/>
              <w:jc w:val="center"/>
              <w:rPr>
                <w:rFonts w:hint="eastAsia" w:ascii="宋体" w:hAnsi="宋体"/>
                <w:b w:val="0"/>
                <w:bCs w:val="0"/>
                <w:color w:val="auto"/>
                <w:kern w:val="0"/>
                <w:highlight w:val="none"/>
                <w:lang w:val="en-US" w:eastAsia="zh-CN"/>
              </w:rPr>
            </w:pPr>
          </w:p>
        </w:tc>
        <w:tc>
          <w:tcPr>
            <w:tcW w:w="6602" w:type="dxa"/>
            <w:tcMar>
              <w:top w:w="0" w:type="dxa"/>
              <w:left w:w="108" w:type="dxa"/>
              <w:bottom w:w="0" w:type="dxa"/>
              <w:right w:w="108" w:type="dxa"/>
            </w:tcMar>
            <w:vAlign w:val="center"/>
          </w:tcPr>
          <w:p w14:paraId="23C283DF">
            <w:pPr>
              <w:widowControl/>
              <w:spacing w:line="360" w:lineRule="auto"/>
              <w:rPr>
                <w:rFonts w:hint="default" w:ascii="宋体" w:hAnsi="宋体" w:eastAsia="宋体" w:cs="宋体"/>
                <w:color w:val="auto"/>
                <w:sz w:val="21"/>
                <w:szCs w:val="21"/>
                <w:highlight w:val="none"/>
                <w:lang w:val="en-US"/>
              </w:rPr>
            </w:pPr>
            <w:r>
              <w:rPr>
                <w:rFonts w:hint="eastAsia" w:ascii="宋体" w:hAnsi="宋体" w:cs="宋体"/>
                <w:color w:val="auto"/>
                <w:sz w:val="21"/>
                <w:szCs w:val="21"/>
                <w:highlight w:val="none"/>
                <w:lang w:eastAsia="zh-CN"/>
              </w:rPr>
              <w:t>承诺拟投入人数</w:t>
            </w:r>
            <w:r>
              <w:rPr>
                <w:rFonts w:hint="eastAsia" w:ascii="宋体" w:hAnsi="宋体" w:cs="宋体"/>
                <w:color w:val="auto"/>
                <w:sz w:val="21"/>
                <w:szCs w:val="21"/>
                <w:highlight w:val="none"/>
                <w:lang w:val="en-US" w:eastAsia="zh-CN"/>
              </w:rPr>
              <w:t>不少于60人的，得3分。（提供承诺书加盖公章）</w:t>
            </w:r>
          </w:p>
        </w:tc>
        <w:tc>
          <w:tcPr>
            <w:tcW w:w="891" w:type="dxa"/>
            <w:tcMar>
              <w:top w:w="0" w:type="dxa"/>
              <w:left w:w="108" w:type="dxa"/>
              <w:bottom w:w="0" w:type="dxa"/>
              <w:right w:w="108" w:type="dxa"/>
            </w:tcMar>
            <w:vAlign w:val="center"/>
          </w:tcPr>
          <w:p w14:paraId="1C046977">
            <w:pPr>
              <w:widowControl/>
              <w:spacing w:line="360" w:lineRule="auto"/>
              <w:jc w:val="center"/>
              <w:rPr>
                <w:rFonts w:hint="default" w:ascii="宋体" w:hAnsi="宋体"/>
                <w:b w:val="0"/>
                <w:bCs w:val="0"/>
                <w:color w:val="auto"/>
                <w:kern w:val="0"/>
                <w:highlight w:val="none"/>
                <w:lang w:val="en-US" w:eastAsia="zh-CN"/>
              </w:rPr>
            </w:pPr>
            <w:r>
              <w:rPr>
                <w:rFonts w:hint="eastAsia" w:ascii="宋体" w:hAnsi="宋体"/>
                <w:b w:val="0"/>
                <w:bCs w:val="0"/>
                <w:color w:val="auto"/>
                <w:kern w:val="0"/>
                <w:highlight w:val="none"/>
                <w:lang w:val="en-US" w:eastAsia="zh-CN"/>
              </w:rPr>
              <w:t>3</w:t>
            </w:r>
          </w:p>
        </w:tc>
      </w:tr>
      <w:tr w14:paraId="6CB034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restart"/>
            <w:tcMar>
              <w:top w:w="0" w:type="dxa"/>
              <w:left w:w="108" w:type="dxa"/>
              <w:bottom w:w="0" w:type="dxa"/>
              <w:right w:w="108" w:type="dxa"/>
            </w:tcMar>
            <w:vAlign w:val="center"/>
          </w:tcPr>
          <w:p w14:paraId="135AC7A3">
            <w:pPr>
              <w:widowControl/>
              <w:spacing w:line="360" w:lineRule="auto"/>
              <w:jc w:val="center"/>
              <w:rPr>
                <w:rFonts w:hint="eastAsia" w:ascii="宋体" w:hAnsi="宋体" w:eastAsia="宋体"/>
                <w:b/>
                <w:color w:val="auto"/>
                <w:kern w:val="0"/>
                <w:highlight w:val="none"/>
                <w:lang w:eastAsia="zh-CN"/>
              </w:rPr>
            </w:pPr>
            <w:r>
              <w:rPr>
                <w:rFonts w:hint="eastAsia" w:ascii="宋体" w:hAnsi="宋体"/>
                <w:b/>
                <w:color w:val="auto"/>
                <w:kern w:val="0"/>
                <w:highlight w:val="none"/>
                <w:lang w:val="en-US" w:eastAsia="zh-CN"/>
              </w:rPr>
              <w:t>5</w:t>
            </w:r>
          </w:p>
        </w:tc>
        <w:tc>
          <w:tcPr>
            <w:tcW w:w="1499" w:type="dxa"/>
            <w:vMerge w:val="restart"/>
            <w:tcMar>
              <w:top w:w="0" w:type="dxa"/>
              <w:left w:w="108" w:type="dxa"/>
              <w:bottom w:w="0" w:type="dxa"/>
              <w:right w:w="108" w:type="dxa"/>
            </w:tcMar>
            <w:vAlign w:val="center"/>
          </w:tcPr>
          <w:p w14:paraId="1AC45D9E">
            <w:pPr>
              <w:widowControl/>
              <w:spacing w:line="360" w:lineRule="auto"/>
              <w:rPr>
                <w:rFonts w:ascii="宋体" w:hAnsi="宋体"/>
                <w:b/>
                <w:bCs/>
                <w:color w:val="auto"/>
                <w:kern w:val="0"/>
                <w:highlight w:val="none"/>
              </w:rPr>
            </w:pPr>
            <w:r>
              <w:rPr>
                <w:rFonts w:hint="eastAsia" w:ascii="宋体" w:hAnsi="宋体"/>
                <w:b w:val="0"/>
                <w:bCs w:val="0"/>
                <w:color w:val="auto"/>
                <w:kern w:val="0"/>
                <w:highlight w:val="none"/>
              </w:rPr>
              <w:t>养护组织方案</w:t>
            </w:r>
          </w:p>
        </w:tc>
        <w:tc>
          <w:tcPr>
            <w:tcW w:w="6602" w:type="dxa"/>
            <w:tcMar>
              <w:top w:w="0" w:type="dxa"/>
              <w:left w:w="108" w:type="dxa"/>
              <w:bottom w:w="0" w:type="dxa"/>
              <w:right w:w="108" w:type="dxa"/>
            </w:tcMar>
            <w:vAlign w:val="center"/>
          </w:tcPr>
          <w:p w14:paraId="6FCBFB12">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1、投标人针对本项目的具体情况制定的绿化管理养护方案</w:t>
            </w:r>
            <w:r>
              <w:rPr>
                <w:rFonts w:hint="eastAsia" w:ascii="宋体" w:hAnsi="宋体"/>
                <w:b/>
                <w:bCs/>
                <w:color w:val="auto"/>
                <w:highlight w:val="none"/>
                <w:lang w:eastAsia="zh-CN"/>
              </w:rPr>
              <w:t>。</w:t>
            </w:r>
          </w:p>
          <w:p w14:paraId="7D172E6C">
            <w:pPr>
              <w:widowControl/>
              <w:spacing w:line="360" w:lineRule="auto"/>
              <w:rPr>
                <w:rFonts w:hint="eastAsia" w:ascii="宋体" w:hAnsi="宋体"/>
                <w:color w:val="auto"/>
                <w:highlight w:val="none"/>
              </w:rPr>
            </w:pPr>
            <w:r>
              <w:rPr>
                <w:rFonts w:hint="eastAsia" w:ascii="宋体" w:hAnsi="宋体"/>
                <w:color w:val="auto"/>
                <w:highlight w:val="none"/>
              </w:rPr>
              <w:t>评委依据各投标人针对本项目的具体情况制定的管理养护方案，对其科学性、合理性、针对性进行评价。</w:t>
            </w:r>
          </w:p>
          <w:p w14:paraId="7FC60B97">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方案表述清晰完整，内容详实具体，养护措施完整覆盖采购需求全部要求，部分措施高于采购需求标准，具备落地可行性的，得8分；</w:t>
            </w:r>
          </w:p>
          <w:p w14:paraId="769E72CA">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方案表述较为清晰，内容较为充实，养护措施能够全部满足采购需求要求，具备落地可行性的，得6分；</w:t>
            </w:r>
          </w:p>
          <w:p w14:paraId="244E8E4E">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方案表述清晰度一般，内容基本完整，养护措施基本满足采购需求主要要求，无重大缺项的，得4分；</w:t>
            </w:r>
          </w:p>
          <w:p w14:paraId="7B814B94">
            <w:pPr>
              <w:pStyle w:val="56"/>
              <w:spacing w:line="360" w:lineRule="auto"/>
              <w:ind w:left="0" w:leftChars="0" w:firstLine="0" w:firstLineChars="0"/>
              <w:rPr>
                <w:rFonts w:hint="eastAsia" w:ascii="宋体" w:hAnsi="宋体" w:eastAsia="宋体" w:cs="Times New Roman"/>
                <w:color w:val="auto"/>
                <w:kern w:val="2"/>
                <w:sz w:val="21"/>
                <w:szCs w:val="24"/>
                <w:highlight w:val="none"/>
                <w:lang w:val="en-US" w:eastAsia="zh-CN" w:bidi="ar-SA"/>
              </w:rPr>
            </w:pPr>
            <w:r>
              <w:rPr>
                <w:rFonts w:hint="eastAsia" w:ascii="宋体" w:hAnsi="宋体" w:eastAsia="宋体" w:cs="Times New Roman"/>
                <w:color w:val="auto"/>
                <w:kern w:val="2"/>
                <w:sz w:val="21"/>
                <w:szCs w:val="24"/>
                <w:highlight w:val="none"/>
                <w:lang w:val="en-US" w:eastAsia="zh-CN" w:bidi="ar-SA"/>
              </w:rPr>
              <w:t>方案表述模糊，内容存在缺漏，养护措施部分不满足采购需求，存在偏差的，得2分；</w:t>
            </w:r>
          </w:p>
          <w:p w14:paraId="054F226C">
            <w:pPr>
              <w:pStyle w:val="56"/>
              <w:spacing w:line="360" w:lineRule="auto"/>
              <w:ind w:left="0" w:leftChars="0" w:firstLine="0" w:firstLineChars="0"/>
              <w:rPr>
                <w:color w:val="auto"/>
                <w:highlight w:val="none"/>
              </w:rPr>
            </w:pPr>
            <w:r>
              <w:rPr>
                <w:rFonts w:hint="eastAsia" w:ascii="宋体" w:hAnsi="宋体" w:eastAsia="宋体" w:cs="Times New Roman"/>
                <w:color w:val="auto"/>
                <w:kern w:val="2"/>
                <w:sz w:val="21"/>
                <w:szCs w:val="24"/>
                <w:highlight w:val="none"/>
                <w:lang w:val="en-US" w:eastAsia="zh-CN" w:bidi="ar-SA"/>
              </w:rPr>
              <w:t>未提供本项方案的，本项不得分。</w:t>
            </w:r>
          </w:p>
        </w:tc>
        <w:tc>
          <w:tcPr>
            <w:tcW w:w="891" w:type="dxa"/>
            <w:tcMar>
              <w:top w:w="0" w:type="dxa"/>
              <w:left w:w="108" w:type="dxa"/>
              <w:bottom w:w="0" w:type="dxa"/>
              <w:right w:w="108" w:type="dxa"/>
            </w:tcMar>
            <w:vAlign w:val="center"/>
          </w:tcPr>
          <w:p w14:paraId="299EF9B1">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269BE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7598EDF4">
            <w:pPr>
              <w:widowControl/>
              <w:spacing w:line="360" w:lineRule="auto"/>
              <w:jc w:val="center"/>
              <w:rPr>
                <w:rFonts w:ascii="宋体" w:hAnsi="宋体"/>
                <w:color w:val="auto"/>
                <w:kern w:val="0"/>
                <w:highlight w:val="none"/>
              </w:rPr>
            </w:pPr>
          </w:p>
        </w:tc>
        <w:tc>
          <w:tcPr>
            <w:tcW w:w="1499" w:type="dxa"/>
            <w:vMerge w:val="continue"/>
            <w:vAlign w:val="center"/>
          </w:tcPr>
          <w:p w14:paraId="57CAC93D">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2031E877">
            <w:pPr>
              <w:adjustRightInd w:val="0"/>
              <w:snapToGrid w:val="0"/>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2、绿化管理养护进度计划方案（须包含总进度、年度、季度、月度养护进度安排）</w:t>
            </w:r>
            <w:r>
              <w:rPr>
                <w:rFonts w:hint="eastAsia" w:ascii="宋体" w:hAnsi="宋体"/>
                <w:b/>
                <w:bCs/>
                <w:color w:val="auto"/>
                <w:highlight w:val="none"/>
                <w:lang w:eastAsia="zh-CN"/>
              </w:rPr>
              <w:t>。</w:t>
            </w:r>
          </w:p>
          <w:p w14:paraId="770B65CD">
            <w:pPr>
              <w:adjustRightInd w:val="0"/>
              <w:snapToGrid w:val="0"/>
              <w:spacing w:line="360" w:lineRule="auto"/>
              <w:rPr>
                <w:rFonts w:hint="eastAsia" w:ascii="宋体" w:hAnsi="宋体"/>
                <w:b/>
                <w:bCs/>
                <w:color w:val="auto"/>
                <w:highlight w:val="none"/>
              </w:rPr>
            </w:pPr>
            <w:r>
              <w:rPr>
                <w:rFonts w:hint="eastAsia" w:ascii="宋体" w:hAnsi="宋体"/>
                <w:b/>
                <w:bCs/>
                <w:color w:val="auto"/>
                <w:highlight w:val="none"/>
              </w:rPr>
              <w:t>评委对照采购需求，对投标人养护进度计划的科学性、合理性、针对性进行评审：</w:t>
            </w:r>
          </w:p>
          <w:p w14:paraId="307A9EA8">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进度计划表述清晰完整，内容详实具体，总进度、年度、季度、月度养护安排齐全，进度安排优于采购需求，具备落地可行性的，得8分；</w:t>
            </w:r>
          </w:p>
          <w:p w14:paraId="5C9A767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进度计划表述较为清晰，内容较为充实，总进度、年度、季度、月度养护安排齐全，进度安排能够满足采购需求，具备落地可行性的，得6分；</w:t>
            </w:r>
          </w:p>
          <w:p w14:paraId="4ED2304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进度计划表述清晰度一般，内容基本完整，已涵盖总进度、年度、季度、月度养护安排，进度安排基本满足采购需求主要要求，无重大缺项的，得4分；</w:t>
            </w:r>
          </w:p>
          <w:p w14:paraId="23EA99D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进度计划表述模糊，内容存在缺漏，进度安排不全或与采购需求存在偏差的，得2分；</w:t>
            </w:r>
          </w:p>
          <w:p w14:paraId="14CF2E15">
            <w:pPr>
              <w:adjustRightInd w:val="0"/>
              <w:snapToGrid w:val="0"/>
              <w:spacing w:line="360" w:lineRule="auto"/>
              <w:rPr>
                <w:rFonts w:ascii="宋体" w:hAnsi="宋体"/>
                <w:color w:val="auto"/>
                <w:kern w:val="0"/>
                <w:highlight w:val="none"/>
              </w:rPr>
            </w:pPr>
            <w:r>
              <w:rPr>
                <w:rFonts w:hint="eastAsia" w:ascii="宋体" w:hAnsi="宋体"/>
                <w:b w:val="0"/>
                <w:bCs w:val="0"/>
                <w:color w:val="auto"/>
                <w:highlight w:val="none"/>
              </w:rPr>
              <w:t>未提供本项进度计划方案的，本项不得分。</w:t>
            </w:r>
          </w:p>
        </w:tc>
        <w:tc>
          <w:tcPr>
            <w:tcW w:w="891" w:type="dxa"/>
            <w:tcMar>
              <w:top w:w="0" w:type="dxa"/>
              <w:left w:w="108" w:type="dxa"/>
              <w:bottom w:w="0" w:type="dxa"/>
              <w:right w:w="108" w:type="dxa"/>
            </w:tcMar>
            <w:vAlign w:val="center"/>
          </w:tcPr>
          <w:p w14:paraId="45B6C847">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43B5F6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0084902E">
            <w:pPr>
              <w:widowControl/>
              <w:spacing w:line="360" w:lineRule="auto"/>
              <w:jc w:val="center"/>
              <w:rPr>
                <w:rFonts w:ascii="宋体" w:hAnsi="宋体"/>
                <w:color w:val="auto"/>
                <w:kern w:val="0"/>
                <w:highlight w:val="none"/>
              </w:rPr>
            </w:pPr>
          </w:p>
        </w:tc>
        <w:tc>
          <w:tcPr>
            <w:tcW w:w="1499" w:type="dxa"/>
            <w:vMerge w:val="continue"/>
            <w:vAlign w:val="center"/>
          </w:tcPr>
          <w:p w14:paraId="748F2658">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2C6263E3">
            <w:pPr>
              <w:adjustRightInd w:val="0"/>
              <w:snapToGrid w:val="0"/>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3、绿化养护质量保证、安全保证、文明服务保证方案</w:t>
            </w:r>
            <w:r>
              <w:rPr>
                <w:rFonts w:hint="eastAsia" w:ascii="宋体" w:hAnsi="宋体"/>
                <w:b/>
                <w:bCs/>
                <w:color w:val="auto"/>
                <w:highlight w:val="none"/>
                <w:lang w:eastAsia="zh-CN"/>
              </w:rPr>
              <w:t>。</w:t>
            </w:r>
          </w:p>
          <w:p w14:paraId="64182784">
            <w:pPr>
              <w:adjustRightInd w:val="0"/>
              <w:snapToGrid w:val="0"/>
              <w:spacing w:line="360" w:lineRule="auto"/>
              <w:rPr>
                <w:rFonts w:hint="eastAsia" w:ascii="宋体" w:hAnsi="宋体"/>
                <w:b/>
                <w:bCs/>
                <w:color w:val="auto"/>
                <w:highlight w:val="none"/>
              </w:rPr>
            </w:pPr>
            <w:r>
              <w:rPr>
                <w:rFonts w:hint="eastAsia" w:ascii="宋体" w:hAnsi="宋体"/>
                <w:b/>
                <w:bCs/>
                <w:color w:val="auto"/>
                <w:highlight w:val="none"/>
              </w:rPr>
              <w:t>评委对照采购需求，对投标人提交的质量保证措施、安全保障措施、文明服务保障方案的科学性、合理性、针对性进行评审：</w:t>
            </w:r>
          </w:p>
          <w:p w14:paraId="33784FB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方案表述清晰完整，内容详实具体，质量、安全、文明服务三类保障措施齐全，部分措施高于采购需求标准，具备落地可行性的，得8分；</w:t>
            </w:r>
          </w:p>
          <w:p w14:paraId="1B3A2819">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方案表述较为清晰，内容较为充实，质量、安全、文明服务三类保障措施齐全，能够满足采购需求要求，具备落地可行性的，得6分；</w:t>
            </w:r>
          </w:p>
          <w:p w14:paraId="6C796427">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方案表述清晰度一般，内容基本完整，覆盖质量、安全、文明服务主要保障内容，基本满足采购需求主要要求，无重大缺项的，得4分；</w:t>
            </w:r>
          </w:p>
          <w:p w14:paraId="105AC98E">
            <w:pPr>
              <w:adjustRightInd w:val="0"/>
              <w:snapToGrid w:val="0"/>
              <w:spacing w:line="360" w:lineRule="auto"/>
              <w:rPr>
                <w:rFonts w:hint="eastAsia" w:ascii="宋体" w:hAnsi="宋体"/>
                <w:b w:val="0"/>
                <w:bCs w:val="0"/>
                <w:color w:val="auto"/>
                <w:highlight w:val="none"/>
              </w:rPr>
            </w:pPr>
            <w:r>
              <w:rPr>
                <w:rFonts w:hint="eastAsia" w:ascii="宋体" w:hAnsi="宋体"/>
                <w:b w:val="0"/>
                <w:bCs w:val="0"/>
                <w:color w:val="auto"/>
                <w:highlight w:val="none"/>
              </w:rPr>
              <w:t>方案表述模糊，内容存在缺漏，质量、安全、文明服务保障措施不全或与采购需求存在偏差的，得2分；</w:t>
            </w:r>
          </w:p>
          <w:p w14:paraId="2C59C513">
            <w:pPr>
              <w:adjustRightInd w:val="0"/>
              <w:snapToGrid w:val="0"/>
              <w:spacing w:line="360" w:lineRule="auto"/>
              <w:rPr>
                <w:color w:val="auto"/>
                <w:highlight w:val="none"/>
              </w:rPr>
            </w:pPr>
            <w:r>
              <w:rPr>
                <w:rFonts w:hint="eastAsia" w:ascii="宋体" w:hAnsi="宋体"/>
                <w:b w:val="0"/>
                <w:bCs w:val="0"/>
                <w:color w:val="auto"/>
                <w:highlight w:val="none"/>
              </w:rPr>
              <w:t>未提供本项方案的，本项不得分。</w:t>
            </w:r>
          </w:p>
        </w:tc>
        <w:tc>
          <w:tcPr>
            <w:tcW w:w="891" w:type="dxa"/>
            <w:tcMar>
              <w:top w:w="0" w:type="dxa"/>
              <w:left w:w="108" w:type="dxa"/>
              <w:bottom w:w="0" w:type="dxa"/>
              <w:right w:w="108" w:type="dxa"/>
            </w:tcMar>
            <w:vAlign w:val="center"/>
          </w:tcPr>
          <w:p w14:paraId="49471B42">
            <w:pPr>
              <w:widowControl/>
              <w:spacing w:line="360" w:lineRule="auto"/>
              <w:jc w:val="center"/>
              <w:rPr>
                <w:rFonts w:hint="eastAsia" w:ascii="宋体" w:hAnsi="宋体" w:eastAsia="宋体"/>
                <w:color w:val="auto"/>
                <w:kern w:val="0"/>
                <w:highlight w:val="none"/>
                <w:lang w:eastAsia="zh-CN"/>
              </w:rPr>
            </w:pPr>
            <w:r>
              <w:rPr>
                <w:rFonts w:hint="eastAsia" w:ascii="宋体" w:hAnsi="宋体"/>
                <w:b/>
                <w:bCs/>
                <w:color w:val="auto"/>
                <w:kern w:val="0"/>
                <w:highlight w:val="none"/>
                <w:lang w:val="en-US" w:eastAsia="zh-CN"/>
              </w:rPr>
              <w:t>8</w:t>
            </w:r>
          </w:p>
        </w:tc>
      </w:tr>
      <w:tr w14:paraId="10569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61C371A1">
            <w:pPr>
              <w:widowControl/>
              <w:spacing w:line="360" w:lineRule="auto"/>
              <w:jc w:val="center"/>
              <w:rPr>
                <w:rFonts w:ascii="宋体" w:hAnsi="宋体"/>
                <w:color w:val="auto"/>
                <w:kern w:val="0"/>
                <w:highlight w:val="none"/>
              </w:rPr>
            </w:pPr>
          </w:p>
        </w:tc>
        <w:tc>
          <w:tcPr>
            <w:tcW w:w="1499" w:type="dxa"/>
            <w:vMerge w:val="continue"/>
            <w:vAlign w:val="center"/>
          </w:tcPr>
          <w:p w14:paraId="6D78F709">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759EFA20">
            <w:pPr>
              <w:spacing w:line="360" w:lineRule="auto"/>
              <w:rPr>
                <w:rFonts w:hint="eastAsia" w:ascii="宋体" w:hAnsi="宋体" w:eastAsia="宋体"/>
                <w:b/>
                <w:bCs/>
                <w:color w:val="auto"/>
                <w:highlight w:val="none"/>
                <w:lang w:eastAsia="zh-CN"/>
              </w:rPr>
            </w:pPr>
            <w:r>
              <w:rPr>
                <w:rFonts w:hint="eastAsia" w:ascii="宋体" w:hAnsi="宋体"/>
                <w:b/>
                <w:bCs/>
                <w:color w:val="auto"/>
                <w:highlight w:val="none"/>
              </w:rPr>
              <w:t>4、人员配备情况</w:t>
            </w:r>
            <w:r>
              <w:rPr>
                <w:rFonts w:hint="eastAsia" w:ascii="宋体" w:hAnsi="宋体"/>
                <w:b/>
                <w:bCs/>
                <w:color w:val="auto"/>
                <w:highlight w:val="none"/>
                <w:lang w:eastAsia="zh-CN"/>
              </w:rPr>
              <w:t>。</w:t>
            </w:r>
          </w:p>
          <w:p w14:paraId="40126F3B">
            <w:pPr>
              <w:widowControl/>
              <w:spacing w:line="360" w:lineRule="auto"/>
              <w:rPr>
                <w:rFonts w:ascii="宋体" w:hAnsi="宋体"/>
                <w:b/>
                <w:bCs/>
                <w:color w:val="auto"/>
                <w:kern w:val="0"/>
                <w:highlight w:val="none"/>
              </w:rPr>
            </w:pPr>
            <w:r>
              <w:rPr>
                <w:rFonts w:hint="eastAsia" w:ascii="宋体" w:hAnsi="宋体"/>
                <w:b/>
                <w:bCs/>
                <w:color w:val="auto"/>
                <w:kern w:val="0"/>
                <w:highlight w:val="none"/>
              </w:rPr>
              <w:t>对拟投入本项目人员的专业配备、职称能力及养护工人情况进行评价：</w:t>
            </w:r>
          </w:p>
          <w:p w14:paraId="542C3E09">
            <w:pPr>
              <w:adjustRightInd w:val="0"/>
              <w:snapToGrid w:val="0"/>
              <w:spacing w:line="360" w:lineRule="auto"/>
              <w:rPr>
                <w:rFonts w:hint="eastAsia"/>
                <w:color w:val="auto"/>
                <w:highlight w:val="none"/>
              </w:rPr>
            </w:pPr>
            <w:r>
              <w:rPr>
                <w:rFonts w:hint="eastAsia" w:ascii="宋体" w:hAnsi="宋体"/>
                <w:color w:val="auto"/>
                <w:kern w:val="0"/>
                <w:highlight w:val="none"/>
              </w:rPr>
              <w:t>投标人须根据项目情况组建项目管理机构，在投标文件中明确管理人员、技术人员各阶段进场时间（合同签订前、合同履行中）、人数、姓名，包括但不限于：项目</w:t>
            </w:r>
            <w:r>
              <w:rPr>
                <w:rFonts w:hint="eastAsia" w:ascii="宋体" w:hAnsi="宋体"/>
                <w:color w:val="auto"/>
                <w:kern w:val="0"/>
                <w:highlight w:val="none"/>
                <w:lang w:val="en-US" w:eastAsia="zh-CN"/>
              </w:rPr>
              <w:t>负责人</w:t>
            </w:r>
            <w:r>
              <w:rPr>
                <w:rFonts w:hint="eastAsia" w:ascii="宋体" w:hAnsi="宋体"/>
                <w:color w:val="auto"/>
                <w:kern w:val="0"/>
                <w:highlight w:val="none"/>
              </w:rPr>
              <w:t>、部门管理人员、班组长、技术员等人员配备是否明确，数量是否充足，配置是否合理等，不同时间拟投入的养护工人是否合理；项目组整体人员的素质、技术能力、专业分布、经验等符合项目要求；投入本项目的班组人员是否具有相关类似项目对应的服务经验，人员数量安排是否合理。投标人需提供拟投入项目组人员资质、工作履历、工程实践证明资料等情况。</w:t>
            </w:r>
            <w:r>
              <w:rPr>
                <w:rFonts w:hint="eastAsia"/>
                <w:color w:val="auto"/>
                <w:highlight w:val="none"/>
              </w:rPr>
              <w:t>能够满足本项目要求，根据所配备人员的专业结构的合理性、针对性对其进行评价。</w:t>
            </w:r>
          </w:p>
          <w:p w14:paraId="3C37510F">
            <w:pPr>
              <w:adjustRightInd w:val="0"/>
              <w:snapToGrid w:val="0"/>
              <w:spacing w:line="360" w:lineRule="auto"/>
              <w:rPr>
                <w:rFonts w:hint="eastAsia"/>
                <w:color w:val="auto"/>
                <w:highlight w:val="none"/>
              </w:rPr>
            </w:pPr>
            <w:r>
              <w:rPr>
                <w:rFonts w:hint="eastAsia"/>
                <w:color w:val="auto"/>
                <w:highlight w:val="none"/>
              </w:rPr>
              <w:t>所投入的人员专业配备合理，经验丰富，能够很好地完成本项目养护要求的得8分；</w:t>
            </w:r>
          </w:p>
          <w:p w14:paraId="7C683626">
            <w:pPr>
              <w:adjustRightInd w:val="0"/>
              <w:snapToGrid w:val="0"/>
              <w:spacing w:line="360" w:lineRule="auto"/>
              <w:rPr>
                <w:rFonts w:hint="eastAsia" w:eastAsia="宋体"/>
                <w:color w:val="auto"/>
                <w:highlight w:val="none"/>
                <w:lang w:eastAsia="zh-CN"/>
              </w:rPr>
            </w:pPr>
            <w:r>
              <w:rPr>
                <w:rFonts w:hint="eastAsia"/>
                <w:color w:val="auto"/>
                <w:highlight w:val="none"/>
              </w:rPr>
              <w:t>所投入的人员专业配备较合理，能够完成本项目养护要求的得</w:t>
            </w:r>
            <w:r>
              <w:rPr>
                <w:rFonts w:hint="eastAsia"/>
                <w:color w:val="auto"/>
                <w:highlight w:val="none"/>
                <w:lang w:val="en-US" w:eastAsia="zh-CN"/>
              </w:rPr>
              <w:t>6</w:t>
            </w:r>
            <w:r>
              <w:rPr>
                <w:rFonts w:hint="eastAsia"/>
                <w:color w:val="auto"/>
                <w:highlight w:val="none"/>
              </w:rPr>
              <w:t>分；所投入人员基本满足项目要求的得</w:t>
            </w:r>
            <w:r>
              <w:rPr>
                <w:rFonts w:hint="eastAsia"/>
                <w:color w:val="auto"/>
                <w:highlight w:val="none"/>
                <w:lang w:val="en-US" w:eastAsia="zh-CN"/>
              </w:rPr>
              <w:t>4</w:t>
            </w:r>
            <w:r>
              <w:rPr>
                <w:rFonts w:hint="eastAsia"/>
                <w:color w:val="auto"/>
                <w:highlight w:val="none"/>
              </w:rPr>
              <w:t>分</w:t>
            </w:r>
            <w:r>
              <w:rPr>
                <w:rFonts w:hint="eastAsia"/>
                <w:color w:val="auto"/>
                <w:highlight w:val="none"/>
                <w:lang w:eastAsia="zh-CN"/>
              </w:rPr>
              <w:t>；</w:t>
            </w:r>
          </w:p>
          <w:p w14:paraId="37E874EE">
            <w:pPr>
              <w:adjustRightInd w:val="0"/>
              <w:snapToGrid w:val="0"/>
              <w:spacing w:line="360" w:lineRule="auto"/>
              <w:rPr>
                <w:rFonts w:hint="eastAsia" w:eastAsia="宋体"/>
                <w:color w:val="auto"/>
                <w:highlight w:val="none"/>
                <w:lang w:val="en-US" w:eastAsia="zh-CN"/>
              </w:rPr>
            </w:pPr>
            <w:r>
              <w:rPr>
                <w:rFonts w:hint="eastAsia"/>
                <w:color w:val="auto"/>
                <w:highlight w:val="none"/>
              </w:rPr>
              <w:t>所投入人员</w:t>
            </w:r>
            <w:r>
              <w:rPr>
                <w:rFonts w:hint="eastAsia"/>
                <w:color w:val="auto"/>
                <w:highlight w:val="none"/>
                <w:lang w:val="en-US" w:eastAsia="zh-CN"/>
              </w:rPr>
              <w:t>与需求偏差较大的</w:t>
            </w:r>
            <w:r>
              <w:rPr>
                <w:rFonts w:hint="eastAsia"/>
                <w:color w:val="auto"/>
                <w:highlight w:val="none"/>
              </w:rPr>
              <w:t>得</w:t>
            </w:r>
            <w:r>
              <w:rPr>
                <w:rFonts w:hint="eastAsia"/>
                <w:color w:val="auto"/>
                <w:highlight w:val="none"/>
                <w:lang w:val="en-US" w:eastAsia="zh-CN"/>
              </w:rPr>
              <w:t>2</w:t>
            </w:r>
            <w:r>
              <w:rPr>
                <w:rFonts w:hint="eastAsia"/>
                <w:color w:val="auto"/>
                <w:highlight w:val="none"/>
              </w:rPr>
              <w:t>分</w:t>
            </w:r>
            <w:r>
              <w:rPr>
                <w:rFonts w:hint="eastAsia"/>
                <w:color w:val="auto"/>
                <w:highlight w:val="none"/>
                <w:lang w:eastAsia="zh-CN"/>
              </w:rPr>
              <w:t>；</w:t>
            </w:r>
          </w:p>
          <w:p w14:paraId="31796E1E">
            <w:pPr>
              <w:adjustRightInd w:val="0"/>
              <w:snapToGrid w:val="0"/>
              <w:spacing w:line="360" w:lineRule="auto"/>
              <w:rPr>
                <w:rFonts w:ascii="宋体" w:hAnsi="宋体"/>
                <w:b/>
                <w:color w:val="auto"/>
                <w:kern w:val="0"/>
                <w:highlight w:val="none"/>
              </w:rPr>
            </w:pPr>
            <w:r>
              <w:rPr>
                <w:rFonts w:hint="eastAsia"/>
                <w:color w:val="auto"/>
                <w:highlight w:val="none"/>
              </w:rPr>
              <w:t>缺项不得分。</w:t>
            </w:r>
          </w:p>
        </w:tc>
        <w:tc>
          <w:tcPr>
            <w:tcW w:w="891" w:type="dxa"/>
            <w:tcMar>
              <w:top w:w="0" w:type="dxa"/>
              <w:left w:w="108" w:type="dxa"/>
              <w:bottom w:w="0" w:type="dxa"/>
              <w:right w:w="108" w:type="dxa"/>
            </w:tcMar>
            <w:vAlign w:val="center"/>
          </w:tcPr>
          <w:p w14:paraId="58A8F492">
            <w:pPr>
              <w:widowControl/>
              <w:spacing w:line="360" w:lineRule="auto"/>
              <w:jc w:val="center"/>
              <w:rPr>
                <w:rFonts w:ascii="宋体" w:hAnsi="宋体"/>
                <w:color w:val="auto"/>
                <w:kern w:val="0"/>
                <w:highlight w:val="none"/>
              </w:rPr>
            </w:pPr>
            <w:r>
              <w:rPr>
                <w:rFonts w:ascii="宋体" w:hAnsi="宋体"/>
                <w:b/>
                <w:bCs/>
                <w:color w:val="auto"/>
                <w:kern w:val="0"/>
                <w:highlight w:val="none"/>
              </w:rPr>
              <w:t>8</w:t>
            </w:r>
          </w:p>
        </w:tc>
      </w:tr>
      <w:tr w14:paraId="7292E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30A5CD51">
            <w:pPr>
              <w:widowControl/>
              <w:spacing w:line="360" w:lineRule="auto"/>
              <w:jc w:val="center"/>
              <w:rPr>
                <w:rFonts w:ascii="宋体" w:hAnsi="宋体"/>
                <w:b/>
                <w:bCs/>
                <w:color w:val="auto"/>
                <w:kern w:val="0"/>
                <w:highlight w:val="none"/>
              </w:rPr>
            </w:pPr>
          </w:p>
        </w:tc>
        <w:tc>
          <w:tcPr>
            <w:tcW w:w="1499" w:type="dxa"/>
            <w:vMerge w:val="continue"/>
            <w:vAlign w:val="center"/>
          </w:tcPr>
          <w:p w14:paraId="2E887BCB">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681DA4E2">
            <w:pPr>
              <w:spacing w:line="360" w:lineRule="auto"/>
              <w:rPr>
                <w:rFonts w:ascii="宋体" w:hAnsi="宋体"/>
                <w:b/>
                <w:bCs/>
                <w:color w:val="auto"/>
                <w:highlight w:val="none"/>
              </w:rPr>
            </w:pPr>
            <w:r>
              <w:rPr>
                <w:rFonts w:ascii="宋体" w:hAnsi="宋体"/>
                <w:b/>
                <w:bCs/>
                <w:color w:val="auto"/>
                <w:highlight w:val="none"/>
              </w:rPr>
              <w:t>5</w:t>
            </w:r>
            <w:r>
              <w:rPr>
                <w:rFonts w:hint="eastAsia" w:ascii="宋体" w:hAnsi="宋体"/>
                <w:b/>
                <w:bCs/>
                <w:color w:val="auto"/>
                <w:highlight w:val="none"/>
              </w:rPr>
              <w:t>、服务承诺</w:t>
            </w:r>
          </w:p>
          <w:p w14:paraId="600D071D">
            <w:pPr>
              <w:adjustRightInd w:val="0"/>
              <w:snapToGrid w:val="0"/>
              <w:spacing w:line="360" w:lineRule="auto"/>
              <w:rPr>
                <w:rFonts w:hint="eastAsia" w:ascii="宋体" w:hAnsi="宋体"/>
                <w:b/>
                <w:bCs/>
                <w:color w:val="auto"/>
                <w:kern w:val="0"/>
                <w:highlight w:val="none"/>
              </w:rPr>
            </w:pPr>
            <w:r>
              <w:rPr>
                <w:rFonts w:hint="eastAsia" w:ascii="宋体" w:hAnsi="宋体"/>
                <w:b/>
                <w:bCs/>
                <w:color w:val="auto"/>
                <w:kern w:val="0"/>
                <w:highlight w:val="none"/>
              </w:rPr>
              <w:t>评委对照采购需求，对投标人服务承诺中服务响应时限、服务质量、技术支持等内容的科学性、合理性、针对性进行评审：</w:t>
            </w:r>
          </w:p>
          <w:p w14:paraId="094DB643">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服务承诺内容明确，全部满足采购需求，部分承诺标准高于采购需求的，得 7 分；</w:t>
            </w:r>
          </w:p>
          <w:p w14:paraId="5A197657">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服务承诺内容明确，能够基本满足采购需求主要要求，无重大偏离的，得 5 分；</w:t>
            </w:r>
          </w:p>
          <w:p w14:paraId="369BCEF6">
            <w:pPr>
              <w:adjustRightInd w:val="0"/>
              <w:snapToGrid w:val="0"/>
              <w:spacing w:line="360" w:lineRule="auto"/>
              <w:rPr>
                <w:rFonts w:hint="eastAsia" w:ascii="宋体" w:hAnsi="宋体"/>
                <w:color w:val="auto"/>
                <w:kern w:val="0"/>
                <w:highlight w:val="none"/>
              </w:rPr>
            </w:pPr>
            <w:r>
              <w:rPr>
                <w:rFonts w:hint="eastAsia" w:ascii="宋体" w:hAnsi="宋体"/>
                <w:color w:val="auto"/>
                <w:kern w:val="0"/>
                <w:highlight w:val="none"/>
              </w:rPr>
              <w:t>服务承诺表述模糊、内容不明确的，得 2 分；</w:t>
            </w:r>
          </w:p>
          <w:p w14:paraId="299B9A1E">
            <w:pPr>
              <w:adjustRightInd w:val="0"/>
              <w:snapToGrid w:val="0"/>
              <w:spacing w:line="360" w:lineRule="auto"/>
              <w:rPr>
                <w:rFonts w:ascii="宋体" w:hAnsi="宋体"/>
                <w:color w:val="auto"/>
                <w:kern w:val="0"/>
                <w:highlight w:val="none"/>
              </w:rPr>
            </w:pPr>
            <w:r>
              <w:rPr>
                <w:rFonts w:hint="eastAsia" w:ascii="宋体" w:hAnsi="宋体"/>
                <w:color w:val="auto"/>
                <w:kern w:val="0"/>
                <w:highlight w:val="none"/>
              </w:rPr>
              <w:t>未提供本项服务承诺的，本项不得分。</w:t>
            </w:r>
          </w:p>
        </w:tc>
        <w:tc>
          <w:tcPr>
            <w:tcW w:w="891" w:type="dxa"/>
            <w:tcMar>
              <w:top w:w="0" w:type="dxa"/>
              <w:left w:w="108" w:type="dxa"/>
              <w:bottom w:w="0" w:type="dxa"/>
              <w:right w:w="108" w:type="dxa"/>
            </w:tcMar>
            <w:vAlign w:val="center"/>
          </w:tcPr>
          <w:p w14:paraId="0D95F40C">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7</w:t>
            </w:r>
          </w:p>
        </w:tc>
      </w:tr>
      <w:tr w14:paraId="26A3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10653C55">
            <w:pPr>
              <w:widowControl/>
              <w:spacing w:line="360" w:lineRule="auto"/>
              <w:jc w:val="center"/>
              <w:rPr>
                <w:rFonts w:ascii="宋体" w:hAnsi="宋体"/>
                <w:b/>
                <w:bCs/>
                <w:color w:val="auto"/>
                <w:kern w:val="0"/>
                <w:highlight w:val="none"/>
              </w:rPr>
            </w:pPr>
          </w:p>
        </w:tc>
        <w:tc>
          <w:tcPr>
            <w:tcW w:w="1499" w:type="dxa"/>
            <w:vMerge w:val="continue"/>
            <w:vAlign w:val="center"/>
          </w:tcPr>
          <w:p w14:paraId="7F169827">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7E7E7267">
            <w:pPr>
              <w:adjustRightInd w:val="0"/>
              <w:snapToGrid w:val="0"/>
              <w:spacing w:line="360" w:lineRule="auto"/>
              <w:rPr>
                <w:rFonts w:hint="eastAsia" w:ascii="宋体" w:hAnsi="宋体"/>
                <w:b/>
                <w:bCs/>
                <w:color w:val="auto"/>
                <w:kern w:val="0"/>
                <w:highlight w:val="none"/>
                <w:lang w:val="en-US" w:eastAsia="zh-CN"/>
              </w:rPr>
            </w:pPr>
            <w:r>
              <w:rPr>
                <w:rFonts w:hint="eastAsia" w:ascii="宋体" w:hAnsi="宋体"/>
                <w:b/>
                <w:bCs/>
                <w:color w:val="auto"/>
                <w:kern w:val="0"/>
                <w:highlight w:val="none"/>
              </w:rPr>
              <w:t>6、</w:t>
            </w:r>
            <w:r>
              <w:rPr>
                <w:rFonts w:hint="eastAsia" w:ascii="宋体" w:hAnsi="宋体"/>
                <w:b/>
                <w:bCs/>
                <w:color w:val="auto"/>
                <w:kern w:val="0"/>
                <w:highlight w:val="none"/>
                <w:lang w:val="en-US" w:eastAsia="zh-CN"/>
              </w:rPr>
              <w:t>突发事件应急处理预案及迎检、重大活动、投诉处置、采购人交办事项应对方案及保障措施评委对照采购需求，对投标人提交的突发事件应急预案、迎检保障、重大活动保障、投诉处置、采购人交办事项应对方案及保障措施的科学性、合理性、针对性、可操作性进行评审：</w:t>
            </w:r>
          </w:p>
          <w:p w14:paraId="6F0CD9EC">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方案表述清晰完整，内容详实具体，各类处置及保障措施齐全，部分措施高于采购需求标准，职责分工明确，落地可行性强的，得8分；</w:t>
            </w:r>
          </w:p>
          <w:p w14:paraId="578D1600">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方案表述较为清晰，内容较为充实，各类处置及保障措施齐全，能够满足采购需求要求，具备落地可行性的，得6分；</w:t>
            </w:r>
          </w:p>
          <w:p w14:paraId="6D6E8000">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方案表述清晰度一般，内容基本完整，覆盖应急、迎检、重大活动、投诉、采购人交办事项主要处置保障内容，基本满足采购需求主要要求，无重大缺项的，得4分；</w:t>
            </w:r>
          </w:p>
          <w:p w14:paraId="6207A069">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方案表述模糊，内容存在缺漏，相关处置及保障措施不全或与采购需求存在偏差的，得2分；</w:t>
            </w:r>
          </w:p>
          <w:p w14:paraId="60E6976A">
            <w:pPr>
              <w:adjustRightInd w:val="0"/>
              <w:snapToGrid w:val="0"/>
              <w:spacing w:line="360" w:lineRule="auto"/>
              <w:rPr>
                <w:rFonts w:hint="eastAsia"/>
                <w:color w:val="auto"/>
                <w:highlight w:val="none"/>
                <w:lang w:eastAsia="zh-CN"/>
              </w:rPr>
            </w:pPr>
            <w:r>
              <w:rPr>
                <w:rFonts w:hint="eastAsia" w:ascii="宋体" w:hAnsi="宋体"/>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35C5EDB4">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8</w:t>
            </w:r>
          </w:p>
        </w:tc>
      </w:tr>
      <w:tr w14:paraId="4967B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Merge w:val="continue"/>
            <w:vAlign w:val="center"/>
          </w:tcPr>
          <w:p w14:paraId="28E10BC6">
            <w:pPr>
              <w:widowControl/>
              <w:spacing w:line="360" w:lineRule="auto"/>
              <w:jc w:val="center"/>
              <w:rPr>
                <w:rFonts w:ascii="宋体" w:hAnsi="宋体"/>
                <w:b/>
                <w:bCs/>
                <w:color w:val="auto"/>
                <w:kern w:val="0"/>
                <w:highlight w:val="none"/>
              </w:rPr>
            </w:pPr>
          </w:p>
        </w:tc>
        <w:tc>
          <w:tcPr>
            <w:tcW w:w="1499" w:type="dxa"/>
            <w:vMerge w:val="continue"/>
            <w:vAlign w:val="center"/>
          </w:tcPr>
          <w:p w14:paraId="44083DA7">
            <w:pPr>
              <w:widowControl/>
              <w:spacing w:line="360" w:lineRule="auto"/>
              <w:jc w:val="left"/>
              <w:rPr>
                <w:rFonts w:ascii="宋体" w:hAnsi="宋体"/>
                <w:color w:val="auto"/>
                <w:kern w:val="0"/>
                <w:highlight w:val="none"/>
              </w:rPr>
            </w:pPr>
          </w:p>
        </w:tc>
        <w:tc>
          <w:tcPr>
            <w:tcW w:w="6602" w:type="dxa"/>
            <w:tcMar>
              <w:top w:w="0" w:type="dxa"/>
              <w:left w:w="108" w:type="dxa"/>
              <w:bottom w:w="0" w:type="dxa"/>
              <w:right w:w="108" w:type="dxa"/>
            </w:tcMar>
            <w:vAlign w:val="center"/>
          </w:tcPr>
          <w:p w14:paraId="4D6D816D">
            <w:pPr>
              <w:adjustRightInd w:val="0"/>
              <w:snapToGrid w:val="0"/>
              <w:spacing w:line="360" w:lineRule="auto"/>
              <w:rPr>
                <w:rFonts w:hint="eastAsia" w:ascii="宋体" w:hAnsi="宋体"/>
                <w:b/>
                <w:bCs/>
                <w:color w:val="auto"/>
                <w:kern w:val="0"/>
                <w:highlight w:val="none"/>
                <w:lang w:val="en-US" w:eastAsia="zh-CN"/>
              </w:rPr>
            </w:pPr>
            <w:r>
              <w:rPr>
                <w:rFonts w:hint="eastAsia" w:ascii="宋体" w:hAnsi="宋体"/>
                <w:b/>
                <w:bCs/>
                <w:color w:val="auto"/>
                <w:kern w:val="0"/>
                <w:highlight w:val="none"/>
                <w:lang w:val="en-US" w:eastAsia="zh-CN"/>
              </w:rPr>
              <w:t>7、养护档案资料管理制度及养护台账管理方案（含档案移交流程）评委对照采购需求，对投标人养护档案资料管理制度、档案移交流程、养护台账设置及编制措施的科学性、规范性、针对性、可操作性进行评审：</w:t>
            </w:r>
          </w:p>
          <w:p w14:paraId="05E448ED">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方案表述清晰完整，内容详实具体，档案管理制度、移交流程、台账设置措施齐全规范，部分措施高于采购需求标准，落地可行性强的，得8分；</w:t>
            </w:r>
          </w:p>
          <w:p w14:paraId="12E1FFEE">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方案表述较为清晰，内容较为充实，档案管理制度、移交流程、台账设置措施齐全规范，能够满足采购需求要求，具备落地可行性的，得6分；</w:t>
            </w:r>
          </w:p>
          <w:p w14:paraId="3734DE1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方案表述清晰度一般，内容基本完整，覆盖档案管理、档案移交、养护台账主要管理内容，基本满足采购需求主要要求，无重大缺项的，得4分；</w:t>
            </w:r>
          </w:p>
          <w:p w14:paraId="52DD980A">
            <w:pPr>
              <w:adjustRightInd w:val="0"/>
              <w:snapToGrid w:val="0"/>
              <w:spacing w:line="360" w:lineRule="auto"/>
              <w:rPr>
                <w:rFonts w:hint="eastAsia" w:ascii="宋体" w:hAnsi="宋体"/>
                <w:color w:val="auto"/>
                <w:kern w:val="0"/>
                <w:highlight w:val="none"/>
                <w:lang w:val="en-US" w:eastAsia="zh-CN"/>
              </w:rPr>
            </w:pPr>
            <w:r>
              <w:rPr>
                <w:rFonts w:hint="eastAsia" w:ascii="宋体" w:hAnsi="宋体"/>
                <w:color w:val="auto"/>
                <w:kern w:val="0"/>
                <w:highlight w:val="none"/>
                <w:lang w:val="en-US" w:eastAsia="zh-CN"/>
              </w:rPr>
              <w:t>方案表述模糊，内容存在缺漏，档案、台账相关管理措施不全或与采购需求存在偏差的，得2分；</w:t>
            </w:r>
          </w:p>
          <w:p w14:paraId="449A0AFD">
            <w:pPr>
              <w:adjustRightInd w:val="0"/>
              <w:snapToGrid w:val="0"/>
              <w:spacing w:line="360" w:lineRule="auto"/>
              <w:rPr>
                <w:color w:val="auto"/>
                <w:highlight w:val="none"/>
              </w:rPr>
            </w:pPr>
            <w:r>
              <w:rPr>
                <w:rFonts w:hint="eastAsia" w:ascii="宋体" w:hAnsi="宋体"/>
                <w:color w:val="auto"/>
                <w:kern w:val="0"/>
                <w:highlight w:val="none"/>
                <w:lang w:val="en-US" w:eastAsia="zh-CN"/>
              </w:rPr>
              <w:t>未提供本项方案的，本项不得分。</w:t>
            </w:r>
          </w:p>
        </w:tc>
        <w:tc>
          <w:tcPr>
            <w:tcW w:w="891" w:type="dxa"/>
            <w:tcMar>
              <w:top w:w="0" w:type="dxa"/>
              <w:left w:w="108" w:type="dxa"/>
              <w:bottom w:w="0" w:type="dxa"/>
              <w:right w:w="108" w:type="dxa"/>
            </w:tcMar>
            <w:vAlign w:val="center"/>
          </w:tcPr>
          <w:p w14:paraId="7D8EF51B">
            <w:pPr>
              <w:widowControl/>
              <w:spacing w:line="360" w:lineRule="auto"/>
              <w:jc w:val="center"/>
              <w:rPr>
                <w:rFonts w:hint="eastAsia" w:ascii="宋体" w:hAnsi="宋体" w:eastAsia="宋体"/>
                <w:b/>
                <w:bCs/>
                <w:color w:val="auto"/>
                <w:kern w:val="0"/>
                <w:highlight w:val="none"/>
                <w:lang w:eastAsia="zh-CN"/>
              </w:rPr>
            </w:pPr>
            <w:r>
              <w:rPr>
                <w:rFonts w:hint="eastAsia" w:ascii="宋体" w:hAnsi="宋体"/>
                <w:b/>
                <w:bCs/>
                <w:color w:val="auto"/>
                <w:kern w:val="0"/>
                <w:highlight w:val="none"/>
                <w:lang w:val="en-US" w:eastAsia="zh-CN"/>
              </w:rPr>
              <w:t>8</w:t>
            </w:r>
          </w:p>
        </w:tc>
      </w:tr>
      <w:tr w14:paraId="2C6C9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640" w:type="dxa"/>
            <w:vAlign w:val="center"/>
          </w:tcPr>
          <w:p w14:paraId="70280A08">
            <w:pPr>
              <w:widowControl/>
              <w:spacing w:line="360" w:lineRule="auto"/>
              <w:jc w:val="center"/>
              <w:rPr>
                <w:rFonts w:hint="eastAsia" w:ascii="宋体" w:hAnsi="宋体" w:eastAsia="宋体"/>
                <w:b/>
                <w:bCs/>
                <w:color w:val="auto"/>
                <w:kern w:val="0"/>
                <w:highlight w:val="none"/>
                <w:lang w:val="en-US" w:eastAsia="zh-CN"/>
              </w:rPr>
            </w:pPr>
            <w:r>
              <w:rPr>
                <w:rFonts w:hint="eastAsia" w:ascii="宋体" w:hAnsi="宋体"/>
                <w:b/>
                <w:bCs/>
                <w:color w:val="auto"/>
                <w:kern w:val="0"/>
                <w:highlight w:val="none"/>
                <w:lang w:val="en-US" w:eastAsia="zh-CN"/>
              </w:rPr>
              <w:t>6</w:t>
            </w:r>
          </w:p>
        </w:tc>
        <w:tc>
          <w:tcPr>
            <w:tcW w:w="1499" w:type="dxa"/>
            <w:vAlign w:val="center"/>
          </w:tcPr>
          <w:p w14:paraId="0D70022E">
            <w:pPr>
              <w:widowControl/>
              <w:spacing w:line="360" w:lineRule="auto"/>
              <w:jc w:val="center"/>
              <w:rPr>
                <w:rFonts w:hint="eastAsia" w:ascii="宋体" w:hAnsi="宋体" w:eastAsia="宋体"/>
                <w:color w:val="auto"/>
                <w:kern w:val="0"/>
                <w:highlight w:val="none"/>
                <w:lang w:val="en-US" w:eastAsia="zh-CN"/>
              </w:rPr>
            </w:pPr>
            <w:r>
              <w:rPr>
                <w:rFonts w:hint="eastAsia" w:ascii="宋体" w:hAnsi="宋体"/>
                <w:color w:val="auto"/>
                <w:kern w:val="0"/>
                <w:highlight w:val="none"/>
                <w:lang w:val="en-US" w:eastAsia="zh-CN"/>
              </w:rPr>
              <w:t>合计</w:t>
            </w:r>
          </w:p>
        </w:tc>
        <w:tc>
          <w:tcPr>
            <w:tcW w:w="6602" w:type="dxa"/>
            <w:tcMar>
              <w:top w:w="0" w:type="dxa"/>
              <w:left w:w="108" w:type="dxa"/>
              <w:bottom w:w="0" w:type="dxa"/>
              <w:right w:w="108" w:type="dxa"/>
            </w:tcMar>
            <w:vAlign w:val="center"/>
          </w:tcPr>
          <w:p w14:paraId="1312E7AC">
            <w:pPr>
              <w:adjustRightInd w:val="0"/>
              <w:snapToGrid w:val="0"/>
              <w:spacing w:line="360" w:lineRule="auto"/>
              <w:rPr>
                <w:rFonts w:hint="eastAsia" w:ascii="宋体" w:hAnsi="宋体"/>
                <w:color w:val="auto"/>
                <w:highlight w:val="none"/>
              </w:rPr>
            </w:pPr>
          </w:p>
        </w:tc>
        <w:tc>
          <w:tcPr>
            <w:tcW w:w="891" w:type="dxa"/>
            <w:tcMar>
              <w:top w:w="0" w:type="dxa"/>
              <w:left w:w="108" w:type="dxa"/>
              <w:bottom w:w="0" w:type="dxa"/>
              <w:right w:w="108" w:type="dxa"/>
            </w:tcMar>
            <w:vAlign w:val="center"/>
          </w:tcPr>
          <w:p w14:paraId="6848D416">
            <w:pPr>
              <w:widowControl/>
              <w:spacing w:line="360" w:lineRule="auto"/>
              <w:jc w:val="center"/>
              <w:rPr>
                <w:rFonts w:hint="default" w:ascii="宋体" w:hAnsi="宋体"/>
                <w:b/>
                <w:bCs/>
                <w:color w:val="auto"/>
                <w:kern w:val="0"/>
                <w:highlight w:val="none"/>
                <w:lang w:val="en-US" w:eastAsia="zh-CN"/>
              </w:rPr>
            </w:pPr>
            <w:r>
              <w:rPr>
                <w:rFonts w:hint="eastAsia" w:ascii="宋体" w:hAnsi="宋体"/>
                <w:b/>
                <w:bCs/>
                <w:color w:val="auto"/>
                <w:kern w:val="0"/>
                <w:highlight w:val="none"/>
                <w:lang w:val="en-US" w:eastAsia="zh-CN"/>
              </w:rPr>
              <w:t>100</w:t>
            </w:r>
          </w:p>
        </w:tc>
      </w:tr>
    </w:tbl>
    <w:p w14:paraId="7B5010D1">
      <w:pPr>
        <w:pStyle w:val="58"/>
        <w:jc w:val="center"/>
        <w:rPr>
          <w:rFonts w:hint="eastAsia" w:eastAsia="宋体"/>
          <w:color w:val="auto"/>
          <w:highlight w:val="none"/>
          <w:lang w:val="en-US" w:eastAsia="zh-CN"/>
        </w:rPr>
      </w:pPr>
    </w:p>
    <w:p w14:paraId="5EFC9E38">
      <w:pPr>
        <w:spacing w:line="360" w:lineRule="auto"/>
        <w:rPr>
          <w:rFonts w:hint="eastAsia" w:ascii="宋体" w:hAnsi="宋体" w:cs="宋体"/>
          <w:bCs/>
          <w:color w:val="auto"/>
          <w:sz w:val="21"/>
          <w:szCs w:val="21"/>
          <w:highlight w:val="none"/>
        </w:rPr>
      </w:pPr>
      <w:r>
        <w:rPr>
          <w:rFonts w:hint="eastAsia" w:ascii="宋体" w:hAnsi="宋体" w:cs="宋体"/>
          <w:bCs/>
          <w:color w:val="auto"/>
          <w:sz w:val="21"/>
          <w:szCs w:val="21"/>
          <w:highlight w:val="none"/>
        </w:rPr>
        <w:t>说明：</w:t>
      </w:r>
    </w:p>
    <w:p w14:paraId="21C768A6">
      <w:pPr>
        <w:spacing w:line="360" w:lineRule="auto"/>
        <w:rPr>
          <w:rFonts w:hint="eastAsia" w:ascii="宋体" w:hAnsi="宋体" w:cs="宋体"/>
          <w:b/>
          <w:bCs w:val="0"/>
          <w:color w:val="auto"/>
          <w:sz w:val="21"/>
          <w:szCs w:val="21"/>
          <w:highlight w:val="none"/>
        </w:rPr>
      </w:pPr>
      <w:r>
        <w:rPr>
          <w:rFonts w:hint="eastAsia" w:ascii="宋体" w:hAnsi="宋体" w:cs="宋体"/>
          <w:bCs/>
          <w:color w:val="auto"/>
          <w:sz w:val="21"/>
          <w:szCs w:val="21"/>
          <w:highlight w:val="none"/>
        </w:rPr>
        <w:t>1.所有认证、证明和业绩均以有效清晰的证明文件的</w:t>
      </w:r>
      <w:r>
        <w:rPr>
          <w:rFonts w:hint="eastAsia" w:ascii="宋体" w:hAnsi="宋体" w:cs="宋体"/>
          <w:bCs/>
          <w:color w:val="auto"/>
          <w:sz w:val="21"/>
          <w:szCs w:val="21"/>
          <w:highlight w:val="none"/>
          <w:lang w:val="en-US" w:eastAsia="zh-CN"/>
        </w:rPr>
        <w:t>扫描件</w:t>
      </w:r>
      <w:r>
        <w:rPr>
          <w:rFonts w:hint="eastAsia" w:ascii="宋体" w:hAnsi="宋体" w:cs="宋体"/>
          <w:bCs/>
          <w:color w:val="auto"/>
          <w:sz w:val="21"/>
          <w:szCs w:val="21"/>
          <w:highlight w:val="none"/>
        </w:rPr>
        <w:t>为依据。</w:t>
      </w:r>
    </w:p>
    <w:p w14:paraId="2E26BF77">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2.小微企业价格扣除</w:t>
      </w:r>
    </w:p>
    <w:p w14:paraId="52E959E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2.1</w:t>
      </w:r>
      <w:r>
        <w:rPr>
          <w:rFonts w:hint="eastAsia" w:ascii="宋体" w:hAnsi="宋体" w:cs="宋体"/>
          <w:bCs/>
          <w:color w:val="auto"/>
          <w:kern w:val="0"/>
          <w:szCs w:val="21"/>
          <w:highlight w:val="none"/>
        </w:rPr>
        <w:t>对于专门面向中小企业或小型、微型企业的项目，只面向中小企业或小型、微型企业采购。对于非专门面向中小企业的项目，对小型和微型企业的价格给予10%的扣除，用扣除后的价格参与评审</w:t>
      </w:r>
      <w:r>
        <w:rPr>
          <w:rFonts w:hint="eastAsia" w:ascii="宋体" w:hAnsi="宋体" w:cs="宋体"/>
          <w:bCs/>
          <w:color w:val="auto"/>
          <w:kern w:val="0"/>
          <w:sz w:val="21"/>
          <w:szCs w:val="21"/>
          <w:highlight w:val="none"/>
        </w:rPr>
        <w:t>。</w:t>
      </w:r>
    </w:p>
    <w:p w14:paraId="0E30B38E">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p>
    <w:p w14:paraId="6ED1EF5F">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3.监狱和戒毒企业的价格扣除</w:t>
      </w:r>
    </w:p>
    <w:p w14:paraId="5A5F803D">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3.1 本项目对监狱和戒毒企业，给予10%的价格扣除，用扣除后的价格参与评审。</w:t>
      </w:r>
    </w:p>
    <w:p w14:paraId="022948F8">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3.2 监狱企业需提供由省级以上监狱管理局、戒毒管理局（含新疆生产建设兵团）出具的属于监狱企业的证明文件。</w:t>
      </w:r>
    </w:p>
    <w:p w14:paraId="17F679D3">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3.3 监狱企业标准请参照《关于政府采购支持监狱企业发展有关问题的通知》（财库〔2014〕68号）。</w:t>
      </w:r>
    </w:p>
    <w:p w14:paraId="63B4F519">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4.残疾人福利性单位的价格扣除</w:t>
      </w:r>
    </w:p>
    <w:p w14:paraId="3FE7A815">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4.1 本项目对残疾人福利性单位，给予10%的价格扣除，用扣除后的价格参与评审。</w:t>
      </w:r>
    </w:p>
    <w:p w14:paraId="3F8C3534">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4.2 残疾人福利性单位需提供《残疾人福利性单位声明函》。</w:t>
      </w:r>
    </w:p>
    <w:p w14:paraId="23D4B23C">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4.3 残疾人福利性单位标准请参照《关于促进残疾人就业政府采购政策的通知》（财库〔2017〕141号）。</w:t>
      </w:r>
    </w:p>
    <w:p w14:paraId="325AB506">
      <w:pPr>
        <w:spacing w:line="360" w:lineRule="auto"/>
        <w:rPr>
          <w:rFonts w:hint="eastAsia" w:ascii="宋体" w:hAnsi="宋体" w:cs="宋体"/>
          <w:bCs/>
          <w:color w:val="auto"/>
          <w:kern w:val="0"/>
          <w:sz w:val="21"/>
          <w:szCs w:val="21"/>
          <w:highlight w:val="none"/>
        </w:rPr>
      </w:pPr>
      <w:r>
        <w:rPr>
          <w:rFonts w:hint="eastAsia" w:ascii="宋体" w:hAnsi="宋体" w:cs="宋体"/>
          <w:bCs/>
          <w:color w:val="auto"/>
          <w:kern w:val="0"/>
          <w:sz w:val="21"/>
          <w:szCs w:val="21"/>
          <w:highlight w:val="none"/>
        </w:rPr>
        <w:t>5. 监狱企业、残疾人福利性单位属于小型、微型企业的，不重复享受政策。</w:t>
      </w:r>
    </w:p>
    <w:p w14:paraId="0042E056">
      <w:pPr>
        <w:spacing w:line="360" w:lineRule="auto"/>
        <w:rPr>
          <w:rFonts w:hint="eastAsia" w:ascii="宋体" w:hAnsi="宋体" w:cs="宋体"/>
          <w:b/>
          <w:bCs/>
          <w:color w:val="auto"/>
          <w:kern w:val="0"/>
          <w:sz w:val="21"/>
          <w:szCs w:val="21"/>
          <w:highlight w:val="none"/>
        </w:rPr>
      </w:pPr>
      <w:r>
        <w:rPr>
          <w:rFonts w:hint="eastAsia" w:ascii="宋体" w:hAnsi="宋体" w:cs="宋体"/>
          <w:color w:val="auto"/>
          <w:kern w:val="0"/>
          <w:sz w:val="21"/>
          <w:szCs w:val="21"/>
          <w:highlight w:val="none"/>
        </w:rPr>
        <w:br w:type="page"/>
      </w:r>
    </w:p>
    <w:p w14:paraId="63E4702C">
      <w:pPr>
        <w:pStyle w:val="2"/>
        <w:spacing w:line="360" w:lineRule="auto"/>
        <w:jc w:val="center"/>
        <w:rPr>
          <w:rFonts w:hint="eastAsia" w:ascii="宋体" w:hAnsi="宋体" w:cs="宋体"/>
          <w:color w:val="auto"/>
          <w:highlight w:val="none"/>
        </w:rPr>
      </w:pPr>
      <w:bookmarkStart w:id="8" w:name="_Toc31739"/>
      <w:bookmarkStart w:id="9" w:name="_Hlk96071152"/>
      <w:bookmarkStart w:id="10" w:name="_Toc481057147"/>
      <w:r>
        <w:rPr>
          <w:rFonts w:hint="eastAsia" w:ascii="宋体" w:hAnsi="宋体" w:cs="宋体"/>
          <w:color w:val="auto"/>
          <w:highlight w:val="none"/>
        </w:rPr>
        <w:t xml:space="preserve"> </w:t>
      </w:r>
      <w:bookmarkStart w:id="11" w:name="_Toc25308"/>
      <w:r>
        <w:rPr>
          <w:rFonts w:hint="eastAsia" w:ascii="宋体" w:hAnsi="宋体" w:cs="宋体"/>
          <w:color w:val="auto"/>
          <w:highlight w:val="none"/>
        </w:rPr>
        <w:t>采购需求</w:t>
      </w:r>
      <w:bookmarkEnd w:id="8"/>
      <w:bookmarkEnd w:id="11"/>
    </w:p>
    <w:bookmarkEnd w:id="9"/>
    <w:bookmarkEnd w:id="10"/>
    <w:p w14:paraId="6472B321">
      <w:pPr>
        <w:adjustRightInd w:val="0"/>
        <w:snapToGrid w:val="0"/>
        <w:spacing w:line="360" w:lineRule="auto"/>
        <w:ind w:firstLine="413" w:firstLineChars="196"/>
        <w:outlineLvl w:val="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一、项目概况与招标范围</w:t>
      </w:r>
    </w:p>
    <w:p w14:paraId="2C695559">
      <w:pPr>
        <w:adjustRightInd w:val="0"/>
        <w:snapToGrid w:val="0"/>
        <w:spacing w:line="360" w:lineRule="auto"/>
        <w:ind w:firstLine="420" w:firstLineChars="200"/>
        <w:outlineLvl w:val="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1、地点及范围</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新港</w:t>
      </w:r>
      <w:r>
        <w:rPr>
          <w:rFonts w:hint="eastAsia" w:ascii="宋体" w:hAnsi="宋体" w:cs="宋体"/>
          <w:color w:val="auto"/>
          <w:sz w:val="21"/>
          <w:szCs w:val="21"/>
          <w:highlight w:val="none"/>
          <w:lang w:val="en-US" w:eastAsia="zh-CN"/>
        </w:rPr>
        <w:t>北区</w:t>
      </w:r>
    </w:p>
    <w:p w14:paraId="648B9AAD">
      <w:pPr>
        <w:adjustRightInd w:val="0"/>
        <w:snapToGrid w:val="0"/>
        <w:spacing w:line="360" w:lineRule="auto"/>
        <w:ind w:firstLine="420" w:firstLineChars="200"/>
        <w:outlineLvl w:val="0"/>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rPr>
        <w:t>2、规模：具体内容详见招标文件</w:t>
      </w:r>
      <w:r>
        <w:rPr>
          <w:rFonts w:hint="eastAsia" w:ascii="宋体" w:hAnsi="宋体" w:eastAsia="宋体" w:cs="宋体"/>
          <w:color w:val="auto"/>
          <w:sz w:val="21"/>
          <w:szCs w:val="21"/>
          <w:highlight w:val="none"/>
          <w:lang w:val="en-US" w:eastAsia="zh-CN"/>
        </w:rPr>
        <w:t>工作量</w:t>
      </w:r>
      <w:r>
        <w:rPr>
          <w:rFonts w:hint="eastAsia" w:ascii="宋体" w:hAnsi="宋体" w:eastAsia="宋体" w:cs="宋体"/>
          <w:color w:val="auto"/>
          <w:sz w:val="21"/>
          <w:szCs w:val="21"/>
          <w:highlight w:val="none"/>
        </w:rPr>
        <w:t>清单。（实际管养范围以清单为准）。</w:t>
      </w:r>
    </w:p>
    <w:p w14:paraId="38885FED">
      <w:pPr>
        <w:adjustRightInd w:val="0"/>
        <w:snapToGrid w:val="0"/>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3、服务期：</w:t>
      </w: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年，合同一年一签，经考核合格后可续签下一年度合同。</w:t>
      </w:r>
    </w:p>
    <w:p w14:paraId="411DC036">
      <w:pPr>
        <w:pStyle w:val="56"/>
        <w:spacing w:line="360" w:lineRule="auto"/>
        <w:ind w:left="0" w:leftChars="0" w:firstLine="422" w:firstLineChars="2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二、技术部分</w:t>
      </w:r>
    </w:p>
    <w:p w14:paraId="4C7F182C">
      <w:pPr>
        <w:pStyle w:val="56"/>
        <w:spacing w:line="360" w:lineRule="auto"/>
        <w:ind w:left="0" w:leftChars="0" w:firstLine="211" w:firstLineChars="100"/>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lang w:val="en-US" w:eastAsia="zh-CN"/>
        </w:rPr>
        <w:t>一</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、设施量明细表</w:t>
      </w:r>
    </w:p>
    <w:p w14:paraId="769EFD64">
      <w:pPr>
        <w:pStyle w:val="56"/>
        <w:spacing w:line="360" w:lineRule="auto"/>
        <w:ind w:left="0" w:leftChars="0" w:firstLine="211" w:firstLineChars="100"/>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rPr>
        <w:t>（1）日常养护单项限价（表中为单年预估量</w:t>
      </w:r>
      <w:r>
        <w:rPr>
          <w:rFonts w:hint="eastAsia" w:ascii="宋体" w:hAnsi="宋体" w:eastAsia="宋体" w:cs="宋体"/>
          <w:b/>
          <w:bCs w:val="0"/>
          <w:color w:val="auto"/>
          <w:sz w:val="21"/>
          <w:szCs w:val="21"/>
          <w:highlight w:val="none"/>
          <w:lang w:eastAsia="zh-CN"/>
        </w:rPr>
        <w:t>，</w:t>
      </w:r>
      <w:r>
        <w:rPr>
          <w:rFonts w:hint="eastAsia" w:ascii="宋体" w:hAnsi="宋体" w:eastAsia="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tbl>
      <w:tblPr>
        <w:tblStyle w:val="46"/>
        <w:tblW w:w="8538" w:type="dxa"/>
        <w:tblInd w:w="91" w:type="dxa"/>
        <w:tblLayout w:type="autofit"/>
        <w:tblCellMar>
          <w:top w:w="0" w:type="dxa"/>
          <w:left w:w="108" w:type="dxa"/>
          <w:bottom w:w="0" w:type="dxa"/>
          <w:right w:w="108" w:type="dxa"/>
        </w:tblCellMar>
      </w:tblPr>
      <w:tblGrid>
        <w:gridCol w:w="708"/>
        <w:gridCol w:w="2564"/>
        <w:gridCol w:w="1852"/>
        <w:gridCol w:w="1040"/>
        <w:gridCol w:w="2374"/>
      </w:tblGrid>
      <w:tr w14:paraId="46BBB491">
        <w:tblPrEx>
          <w:tblCellMar>
            <w:top w:w="0" w:type="dxa"/>
            <w:left w:w="108" w:type="dxa"/>
            <w:bottom w:w="0" w:type="dxa"/>
            <w:right w:w="108" w:type="dxa"/>
          </w:tblCellMar>
        </w:tblPrEx>
        <w:trPr>
          <w:trHeight w:val="603"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3B6351">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528652">
            <w:pPr>
              <w:widowControl/>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项目</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B5F182">
            <w:pPr>
              <w:widowControl/>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工作量（暂定）</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59D6A8">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1147D5">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单项限价（一年）</w:t>
            </w:r>
          </w:p>
        </w:tc>
      </w:tr>
      <w:tr w14:paraId="472E17CB">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406CE6">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1A5FA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基本绿化养护</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2DBCEE">
            <w:pPr>
              <w:keepNext w:val="0"/>
              <w:keepLines w:val="0"/>
              <w:widowControl/>
              <w:suppressLineNumbers w:val="0"/>
              <w:jc w:val="center"/>
              <w:textAlignment w:val="auto"/>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color w:val="auto"/>
                <w:sz w:val="21"/>
                <w:szCs w:val="21"/>
                <w:highlight w:val="none"/>
                <w:lang w:val="en-US" w:eastAsia="zh-CN" w:bidi="ar"/>
              </w:rPr>
              <w:t>744395.94</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3A50B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FC3BB0">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6.24元/</w:t>
            </w:r>
            <w:r>
              <w:rPr>
                <w:rFonts w:hint="eastAsia" w:ascii="宋体" w:hAnsi="宋体" w:eastAsia="宋体" w:cs="宋体"/>
                <w:color w:val="auto"/>
                <w:sz w:val="21"/>
                <w:szCs w:val="21"/>
                <w:highlight w:val="none"/>
                <w:lang w:bidi="ar"/>
              </w:rPr>
              <w:t>m²</w:t>
            </w:r>
          </w:p>
        </w:tc>
      </w:tr>
      <w:tr w14:paraId="6F2AADE0">
        <w:tblPrEx>
          <w:tblCellMar>
            <w:top w:w="0" w:type="dxa"/>
            <w:left w:w="108" w:type="dxa"/>
            <w:bottom w:w="0" w:type="dxa"/>
            <w:right w:w="108" w:type="dxa"/>
          </w:tblCellMar>
        </w:tblPrEx>
        <w:trPr>
          <w:trHeight w:val="495" w:hRule="atLeast"/>
        </w:trPr>
        <w:tc>
          <w:tcPr>
            <w:tcW w:w="70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8A6DD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256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6F8045">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行道树</w:t>
            </w:r>
          </w:p>
        </w:tc>
        <w:tc>
          <w:tcPr>
            <w:tcW w:w="18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55D3FC">
            <w:pPr>
              <w:keepNext w:val="0"/>
              <w:keepLines w:val="0"/>
              <w:widowControl/>
              <w:suppressLineNumbers w:val="0"/>
              <w:jc w:val="center"/>
              <w:textAlignment w:val="auto"/>
              <w:rPr>
                <w:rFonts w:hint="eastAsia"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color w:val="auto"/>
                <w:sz w:val="21"/>
                <w:szCs w:val="21"/>
                <w:highlight w:val="none"/>
                <w:lang w:val="en-US" w:eastAsia="zh-CN" w:bidi="ar"/>
              </w:rPr>
              <w:t>12903</w:t>
            </w:r>
          </w:p>
        </w:tc>
        <w:tc>
          <w:tcPr>
            <w:tcW w:w="104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E3775F">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株</w:t>
            </w:r>
          </w:p>
        </w:tc>
        <w:tc>
          <w:tcPr>
            <w:tcW w:w="23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669453">
            <w:pPr>
              <w:widowControl/>
              <w:jc w:val="center"/>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37.5</w:t>
            </w:r>
            <w:r>
              <w:rPr>
                <w:rFonts w:hint="eastAsia" w:ascii="宋体" w:hAnsi="宋体" w:eastAsia="宋体" w:cs="宋体"/>
                <w:color w:val="auto"/>
                <w:sz w:val="21"/>
                <w:szCs w:val="21"/>
                <w:highlight w:val="none"/>
              </w:rPr>
              <w:t>元/株</w:t>
            </w:r>
          </w:p>
        </w:tc>
      </w:tr>
    </w:tbl>
    <w:p w14:paraId="2E7713D3">
      <w:pPr>
        <w:adjustRightInd w:val="0"/>
        <w:snapToGrid w:val="0"/>
        <w:spacing w:line="360" w:lineRule="auto"/>
        <w:ind w:firstLine="420" w:firstLineChars="200"/>
        <w:rPr>
          <w:rFonts w:hint="eastAsia" w:ascii="宋体" w:hAnsi="宋体" w:eastAsia="宋体" w:cs="宋体"/>
          <w:b/>
          <w:bCs w:val="0"/>
          <w:color w:val="auto"/>
          <w:sz w:val="21"/>
          <w:szCs w:val="21"/>
          <w:highlight w:val="none"/>
        </w:rPr>
      </w:pPr>
      <w:r>
        <w:rPr>
          <w:rFonts w:hint="eastAsia" w:ascii="宋体" w:hAnsi="宋体" w:eastAsia="宋体" w:cs="宋体"/>
          <w:bCs/>
          <w:color w:val="auto"/>
          <w:sz w:val="21"/>
          <w:szCs w:val="21"/>
          <w:highlight w:val="none"/>
          <w:lang w:val="en-US" w:eastAsia="zh-CN"/>
        </w:rPr>
        <w:t>报价要求：以人民币为报价货币，所有投标报价均以人民币（元）为计算单位，所有投标报价均为含税价。具体报价内容及要求：①投标报价应当包括投标文件中列出的或隐含的为承担本项目所需的一切责任和义务所需的费用（应包含巡查、日常养护、设计、施工、安全文明环保施工措施、接水、接电、外部协调、检查、考核、车辆、应急服务、防汛抗旱、扫雪防冻、防台风等恶劣天气、验收、招标人下达的指令性任务等的所有含税费用，以及支付给员工的工资和国家强制缴纳的各种社会保障资金、</w:t>
      </w:r>
      <w:r>
        <w:rPr>
          <w:rFonts w:hint="eastAsia" w:ascii="宋体" w:hAnsi="宋体" w:eastAsia="宋体" w:cs="宋体"/>
          <w:b w:val="0"/>
          <w:bCs/>
          <w:color w:val="auto"/>
          <w:sz w:val="21"/>
          <w:szCs w:val="21"/>
          <w:highlight w:val="none"/>
          <w:lang w:val="en-US" w:eastAsia="zh-CN"/>
        </w:rPr>
        <w:t>保险费</w:t>
      </w:r>
      <w:r>
        <w:rPr>
          <w:rFonts w:hint="eastAsia" w:ascii="宋体" w:hAnsi="宋体" w:eastAsia="宋体" w:cs="宋体"/>
          <w:bCs/>
          <w:color w:val="auto"/>
          <w:sz w:val="21"/>
          <w:szCs w:val="21"/>
          <w:highlight w:val="none"/>
          <w:lang w:val="en-US" w:eastAsia="zh-CN"/>
        </w:rPr>
        <w:t>、相关福利待遇、加班费、体检费、服务所用设施设备折旧费、服务所用工具购置及维护费用、服务所用材料消耗费用、燃油费、管理费、利润、税费</w:t>
      </w:r>
      <w:r>
        <w:rPr>
          <w:rFonts w:hint="eastAsia" w:ascii="宋体" w:hAnsi="宋体" w:cs="宋体"/>
          <w:bCs/>
          <w:color w:val="auto"/>
          <w:sz w:val="21"/>
          <w:szCs w:val="21"/>
          <w:highlight w:val="none"/>
          <w:lang w:val="en-US" w:eastAsia="zh-CN"/>
        </w:rPr>
        <w:t>、</w:t>
      </w:r>
      <w:r>
        <w:rPr>
          <w:rFonts w:hint="eastAsia" w:ascii="宋体" w:hAnsi="宋体" w:cs="宋体"/>
          <w:b w:val="0"/>
          <w:bCs/>
          <w:color w:val="auto"/>
          <w:sz w:val="21"/>
          <w:szCs w:val="21"/>
          <w:highlight w:val="none"/>
          <w:lang w:val="en-US" w:eastAsia="zh-CN"/>
        </w:rPr>
        <w:t>招标代理服务费、设施</w:t>
      </w:r>
      <w:r>
        <w:rPr>
          <w:rFonts w:hint="eastAsia" w:ascii="宋体" w:hAnsi="宋体" w:eastAsia="宋体" w:cs="宋体"/>
          <w:b w:val="0"/>
          <w:bCs/>
          <w:color w:val="auto"/>
          <w:sz w:val="21"/>
          <w:szCs w:val="21"/>
          <w:highlight w:val="none"/>
          <w:lang w:val="en-US" w:eastAsia="zh-CN"/>
        </w:rPr>
        <w:t>第三者责任险、公众责任险等</w:t>
      </w:r>
      <w:r>
        <w:rPr>
          <w:rFonts w:hint="eastAsia" w:ascii="宋体" w:hAnsi="宋体" w:cs="宋体"/>
          <w:b w:val="0"/>
          <w:bCs/>
          <w:color w:val="auto"/>
          <w:sz w:val="21"/>
          <w:szCs w:val="21"/>
          <w:highlight w:val="none"/>
          <w:lang w:val="en-US" w:eastAsia="zh-CN"/>
        </w:rPr>
        <w:t>保险费用</w:t>
      </w:r>
      <w:r>
        <w:rPr>
          <w:rFonts w:hint="eastAsia" w:ascii="宋体" w:hAnsi="宋体" w:eastAsia="宋体" w:cs="宋体"/>
          <w:bCs/>
          <w:color w:val="auto"/>
          <w:sz w:val="21"/>
          <w:szCs w:val="21"/>
          <w:highlight w:val="none"/>
          <w:lang w:val="en-US" w:eastAsia="zh-CN"/>
        </w:rPr>
        <w:t>以及政策性费用调整），达到招标人养护要求的相关费用，以及供应商认为需要的其他费用等。除合同另有规定外，应视为供应商不再有报价以外的任何附加费用。未列和没有填写的项目费用，应视为已包括在相关项目的报价中。②供应商报价应充分考虑</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场地障碍条件和现场各种不利条件发生的可能性所带来的风险，应仔细阅读和理解招标文件中有关招标养护范围、设施维修养护内容、技术标准、</w:t>
      </w:r>
      <w:r>
        <w:rPr>
          <w:rFonts w:hint="eastAsia" w:ascii="宋体" w:hAnsi="宋体" w:cs="宋体"/>
          <w:bCs/>
          <w:color w:val="auto"/>
          <w:sz w:val="21"/>
          <w:szCs w:val="21"/>
          <w:highlight w:val="none"/>
          <w:lang w:val="en-US" w:eastAsia="zh-CN"/>
        </w:rPr>
        <w:t>项目</w:t>
      </w:r>
      <w:r>
        <w:rPr>
          <w:rFonts w:hint="eastAsia" w:ascii="宋体" w:hAnsi="宋体" w:eastAsia="宋体" w:cs="宋体"/>
          <w:bCs/>
          <w:color w:val="auto"/>
          <w:sz w:val="21"/>
          <w:szCs w:val="21"/>
          <w:highlight w:val="none"/>
          <w:lang w:val="en-US" w:eastAsia="zh-CN"/>
        </w:rPr>
        <w:t>要求、质量目标、安全文明施工目标、合同义务和费用条款，并充分考察项目现场情况和条件（包括地下情况、交通条件、水电条件、场地条件等），结合企业自身条件进行报价。必须考虑自然的和人为的破坏、被盗等原因和风险，综合考虑目前现状（由供应商自行到现场勘察）。</w:t>
      </w:r>
    </w:p>
    <w:p w14:paraId="3263BF74">
      <w:pPr>
        <w:adjustRightInd w:val="0"/>
        <w:snapToGrid w:val="0"/>
        <w:spacing w:line="360" w:lineRule="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（2）日常养护设施量（表中为单年预估量</w:t>
      </w:r>
      <w:r>
        <w:rPr>
          <w:rFonts w:hint="eastAsia" w:ascii="宋体" w:hAnsi="宋体" w:cs="宋体"/>
          <w:b/>
          <w:bCs w:val="0"/>
          <w:color w:val="auto"/>
          <w:sz w:val="21"/>
          <w:szCs w:val="21"/>
          <w:highlight w:val="none"/>
          <w:lang w:eastAsia="zh-CN"/>
        </w:rPr>
        <w:t>，</w:t>
      </w:r>
      <w:r>
        <w:rPr>
          <w:rFonts w:hint="eastAsia" w:ascii="宋体" w:hAnsi="宋体" w:cs="宋体"/>
          <w:b/>
          <w:bCs w:val="0"/>
          <w:color w:val="auto"/>
          <w:sz w:val="21"/>
          <w:szCs w:val="21"/>
          <w:highlight w:val="none"/>
          <w:lang w:val="en-US" w:eastAsia="zh-CN"/>
        </w:rPr>
        <w:t>最终结算以实际甲方审核为准</w:t>
      </w:r>
      <w:r>
        <w:rPr>
          <w:rFonts w:hint="eastAsia" w:ascii="宋体" w:hAnsi="宋体" w:eastAsia="宋体" w:cs="宋体"/>
          <w:b/>
          <w:bCs w:val="0"/>
          <w:color w:val="auto"/>
          <w:sz w:val="21"/>
          <w:szCs w:val="21"/>
          <w:highlight w:val="none"/>
        </w:rPr>
        <w:t>）</w:t>
      </w:r>
    </w:p>
    <w:p w14:paraId="6840837F">
      <w:pPr>
        <w:pStyle w:val="56"/>
        <w:jc w:val="center"/>
        <w:rPr>
          <w:rFonts w:hint="default" w:eastAsia="黑体"/>
          <w:color w:val="auto"/>
          <w:highlight w:val="none"/>
          <w:lang w:val="en-US" w:eastAsia="zh-CN"/>
        </w:rPr>
      </w:pPr>
      <w:r>
        <w:rPr>
          <w:rFonts w:hint="eastAsia" w:ascii="宋体" w:hAnsi="宋体" w:eastAsia="宋体" w:cs="宋体"/>
          <w:b/>
          <w:bCs/>
          <w:color w:val="auto"/>
          <w:sz w:val="21"/>
          <w:szCs w:val="21"/>
          <w:highlight w:val="none"/>
          <w:lang w:val="en-US" w:eastAsia="zh-CN"/>
        </w:rPr>
        <w:t>基本绿化养护及行道树养护</w:t>
      </w:r>
    </w:p>
    <w:tbl>
      <w:tblPr>
        <w:tblStyle w:val="46"/>
        <w:tblW w:w="853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328"/>
        <w:gridCol w:w="4048"/>
        <w:gridCol w:w="1867"/>
        <w:gridCol w:w="1294"/>
      </w:tblGrid>
      <w:tr w14:paraId="177A3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02" w:hRule="atLeast"/>
          <w:jc w:val="center"/>
        </w:trPr>
        <w:tc>
          <w:tcPr>
            <w:tcW w:w="1328"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78F4C0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序号</w:t>
            </w:r>
          </w:p>
        </w:tc>
        <w:tc>
          <w:tcPr>
            <w:tcW w:w="4048" w:type="dxa"/>
            <w:tcBorders>
              <w:top w:val="single" w:color="000000" w:sz="4" w:space="0"/>
              <w:left w:val="single" w:color="000000" w:sz="4" w:space="0"/>
              <w:bottom w:val="single" w:color="000000" w:sz="4" w:space="0"/>
              <w:right w:val="single" w:color="000000" w:sz="4" w:space="0"/>
            </w:tcBorders>
            <w:shd w:val="clear" w:color="auto" w:fill="D9E1F4"/>
            <w:vAlign w:val="center"/>
          </w:tcPr>
          <w:p w14:paraId="14428839">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道路</w:t>
            </w:r>
          </w:p>
        </w:tc>
        <w:tc>
          <w:tcPr>
            <w:tcW w:w="1867"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45A4BA04">
            <w:pPr>
              <w:keepNext w:val="0"/>
              <w:keepLines w:val="0"/>
              <w:widowControl/>
              <w:suppressLineNumbers w:val="0"/>
              <w:jc w:val="center"/>
              <w:textAlignment w:val="center"/>
              <w:rPr>
                <w:rFonts w:hint="eastAsia" w:ascii="宋体" w:hAnsi="宋体" w:eastAsia="宋体" w:cs="宋体"/>
                <w:b/>
                <w:bCs/>
                <w:i w:val="0"/>
                <w:iCs w:val="0"/>
                <w:color w:val="auto"/>
                <w:sz w:val="24"/>
                <w:szCs w:val="24"/>
                <w:highlight w:val="none"/>
                <w:u w:val="none"/>
              </w:rPr>
            </w:pPr>
            <w:r>
              <w:rPr>
                <w:rFonts w:hint="eastAsia" w:ascii="宋体" w:hAnsi="宋体" w:eastAsia="宋体" w:cs="宋体"/>
                <w:b/>
                <w:bCs/>
                <w:i w:val="0"/>
                <w:iCs w:val="0"/>
                <w:color w:val="auto"/>
                <w:kern w:val="0"/>
                <w:sz w:val="24"/>
                <w:szCs w:val="24"/>
                <w:highlight w:val="none"/>
                <w:u w:val="none"/>
                <w:lang w:val="en-US" w:eastAsia="zh-CN" w:bidi="ar"/>
              </w:rPr>
              <w:t>面积（㎡）</w:t>
            </w:r>
          </w:p>
        </w:tc>
        <w:tc>
          <w:tcPr>
            <w:tcW w:w="1294" w:type="dxa"/>
            <w:tcBorders>
              <w:top w:val="single" w:color="000000" w:sz="4" w:space="0"/>
              <w:left w:val="single" w:color="000000" w:sz="4" w:space="0"/>
              <w:bottom w:val="single" w:color="000000" w:sz="4" w:space="0"/>
              <w:right w:val="single" w:color="000000" w:sz="4" w:space="0"/>
            </w:tcBorders>
            <w:shd w:val="clear" w:color="auto" w:fill="D9E1F4"/>
            <w:noWrap/>
            <w:vAlign w:val="center"/>
          </w:tcPr>
          <w:p w14:paraId="3F6B7340">
            <w:pPr>
              <w:keepNext w:val="0"/>
              <w:keepLines w:val="0"/>
              <w:widowControl/>
              <w:suppressLineNumbers w:val="0"/>
              <w:jc w:val="center"/>
              <w:textAlignment w:val="center"/>
              <w:rPr>
                <w:rFonts w:hint="eastAsia" w:ascii="宋体" w:hAnsi="宋体" w:eastAsia="宋体" w:cs="宋体"/>
                <w:b/>
                <w:bCs/>
                <w:i w:val="0"/>
                <w:iCs w:val="0"/>
                <w:color w:val="auto"/>
                <w:sz w:val="22"/>
                <w:szCs w:val="22"/>
                <w:highlight w:val="none"/>
                <w:u w:val="none"/>
              </w:rPr>
            </w:pPr>
            <w:r>
              <w:rPr>
                <w:rFonts w:hint="eastAsia" w:ascii="宋体" w:hAnsi="宋体" w:eastAsia="宋体" w:cs="宋体"/>
                <w:b/>
                <w:bCs/>
                <w:i w:val="0"/>
                <w:iCs w:val="0"/>
                <w:color w:val="auto"/>
                <w:kern w:val="0"/>
                <w:sz w:val="22"/>
                <w:szCs w:val="22"/>
                <w:highlight w:val="none"/>
                <w:u w:val="none"/>
                <w:lang w:val="en-US" w:eastAsia="zh-CN" w:bidi="ar"/>
              </w:rPr>
              <w:t>行道树（株）</w:t>
            </w:r>
          </w:p>
        </w:tc>
      </w:tr>
      <w:tr w14:paraId="192700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7730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38E78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恒达路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B4981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15401.18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2E810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457</w:t>
            </w:r>
          </w:p>
        </w:tc>
      </w:tr>
      <w:tr w14:paraId="13B64CA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9CBC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8C59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恒飞路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E364D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40802.24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4D8E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1028</w:t>
            </w:r>
          </w:p>
        </w:tc>
      </w:tr>
      <w:tr w14:paraId="43E2261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56AC9A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C49D1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恒谊路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4CAE4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28319.83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AB8985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951</w:t>
            </w:r>
          </w:p>
        </w:tc>
      </w:tr>
      <w:tr w14:paraId="15AA0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1A6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F7F92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5B40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1665.94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E75E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85</w:t>
            </w:r>
          </w:p>
        </w:tc>
      </w:tr>
      <w:tr w14:paraId="32EEF2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C799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ADCA5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兴和路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327B2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8421.74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BF47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208</w:t>
            </w:r>
          </w:p>
        </w:tc>
      </w:tr>
      <w:tr w14:paraId="1095C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18DB6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DD64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兴科路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93D3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7615.56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FA380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334</w:t>
            </w:r>
          </w:p>
        </w:tc>
      </w:tr>
      <w:tr w14:paraId="0DF1089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7E27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E74F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兴体路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E663C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5176.71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F13C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94</w:t>
            </w:r>
          </w:p>
        </w:tc>
      </w:tr>
      <w:tr w14:paraId="3D03C31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33E1A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8</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F6B52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43C2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7000.03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EA11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344</w:t>
            </w:r>
          </w:p>
        </w:tc>
      </w:tr>
      <w:tr w14:paraId="3D330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6BF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9</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A5359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兴友路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6142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8136.5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50BC0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134</w:t>
            </w:r>
          </w:p>
        </w:tc>
      </w:tr>
      <w:tr w14:paraId="4F1C0F0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011AC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10</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61CB7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二桥二通道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B829F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92411.07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B0B4F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152</w:t>
            </w:r>
          </w:p>
        </w:tc>
      </w:tr>
      <w:tr w14:paraId="0203828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27271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11</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EB20F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兴茂路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F05CB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2177.87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0A1E3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35</w:t>
            </w:r>
          </w:p>
        </w:tc>
      </w:tr>
      <w:tr w14:paraId="0EB8C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75F9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12</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0B4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兴文路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8303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4475.70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8E4A9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134</w:t>
            </w:r>
          </w:p>
        </w:tc>
      </w:tr>
      <w:tr w14:paraId="7F572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6FF99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13</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3D9C8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兴武路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CDC00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13625.14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2BBE4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404</w:t>
            </w:r>
          </w:p>
        </w:tc>
      </w:tr>
      <w:tr w14:paraId="520B35A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9A563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14</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7AA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尧新大道（北）</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202A8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40103.62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B4A5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678</w:t>
            </w:r>
          </w:p>
        </w:tc>
      </w:tr>
      <w:tr w14:paraId="62FBD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ED4C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15</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AF901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恒通大道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7E8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35355.63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E04D3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596</w:t>
            </w:r>
          </w:p>
        </w:tc>
      </w:tr>
      <w:tr w14:paraId="38E156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42E69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16</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6CA7B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恒通大道支路（加油站）</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BE80D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111.15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99DA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39A12D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11BE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17</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9605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恒通大道支路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4ECA0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170.46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B29C0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1CF489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C144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18</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D3664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恒通大道支路2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FA2EC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421.35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85AB8E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0BBE43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63D8F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736F4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恒通大道支路3（城管局）</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49523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 xml:space="preserve">1726.35 </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41AD2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6859D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27C72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20</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46D79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恒泰路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64B85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7981.03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17568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302</w:t>
            </w:r>
          </w:p>
        </w:tc>
      </w:tr>
      <w:tr w14:paraId="313504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C15B7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21</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3FFE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纵八路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8A3A90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3457.95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2B1B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168</w:t>
            </w:r>
          </w:p>
        </w:tc>
      </w:tr>
      <w:tr w14:paraId="348DD2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516AD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22</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322B6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安福路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E91D38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631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7E8CA0C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6D7E97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23</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933EA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E27B64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2873.55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E429F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402</w:t>
            </w:r>
          </w:p>
        </w:tc>
      </w:tr>
      <w:tr w14:paraId="27BF6E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03A98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24</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55B42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4CA2C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490.04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F42BE3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85</w:t>
            </w:r>
          </w:p>
        </w:tc>
      </w:tr>
      <w:tr w14:paraId="6DBACF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203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B0E7F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安顺路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72C204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951.77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74795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w:t>
            </w:r>
          </w:p>
        </w:tc>
      </w:tr>
      <w:tr w14:paraId="6F73F60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75EEA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26</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40904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安永路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8D22F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1951.65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65FCD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182</w:t>
            </w:r>
          </w:p>
        </w:tc>
      </w:tr>
      <w:tr w14:paraId="5BABBD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6D44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27</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5034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惠澳路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B232A0">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491.31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C6F92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48</w:t>
            </w:r>
          </w:p>
        </w:tc>
      </w:tr>
      <w:tr w14:paraId="6C3B7F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5027F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28</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86D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惠港路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5871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1247.42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26F3B6">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18230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D3D825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29</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D685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惠久路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E9632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1547.47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464A47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74</w:t>
            </w:r>
          </w:p>
        </w:tc>
      </w:tr>
      <w:tr w14:paraId="7B1A41E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D59FA5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30</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E3FAD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惠美路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65D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1955.29</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9A39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101</w:t>
            </w:r>
          </w:p>
        </w:tc>
      </w:tr>
      <w:tr w14:paraId="55B99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BAC3C3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31</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BC8A8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惠欧路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A3526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1455.48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CA028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170</w:t>
            </w:r>
          </w:p>
        </w:tc>
      </w:tr>
      <w:tr w14:paraId="049B3C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9A06C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32</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8346E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惠实路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A390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2211.28</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9F7C7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338</w:t>
            </w:r>
          </w:p>
        </w:tc>
      </w:tr>
      <w:tr w14:paraId="4CB9A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BFE120">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33</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ABA65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惠实西路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310DA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1279.71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2C55EA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52CECB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6A0F2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34</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107ED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38004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1292.72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7DDAB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r>
      <w:tr w14:paraId="2ED996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93AA9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35</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04B4B2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惠新路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4CAF8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600.74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F5610E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5531CD5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2BA3B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36</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69FB7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惠亚路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1C73C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2286.61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F55B1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374BF2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02C51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37</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7CD4E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惠中路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CC4D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1700.3</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70898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243</w:t>
            </w:r>
          </w:p>
        </w:tc>
      </w:tr>
      <w:tr w14:paraId="5CBD301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7A2C6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38</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749E6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开发区管委会</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DF121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30045.75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016C95E">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73DEE4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A8B59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39</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2330C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乌龙山路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F5F039">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18708.6</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0FC8E4">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54</w:t>
            </w:r>
          </w:p>
        </w:tc>
      </w:tr>
      <w:tr w14:paraId="4B3EBF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086E99D">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40</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59678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新港大道（部分）</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A18BA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179982.07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960FA8">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3427</w:t>
            </w:r>
          </w:p>
        </w:tc>
      </w:tr>
      <w:tr w14:paraId="6AF2C9B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5BDDC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41</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49CB2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金融楼周边</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B5DB72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4950.51</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AE146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30</w:t>
            </w:r>
          </w:p>
        </w:tc>
      </w:tr>
      <w:tr w14:paraId="470E69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6C13A">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42</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6745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小漓江路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AF0F3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42860.57</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25A2CDF">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810</w:t>
            </w:r>
          </w:p>
        </w:tc>
      </w:tr>
      <w:tr w14:paraId="73D0A8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0B4ED21">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43</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B5A2F4">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兴漓路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54C1933">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43529.44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AD6FF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512</w:t>
            </w:r>
          </w:p>
        </w:tc>
      </w:tr>
      <w:tr w14:paraId="548FC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D8A452">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44</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8EF9A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杨家边路</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6768DA">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10244.64</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544C92">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260</w:t>
            </w:r>
          </w:p>
        </w:tc>
      </w:tr>
      <w:tr w14:paraId="3B72A0E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86F17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45</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931E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杨家边路东延</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828DEC">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3124.05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3C6B5">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1A51BF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A9219E">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46</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B027D7">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萧伟石刻墓</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1F391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6375</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A913E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r>
      <w:tr w14:paraId="7C704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CF01CF">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47</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CABE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尧新大道护坡养护</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37C1B409">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19972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1E633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r>
      <w:tr w14:paraId="1FFC5A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470EBE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48</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98A8CC">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王家滩</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778A73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25219.02</w:t>
            </w:r>
          </w:p>
        </w:tc>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7F1D65">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0</w:t>
            </w:r>
          </w:p>
        </w:tc>
      </w:tr>
      <w:tr w14:paraId="39F1DAE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0"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A00466">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49</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75B1AB">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铁路货场以北支路</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33FABD">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4950</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5E2767">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r w14:paraId="18E77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96" w:hRule="atLeast"/>
          <w:jc w:val="center"/>
        </w:trPr>
        <w:tc>
          <w:tcPr>
            <w:tcW w:w="0" w:type="auto"/>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452733">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50</w:t>
            </w:r>
          </w:p>
        </w:tc>
        <w:tc>
          <w:tcPr>
            <w:tcW w:w="404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61288">
            <w:pPr>
              <w:keepNext w:val="0"/>
              <w:keepLines w:val="0"/>
              <w:widowControl/>
              <w:suppressLineNumbers w:val="0"/>
              <w:jc w:val="center"/>
              <w:textAlignment w:val="center"/>
              <w:rPr>
                <w:rFonts w:hint="eastAsia" w:ascii="宋体" w:hAnsi="宋体" w:eastAsia="宋体" w:cs="宋体"/>
                <w:i w:val="0"/>
                <w:iCs w:val="0"/>
                <w:color w:val="auto"/>
                <w:sz w:val="24"/>
                <w:szCs w:val="24"/>
                <w:highlight w:val="none"/>
                <w:u w:val="none"/>
              </w:rPr>
            </w:pPr>
            <w:r>
              <w:rPr>
                <w:rFonts w:hint="eastAsia" w:ascii="宋体" w:hAnsi="宋体" w:eastAsia="宋体" w:cs="宋体"/>
                <w:i w:val="0"/>
                <w:iCs w:val="0"/>
                <w:color w:val="auto"/>
                <w:kern w:val="0"/>
                <w:sz w:val="24"/>
                <w:szCs w:val="24"/>
                <w:highlight w:val="none"/>
                <w:u w:val="none"/>
                <w:lang w:val="en-US" w:eastAsia="zh-CN" w:bidi="ar"/>
              </w:rPr>
              <w:t>仙新路地面辅道路外侧绿地</w:t>
            </w:r>
            <w:r>
              <w:rPr>
                <w:rFonts w:hint="eastAsia" w:ascii="宋体" w:hAnsi="宋体" w:eastAsia="宋体" w:cs="宋体"/>
                <w:i w:val="0"/>
                <w:iCs w:val="0"/>
                <w:color w:val="auto"/>
                <w:kern w:val="0"/>
                <w:sz w:val="24"/>
                <w:szCs w:val="24"/>
                <w:highlight w:val="none"/>
                <w:u w:val="none"/>
                <w:lang w:val="en-US" w:eastAsia="zh-CN" w:bidi="ar"/>
              </w:rPr>
              <w:br w:type="textWrapping"/>
            </w:r>
            <w:r>
              <w:rPr>
                <w:rFonts w:hint="eastAsia" w:ascii="宋体" w:hAnsi="宋体" w:eastAsia="宋体" w:cs="宋体"/>
                <w:i w:val="0"/>
                <w:iCs w:val="0"/>
                <w:color w:val="auto"/>
                <w:kern w:val="0"/>
                <w:sz w:val="24"/>
                <w:szCs w:val="24"/>
                <w:highlight w:val="none"/>
                <w:u w:val="none"/>
                <w:lang w:val="en-US" w:eastAsia="zh-CN" w:bidi="ar"/>
              </w:rPr>
              <w:t>（新港大道辅道至恒通大道）</w:t>
            </w:r>
          </w:p>
        </w:tc>
        <w:tc>
          <w:tcPr>
            <w:tcW w:w="186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9969E1">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7111.2</w:t>
            </w:r>
          </w:p>
        </w:tc>
        <w:tc>
          <w:tcPr>
            <w:tcW w:w="12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AF1FEB">
            <w:pPr>
              <w:keepNext w:val="0"/>
              <w:keepLines w:val="0"/>
              <w:widowControl/>
              <w:suppressLineNumbers w:val="0"/>
              <w:jc w:val="center"/>
              <w:textAlignment w:val="center"/>
              <w:rPr>
                <w:rFonts w:hint="eastAsia" w:ascii="宋体" w:hAnsi="宋体" w:eastAsia="宋体" w:cs="宋体"/>
                <w:i w:val="0"/>
                <w:iCs w:val="0"/>
                <w:color w:val="auto"/>
                <w:sz w:val="22"/>
                <w:szCs w:val="22"/>
                <w:highlight w:val="none"/>
                <w:u w:val="none"/>
              </w:rPr>
            </w:pPr>
            <w:r>
              <w:rPr>
                <w:rFonts w:hint="eastAsia" w:ascii="宋体" w:hAnsi="宋体" w:eastAsia="宋体" w:cs="宋体"/>
                <w:i w:val="0"/>
                <w:iCs w:val="0"/>
                <w:color w:val="auto"/>
                <w:kern w:val="0"/>
                <w:sz w:val="22"/>
                <w:szCs w:val="22"/>
                <w:highlight w:val="none"/>
                <w:u w:val="none"/>
                <w:lang w:val="en-US" w:eastAsia="zh-CN" w:bidi="ar"/>
              </w:rPr>
              <w:t>0</w:t>
            </w:r>
          </w:p>
        </w:tc>
      </w:tr>
    </w:tbl>
    <w:p w14:paraId="2FF4A9C9">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lang w:val="en-US" w:eastAsia="zh-CN"/>
        </w:rPr>
        <w:t>二</w:t>
      </w:r>
      <w:r>
        <w:rPr>
          <w:rFonts w:hint="eastAsia" w:ascii="宋体" w:hAnsi="宋体" w:eastAsia="宋体" w:cs="宋体"/>
          <w:b/>
          <w:color w:val="auto"/>
          <w:sz w:val="21"/>
          <w:szCs w:val="21"/>
          <w:highlight w:val="none"/>
          <w:lang w:eastAsia="zh-CN"/>
        </w:rPr>
        <w:t>）</w:t>
      </w:r>
      <w:r>
        <w:rPr>
          <w:rFonts w:hint="eastAsia" w:ascii="宋体" w:hAnsi="宋体" w:eastAsia="宋体" w:cs="宋体"/>
          <w:b/>
          <w:color w:val="auto"/>
          <w:sz w:val="21"/>
          <w:szCs w:val="21"/>
          <w:highlight w:val="none"/>
        </w:rPr>
        <w:t>相关服务要求：</w:t>
      </w:r>
    </w:p>
    <w:p w14:paraId="768AADE7">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养护内容范围具体如下：</w:t>
      </w:r>
    </w:p>
    <w:p w14:paraId="724125D8">
      <w:pPr>
        <w:adjustRightInd w:val="0"/>
        <w:snapToGrid w:val="0"/>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1、严格按照南京市绿化养护管理日常考核标准及要求，完成本项目内绿化养护、秩序维护及卫生保洁等养护管理作业。建立与完善工作台账，如养护方</w:t>
      </w:r>
      <w:r>
        <w:rPr>
          <w:rFonts w:hint="eastAsia" w:ascii="宋体" w:hAnsi="宋体" w:cs="宋体"/>
          <w:color w:val="auto"/>
          <w:sz w:val="21"/>
          <w:szCs w:val="21"/>
          <w:highlight w:val="none"/>
          <w:lang w:eastAsia="zh-CN"/>
        </w:rPr>
        <w:t>台账</w:t>
      </w:r>
      <w:r>
        <w:rPr>
          <w:rFonts w:hint="eastAsia" w:ascii="宋体" w:hAnsi="宋体" w:eastAsia="宋体" w:cs="宋体"/>
          <w:color w:val="auto"/>
          <w:sz w:val="21"/>
          <w:szCs w:val="21"/>
          <w:highlight w:val="none"/>
        </w:rPr>
        <w:t>资料明显缺失或不满足市、区相关部门的检查要求，未在业主方规定时间内整改完成，每次扣</w:t>
      </w:r>
      <w:r>
        <w:rPr>
          <w:rFonts w:hint="eastAsia" w:ascii="宋体" w:hAnsi="宋体" w:cs="宋体"/>
          <w:color w:val="auto"/>
          <w:sz w:val="21"/>
          <w:szCs w:val="21"/>
          <w:highlight w:val="none"/>
          <w:lang w:val="en-US" w:eastAsia="zh-CN"/>
        </w:rPr>
        <w:t>0.1</w:t>
      </w:r>
      <w:r>
        <w:rPr>
          <w:rFonts w:hint="eastAsia" w:ascii="宋体" w:hAnsi="宋体" w:eastAsia="宋体" w:cs="宋体"/>
          <w:color w:val="auto"/>
          <w:sz w:val="21"/>
          <w:szCs w:val="21"/>
          <w:highlight w:val="none"/>
        </w:rPr>
        <w:t>分。</w:t>
      </w:r>
    </w:p>
    <w:p w14:paraId="50A29BF2">
      <w:pPr>
        <w:adjustRightInd w:val="0"/>
        <w:snapToGrid w:val="0"/>
        <w:spacing w:line="360" w:lineRule="auto"/>
        <w:ind w:firstLine="420" w:firstLineChars="200"/>
        <w:outlineLvl w:val="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2、对</w:t>
      </w:r>
      <w:r>
        <w:rPr>
          <w:rFonts w:hint="eastAsia" w:ascii="宋体" w:hAnsi="宋体" w:cs="宋体"/>
          <w:color w:val="auto"/>
          <w:sz w:val="21"/>
          <w:szCs w:val="21"/>
          <w:highlight w:val="none"/>
          <w:lang w:eastAsia="zh-CN"/>
        </w:rPr>
        <w:t>工作量表中</w:t>
      </w:r>
      <w:r>
        <w:rPr>
          <w:rFonts w:hint="eastAsia" w:ascii="宋体" w:hAnsi="宋体" w:eastAsia="宋体" w:cs="宋体"/>
          <w:color w:val="auto"/>
          <w:sz w:val="21"/>
          <w:szCs w:val="21"/>
          <w:highlight w:val="none"/>
        </w:rPr>
        <w:t>所列明的设施每天巡查不少于3次（早、中、晚），巡查车辆安装GPS,并纳入车</w:t>
      </w:r>
      <w:r>
        <w:rPr>
          <w:rFonts w:hint="eastAsia" w:ascii="宋体" w:hAnsi="宋体" w:eastAsia="宋体" w:cs="宋体"/>
          <w:color w:val="auto"/>
          <w:sz w:val="21"/>
          <w:szCs w:val="21"/>
          <w:highlight w:val="none"/>
          <w:lang w:eastAsia="zh-CN"/>
        </w:rPr>
        <w:t>辆</w:t>
      </w:r>
      <w:r>
        <w:rPr>
          <w:rFonts w:hint="eastAsia" w:ascii="宋体" w:hAnsi="宋体" w:eastAsia="宋体" w:cs="宋体"/>
          <w:color w:val="auto"/>
          <w:sz w:val="21"/>
          <w:szCs w:val="21"/>
          <w:highlight w:val="none"/>
        </w:rPr>
        <w:t>管理系统。并每周提供巡查记录。每月按照业主要求提供：月度完成情况及下月计划（针对本项目细化可行的月度养护计划，其中包含拟投入的一线人员、机械设备及材料等明细；月度完成情况汇报，建议以PDCA管理模式进行编写），如不按要求提供，未在业主方规定时间内编制完成，每次扣</w:t>
      </w:r>
      <w:r>
        <w:rPr>
          <w:rFonts w:hint="eastAsia" w:ascii="宋体" w:hAnsi="宋体" w:cs="宋体"/>
          <w:color w:val="auto"/>
          <w:sz w:val="21"/>
          <w:szCs w:val="21"/>
          <w:highlight w:val="none"/>
          <w:lang w:val="en-US" w:eastAsia="zh-CN"/>
        </w:rPr>
        <w:t>0.1</w:t>
      </w:r>
      <w:r>
        <w:rPr>
          <w:rFonts w:hint="eastAsia" w:ascii="宋体" w:hAnsi="宋体" w:eastAsia="宋体" w:cs="宋体"/>
          <w:color w:val="auto"/>
          <w:sz w:val="21"/>
          <w:szCs w:val="21"/>
          <w:highlight w:val="none"/>
        </w:rPr>
        <w:t>分。</w:t>
      </w:r>
    </w:p>
    <w:p w14:paraId="09D56B00">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对破坏绿化设施、影响绿化景观、环境卫生等行为予以制止并及时上报，并对损毁设施及时整改到位；若因监管不力发生人为大面积毁绿或设施破坏，未在业主规定时限内恢复到位，依据南京市绿地占用的相关标准从养护经费中扣除相应费用；对于业主巡查下发的问题整改菜单，需在业主规定时限内及时整改，如在业主规定时限内未完成整改任务，业主方有权利选择第三方进行整改，涉及的整改费用按照</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指定的审计单位审计后的工程结算价在养护经费中予以扣除，同时保留对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不响应行为的处罚权利，整改后的设施量仍由养护方负责养护管理。</w:t>
      </w:r>
    </w:p>
    <w:p w14:paraId="3CD4CDE9">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3、完成项目范围内突发性和重大性保障工作任务，如文明城市检查、重大活动环境保障等任务；制定防汛排涝、</w:t>
      </w:r>
      <w:r>
        <w:rPr>
          <w:rFonts w:hint="eastAsia" w:ascii="宋体" w:hAnsi="宋体" w:eastAsia="宋体" w:cs="宋体"/>
          <w:color w:val="auto"/>
          <w:sz w:val="21"/>
          <w:szCs w:val="21"/>
          <w:highlight w:val="none"/>
          <w:lang w:val="zh-CN"/>
        </w:rPr>
        <w:t>抗旱、</w:t>
      </w:r>
      <w:r>
        <w:rPr>
          <w:rFonts w:hint="eastAsia" w:ascii="宋体" w:hAnsi="宋体" w:eastAsia="宋体" w:cs="宋体"/>
          <w:color w:val="auto"/>
          <w:sz w:val="21"/>
          <w:szCs w:val="21"/>
          <w:highlight w:val="none"/>
        </w:rPr>
        <w:t>防台风、扫雪、防冻应急预案（成立防汛排涝、</w:t>
      </w:r>
      <w:r>
        <w:rPr>
          <w:rFonts w:hint="eastAsia" w:ascii="宋体" w:hAnsi="宋体" w:eastAsia="宋体" w:cs="宋体"/>
          <w:color w:val="auto"/>
          <w:sz w:val="21"/>
          <w:szCs w:val="21"/>
          <w:highlight w:val="none"/>
          <w:lang w:val="zh-CN"/>
        </w:rPr>
        <w:t>抗旱、</w:t>
      </w:r>
      <w:r>
        <w:rPr>
          <w:rFonts w:hint="eastAsia" w:ascii="宋体" w:hAnsi="宋体" w:eastAsia="宋体" w:cs="宋体"/>
          <w:color w:val="auto"/>
          <w:sz w:val="21"/>
          <w:szCs w:val="21"/>
          <w:highlight w:val="none"/>
        </w:rPr>
        <w:t>防台风、扫雪、防冻领导小组人员分工及细化的消险保障专项方案），防汛排涝、扫雪及防冻期间及执行重大保障任务期间，养护施工单位须按照业主要求提供24小时保障，重点指令性任务未完成的，每次扣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2分；因防汛排涝、创建迎查工作不力造成社会负面影响的，每次扣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2分；若连续发生三次，业主将有权与其终止合同。如由于养护方保障工作存在缺陷造成业主或第三方损失，一切费用由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承担，同时业主方保留对养护方处罚的权利。</w:t>
      </w:r>
    </w:p>
    <w:p w14:paraId="05323384">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完成项目范围内的抢险、消险、救灾工作。在消险过程中严格确保安全作业，并服从业主方的统一指挥和调动，参加全区抢险救灾工作。对突发性事件的应急预案做到定期和不定期演练，以便应对突发性事件。未及时发现安全隐患，因养护不到位造成安全生产责任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2分；突发事件现场处置不当，发生衍生事故的，每次扣</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4分；发生重大安全生产责任事故，每次扣3</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分；以上发生的一切费用由养护方自行承担。</w:t>
      </w:r>
    </w:p>
    <w:p w14:paraId="7BA53A44">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5、完成项目范围内各类信访、投诉、媒体曝光、举报，需在业主规定时限内及时整改并回复取得投诉方满意，如在业主规定时限内未完成整改任务，业主方有权利选择第三方进行整改，涉及的整改费用按照</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指定的审计单位审计后的工程结算价在养护经费中予以扣除，同时保留对</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不响应行为的处罚的权利（如因养护方消极响应造成恶劣影响的情况，业主方有权利无条件终止养护合同并对养护方进行处罚），由此造成的所有损失由养护方自行承担。</w:t>
      </w:r>
    </w:p>
    <w:p w14:paraId="7FA7B0AA">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项目负责人、技术负责人、一线养护人员须按投标文件每周不少于6天，每天不少于8个小时在岗从事养护工作，每人每少一天扣0.1分，若项目负责人、技术负责人、当月出勤少于21天，则业主方有权中止合同，由此造成的所有损失由养护方自行承担。</w:t>
      </w:r>
    </w:p>
    <w:p w14:paraId="4BC5D674">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color w:val="auto"/>
          <w:highlight w:val="none"/>
        </w:rPr>
        <w:t>本项目的项目经理不得随意变更，如确需变更，应经采购人书面同意，并同时向采购人缴纳违约金2万元/人次。其他用工人员如需变更，需经采购人许可；每年人员变动不得超过总人数的10%。</w:t>
      </w:r>
    </w:p>
    <w:p w14:paraId="5B56716F">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7、养护方须按投标文件要求做好设备到位保障，如因设备不到位造成的养护缺陷产生的整改费用由养护方全部承担，业主方将从养护经费中予以扣除。</w:t>
      </w:r>
    </w:p>
    <w:p w14:paraId="0D8ECED9">
      <w:pPr>
        <w:adjustRightInd w:val="0"/>
        <w:snapToGrid w:val="0"/>
        <w:spacing w:line="360" w:lineRule="auto"/>
        <w:ind w:firstLine="411" w:firstLineChars="196"/>
        <w:rPr>
          <w:rFonts w:hint="eastAsia" w:ascii="宋体" w:hAnsi="宋体" w:eastAsia="宋体" w:cs="宋体"/>
          <w:color w:val="auto"/>
          <w:sz w:val="21"/>
          <w:szCs w:val="21"/>
          <w:highlight w:val="none"/>
          <w:lang w:eastAsia="zh-CN"/>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、配备不少于</w:t>
      </w:r>
      <w:r>
        <w:rPr>
          <w:rFonts w:hint="eastAsia" w:ascii="宋体" w:hAnsi="宋体" w:eastAsia="宋体" w:cs="宋体"/>
          <w:color w:val="auto"/>
          <w:sz w:val="21"/>
          <w:szCs w:val="21"/>
          <w:highlight w:val="none"/>
          <w:lang w:val="en-US"/>
        </w:rPr>
        <w:t>3</w:t>
      </w:r>
      <w:r>
        <w:rPr>
          <w:rFonts w:hint="eastAsia" w:ascii="宋体" w:hAnsi="宋体" w:eastAsia="宋体" w:cs="宋体"/>
          <w:color w:val="auto"/>
          <w:sz w:val="21"/>
          <w:szCs w:val="21"/>
          <w:highlight w:val="none"/>
        </w:rPr>
        <w:t>名以上中、高级绿化工持证人员作为一线养护班组长进行人员管理；配备不少于1名中级或高级花卉工持证人员</w:t>
      </w:r>
      <w:r>
        <w:rPr>
          <w:rFonts w:hint="eastAsia" w:ascii="宋体" w:hAnsi="宋体" w:cs="宋体"/>
          <w:color w:val="auto"/>
          <w:sz w:val="21"/>
          <w:szCs w:val="21"/>
          <w:highlight w:val="none"/>
          <w:lang w:eastAsia="zh-CN"/>
        </w:rPr>
        <w:t>。</w:t>
      </w:r>
    </w:p>
    <w:p w14:paraId="3ECE7E82">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养护人员不少于60人</w:t>
      </w:r>
      <w:r>
        <w:rPr>
          <w:rFonts w:hint="eastAsia" w:ascii="宋体" w:hAnsi="宋体" w:eastAsia="宋体" w:cs="宋体"/>
          <w:color w:val="auto"/>
          <w:sz w:val="21"/>
          <w:szCs w:val="21"/>
          <w:highlight w:val="none"/>
        </w:rPr>
        <w:t>。年龄结构合理，男性一线职工配备60岁以下（如专业技能及身体条件较好，可适当放宽至65周岁以下）、女性一线职工配备55岁以下（如专业技能及身体健康，可适当放宽至60周岁以下）。</w:t>
      </w:r>
    </w:p>
    <w:p w14:paraId="731866E2">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购买相关保险。</w:t>
      </w:r>
    </w:p>
    <w:p w14:paraId="2445AAD3">
      <w:pPr>
        <w:adjustRightInd w:val="0"/>
        <w:snapToGrid w:val="0"/>
        <w:spacing w:line="360" w:lineRule="auto"/>
        <w:ind w:firstLine="411" w:firstLineChars="196"/>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、合同期内，确保苗木缺失率每年均低于1%。</w:t>
      </w:r>
    </w:p>
    <w:p w14:paraId="20C98559">
      <w:pPr>
        <w:adjustRightInd w:val="0"/>
        <w:snapToGrid w:val="0"/>
        <w:spacing w:line="360" w:lineRule="auto"/>
        <w:ind w:firstLine="411" w:firstLineChars="196"/>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每年必须完成4次业务培</w:t>
      </w:r>
      <w:r>
        <w:rPr>
          <w:rFonts w:hint="eastAsia" w:ascii="宋体" w:hAnsi="宋体" w:eastAsia="宋体" w:cs="宋体"/>
          <w:color w:val="auto"/>
          <w:sz w:val="21"/>
          <w:szCs w:val="21"/>
          <w:highlight w:val="none"/>
          <w:lang w:eastAsia="zh-CN"/>
        </w:rPr>
        <w:t>训。</w:t>
      </w:r>
    </w:p>
    <w:p w14:paraId="13ADF024">
      <w:pPr>
        <w:adjustRightInd w:val="0"/>
        <w:snapToGrid w:val="0"/>
        <w:spacing w:line="360" w:lineRule="auto"/>
        <w:ind w:firstLine="411" w:firstLineChars="196"/>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中标片区需配备一定消防器材，积极配合建成区的消防演练</w:t>
      </w:r>
      <w:r>
        <w:rPr>
          <w:rFonts w:hint="eastAsia" w:ascii="宋体" w:hAnsi="宋体" w:eastAsia="宋体" w:cs="宋体"/>
          <w:color w:val="auto"/>
          <w:sz w:val="21"/>
          <w:szCs w:val="21"/>
          <w:highlight w:val="none"/>
          <w:lang w:eastAsia="zh-CN"/>
        </w:rPr>
        <w:t>。</w:t>
      </w:r>
    </w:p>
    <w:p w14:paraId="0B7DF1CD">
      <w:pPr>
        <w:adjustRightInd w:val="0"/>
        <w:snapToGrid w:val="0"/>
        <w:spacing w:line="360" w:lineRule="auto"/>
        <w:ind w:firstLine="413" w:firstLineChars="196"/>
        <w:rPr>
          <w:rFonts w:hint="eastAsia" w:ascii="宋体" w:hAnsi="宋体" w:cs="宋体"/>
          <w:b/>
          <w:bCs w:val="0"/>
          <w:color w:val="auto"/>
          <w:sz w:val="21"/>
          <w:szCs w:val="21"/>
          <w:highlight w:val="none"/>
          <w:lang w:val="en-US" w:eastAsia="zh-CN"/>
        </w:rPr>
      </w:pPr>
      <w:r>
        <w:rPr>
          <w:rFonts w:hint="eastAsia" w:ascii="宋体" w:hAnsi="宋体" w:cs="宋体"/>
          <w:b/>
          <w:bCs w:val="0"/>
          <w:color w:val="auto"/>
          <w:sz w:val="21"/>
          <w:szCs w:val="21"/>
          <w:highlight w:val="none"/>
          <w:lang w:val="en-US" w:eastAsia="zh-CN"/>
        </w:rPr>
        <w:t>14、中标供应商每年完成</w:t>
      </w:r>
      <w:r>
        <w:rPr>
          <w:rFonts w:hint="eastAsia" w:ascii="宋体" w:hAnsi="宋体" w:eastAsia="宋体" w:cs="宋体"/>
          <w:b/>
          <w:bCs w:val="0"/>
          <w:i w:val="0"/>
          <w:iCs w:val="0"/>
          <w:color w:val="auto"/>
          <w:kern w:val="0"/>
          <w:sz w:val="21"/>
          <w:szCs w:val="21"/>
          <w:highlight w:val="none"/>
          <w:u w:val="none"/>
          <w:lang w:val="en-US" w:eastAsia="zh-CN" w:bidi="ar"/>
        </w:rPr>
        <w:t>草花更换</w:t>
      </w:r>
      <w:r>
        <w:rPr>
          <w:rFonts w:hint="eastAsia" w:ascii="宋体" w:hAnsi="宋体" w:cs="宋体"/>
          <w:b/>
          <w:bCs w:val="0"/>
          <w:i w:val="0"/>
          <w:iCs w:val="0"/>
          <w:color w:val="auto"/>
          <w:kern w:val="0"/>
          <w:sz w:val="21"/>
          <w:szCs w:val="21"/>
          <w:highlight w:val="none"/>
          <w:u w:val="none"/>
          <w:lang w:val="en-US" w:eastAsia="zh-CN" w:bidi="ar"/>
        </w:rPr>
        <w:t>不少于</w:t>
      </w:r>
      <w:r>
        <w:rPr>
          <w:rFonts w:hint="eastAsia" w:ascii="宋体" w:hAnsi="宋体" w:eastAsia="宋体" w:cs="宋体"/>
          <w:b/>
          <w:bCs w:val="0"/>
          <w:i w:val="0"/>
          <w:iCs w:val="0"/>
          <w:color w:val="auto"/>
          <w:kern w:val="0"/>
          <w:sz w:val="21"/>
          <w:szCs w:val="21"/>
          <w:highlight w:val="none"/>
          <w:u w:val="none"/>
          <w:lang w:val="en-US" w:eastAsia="zh-CN" w:bidi="ar"/>
        </w:rPr>
        <w:t>1000㎡</w:t>
      </w:r>
      <w:r>
        <w:rPr>
          <w:rFonts w:hint="eastAsia" w:ascii="宋体" w:hAnsi="宋体" w:cs="宋体"/>
          <w:b/>
          <w:bCs w:val="0"/>
          <w:i w:val="0"/>
          <w:iCs w:val="0"/>
          <w:color w:val="auto"/>
          <w:kern w:val="0"/>
          <w:sz w:val="21"/>
          <w:szCs w:val="21"/>
          <w:highlight w:val="none"/>
          <w:u w:val="none"/>
          <w:lang w:val="en-US" w:eastAsia="zh-CN" w:bidi="ar"/>
        </w:rPr>
        <w:t>，</w:t>
      </w: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ascii="宋体" w:hAnsi="宋体" w:cs="宋体"/>
          <w:b/>
          <w:bCs w:val="0"/>
          <w:i w:val="0"/>
          <w:iCs w:val="0"/>
          <w:color w:val="auto"/>
          <w:kern w:val="0"/>
          <w:sz w:val="21"/>
          <w:szCs w:val="21"/>
          <w:highlight w:val="none"/>
          <w:u w:val="none"/>
          <w:lang w:val="en-US" w:eastAsia="zh-CN" w:bidi="ar"/>
        </w:rPr>
        <w:t>不少于</w:t>
      </w:r>
      <w:r>
        <w:rPr>
          <w:rFonts w:hint="eastAsia" w:ascii="宋体" w:hAnsi="宋体" w:eastAsia="宋体" w:cs="宋体"/>
          <w:b/>
          <w:bCs w:val="0"/>
          <w:i w:val="0"/>
          <w:iCs w:val="0"/>
          <w:color w:val="auto"/>
          <w:kern w:val="0"/>
          <w:sz w:val="21"/>
          <w:szCs w:val="21"/>
          <w:highlight w:val="none"/>
          <w:u w:val="none"/>
          <w:lang w:val="en-US" w:eastAsia="zh-CN" w:bidi="ar"/>
        </w:rPr>
        <w:t>5000㎡</w:t>
      </w:r>
      <w:r>
        <w:rPr>
          <w:rFonts w:hint="eastAsia" w:ascii="宋体" w:hAnsi="宋体" w:cs="宋体"/>
          <w:b/>
          <w:bCs w:val="0"/>
          <w:color w:val="auto"/>
          <w:sz w:val="21"/>
          <w:szCs w:val="21"/>
          <w:highlight w:val="none"/>
          <w:lang w:val="en-US" w:eastAsia="zh-CN"/>
        </w:rPr>
        <w:t>，相关费用包含在本次报价中，由供应商自行考虑，后期不再另行支付。</w:t>
      </w:r>
    </w:p>
    <w:p w14:paraId="076717A1">
      <w:pPr>
        <w:pStyle w:val="27"/>
        <w:spacing w:line="360" w:lineRule="auto"/>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草花更换</w:t>
      </w:r>
      <w:r>
        <w:rPr>
          <w:rFonts w:hint="eastAsia" w:hAnsi="宋体" w:cs="宋体"/>
          <w:b/>
          <w:bCs/>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1、草花品种为三色堇、角堇、雏菊、金鱼草、紫罗兰、石竹、白晶菊、冰岛虞美人、羽扇豆、花毛茛、矮雪轮、香雪球、大花马齿苋、长春花、夏堇、细叶美女樱、醉蝶花、彩叶草、黑眼苏珊、五色梅、繁星花、百日草、凤仙花、鼠尾草、四季海棠、一串红、孔雀草、万寿菊、常夏石竹、新几内亚凤仙、天竺葵、千日红、朱唇、布劳格林下鼠尾草、角堇、三色堇、羽衣甘蓝、金盏菊、金鱼草、欧报春、瓜叶菊、仙客来、紫罗兰、银叶菊、红叶甜菜。</w:t>
      </w:r>
    </w:p>
    <w:p w14:paraId="6400F6C7">
      <w:pPr>
        <w:pStyle w:val="27"/>
        <w:spacing w:line="360" w:lineRule="auto"/>
        <w:rPr>
          <w:rFonts w:hint="eastAsia" w:hAnsi="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2.花卉更换以</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指令为准，品种以当季草花并经</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确认；草花布置方案需提前报</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确认，通过后实施</w:t>
      </w:r>
      <w:r>
        <w:rPr>
          <w:rFonts w:hint="eastAsia" w:hAnsi="宋体" w:cs="宋体"/>
          <w:i w:val="0"/>
          <w:iCs w:val="0"/>
          <w:color w:val="auto"/>
          <w:kern w:val="0"/>
          <w:sz w:val="21"/>
          <w:szCs w:val="21"/>
          <w:highlight w:val="none"/>
          <w:u w:val="none"/>
          <w:lang w:val="en-US" w:eastAsia="zh-CN" w:bidi="ar"/>
        </w:rPr>
        <w:t>。</w:t>
      </w:r>
    </w:p>
    <w:p w14:paraId="20F84223">
      <w:pPr>
        <w:pStyle w:val="27"/>
        <w:spacing w:line="360" w:lineRule="auto"/>
        <w:rPr>
          <w:rFonts w:hint="eastAsia" w:ascii="宋体" w:hAnsi="宋体" w:eastAsia="宋体" w:cs="宋体"/>
          <w:b/>
          <w:color w:val="auto"/>
          <w:sz w:val="21"/>
          <w:szCs w:val="21"/>
          <w:highlight w:val="none"/>
        </w:rPr>
      </w:pPr>
      <w:r>
        <w:rPr>
          <w:rFonts w:hint="eastAsia" w:ascii="宋体" w:hAnsi="宋体" w:eastAsia="宋体" w:cs="宋体"/>
          <w:b/>
          <w:bCs w:val="0"/>
          <w:i w:val="0"/>
          <w:iCs w:val="0"/>
          <w:color w:val="auto"/>
          <w:kern w:val="0"/>
          <w:sz w:val="21"/>
          <w:szCs w:val="21"/>
          <w:highlight w:val="none"/>
          <w:u w:val="none"/>
          <w:lang w:val="en-US" w:eastAsia="zh-CN" w:bidi="ar"/>
        </w:rPr>
        <w:t>种植地被</w:t>
      </w:r>
      <w:r>
        <w:rPr>
          <w:rFonts w:hint="eastAsia" w:hAnsi="宋体" w:cs="宋体"/>
          <w:b/>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1"/>
          <w:szCs w:val="21"/>
          <w:highlight w:val="none"/>
          <w:u w:val="none"/>
          <w:lang w:val="en-US" w:eastAsia="zh-CN" w:bidi="ar"/>
        </w:rPr>
        <w:t>金边麦冬、大吴风草、兰花三七、麦冬(综合考虑规格、种类)地被种植更换以</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指令为准，品种经</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确认；地被更换方案需提前报</w:t>
      </w:r>
      <w:r>
        <w:rPr>
          <w:rFonts w:hint="eastAsia" w:hAnsi="宋体" w:cs="宋体"/>
          <w:i w:val="0"/>
          <w:iCs w:val="0"/>
          <w:color w:val="auto"/>
          <w:kern w:val="0"/>
          <w:sz w:val="21"/>
          <w:szCs w:val="21"/>
          <w:highlight w:val="none"/>
          <w:u w:val="none"/>
          <w:lang w:val="en-US" w:eastAsia="zh-CN" w:bidi="ar"/>
        </w:rPr>
        <w:t>采购人</w:t>
      </w:r>
      <w:r>
        <w:rPr>
          <w:rFonts w:hint="eastAsia" w:ascii="宋体" w:hAnsi="宋体" w:eastAsia="宋体" w:cs="宋体"/>
          <w:i w:val="0"/>
          <w:iCs w:val="0"/>
          <w:color w:val="auto"/>
          <w:kern w:val="0"/>
          <w:sz w:val="21"/>
          <w:szCs w:val="21"/>
          <w:highlight w:val="none"/>
          <w:u w:val="none"/>
          <w:lang w:val="en-US" w:eastAsia="zh-CN" w:bidi="ar"/>
        </w:rPr>
        <w:t>确认，通过后实施</w:t>
      </w:r>
      <w:r>
        <w:rPr>
          <w:rFonts w:hint="eastAsia" w:hAnsi="宋体" w:cs="宋体"/>
          <w:i w:val="0"/>
          <w:iCs w:val="0"/>
          <w:color w:val="auto"/>
          <w:kern w:val="0"/>
          <w:sz w:val="21"/>
          <w:szCs w:val="21"/>
          <w:highlight w:val="none"/>
          <w:u w:val="none"/>
          <w:lang w:val="en-US" w:eastAsia="zh-CN" w:bidi="ar"/>
        </w:rPr>
        <w:t>。</w:t>
      </w:r>
    </w:p>
    <w:p w14:paraId="4966CEE6">
      <w:pPr>
        <w:adjustRightInd w:val="0"/>
        <w:snapToGrid w:val="0"/>
        <w:spacing w:line="360" w:lineRule="auto"/>
        <w:ind w:firstLine="413" w:firstLineChars="196"/>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三、养护期限及职责</w:t>
      </w:r>
    </w:p>
    <w:p w14:paraId="04C5E434">
      <w:pPr>
        <w:adjustRightInd w:val="0"/>
        <w:snapToGrid w:val="0"/>
        <w:spacing w:line="360" w:lineRule="auto"/>
        <w:ind w:firstLine="457" w:firstLineChars="218"/>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二</w:t>
      </w:r>
      <w:r>
        <w:rPr>
          <w:rFonts w:hint="eastAsia" w:ascii="宋体" w:hAnsi="宋体" w:eastAsia="宋体" w:cs="宋体"/>
          <w:color w:val="auto"/>
          <w:sz w:val="21"/>
          <w:szCs w:val="21"/>
          <w:highlight w:val="none"/>
        </w:rPr>
        <w:t>年，合同一年一签，经考核合格后可续签下一年度合同。</w:t>
      </w:r>
    </w:p>
    <w:p w14:paraId="4DA0F4E4">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1、承包养护期限内，</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 xml:space="preserve">应按照《江苏省城市园林绿化植物养护技术规定》上园林绿化养护操作规程及园林绿化养护质量标准，合理组织，精心养护，保质保量完成养护管理任务，并符合相关要求。 </w:t>
      </w:r>
    </w:p>
    <w:p w14:paraId="7A9B8591">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2、绿化设施及主要养护内容 </w:t>
      </w:r>
    </w:p>
    <w:p w14:paraId="5B8567F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修剪：根据各类植物的生长特点、立地环境、景观要求，按照操作规程适时进行。  </w:t>
      </w:r>
    </w:p>
    <w:p w14:paraId="50CCAE5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施肥：根据各类植物的生长特点及植物对肥料的需要，要求年施肥不得少于2次以上，新种植物视生长情况，适时适量进行施肥，以保持各类植物的生长旺盛达到一定景观效果。 </w:t>
      </w:r>
    </w:p>
    <w:p w14:paraId="4115821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除草：各类绿地、树穴、绿带要结合松土及时清理各类杂草。 </w:t>
      </w:r>
    </w:p>
    <w:p w14:paraId="130089C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抹芽：主要用于乔木、大型灌木，对不定芽要及时清除，以保持树木骨架清晰，促使生长形态美观，营养集中。 </w:t>
      </w:r>
    </w:p>
    <w:p w14:paraId="6DB57B8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病虫害防治：病虫害防治是园林植物养护中较为重要的手段和内容，要根据各类植物的寄生对象及时做好预测预报，及时采取措施防治。 </w:t>
      </w:r>
    </w:p>
    <w:p w14:paraId="4F43F68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抗旱、抗台</w:t>
      </w:r>
      <w:r>
        <w:rPr>
          <w:rFonts w:hint="eastAsia" w:ascii="宋体" w:hAnsi="宋体" w:eastAsia="宋体" w:cs="宋体"/>
          <w:color w:val="auto"/>
          <w:sz w:val="21"/>
          <w:szCs w:val="21"/>
          <w:highlight w:val="none"/>
          <w:lang w:eastAsia="zh-CN"/>
        </w:rPr>
        <w:t>风</w:t>
      </w:r>
      <w:r>
        <w:rPr>
          <w:rFonts w:hint="eastAsia" w:ascii="宋体" w:hAnsi="宋体" w:eastAsia="宋体" w:cs="宋体"/>
          <w:color w:val="auto"/>
          <w:sz w:val="21"/>
          <w:szCs w:val="21"/>
          <w:highlight w:val="none"/>
        </w:rPr>
        <w:t xml:space="preserve">、抗涝：旱季及新种植物要及时进行灌溉，防止植物因脱水而造成枯死。台汛期间要做好加固、排涝抢险工作，防止植物受损。 </w:t>
      </w:r>
    </w:p>
    <w:p w14:paraId="2889BED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清理绿地各种垃圾，保持绿地整洁。</w:t>
      </w:r>
    </w:p>
    <w:p w14:paraId="36F1955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（8）保持绿地中园路及广场的清洁，做到无垃圾、无杂草。</w:t>
      </w:r>
    </w:p>
    <w:p w14:paraId="1617FCB6">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rPr>
        <w:t>3、养护达一级养护标准</w:t>
      </w:r>
      <w:r>
        <w:rPr>
          <w:rFonts w:hint="eastAsia" w:ascii="宋体" w:hAnsi="宋体" w:eastAsia="宋体" w:cs="宋体"/>
          <w:color w:val="auto"/>
          <w:sz w:val="21"/>
          <w:szCs w:val="21"/>
          <w:highlight w:val="none"/>
        </w:rPr>
        <w:t>：</w:t>
      </w:r>
    </w:p>
    <w:p w14:paraId="27629CA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（1）树木</w:t>
      </w:r>
    </w:p>
    <w:p w14:paraId="09418D6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A、生长正常，树冠基本完整，主侧枝分枝基本均匀，数量适宜，内膛通风透光。</w:t>
      </w:r>
    </w:p>
    <w:p w14:paraId="4763406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B、叶色基本正常，有少量黄叶（生长季节）、焦叶、卷叶、有少量虫粪。</w:t>
      </w:r>
    </w:p>
    <w:p w14:paraId="1EB29F3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C、枝干生长正常，无明显枯死枝，病虫害虽有发生，但能及时根除。</w:t>
      </w:r>
    </w:p>
    <w:p w14:paraId="0F6E538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D、开花灌木大部分进行修剪，球类修剪整齐、规整。</w:t>
      </w:r>
    </w:p>
    <w:p w14:paraId="4490AAE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（2）草坪</w:t>
      </w:r>
    </w:p>
    <w:p w14:paraId="46DA2DA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A、生长良好，无明显杂草。</w:t>
      </w:r>
    </w:p>
    <w:p w14:paraId="3843AA7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B、修剪高度符合要求，能及时处理堆料堆物。</w:t>
      </w:r>
    </w:p>
    <w:p w14:paraId="699D7B4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C、草坪边界线切边清晰，</w:t>
      </w:r>
      <w:r>
        <w:rPr>
          <w:rFonts w:hint="eastAsia" w:ascii="宋体" w:hAnsi="宋体" w:eastAsia="宋体" w:cs="宋体"/>
          <w:color w:val="auto"/>
          <w:sz w:val="21"/>
          <w:szCs w:val="21"/>
          <w:highlight w:val="none"/>
          <w:lang w:eastAsia="zh-CN"/>
        </w:rPr>
        <w:t>百慕大</w:t>
      </w:r>
      <w:r>
        <w:rPr>
          <w:rFonts w:hint="eastAsia" w:ascii="宋体" w:hAnsi="宋体" w:eastAsia="宋体" w:cs="宋体"/>
          <w:color w:val="auto"/>
          <w:sz w:val="21"/>
          <w:szCs w:val="21"/>
          <w:highlight w:val="none"/>
        </w:rPr>
        <w:t>草坪宿根杂草须人工挑除且冬季播种黑麦草。</w:t>
      </w:r>
    </w:p>
    <w:p w14:paraId="4C6470D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D、草籽播撒，保证草坪四季常绿，枯黄期不超过两周；草坪施肥，一年至</w:t>
      </w:r>
      <w:r>
        <w:rPr>
          <w:rFonts w:hint="eastAsia" w:ascii="宋体" w:hAnsi="宋体" w:eastAsia="宋体" w:cs="宋体"/>
          <w:color w:val="auto"/>
          <w:sz w:val="21"/>
          <w:szCs w:val="21"/>
          <w:highlight w:val="none"/>
          <w:lang w:val="en-US" w:eastAsia="zh-CN"/>
        </w:rPr>
        <w:t>少三</w:t>
      </w:r>
      <w:r>
        <w:rPr>
          <w:rFonts w:hint="eastAsia" w:ascii="宋体" w:hAnsi="宋体" w:eastAsia="宋体" w:cs="宋体"/>
          <w:color w:val="auto"/>
          <w:sz w:val="21"/>
          <w:szCs w:val="21"/>
          <w:highlight w:val="none"/>
        </w:rPr>
        <w:t>次。</w:t>
      </w:r>
    </w:p>
    <w:p w14:paraId="467F46B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（3）花卉</w:t>
      </w:r>
    </w:p>
    <w:p w14:paraId="38B9CD9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A、全年更换花四次。</w:t>
      </w:r>
    </w:p>
    <w:p w14:paraId="07CA87E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B、花卉生长正常，缺株、倒伏不超过3～5处，无枯枝残花。</w:t>
      </w:r>
    </w:p>
    <w:p w14:paraId="63995D9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C、花期基本整齐。</w:t>
      </w:r>
    </w:p>
    <w:p w14:paraId="5B290D0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D、无病虫危害，无枯枝残叶。</w:t>
      </w:r>
    </w:p>
    <w:p w14:paraId="3051A1A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（4）绿篱及地被</w:t>
      </w:r>
    </w:p>
    <w:p w14:paraId="5DBA45D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A、生长正常，无明显枯枝、断枝。</w:t>
      </w:r>
    </w:p>
    <w:p w14:paraId="3A838F2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B、修剪及时，形状较完整。</w:t>
      </w:r>
    </w:p>
    <w:p w14:paraId="3E81D4D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C、无明显病虫害。</w:t>
      </w:r>
    </w:p>
    <w:p w14:paraId="0823AFB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D、基本无垃圾杂物。</w:t>
      </w:r>
    </w:p>
    <w:p w14:paraId="41EDFF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E、无漏剪现象，杜绝修剪不规范。</w:t>
      </w:r>
    </w:p>
    <w:p w14:paraId="020B746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（5）无较严重的人为损坏，对轻微或偶尔难以控制的人为损坏，能及时发现和处理；绿地、草坪内无堆物堆料，搭棚侵占等。</w:t>
      </w:r>
    </w:p>
    <w:p w14:paraId="50E3B848">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4、</w:t>
      </w:r>
      <w:r>
        <w:rPr>
          <w:rFonts w:hint="eastAsia" w:ascii="宋体" w:hAnsi="宋体" w:cs="宋体"/>
          <w:b/>
          <w:color w:val="auto"/>
          <w:sz w:val="21"/>
          <w:szCs w:val="21"/>
          <w:highlight w:val="none"/>
          <w:lang w:val="en-US" w:eastAsia="zh-CN"/>
        </w:rPr>
        <w:t>养护</w:t>
      </w:r>
      <w:r>
        <w:rPr>
          <w:rFonts w:hint="eastAsia" w:ascii="宋体" w:hAnsi="宋体" w:eastAsia="宋体" w:cs="宋体"/>
          <w:b/>
          <w:color w:val="auto"/>
          <w:sz w:val="21"/>
          <w:szCs w:val="21"/>
          <w:highlight w:val="none"/>
        </w:rPr>
        <w:t>标准</w:t>
      </w:r>
    </w:p>
    <w:p w14:paraId="05C16E2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行道树</w:t>
      </w:r>
    </w:p>
    <w:p w14:paraId="693EFD5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）树木长势茂盛，树冠完整丰满，主侧枝分布匀称</w:t>
      </w:r>
    </w:p>
    <w:p w14:paraId="0BD5538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）无枯枝、伤残枝、交叉枝、过密枝、徒长枝、并生枝，主干上无萌蘖枝。</w:t>
      </w:r>
    </w:p>
    <w:p w14:paraId="3DC74F3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（3）无影响交通、架空线路、路灯、建筑、行人安全的树枝。</w:t>
      </w:r>
    </w:p>
    <w:p w14:paraId="0C40183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）枝条修剪截面要平整，不留短桩。截面直径大于6厘米的伤品要涂防腐剂。</w:t>
      </w:r>
    </w:p>
    <w:p w14:paraId="74CE30C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）无明显病虫害迹象，树干无未处理的腐洞，如有需及时处理，及时汇报，及时反馈，达到良好景观效果。</w:t>
      </w:r>
    </w:p>
    <w:p w14:paraId="314531A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）树体无钉挂物、悬挂物。</w:t>
      </w:r>
    </w:p>
    <w:p w14:paraId="347D2B5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）无乱涂写、乱张贴、乱刻画现象。</w:t>
      </w:r>
    </w:p>
    <w:p w14:paraId="125BE40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）树穴内无杂草、杂物、垃圾、粪便、无黄土裸露。</w:t>
      </w:r>
    </w:p>
    <w:p w14:paraId="66089F9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）树木每年冬季树干刷白一次，高度1.2米。</w:t>
      </w:r>
    </w:p>
    <w:p w14:paraId="7DDE59E0">
      <w:pPr>
        <w:adjustRightInd w:val="0"/>
        <w:snapToGrid w:val="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（10）利用养护周期内的时间对缺损行道树进行补种。</w:t>
      </w:r>
    </w:p>
    <w:p w14:paraId="2D151BC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绿篱、球类、色块</w:t>
      </w:r>
    </w:p>
    <w:p w14:paraId="4B635F2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）枝条茂密，生长健壮。</w:t>
      </w:r>
    </w:p>
    <w:p w14:paraId="3F9727C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）修剪成形、层次分明、线条流畅，曲线处弧度圆润丰满。</w:t>
      </w:r>
    </w:p>
    <w:p w14:paraId="65267D8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（3）观花植物按时茂盛开花，观果植物正常结果。</w:t>
      </w:r>
    </w:p>
    <w:p w14:paraId="21B9AAF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）无死株、缺株、断档现象。</w:t>
      </w:r>
    </w:p>
    <w:p w14:paraId="23D2D34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）无枯枝、断枝、枯叶，无脱脚现象。</w:t>
      </w:r>
    </w:p>
    <w:p w14:paraId="33B495B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）无明显病虫危害迹象。</w:t>
      </w:r>
    </w:p>
    <w:p w14:paraId="3E4BCA0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）基部无杂草、杂物、垃圾、粪便等。</w:t>
      </w:r>
    </w:p>
    <w:p w14:paraId="4D644FD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）枝叶表面及球面、篱面无悬挂物、晾晒物。</w:t>
      </w:r>
    </w:p>
    <w:p w14:paraId="122AECB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）与草坪交接处切边整齐，宽度小于15CM。</w:t>
      </w:r>
    </w:p>
    <w:p w14:paraId="409147A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花灌木</w:t>
      </w:r>
    </w:p>
    <w:p w14:paraId="4FB8F5CD">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）植株生长旺盛，枝叶健壮，分布均匀，造型美观。</w:t>
      </w:r>
    </w:p>
    <w:p w14:paraId="1E9779B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）无枯枝残叶，树枝分布均匀，疏密度合宜，整形修剪与环境要求协调。</w:t>
      </w:r>
    </w:p>
    <w:p w14:paraId="4A8FC50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）无明显病虫危害迹象。</w:t>
      </w:r>
    </w:p>
    <w:p w14:paraId="6ABD51E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）观花植物按时茂盛开花，观果植物正常结果。</w:t>
      </w:r>
    </w:p>
    <w:p w14:paraId="3C2FE550">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）植株下无杂草、杂物、垃圾、粪便等。</w:t>
      </w:r>
    </w:p>
    <w:p w14:paraId="305817D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）枝叶上无钉挂物和晾晒物。</w:t>
      </w:r>
    </w:p>
    <w:p w14:paraId="670A9AF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）观花植物每年在休眠期施有机肥（基肥）一次；花前花后各追肥一次。</w:t>
      </w:r>
    </w:p>
    <w:p w14:paraId="477E625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草坪：</w:t>
      </w:r>
    </w:p>
    <w:p w14:paraId="1A1F326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）草坪生长健壮，覆盖率达98%以上，生长期无枯黄现象。</w:t>
      </w:r>
    </w:p>
    <w:p w14:paraId="0BF7A023">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）草坪内无低洼积水处，无明显裸露地。</w:t>
      </w:r>
    </w:p>
    <w:p w14:paraId="3510EDC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（3）推剪平整，坚持1/3原则，冷季型草高不超过10CM，暖季型草高不超过7CM，修剪后剪口无撕裂现象。</w:t>
      </w:r>
    </w:p>
    <w:p w14:paraId="0552226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）草坪外边缘及树坛、花坛、花境、片植绿篱边缘要边清晰整齐，宽度小于15CM。</w:t>
      </w:r>
    </w:p>
    <w:p w14:paraId="7D9F5EE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）草坪基本无病虫危害状，病虫受害率控制在5%以下。</w:t>
      </w:r>
    </w:p>
    <w:p w14:paraId="04BFC94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）草坪上无修剪残留草屑、杂物，基本无杂草，无乱停乱放现象。</w:t>
      </w:r>
    </w:p>
    <w:p w14:paraId="59ADAF8B">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）冷季型草视生长情况，平均每月修剪2-3次。</w:t>
      </w:r>
    </w:p>
    <w:p w14:paraId="1EC6D30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花坛花境</w:t>
      </w:r>
    </w:p>
    <w:p w14:paraId="5E7F26F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）植株生长健壮，组团结构和群体效果好，高低错落有序。</w:t>
      </w:r>
    </w:p>
    <w:p w14:paraId="2D4A4C75">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）观花植物适时开花，保持春、夏、秋三季有花，开花不断，此起彼落，季相变化明显。</w:t>
      </w:r>
    </w:p>
    <w:p w14:paraId="60E12F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（3）花卉色彩鲜艳，观赏期长。无病虫危害迹象。无死株、缺株。</w:t>
      </w:r>
    </w:p>
    <w:p w14:paraId="7029F9B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）土壤肥沃疏松，无杂草、杂物、残花败叶。</w:t>
      </w:r>
    </w:p>
    <w:p w14:paraId="461FB34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）与草坪交接处切边清晰整齐，宽度小于15CM。</w:t>
      </w:r>
    </w:p>
    <w:p w14:paraId="63415DB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）围栏砌体完好无损，和谐美观。</w:t>
      </w:r>
    </w:p>
    <w:p w14:paraId="43DBDA3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）一、二年生草花及明换花。</w:t>
      </w:r>
    </w:p>
    <w:p w14:paraId="5116B01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）及时整形修剪、更新、换植。</w:t>
      </w:r>
    </w:p>
    <w:p w14:paraId="7A286A9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）按设计要求，保持全年四季有花，无黄土裸露现象。</w:t>
      </w:r>
    </w:p>
    <w:p w14:paraId="0192ECF2">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rPr>
        <w:t>）部分品种或全部品种植株衰败时，应及时换花。</w:t>
      </w:r>
    </w:p>
    <w:p w14:paraId="45BD9178">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盆、钵、花箱、花伞</w:t>
      </w:r>
    </w:p>
    <w:p w14:paraId="6BFD4ACF">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1</w:t>
      </w:r>
      <w:r>
        <w:rPr>
          <w:rFonts w:hint="eastAsia" w:ascii="宋体" w:hAnsi="宋体" w:eastAsia="宋体" w:cs="宋体"/>
          <w:color w:val="auto"/>
          <w:sz w:val="21"/>
          <w:szCs w:val="21"/>
          <w:highlight w:val="none"/>
        </w:rPr>
        <w:t>）植株生长旺盛，枝叶健壮，分布均匀，造型美观。</w:t>
      </w:r>
    </w:p>
    <w:p w14:paraId="68C87034">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2</w:t>
      </w:r>
      <w:r>
        <w:rPr>
          <w:rFonts w:hint="eastAsia" w:ascii="宋体" w:hAnsi="宋体" w:eastAsia="宋体" w:cs="宋体"/>
          <w:color w:val="auto"/>
          <w:sz w:val="21"/>
          <w:szCs w:val="21"/>
          <w:highlight w:val="none"/>
        </w:rPr>
        <w:t>）无枯枝黄叶、残花。</w:t>
      </w:r>
    </w:p>
    <w:p w14:paraId="5DDF3BBA">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3</w:t>
      </w:r>
      <w:r>
        <w:rPr>
          <w:rFonts w:hint="eastAsia" w:ascii="宋体" w:hAnsi="宋体" w:eastAsia="宋体" w:cs="宋体"/>
          <w:color w:val="auto"/>
          <w:sz w:val="21"/>
          <w:szCs w:val="21"/>
          <w:highlight w:val="none"/>
        </w:rPr>
        <w:t>）无病虫危害迹象。</w:t>
      </w:r>
    </w:p>
    <w:p w14:paraId="1DC85FD7">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rPr>
        <w:t>）观花植物按时茂盛开花，观果植物正常结果。</w:t>
      </w:r>
    </w:p>
    <w:p w14:paraId="67C51A9C">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5</w:t>
      </w:r>
      <w:r>
        <w:rPr>
          <w:rFonts w:hint="eastAsia" w:ascii="宋体" w:hAnsi="宋体" w:eastAsia="宋体" w:cs="宋体"/>
          <w:color w:val="auto"/>
          <w:sz w:val="21"/>
          <w:szCs w:val="21"/>
          <w:highlight w:val="none"/>
        </w:rPr>
        <w:t>）植株下和容器内无杂草、杂物、叶面清洁。</w:t>
      </w:r>
    </w:p>
    <w:p w14:paraId="11D17FA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）容器完整清洁，容器外观、规格、色彩与植物要协调。</w:t>
      </w:r>
    </w:p>
    <w:p w14:paraId="3AC683E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）排水要畅通，植株不得出现失水萎蔫现象。</w:t>
      </w:r>
    </w:p>
    <w:p w14:paraId="5F79FF51">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）换花及时，全年四季有花，花开不断。</w:t>
      </w:r>
    </w:p>
    <w:p w14:paraId="1C51BCF9">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cs="宋体"/>
          <w:color w:val="auto"/>
          <w:sz w:val="21"/>
          <w:szCs w:val="21"/>
          <w:highlight w:val="none"/>
          <w:lang w:val="en-US" w:eastAsia="zh-CN"/>
        </w:rPr>
        <w:t>9</w:t>
      </w:r>
      <w:r>
        <w:rPr>
          <w:rFonts w:hint="eastAsia" w:ascii="宋体" w:hAnsi="宋体" w:eastAsia="宋体" w:cs="宋体"/>
          <w:color w:val="auto"/>
          <w:sz w:val="21"/>
          <w:szCs w:val="21"/>
          <w:highlight w:val="none"/>
        </w:rPr>
        <w:t>）单位摆放鲜花，设计造型美观，色彩搭配协调，及时维护、及时清除败花盆钵，及时清洗场地，保持路面本色化。</w:t>
      </w:r>
    </w:p>
    <w:p w14:paraId="1FE2A11C">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cs="宋体"/>
          <w:b/>
          <w:color w:val="auto"/>
          <w:sz w:val="21"/>
          <w:szCs w:val="21"/>
          <w:highlight w:val="none"/>
          <w:lang w:val="en-US" w:eastAsia="zh-CN"/>
        </w:rPr>
        <w:t>5</w:t>
      </w:r>
      <w:r>
        <w:rPr>
          <w:rFonts w:hint="eastAsia" w:ascii="宋体" w:hAnsi="宋体" w:eastAsia="宋体" w:cs="宋体"/>
          <w:b/>
          <w:color w:val="auto"/>
          <w:sz w:val="21"/>
          <w:szCs w:val="21"/>
          <w:highlight w:val="none"/>
        </w:rPr>
        <w:t>、对本养护项目实施养护管理所用的一切劳动力、材料、设备和服务由</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自行组织，由此产生的一切费用由</w:t>
      </w:r>
      <w:r>
        <w:rPr>
          <w:rFonts w:hint="eastAsia" w:ascii="宋体" w:hAnsi="宋体" w:eastAsia="宋体" w:cs="宋体"/>
          <w:b/>
          <w:color w:val="auto"/>
          <w:sz w:val="21"/>
          <w:szCs w:val="21"/>
          <w:highlight w:val="none"/>
          <w:lang w:eastAsia="zh-CN"/>
        </w:rPr>
        <w:t>供应商</w:t>
      </w:r>
      <w:r>
        <w:rPr>
          <w:rFonts w:hint="eastAsia" w:ascii="宋体" w:hAnsi="宋体" w:eastAsia="宋体" w:cs="宋体"/>
          <w:b/>
          <w:color w:val="auto"/>
          <w:sz w:val="21"/>
          <w:szCs w:val="21"/>
          <w:highlight w:val="none"/>
        </w:rPr>
        <w:t>承担。</w:t>
      </w:r>
    </w:p>
    <w:p w14:paraId="2FC6E065">
      <w:pPr>
        <w:adjustRightInd w:val="0"/>
        <w:snapToGrid w:val="0"/>
        <w:spacing w:line="360" w:lineRule="auto"/>
        <w:ind w:firstLine="422" w:firstLineChars="200"/>
        <w:rPr>
          <w:rFonts w:hint="eastAsia" w:ascii="宋体" w:hAnsi="宋体" w:eastAsia="宋体" w:cs="宋体"/>
          <w:color w:val="auto"/>
          <w:sz w:val="21"/>
          <w:szCs w:val="21"/>
          <w:highlight w:val="none"/>
        </w:rPr>
      </w:pPr>
      <w:r>
        <w:rPr>
          <w:rFonts w:hint="eastAsia" w:ascii="宋体" w:hAnsi="宋体" w:cs="宋体"/>
          <w:b/>
          <w:color w:val="auto"/>
          <w:sz w:val="21"/>
          <w:szCs w:val="21"/>
          <w:highlight w:val="none"/>
          <w:lang w:val="en-US" w:eastAsia="zh-CN"/>
        </w:rPr>
        <w:t>6</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eastAsia="zh-CN"/>
        </w:rPr>
        <w:t>服务期</w:t>
      </w:r>
      <w:r>
        <w:rPr>
          <w:rFonts w:hint="eastAsia" w:ascii="宋体" w:hAnsi="宋体" w:eastAsia="宋体" w:cs="宋体"/>
          <w:b/>
          <w:color w:val="auto"/>
          <w:sz w:val="21"/>
          <w:szCs w:val="21"/>
          <w:highlight w:val="none"/>
        </w:rPr>
        <w:t>内，本合同养护项目量发生减少及毁损的，</w:t>
      </w:r>
      <w:r>
        <w:rPr>
          <w:rFonts w:hint="eastAsia" w:ascii="宋体" w:hAnsi="宋体" w:eastAsia="宋体" w:cs="宋体"/>
          <w:b/>
          <w:color w:val="auto"/>
          <w:sz w:val="21"/>
          <w:szCs w:val="21"/>
          <w:highlight w:val="none"/>
          <w:lang w:val="en-US" w:eastAsia="zh-CN"/>
        </w:rPr>
        <w:t>供应商</w:t>
      </w:r>
      <w:r>
        <w:rPr>
          <w:rFonts w:hint="eastAsia" w:ascii="宋体" w:hAnsi="宋体" w:eastAsia="宋体" w:cs="宋体"/>
          <w:b/>
          <w:color w:val="auto"/>
          <w:sz w:val="21"/>
          <w:szCs w:val="21"/>
          <w:highlight w:val="none"/>
        </w:rPr>
        <w:t>应及时补齐或修复，并自行承担所需费用。</w:t>
      </w:r>
      <w:r>
        <w:rPr>
          <w:rFonts w:hint="eastAsia" w:ascii="宋体" w:hAnsi="宋体" w:eastAsia="宋体" w:cs="宋体"/>
          <w:color w:val="auto"/>
          <w:sz w:val="21"/>
          <w:szCs w:val="21"/>
          <w:highlight w:val="none"/>
        </w:rPr>
        <w:t>合同期限届满时，</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应保证本合同养护项目设施量完好无损。未完好的，由</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负责补齐或修复。届时，未补齐或修复的，</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可自行或委托他人补齐或修复，费用由</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 xml:space="preserve">负责。 </w:t>
      </w:r>
    </w:p>
    <w:p w14:paraId="574D107E">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7</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应定期向我方汇报养护管理计划及有关措施。</w:t>
      </w:r>
    </w:p>
    <w:p w14:paraId="580E0116">
      <w:pPr>
        <w:adjustRightInd w:val="0"/>
        <w:snapToGrid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必须重视安全生产，确保全年不出安全责任事故。养护期间，养护工人由于操作不规范等因素造成的安全责任事故，由</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承担一切责任及损失。</w:t>
      </w:r>
    </w:p>
    <w:p w14:paraId="5A51955A">
      <w:pPr>
        <w:autoSpaceDE w:val="0"/>
        <w:autoSpaceDN w:val="0"/>
        <w:adjustRightInd w:val="0"/>
        <w:spacing w:line="360" w:lineRule="auto"/>
        <w:ind w:firstLine="420" w:firstLineChars="200"/>
        <w:jc w:val="left"/>
        <w:rPr>
          <w:rFonts w:hint="eastAsia" w:ascii="宋体" w:hAnsi="宋体" w:eastAsia="宋体" w:cs="宋体"/>
          <w:color w:val="auto"/>
          <w:sz w:val="21"/>
          <w:szCs w:val="21"/>
          <w:highlight w:val="none"/>
        </w:rPr>
      </w:pPr>
      <w:r>
        <w:rPr>
          <w:rFonts w:hint="eastAsia" w:ascii="宋体" w:hAnsi="宋体" w:cs="宋体"/>
          <w:color w:val="auto"/>
          <w:kern w:val="0"/>
          <w:sz w:val="21"/>
          <w:szCs w:val="21"/>
          <w:highlight w:val="none"/>
          <w:lang w:val="en-US" w:eastAsia="zh-CN"/>
        </w:rPr>
        <w:t>9</w:t>
      </w:r>
      <w:r>
        <w:rPr>
          <w:rFonts w:hint="eastAsia" w:ascii="宋体" w:hAnsi="宋体" w:eastAsia="宋体" w:cs="宋体"/>
          <w:color w:val="auto"/>
          <w:kern w:val="0"/>
          <w:sz w:val="21"/>
          <w:szCs w:val="21"/>
          <w:highlight w:val="none"/>
          <w:lang w:val="zh-CN"/>
        </w:rPr>
        <w:t>、养护必须符合质量要求，若不符合其质量要求，由供应商无偿返工。若因供应商原因不能按时保质完成，则采购人有权另外安排单位</w:t>
      </w:r>
      <w:r>
        <w:rPr>
          <w:rFonts w:hint="eastAsia" w:ascii="宋体" w:hAnsi="宋体" w:eastAsia="宋体" w:cs="宋体"/>
          <w:color w:val="auto"/>
          <w:kern w:val="0"/>
          <w:sz w:val="21"/>
          <w:szCs w:val="21"/>
          <w:highlight w:val="none"/>
          <w:lang w:val="en-US" w:eastAsia="zh-CN"/>
        </w:rPr>
        <w:t>完成</w:t>
      </w:r>
      <w:r>
        <w:rPr>
          <w:rFonts w:hint="eastAsia" w:ascii="宋体" w:hAnsi="宋体" w:eastAsia="宋体" w:cs="宋体"/>
          <w:color w:val="auto"/>
          <w:kern w:val="0"/>
          <w:sz w:val="21"/>
          <w:szCs w:val="21"/>
          <w:highlight w:val="none"/>
          <w:lang w:val="zh-CN"/>
        </w:rPr>
        <w:t>，其相应养护费用将从供应商养护费用中扣除。</w:t>
      </w:r>
    </w:p>
    <w:p w14:paraId="062556C6">
      <w:pPr>
        <w:adjustRightInd w:val="0"/>
        <w:snapToGrid w:val="0"/>
        <w:spacing w:line="360" w:lineRule="auto"/>
        <w:ind w:firstLine="422" w:firstLineChars="200"/>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rPr>
        <w:t>四、考核</w:t>
      </w:r>
      <w:r>
        <w:rPr>
          <w:rFonts w:hint="eastAsia" w:ascii="宋体" w:hAnsi="宋体" w:cs="宋体"/>
          <w:b/>
          <w:color w:val="auto"/>
          <w:sz w:val="21"/>
          <w:szCs w:val="21"/>
          <w:highlight w:val="none"/>
          <w:lang w:val="en-US" w:eastAsia="zh-CN"/>
        </w:rPr>
        <w:t>办法</w:t>
      </w:r>
    </w:p>
    <w:p w14:paraId="62E2A90F">
      <w:pPr>
        <w:pStyle w:val="20"/>
        <w:ind w:left="426" w:leftChars="203" w:right="109" w:rightChars="52"/>
        <w:jc w:val="center"/>
        <w:rPr>
          <w:rFonts w:hint="eastAsia" w:ascii="宋体" w:hAnsi="宋体" w:eastAsia="宋体" w:cs="宋体"/>
          <w:color w:val="auto"/>
          <w:sz w:val="21"/>
          <w:szCs w:val="21"/>
          <w:highlight w:val="none"/>
        </w:rPr>
      </w:pPr>
      <w:bookmarkStart w:id="12" w:name="_Hlk108161350"/>
      <w:r>
        <w:rPr>
          <w:rFonts w:hint="eastAsia" w:ascii="仿宋" w:hAnsi="仿宋" w:eastAsia="仿宋" w:cs="仿宋"/>
          <w:b/>
          <w:color w:val="auto"/>
          <w:sz w:val="21"/>
          <w:szCs w:val="21"/>
          <w:highlight w:val="none"/>
          <w:lang w:val="en-US" w:eastAsia="zh-CN"/>
        </w:rPr>
        <w:t>市场化</w:t>
      </w:r>
      <w:r>
        <w:rPr>
          <w:rFonts w:hint="eastAsia" w:ascii="仿宋" w:hAnsi="仿宋" w:eastAsia="仿宋" w:cs="仿宋"/>
          <w:b/>
          <w:color w:val="auto"/>
          <w:sz w:val="21"/>
          <w:szCs w:val="21"/>
          <w:highlight w:val="none"/>
        </w:rPr>
        <w:t>养护考核办法</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暂定</w:t>
      </w:r>
      <w:r>
        <w:rPr>
          <w:rFonts w:hint="eastAsia" w:ascii="仿宋" w:hAnsi="仿宋" w:eastAsia="仿宋" w:cs="仿宋"/>
          <w:b/>
          <w:color w:val="auto"/>
          <w:sz w:val="21"/>
          <w:szCs w:val="21"/>
          <w:highlight w:val="none"/>
          <w:lang w:eastAsia="zh-CN"/>
        </w:rPr>
        <w:t>）</w:t>
      </w:r>
      <w:bookmarkEnd w:id="12"/>
    </w:p>
    <w:p w14:paraId="58539F7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一、考核范围</w:t>
      </w:r>
    </w:p>
    <w:p w14:paraId="1B1AA7D3">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适用于南京经济技术开发区范围内市政设施管养、绿化养护、交通设施维护、桥梁养护</w:t>
      </w:r>
      <w:r>
        <w:rPr>
          <w:rFonts w:hint="eastAsia" w:ascii="仿宋" w:hAnsi="仿宋" w:eastAsia="仿宋" w:cs="仿宋"/>
          <w:bCs/>
          <w:color w:val="auto"/>
          <w:sz w:val="21"/>
          <w:szCs w:val="21"/>
          <w:highlight w:val="none"/>
        </w:rPr>
        <w:t>等。</w:t>
      </w:r>
    </w:p>
    <w:p w14:paraId="68A51793">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二、考核主体</w:t>
      </w:r>
    </w:p>
    <w:p w14:paraId="1303450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南京市栖霞区城市管理局</w:t>
      </w:r>
    </w:p>
    <w:p w14:paraId="5DF7AC3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三、考核方式</w:t>
      </w:r>
    </w:p>
    <w:p w14:paraId="01958CD3">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考核分为上级主管部门考核、日常考核、定期考核、资料台账考核四种方式，总分值</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 xml:space="preserve">分。 </w:t>
      </w:r>
    </w:p>
    <w:p w14:paraId="614836E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1、上级主管部门考核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上级考核如有就采用</w:t>
      </w:r>
      <w:r>
        <w:rPr>
          <w:rFonts w:hint="eastAsia" w:ascii="仿宋" w:hAnsi="仿宋" w:eastAsia="仿宋" w:cs="仿宋"/>
          <w:bCs/>
          <w:color w:val="auto"/>
          <w:sz w:val="21"/>
          <w:szCs w:val="21"/>
          <w:highlight w:val="none"/>
          <w:lang w:eastAsia="zh-CN"/>
        </w:rPr>
        <w:t>）</w:t>
      </w:r>
    </w:p>
    <w:p w14:paraId="2A6ECA8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分，末位名次扣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分，其它名次不计分。（例：郊园区组共五组评比，则第一名加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分，第二名、第三名、第四名不计分，第五名扣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w:t>
      </w:r>
    </w:p>
    <w:p w14:paraId="775C927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（2）有上级业务主管部门考核但考核分组内区域小于等于3组或不排名的，如</w:t>
      </w:r>
      <w:r>
        <w:rPr>
          <w:rFonts w:hint="eastAsia" w:ascii="仿宋" w:hAnsi="仿宋" w:eastAsia="仿宋" w:cs="仿宋"/>
          <w:bCs/>
          <w:color w:val="auto"/>
          <w:sz w:val="21"/>
          <w:szCs w:val="21"/>
          <w:highlight w:val="none"/>
          <w:lang w:val="en-US" w:eastAsia="zh-CN"/>
        </w:rPr>
        <w:t>信号灯等</w:t>
      </w:r>
      <w:r>
        <w:rPr>
          <w:rFonts w:hint="eastAsia" w:ascii="仿宋" w:hAnsi="仿宋" w:eastAsia="仿宋" w:cs="仿宋"/>
          <w:bCs/>
          <w:color w:val="auto"/>
          <w:sz w:val="21"/>
          <w:szCs w:val="21"/>
          <w:highlight w:val="none"/>
        </w:rPr>
        <w:t>设施维护。上级业务主管部门当月提出问题的，</w:t>
      </w:r>
      <w:r>
        <w:rPr>
          <w:rFonts w:hint="eastAsia" w:ascii="仿宋" w:hAnsi="仿宋" w:eastAsia="仿宋" w:cs="仿宋"/>
          <w:bCs/>
          <w:color w:val="auto"/>
          <w:sz w:val="21"/>
          <w:szCs w:val="21"/>
          <w:highlight w:val="none"/>
          <w:lang w:val="en-US" w:eastAsia="zh-CN"/>
        </w:rPr>
        <w:t>百</w:t>
      </w:r>
      <w:r>
        <w:rPr>
          <w:rFonts w:hint="eastAsia" w:ascii="仿宋" w:hAnsi="仿宋" w:eastAsia="仿宋" w:cs="仿宋"/>
          <w:bCs/>
          <w:color w:val="auto"/>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356B5E2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（3）暂未纳入上级业务主管部门考核的，如交通设施维护、建成区以外的市政设施管养及绿化养护等。不扣分。</w:t>
      </w:r>
    </w:p>
    <w:p w14:paraId="7308F63B">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color w:val="auto"/>
          <w:sz w:val="21"/>
          <w:szCs w:val="21"/>
          <w:highlight w:val="none"/>
          <w:lang w:val="en-US" w:eastAsia="zh-CN"/>
        </w:rPr>
        <w:t>分管领导</w:t>
      </w:r>
      <w:r>
        <w:rPr>
          <w:rFonts w:hint="eastAsia" w:ascii="仿宋" w:hAnsi="仿宋" w:eastAsia="仿宋" w:cs="仿宋"/>
          <w:bCs/>
          <w:color w:val="auto"/>
          <w:sz w:val="21"/>
          <w:szCs w:val="21"/>
          <w:highlight w:val="none"/>
        </w:rPr>
        <w:t>签字同意后，予以调整。</w:t>
      </w:r>
    </w:p>
    <w:p w14:paraId="39DB286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2、日常考核</w:t>
      </w:r>
    </w:p>
    <w:p w14:paraId="27A8B6EE">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扣分项：各业务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人员拍摄的工单，每一条扣</w:t>
      </w:r>
      <w:r>
        <w:rPr>
          <w:rFonts w:hint="eastAsia" w:ascii="仿宋" w:hAnsi="仿宋" w:eastAsia="仿宋" w:cs="仿宋"/>
          <w:bCs/>
          <w:color w:val="auto"/>
          <w:sz w:val="21"/>
          <w:szCs w:val="21"/>
          <w:highlight w:val="none"/>
          <w:lang w:val="en-US" w:eastAsia="zh-CN"/>
        </w:rPr>
        <w:t>0.1</w:t>
      </w:r>
      <w:r>
        <w:rPr>
          <w:rFonts w:hint="eastAsia" w:ascii="仿宋" w:hAnsi="仿宋" w:eastAsia="仿宋" w:cs="仿宋"/>
          <w:bCs/>
          <w:color w:val="auto"/>
          <w:sz w:val="21"/>
          <w:szCs w:val="21"/>
          <w:highlight w:val="none"/>
        </w:rPr>
        <w:t>分；局领导拍摄</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交办</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0E7E89F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市级以上部门提出批评的，扣</w:t>
      </w:r>
      <w:r>
        <w:rPr>
          <w:rFonts w:hint="eastAsia" w:ascii="仿宋" w:hAnsi="仿宋" w:eastAsia="仿宋" w:cs="仿宋"/>
          <w:bCs/>
          <w:color w:val="auto"/>
          <w:sz w:val="21"/>
          <w:szCs w:val="21"/>
          <w:highlight w:val="none"/>
          <w:lang w:val="en-US" w:eastAsia="zh-CN"/>
        </w:rPr>
        <w:t>2-5</w:t>
      </w:r>
      <w:r>
        <w:rPr>
          <w:rFonts w:hint="eastAsia" w:ascii="仿宋" w:hAnsi="仿宋" w:eastAsia="仿宋" w:cs="仿宋"/>
          <w:bCs/>
          <w:color w:val="auto"/>
          <w:sz w:val="21"/>
          <w:szCs w:val="21"/>
          <w:highlight w:val="none"/>
        </w:rPr>
        <w:t>分；区级部门提出批评的，扣</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分；城管局提出批评的，扣</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分。扣分分值由考核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汇报</w:t>
      </w:r>
      <w:r>
        <w:rPr>
          <w:rFonts w:hint="eastAsia" w:ascii="仿宋" w:hAnsi="仿宋" w:eastAsia="仿宋" w:cs="仿宋"/>
          <w:bCs/>
          <w:color w:val="auto"/>
          <w:sz w:val="21"/>
          <w:szCs w:val="21"/>
          <w:highlight w:val="none"/>
          <w:lang w:val="en-US" w:eastAsia="zh-CN"/>
        </w:rPr>
        <w:t>至各业务科室</w:t>
      </w:r>
      <w:r>
        <w:rPr>
          <w:rFonts w:hint="eastAsia" w:ascii="仿宋" w:hAnsi="仿宋" w:eastAsia="仿宋" w:cs="仿宋"/>
          <w:bCs/>
          <w:color w:val="auto"/>
          <w:sz w:val="21"/>
          <w:szCs w:val="21"/>
          <w:highlight w:val="none"/>
        </w:rPr>
        <w:t>，组织相应业务部门确定后，予以扣除。</w:t>
      </w:r>
    </w:p>
    <w:p w14:paraId="277EFFA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color w:val="auto"/>
          <w:sz w:val="21"/>
          <w:szCs w:val="21"/>
          <w:highlight w:val="none"/>
          <w:lang w:val="en-US" w:eastAsia="zh-CN"/>
        </w:rPr>
        <w:t>组及各业务</w:t>
      </w:r>
      <w:r>
        <w:rPr>
          <w:rFonts w:hint="eastAsia" w:ascii="仿宋" w:hAnsi="仿宋" w:eastAsia="仿宋" w:cs="仿宋"/>
          <w:bCs/>
          <w:color w:val="auto"/>
          <w:sz w:val="21"/>
          <w:szCs w:val="21"/>
          <w:highlight w:val="none"/>
        </w:rPr>
        <w:t>部门沟通工单事宜，不得干扰工单拍摄，一经发现，每次扣除管养单位</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w:t>
      </w:r>
    </w:p>
    <w:p w14:paraId="4E2365D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加分项</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日常管养中得到</w:t>
      </w:r>
      <w:r>
        <w:rPr>
          <w:rFonts w:hint="eastAsia" w:ascii="仿宋" w:hAnsi="仿宋" w:eastAsia="仿宋" w:cs="仿宋"/>
          <w:bCs/>
          <w:color w:val="auto"/>
          <w:sz w:val="21"/>
          <w:szCs w:val="21"/>
          <w:highlight w:val="none"/>
          <w:lang w:val="en-US" w:eastAsia="zh-CN"/>
        </w:rPr>
        <w:t>区政府部门</w:t>
      </w:r>
      <w:r>
        <w:rPr>
          <w:rFonts w:hint="eastAsia" w:ascii="仿宋" w:hAnsi="仿宋" w:eastAsia="仿宋" w:cs="仿宋"/>
          <w:bCs/>
          <w:color w:val="auto"/>
          <w:sz w:val="21"/>
          <w:szCs w:val="21"/>
          <w:highlight w:val="none"/>
        </w:rPr>
        <w:t>、城管局表扬的，由</w:t>
      </w:r>
      <w:r>
        <w:rPr>
          <w:rFonts w:hint="eastAsia" w:ascii="仿宋" w:hAnsi="仿宋" w:eastAsia="仿宋" w:cs="仿宋"/>
          <w:bCs/>
          <w:color w:val="auto"/>
          <w:sz w:val="21"/>
          <w:szCs w:val="21"/>
          <w:highlight w:val="none"/>
          <w:lang w:val="en-US" w:eastAsia="zh-CN"/>
        </w:rPr>
        <w:t>养护单位</w:t>
      </w:r>
      <w:r>
        <w:rPr>
          <w:rFonts w:hint="eastAsia" w:ascii="仿宋" w:hAnsi="仿宋" w:eastAsia="仿宋" w:cs="仿宋"/>
          <w:bCs/>
          <w:color w:val="auto"/>
          <w:sz w:val="21"/>
          <w:szCs w:val="21"/>
          <w:highlight w:val="none"/>
        </w:rPr>
        <w:t>提出申请，分管副局长签字同意后，视情况加</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分；管养单位自费进行合同约定以外改造的，由</w:t>
      </w:r>
      <w:r>
        <w:rPr>
          <w:rFonts w:hint="eastAsia" w:ascii="仿宋" w:hAnsi="仿宋" w:eastAsia="仿宋" w:cs="仿宋"/>
          <w:bCs/>
          <w:color w:val="auto"/>
          <w:sz w:val="21"/>
          <w:szCs w:val="21"/>
          <w:highlight w:val="none"/>
          <w:lang w:val="en-US" w:eastAsia="zh-CN"/>
        </w:rPr>
        <w:t>该单位</w:t>
      </w:r>
      <w:r>
        <w:rPr>
          <w:rFonts w:hint="eastAsia" w:ascii="仿宋" w:hAnsi="仿宋" w:eastAsia="仿宋" w:cs="仿宋"/>
          <w:bCs/>
          <w:color w:val="auto"/>
          <w:sz w:val="21"/>
          <w:szCs w:val="21"/>
          <w:highlight w:val="none"/>
        </w:rPr>
        <w:t>提出申请，分管副局长签字同意后，视资金投入情况加</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分。（每月加分累计不得超过</w:t>
      </w: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w:t>
      </w:r>
    </w:p>
    <w:p w14:paraId="3F07BD3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GPS</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北斗</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每月由各业务部门在工作时间段，对每个片区的GPS巡查数据随机抽查4次，考核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F25FA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3、定期考核</w:t>
      </w:r>
    </w:p>
    <w:p w14:paraId="3B4BD1B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每月上旬由</w:t>
      </w:r>
      <w:r>
        <w:rPr>
          <w:rFonts w:hint="eastAsia" w:ascii="仿宋" w:hAnsi="仿宋" w:eastAsia="仿宋" w:cs="仿宋"/>
          <w:bCs/>
          <w:color w:val="auto"/>
          <w:sz w:val="21"/>
          <w:szCs w:val="21"/>
          <w:highlight w:val="none"/>
          <w:lang w:val="en-US" w:eastAsia="zh-CN"/>
        </w:rPr>
        <w:t>业务科室</w:t>
      </w:r>
      <w:r>
        <w:rPr>
          <w:rFonts w:hint="eastAsia" w:ascii="仿宋" w:hAnsi="仿宋" w:eastAsia="仿宋" w:cs="仿宋"/>
          <w:bCs/>
          <w:color w:val="auto"/>
          <w:sz w:val="21"/>
          <w:szCs w:val="21"/>
          <w:highlight w:val="none"/>
        </w:rPr>
        <w:t>牵头，</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参与，采用随机抽签的方式选定管养区内一条考核道路或区域，集中评分。定期考核发现的问题，根据考核细则进行扣分，形成定期考核评价表，分数计入月度考核评分。</w:t>
      </w:r>
    </w:p>
    <w:p w14:paraId="66B87F9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4、资料台账考核，由业务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牵头，会同</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4F02B8B7">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四、考核分值公布</w:t>
      </w:r>
    </w:p>
    <w:p w14:paraId="3675128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每日由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将当天考核情况汇总上报至考核工单日报群。每月考核分值汇总后，由考核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将分值及扣分点公示给各管养单位，公示申诉期为3天，由</w:t>
      </w:r>
      <w:r>
        <w:rPr>
          <w:rFonts w:hint="eastAsia" w:ascii="仿宋" w:hAnsi="仿宋" w:eastAsia="仿宋" w:cs="仿宋"/>
          <w:bCs/>
          <w:color w:val="auto"/>
          <w:sz w:val="21"/>
          <w:szCs w:val="21"/>
          <w:highlight w:val="none"/>
          <w:lang w:val="en-US" w:eastAsia="zh-CN"/>
        </w:rPr>
        <w:t>管养单位</w:t>
      </w:r>
      <w:r>
        <w:rPr>
          <w:rFonts w:hint="eastAsia" w:ascii="仿宋" w:hAnsi="仿宋" w:eastAsia="仿宋" w:cs="仿宋"/>
          <w:bCs/>
          <w:color w:val="auto"/>
          <w:sz w:val="21"/>
          <w:szCs w:val="21"/>
          <w:highlight w:val="none"/>
        </w:rPr>
        <w:t>书面申诉，逾期不予接受。公示结束后由考核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形成月报，上报至城管局领导。</w:t>
      </w:r>
    </w:p>
    <w:p w14:paraId="4455B5C4">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五、考核奖惩</w:t>
      </w:r>
    </w:p>
    <w:p w14:paraId="272AF46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根据合同约定，考核绩效款项占月度管养费用的20%。考核得分上限为</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分（每月得分超过100分的，以</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分计分），将1</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的月度绩效款项所对应的分值设置为容错分（月度绩效款*</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/100），该分值内的扣分仅计分，不扣款。</w:t>
      </w:r>
    </w:p>
    <w:p w14:paraId="35EFB35E">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提供数据，市政</w:t>
      </w:r>
      <w:r>
        <w:rPr>
          <w:rFonts w:hint="eastAsia" w:ascii="仿宋" w:hAnsi="仿宋" w:eastAsia="仿宋" w:cs="仿宋"/>
          <w:bCs/>
          <w:color w:val="auto"/>
          <w:sz w:val="21"/>
          <w:szCs w:val="21"/>
          <w:highlight w:val="none"/>
          <w:lang w:val="en-US" w:eastAsia="zh-CN"/>
        </w:rPr>
        <w:t>科</w:t>
      </w:r>
      <w:r>
        <w:rPr>
          <w:rFonts w:hint="eastAsia" w:ascii="仿宋" w:hAnsi="仿宋" w:eastAsia="仿宋" w:cs="仿宋"/>
          <w:bCs/>
          <w:color w:val="auto"/>
          <w:sz w:val="21"/>
          <w:szCs w:val="21"/>
          <w:highlight w:val="none"/>
        </w:rPr>
        <w:t>在支付养护款时直接予以扣除。</w:t>
      </w:r>
    </w:p>
    <w:p w14:paraId="4261676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当月考核绩效分数低于</w:t>
      </w:r>
      <w:r>
        <w:rPr>
          <w:rFonts w:hint="eastAsia" w:ascii="仿宋" w:hAnsi="仿宋" w:eastAsia="仿宋" w:cs="仿宋"/>
          <w:bCs/>
          <w:color w:val="auto"/>
          <w:sz w:val="21"/>
          <w:szCs w:val="21"/>
          <w:highlight w:val="none"/>
          <w:lang w:val="en-US" w:eastAsia="zh-CN"/>
        </w:rPr>
        <w:t>80</w:t>
      </w:r>
      <w:r>
        <w:rPr>
          <w:rFonts w:hint="eastAsia" w:ascii="仿宋" w:hAnsi="仿宋" w:eastAsia="仿宋" w:cs="仿宋"/>
          <w:bCs/>
          <w:color w:val="auto"/>
          <w:sz w:val="21"/>
          <w:szCs w:val="21"/>
          <w:highlight w:val="none"/>
        </w:rPr>
        <w:t>分的管养单位，视为当月考核不合格，由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color w:val="auto"/>
          <w:sz w:val="21"/>
          <w:szCs w:val="21"/>
          <w:highlight w:val="none"/>
          <w:lang w:val="en-US" w:eastAsia="zh-CN"/>
        </w:rPr>
        <w:t>南京市栖霞区城市管理局履行有关手续（程序）</w:t>
      </w:r>
      <w:r>
        <w:rPr>
          <w:rFonts w:hint="eastAsia" w:ascii="仿宋" w:hAnsi="仿宋" w:eastAsia="仿宋" w:cs="仿宋"/>
          <w:bCs/>
          <w:color w:val="auto"/>
          <w:sz w:val="21"/>
          <w:szCs w:val="21"/>
          <w:highlight w:val="none"/>
        </w:rPr>
        <w:t>后，于次月终止该片区的管养合同，不再续签后续管养合同。</w:t>
      </w:r>
    </w:p>
    <w:p w14:paraId="5112369B">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月度考核绩效占比=（月度考核扣款/月度考核绩效款）*</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w:t>
      </w:r>
    </w:p>
    <w:p w14:paraId="42C5C60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月度考核绩效分数=</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-月度考核绩效占比；年度考核绩效分数取全年均值。</w:t>
      </w:r>
    </w:p>
    <w:p w14:paraId="3849EB3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考核绩效分数为月度、年度排名依据。年度考核系数排名靠前的管养单位，作为下一期养护市场化重点推荐单位。</w:t>
      </w:r>
    </w:p>
    <w:p w14:paraId="06D117B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六、其它说明</w:t>
      </w:r>
    </w:p>
    <w:p w14:paraId="7FB76259">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宋体" w:hAnsi="宋体" w:eastAsia="宋体" w:cs="宋体"/>
          <w:b/>
          <w:color w:val="auto"/>
          <w:sz w:val="21"/>
          <w:szCs w:val="21"/>
          <w:highlight w:val="none"/>
        </w:rPr>
      </w:pPr>
      <w:r>
        <w:rPr>
          <w:rFonts w:hint="eastAsia" w:ascii="仿宋" w:hAnsi="仿宋" w:eastAsia="仿宋" w:cs="仿宋"/>
          <w:bCs/>
          <w:color w:val="auto"/>
          <w:sz w:val="21"/>
          <w:szCs w:val="21"/>
          <w:highlight w:val="none"/>
          <w:lang w:val="en-US" w:eastAsia="zh-CN"/>
        </w:rPr>
        <w:t>南京市栖霞区城市管理局</w:t>
      </w:r>
      <w:r>
        <w:rPr>
          <w:rFonts w:hint="eastAsia" w:ascii="仿宋" w:hAnsi="仿宋" w:eastAsia="仿宋" w:cs="仿宋"/>
          <w:bCs/>
          <w:color w:val="auto"/>
          <w:sz w:val="21"/>
          <w:szCs w:val="21"/>
          <w:highlight w:val="none"/>
        </w:rPr>
        <w:t>有权根据管养情况的变化，更新或修改本考核办法及考核细则，修改完毕并告知管养单位后，按新的考核办法及考核细则实施。</w:t>
      </w:r>
    </w:p>
    <w:p w14:paraId="4B710753">
      <w:pPr>
        <w:adjustRightInd w:val="0"/>
        <w:snapToGrid w:val="0"/>
        <w:spacing w:line="360" w:lineRule="auto"/>
        <w:ind w:firstLine="843" w:firstLineChars="400"/>
        <w:rPr>
          <w:rFonts w:hint="eastAsia" w:ascii="宋体" w:hAnsi="宋体" w:eastAsia="宋体" w:cs="宋体"/>
          <w:b/>
          <w:color w:val="auto"/>
          <w:sz w:val="21"/>
          <w:szCs w:val="21"/>
          <w:highlight w:val="none"/>
          <w:lang w:val="en-US" w:eastAsia="zh-CN"/>
        </w:rPr>
      </w:pPr>
      <w:r>
        <w:rPr>
          <w:rFonts w:hint="eastAsia" w:ascii="宋体" w:hAnsi="宋体" w:eastAsia="宋体" w:cs="宋体"/>
          <w:b/>
          <w:color w:val="auto"/>
          <w:sz w:val="21"/>
          <w:szCs w:val="21"/>
          <w:highlight w:val="none"/>
          <w:lang w:val="en-US" w:eastAsia="zh-CN"/>
        </w:rPr>
        <w:t>附件:</w:t>
      </w:r>
      <w:r>
        <w:rPr>
          <w:rFonts w:hint="eastAsia" w:ascii="宋体" w:hAnsi="宋体" w:cs="宋体"/>
          <w:b/>
          <w:color w:val="auto"/>
          <w:sz w:val="21"/>
          <w:szCs w:val="21"/>
          <w:highlight w:val="none"/>
          <w:lang w:val="en-US" w:eastAsia="zh-CN"/>
        </w:rPr>
        <w:t>绿化养护</w:t>
      </w:r>
      <w:r>
        <w:rPr>
          <w:rFonts w:hint="eastAsia" w:ascii="宋体" w:hAnsi="宋体" w:eastAsia="宋体" w:cs="宋体"/>
          <w:b/>
          <w:color w:val="auto"/>
          <w:sz w:val="21"/>
          <w:szCs w:val="21"/>
          <w:highlight w:val="none"/>
          <w:lang w:val="en-US" w:eastAsia="zh-CN"/>
        </w:rPr>
        <w:t>考核细则(具体考核细则待合同签订时</w:t>
      </w:r>
      <w:r>
        <w:rPr>
          <w:rFonts w:hint="eastAsia" w:ascii="宋体" w:hAnsi="宋体" w:cs="宋体"/>
          <w:b/>
          <w:color w:val="auto"/>
          <w:sz w:val="21"/>
          <w:szCs w:val="21"/>
          <w:highlight w:val="none"/>
          <w:lang w:val="en-US" w:eastAsia="zh-CN"/>
        </w:rPr>
        <w:t>明确</w:t>
      </w:r>
      <w:r>
        <w:rPr>
          <w:rFonts w:hint="eastAsia" w:ascii="宋体" w:hAnsi="宋体" w:eastAsia="宋体" w:cs="宋体"/>
          <w:b/>
          <w:color w:val="auto"/>
          <w:sz w:val="21"/>
          <w:szCs w:val="21"/>
          <w:highlight w:val="none"/>
          <w:lang w:val="en-US" w:eastAsia="zh-CN"/>
        </w:rPr>
        <w:t>。)</w:t>
      </w:r>
    </w:p>
    <w:p w14:paraId="00EB8FF0">
      <w:pPr>
        <w:adjustRightInd w:val="0"/>
        <w:snapToGrid w:val="0"/>
        <w:spacing w:line="360" w:lineRule="auto"/>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五</w:t>
      </w:r>
      <w:r>
        <w:rPr>
          <w:rFonts w:hint="eastAsia" w:ascii="宋体" w:hAnsi="宋体" w:eastAsia="宋体" w:cs="宋体"/>
          <w:b/>
          <w:color w:val="auto"/>
          <w:sz w:val="21"/>
          <w:szCs w:val="21"/>
          <w:highlight w:val="none"/>
        </w:rPr>
        <w:t>、付款方式及考核要求：</w:t>
      </w:r>
    </w:p>
    <w:p w14:paraId="6593F8B9">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1．合同签订且养护</w:t>
      </w: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工作实施6个月后，能达到考核标准，支付</w:t>
      </w:r>
      <w:r>
        <w:rPr>
          <w:rFonts w:hint="eastAsia" w:ascii="宋体" w:hAnsi="宋体" w:cs="宋体"/>
          <w:color w:val="auto"/>
          <w:sz w:val="21"/>
          <w:szCs w:val="21"/>
          <w:highlight w:val="none"/>
          <w:lang w:val="en-US" w:eastAsia="zh-CN"/>
        </w:rPr>
        <w:t>经审核合格的</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养护费用的50%（须扣除当期考核绩效费用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w:t>
      </w:r>
      <w:r>
        <w:rPr>
          <w:rFonts w:hint="eastAsia" w:ascii="宋体" w:hAnsi="宋体" w:cs="宋体"/>
          <w:b/>
          <w:bCs/>
          <w:color w:val="auto"/>
          <w:sz w:val="21"/>
          <w:szCs w:val="21"/>
          <w:highlight w:val="none"/>
          <w:lang w:val="en-US" w:eastAsia="zh-CN"/>
        </w:rPr>
        <w:t>年度</w:t>
      </w:r>
      <w:r>
        <w:rPr>
          <w:rFonts w:hint="eastAsia" w:ascii="宋体" w:hAnsi="宋体" w:eastAsia="宋体" w:cs="宋体"/>
          <w:color w:val="auto"/>
          <w:sz w:val="21"/>
          <w:szCs w:val="21"/>
          <w:highlight w:val="none"/>
        </w:rPr>
        <w:t>养护期满后，完成全年考核任务支付剩余50%（须扣除当期考核绩效费用</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）养护费用。付款时扣除当期考核罚款</w:t>
      </w:r>
      <w:r>
        <w:rPr>
          <w:rFonts w:hint="eastAsia" w:ascii="宋体" w:hAnsi="宋体" w:cs="宋体"/>
          <w:color w:val="auto"/>
          <w:sz w:val="21"/>
          <w:szCs w:val="21"/>
          <w:highlight w:val="none"/>
          <w:lang w:val="en-US" w:eastAsia="zh-CN"/>
        </w:rPr>
        <w:t>以及根据合同约定应当扣除的违约金、赔偿款等（如有）</w:t>
      </w:r>
      <w:r>
        <w:rPr>
          <w:rFonts w:hint="eastAsia" w:ascii="宋体" w:hAnsi="宋体" w:eastAsia="宋体" w:cs="宋体"/>
          <w:color w:val="auto"/>
          <w:sz w:val="21"/>
          <w:szCs w:val="21"/>
          <w:highlight w:val="none"/>
        </w:rPr>
        <w:t>。每次付款前，</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rPr>
        <w:t>应当提交付款申请以及同等金额的增值税专用发票，</w:t>
      </w: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复核无误后将在30日内支付。</w:t>
      </w:r>
    </w:p>
    <w:p w14:paraId="0F29BAC8">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2、根据考核制度每月汇总月度考核得分，考核按“</w:t>
      </w:r>
      <w:r>
        <w:rPr>
          <w:rFonts w:hint="eastAsia" w:ascii="宋体" w:hAnsi="宋体" w:cs="宋体"/>
          <w:color w:val="auto"/>
          <w:sz w:val="21"/>
          <w:szCs w:val="21"/>
          <w:highlight w:val="none"/>
          <w:lang w:eastAsia="zh-CN"/>
        </w:rPr>
        <w:t>市场化养护考核办法（暂定）</w:t>
      </w:r>
      <w:r>
        <w:rPr>
          <w:rFonts w:hint="eastAsia" w:ascii="宋体" w:hAnsi="宋体" w:eastAsia="宋体" w:cs="宋体"/>
          <w:color w:val="auto"/>
          <w:sz w:val="21"/>
          <w:szCs w:val="21"/>
          <w:highlight w:val="none"/>
        </w:rPr>
        <w:t>”进行评分。满分100分，8</w:t>
      </w:r>
      <w:r>
        <w:rPr>
          <w:rFonts w:hint="eastAsia" w:ascii="宋体" w:hAnsi="宋体" w:cs="宋体"/>
          <w:color w:val="auto"/>
          <w:sz w:val="21"/>
          <w:szCs w:val="21"/>
          <w:highlight w:val="none"/>
          <w:lang w:val="en-US" w:eastAsia="zh-CN"/>
        </w:rPr>
        <w:t>0</w:t>
      </w:r>
      <w:r>
        <w:rPr>
          <w:rFonts w:hint="eastAsia" w:ascii="宋体" w:hAnsi="宋体" w:eastAsia="宋体" w:cs="宋体"/>
          <w:color w:val="auto"/>
          <w:sz w:val="21"/>
          <w:szCs w:val="21"/>
          <w:highlight w:val="none"/>
        </w:rPr>
        <w:t>分（含80分）以上为合格，80分（不含80分）以下为不合格。</w:t>
      </w:r>
    </w:p>
    <w:p w14:paraId="6888687E">
      <w:pPr>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3、考核分为上级主管部门考核、日常考核、定期考核、资料台账考核四种方式。合同期内，如年度累计两个月考核不合格的管养单位，由城管局领导进行约谈。年度累计三个月考核不合格的管养单位</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于次月终止该片区的管养合同，不再续签后续管养合同。或管养合同进行转包</w:t>
      </w:r>
      <w:r>
        <w:rPr>
          <w:rFonts w:hint="eastAsia" w:ascii="宋体" w:hAnsi="宋体" w:cs="宋体"/>
          <w:color w:val="auto"/>
          <w:sz w:val="21"/>
          <w:szCs w:val="21"/>
          <w:highlight w:val="none"/>
          <w:lang w:eastAsia="zh-CN"/>
        </w:rPr>
        <w:t>、</w:t>
      </w:r>
      <w:r>
        <w:rPr>
          <w:rFonts w:hint="eastAsia" w:ascii="宋体" w:hAnsi="宋体" w:eastAsia="宋体" w:cs="宋体"/>
          <w:color w:val="auto"/>
          <w:sz w:val="21"/>
          <w:szCs w:val="21"/>
          <w:highlight w:val="none"/>
        </w:rPr>
        <w:t>分包的，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有权单方终止承包方的管养合同，本年度剩余的养护经费不予结算，取消其下一轮续签养护合同资格且不得参与我局下一轮的养护投标工作。</w:t>
      </w:r>
    </w:p>
    <w:p w14:paraId="51FE7A18">
      <w:pPr>
        <w:keepNext w:val="0"/>
        <w:keepLines w:val="0"/>
        <w:pageBreakBefore w:val="0"/>
        <w:widowControl/>
        <w:shd w:val="clear" w:color="auto" w:fill="FFFFFF"/>
        <w:kinsoku/>
        <w:wordWrap/>
        <w:overflowPunct/>
        <w:topLinePunct w:val="0"/>
        <w:bidi w:val="0"/>
        <w:snapToGrid/>
        <w:spacing w:line="360" w:lineRule="auto"/>
        <w:ind w:firstLine="420" w:firstLineChars="200"/>
        <w:textAlignment w:val="auto"/>
        <w:rPr>
          <w:rFonts w:hint="default" w:ascii="宋体" w:hAnsi="宋体" w:eastAsia="宋体"/>
          <w:b/>
          <w:bCs/>
          <w:color w:val="auto"/>
          <w:sz w:val="21"/>
          <w:szCs w:val="21"/>
          <w:highlight w:val="none"/>
          <w:lang w:val="en-US" w:eastAsia="zh-CN"/>
        </w:rPr>
      </w:pPr>
      <w:r>
        <w:rPr>
          <w:rFonts w:hint="eastAsia" w:ascii="宋体" w:hAnsi="宋体" w:eastAsia="宋体" w:cs="宋体"/>
          <w:color w:val="auto"/>
          <w:sz w:val="21"/>
          <w:szCs w:val="21"/>
          <w:highlight w:val="none"/>
        </w:rPr>
        <w:t>4、如年度累计低于三个月考核不合格的管养单位，可在养护期满后续签下一年度养护合同。最多续签</w:t>
      </w:r>
      <w:r>
        <w:rPr>
          <w:rFonts w:hint="eastAsia" w:ascii="宋体" w:hAnsi="宋体" w:eastAsia="宋体" w:cs="宋体"/>
          <w:color w:val="auto"/>
          <w:sz w:val="21"/>
          <w:szCs w:val="21"/>
          <w:highlight w:val="none"/>
          <w:lang w:val="en-US" w:eastAsia="zh-CN"/>
        </w:rPr>
        <w:t>一</w:t>
      </w:r>
      <w:r>
        <w:rPr>
          <w:rFonts w:hint="eastAsia" w:ascii="宋体" w:hAnsi="宋体" w:eastAsia="宋体" w:cs="宋体"/>
          <w:color w:val="auto"/>
          <w:sz w:val="21"/>
          <w:szCs w:val="21"/>
          <w:highlight w:val="none"/>
        </w:rPr>
        <w:t>年，因</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原因造成安全事故的，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拒签下一年度合同。</w:t>
      </w:r>
    </w:p>
    <w:p w14:paraId="7841B0A0">
      <w:pPr>
        <w:spacing w:line="360" w:lineRule="auto"/>
        <w:rPr>
          <w:rFonts w:eastAsia="幼圆"/>
          <w:b/>
          <w:bCs/>
          <w:color w:val="auto"/>
          <w:sz w:val="44"/>
          <w:highlight w:val="none"/>
        </w:rPr>
      </w:pPr>
      <w:r>
        <w:rPr>
          <w:color w:val="auto"/>
          <w:highlight w:val="none"/>
        </w:rPr>
        <w:br w:type="page"/>
      </w:r>
    </w:p>
    <w:p w14:paraId="3E2FA050">
      <w:pPr>
        <w:pStyle w:val="2"/>
        <w:numPr>
          <w:ilvl w:val="0"/>
          <w:numId w:val="6"/>
        </w:numPr>
        <w:rPr>
          <w:rFonts w:hint="eastAsia" w:ascii="宋体" w:hAnsi="宋体" w:cs="宋体"/>
          <w:color w:val="auto"/>
          <w:highlight w:val="none"/>
        </w:rPr>
      </w:pPr>
      <w:r>
        <w:rPr>
          <w:rFonts w:hint="eastAsia" w:ascii="宋体" w:hAnsi="宋体" w:cs="宋体"/>
          <w:color w:val="auto"/>
          <w:highlight w:val="none"/>
        </w:rPr>
        <w:t xml:space="preserve"> </w:t>
      </w:r>
      <w:bookmarkStart w:id="13" w:name="_Toc26261"/>
      <w:bookmarkStart w:id="14" w:name="_Toc28129"/>
      <w:bookmarkStart w:id="15" w:name="_Toc1719"/>
      <w:r>
        <w:rPr>
          <w:rFonts w:hint="eastAsia" w:ascii="宋体" w:hAnsi="宋体" w:cs="宋体"/>
          <w:color w:val="auto"/>
          <w:highlight w:val="none"/>
        </w:rPr>
        <w:t>合同主要条款及格式</w:t>
      </w:r>
      <w:bookmarkEnd w:id="13"/>
      <w:bookmarkEnd w:id="14"/>
      <w:bookmarkEnd w:id="15"/>
    </w:p>
    <w:p w14:paraId="41DF1BB2">
      <w:pPr>
        <w:ind w:left="3037" w:leftChars="689" w:hanging="1590" w:hangingChars="495"/>
        <w:rPr>
          <w:rFonts w:hint="default" w:ascii="宋体" w:hAnsi="宋体" w:cs="宋体"/>
          <w:b/>
          <w:bCs/>
          <w:color w:val="auto"/>
          <w:sz w:val="32"/>
          <w:szCs w:val="32"/>
          <w:highlight w:val="none"/>
          <w:u w:val="single"/>
          <w:lang w:val="en-US"/>
        </w:rPr>
      </w:pPr>
      <w:r>
        <w:rPr>
          <w:rFonts w:hint="eastAsia" w:ascii="宋体" w:hAnsi="宋体" w:cs="宋体"/>
          <w:b/>
          <w:bCs/>
          <w:color w:val="auto"/>
          <w:sz w:val="32"/>
          <w:szCs w:val="32"/>
          <w:highlight w:val="none"/>
        </w:rPr>
        <w:t>项目名称：</w:t>
      </w:r>
      <w:r>
        <w:rPr>
          <w:rFonts w:hint="eastAsia" w:ascii="宋体" w:hAnsi="宋体" w:cs="宋体"/>
          <w:b/>
          <w:bCs/>
          <w:color w:val="auto"/>
          <w:sz w:val="32"/>
          <w:szCs w:val="32"/>
          <w:highlight w:val="none"/>
          <w:u w:val="single"/>
          <w:lang w:val="en-US" w:eastAsia="zh-CN"/>
        </w:rPr>
        <w:t xml:space="preserve">                      </w:t>
      </w:r>
    </w:p>
    <w:p w14:paraId="7FF25580">
      <w:pPr>
        <w:ind w:firstLine="1446" w:firstLineChars="450"/>
        <w:rPr>
          <w:rFonts w:ascii="宋体" w:hAnsi="宋体" w:cs="宋体"/>
          <w:b/>
          <w:bCs/>
          <w:color w:val="auto"/>
          <w:sz w:val="32"/>
          <w:szCs w:val="32"/>
          <w:highlight w:val="none"/>
          <w:u w:val="single"/>
        </w:rPr>
      </w:pPr>
      <w:r>
        <w:rPr>
          <w:rFonts w:hint="eastAsia" w:ascii="宋体" w:hAnsi="宋体" w:cs="宋体"/>
          <w:b/>
          <w:bCs/>
          <w:color w:val="auto"/>
          <w:sz w:val="32"/>
          <w:szCs w:val="32"/>
          <w:highlight w:val="none"/>
        </w:rPr>
        <w:t>合同编号：</w:t>
      </w:r>
      <w:r>
        <w:rPr>
          <w:rFonts w:ascii="宋体" w:hAnsi="宋体" w:cs="宋体"/>
          <w:b/>
          <w:bCs/>
          <w:color w:val="auto"/>
          <w:sz w:val="32"/>
          <w:szCs w:val="32"/>
          <w:highlight w:val="none"/>
          <w:u w:val="single"/>
        </w:rPr>
        <w:t xml:space="preserve">                      </w:t>
      </w:r>
    </w:p>
    <w:p w14:paraId="333C1457">
      <w:pPr>
        <w:rPr>
          <w:rFonts w:ascii="宋体" w:hAnsi="宋体" w:cs="宋体"/>
          <w:b/>
          <w:bCs/>
          <w:color w:val="auto"/>
          <w:sz w:val="32"/>
          <w:highlight w:val="none"/>
          <w:u w:val="single"/>
        </w:rPr>
      </w:pPr>
    </w:p>
    <w:p w14:paraId="5FAE3694">
      <w:pPr>
        <w:rPr>
          <w:rFonts w:ascii="宋体" w:hAnsi="宋体" w:cs="宋体"/>
          <w:b/>
          <w:bCs/>
          <w:color w:val="auto"/>
          <w:sz w:val="32"/>
          <w:highlight w:val="none"/>
        </w:rPr>
      </w:pPr>
    </w:p>
    <w:p w14:paraId="350576E7">
      <w:pPr>
        <w:rPr>
          <w:rFonts w:ascii="宋体" w:hAnsi="宋体" w:cs="宋体"/>
          <w:b/>
          <w:bCs/>
          <w:color w:val="auto"/>
          <w:sz w:val="32"/>
          <w:highlight w:val="none"/>
        </w:rPr>
      </w:pPr>
    </w:p>
    <w:p w14:paraId="087066D0">
      <w:pPr>
        <w:rPr>
          <w:rFonts w:ascii="宋体" w:hAnsi="宋体" w:cs="宋体"/>
          <w:b/>
          <w:bCs/>
          <w:color w:val="auto"/>
          <w:sz w:val="32"/>
          <w:highlight w:val="none"/>
        </w:rPr>
      </w:pPr>
    </w:p>
    <w:p w14:paraId="64BC35CA">
      <w:pPr>
        <w:ind w:firstLine="1386" w:firstLineChars="493"/>
        <w:rPr>
          <w:rFonts w:hint="eastAsia" w:ascii="宋体" w:hAnsi="宋体" w:eastAsia="宋体" w:cs="宋体"/>
          <w:b/>
          <w:bCs/>
          <w:color w:val="auto"/>
          <w:sz w:val="28"/>
          <w:szCs w:val="28"/>
          <w:highlight w:val="none"/>
          <w:lang w:eastAsia="zh-CN"/>
        </w:rPr>
      </w:pPr>
      <w:r>
        <w:rPr>
          <w:rFonts w:hint="eastAsia" w:ascii="宋体" w:hAnsi="宋体" w:cs="宋体"/>
          <w:b/>
          <w:bCs/>
          <w:color w:val="auto"/>
          <w:sz w:val="28"/>
          <w:szCs w:val="28"/>
          <w:highlight w:val="none"/>
        </w:rPr>
        <w:t>委托方（简称甲方）：</w:t>
      </w:r>
      <w:r>
        <w:rPr>
          <w:rFonts w:hint="eastAsia" w:ascii="宋体" w:hAnsi="宋体" w:cs="宋体"/>
          <w:b/>
          <w:bCs/>
          <w:color w:val="auto"/>
          <w:sz w:val="28"/>
          <w:szCs w:val="28"/>
          <w:highlight w:val="none"/>
          <w:u w:val="single"/>
          <w:lang w:eastAsia="zh-CN"/>
        </w:rPr>
        <w:t>南京市栖霞区城市管理局</w:t>
      </w:r>
    </w:p>
    <w:p w14:paraId="40C075A0">
      <w:pPr>
        <w:ind w:firstLine="1400" w:firstLineChars="498"/>
        <w:rPr>
          <w:rFonts w:ascii="宋体" w:hAnsi="宋体" w:cs="宋体"/>
          <w:b/>
          <w:bCs/>
          <w:color w:val="auto"/>
          <w:sz w:val="28"/>
          <w:szCs w:val="28"/>
          <w:highlight w:val="none"/>
          <w:u w:val="single"/>
        </w:rPr>
      </w:pPr>
      <w:r>
        <w:rPr>
          <w:rFonts w:hint="eastAsia" w:ascii="宋体" w:hAnsi="宋体" w:cs="宋体"/>
          <w:b/>
          <w:bCs/>
          <w:color w:val="auto"/>
          <w:sz w:val="28"/>
          <w:szCs w:val="28"/>
          <w:highlight w:val="none"/>
        </w:rPr>
        <w:t>服务方（简称乙方）：</w:t>
      </w:r>
      <w:r>
        <w:rPr>
          <w:rFonts w:hint="eastAsia" w:ascii="宋体" w:hAnsi="宋体" w:cs="宋体"/>
          <w:b/>
          <w:bCs/>
          <w:color w:val="auto"/>
          <w:sz w:val="28"/>
          <w:szCs w:val="28"/>
          <w:highlight w:val="none"/>
          <w:u w:val="single"/>
        </w:rPr>
        <w:t xml:space="preserve">                  </w:t>
      </w:r>
    </w:p>
    <w:p w14:paraId="4A0C23B9">
      <w:pPr>
        <w:ind w:firstLine="1400" w:firstLineChars="498"/>
        <w:rPr>
          <w:rFonts w:ascii="宋体" w:hAnsi="宋体" w:cs="宋体"/>
          <w:b/>
          <w:bCs/>
          <w:color w:val="auto"/>
          <w:sz w:val="28"/>
          <w:szCs w:val="28"/>
          <w:highlight w:val="none"/>
        </w:rPr>
      </w:pPr>
      <w:r>
        <w:rPr>
          <w:rFonts w:hint="eastAsia" w:ascii="宋体" w:hAnsi="宋体" w:cs="宋体"/>
          <w:b/>
          <w:bCs/>
          <w:color w:val="auto"/>
          <w:sz w:val="28"/>
          <w:szCs w:val="28"/>
          <w:highlight w:val="none"/>
        </w:rPr>
        <w:t>日期：</w:t>
      </w:r>
      <w:r>
        <w:rPr>
          <w:rFonts w:ascii="宋体" w:hAnsi="宋体" w:cs="宋体"/>
          <w:b/>
          <w:bCs/>
          <w:color w:val="auto"/>
          <w:sz w:val="28"/>
          <w:szCs w:val="28"/>
          <w:highlight w:val="none"/>
          <w:u w:val="single"/>
        </w:rPr>
        <w:t>202</w:t>
      </w:r>
      <w:r>
        <w:rPr>
          <w:rFonts w:hint="eastAsia" w:ascii="宋体" w:hAnsi="宋体" w:cs="宋体"/>
          <w:b/>
          <w:bCs/>
          <w:color w:val="auto"/>
          <w:sz w:val="28"/>
          <w:szCs w:val="28"/>
          <w:highlight w:val="none"/>
          <w:u w:val="single"/>
          <w:lang w:val="en-US" w:eastAsia="zh-CN"/>
        </w:rPr>
        <w:t>6</w:t>
      </w:r>
      <w:r>
        <w:rPr>
          <w:rFonts w:hint="eastAsia" w:ascii="宋体" w:hAnsi="宋体" w:cs="宋体"/>
          <w:b/>
          <w:bCs/>
          <w:color w:val="auto"/>
          <w:sz w:val="28"/>
          <w:szCs w:val="28"/>
          <w:highlight w:val="none"/>
          <w:u w:val="single"/>
        </w:rPr>
        <w:t xml:space="preserve">年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 xml:space="preserve">月 </w:t>
      </w:r>
      <w:r>
        <w:rPr>
          <w:rFonts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rPr>
        <w:t>日</w:t>
      </w:r>
    </w:p>
    <w:p w14:paraId="25124E7F">
      <w:pPr>
        <w:spacing w:line="440" w:lineRule="exact"/>
        <w:jc w:val="left"/>
        <w:rPr>
          <w:rFonts w:ascii="宋体" w:hAnsi="宋体" w:cs="宋体"/>
          <w:color w:val="auto"/>
          <w:sz w:val="24"/>
          <w:highlight w:val="none"/>
          <w:u w:val="single"/>
        </w:rPr>
      </w:pPr>
    </w:p>
    <w:p w14:paraId="46DE26E5">
      <w:pPr>
        <w:spacing w:line="440" w:lineRule="exact"/>
        <w:ind w:firstLine="480" w:firstLineChars="200"/>
        <w:jc w:val="left"/>
        <w:rPr>
          <w:rFonts w:ascii="宋体" w:hAnsi="宋体" w:cs="宋体"/>
          <w:color w:val="auto"/>
          <w:sz w:val="24"/>
          <w:highlight w:val="none"/>
          <w:u w:val="single"/>
        </w:rPr>
      </w:pPr>
    </w:p>
    <w:p w14:paraId="6E827730">
      <w:pPr>
        <w:spacing w:line="560" w:lineRule="exact"/>
        <w:rPr>
          <w:rFonts w:hint="eastAsia" w:ascii="宋体" w:hAnsi="宋体"/>
          <w:b/>
          <w:color w:val="auto"/>
          <w:sz w:val="44"/>
          <w:highlight w:val="none"/>
        </w:rPr>
      </w:pPr>
    </w:p>
    <w:p w14:paraId="21CB4F39">
      <w:pPr>
        <w:rPr>
          <w:rFonts w:ascii="宋体" w:hAnsi="宋体"/>
          <w:color w:val="auto"/>
          <w:highlight w:val="none"/>
        </w:rPr>
      </w:pPr>
      <w:bookmarkStart w:id="16" w:name="_Toc16938559"/>
      <w:bookmarkStart w:id="17" w:name="_Toc513029243"/>
      <w:bookmarkStart w:id="18" w:name="_Toc20823315"/>
    </w:p>
    <w:bookmarkEnd w:id="16"/>
    <w:bookmarkEnd w:id="17"/>
    <w:bookmarkEnd w:id="18"/>
    <w:p w14:paraId="76B4861F">
      <w:pPr>
        <w:rPr>
          <w:rFonts w:hint="eastAsia" w:ascii="宋体" w:hAnsi="宋体"/>
          <w:color w:val="auto"/>
          <w:sz w:val="21"/>
          <w:szCs w:val="21"/>
          <w:highlight w:val="none"/>
        </w:rPr>
      </w:pPr>
      <w:bookmarkStart w:id="19" w:name="_Toc18944_WPSOffice_Level1"/>
      <w:bookmarkStart w:id="20" w:name="_Hlt16619350"/>
      <w:bookmarkStart w:id="21" w:name="_Toc28381_WPSOffice_Level1"/>
      <w:bookmarkStart w:id="22" w:name="_Toc20823346"/>
      <w:bookmarkStart w:id="23" w:name="_Toc16938590"/>
      <w:bookmarkStart w:id="24" w:name="_Toc120614244"/>
      <w:r>
        <w:rPr>
          <w:rFonts w:ascii="宋体" w:hAnsi="宋体"/>
          <w:color w:val="auto"/>
          <w:sz w:val="28"/>
          <w:szCs w:val="28"/>
          <w:highlight w:val="none"/>
        </w:rPr>
        <w:br w:type="page"/>
      </w:r>
      <w:r>
        <w:rPr>
          <w:rFonts w:hint="eastAsia" w:ascii="宋体" w:hAnsi="宋体"/>
          <w:color w:val="auto"/>
          <w:sz w:val="21"/>
          <w:szCs w:val="21"/>
          <w:highlight w:val="none"/>
        </w:rPr>
        <w:t>合同编号:</w:t>
      </w:r>
    </w:p>
    <w:p w14:paraId="1AA715A8">
      <w:pPr>
        <w:rPr>
          <w:rFonts w:hint="eastAsia" w:ascii="宋体" w:hAnsi="宋体"/>
          <w:color w:val="auto"/>
          <w:sz w:val="21"/>
          <w:szCs w:val="21"/>
          <w:highlight w:val="none"/>
        </w:rPr>
      </w:pPr>
      <w:r>
        <w:rPr>
          <w:rFonts w:hint="eastAsia" w:ascii="宋体" w:hAnsi="宋体"/>
          <w:color w:val="auto"/>
          <w:sz w:val="21"/>
          <w:szCs w:val="21"/>
          <w:highlight w:val="none"/>
        </w:rPr>
        <w:t>政府采购计划号:</w:t>
      </w:r>
    </w:p>
    <w:p w14:paraId="193DD6E8">
      <w:pPr>
        <w:rPr>
          <w:rFonts w:hint="eastAsia" w:ascii="宋体" w:hAnsi="宋体"/>
          <w:color w:val="auto"/>
          <w:sz w:val="21"/>
          <w:szCs w:val="21"/>
          <w:highlight w:val="none"/>
        </w:rPr>
      </w:pPr>
    </w:p>
    <w:p w14:paraId="78C53911">
      <w:pPr>
        <w:rPr>
          <w:rFonts w:hint="eastAsia" w:ascii="宋体" w:hAnsi="宋体"/>
          <w:color w:val="auto"/>
          <w:sz w:val="21"/>
          <w:szCs w:val="21"/>
          <w:highlight w:val="none"/>
        </w:rPr>
      </w:pPr>
      <w:r>
        <w:rPr>
          <w:rFonts w:hint="eastAsia" w:ascii="宋体" w:hAnsi="宋体"/>
          <w:color w:val="auto"/>
          <w:sz w:val="21"/>
          <w:szCs w:val="21"/>
          <w:highlight w:val="none"/>
        </w:rPr>
        <w:t>委托方(简称甲方):</w:t>
      </w:r>
    </w:p>
    <w:p w14:paraId="29749BC8">
      <w:pPr>
        <w:rPr>
          <w:rFonts w:hint="eastAsia" w:ascii="宋体" w:hAnsi="宋体"/>
          <w:color w:val="auto"/>
          <w:sz w:val="21"/>
          <w:szCs w:val="21"/>
          <w:highlight w:val="none"/>
        </w:rPr>
      </w:pPr>
      <w:r>
        <w:rPr>
          <w:rFonts w:hint="eastAsia" w:ascii="宋体" w:hAnsi="宋体"/>
          <w:color w:val="auto"/>
          <w:sz w:val="21"/>
          <w:szCs w:val="21"/>
          <w:highlight w:val="none"/>
        </w:rPr>
        <w:t>住所地:</w:t>
      </w:r>
    </w:p>
    <w:p w14:paraId="1796081F">
      <w:pPr>
        <w:rPr>
          <w:rFonts w:hint="eastAsia" w:ascii="宋体" w:hAnsi="宋体"/>
          <w:color w:val="auto"/>
          <w:sz w:val="21"/>
          <w:szCs w:val="21"/>
          <w:highlight w:val="none"/>
        </w:rPr>
      </w:pPr>
    </w:p>
    <w:p w14:paraId="17B8F039">
      <w:pPr>
        <w:rPr>
          <w:rFonts w:hint="eastAsia" w:ascii="宋体" w:hAnsi="宋体"/>
          <w:color w:val="auto"/>
          <w:sz w:val="21"/>
          <w:szCs w:val="21"/>
          <w:highlight w:val="none"/>
        </w:rPr>
      </w:pPr>
      <w:r>
        <w:rPr>
          <w:rFonts w:hint="eastAsia" w:ascii="宋体" w:hAnsi="宋体"/>
          <w:color w:val="auto"/>
          <w:sz w:val="21"/>
          <w:szCs w:val="21"/>
          <w:highlight w:val="none"/>
        </w:rPr>
        <w:t>服务方(简称乙方):</w:t>
      </w:r>
    </w:p>
    <w:p w14:paraId="2231D7FF">
      <w:pPr>
        <w:rPr>
          <w:rFonts w:ascii="宋体" w:hAnsi="宋体"/>
          <w:color w:val="auto"/>
          <w:sz w:val="28"/>
          <w:szCs w:val="28"/>
          <w:highlight w:val="none"/>
        </w:rPr>
      </w:pPr>
      <w:r>
        <w:rPr>
          <w:rFonts w:hint="eastAsia" w:ascii="宋体" w:hAnsi="宋体"/>
          <w:color w:val="auto"/>
          <w:sz w:val="21"/>
          <w:szCs w:val="21"/>
          <w:highlight w:val="none"/>
        </w:rPr>
        <w:t>住所地:</w:t>
      </w:r>
    </w:p>
    <w:p w14:paraId="067BE7F3">
      <w:pPr>
        <w:ind w:firstLine="480" w:firstLineChars="200"/>
        <w:rPr>
          <w:rFonts w:ascii="宋体" w:hAnsi="宋体"/>
          <w:bCs/>
          <w:color w:val="auto"/>
          <w:sz w:val="24"/>
          <w:szCs w:val="24"/>
          <w:highlight w:val="none"/>
        </w:rPr>
      </w:pPr>
    </w:p>
    <w:p w14:paraId="66EBD0D8">
      <w:pPr>
        <w:spacing w:line="360" w:lineRule="auto"/>
        <w:ind w:firstLine="420" w:firstLineChars="200"/>
        <w:rPr>
          <w:rFonts w:ascii="宋体" w:hAnsi="宋体"/>
          <w:color w:val="auto"/>
          <w:highlight w:val="none"/>
        </w:rPr>
      </w:pPr>
      <w:r>
        <w:rPr>
          <w:rFonts w:hint="eastAsia" w:ascii="宋体" w:hAnsi="宋体"/>
          <w:bCs/>
          <w:color w:val="auto"/>
          <w:highlight w:val="none"/>
        </w:rPr>
        <w:t>根据《中华人民共和国政府采购法》</w:t>
      </w:r>
      <w:r>
        <w:rPr>
          <w:rFonts w:hint="eastAsia" w:ascii="宋体" w:hAnsi="宋体"/>
          <w:bCs/>
          <w:color w:val="auto"/>
          <w:highlight w:val="none"/>
          <w:lang w:eastAsia="zh-CN"/>
        </w:rPr>
        <w:t>、</w:t>
      </w:r>
      <w:r>
        <w:rPr>
          <w:rFonts w:hint="eastAsia" w:ascii="宋体" w:hAnsi="宋体"/>
          <w:bCs/>
          <w:color w:val="auto"/>
          <w:highlight w:val="none"/>
        </w:rPr>
        <w:t>《中华人民共和国</w:t>
      </w:r>
      <w:r>
        <w:rPr>
          <w:rFonts w:hint="eastAsia" w:ascii="宋体" w:hAnsi="宋体"/>
          <w:bCs/>
          <w:color w:val="auto"/>
          <w:highlight w:val="none"/>
          <w:lang w:eastAsia="zh-CN"/>
        </w:rPr>
        <w:t>民法典</w:t>
      </w:r>
      <w:r>
        <w:rPr>
          <w:rFonts w:hint="eastAsia" w:ascii="宋体" w:hAnsi="宋体"/>
          <w:bCs/>
          <w:color w:val="auto"/>
          <w:highlight w:val="none"/>
        </w:rPr>
        <w:t>》等有关法律、法规规定，在平等、自愿、协商一致的基础上，就甲方委托乙方进行养护服务，特订立本合同，以求共同恪守。</w:t>
      </w:r>
    </w:p>
    <w:p w14:paraId="3FA9BB03">
      <w:pPr>
        <w:spacing w:line="360" w:lineRule="auto"/>
        <w:ind w:firstLine="422" w:firstLineChars="200"/>
        <w:rPr>
          <w:rFonts w:ascii="宋体" w:hAnsi="宋体"/>
          <w:b/>
          <w:color w:val="auto"/>
          <w:highlight w:val="none"/>
        </w:rPr>
      </w:pPr>
      <w:r>
        <w:rPr>
          <w:rFonts w:hint="eastAsia" w:ascii="宋体" w:hAnsi="宋体"/>
          <w:b/>
          <w:color w:val="auto"/>
          <w:highlight w:val="none"/>
        </w:rPr>
        <w:t>第一条</w:t>
      </w:r>
      <w:r>
        <w:rPr>
          <w:rFonts w:ascii="宋体" w:hAnsi="宋体"/>
          <w:b/>
          <w:color w:val="auto"/>
          <w:highlight w:val="none"/>
        </w:rPr>
        <w:t xml:space="preserve"> </w:t>
      </w:r>
      <w:r>
        <w:rPr>
          <w:rFonts w:hint="eastAsia" w:ascii="宋体" w:hAnsi="宋体"/>
          <w:b/>
          <w:color w:val="auto"/>
          <w:highlight w:val="none"/>
        </w:rPr>
        <w:t>合同标的及服务期</w:t>
      </w:r>
    </w:p>
    <w:p w14:paraId="7680160B">
      <w:pPr>
        <w:autoSpaceDE w:val="0"/>
        <w:autoSpaceDN w:val="0"/>
        <w:adjustRightInd w:val="0"/>
        <w:spacing w:line="360" w:lineRule="auto"/>
        <w:ind w:firstLine="420" w:firstLineChars="200"/>
        <w:jc w:val="left"/>
        <w:rPr>
          <w:rFonts w:ascii="宋体" w:hAnsi="宋体"/>
          <w:color w:val="auto"/>
          <w:highlight w:val="none"/>
          <w:lang w:val="zh-CN"/>
        </w:rPr>
      </w:pPr>
      <w:bookmarkStart w:id="25" w:name="_Hlk45576590"/>
      <w:bookmarkStart w:id="26" w:name="_Hlk45577003"/>
      <w:r>
        <w:rPr>
          <w:rFonts w:hint="eastAsia" w:ascii="宋体" w:hAnsi="宋体" w:cs="宋体"/>
          <w:bCs/>
          <w:color w:val="auto"/>
          <w:kern w:val="0"/>
          <w:highlight w:val="none"/>
        </w:rPr>
        <w:t>本合同第一年服务期暂定为</w:t>
      </w:r>
      <w:r>
        <w:rPr>
          <w:rFonts w:hint="eastAsia" w:ascii="宋体" w:hAnsi="宋体" w:cs="宋体"/>
          <w:bCs/>
          <w:color w:val="auto"/>
          <w:kern w:val="0"/>
          <w:highlight w:val="none"/>
          <w:lang w:eastAsia="zh-CN"/>
        </w:rPr>
        <w:t>202</w:t>
      </w:r>
      <w:r>
        <w:rPr>
          <w:rFonts w:hint="eastAsia" w:ascii="宋体" w:hAnsi="宋体" w:cs="宋体"/>
          <w:bCs/>
          <w:color w:val="auto"/>
          <w:kern w:val="0"/>
          <w:highlight w:val="none"/>
          <w:lang w:val="en-US" w:eastAsia="zh-CN"/>
        </w:rPr>
        <w:t>6</w:t>
      </w:r>
      <w:r>
        <w:rPr>
          <w:rFonts w:hint="eastAsia" w:ascii="宋体" w:hAnsi="宋体" w:cs="宋体"/>
          <w:bCs/>
          <w:color w:val="auto"/>
          <w:kern w:val="0"/>
          <w:highlight w:val="none"/>
          <w:lang w:eastAsia="zh-CN"/>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日至202</w:t>
      </w:r>
      <w:r>
        <w:rPr>
          <w:rFonts w:hint="eastAsia" w:ascii="宋体" w:hAnsi="宋体" w:cs="宋体"/>
          <w:bCs/>
          <w:color w:val="auto"/>
          <w:kern w:val="0"/>
          <w:highlight w:val="none"/>
          <w:lang w:val="en-US" w:eastAsia="zh-CN"/>
        </w:rPr>
        <w:t>7</w:t>
      </w:r>
      <w:r>
        <w:rPr>
          <w:rFonts w:hint="eastAsia" w:ascii="宋体" w:hAnsi="宋体" w:cs="宋体"/>
          <w:bCs/>
          <w:color w:val="auto"/>
          <w:kern w:val="0"/>
          <w:highlight w:val="none"/>
          <w:lang w:eastAsia="zh-CN"/>
        </w:rPr>
        <w:t>年</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月</w:t>
      </w:r>
      <w:r>
        <w:rPr>
          <w:rFonts w:hint="eastAsia" w:ascii="宋体" w:hAnsi="宋体" w:cs="宋体"/>
          <w:bCs/>
          <w:color w:val="auto"/>
          <w:kern w:val="0"/>
          <w:highlight w:val="none"/>
          <w:lang w:val="en-US" w:eastAsia="zh-CN"/>
        </w:rPr>
        <w:t xml:space="preserve"> </w:t>
      </w:r>
      <w:r>
        <w:rPr>
          <w:rFonts w:hint="eastAsia" w:ascii="宋体" w:hAnsi="宋体" w:cs="宋体"/>
          <w:bCs/>
          <w:color w:val="auto"/>
          <w:kern w:val="0"/>
          <w:highlight w:val="none"/>
          <w:lang w:eastAsia="zh-CN"/>
        </w:rPr>
        <w:t>日</w:t>
      </w:r>
      <w:r>
        <w:rPr>
          <w:rFonts w:hint="eastAsia" w:ascii="宋体" w:hAnsi="宋体" w:cs="宋体"/>
          <w:bCs/>
          <w:color w:val="auto"/>
          <w:kern w:val="0"/>
          <w:highlight w:val="none"/>
        </w:rPr>
        <w:t>，第一年合同期满后，甲方有权依据年度考核结果决定是否与乙方签订后续服务合同，续签合同的服务期以此类推。</w:t>
      </w:r>
      <w:bookmarkEnd w:id="25"/>
      <w:bookmarkEnd w:id="26"/>
    </w:p>
    <w:p w14:paraId="0B3F69EA">
      <w:pPr>
        <w:spacing w:line="360" w:lineRule="auto"/>
        <w:ind w:firstLine="422" w:firstLineChars="200"/>
        <w:rPr>
          <w:rFonts w:ascii="宋体" w:hAnsi="宋体"/>
          <w:b/>
          <w:color w:val="auto"/>
          <w:highlight w:val="none"/>
        </w:rPr>
      </w:pPr>
      <w:r>
        <w:rPr>
          <w:rFonts w:hint="eastAsia" w:ascii="宋体" w:hAnsi="宋体"/>
          <w:b/>
          <w:color w:val="auto"/>
          <w:highlight w:val="none"/>
        </w:rPr>
        <w:t>第二条</w:t>
      </w:r>
      <w:r>
        <w:rPr>
          <w:rFonts w:ascii="宋体" w:hAnsi="宋体"/>
          <w:b/>
          <w:color w:val="auto"/>
          <w:highlight w:val="none"/>
        </w:rPr>
        <w:t xml:space="preserve"> </w:t>
      </w:r>
      <w:r>
        <w:rPr>
          <w:rFonts w:hint="eastAsia" w:ascii="宋体" w:hAnsi="宋体"/>
          <w:b/>
          <w:color w:val="auto"/>
          <w:highlight w:val="none"/>
        </w:rPr>
        <w:t>委托管理事项</w:t>
      </w:r>
    </w:p>
    <w:p w14:paraId="5FC8A0CF">
      <w:pPr>
        <w:spacing w:line="360" w:lineRule="auto"/>
        <w:ind w:firstLine="420" w:firstLineChars="200"/>
        <w:rPr>
          <w:rFonts w:ascii="宋体" w:hAnsi="宋体"/>
          <w:color w:val="auto"/>
          <w:highlight w:val="none"/>
        </w:rPr>
      </w:pPr>
      <w:r>
        <w:rPr>
          <w:rFonts w:hint="eastAsia" w:ascii="宋体" w:hAnsi="宋体"/>
          <w:color w:val="auto"/>
          <w:highlight w:val="none"/>
        </w:rPr>
        <w:t>委托</w:t>
      </w:r>
      <w:r>
        <w:rPr>
          <w:rFonts w:hint="eastAsia" w:ascii="宋体" w:hAnsi="宋体"/>
          <w:bCs/>
          <w:color w:val="auto"/>
          <w:highlight w:val="none"/>
          <w:u w:val="single"/>
          <w:lang w:val="en-US" w:eastAsia="zh-CN"/>
        </w:rPr>
        <w:t xml:space="preserve">              </w:t>
      </w:r>
      <w:r>
        <w:rPr>
          <w:rFonts w:hint="eastAsia" w:ascii="宋体" w:hAnsi="宋体"/>
          <w:bCs/>
          <w:color w:val="auto"/>
          <w:highlight w:val="none"/>
          <w:lang w:val="en-US" w:eastAsia="zh-CN"/>
        </w:rPr>
        <w:t>项目</w:t>
      </w:r>
      <w:r>
        <w:rPr>
          <w:rFonts w:hint="eastAsia" w:ascii="宋体" w:hAnsi="宋体"/>
          <w:color w:val="auto"/>
          <w:highlight w:val="none"/>
        </w:rPr>
        <w:t>服务事项</w:t>
      </w:r>
      <w:r>
        <w:rPr>
          <w:rFonts w:hint="eastAsia" w:ascii="宋体" w:hAnsi="宋体"/>
          <w:color w:val="auto"/>
          <w:highlight w:val="none"/>
          <w:lang w:eastAsia="zh-CN"/>
        </w:rPr>
        <w:t>，</w:t>
      </w:r>
      <w:r>
        <w:rPr>
          <w:rFonts w:hint="eastAsia" w:ascii="宋体" w:hAnsi="宋体"/>
          <w:color w:val="auto"/>
          <w:highlight w:val="none"/>
        </w:rPr>
        <w:t>详见招标文件。</w:t>
      </w:r>
    </w:p>
    <w:p w14:paraId="48D2B990">
      <w:pPr>
        <w:spacing w:line="360" w:lineRule="auto"/>
        <w:ind w:firstLine="422" w:firstLineChars="200"/>
        <w:rPr>
          <w:rFonts w:ascii="宋体" w:hAnsi="宋体"/>
          <w:b/>
          <w:color w:val="auto"/>
          <w:highlight w:val="none"/>
        </w:rPr>
      </w:pPr>
      <w:r>
        <w:rPr>
          <w:rFonts w:hint="eastAsia" w:ascii="宋体" w:hAnsi="宋体"/>
          <w:b/>
          <w:color w:val="auto"/>
          <w:highlight w:val="none"/>
        </w:rPr>
        <w:t>第三条</w:t>
      </w:r>
      <w:r>
        <w:rPr>
          <w:rFonts w:ascii="宋体" w:hAnsi="宋体"/>
          <w:b/>
          <w:color w:val="auto"/>
          <w:highlight w:val="none"/>
        </w:rPr>
        <w:t xml:space="preserve"> </w:t>
      </w:r>
      <w:r>
        <w:rPr>
          <w:rFonts w:hint="eastAsia" w:ascii="宋体" w:hAnsi="宋体"/>
          <w:b/>
          <w:color w:val="auto"/>
          <w:highlight w:val="none"/>
        </w:rPr>
        <w:t>合同总价款</w:t>
      </w:r>
    </w:p>
    <w:p w14:paraId="7D868B45">
      <w:pPr>
        <w:spacing w:line="360" w:lineRule="auto"/>
        <w:ind w:firstLine="420" w:firstLineChars="200"/>
        <w:rPr>
          <w:rFonts w:ascii="宋体" w:hAnsi="宋体"/>
          <w:color w:val="auto"/>
          <w:highlight w:val="none"/>
        </w:rPr>
      </w:pPr>
      <w:r>
        <w:rPr>
          <w:rFonts w:hint="eastAsia" w:ascii="宋体" w:hAnsi="宋体"/>
          <w:color w:val="auto"/>
          <w:highlight w:val="none"/>
        </w:rPr>
        <w:t>一、本合同项下壹年管理服务费用人民币总价款</w:t>
      </w:r>
      <w:r>
        <w:rPr>
          <w:rFonts w:hint="eastAsia" w:ascii="宋体" w:hAnsi="宋体"/>
          <w:color w:val="auto"/>
          <w:highlight w:val="none"/>
          <w:lang w:eastAsia="zh-CN"/>
        </w:rPr>
        <w:t>（</w:t>
      </w:r>
      <w:r>
        <w:rPr>
          <w:rFonts w:hint="eastAsia" w:ascii="宋体" w:hAnsi="宋体"/>
          <w:color w:val="auto"/>
          <w:highlight w:val="none"/>
          <w:lang w:val="en-US" w:eastAsia="zh-CN"/>
        </w:rPr>
        <w:t>暂估，最终结算以实际甲方审核工作量为准</w:t>
      </w:r>
      <w:r>
        <w:rPr>
          <w:rFonts w:hint="eastAsia" w:ascii="宋体" w:hAnsi="宋体"/>
          <w:color w:val="auto"/>
          <w:highlight w:val="none"/>
          <w:lang w:eastAsia="zh-CN"/>
        </w:rPr>
        <w:t>）</w:t>
      </w:r>
      <w:r>
        <w:rPr>
          <w:rFonts w:hint="eastAsia" w:ascii="宋体" w:hAnsi="宋体"/>
          <w:color w:val="auto"/>
          <w:highlight w:val="none"/>
        </w:rPr>
        <w:t>为人民币</w:t>
      </w:r>
      <w:r>
        <w:rPr>
          <w:rFonts w:ascii="宋体" w:hAnsi="宋体"/>
          <w:b/>
          <w:color w:val="auto"/>
          <w:highlight w:val="none"/>
          <w:u w:val="single"/>
        </w:rPr>
        <w:t xml:space="preserve">         </w:t>
      </w:r>
      <w:r>
        <w:rPr>
          <w:rFonts w:hint="eastAsia" w:ascii="宋体" w:hAnsi="宋体"/>
          <w:color w:val="auto"/>
          <w:highlight w:val="none"/>
        </w:rPr>
        <w:t>元（大写）。</w:t>
      </w:r>
    </w:p>
    <w:p w14:paraId="3DF4CF36">
      <w:pPr>
        <w:spacing w:line="360" w:lineRule="auto"/>
        <w:ind w:firstLine="420" w:firstLineChars="200"/>
        <w:rPr>
          <w:rFonts w:ascii="宋体" w:hAnsi="宋体"/>
          <w:color w:val="auto"/>
          <w:highlight w:val="none"/>
        </w:rPr>
      </w:pPr>
      <w:r>
        <w:rPr>
          <w:rFonts w:hint="eastAsia" w:ascii="宋体" w:hAnsi="宋体" w:cs="宋体"/>
          <w:color w:val="000000"/>
          <w:kern w:val="0"/>
          <w:sz w:val="21"/>
          <w:szCs w:val="21"/>
          <w:highlight w:val="none"/>
          <w:lang w:val="en-US" w:eastAsia="zh-CN"/>
        </w:rPr>
        <w:t>二、</w:t>
      </w:r>
      <w:r>
        <w:rPr>
          <w:rFonts w:hint="eastAsia" w:ascii="宋体" w:hAnsi="宋体" w:eastAsia="宋体" w:cs="宋体"/>
          <w:color w:val="000000"/>
          <w:kern w:val="0"/>
          <w:sz w:val="21"/>
          <w:szCs w:val="21"/>
          <w:highlight w:val="none"/>
        </w:rPr>
        <w:t>本合同执行期间合同单价不变,最终结算以实际甲方审核工作量以及考核结果为准。如服务范围不变，合同总价也不予调整。服务范围如有调整，甲方将提前30日以书面形式通知乙方，因建设工程或其他原因需要占用的以行政许可等相关手续为准。</w:t>
      </w:r>
    </w:p>
    <w:p w14:paraId="4FEB75A3">
      <w:pPr>
        <w:spacing w:line="360" w:lineRule="auto"/>
        <w:ind w:firstLine="422" w:firstLineChars="200"/>
        <w:rPr>
          <w:rFonts w:ascii="宋体" w:hAnsi="宋体"/>
          <w:b/>
          <w:color w:val="auto"/>
          <w:highlight w:val="none"/>
        </w:rPr>
      </w:pPr>
      <w:r>
        <w:rPr>
          <w:rFonts w:hint="eastAsia" w:ascii="宋体" w:hAnsi="宋体"/>
          <w:b/>
          <w:color w:val="auto"/>
          <w:highlight w:val="none"/>
        </w:rPr>
        <w:t>第四条</w:t>
      </w:r>
      <w:r>
        <w:rPr>
          <w:rFonts w:ascii="宋体" w:hAnsi="宋体"/>
          <w:b/>
          <w:color w:val="auto"/>
          <w:highlight w:val="none"/>
        </w:rPr>
        <w:t xml:space="preserve"> </w:t>
      </w:r>
      <w:r>
        <w:rPr>
          <w:rFonts w:hint="eastAsia" w:ascii="宋体" w:hAnsi="宋体"/>
          <w:b/>
          <w:color w:val="auto"/>
          <w:highlight w:val="none"/>
        </w:rPr>
        <w:t>组成本合同的有关文件</w:t>
      </w:r>
    </w:p>
    <w:p w14:paraId="2EFBD67D">
      <w:pPr>
        <w:spacing w:line="360" w:lineRule="auto"/>
        <w:ind w:firstLine="420" w:firstLineChars="200"/>
        <w:jc w:val="left"/>
        <w:rPr>
          <w:rFonts w:ascii="宋体" w:hAnsi="宋体"/>
          <w:color w:val="auto"/>
          <w:highlight w:val="none"/>
        </w:rPr>
      </w:pPr>
      <w:r>
        <w:rPr>
          <w:rFonts w:hint="eastAsia" w:ascii="宋体" w:hAnsi="宋体"/>
          <w:color w:val="auto"/>
          <w:highlight w:val="none"/>
        </w:rPr>
        <w:t>下列关于招标文件或与本次招标活动方式相适应的文件及有关附件是本合同不可分割的组成部分，与本合同具有同等法律效力，这些文件包括但不限于：</w:t>
      </w:r>
    </w:p>
    <w:p w14:paraId="7AF9BB41">
      <w:pPr>
        <w:spacing w:line="360" w:lineRule="auto"/>
        <w:ind w:firstLine="420" w:firstLineChars="200"/>
        <w:jc w:val="left"/>
        <w:rPr>
          <w:rFonts w:ascii="宋体" w:hAnsi="宋体"/>
          <w:color w:val="auto"/>
          <w:highlight w:val="none"/>
        </w:rPr>
      </w:pPr>
      <w:r>
        <w:rPr>
          <w:rFonts w:hint="eastAsia" w:ascii="宋体" w:hAnsi="宋体"/>
          <w:color w:val="auto"/>
          <w:highlight w:val="none"/>
        </w:rPr>
        <w:t>一、乙方提供的投标文件和报价表；</w:t>
      </w:r>
    </w:p>
    <w:p w14:paraId="63048E9D">
      <w:pPr>
        <w:spacing w:line="360" w:lineRule="auto"/>
        <w:ind w:firstLine="420" w:firstLineChars="200"/>
        <w:jc w:val="left"/>
        <w:rPr>
          <w:rFonts w:ascii="宋体" w:hAnsi="宋体"/>
          <w:color w:val="auto"/>
          <w:highlight w:val="none"/>
        </w:rPr>
      </w:pPr>
      <w:r>
        <w:rPr>
          <w:rFonts w:hint="eastAsia" w:ascii="宋体" w:hAnsi="宋体"/>
          <w:color w:val="auto"/>
          <w:highlight w:val="none"/>
        </w:rPr>
        <w:t>二、中标通知书；</w:t>
      </w:r>
    </w:p>
    <w:p w14:paraId="748C99E6">
      <w:pPr>
        <w:spacing w:line="360" w:lineRule="auto"/>
        <w:ind w:firstLine="420" w:firstLineChars="200"/>
        <w:jc w:val="left"/>
        <w:rPr>
          <w:rFonts w:ascii="宋体" w:hAnsi="宋体"/>
          <w:color w:val="auto"/>
          <w:highlight w:val="none"/>
        </w:rPr>
      </w:pPr>
      <w:r>
        <w:rPr>
          <w:rFonts w:hint="eastAsia" w:ascii="宋体" w:hAnsi="宋体"/>
          <w:color w:val="auto"/>
          <w:highlight w:val="none"/>
        </w:rPr>
        <w:t>三、甲乙双方商定的其他文件。</w:t>
      </w:r>
    </w:p>
    <w:p w14:paraId="642DC248">
      <w:pPr>
        <w:spacing w:line="360" w:lineRule="auto"/>
        <w:ind w:firstLine="560"/>
        <w:jc w:val="left"/>
        <w:rPr>
          <w:rFonts w:ascii="宋体" w:hAnsi="宋体"/>
          <w:b/>
          <w:color w:val="auto"/>
          <w:highlight w:val="none"/>
        </w:rPr>
      </w:pPr>
      <w:r>
        <w:rPr>
          <w:rFonts w:hint="eastAsia" w:ascii="宋体" w:hAnsi="宋体"/>
          <w:b/>
          <w:color w:val="auto"/>
          <w:highlight w:val="none"/>
        </w:rPr>
        <w:t>第五条 双方权利义务</w:t>
      </w:r>
    </w:p>
    <w:p w14:paraId="31784D4E">
      <w:pPr>
        <w:autoSpaceDE w:val="0"/>
        <w:autoSpaceDN w:val="0"/>
        <w:adjustRightInd w:val="0"/>
        <w:spacing w:line="360" w:lineRule="auto"/>
        <w:ind w:firstLine="420" w:firstLineChars="200"/>
        <w:jc w:val="left"/>
        <w:rPr>
          <w:rFonts w:ascii="宋体" w:hAnsi="宋体"/>
          <w:color w:val="auto"/>
          <w:highlight w:val="none"/>
        </w:rPr>
      </w:pPr>
      <w:r>
        <w:rPr>
          <w:rFonts w:hint="eastAsia" w:ascii="宋体" w:hAnsi="宋体"/>
          <w:color w:val="auto"/>
          <w:highlight w:val="none"/>
        </w:rPr>
        <w:t>一、甲方权利和义务</w:t>
      </w:r>
    </w:p>
    <w:p w14:paraId="130CAAD3">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1、对乙方所承包设施的维护质量、数量（面积）等进行检查考核，按照考核结果进行绿化维护费用拨付。</w:t>
      </w:r>
    </w:p>
    <w:p w14:paraId="7AE1FE13">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2、审核乙方提交的绿化维护计划，根据绿化维护需要对乙方维护计划进行核准或调整。</w:t>
      </w:r>
    </w:p>
    <w:p w14:paraId="2F499CE9">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3、督促、指导乙方按照绿化维护规范、规程的要求实施绿化维护、巡查等工作。</w:t>
      </w:r>
    </w:p>
    <w:p w14:paraId="0E304ECF">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4、甲方可根据国家、省、市以及市业务主管部门相关法律法规和管理规定的变动对检查考核规范进行修改和补充。</w:t>
      </w:r>
    </w:p>
    <w:p w14:paraId="09D71725">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5、监督检查乙方落实安全作业措施。</w:t>
      </w:r>
    </w:p>
    <w:p w14:paraId="356471FE">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6、督促乙方为合同项目工作人员办理社保、意外险等，上述费用包含在合同款中。</w:t>
      </w:r>
    </w:p>
    <w:p w14:paraId="19C22A94">
      <w:pPr>
        <w:pStyle w:val="20"/>
        <w:spacing w:line="360" w:lineRule="auto"/>
        <w:ind w:left="0" w:leftChars="0" w:right="-29" w:rightChars="-14" w:firstLine="420" w:firstLineChars="200"/>
        <w:rPr>
          <w:rFonts w:ascii="宋体" w:hAnsi="宋体"/>
          <w:bCs/>
          <w:color w:val="auto"/>
          <w:kern w:val="0"/>
          <w:highlight w:val="none"/>
        </w:rPr>
      </w:pPr>
      <w:r>
        <w:rPr>
          <w:rFonts w:hint="eastAsia" w:ascii="宋体" w:hAnsi="宋体"/>
          <w:bCs/>
          <w:color w:val="auto"/>
          <w:kern w:val="0"/>
          <w:highlight w:val="none"/>
        </w:rPr>
        <w:t>7、在乙方不能履行本合同相应责任、义务或未完全履行义务时，甲方有权书面通知乙方终止合同，并按相关法律、法规对乙方追究责任，并扣除未履行义务与之相应的养护费用，乙方须在一周内移交相关资料并撤场。</w:t>
      </w:r>
      <w:bookmarkStart w:id="27" w:name="_Hlk44861278"/>
    </w:p>
    <w:p w14:paraId="034C7DA6">
      <w:pPr>
        <w:pStyle w:val="20"/>
        <w:spacing w:line="360" w:lineRule="auto"/>
        <w:ind w:left="0" w:leftChars="0" w:right="-29" w:rightChars="-14" w:firstLine="420" w:firstLineChars="200"/>
        <w:rPr>
          <w:rFonts w:hint="eastAsia"/>
          <w:color w:val="auto"/>
          <w:highlight w:val="none"/>
        </w:rPr>
      </w:pPr>
      <w:r>
        <w:rPr>
          <w:rFonts w:hint="eastAsia"/>
          <w:color w:val="auto"/>
          <w:highlight w:val="none"/>
        </w:rPr>
        <w:t>8、甲方有权对乙方的工作进行考核，有权按照项目实际需求变更考核细则，但须提前1</w:t>
      </w:r>
      <w:r>
        <w:rPr>
          <w:color w:val="auto"/>
          <w:highlight w:val="none"/>
        </w:rPr>
        <w:t>5</w:t>
      </w:r>
      <w:r>
        <w:rPr>
          <w:rFonts w:hint="eastAsia"/>
          <w:color w:val="auto"/>
          <w:highlight w:val="none"/>
        </w:rPr>
        <w:t>日以书面形式告知乙方。</w:t>
      </w:r>
    </w:p>
    <w:bookmarkEnd w:id="27"/>
    <w:p w14:paraId="1FED41F7">
      <w:pPr>
        <w:spacing w:line="360" w:lineRule="auto"/>
        <w:ind w:firstLine="420" w:firstLineChars="200"/>
        <w:rPr>
          <w:rFonts w:ascii="宋体" w:hAnsi="宋体"/>
          <w:color w:val="auto"/>
          <w:highlight w:val="none"/>
        </w:rPr>
      </w:pPr>
      <w:r>
        <w:rPr>
          <w:rFonts w:hint="eastAsia" w:ascii="宋体" w:hAnsi="宋体"/>
          <w:color w:val="auto"/>
          <w:highlight w:val="none"/>
        </w:rPr>
        <w:t>二、乙方的权利和义务</w:t>
      </w:r>
    </w:p>
    <w:p w14:paraId="420FBB00">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1、按照绿化养护规范、规程的要求实施并完成各项绿化养护任务，达到甲方有关绿化养护标准，保持所维护设施完好状况的水平，及时进行补种确保绿化完好率不低于9</w:t>
      </w:r>
      <w:r>
        <w:rPr>
          <w:rFonts w:ascii="宋体" w:hAnsi="宋体"/>
          <w:bCs/>
          <w:color w:val="auto"/>
          <w:kern w:val="0"/>
          <w:highlight w:val="none"/>
        </w:rPr>
        <w:t>8</w:t>
      </w:r>
      <w:r>
        <w:rPr>
          <w:rFonts w:hint="eastAsia" w:ascii="宋体" w:hAnsi="宋体"/>
          <w:bCs/>
          <w:color w:val="auto"/>
          <w:kern w:val="0"/>
          <w:highlight w:val="none"/>
        </w:rPr>
        <w:t>%，依据合同约定条款获得养护经费。</w:t>
      </w:r>
    </w:p>
    <w:p w14:paraId="5498BA4B">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2、按照有关要求实施维护作业施工时，按照甲方要求统一着装，对巡查作业车辆（含洒水车）统一喷涂标志并加装G</w:t>
      </w:r>
      <w:r>
        <w:rPr>
          <w:rFonts w:ascii="宋体" w:hAnsi="宋体"/>
          <w:bCs/>
          <w:color w:val="auto"/>
          <w:kern w:val="0"/>
          <w:highlight w:val="none"/>
        </w:rPr>
        <w:t>PS</w:t>
      </w:r>
      <w:r>
        <w:rPr>
          <w:rFonts w:hint="eastAsia" w:ascii="宋体" w:hAnsi="宋体"/>
          <w:bCs/>
          <w:color w:val="auto"/>
          <w:kern w:val="0"/>
          <w:highlight w:val="none"/>
        </w:rPr>
        <w:t>。乙方的工作人员及设备的安全由乙方负责。因养护责任而造成所承包养护范围内的设施设备对自身或第三方形成伤害时一切责任由乙方承担。</w:t>
      </w:r>
    </w:p>
    <w:p w14:paraId="13C170D7">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 xml:space="preserve">3、乙方对所养护的内容有巡查的义务，如发现绿地占用、绿化设施被人为损坏或偷盗事件时，应予以制止，及时向甲方报告。如发现绿化设施养护问题主动整改。 </w:t>
      </w:r>
    </w:p>
    <w:p w14:paraId="11E35FB8">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4、建立健全绿化养护各类</w:t>
      </w:r>
      <w:r>
        <w:rPr>
          <w:rFonts w:hint="eastAsia" w:ascii="宋体" w:hAnsi="宋体"/>
          <w:bCs/>
          <w:color w:val="auto"/>
          <w:kern w:val="0"/>
          <w:highlight w:val="none"/>
          <w:lang w:eastAsia="zh-CN"/>
        </w:rPr>
        <w:t>台账</w:t>
      </w:r>
      <w:r>
        <w:rPr>
          <w:rFonts w:hint="eastAsia" w:ascii="宋体" w:hAnsi="宋体"/>
          <w:bCs/>
          <w:color w:val="auto"/>
          <w:kern w:val="0"/>
          <w:highlight w:val="none"/>
        </w:rPr>
        <w:t>资料，按规定及时准确地向甲方报送养护计划和养护报表。</w:t>
      </w:r>
    </w:p>
    <w:p w14:paraId="6CAC7737">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5、依据甲方的要求、技术规范确定防汛</w:t>
      </w:r>
      <w:r>
        <w:rPr>
          <w:rFonts w:hint="eastAsia" w:ascii="宋体" w:hAnsi="宋体"/>
          <w:bCs/>
          <w:color w:val="auto"/>
          <w:kern w:val="0"/>
          <w:highlight w:val="none"/>
          <w:lang w:eastAsia="zh-CN"/>
        </w:rPr>
        <w:t>排涝</w:t>
      </w:r>
      <w:r>
        <w:rPr>
          <w:rFonts w:hint="eastAsia" w:ascii="宋体" w:hAnsi="宋体"/>
          <w:bCs/>
          <w:color w:val="auto"/>
          <w:kern w:val="0"/>
          <w:highlight w:val="none"/>
        </w:rPr>
        <w:t>措施，建立防汛</w:t>
      </w:r>
      <w:r>
        <w:rPr>
          <w:rFonts w:hint="eastAsia" w:ascii="宋体" w:hAnsi="宋体"/>
          <w:bCs/>
          <w:color w:val="auto"/>
          <w:kern w:val="0"/>
          <w:highlight w:val="none"/>
          <w:lang w:eastAsia="zh-CN"/>
        </w:rPr>
        <w:t>排涝</w:t>
      </w:r>
      <w:r>
        <w:rPr>
          <w:rFonts w:hint="eastAsia" w:ascii="宋体" w:hAnsi="宋体"/>
          <w:bCs/>
          <w:color w:val="auto"/>
          <w:kern w:val="0"/>
          <w:highlight w:val="none"/>
        </w:rPr>
        <w:t>期间的组织网络，组建防汛抢险队伍，准备并且备足常用的防汛</w:t>
      </w:r>
      <w:r>
        <w:rPr>
          <w:rFonts w:hint="eastAsia" w:ascii="宋体" w:hAnsi="宋体"/>
          <w:bCs/>
          <w:color w:val="auto"/>
          <w:kern w:val="0"/>
          <w:highlight w:val="none"/>
          <w:lang w:eastAsia="zh-CN"/>
        </w:rPr>
        <w:t>排涝</w:t>
      </w:r>
      <w:r>
        <w:rPr>
          <w:rFonts w:hint="eastAsia" w:ascii="宋体" w:hAnsi="宋体"/>
          <w:bCs/>
          <w:color w:val="auto"/>
          <w:kern w:val="0"/>
          <w:highlight w:val="none"/>
        </w:rPr>
        <w:t>抢险材料，服从甲方调度和管理。</w:t>
      </w:r>
    </w:p>
    <w:p w14:paraId="672A688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6、乙方应及时清扫积雪，保证其承包养护的设施对行人，车辆的安全。</w:t>
      </w:r>
    </w:p>
    <w:p w14:paraId="4F6E266D">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7、重大应急处理：</w:t>
      </w:r>
    </w:p>
    <w:p w14:paraId="4D765DAC">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在不可抗力造成乙方承包养护的设施损坏时，在事发的第一时间内乙方应派人员赶到事发现场，根据设施的损坏情况，拿出处理方案（方案得到甲方批准后），立即组织人员进行处理，力争在最短的时间消除隐患。</w:t>
      </w:r>
    </w:p>
    <w:p w14:paraId="6A3EA4D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8、乙方所采用的维护材料、机具必须符合国家、省、市相关标准和规定，且为合格产品。</w:t>
      </w:r>
    </w:p>
    <w:p w14:paraId="22018AB3">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9、乙方所聘用的各岗位人员必须经过专业培训，持有上岗证。</w:t>
      </w:r>
    </w:p>
    <w:p w14:paraId="55DF43A6">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10、乙方不得将所承包维护的设施进行出租、抵押、担保、转包、分包或利用其从事其他经营性行为。</w:t>
      </w:r>
    </w:p>
    <w:p w14:paraId="661C2371">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11、乙方应设立投诉报修电话，实行24小时值班制度，保证24小时通讯畅通。值班表因提前报备甲方，以备抽查。</w:t>
      </w:r>
    </w:p>
    <w:p w14:paraId="0DF32E86">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12、乙方须开展行风文明建设，遵守承诺制、首问负责制。</w:t>
      </w:r>
    </w:p>
    <w:p w14:paraId="546B0F3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13、在各项保供、迎检工作中，服从甲方安排，达到各项要求。此费用包含合同款中。</w:t>
      </w:r>
    </w:p>
    <w:p w14:paraId="60FF4DEB">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14、乙方不得私自改动绿化设施或允许他人改动绿化设施。</w:t>
      </w:r>
    </w:p>
    <w:p w14:paraId="5F2B7FCA">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15、如乙方使用新技术、新产品，在养护工作中得到有效利用，并提升养护质量，在当月养护考核中给予适当加分。</w:t>
      </w:r>
    </w:p>
    <w:p w14:paraId="614EC202">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16、在合同履行过程中，如果因为乙方人员的责任造成人身伤害和财产损失，由乙方承担全部的赔偿责任。</w:t>
      </w:r>
    </w:p>
    <w:p w14:paraId="0F80D327">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17、乙方拟投入项目的人员未经甲方书面同意，不得更换，且需积极响应甲方现场检查、考核、会议等要求。</w:t>
      </w:r>
    </w:p>
    <w:p w14:paraId="44D99C69">
      <w:pPr>
        <w:widowControl/>
        <w:shd w:val="clear" w:color="auto" w:fill="FFFFFF"/>
        <w:spacing w:line="360" w:lineRule="auto"/>
        <w:ind w:firstLine="420"/>
        <w:jc w:val="left"/>
        <w:rPr>
          <w:rFonts w:ascii="宋体" w:hAnsi="宋体"/>
          <w:bCs/>
          <w:color w:val="auto"/>
          <w:kern w:val="0"/>
          <w:highlight w:val="none"/>
        </w:rPr>
      </w:pPr>
      <w:r>
        <w:rPr>
          <w:rFonts w:ascii="宋体" w:hAnsi="宋体"/>
          <w:bCs/>
          <w:color w:val="auto"/>
          <w:kern w:val="0"/>
          <w:highlight w:val="none"/>
        </w:rPr>
        <w:t>18</w:t>
      </w:r>
      <w:r>
        <w:rPr>
          <w:rFonts w:hint="eastAsia" w:ascii="宋体" w:hAnsi="宋体"/>
          <w:bCs/>
          <w:color w:val="auto"/>
          <w:kern w:val="0"/>
          <w:highlight w:val="none"/>
        </w:rPr>
        <w:t>、合同履行期间内逐步完善养护范围内绿化建设。</w:t>
      </w:r>
    </w:p>
    <w:p w14:paraId="460D7336">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1</w:t>
      </w:r>
      <w:r>
        <w:rPr>
          <w:rFonts w:ascii="宋体" w:hAnsi="宋体"/>
          <w:bCs/>
          <w:color w:val="auto"/>
          <w:kern w:val="0"/>
          <w:highlight w:val="none"/>
        </w:rPr>
        <w:t>9</w:t>
      </w:r>
      <w:r>
        <w:rPr>
          <w:rFonts w:hint="eastAsia" w:ascii="宋体" w:hAnsi="宋体"/>
          <w:bCs/>
          <w:color w:val="auto"/>
          <w:kern w:val="0"/>
          <w:highlight w:val="none"/>
        </w:rPr>
        <w:t>、</w:t>
      </w:r>
      <w:bookmarkStart w:id="28" w:name="_Hlk44920549"/>
      <w:r>
        <w:rPr>
          <w:rFonts w:hint="eastAsia"/>
          <w:color w:val="auto"/>
          <w:highlight w:val="none"/>
        </w:rPr>
        <w:t>乙方须按《劳动合同法》和政府有关各部门规定为服务人员交纳所有相关的社会保险及其他相关费用。乙方对此全权负责。在服务期内，乙方所有人员的事故由乙方自行全权负责(如乙方应对其员工投保人身意外险)，以保证甲方在乙方工作人员索赔时不受任何责任的约束。乙方应对乙方人员以及第三方全权负责(如乙方应投保第三者责任险、公众责任险等)，在乙方的责任区内由于乙方原因导致自己员工或第三方的事故由乙方负责，甲方不承担任何责任。保险赔付范围之外的相关费用由乙方承担。在乙方养护范围内出现安全隐患时，乙方应及时设置安全警示标志、派专人看护值守并及时向甲方及有关部门报告，直至安全隐患解除。如因乙方发现不及时、报告不及时、看护不当等造成的相关损失及赔偿包括在合同价中，造成重大事故的将追究乙方责任。</w:t>
      </w:r>
      <w:bookmarkEnd w:id="28"/>
    </w:p>
    <w:p w14:paraId="3AEE5F77">
      <w:pPr>
        <w:widowControl/>
        <w:shd w:val="clear" w:color="auto" w:fill="FFFFFF"/>
        <w:spacing w:line="360" w:lineRule="auto"/>
        <w:ind w:firstLine="420"/>
        <w:jc w:val="left"/>
        <w:rPr>
          <w:rFonts w:ascii="宋体" w:hAnsi="宋体"/>
          <w:bCs/>
          <w:color w:val="auto"/>
          <w:kern w:val="0"/>
          <w:highlight w:val="none"/>
        </w:rPr>
      </w:pPr>
      <w:r>
        <w:rPr>
          <w:rFonts w:ascii="宋体" w:hAnsi="宋体"/>
          <w:bCs/>
          <w:color w:val="auto"/>
          <w:kern w:val="0"/>
          <w:highlight w:val="none"/>
        </w:rPr>
        <w:t>20</w:t>
      </w:r>
      <w:r>
        <w:rPr>
          <w:rFonts w:hint="eastAsia" w:ascii="宋体" w:hAnsi="宋体"/>
          <w:bCs/>
          <w:color w:val="auto"/>
          <w:kern w:val="0"/>
          <w:highlight w:val="none"/>
        </w:rPr>
        <w:t>、乙方须积极处理政府平台相关投诉，包括但不限于12345工单等。</w:t>
      </w:r>
    </w:p>
    <w:p w14:paraId="0D8F0078">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w:t>
      </w:r>
      <w:r>
        <w:rPr>
          <w:rFonts w:ascii="宋体" w:hAnsi="宋体"/>
          <w:bCs/>
          <w:color w:val="auto"/>
          <w:kern w:val="0"/>
          <w:highlight w:val="none"/>
        </w:rPr>
        <w:t>1</w:t>
      </w:r>
      <w:r>
        <w:rPr>
          <w:rFonts w:hint="eastAsia" w:ascii="宋体" w:hAnsi="宋体"/>
          <w:bCs/>
          <w:color w:val="auto"/>
          <w:kern w:val="0"/>
          <w:highlight w:val="none"/>
        </w:rPr>
        <w:t>、完成甲方交办的其他临时性工作。</w:t>
      </w:r>
    </w:p>
    <w:p w14:paraId="77343CB4">
      <w:pPr>
        <w:widowControl/>
        <w:shd w:val="clear" w:color="auto" w:fill="FFFFFF"/>
        <w:spacing w:line="360" w:lineRule="auto"/>
        <w:ind w:firstLine="420"/>
        <w:jc w:val="left"/>
        <w:rPr>
          <w:rFonts w:ascii="宋体" w:hAnsi="宋体"/>
          <w:bCs/>
          <w:color w:val="auto"/>
          <w:kern w:val="0"/>
          <w:highlight w:val="none"/>
        </w:rPr>
      </w:pPr>
      <w:r>
        <w:rPr>
          <w:rFonts w:ascii="宋体" w:hAnsi="宋体"/>
          <w:bCs/>
          <w:color w:val="auto"/>
          <w:kern w:val="0"/>
          <w:highlight w:val="none"/>
        </w:rPr>
        <w:t>22</w:t>
      </w:r>
      <w:r>
        <w:rPr>
          <w:rFonts w:hint="eastAsia" w:ascii="宋体" w:hAnsi="宋体"/>
          <w:bCs/>
          <w:color w:val="auto"/>
          <w:kern w:val="0"/>
          <w:highlight w:val="none"/>
        </w:rPr>
        <w:t>、若遇国家省市区域相关政策调整，乙方须无条件解除合同。</w:t>
      </w:r>
    </w:p>
    <w:p w14:paraId="1588EDAA">
      <w:pPr>
        <w:widowControl/>
        <w:shd w:val="clear" w:color="auto" w:fill="FFFFFF"/>
        <w:spacing w:line="360" w:lineRule="auto"/>
        <w:ind w:firstLine="420"/>
        <w:jc w:val="left"/>
        <w:rPr>
          <w:rFonts w:ascii="宋体" w:hAnsi="宋体"/>
          <w:bCs/>
          <w:color w:val="auto"/>
          <w:kern w:val="0"/>
          <w:highlight w:val="none"/>
        </w:rPr>
      </w:pPr>
      <w:r>
        <w:rPr>
          <w:rFonts w:hint="eastAsia" w:ascii="宋体" w:hAnsi="宋体"/>
          <w:bCs/>
          <w:color w:val="auto"/>
          <w:kern w:val="0"/>
          <w:highlight w:val="none"/>
        </w:rPr>
        <w:t>2</w:t>
      </w:r>
      <w:r>
        <w:rPr>
          <w:rFonts w:ascii="宋体" w:hAnsi="宋体"/>
          <w:bCs/>
          <w:color w:val="auto"/>
          <w:kern w:val="0"/>
          <w:highlight w:val="none"/>
        </w:rPr>
        <w:t>3</w:t>
      </w:r>
      <w:r>
        <w:rPr>
          <w:rFonts w:hint="eastAsia" w:ascii="宋体" w:hAnsi="宋体"/>
          <w:bCs/>
          <w:color w:val="auto"/>
          <w:kern w:val="0"/>
          <w:highlight w:val="none"/>
        </w:rPr>
        <w:t>、不得分包、转包；一旦甲方发现存在分包或转包的行为，有权直接解除合同并追究乙方的违约责任。</w:t>
      </w:r>
    </w:p>
    <w:p w14:paraId="322D5D71">
      <w:pPr>
        <w:widowControl/>
        <w:shd w:val="clear" w:color="auto" w:fill="FFFFFF"/>
        <w:spacing w:line="360" w:lineRule="auto"/>
        <w:ind w:firstLine="420"/>
        <w:jc w:val="left"/>
        <w:rPr>
          <w:rFonts w:hint="eastAsia" w:ascii="宋体" w:hAnsi="宋体"/>
          <w:bCs/>
          <w:color w:val="auto"/>
          <w:kern w:val="0"/>
          <w:highlight w:val="none"/>
        </w:rPr>
      </w:pPr>
      <w:r>
        <w:rPr>
          <w:rFonts w:ascii="宋体" w:hAnsi="宋体"/>
          <w:bCs/>
          <w:color w:val="auto"/>
          <w:kern w:val="0"/>
          <w:highlight w:val="none"/>
        </w:rPr>
        <w:t>24</w:t>
      </w:r>
      <w:r>
        <w:rPr>
          <w:rFonts w:hint="eastAsia" w:ascii="宋体" w:hAnsi="宋体"/>
          <w:bCs/>
          <w:color w:val="auto"/>
          <w:kern w:val="0"/>
          <w:highlight w:val="none"/>
        </w:rPr>
        <w:t>、乙方应积极主动接受甲方的考核，并对考核结果予以承认，当考核标准有变动时应予以积极配合并按照最新的考核要求开展养护工作。</w:t>
      </w:r>
    </w:p>
    <w:p w14:paraId="4A5FB82E">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第六条 乙方服务的质量保证</w:t>
      </w:r>
    </w:p>
    <w:p w14:paraId="486F374A">
      <w:pPr>
        <w:spacing w:line="360" w:lineRule="auto"/>
        <w:ind w:firstLine="420" w:firstLineChars="200"/>
        <w:jc w:val="left"/>
        <w:rPr>
          <w:rFonts w:ascii="宋体" w:hAnsi="宋体"/>
          <w:color w:val="auto"/>
          <w:highlight w:val="none"/>
        </w:rPr>
      </w:pPr>
      <w:r>
        <w:rPr>
          <w:rFonts w:hint="eastAsia" w:ascii="宋体" w:hAnsi="宋体"/>
          <w:color w:val="auto"/>
          <w:highlight w:val="none"/>
        </w:rPr>
        <w:t>一、建立质量管理体系并有效运行，管理服务能够接受质量审核。</w:t>
      </w:r>
    </w:p>
    <w:p w14:paraId="3684FB90">
      <w:pPr>
        <w:spacing w:line="360" w:lineRule="auto"/>
        <w:ind w:firstLine="420" w:firstLineChars="200"/>
        <w:jc w:val="left"/>
        <w:rPr>
          <w:rFonts w:ascii="宋体" w:hAnsi="宋体"/>
          <w:color w:val="auto"/>
          <w:highlight w:val="none"/>
        </w:rPr>
      </w:pPr>
      <w:r>
        <w:rPr>
          <w:rFonts w:hint="eastAsia" w:ascii="宋体" w:hAnsi="宋体"/>
          <w:color w:val="auto"/>
          <w:highlight w:val="none"/>
        </w:rPr>
        <w:t>二、管理服务逐步达到接受创优评审条件。</w:t>
      </w:r>
    </w:p>
    <w:p w14:paraId="1794174E">
      <w:pPr>
        <w:spacing w:line="360" w:lineRule="auto"/>
        <w:ind w:firstLine="420" w:firstLineChars="200"/>
        <w:jc w:val="left"/>
        <w:rPr>
          <w:rFonts w:ascii="宋体" w:hAnsi="宋体"/>
          <w:color w:val="auto"/>
          <w:highlight w:val="none"/>
        </w:rPr>
      </w:pPr>
      <w:r>
        <w:rPr>
          <w:rFonts w:hint="eastAsia" w:ascii="宋体" w:hAnsi="宋体"/>
          <w:color w:val="auto"/>
          <w:highlight w:val="none"/>
        </w:rPr>
        <w:t>三、各项承诺指标及所采取的措施详见“招标文件”</w:t>
      </w:r>
      <w:r>
        <w:rPr>
          <w:rFonts w:hint="eastAsia" w:ascii="宋体" w:hAnsi="宋体"/>
          <w:color w:val="auto"/>
          <w:highlight w:val="none"/>
          <w:lang w:val="en-US" w:eastAsia="zh-CN"/>
        </w:rPr>
        <w:t>和</w:t>
      </w:r>
      <w:r>
        <w:rPr>
          <w:rFonts w:hint="eastAsia" w:ascii="宋体" w:hAnsi="宋体"/>
          <w:color w:val="auto"/>
          <w:highlight w:val="none"/>
          <w:lang w:eastAsia="zh-CN"/>
        </w:rPr>
        <w:t>“</w:t>
      </w:r>
      <w:r>
        <w:rPr>
          <w:rFonts w:hint="eastAsia" w:ascii="宋体" w:hAnsi="宋体"/>
          <w:color w:val="auto"/>
          <w:highlight w:val="none"/>
          <w:lang w:val="en-US" w:eastAsia="zh-CN"/>
        </w:rPr>
        <w:t>投标文件</w:t>
      </w:r>
      <w:r>
        <w:rPr>
          <w:rFonts w:hint="eastAsia" w:ascii="宋体" w:hAnsi="宋体"/>
          <w:color w:val="auto"/>
          <w:highlight w:val="none"/>
          <w:lang w:eastAsia="zh-CN"/>
        </w:rPr>
        <w:t>”</w:t>
      </w:r>
      <w:r>
        <w:rPr>
          <w:rFonts w:hint="eastAsia" w:ascii="宋体" w:hAnsi="宋体"/>
          <w:color w:val="auto"/>
          <w:highlight w:val="none"/>
        </w:rPr>
        <w:t>。</w:t>
      </w:r>
    </w:p>
    <w:p w14:paraId="51A4389E">
      <w:pPr>
        <w:spacing w:line="360" w:lineRule="auto"/>
        <w:ind w:firstLine="420" w:firstLineChars="200"/>
        <w:jc w:val="left"/>
        <w:rPr>
          <w:rFonts w:ascii="宋体" w:hAnsi="宋体"/>
          <w:color w:val="auto"/>
          <w:highlight w:val="none"/>
        </w:rPr>
      </w:pPr>
      <w:r>
        <w:rPr>
          <w:rFonts w:hint="eastAsia" w:ascii="宋体" w:hAnsi="宋体"/>
          <w:color w:val="auto"/>
          <w:highlight w:val="none"/>
        </w:rPr>
        <w:t>四、其他管理服务质量要求按</w:t>
      </w:r>
      <w:r>
        <w:rPr>
          <w:rFonts w:hint="eastAsia" w:ascii="宋体" w:hAnsi="宋体"/>
          <w:color w:val="auto"/>
          <w:highlight w:val="none"/>
          <w:lang w:val="en-US" w:eastAsia="zh-CN"/>
        </w:rPr>
        <w:t>江苏省或</w:t>
      </w:r>
      <w:r>
        <w:rPr>
          <w:rFonts w:hint="eastAsia" w:ascii="宋体" w:hAnsi="宋体"/>
          <w:color w:val="auto"/>
          <w:highlight w:val="none"/>
        </w:rPr>
        <w:t>南京市有关标准执行。</w:t>
      </w:r>
    </w:p>
    <w:p w14:paraId="7F4D89EE">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第七条 质保期</w:t>
      </w:r>
    </w:p>
    <w:p w14:paraId="4A6160C3">
      <w:pPr>
        <w:spacing w:line="360" w:lineRule="auto"/>
        <w:ind w:firstLine="420" w:firstLineChars="200"/>
        <w:jc w:val="left"/>
        <w:rPr>
          <w:rFonts w:ascii="宋体" w:hAnsi="宋体"/>
          <w:color w:val="auto"/>
          <w:highlight w:val="none"/>
        </w:rPr>
      </w:pPr>
      <w:r>
        <w:rPr>
          <w:rFonts w:hint="eastAsia" w:ascii="宋体" w:hAnsi="宋体"/>
          <w:color w:val="auto"/>
          <w:highlight w:val="none"/>
        </w:rPr>
        <w:t>按国家规定执行</w:t>
      </w:r>
    </w:p>
    <w:p w14:paraId="59049F43">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w:t>
      </w:r>
      <w:r>
        <w:rPr>
          <w:rFonts w:hint="eastAsia" w:ascii="宋体" w:hAnsi="宋体"/>
          <w:b/>
          <w:color w:val="auto"/>
          <w:highlight w:val="none"/>
          <w:lang w:eastAsia="zh-CN"/>
        </w:rPr>
        <w:t>八</w:t>
      </w:r>
      <w:r>
        <w:rPr>
          <w:rFonts w:hint="eastAsia" w:ascii="宋体" w:hAnsi="宋体"/>
          <w:b/>
          <w:color w:val="auto"/>
          <w:highlight w:val="none"/>
        </w:rPr>
        <w:t xml:space="preserve">条 款项支付 </w:t>
      </w:r>
      <w:r>
        <w:rPr>
          <w:rFonts w:hint="eastAsia" w:ascii="宋体" w:hAnsi="宋体"/>
          <w:b/>
          <w:color w:val="auto"/>
          <w:highlight w:val="none"/>
          <w:lang w:eastAsia="zh-CN"/>
        </w:rPr>
        <w:t>（</w:t>
      </w:r>
      <w:r>
        <w:rPr>
          <w:rFonts w:hint="eastAsia" w:ascii="宋体" w:hAnsi="宋体"/>
          <w:b/>
          <w:color w:val="auto"/>
          <w:highlight w:val="none"/>
          <w:lang w:val="en-US" w:eastAsia="zh-CN"/>
        </w:rPr>
        <w:t>注:</w:t>
      </w:r>
      <w:r>
        <w:rPr>
          <w:rFonts w:hint="eastAsia" w:ascii="宋体" w:hAnsi="宋体"/>
          <w:b/>
          <w:color w:val="auto"/>
          <w:highlight w:val="none"/>
        </w:rPr>
        <w:t>具体内容以甲方最终确认的《</w:t>
      </w:r>
      <w:r>
        <w:rPr>
          <w:rFonts w:hint="eastAsia" w:ascii="宋体" w:hAnsi="宋体"/>
          <w:b/>
          <w:color w:val="auto"/>
          <w:highlight w:val="none"/>
          <w:lang w:eastAsia="zh-CN"/>
        </w:rPr>
        <w:t>市场化养护考核办法（暂定）</w:t>
      </w:r>
      <w:r>
        <w:rPr>
          <w:rFonts w:hint="eastAsia" w:ascii="宋体" w:hAnsi="宋体"/>
          <w:b/>
          <w:color w:val="auto"/>
          <w:highlight w:val="none"/>
        </w:rPr>
        <w:t>》为准</w:t>
      </w:r>
      <w:r>
        <w:rPr>
          <w:rFonts w:hint="eastAsia" w:ascii="宋体" w:hAnsi="宋体"/>
          <w:b/>
          <w:color w:val="auto"/>
          <w:highlight w:val="none"/>
          <w:lang w:eastAsia="zh-CN"/>
        </w:rPr>
        <w:t>）</w:t>
      </w:r>
    </w:p>
    <w:p w14:paraId="63EC404F">
      <w:pPr>
        <w:spacing w:line="360" w:lineRule="auto"/>
        <w:ind w:firstLine="420" w:firstLineChars="200"/>
        <w:jc w:val="left"/>
        <w:rPr>
          <w:rFonts w:ascii="宋体" w:hAnsi="宋体"/>
          <w:b/>
          <w:color w:val="auto"/>
          <w:highlight w:val="none"/>
        </w:rPr>
      </w:pPr>
      <w:r>
        <w:rPr>
          <w:rFonts w:hint="eastAsia" w:ascii="宋体" w:hAnsi="宋体"/>
          <w:color w:val="auto"/>
          <w:highlight w:val="none"/>
          <w:lang w:val="zh-CN"/>
        </w:rPr>
        <w:t>一、本合同项下所有款项均以人民币支付。</w:t>
      </w:r>
    </w:p>
    <w:p w14:paraId="40179ADC">
      <w:pPr>
        <w:spacing w:line="360" w:lineRule="auto"/>
        <w:ind w:firstLine="420" w:firstLineChars="200"/>
        <w:jc w:val="left"/>
        <w:rPr>
          <w:rFonts w:ascii="宋体" w:hAnsi="宋体"/>
          <w:b/>
          <w:strike w:val="0"/>
          <w:dstrike w:val="0"/>
          <w:color w:val="auto"/>
          <w:highlight w:val="none"/>
        </w:rPr>
      </w:pPr>
      <w:r>
        <w:rPr>
          <w:rFonts w:hint="eastAsia" w:ascii="宋体" w:hAnsi="宋体"/>
          <w:color w:val="auto"/>
          <w:highlight w:val="none"/>
        </w:rPr>
        <w:t>二、</w:t>
      </w:r>
      <w:r>
        <w:rPr>
          <w:rFonts w:hint="eastAsia" w:ascii="宋体" w:hAnsi="宋体"/>
          <w:color w:val="auto"/>
          <w:highlight w:val="none"/>
          <w:lang w:val="zh-CN"/>
        </w:rPr>
        <w:t>本合同项</w:t>
      </w:r>
      <w:r>
        <w:rPr>
          <w:rFonts w:hint="eastAsia" w:ascii="宋体" w:hAnsi="宋体"/>
          <w:strike w:val="0"/>
          <w:dstrike w:val="0"/>
          <w:color w:val="auto"/>
          <w:highlight w:val="none"/>
          <w:lang w:val="zh-CN"/>
        </w:rPr>
        <w:t>下的采购资金由甲方自行支付，乙方向甲方开具发票。</w:t>
      </w:r>
    </w:p>
    <w:p w14:paraId="5B59A185">
      <w:pPr>
        <w:spacing w:line="360" w:lineRule="auto"/>
        <w:ind w:firstLine="420" w:firstLineChars="200"/>
        <w:rPr>
          <w:rFonts w:hint="eastAsia" w:ascii="宋体" w:hAnsi="宋体"/>
          <w:color w:val="auto"/>
          <w:highlight w:val="none"/>
        </w:rPr>
      </w:pPr>
      <w:r>
        <w:rPr>
          <w:rFonts w:hint="eastAsia" w:ascii="宋体" w:hAnsi="宋体"/>
          <w:strike w:val="0"/>
          <w:dstrike w:val="0"/>
          <w:color w:val="auto"/>
          <w:highlight w:val="none"/>
          <w:lang w:val="zh-CN"/>
        </w:rPr>
        <w:t>三、付款方式：</w:t>
      </w:r>
      <w:r>
        <w:rPr>
          <w:rFonts w:hint="eastAsia" w:ascii="宋体" w:hAnsi="宋体"/>
          <w:color w:val="auto"/>
          <w:highlight w:val="none"/>
        </w:rPr>
        <w:t>1．合同签订且养护服务工作实施6个月后，能达到考核标准，支付经审核合格的年度养护费用的50%（须扣除当期考核绩效费用以及根据合同约定应当扣除的违约金、赔偿款等（如有）），年度养护期满后，完成全年考核任务支付剩余50%（须扣除当期考核绩效费用以及根据合同约定应当扣除的违约金、赔偿款等（如有））养护费用。付款时扣除当期考核罚款以及根据合同约定应当扣除的违约金、赔偿款等（如有）。每次付款前，</w:t>
      </w:r>
      <w:r>
        <w:rPr>
          <w:rFonts w:hint="eastAsia" w:ascii="宋体" w:hAnsi="宋体"/>
          <w:color w:val="auto"/>
          <w:highlight w:val="none"/>
          <w:lang w:val="en-US" w:eastAsia="zh-CN"/>
        </w:rPr>
        <w:t>乙方</w:t>
      </w:r>
      <w:r>
        <w:rPr>
          <w:rFonts w:hint="eastAsia" w:ascii="宋体" w:hAnsi="宋体"/>
          <w:color w:val="auto"/>
          <w:highlight w:val="none"/>
        </w:rPr>
        <w:t>应当提交付款申请以及同等金额的增值税专用发票，</w:t>
      </w:r>
      <w:r>
        <w:rPr>
          <w:rFonts w:hint="eastAsia" w:ascii="宋体" w:hAnsi="宋体"/>
          <w:color w:val="auto"/>
          <w:highlight w:val="none"/>
          <w:lang w:val="en-US" w:eastAsia="zh-CN"/>
        </w:rPr>
        <w:t>甲方</w:t>
      </w:r>
      <w:r>
        <w:rPr>
          <w:rFonts w:hint="eastAsia" w:ascii="宋体" w:hAnsi="宋体"/>
          <w:color w:val="auto"/>
          <w:highlight w:val="none"/>
        </w:rPr>
        <w:t>复核无误后将在30日内支付。</w:t>
      </w:r>
    </w:p>
    <w:p w14:paraId="19197D75">
      <w:pPr>
        <w:spacing w:line="360" w:lineRule="auto"/>
        <w:ind w:firstLine="420" w:firstLineChars="200"/>
        <w:rPr>
          <w:rFonts w:hint="eastAsia" w:ascii="宋体" w:hAnsi="宋体"/>
          <w:color w:val="auto"/>
          <w:highlight w:val="none"/>
        </w:rPr>
      </w:pPr>
      <w:r>
        <w:rPr>
          <w:rFonts w:hint="eastAsia" w:ascii="宋体" w:hAnsi="宋体"/>
          <w:color w:val="auto"/>
          <w:highlight w:val="none"/>
        </w:rPr>
        <w:t>2、根据考核制度每月汇总月度考核得分，考核按“</w:t>
      </w:r>
      <w:r>
        <w:rPr>
          <w:rFonts w:hint="eastAsia" w:ascii="宋体" w:hAnsi="宋体"/>
          <w:color w:val="auto"/>
          <w:highlight w:val="none"/>
          <w:lang w:eastAsia="zh-CN"/>
        </w:rPr>
        <w:t>市场化养护考核办法（暂定）</w:t>
      </w:r>
      <w:r>
        <w:rPr>
          <w:rFonts w:hint="eastAsia" w:ascii="宋体" w:hAnsi="宋体"/>
          <w:color w:val="auto"/>
          <w:highlight w:val="none"/>
        </w:rPr>
        <w:t>”进行评分。满分100分，80分（含80分）以上为合格，80分（不含80分）以下为不合格。</w:t>
      </w:r>
    </w:p>
    <w:p w14:paraId="232BF28B">
      <w:pPr>
        <w:spacing w:line="360" w:lineRule="auto"/>
        <w:ind w:firstLine="420" w:firstLineChars="200"/>
        <w:rPr>
          <w:rFonts w:hint="eastAsia" w:ascii="宋体" w:hAnsi="宋体"/>
          <w:color w:val="auto"/>
          <w:highlight w:val="none"/>
        </w:rPr>
      </w:pPr>
      <w:r>
        <w:rPr>
          <w:rFonts w:hint="eastAsia" w:ascii="宋体" w:hAnsi="宋体"/>
          <w:color w:val="auto"/>
          <w:highlight w:val="none"/>
        </w:rPr>
        <w:t>3、考核分为上级主管部门考核、日常考核、定期考核、资料台账考核四种方式。合同期内，如年度累计两个月考核不合格的管养单位，由城管局领导进行约谈。年度累计三个月考核不合格的管养单位，于次月终止该片区的管养合同，不再续签后续管养合同，择优选择周边片区管养单位临时托管。或管养合同进行转包或未经甲方同意私自分包的，甲方有权单方终止承包方的管养合同，本年度剩余的养护经费不予结算，取消其下一轮续签养护合同资格且不得参与我局下一轮的养护投标工作。</w:t>
      </w:r>
    </w:p>
    <w:p w14:paraId="5F4B8CB0">
      <w:pPr>
        <w:spacing w:line="360" w:lineRule="auto"/>
        <w:ind w:firstLine="420" w:firstLineChars="200"/>
        <w:rPr>
          <w:rFonts w:hint="eastAsia" w:ascii="宋体" w:hAnsi="宋体"/>
          <w:color w:val="auto"/>
          <w:highlight w:val="none"/>
        </w:rPr>
      </w:pPr>
      <w:r>
        <w:rPr>
          <w:rFonts w:hint="eastAsia" w:ascii="宋体" w:hAnsi="宋体"/>
          <w:color w:val="auto"/>
          <w:highlight w:val="none"/>
        </w:rPr>
        <w:t>4、如年度累计低于三个月考核不合格的管养单位，可在养护期满后续签下一年度养护合同。最多续签</w:t>
      </w:r>
      <w:r>
        <w:rPr>
          <w:rFonts w:hint="eastAsia" w:ascii="宋体" w:hAnsi="宋体"/>
          <w:color w:val="auto"/>
          <w:highlight w:val="none"/>
          <w:lang w:val="en-US" w:eastAsia="zh-CN"/>
        </w:rPr>
        <w:t>一</w:t>
      </w:r>
      <w:r>
        <w:rPr>
          <w:rFonts w:hint="eastAsia" w:ascii="宋体" w:hAnsi="宋体"/>
          <w:color w:val="auto"/>
          <w:highlight w:val="none"/>
        </w:rPr>
        <w:t>年，因乙方原因造成安全事故的，甲方拒签下一年度合同。</w:t>
      </w:r>
    </w:p>
    <w:p w14:paraId="5EBF0A75">
      <w:pPr>
        <w:spacing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5</w:t>
      </w:r>
      <w:r>
        <w:rPr>
          <w:rFonts w:hint="eastAsia" w:ascii="宋体" w:hAnsi="宋体"/>
          <w:color w:val="auto"/>
          <w:highlight w:val="none"/>
        </w:rPr>
        <w:t>、甲方将以工程任务通知单形式将所辖市政设施维修工作通知乙方，乙方负责及时修复，所有费用由乙方自行考虑，包含在本次投标总价中，不再额外列支。</w:t>
      </w:r>
    </w:p>
    <w:p w14:paraId="3AC786E5">
      <w:pPr>
        <w:spacing w:line="360" w:lineRule="auto"/>
        <w:ind w:firstLine="420" w:firstLineChars="200"/>
        <w:rPr>
          <w:rFonts w:hint="eastAsia" w:ascii="宋体" w:hAnsi="宋体"/>
          <w:color w:val="auto"/>
          <w:highlight w:val="none"/>
        </w:rPr>
      </w:pPr>
      <w:r>
        <w:rPr>
          <w:rFonts w:hint="eastAsia" w:ascii="宋体" w:hAnsi="宋体"/>
          <w:color w:val="auto"/>
          <w:highlight w:val="none"/>
          <w:lang w:val="en-US" w:eastAsia="zh-CN"/>
        </w:rPr>
        <w:t>6</w:t>
      </w:r>
      <w:r>
        <w:rPr>
          <w:rFonts w:hint="eastAsia" w:ascii="宋体" w:hAnsi="宋体"/>
          <w:color w:val="auto"/>
          <w:highlight w:val="none"/>
        </w:rPr>
        <w:t>、养护必须符合维修质量要求，若不符合其质量要求，由乙方无偿返工。若因乙方原因不能按时保质完成，则甲方有权另外安排单位维修并视情节严重性进行处罚，其相应养护维修费用将从乙方养护费用中扣除。</w:t>
      </w:r>
    </w:p>
    <w:p w14:paraId="2522EB5A">
      <w:pPr>
        <w:spacing w:line="360" w:lineRule="auto"/>
        <w:ind w:firstLine="422" w:firstLineChars="200"/>
        <w:rPr>
          <w:rFonts w:ascii="宋体" w:hAnsi="宋体"/>
          <w:b/>
          <w:color w:val="auto"/>
          <w:szCs w:val="24"/>
          <w:highlight w:val="none"/>
        </w:rPr>
      </w:pPr>
      <w:r>
        <w:rPr>
          <w:rFonts w:hint="eastAsia" w:ascii="宋体" w:hAnsi="宋体"/>
          <w:b/>
          <w:color w:val="auto"/>
          <w:highlight w:val="none"/>
        </w:rPr>
        <w:t>第</w:t>
      </w:r>
      <w:r>
        <w:rPr>
          <w:rFonts w:hint="eastAsia" w:ascii="宋体" w:hAnsi="宋体"/>
          <w:b/>
          <w:color w:val="auto"/>
          <w:highlight w:val="none"/>
          <w:lang w:eastAsia="zh-CN"/>
        </w:rPr>
        <w:t>九</w:t>
      </w:r>
      <w:r>
        <w:rPr>
          <w:rFonts w:hint="eastAsia" w:ascii="宋体" w:hAnsi="宋体"/>
          <w:b/>
          <w:color w:val="auto"/>
          <w:highlight w:val="none"/>
        </w:rPr>
        <w:t>条 违约责任</w:t>
      </w:r>
    </w:p>
    <w:p w14:paraId="6C6FB0E2">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1、乙方实施下列行为之一的，乙方应向甲方支付合同总价</w:t>
      </w:r>
      <w:r>
        <w:rPr>
          <w:rFonts w:hint="eastAsia" w:ascii="宋体" w:hAnsi="宋体"/>
          <w:color w:val="auto"/>
          <w:kern w:val="0"/>
          <w:highlight w:val="none"/>
          <w:lang w:val="en-US" w:eastAsia="zh-CN"/>
        </w:rPr>
        <w:t>1</w:t>
      </w:r>
      <w:r>
        <w:rPr>
          <w:rFonts w:hint="eastAsia" w:ascii="宋体" w:hAnsi="宋体"/>
          <w:color w:val="auto"/>
          <w:kern w:val="0"/>
          <w:highlight w:val="none"/>
        </w:rPr>
        <w:t>5%的违约金，甲方有权解除合同，并有权要求乙方赔偿损失。</w:t>
      </w:r>
    </w:p>
    <w:p w14:paraId="1BD9DA96">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①提供的服务不满足考核要求。</w:t>
      </w:r>
    </w:p>
    <w:p w14:paraId="0A32D944">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②未完成合同约定的服务任务。</w:t>
      </w:r>
    </w:p>
    <w:p w14:paraId="699BBF27">
      <w:pPr>
        <w:widowControl/>
        <w:shd w:val="clear" w:color="auto" w:fill="FFFFFF"/>
        <w:spacing w:line="360" w:lineRule="auto"/>
        <w:ind w:firstLine="420"/>
        <w:jc w:val="left"/>
        <w:rPr>
          <w:rFonts w:hint="eastAsia" w:ascii="宋体" w:hAnsi="宋体"/>
          <w:color w:val="auto"/>
          <w:kern w:val="0"/>
          <w:highlight w:val="none"/>
        </w:rPr>
      </w:pPr>
      <w:r>
        <w:rPr>
          <w:rFonts w:hint="eastAsia" w:ascii="宋体" w:hAnsi="宋体"/>
          <w:color w:val="auto"/>
          <w:kern w:val="0"/>
          <w:highlight w:val="none"/>
        </w:rPr>
        <w:t>2、如因乙方养护不当或过错造成甲方的绿化苗木、草坪等毁损的，乙方应予以赔偿；</w:t>
      </w:r>
    </w:p>
    <w:p w14:paraId="5564A468">
      <w:pPr>
        <w:widowControl/>
        <w:shd w:val="clear" w:color="auto" w:fill="FFFFFF"/>
        <w:spacing w:line="360" w:lineRule="auto"/>
        <w:ind w:firstLine="420"/>
        <w:jc w:val="left"/>
        <w:rPr>
          <w:rFonts w:hint="eastAsia" w:ascii="宋体" w:hAnsi="宋体"/>
          <w:color w:val="auto"/>
          <w:kern w:val="0"/>
          <w:highlight w:val="none"/>
        </w:rPr>
      </w:pPr>
      <w:r>
        <w:rPr>
          <w:rFonts w:hint="eastAsia" w:ascii="宋体" w:hAnsi="宋体"/>
          <w:color w:val="auto"/>
          <w:kern w:val="0"/>
          <w:highlight w:val="none"/>
        </w:rPr>
        <w:t>3、乙方私自转包或分包的，甲方有权单方解除合同，同时乙方按合同总价的</w:t>
      </w:r>
      <w:r>
        <w:rPr>
          <w:rFonts w:hint="eastAsia" w:ascii="宋体" w:hAnsi="宋体"/>
          <w:color w:val="auto"/>
          <w:kern w:val="0"/>
          <w:highlight w:val="none"/>
          <w:lang w:val="en-US" w:eastAsia="zh-CN"/>
        </w:rPr>
        <w:t>15</w:t>
      </w:r>
      <w:r>
        <w:rPr>
          <w:rFonts w:hint="eastAsia" w:ascii="宋体" w:hAnsi="宋体"/>
          <w:color w:val="auto"/>
          <w:kern w:val="0"/>
          <w:highlight w:val="none"/>
        </w:rPr>
        <w:t>%向甲方支付违约金。</w:t>
      </w:r>
    </w:p>
    <w:p w14:paraId="0D5AACA6">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4、由于不可抗力原因使甲、乙方无法履约，可不执行违约责任条款，由双方协商解决。</w:t>
      </w:r>
    </w:p>
    <w:p w14:paraId="24213D84">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5、乙方因人员、机械等跟不上管理需要影响工作，未达到质量标准或养护计划，经检查第一次不合格的，甲方要求乙方限期整改；第二次仍不合格的，甲方有权单方终止本合同。</w:t>
      </w:r>
    </w:p>
    <w:p w14:paraId="248EC70B">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6、上述违约金不能补偿对方损失时，双方有权向对方追索实际损失的赔偿金。</w:t>
      </w:r>
    </w:p>
    <w:p w14:paraId="2625620B">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7、乙方违反规定的行为均属违约行为，甲方根据其条款规定，视乙方违反规定的情节轻重，做出批评教育、警告、扣罚处理；情况严重者，甲方有权单方终止本合同，乙方自行承担一切经济损失和法律责任。</w:t>
      </w:r>
    </w:p>
    <w:p w14:paraId="77C2F322">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第十条 合同的变更和终止</w:t>
      </w:r>
    </w:p>
    <w:p w14:paraId="408E4C34">
      <w:pPr>
        <w:spacing w:line="360" w:lineRule="auto"/>
        <w:ind w:firstLine="420" w:firstLineChars="200"/>
        <w:jc w:val="left"/>
        <w:rPr>
          <w:rFonts w:ascii="宋体" w:hAnsi="宋体"/>
          <w:color w:val="auto"/>
          <w:highlight w:val="none"/>
        </w:rPr>
      </w:pPr>
      <w:r>
        <w:rPr>
          <w:rFonts w:hint="eastAsia" w:ascii="宋体" w:hAnsi="宋体"/>
          <w:color w:val="auto"/>
          <w:highlight w:val="none"/>
        </w:rPr>
        <w:t>一、本合同一经签订，甲乙双方不得擅自变更、中止或终止合同。</w:t>
      </w:r>
    </w:p>
    <w:p w14:paraId="6E48D34D">
      <w:pPr>
        <w:spacing w:line="360" w:lineRule="auto"/>
        <w:ind w:firstLine="420" w:firstLineChars="200"/>
        <w:jc w:val="left"/>
        <w:rPr>
          <w:rFonts w:ascii="宋体" w:hAnsi="宋体"/>
          <w:color w:val="auto"/>
          <w:highlight w:val="none"/>
        </w:rPr>
      </w:pPr>
      <w:r>
        <w:rPr>
          <w:rFonts w:hint="eastAsia" w:ascii="宋体" w:hAnsi="宋体"/>
          <w:color w:val="auto"/>
          <w:highlight w:val="none"/>
        </w:rPr>
        <w:t>二、本合同终止时，乙方应移交管理权，撤出本项目，协助甲方作好服务的交接和善后工作</w:t>
      </w:r>
      <w:r>
        <w:rPr>
          <w:rFonts w:hint="eastAsia" w:ascii="宋体" w:hAnsi="宋体"/>
          <w:color w:val="auto"/>
          <w:highlight w:val="none"/>
          <w:lang w:eastAsia="zh-CN"/>
        </w:rPr>
        <w:t>及</w:t>
      </w:r>
      <w:r>
        <w:rPr>
          <w:rFonts w:hint="eastAsia" w:ascii="宋体" w:hAnsi="宋体"/>
          <w:color w:val="auto"/>
          <w:highlight w:val="none"/>
        </w:rPr>
        <w:t>全部档案资料等。</w:t>
      </w:r>
    </w:p>
    <w:p w14:paraId="55DDEEDB">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highlight w:val="none"/>
        </w:rPr>
        <w:t>三、本管理合同终止后，在新的管理企业接管本项目前，除甲方要求乙方提前撤离外，新老管理公司的交接过渡期最长为1个月，在此期间乙方应提供过渡期管理服务，过渡期管理服务标准和服务费标准不变，由乙方收取；1个月过渡期满后，必须按规定进行交接、撤离。</w:t>
      </w:r>
      <w:r>
        <w:rPr>
          <w:rFonts w:hint="eastAsia" w:ascii="宋体" w:hAnsi="宋体"/>
          <w:color w:val="auto"/>
          <w:kern w:val="0"/>
          <w:highlight w:val="none"/>
        </w:rPr>
        <w:t>除发生法律规定的不能预见、不能避免并不能克服的客观情况外，甲乙双方不得放弃或拒绝履行合同。乙方放弃或拒绝履行合同，在三年内不得参加甲方的招标活动。</w:t>
      </w:r>
    </w:p>
    <w:p w14:paraId="4105E0B1">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第十</w:t>
      </w:r>
      <w:r>
        <w:rPr>
          <w:rFonts w:hint="eastAsia" w:ascii="宋体" w:hAnsi="宋体"/>
          <w:b/>
          <w:color w:val="auto"/>
          <w:highlight w:val="none"/>
          <w:lang w:eastAsia="zh-CN"/>
        </w:rPr>
        <w:t>一</w:t>
      </w:r>
      <w:r>
        <w:rPr>
          <w:rFonts w:hint="eastAsia" w:ascii="宋体" w:hAnsi="宋体"/>
          <w:b/>
          <w:color w:val="auto"/>
          <w:highlight w:val="none"/>
        </w:rPr>
        <w:t>条 合同的转让</w:t>
      </w:r>
    </w:p>
    <w:p w14:paraId="099A1B68">
      <w:pPr>
        <w:spacing w:line="360" w:lineRule="auto"/>
        <w:ind w:firstLine="420" w:firstLineChars="200"/>
        <w:jc w:val="left"/>
        <w:rPr>
          <w:rFonts w:ascii="宋体" w:hAnsi="宋体"/>
          <w:color w:val="auto"/>
          <w:highlight w:val="none"/>
        </w:rPr>
      </w:pPr>
      <w:r>
        <w:rPr>
          <w:rFonts w:hint="eastAsia" w:ascii="宋体" w:hAnsi="宋体"/>
          <w:color w:val="auto"/>
          <w:highlight w:val="none"/>
        </w:rPr>
        <w:t>乙方不得擅自部分或全部转让其应履行的合同义务。</w:t>
      </w:r>
    </w:p>
    <w:p w14:paraId="692F609B">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w:t>
      </w:r>
      <w:r>
        <w:rPr>
          <w:rFonts w:hint="eastAsia" w:ascii="宋体" w:hAnsi="宋体"/>
          <w:b/>
          <w:color w:val="auto"/>
          <w:highlight w:val="none"/>
          <w:lang w:eastAsia="zh-CN"/>
        </w:rPr>
        <w:t>二</w:t>
      </w:r>
      <w:r>
        <w:rPr>
          <w:rFonts w:hint="eastAsia" w:ascii="宋体" w:hAnsi="宋体"/>
          <w:b/>
          <w:color w:val="auto"/>
          <w:highlight w:val="none"/>
        </w:rPr>
        <w:t>条 争议的解决</w:t>
      </w:r>
    </w:p>
    <w:p w14:paraId="0A34A9DB">
      <w:pPr>
        <w:spacing w:line="360" w:lineRule="auto"/>
        <w:ind w:firstLine="420" w:firstLineChars="200"/>
        <w:jc w:val="left"/>
        <w:rPr>
          <w:rFonts w:ascii="宋体" w:hAnsi="宋体"/>
          <w:color w:val="auto"/>
          <w:highlight w:val="none"/>
        </w:rPr>
      </w:pPr>
      <w:r>
        <w:rPr>
          <w:rFonts w:hint="eastAsia" w:ascii="宋体" w:hAnsi="宋体"/>
          <w:color w:val="auto"/>
          <w:highlight w:val="none"/>
        </w:rPr>
        <w:t>一、因履行本合同引起的或与本合同有关的争议，甲、乙双方应首先通过友好协商解决，如果协商不能解决争议，则采取以下第</w:t>
      </w:r>
      <w:r>
        <w:rPr>
          <w:rFonts w:hint="eastAsia" w:ascii="宋体" w:hAnsi="宋体"/>
          <w:b/>
          <w:bCs/>
          <w:color w:val="auto"/>
          <w:highlight w:val="none"/>
          <w:lang w:val="en-US" w:eastAsia="zh-CN"/>
        </w:rPr>
        <w:t>1</w:t>
      </w:r>
      <w:r>
        <w:rPr>
          <w:rFonts w:hint="eastAsia" w:ascii="宋体" w:hAnsi="宋体"/>
          <w:color w:val="auto"/>
          <w:highlight w:val="none"/>
        </w:rPr>
        <w:t>种方式解决争议：</w:t>
      </w:r>
    </w:p>
    <w:p w14:paraId="5827A035">
      <w:pPr>
        <w:spacing w:line="360" w:lineRule="auto"/>
        <w:ind w:firstLine="420" w:firstLineChars="200"/>
        <w:jc w:val="left"/>
        <w:rPr>
          <w:rFonts w:ascii="宋体" w:hAnsi="宋体"/>
          <w:color w:val="auto"/>
          <w:highlight w:val="none"/>
        </w:rPr>
      </w:pPr>
      <w:r>
        <w:rPr>
          <w:rFonts w:hint="eastAsia" w:ascii="宋体" w:hAnsi="宋体"/>
          <w:color w:val="auto"/>
          <w:highlight w:val="none"/>
        </w:rPr>
        <w:t>1、向甲方所在地有管辖权的人民法院提起诉讼；</w:t>
      </w:r>
    </w:p>
    <w:p w14:paraId="0265AAC6">
      <w:pPr>
        <w:spacing w:line="360" w:lineRule="auto"/>
        <w:ind w:firstLine="420" w:firstLineChars="200"/>
        <w:jc w:val="left"/>
        <w:rPr>
          <w:rFonts w:ascii="宋体" w:hAnsi="宋体"/>
          <w:color w:val="auto"/>
          <w:highlight w:val="none"/>
        </w:rPr>
      </w:pPr>
      <w:r>
        <w:rPr>
          <w:rFonts w:hint="eastAsia" w:ascii="宋体" w:hAnsi="宋体"/>
          <w:color w:val="auto"/>
          <w:highlight w:val="none"/>
        </w:rPr>
        <w:t>2、向南京市仲裁委员会按其仲裁规则申请仲裁。</w:t>
      </w:r>
    </w:p>
    <w:p w14:paraId="2AAF9C1C">
      <w:pPr>
        <w:spacing w:line="360" w:lineRule="auto"/>
        <w:ind w:firstLine="420" w:firstLineChars="200"/>
        <w:jc w:val="left"/>
        <w:rPr>
          <w:rFonts w:ascii="宋体" w:hAnsi="宋体"/>
          <w:color w:val="auto"/>
          <w:highlight w:val="none"/>
        </w:rPr>
      </w:pPr>
      <w:r>
        <w:rPr>
          <w:rFonts w:hint="eastAsia" w:ascii="宋体" w:hAnsi="宋体"/>
          <w:color w:val="auto"/>
          <w:highlight w:val="none"/>
        </w:rPr>
        <w:t>二、在仲裁</w:t>
      </w:r>
      <w:r>
        <w:rPr>
          <w:rFonts w:hint="eastAsia" w:ascii="宋体" w:hAnsi="宋体"/>
          <w:color w:val="auto"/>
          <w:highlight w:val="none"/>
          <w:lang w:val="en-US" w:eastAsia="zh-CN"/>
        </w:rPr>
        <w:t>或诉讼</w:t>
      </w:r>
      <w:r>
        <w:rPr>
          <w:rFonts w:hint="eastAsia" w:ascii="宋体" w:hAnsi="宋体"/>
          <w:color w:val="auto"/>
          <w:highlight w:val="none"/>
        </w:rPr>
        <w:t>期间，本合同应继续履行。</w:t>
      </w:r>
    </w:p>
    <w:p w14:paraId="16488DC8">
      <w:pPr>
        <w:spacing w:line="360" w:lineRule="auto"/>
        <w:ind w:firstLine="413" w:firstLineChars="196"/>
        <w:jc w:val="left"/>
        <w:rPr>
          <w:rFonts w:ascii="宋体" w:hAnsi="宋体"/>
          <w:b/>
          <w:color w:val="auto"/>
          <w:highlight w:val="none"/>
        </w:rPr>
      </w:pPr>
      <w:r>
        <w:rPr>
          <w:rFonts w:hint="eastAsia" w:ascii="宋体" w:hAnsi="宋体"/>
          <w:b/>
          <w:color w:val="auto"/>
          <w:highlight w:val="none"/>
        </w:rPr>
        <w:t>第十</w:t>
      </w:r>
      <w:r>
        <w:rPr>
          <w:rFonts w:hint="eastAsia" w:ascii="宋体" w:hAnsi="宋体"/>
          <w:b/>
          <w:color w:val="auto"/>
          <w:highlight w:val="none"/>
          <w:lang w:eastAsia="zh-CN"/>
        </w:rPr>
        <w:t>三</w:t>
      </w:r>
      <w:r>
        <w:rPr>
          <w:rFonts w:hint="eastAsia" w:ascii="宋体" w:hAnsi="宋体"/>
          <w:b/>
          <w:color w:val="auto"/>
          <w:highlight w:val="none"/>
        </w:rPr>
        <w:t>条 诚实信用</w:t>
      </w:r>
    </w:p>
    <w:p w14:paraId="2A11C34B">
      <w:pPr>
        <w:autoSpaceDE w:val="0"/>
        <w:autoSpaceDN w:val="0"/>
        <w:adjustRightInd w:val="0"/>
        <w:spacing w:line="360" w:lineRule="auto"/>
        <w:ind w:firstLine="420" w:firstLineChars="200"/>
        <w:jc w:val="left"/>
        <w:rPr>
          <w:rFonts w:ascii="宋体" w:hAnsi="宋体"/>
          <w:b/>
          <w:bCs/>
          <w:color w:val="auto"/>
          <w:highlight w:val="none"/>
          <w:lang w:val="zh-CN"/>
        </w:rPr>
      </w:pPr>
      <w:r>
        <w:rPr>
          <w:rFonts w:hint="eastAsia" w:ascii="宋体" w:hAnsi="宋体"/>
          <w:color w:val="auto"/>
          <w:highlight w:val="none"/>
          <w:lang w:val="zh-CN"/>
        </w:rPr>
        <w:t>乙方应诚实信用，严格按照招标文件要求和承诺履行合同，不向甲方进行商业贿赂或者提供不正当利益。</w:t>
      </w:r>
      <w:r>
        <w:rPr>
          <w:rFonts w:hint="eastAsia" w:ascii="宋体" w:hAnsi="宋体"/>
          <w:b/>
          <w:bCs/>
          <w:color w:val="auto"/>
          <w:highlight w:val="none"/>
          <w:lang w:val="zh-CN"/>
        </w:rPr>
        <w:t xml:space="preserve"> </w:t>
      </w:r>
    </w:p>
    <w:p w14:paraId="37D32FEC">
      <w:pPr>
        <w:pStyle w:val="20"/>
        <w:ind w:left="0" w:leftChars="0" w:right="1470" w:firstLine="422" w:firstLineChars="200"/>
        <w:jc w:val="left"/>
        <w:rPr>
          <w:rFonts w:ascii="宋体" w:hAnsi="宋体"/>
          <w:b/>
          <w:color w:val="auto"/>
          <w:highlight w:val="none"/>
        </w:rPr>
      </w:pPr>
      <w:r>
        <w:rPr>
          <w:rFonts w:hint="eastAsia" w:ascii="宋体" w:hAnsi="宋体"/>
          <w:b/>
          <w:color w:val="auto"/>
          <w:highlight w:val="none"/>
        </w:rPr>
        <w:t>第十</w:t>
      </w:r>
      <w:r>
        <w:rPr>
          <w:rFonts w:hint="eastAsia" w:ascii="宋体" w:hAnsi="宋体"/>
          <w:b/>
          <w:color w:val="auto"/>
          <w:highlight w:val="none"/>
          <w:lang w:eastAsia="zh-CN"/>
        </w:rPr>
        <w:t>四</w:t>
      </w:r>
      <w:r>
        <w:rPr>
          <w:rFonts w:hint="eastAsia" w:ascii="宋体" w:hAnsi="宋体"/>
          <w:b/>
          <w:color w:val="auto"/>
          <w:highlight w:val="none"/>
        </w:rPr>
        <w:t>条 其他约定</w:t>
      </w:r>
    </w:p>
    <w:p w14:paraId="30BCEC38">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1、乙方向甲方出示本项目所有人员的劳务合同原件、身份证原件，并将劳务合同复印件、身份证复印件交甲方备案。</w:t>
      </w:r>
    </w:p>
    <w:p w14:paraId="7F981E5A">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2、乙方向甲方出示管理人员资格证书原件（必要时），并将复印件交甲方备案。</w:t>
      </w:r>
    </w:p>
    <w:p w14:paraId="6574D34D">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3、乙方应自觉接受甲方及有关部门对合同履行情况的监督和考核，接受甲方考核制度及奖惩制度的规定。</w:t>
      </w:r>
    </w:p>
    <w:p w14:paraId="4BBBD778">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4、乙方的</w:t>
      </w:r>
      <w:r>
        <w:rPr>
          <w:rFonts w:hint="eastAsia" w:ascii="宋体" w:hAnsi="宋体"/>
          <w:color w:val="auto"/>
          <w:kern w:val="0"/>
          <w:highlight w:val="none"/>
          <w:u w:val="wave"/>
        </w:rPr>
        <w:t>管理人员</w:t>
      </w:r>
      <w:r>
        <w:rPr>
          <w:rFonts w:hint="eastAsia" w:ascii="宋体" w:hAnsi="宋体"/>
          <w:color w:val="auto"/>
          <w:kern w:val="0"/>
          <w:highlight w:val="none"/>
        </w:rPr>
        <w:t>调整，应提前3天书面通知甲方。经甲方同意后，出示新来</w:t>
      </w:r>
      <w:r>
        <w:rPr>
          <w:rFonts w:hint="eastAsia" w:ascii="宋体" w:hAnsi="宋体"/>
          <w:color w:val="auto"/>
          <w:kern w:val="0"/>
          <w:highlight w:val="none"/>
          <w:u w:val="wave"/>
        </w:rPr>
        <w:t>管理人员</w:t>
      </w:r>
      <w:r>
        <w:rPr>
          <w:rFonts w:hint="eastAsia" w:ascii="宋体" w:hAnsi="宋体"/>
          <w:color w:val="auto"/>
          <w:kern w:val="0"/>
          <w:highlight w:val="none"/>
        </w:rPr>
        <w:t>的劳务合同原件、身份证原件，并将劳务合同复印件、身份证复印件送甲方备案。未经甲方书面同意，视为违约。</w:t>
      </w:r>
    </w:p>
    <w:p w14:paraId="2459F892">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5、乙方在考核、检查等各项活动中，做到各项检查合格并力争创优争先。</w:t>
      </w:r>
    </w:p>
    <w:p w14:paraId="1F5FCACE">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6、合同期内甲方需增加同类服务工作量的，甲乙双方另行约定。</w:t>
      </w:r>
    </w:p>
    <w:p w14:paraId="607BD0AC">
      <w:pPr>
        <w:widowControl/>
        <w:shd w:val="clear" w:color="auto" w:fill="FFFFFF"/>
        <w:spacing w:line="360" w:lineRule="auto"/>
        <w:ind w:firstLine="420"/>
        <w:jc w:val="left"/>
        <w:rPr>
          <w:rFonts w:ascii="宋体" w:hAnsi="宋体"/>
          <w:color w:val="auto"/>
          <w:kern w:val="0"/>
          <w:highlight w:val="none"/>
        </w:rPr>
      </w:pPr>
      <w:r>
        <w:rPr>
          <w:rFonts w:hint="eastAsia" w:ascii="宋体" w:hAnsi="宋体"/>
          <w:color w:val="auto"/>
          <w:kern w:val="0"/>
          <w:highlight w:val="none"/>
        </w:rPr>
        <w:t>7、乙方应按规定做好安全作业等相关工作，并承担任何在承包期内所有绿化养护人员（含管理人员）安全责任事故的全部责任。</w:t>
      </w:r>
    </w:p>
    <w:p w14:paraId="36D4DF33">
      <w:pPr>
        <w:spacing w:line="360" w:lineRule="auto"/>
        <w:ind w:firstLine="413" w:firstLineChars="196"/>
        <w:jc w:val="left"/>
        <w:rPr>
          <w:rFonts w:ascii="宋体" w:hAnsi="宋体"/>
          <w:b/>
          <w:color w:val="auto"/>
          <w:szCs w:val="24"/>
          <w:highlight w:val="none"/>
        </w:rPr>
      </w:pPr>
      <w:r>
        <w:rPr>
          <w:rFonts w:hint="eastAsia" w:ascii="宋体" w:hAnsi="宋体"/>
          <w:b/>
          <w:color w:val="auto"/>
          <w:highlight w:val="none"/>
        </w:rPr>
        <w:t>第十</w:t>
      </w:r>
      <w:r>
        <w:rPr>
          <w:rFonts w:hint="eastAsia" w:ascii="宋体" w:hAnsi="宋体"/>
          <w:b/>
          <w:color w:val="auto"/>
          <w:highlight w:val="none"/>
          <w:lang w:eastAsia="zh-CN"/>
        </w:rPr>
        <w:t>五</w:t>
      </w:r>
      <w:r>
        <w:rPr>
          <w:rFonts w:hint="eastAsia" w:ascii="宋体" w:hAnsi="宋体"/>
          <w:b/>
          <w:color w:val="auto"/>
          <w:highlight w:val="none"/>
        </w:rPr>
        <w:t>条 合同生效及其他</w:t>
      </w:r>
    </w:p>
    <w:p w14:paraId="0C300498">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一、本合同应按照中华人民共和国的现行法律进行解释</w:t>
      </w:r>
    </w:p>
    <w:p w14:paraId="3185A42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二、本合同签订后，双方如需要提出修改或增加条款时，需经双方协商一致后，可以签订补充协议，补充协议与本合同具有同等的法律效力。</w:t>
      </w:r>
    </w:p>
    <w:p w14:paraId="7A81220A">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三、本合同一式陆份。甲方执叁份，乙方执叁份。</w:t>
      </w:r>
    </w:p>
    <w:p w14:paraId="2DE87284">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四、本合同双方盖骑缝章。</w:t>
      </w:r>
    </w:p>
    <w:p w14:paraId="09B5227C">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五、本合同自双方签字盖章即生效。</w:t>
      </w:r>
    </w:p>
    <w:p w14:paraId="6FF46780">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附件1：日常管养服务标段绿化明细清单</w:t>
      </w:r>
    </w:p>
    <w:p w14:paraId="03420152">
      <w:pPr>
        <w:autoSpaceDE w:val="0"/>
        <w:autoSpaceDN w:val="0"/>
        <w:adjustRightInd w:val="0"/>
        <w:spacing w:line="360" w:lineRule="auto"/>
        <w:ind w:firstLine="420" w:firstLineChars="200"/>
        <w:jc w:val="left"/>
        <w:rPr>
          <w:rFonts w:hint="eastAsia" w:ascii="宋体" w:hAnsi="宋体"/>
          <w:b w:val="0"/>
          <w:bCs w:val="0"/>
          <w:color w:val="auto"/>
          <w:highlight w:val="none"/>
          <w:lang w:val="zh-CN"/>
        </w:rPr>
      </w:pPr>
      <w:r>
        <w:rPr>
          <w:rFonts w:hint="eastAsia" w:ascii="宋体" w:hAnsi="宋体"/>
          <w:color w:val="auto"/>
          <w:highlight w:val="none"/>
          <w:lang w:val="zh-CN"/>
        </w:rPr>
        <w:t>附件2：</w:t>
      </w:r>
      <w:r>
        <w:rPr>
          <w:rFonts w:hint="eastAsia" w:ascii="新宋体" w:hAnsi="新宋体" w:eastAsia="新宋体"/>
          <w:b w:val="0"/>
          <w:bCs w:val="0"/>
          <w:color w:val="auto"/>
          <w:highlight w:val="none"/>
          <w:lang w:val="en-US" w:eastAsia="zh-CN"/>
        </w:rPr>
        <w:t>《</w:t>
      </w:r>
      <w:r>
        <w:rPr>
          <w:rFonts w:hint="eastAsia" w:ascii="新宋体" w:hAnsi="新宋体" w:eastAsia="新宋体"/>
          <w:b w:val="0"/>
          <w:bCs w:val="0"/>
          <w:color w:val="auto"/>
          <w:highlight w:val="none"/>
          <w:lang w:eastAsia="zh-CN"/>
        </w:rPr>
        <w:t>市场化养护考核办法（暂定）</w:t>
      </w:r>
      <w:r>
        <w:rPr>
          <w:rFonts w:hint="eastAsia" w:ascii="新宋体" w:hAnsi="新宋体" w:eastAsia="新宋体"/>
          <w:b w:val="0"/>
          <w:bCs w:val="0"/>
          <w:color w:val="auto"/>
          <w:highlight w:val="none"/>
          <w:lang w:val="en-US" w:eastAsia="zh-CN"/>
        </w:rPr>
        <w:t>》</w:t>
      </w:r>
    </w:p>
    <w:p w14:paraId="59EBF5E3">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附件3：乙方营业执照、人员表、设备表及服务承诺</w:t>
      </w:r>
    </w:p>
    <w:p w14:paraId="162716CA">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附件4：安全施工与文明现场协议书</w:t>
      </w:r>
    </w:p>
    <w:p w14:paraId="6D7865DD">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hint="eastAsia" w:ascii="宋体" w:hAnsi="宋体"/>
          <w:color w:val="auto"/>
          <w:highlight w:val="none"/>
          <w:lang w:val="zh-CN"/>
        </w:rPr>
        <w:t>附件5：廉政管理协议书</w:t>
      </w:r>
    </w:p>
    <w:p w14:paraId="5C8EA358">
      <w:pPr>
        <w:autoSpaceDE w:val="0"/>
        <w:autoSpaceDN w:val="0"/>
        <w:adjustRightInd w:val="0"/>
        <w:spacing w:line="360" w:lineRule="auto"/>
        <w:ind w:firstLine="420" w:firstLineChars="200"/>
        <w:jc w:val="left"/>
        <w:rPr>
          <w:rFonts w:ascii="宋体" w:hAnsi="宋体"/>
          <w:color w:val="auto"/>
          <w:highlight w:val="none"/>
          <w:lang w:val="zh-CN"/>
        </w:rPr>
      </w:pPr>
      <w:r>
        <w:rPr>
          <w:rFonts w:hint="eastAsia" w:ascii="宋体" w:hAnsi="宋体"/>
          <w:color w:val="auto"/>
          <w:highlight w:val="none"/>
          <w:lang w:val="zh-CN"/>
        </w:rPr>
        <w:t>附件6：安全生产责任承诺书</w:t>
      </w:r>
    </w:p>
    <w:p w14:paraId="2D99464B">
      <w:pPr>
        <w:autoSpaceDE w:val="0"/>
        <w:autoSpaceDN w:val="0"/>
        <w:adjustRightInd w:val="0"/>
        <w:spacing w:line="360" w:lineRule="auto"/>
        <w:ind w:firstLine="420" w:firstLineChars="200"/>
        <w:jc w:val="left"/>
        <w:rPr>
          <w:rFonts w:hint="eastAsia" w:ascii="宋体" w:hAnsi="宋体"/>
          <w:color w:val="auto"/>
          <w:highlight w:val="none"/>
          <w:lang w:val="zh-CN"/>
        </w:rPr>
      </w:pPr>
      <w:r>
        <w:rPr>
          <w:rFonts w:ascii="宋体" w:hAnsi="宋体"/>
          <w:color w:val="auto"/>
          <w:highlight w:val="none"/>
          <w:lang w:val="zh-CN"/>
        </w:rPr>
        <w:br w:type="page"/>
      </w:r>
      <w:r>
        <w:rPr>
          <w:rFonts w:ascii="宋体" w:hAnsi="宋体"/>
          <w:color w:val="auto"/>
          <w:highlight w:val="none"/>
          <w:lang w:val="zh-CN"/>
        </w:rPr>
        <w:t xml:space="preserve"> </w:t>
      </w:r>
      <w:r>
        <w:rPr>
          <w:rFonts w:hint="eastAsia" w:ascii="宋体" w:hAnsi="宋体"/>
          <w:color w:val="auto"/>
          <w:highlight w:val="none"/>
          <w:lang w:val="en-US" w:eastAsia="zh-CN"/>
        </w:rPr>
        <w:t xml:space="preserve">       </w:t>
      </w:r>
      <w:r>
        <w:rPr>
          <w:rFonts w:hint="eastAsia" w:ascii="宋体" w:hAnsi="宋体"/>
          <w:color w:val="auto"/>
          <w:highlight w:val="none"/>
          <w:lang w:val="zh-CN"/>
        </w:rPr>
        <w:t>（本页无正文）</w:t>
      </w:r>
    </w:p>
    <w:p w14:paraId="2C55FB08">
      <w:pPr>
        <w:pStyle w:val="20"/>
        <w:rPr>
          <w:color w:val="auto"/>
          <w:highlight w:val="none"/>
          <w:lang w:val="zh-CN"/>
        </w:rPr>
      </w:pPr>
    </w:p>
    <w:p w14:paraId="4BD571F1">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甲方</w:t>
      </w:r>
      <w:r>
        <w:rPr>
          <w:rFonts w:hint="eastAsia" w:ascii="宋体" w:hAnsi="宋体"/>
          <w:color w:val="auto"/>
          <w:sz w:val="24"/>
          <w:highlight w:val="none"/>
        </w:rPr>
        <w:t xml:space="preserve">（盖章）                     </w:t>
      </w:r>
      <w:r>
        <w:rPr>
          <w:rFonts w:hint="eastAsia" w:ascii="宋体" w:hAnsi="宋体"/>
          <w:b/>
          <w:color w:val="auto"/>
          <w:sz w:val="24"/>
          <w:highlight w:val="none"/>
        </w:rPr>
        <w:t>乙方</w:t>
      </w:r>
      <w:r>
        <w:rPr>
          <w:rFonts w:hint="eastAsia" w:ascii="宋体" w:hAnsi="宋体"/>
          <w:color w:val="auto"/>
          <w:sz w:val="24"/>
          <w:highlight w:val="none"/>
        </w:rPr>
        <w:t>（盖章）</w:t>
      </w:r>
    </w:p>
    <w:p w14:paraId="129D4B65">
      <w:pPr>
        <w:spacing w:line="360" w:lineRule="auto"/>
        <w:ind w:firstLine="1026" w:firstLineChars="426"/>
        <w:rPr>
          <w:rFonts w:ascii="宋体" w:hAnsi="宋体"/>
          <w:color w:val="auto"/>
          <w:sz w:val="24"/>
          <w:highlight w:val="none"/>
        </w:rPr>
      </w:pPr>
      <w:r>
        <w:rPr>
          <w:rFonts w:hint="eastAsia" w:ascii="宋体" w:hAnsi="宋体"/>
          <w:b/>
          <w:color w:val="auto"/>
          <w:sz w:val="24"/>
          <w:highlight w:val="none"/>
        </w:rPr>
        <w:t>法定代表人</w:t>
      </w:r>
      <w:r>
        <w:rPr>
          <w:rFonts w:hint="eastAsia" w:ascii="宋体" w:hAnsi="宋体"/>
          <w:color w:val="auto"/>
          <w:sz w:val="24"/>
          <w:highlight w:val="none"/>
        </w:rPr>
        <w:t xml:space="preserve">（签字）            </w:t>
      </w:r>
      <w:r>
        <w:rPr>
          <w:rFonts w:hint="eastAsia" w:ascii="宋体" w:hAnsi="宋体"/>
          <w:b/>
          <w:color w:val="auto"/>
          <w:sz w:val="24"/>
          <w:highlight w:val="none"/>
        </w:rPr>
        <w:t xml:space="preserve">   法定代表人</w:t>
      </w:r>
      <w:r>
        <w:rPr>
          <w:rFonts w:hint="eastAsia" w:ascii="宋体" w:hAnsi="宋体"/>
          <w:color w:val="auto"/>
          <w:sz w:val="24"/>
          <w:highlight w:val="none"/>
        </w:rPr>
        <w:t>（签字）</w:t>
      </w:r>
    </w:p>
    <w:p w14:paraId="30E2DCE5">
      <w:pPr>
        <w:spacing w:line="360" w:lineRule="auto"/>
        <w:ind w:firstLine="1026" w:firstLineChars="426"/>
        <w:rPr>
          <w:rFonts w:ascii="宋体" w:hAnsi="宋体"/>
          <w:b/>
          <w:color w:val="auto"/>
          <w:sz w:val="24"/>
          <w:highlight w:val="none"/>
        </w:rPr>
      </w:pPr>
      <w:r>
        <w:rPr>
          <w:rFonts w:hint="eastAsia" w:ascii="宋体" w:hAnsi="宋体"/>
          <w:b/>
          <w:color w:val="auto"/>
          <w:sz w:val="24"/>
          <w:highlight w:val="none"/>
        </w:rPr>
        <w:t>地址：</w:t>
      </w:r>
      <w:r>
        <w:rPr>
          <w:rFonts w:hint="eastAsia" w:ascii="宋体" w:hAnsi="宋体"/>
          <w:color w:val="auto"/>
          <w:sz w:val="24"/>
          <w:highlight w:val="none"/>
        </w:rPr>
        <w:t xml:space="preserve">                   </w:t>
      </w:r>
      <w:r>
        <w:rPr>
          <w:rFonts w:hint="eastAsia" w:ascii="宋体" w:hAnsi="宋体"/>
          <w:b/>
          <w:color w:val="auto"/>
          <w:sz w:val="24"/>
          <w:highlight w:val="none"/>
        </w:rPr>
        <w:t xml:space="preserve">        地址：</w:t>
      </w:r>
      <w:r>
        <w:rPr>
          <w:rFonts w:hint="eastAsia" w:ascii="宋体" w:hAnsi="宋体"/>
          <w:color w:val="auto"/>
          <w:sz w:val="24"/>
          <w:highlight w:val="none"/>
        </w:rPr>
        <w:t xml:space="preserve">             </w:t>
      </w:r>
    </w:p>
    <w:p w14:paraId="7C0D907D">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开户银行：                       开户银行：</w:t>
      </w:r>
      <w:r>
        <w:rPr>
          <w:rFonts w:hint="eastAsia" w:ascii="宋体" w:hAnsi="宋体"/>
          <w:b/>
          <w:color w:val="auto"/>
          <w:sz w:val="24"/>
          <w:highlight w:val="none"/>
        </w:rPr>
        <w:t xml:space="preserve">                     </w:t>
      </w:r>
    </w:p>
    <w:p w14:paraId="1A6206DA">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账号：</w:t>
      </w:r>
      <w:r>
        <w:rPr>
          <w:rFonts w:hint="eastAsia" w:ascii="宋体" w:hAnsi="宋体"/>
          <w:b/>
          <w:color w:val="auto"/>
          <w:sz w:val="24"/>
          <w:highlight w:val="none"/>
        </w:rPr>
        <w:t xml:space="preserve">                  </w:t>
      </w:r>
      <w:r>
        <w:rPr>
          <w:rFonts w:hint="eastAsia" w:ascii="宋体" w:hAnsi="宋体"/>
          <w:color w:val="auto"/>
          <w:sz w:val="24"/>
          <w:highlight w:val="none"/>
        </w:rPr>
        <w:t>　       账号：</w:t>
      </w:r>
    </w:p>
    <w:p w14:paraId="3CD8B810">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联系电话：</w:t>
      </w:r>
      <w:r>
        <w:rPr>
          <w:rFonts w:hint="eastAsia" w:ascii="宋体" w:hAnsi="宋体"/>
          <w:b/>
          <w:color w:val="auto"/>
          <w:sz w:val="24"/>
          <w:highlight w:val="none"/>
        </w:rPr>
        <w:t xml:space="preserve"> </w:t>
      </w:r>
      <w:r>
        <w:rPr>
          <w:rFonts w:hint="eastAsia" w:ascii="宋体" w:hAnsi="宋体"/>
          <w:color w:val="auto"/>
          <w:sz w:val="24"/>
          <w:highlight w:val="none"/>
        </w:rPr>
        <w:t xml:space="preserve">   </w:t>
      </w:r>
      <w:r>
        <w:rPr>
          <w:rFonts w:hint="eastAsia" w:ascii="宋体" w:hAnsi="宋体"/>
          <w:b/>
          <w:color w:val="auto"/>
          <w:sz w:val="24"/>
          <w:highlight w:val="none"/>
        </w:rPr>
        <w:t xml:space="preserve">                  </w:t>
      </w:r>
      <w:r>
        <w:rPr>
          <w:rFonts w:hint="eastAsia" w:ascii="宋体" w:hAnsi="宋体"/>
          <w:color w:val="auto"/>
          <w:sz w:val="24"/>
          <w:highlight w:val="none"/>
        </w:rPr>
        <w:t xml:space="preserve"> 联系电话：</w:t>
      </w:r>
    </w:p>
    <w:p w14:paraId="24437F4A">
      <w:pPr>
        <w:spacing w:line="360" w:lineRule="auto"/>
        <w:ind w:firstLine="1022" w:firstLineChars="426"/>
        <w:rPr>
          <w:rFonts w:ascii="宋体" w:hAnsi="宋体"/>
          <w:color w:val="auto"/>
          <w:sz w:val="24"/>
          <w:highlight w:val="none"/>
        </w:rPr>
      </w:pPr>
      <w:r>
        <w:rPr>
          <w:rFonts w:hint="eastAsia" w:ascii="宋体" w:hAnsi="宋体"/>
          <w:color w:val="auto"/>
          <w:sz w:val="24"/>
          <w:highlight w:val="none"/>
        </w:rPr>
        <w:t>传    真：</w:t>
      </w:r>
      <w:r>
        <w:rPr>
          <w:rFonts w:hint="eastAsia" w:ascii="宋体" w:hAnsi="宋体"/>
          <w:b/>
          <w:color w:val="auto"/>
          <w:sz w:val="24"/>
          <w:highlight w:val="none"/>
        </w:rPr>
        <w:t xml:space="preserve">                       </w:t>
      </w:r>
      <w:r>
        <w:rPr>
          <w:rFonts w:hint="eastAsia" w:ascii="宋体" w:hAnsi="宋体"/>
          <w:color w:val="auto"/>
          <w:sz w:val="24"/>
          <w:highlight w:val="none"/>
        </w:rPr>
        <w:t>传    真：</w:t>
      </w:r>
    </w:p>
    <w:p w14:paraId="5C982D25">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邮政编码：</w:t>
      </w:r>
      <w:r>
        <w:rPr>
          <w:rFonts w:hint="eastAsia" w:ascii="宋体" w:hAnsi="宋体"/>
          <w:b/>
          <w:color w:val="auto"/>
          <w:sz w:val="24"/>
          <w:highlight w:val="none"/>
        </w:rPr>
        <w:t xml:space="preserve"> 　　</w:t>
      </w:r>
      <w:r>
        <w:rPr>
          <w:rFonts w:hint="eastAsia" w:ascii="宋体" w:hAnsi="宋体"/>
          <w:color w:val="auto"/>
          <w:sz w:val="24"/>
          <w:highlight w:val="none"/>
        </w:rPr>
        <w:t>　　　　          邮政编码：</w:t>
      </w:r>
    </w:p>
    <w:p w14:paraId="4D3EDFF1">
      <w:pPr>
        <w:spacing w:line="360" w:lineRule="auto"/>
        <w:ind w:firstLine="1022" w:firstLineChars="426"/>
        <w:rPr>
          <w:rFonts w:ascii="宋体" w:hAnsi="宋体"/>
          <w:b/>
          <w:color w:val="auto"/>
          <w:sz w:val="24"/>
          <w:highlight w:val="none"/>
        </w:rPr>
      </w:pPr>
      <w:r>
        <w:rPr>
          <w:rFonts w:hint="eastAsia" w:ascii="宋体" w:hAnsi="宋体"/>
          <w:color w:val="auto"/>
          <w:sz w:val="24"/>
          <w:highlight w:val="none"/>
        </w:rPr>
        <w:t xml:space="preserve">合同签订地点：                  </w:t>
      </w:r>
    </w:p>
    <w:p w14:paraId="387DF146">
      <w:pPr>
        <w:spacing w:line="360" w:lineRule="auto"/>
        <w:ind w:firstLine="1022" w:firstLineChars="426"/>
        <w:rPr>
          <w:rFonts w:ascii="宋体" w:hAnsi="宋体"/>
          <w:color w:val="auto"/>
          <w:sz w:val="24"/>
          <w:highlight w:val="none"/>
        </w:rPr>
      </w:pPr>
      <w:r>
        <w:rPr>
          <w:rFonts w:hint="eastAsia" w:ascii="宋体" w:hAnsi="宋体"/>
          <w:color w:val="auto"/>
          <w:sz w:val="24"/>
          <w:highlight w:val="none"/>
        </w:rPr>
        <w:t>合同签订日期：</w:t>
      </w:r>
      <w:r>
        <w:rPr>
          <w:rFonts w:ascii="宋体" w:hAnsi="宋体"/>
          <w:color w:val="auto"/>
          <w:sz w:val="24"/>
          <w:highlight w:val="none"/>
        </w:rPr>
        <w:t xml:space="preserve">  </w:t>
      </w:r>
      <w:r>
        <w:rPr>
          <w:rFonts w:hint="eastAsia" w:ascii="宋体" w:hAnsi="宋体"/>
          <w:color w:val="auto"/>
          <w:sz w:val="24"/>
          <w:highlight w:val="none"/>
        </w:rPr>
        <w:t xml:space="preserve"> 年  月  日　</w:t>
      </w:r>
    </w:p>
    <w:p w14:paraId="32D45A95">
      <w:pPr>
        <w:pStyle w:val="20"/>
        <w:ind w:left="1470" w:right="1470"/>
        <w:rPr>
          <w:rFonts w:hint="eastAsia"/>
          <w:color w:val="auto"/>
          <w:highlight w:val="none"/>
        </w:rPr>
      </w:pPr>
    </w:p>
    <w:p w14:paraId="353F3474">
      <w:pPr>
        <w:spacing w:line="480" w:lineRule="auto"/>
        <w:rPr>
          <w:rFonts w:ascii="新宋体" w:hAnsi="新宋体" w:eastAsia="新宋体"/>
          <w:b/>
          <w:bCs/>
          <w:color w:val="auto"/>
          <w:sz w:val="21"/>
          <w:szCs w:val="21"/>
          <w:highlight w:val="none"/>
        </w:rPr>
      </w:pPr>
      <w:r>
        <w:rPr>
          <w:rFonts w:ascii="新宋体" w:hAnsi="新宋体" w:eastAsia="新宋体"/>
          <w:b/>
          <w:bCs/>
          <w:color w:val="auto"/>
          <w:sz w:val="24"/>
          <w:highlight w:val="none"/>
        </w:rPr>
        <w:br w:type="page"/>
      </w:r>
      <w:r>
        <w:rPr>
          <w:rFonts w:hint="eastAsia" w:ascii="新宋体" w:hAnsi="新宋体" w:eastAsia="新宋体"/>
          <w:b/>
          <w:bCs/>
          <w:color w:val="auto"/>
          <w:sz w:val="21"/>
          <w:szCs w:val="21"/>
          <w:highlight w:val="none"/>
        </w:rPr>
        <w:t>附件1：日常管养服务标段绿化明细清单</w:t>
      </w:r>
    </w:p>
    <w:p w14:paraId="2F996175">
      <w:pPr>
        <w:spacing w:line="480" w:lineRule="auto"/>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（截取中标人投标文件中费用明细）</w:t>
      </w:r>
    </w:p>
    <w:p w14:paraId="60E14AE1">
      <w:pPr>
        <w:spacing w:line="480" w:lineRule="auto"/>
        <w:rPr>
          <w:rFonts w:hint="eastAsia" w:ascii="宋体" w:hAnsi="宋体"/>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2</w:t>
      </w:r>
      <w:r>
        <w:rPr>
          <w:rFonts w:hint="eastAsia" w:ascii="新宋体" w:hAnsi="新宋体" w:eastAsia="新宋体"/>
          <w:b/>
          <w:bCs/>
          <w:color w:val="auto"/>
          <w:sz w:val="21"/>
          <w:szCs w:val="21"/>
          <w:highlight w:val="none"/>
        </w:rPr>
        <w:t>：</w:t>
      </w:r>
      <w:r>
        <w:rPr>
          <w:rFonts w:hint="eastAsia" w:ascii="新宋体" w:hAnsi="新宋体" w:eastAsia="新宋体"/>
          <w:b/>
          <w:bCs/>
          <w:color w:val="auto"/>
          <w:szCs w:val="21"/>
          <w:highlight w:val="none"/>
          <w:lang w:val="en-US" w:eastAsia="zh-CN"/>
        </w:rPr>
        <w:t>《</w:t>
      </w:r>
      <w:r>
        <w:rPr>
          <w:rFonts w:hint="eastAsia" w:ascii="新宋体" w:hAnsi="新宋体" w:eastAsia="新宋体"/>
          <w:b/>
          <w:bCs/>
          <w:color w:val="auto"/>
          <w:szCs w:val="21"/>
          <w:highlight w:val="none"/>
          <w:lang w:eastAsia="zh-CN"/>
        </w:rPr>
        <w:t>市场化养护考核办法（暂定）</w:t>
      </w:r>
      <w:r>
        <w:rPr>
          <w:rFonts w:hint="eastAsia" w:ascii="新宋体" w:hAnsi="新宋体" w:eastAsia="新宋体"/>
          <w:b/>
          <w:bCs/>
          <w:color w:val="auto"/>
          <w:szCs w:val="21"/>
          <w:highlight w:val="none"/>
          <w:lang w:val="en-US" w:eastAsia="zh-CN"/>
        </w:rPr>
        <w:t>》</w:t>
      </w:r>
    </w:p>
    <w:bookmarkEnd w:id="19"/>
    <w:bookmarkEnd w:id="20"/>
    <w:bookmarkEnd w:id="21"/>
    <w:bookmarkEnd w:id="22"/>
    <w:bookmarkEnd w:id="23"/>
    <w:bookmarkEnd w:id="24"/>
    <w:p w14:paraId="7978201C">
      <w:pPr>
        <w:pStyle w:val="20"/>
        <w:ind w:left="426" w:leftChars="203" w:right="109" w:rightChars="52"/>
        <w:jc w:val="center"/>
        <w:rPr>
          <w:rFonts w:hint="eastAsia" w:ascii="仿宋" w:hAnsi="仿宋" w:eastAsia="仿宋" w:cs="仿宋"/>
          <w:b/>
          <w:color w:val="auto"/>
          <w:sz w:val="21"/>
          <w:szCs w:val="21"/>
          <w:highlight w:val="none"/>
          <w:lang w:eastAsia="zh-CN"/>
        </w:rPr>
      </w:pPr>
      <w:bookmarkStart w:id="29" w:name="_Toc417484160"/>
      <w:r>
        <w:rPr>
          <w:rFonts w:hint="eastAsia" w:ascii="仿宋" w:hAnsi="仿宋" w:eastAsia="仿宋" w:cs="仿宋"/>
          <w:b/>
          <w:color w:val="auto"/>
          <w:sz w:val="21"/>
          <w:szCs w:val="21"/>
          <w:highlight w:val="none"/>
          <w:lang w:val="en-US" w:eastAsia="zh-CN"/>
        </w:rPr>
        <w:t>市场化</w:t>
      </w:r>
      <w:r>
        <w:rPr>
          <w:rFonts w:hint="eastAsia" w:ascii="仿宋" w:hAnsi="仿宋" w:eastAsia="仿宋" w:cs="仿宋"/>
          <w:b/>
          <w:color w:val="auto"/>
          <w:sz w:val="21"/>
          <w:szCs w:val="21"/>
          <w:highlight w:val="none"/>
        </w:rPr>
        <w:t>养护考核办法</w:t>
      </w:r>
      <w:r>
        <w:rPr>
          <w:rFonts w:hint="eastAsia" w:ascii="仿宋" w:hAnsi="仿宋" w:eastAsia="仿宋" w:cs="仿宋"/>
          <w:b/>
          <w:color w:val="auto"/>
          <w:sz w:val="21"/>
          <w:szCs w:val="21"/>
          <w:highlight w:val="none"/>
          <w:lang w:eastAsia="zh-CN"/>
        </w:rPr>
        <w:t>（</w:t>
      </w:r>
      <w:r>
        <w:rPr>
          <w:rFonts w:hint="eastAsia" w:ascii="仿宋" w:hAnsi="仿宋" w:eastAsia="仿宋" w:cs="仿宋"/>
          <w:b/>
          <w:color w:val="auto"/>
          <w:sz w:val="21"/>
          <w:szCs w:val="21"/>
          <w:highlight w:val="none"/>
          <w:lang w:val="en-US" w:eastAsia="zh-CN"/>
        </w:rPr>
        <w:t>暂定</w:t>
      </w:r>
      <w:r>
        <w:rPr>
          <w:rFonts w:hint="eastAsia" w:ascii="仿宋" w:hAnsi="仿宋" w:eastAsia="仿宋" w:cs="仿宋"/>
          <w:b/>
          <w:color w:val="auto"/>
          <w:sz w:val="21"/>
          <w:szCs w:val="21"/>
          <w:highlight w:val="none"/>
          <w:lang w:eastAsia="zh-CN"/>
        </w:rPr>
        <w:t>）</w:t>
      </w:r>
    </w:p>
    <w:p w14:paraId="5D6492F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一、考核范围</w:t>
      </w:r>
    </w:p>
    <w:p w14:paraId="647D388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eastAsia="zh-CN"/>
        </w:rPr>
        <w:t>适用于南京经济技术开发区范围内市政设施管养、绿化养护、交通设施维护、桥梁养护</w:t>
      </w:r>
      <w:r>
        <w:rPr>
          <w:rFonts w:hint="eastAsia" w:ascii="仿宋" w:hAnsi="仿宋" w:eastAsia="仿宋" w:cs="仿宋"/>
          <w:bCs/>
          <w:color w:val="auto"/>
          <w:sz w:val="21"/>
          <w:szCs w:val="21"/>
          <w:highlight w:val="none"/>
        </w:rPr>
        <w:t>等。</w:t>
      </w:r>
    </w:p>
    <w:p w14:paraId="00611B8C">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二、考核主体</w:t>
      </w:r>
    </w:p>
    <w:p w14:paraId="3F9689A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val="en-US" w:eastAsia="zh-CN"/>
        </w:rPr>
      </w:pPr>
      <w:r>
        <w:rPr>
          <w:rFonts w:hint="eastAsia" w:ascii="仿宋" w:hAnsi="仿宋" w:eastAsia="仿宋" w:cs="仿宋"/>
          <w:bCs/>
          <w:color w:val="auto"/>
          <w:sz w:val="21"/>
          <w:szCs w:val="21"/>
          <w:highlight w:val="none"/>
          <w:lang w:val="en-US" w:eastAsia="zh-CN"/>
        </w:rPr>
        <w:t>南京市栖霞区城市管理局</w:t>
      </w:r>
    </w:p>
    <w:p w14:paraId="06BF14E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三、考核方式</w:t>
      </w:r>
    </w:p>
    <w:p w14:paraId="7C2E7CEA">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考核分为上级主管部门考核、日常考核、定期考核、资料台账考核四种方式，总分值</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 xml:space="preserve">分。 </w:t>
      </w:r>
    </w:p>
    <w:p w14:paraId="5084C36A">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lang w:eastAsia="zh-CN"/>
        </w:rPr>
      </w:pPr>
      <w:r>
        <w:rPr>
          <w:rFonts w:hint="eastAsia" w:ascii="仿宋" w:hAnsi="仿宋" w:eastAsia="仿宋" w:cs="仿宋"/>
          <w:bCs/>
          <w:color w:val="auto"/>
          <w:sz w:val="21"/>
          <w:szCs w:val="21"/>
          <w:highlight w:val="none"/>
        </w:rPr>
        <w:t>1、上级主管部门考核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上级考核如有就采用</w:t>
      </w:r>
      <w:r>
        <w:rPr>
          <w:rFonts w:hint="eastAsia" w:ascii="仿宋" w:hAnsi="仿宋" w:eastAsia="仿宋" w:cs="仿宋"/>
          <w:bCs/>
          <w:color w:val="auto"/>
          <w:sz w:val="21"/>
          <w:szCs w:val="21"/>
          <w:highlight w:val="none"/>
          <w:lang w:eastAsia="zh-CN"/>
        </w:rPr>
        <w:t>）</w:t>
      </w:r>
    </w:p>
    <w:p w14:paraId="00B18E7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（1）有上级业务主管部门考核排名的，如市政管养、绿化养护。以上级业务主管部门月度考评通报为依据。采用加减分方式进行考核。同一考核分组内，第一名加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分，末位名次扣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分，其它名次不计分。（例：郊园区组共五组评比，则第一名加</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分，第二名、第三名、第四名不计分，第五名扣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w:t>
      </w:r>
    </w:p>
    <w:p w14:paraId="4F97C2A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（2）有上级业务主管部门考核但考核分组内区域小于等于3组或不排名的，如</w:t>
      </w:r>
      <w:r>
        <w:rPr>
          <w:rFonts w:hint="eastAsia" w:ascii="仿宋" w:hAnsi="仿宋" w:eastAsia="仿宋" w:cs="仿宋"/>
          <w:bCs/>
          <w:color w:val="auto"/>
          <w:sz w:val="21"/>
          <w:szCs w:val="21"/>
          <w:highlight w:val="none"/>
          <w:lang w:val="en-US" w:eastAsia="zh-CN"/>
        </w:rPr>
        <w:t>信号灯等</w:t>
      </w:r>
      <w:r>
        <w:rPr>
          <w:rFonts w:hint="eastAsia" w:ascii="仿宋" w:hAnsi="仿宋" w:eastAsia="仿宋" w:cs="仿宋"/>
          <w:bCs/>
          <w:color w:val="auto"/>
          <w:sz w:val="21"/>
          <w:szCs w:val="21"/>
          <w:highlight w:val="none"/>
        </w:rPr>
        <w:t>设施维护。上级业务主管部门当月提出问题的，</w:t>
      </w:r>
      <w:r>
        <w:rPr>
          <w:rFonts w:hint="eastAsia" w:ascii="仿宋" w:hAnsi="仿宋" w:eastAsia="仿宋" w:cs="仿宋"/>
          <w:bCs/>
          <w:color w:val="auto"/>
          <w:sz w:val="21"/>
          <w:szCs w:val="21"/>
          <w:highlight w:val="none"/>
          <w:lang w:val="en-US" w:eastAsia="zh-CN"/>
        </w:rPr>
        <w:t>百</w:t>
      </w:r>
      <w:r>
        <w:rPr>
          <w:rFonts w:hint="eastAsia" w:ascii="仿宋" w:hAnsi="仿宋" w:eastAsia="仿宋" w:cs="仿宋"/>
          <w:bCs/>
          <w:color w:val="auto"/>
          <w:sz w:val="21"/>
          <w:szCs w:val="21"/>
          <w:highlight w:val="none"/>
        </w:rPr>
        <w:t>分制考核的，按上级主管部门所扣除的对应分值进行扣分；百分制考核或其它考核方式的，按上级主管部门所扣除的对应分值*10进行扣分。如情节严重或提出通报批评的，按本考核办法扣分项（第三部分第二条第一款）要求进行扣分。</w:t>
      </w:r>
    </w:p>
    <w:p w14:paraId="21172F36">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（3）暂未纳入上级业务主管部门考核的，如交通设施维护、建成区以外的市政设施管养及绿化养护等。不扣分。</w:t>
      </w:r>
    </w:p>
    <w:p w14:paraId="7F09A09C">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上级业务主管部门当月所公布的考核问题未涉及的管养区域，不计分。涉及两个及以上区域的，同时参照排名计分。上级业务主管部门考核中，扣分项不涉及日常管养工作的，由业务部门书面上报变更申请，城管局</w:t>
      </w:r>
      <w:r>
        <w:rPr>
          <w:rFonts w:hint="eastAsia" w:ascii="仿宋" w:hAnsi="仿宋" w:eastAsia="仿宋" w:cs="仿宋"/>
          <w:bCs/>
          <w:color w:val="auto"/>
          <w:sz w:val="21"/>
          <w:szCs w:val="21"/>
          <w:highlight w:val="none"/>
          <w:lang w:val="en-US" w:eastAsia="zh-CN"/>
        </w:rPr>
        <w:t>分管领导</w:t>
      </w:r>
      <w:r>
        <w:rPr>
          <w:rFonts w:hint="eastAsia" w:ascii="仿宋" w:hAnsi="仿宋" w:eastAsia="仿宋" w:cs="仿宋"/>
          <w:bCs/>
          <w:color w:val="auto"/>
          <w:sz w:val="21"/>
          <w:szCs w:val="21"/>
          <w:highlight w:val="none"/>
        </w:rPr>
        <w:t>签字同意后，予以调整。</w:t>
      </w:r>
    </w:p>
    <w:p w14:paraId="179FB5E6">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2、日常考核</w:t>
      </w:r>
    </w:p>
    <w:p w14:paraId="3A181680">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扣分项：各业务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人员拍摄的工单，每一条扣</w:t>
      </w:r>
      <w:r>
        <w:rPr>
          <w:rFonts w:hint="eastAsia" w:ascii="仿宋" w:hAnsi="仿宋" w:eastAsia="仿宋" w:cs="仿宋"/>
          <w:bCs/>
          <w:color w:val="auto"/>
          <w:sz w:val="21"/>
          <w:szCs w:val="21"/>
          <w:highlight w:val="none"/>
          <w:lang w:val="en-US" w:eastAsia="zh-CN"/>
        </w:rPr>
        <w:t>0.1</w:t>
      </w:r>
      <w:r>
        <w:rPr>
          <w:rFonts w:hint="eastAsia" w:ascii="仿宋" w:hAnsi="仿宋" w:eastAsia="仿宋" w:cs="仿宋"/>
          <w:bCs/>
          <w:color w:val="auto"/>
          <w:sz w:val="21"/>
          <w:szCs w:val="21"/>
          <w:highlight w:val="none"/>
        </w:rPr>
        <w:t>分；局领导拍摄</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交办</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的工单为督察工单，每一条扣1分；工单派发至管养单位，由各片区管养单位在规定时限内完成。管养单位超时完成的，双倍扣分；超过两倍规定时限未完成的，视为未实施，四倍扣分，并重新派单，进入第二次扣分循环，直至完成工单。</w:t>
      </w:r>
    </w:p>
    <w:p w14:paraId="4D1709BA">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市级以上部门提出批评的，扣</w:t>
      </w:r>
      <w:r>
        <w:rPr>
          <w:rFonts w:hint="eastAsia" w:ascii="仿宋" w:hAnsi="仿宋" w:eastAsia="仿宋" w:cs="仿宋"/>
          <w:bCs/>
          <w:color w:val="auto"/>
          <w:sz w:val="21"/>
          <w:szCs w:val="21"/>
          <w:highlight w:val="none"/>
          <w:lang w:val="en-US" w:eastAsia="zh-CN"/>
        </w:rPr>
        <w:t>2-5</w:t>
      </w:r>
      <w:r>
        <w:rPr>
          <w:rFonts w:hint="eastAsia" w:ascii="仿宋" w:hAnsi="仿宋" w:eastAsia="仿宋" w:cs="仿宋"/>
          <w:bCs/>
          <w:color w:val="auto"/>
          <w:sz w:val="21"/>
          <w:szCs w:val="21"/>
          <w:highlight w:val="none"/>
        </w:rPr>
        <w:t>分；区级部门提出批评的，扣</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分；城管局提出批评的，扣</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分。扣分分值由考核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汇报</w:t>
      </w:r>
      <w:r>
        <w:rPr>
          <w:rFonts w:hint="eastAsia" w:ascii="仿宋" w:hAnsi="仿宋" w:eastAsia="仿宋" w:cs="仿宋"/>
          <w:bCs/>
          <w:color w:val="auto"/>
          <w:sz w:val="21"/>
          <w:szCs w:val="21"/>
          <w:highlight w:val="none"/>
          <w:lang w:val="en-US" w:eastAsia="zh-CN"/>
        </w:rPr>
        <w:t>至各业务科室</w:t>
      </w:r>
      <w:r>
        <w:rPr>
          <w:rFonts w:hint="eastAsia" w:ascii="仿宋" w:hAnsi="仿宋" w:eastAsia="仿宋" w:cs="仿宋"/>
          <w:bCs/>
          <w:color w:val="auto"/>
          <w:sz w:val="21"/>
          <w:szCs w:val="21"/>
          <w:highlight w:val="none"/>
        </w:rPr>
        <w:t>，组织相应业务部门确定后，予以扣除。</w:t>
      </w:r>
    </w:p>
    <w:p w14:paraId="461CEBF6">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各片区管养单位可通过书面汇报的形式，将当月存疑工单向主管业务部门进行申报，业务部门书面上报分管副局长、局长，签字同意后，予以撤销工单，不扣分；各片区管养单位不得直接与考核</w:t>
      </w:r>
      <w:r>
        <w:rPr>
          <w:rFonts w:hint="eastAsia" w:ascii="仿宋" w:hAnsi="仿宋" w:eastAsia="仿宋" w:cs="仿宋"/>
          <w:bCs/>
          <w:color w:val="auto"/>
          <w:sz w:val="21"/>
          <w:szCs w:val="21"/>
          <w:highlight w:val="none"/>
          <w:lang w:val="en-US" w:eastAsia="zh-CN"/>
        </w:rPr>
        <w:t>组及各业务</w:t>
      </w:r>
      <w:r>
        <w:rPr>
          <w:rFonts w:hint="eastAsia" w:ascii="仿宋" w:hAnsi="仿宋" w:eastAsia="仿宋" w:cs="仿宋"/>
          <w:bCs/>
          <w:color w:val="auto"/>
          <w:sz w:val="21"/>
          <w:szCs w:val="21"/>
          <w:highlight w:val="none"/>
        </w:rPr>
        <w:t>部门沟通工单事宜，不得干扰工单拍摄，一经发现，每次扣除管养单位</w:t>
      </w:r>
      <w:r>
        <w:rPr>
          <w:rFonts w:hint="eastAsia" w:ascii="仿宋" w:hAnsi="仿宋" w:eastAsia="仿宋" w:cs="仿宋"/>
          <w:bCs/>
          <w:color w:val="auto"/>
          <w:sz w:val="21"/>
          <w:szCs w:val="21"/>
          <w:highlight w:val="none"/>
          <w:lang w:val="en-US" w:eastAsia="zh-CN"/>
        </w:rPr>
        <w:t>1</w:t>
      </w:r>
      <w:r>
        <w:rPr>
          <w:rFonts w:hint="eastAsia" w:ascii="仿宋" w:hAnsi="仿宋" w:eastAsia="仿宋" w:cs="仿宋"/>
          <w:bCs/>
          <w:color w:val="auto"/>
          <w:sz w:val="21"/>
          <w:szCs w:val="21"/>
          <w:highlight w:val="none"/>
        </w:rPr>
        <w:t>分。</w:t>
      </w:r>
    </w:p>
    <w:p w14:paraId="32FB5A6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加分项</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日常管养中得到</w:t>
      </w:r>
      <w:r>
        <w:rPr>
          <w:rFonts w:hint="eastAsia" w:ascii="仿宋" w:hAnsi="仿宋" w:eastAsia="仿宋" w:cs="仿宋"/>
          <w:bCs/>
          <w:color w:val="auto"/>
          <w:sz w:val="21"/>
          <w:szCs w:val="21"/>
          <w:highlight w:val="none"/>
          <w:lang w:val="en-US" w:eastAsia="zh-CN"/>
        </w:rPr>
        <w:t>区政府部门</w:t>
      </w:r>
      <w:r>
        <w:rPr>
          <w:rFonts w:hint="eastAsia" w:ascii="仿宋" w:hAnsi="仿宋" w:eastAsia="仿宋" w:cs="仿宋"/>
          <w:bCs/>
          <w:color w:val="auto"/>
          <w:sz w:val="21"/>
          <w:szCs w:val="21"/>
          <w:highlight w:val="none"/>
        </w:rPr>
        <w:t>、城管局表扬的，由</w:t>
      </w:r>
      <w:r>
        <w:rPr>
          <w:rFonts w:hint="eastAsia" w:ascii="仿宋" w:hAnsi="仿宋" w:eastAsia="仿宋" w:cs="仿宋"/>
          <w:bCs/>
          <w:color w:val="auto"/>
          <w:sz w:val="21"/>
          <w:szCs w:val="21"/>
          <w:highlight w:val="none"/>
          <w:lang w:val="en-US" w:eastAsia="zh-CN"/>
        </w:rPr>
        <w:t>养护单位</w:t>
      </w:r>
      <w:r>
        <w:rPr>
          <w:rFonts w:hint="eastAsia" w:ascii="仿宋" w:hAnsi="仿宋" w:eastAsia="仿宋" w:cs="仿宋"/>
          <w:bCs/>
          <w:color w:val="auto"/>
          <w:sz w:val="21"/>
          <w:szCs w:val="21"/>
          <w:highlight w:val="none"/>
        </w:rPr>
        <w:t>提出申请，分管副局长签字同意后，视情况加</w:t>
      </w:r>
      <w:r>
        <w:rPr>
          <w:rFonts w:hint="eastAsia" w:ascii="仿宋" w:hAnsi="仿宋" w:eastAsia="仿宋" w:cs="仿宋"/>
          <w:bCs/>
          <w:color w:val="auto"/>
          <w:sz w:val="21"/>
          <w:szCs w:val="21"/>
          <w:highlight w:val="none"/>
          <w:lang w:val="en-US" w:eastAsia="zh-CN"/>
        </w:rPr>
        <w:t>1-2</w:t>
      </w:r>
      <w:r>
        <w:rPr>
          <w:rFonts w:hint="eastAsia" w:ascii="仿宋" w:hAnsi="仿宋" w:eastAsia="仿宋" w:cs="仿宋"/>
          <w:bCs/>
          <w:color w:val="auto"/>
          <w:sz w:val="21"/>
          <w:szCs w:val="21"/>
          <w:highlight w:val="none"/>
        </w:rPr>
        <w:t>分；管养单位自费进行合同约定以外改造的，由</w:t>
      </w:r>
      <w:r>
        <w:rPr>
          <w:rFonts w:hint="eastAsia" w:ascii="仿宋" w:hAnsi="仿宋" w:eastAsia="仿宋" w:cs="仿宋"/>
          <w:bCs/>
          <w:color w:val="auto"/>
          <w:sz w:val="21"/>
          <w:szCs w:val="21"/>
          <w:highlight w:val="none"/>
          <w:lang w:val="en-US" w:eastAsia="zh-CN"/>
        </w:rPr>
        <w:t>该单位</w:t>
      </w:r>
      <w:r>
        <w:rPr>
          <w:rFonts w:hint="eastAsia" w:ascii="仿宋" w:hAnsi="仿宋" w:eastAsia="仿宋" w:cs="仿宋"/>
          <w:bCs/>
          <w:color w:val="auto"/>
          <w:sz w:val="21"/>
          <w:szCs w:val="21"/>
          <w:highlight w:val="none"/>
        </w:rPr>
        <w:t>提出申请，分管副局长签字同意后，视资金投入情况加</w:t>
      </w:r>
      <w:r>
        <w:rPr>
          <w:rFonts w:hint="eastAsia" w:ascii="仿宋" w:hAnsi="仿宋" w:eastAsia="仿宋" w:cs="仿宋"/>
          <w:bCs/>
          <w:color w:val="auto"/>
          <w:sz w:val="21"/>
          <w:szCs w:val="21"/>
          <w:highlight w:val="none"/>
          <w:lang w:val="en-US" w:eastAsia="zh-CN"/>
        </w:rPr>
        <w:t>1-5</w:t>
      </w:r>
      <w:r>
        <w:rPr>
          <w:rFonts w:hint="eastAsia" w:ascii="仿宋" w:hAnsi="仿宋" w:eastAsia="仿宋" w:cs="仿宋"/>
          <w:bCs/>
          <w:color w:val="auto"/>
          <w:sz w:val="21"/>
          <w:szCs w:val="21"/>
          <w:highlight w:val="none"/>
        </w:rPr>
        <w:t>分。（每月加分累计不得超过</w:t>
      </w:r>
      <w:r>
        <w:rPr>
          <w:rFonts w:hint="eastAsia" w:ascii="仿宋" w:hAnsi="仿宋" w:eastAsia="仿宋" w:cs="仿宋"/>
          <w:bCs/>
          <w:color w:val="auto"/>
          <w:sz w:val="21"/>
          <w:szCs w:val="21"/>
          <w:highlight w:val="none"/>
          <w:lang w:val="en-US" w:eastAsia="zh-CN"/>
        </w:rPr>
        <w:t>5</w:t>
      </w:r>
      <w:r>
        <w:rPr>
          <w:rFonts w:hint="eastAsia" w:ascii="仿宋" w:hAnsi="仿宋" w:eastAsia="仿宋" w:cs="仿宋"/>
          <w:bCs/>
          <w:color w:val="auto"/>
          <w:sz w:val="21"/>
          <w:szCs w:val="21"/>
          <w:highlight w:val="none"/>
        </w:rPr>
        <w:t>分）。</w:t>
      </w:r>
    </w:p>
    <w:p w14:paraId="56FE19D7">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GPS</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lang w:val="en-US" w:eastAsia="zh-CN"/>
        </w:rPr>
        <w:t>北斗</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考核</w:t>
      </w:r>
      <w:r>
        <w:rPr>
          <w:rFonts w:hint="eastAsia" w:ascii="仿宋" w:hAnsi="仿宋" w:eastAsia="仿宋" w:cs="仿宋"/>
          <w:bCs/>
          <w:color w:val="auto"/>
          <w:sz w:val="21"/>
          <w:szCs w:val="21"/>
          <w:highlight w:val="none"/>
          <w:lang w:eastAsia="zh-CN"/>
        </w:rPr>
        <w:t>：</w:t>
      </w:r>
      <w:r>
        <w:rPr>
          <w:rFonts w:hint="eastAsia" w:ascii="仿宋" w:hAnsi="仿宋" w:eastAsia="仿宋" w:cs="仿宋"/>
          <w:bCs/>
          <w:color w:val="auto"/>
          <w:sz w:val="21"/>
          <w:szCs w:val="21"/>
          <w:highlight w:val="none"/>
        </w:rPr>
        <w:t>每月由各业务部门在工作时间段，对每个片区的GPS巡查数据随机抽查4次，考核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核查人数为两人以上，核查完毕后截图、签字确认。工作时间内巡查人员的巡查覆盖率必须达到管养片区的80%以上，不达标的管养单位每次扣</w:t>
      </w:r>
      <w:r>
        <w:rPr>
          <w:rFonts w:hint="eastAsia" w:ascii="仿宋" w:hAnsi="仿宋" w:eastAsia="仿宋" w:cs="仿宋"/>
          <w:bCs/>
          <w:color w:val="auto"/>
          <w:sz w:val="21"/>
          <w:szCs w:val="21"/>
          <w:highlight w:val="none"/>
          <w:lang w:val="en-US" w:eastAsia="zh-CN"/>
        </w:rPr>
        <w:t>2</w:t>
      </w:r>
      <w:r>
        <w:rPr>
          <w:rFonts w:hint="eastAsia" w:ascii="仿宋" w:hAnsi="仿宋" w:eastAsia="仿宋" w:cs="仿宋"/>
          <w:bCs/>
          <w:color w:val="auto"/>
          <w:sz w:val="21"/>
          <w:szCs w:val="21"/>
          <w:highlight w:val="none"/>
        </w:rPr>
        <w:t>分。管养单位因车辆故障、车辆更换、GPS故障等事由无法进行GPS考核的，须提前一个工作日进行报备，未报备且达不到考核数据要求的，视为考核不达标。报备后管养单位须在4个工作日内处理完成相关问题。GPS考核中存在舞弊行为的，加倍扣分。</w:t>
      </w:r>
    </w:p>
    <w:p w14:paraId="26899625">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3、定期考核</w:t>
      </w:r>
    </w:p>
    <w:p w14:paraId="04C378E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每月上旬由</w:t>
      </w:r>
      <w:r>
        <w:rPr>
          <w:rFonts w:hint="eastAsia" w:ascii="仿宋" w:hAnsi="仿宋" w:eastAsia="仿宋" w:cs="仿宋"/>
          <w:bCs/>
          <w:color w:val="auto"/>
          <w:sz w:val="21"/>
          <w:szCs w:val="21"/>
          <w:highlight w:val="none"/>
          <w:lang w:val="en-US" w:eastAsia="zh-CN"/>
        </w:rPr>
        <w:t>业务科室</w:t>
      </w:r>
      <w:r>
        <w:rPr>
          <w:rFonts w:hint="eastAsia" w:ascii="仿宋" w:hAnsi="仿宋" w:eastAsia="仿宋" w:cs="仿宋"/>
          <w:bCs/>
          <w:color w:val="auto"/>
          <w:sz w:val="21"/>
          <w:szCs w:val="21"/>
          <w:highlight w:val="none"/>
        </w:rPr>
        <w:t>牵头，</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参与，采用随机抽签的方式选定管养区内一条考核道路或区域，集中评分。定期考核发现的问题，根据考核细则进行扣分，形成定期考核评价表，分数计入月度考核评分。</w:t>
      </w:r>
    </w:p>
    <w:p w14:paraId="0C55969D">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4、资料台账考核，由业务</w:t>
      </w:r>
      <w:r>
        <w:rPr>
          <w:rFonts w:hint="eastAsia" w:ascii="仿宋" w:hAnsi="仿宋" w:eastAsia="仿宋" w:cs="仿宋"/>
          <w:bCs/>
          <w:color w:val="auto"/>
          <w:sz w:val="21"/>
          <w:szCs w:val="21"/>
          <w:highlight w:val="none"/>
          <w:lang w:val="en-US" w:eastAsia="zh-CN"/>
        </w:rPr>
        <w:t>科室</w:t>
      </w:r>
      <w:r>
        <w:rPr>
          <w:rFonts w:hint="eastAsia" w:ascii="仿宋" w:hAnsi="仿宋" w:eastAsia="仿宋" w:cs="仿宋"/>
          <w:bCs/>
          <w:color w:val="auto"/>
          <w:sz w:val="21"/>
          <w:szCs w:val="21"/>
          <w:highlight w:val="none"/>
        </w:rPr>
        <w:t>牵头，会同</w:t>
      </w:r>
      <w:r>
        <w:rPr>
          <w:rFonts w:hint="eastAsia" w:ascii="仿宋" w:hAnsi="仿宋" w:eastAsia="仿宋" w:cs="仿宋"/>
          <w:bCs/>
          <w:color w:val="auto"/>
          <w:sz w:val="21"/>
          <w:szCs w:val="21"/>
          <w:highlight w:val="none"/>
          <w:lang w:val="en-US" w:eastAsia="zh-CN"/>
        </w:rPr>
        <w:t>相关人员</w:t>
      </w:r>
      <w:r>
        <w:rPr>
          <w:rFonts w:hint="eastAsia" w:ascii="仿宋" w:hAnsi="仿宋" w:eastAsia="仿宋" w:cs="仿宋"/>
          <w:bCs/>
          <w:color w:val="auto"/>
          <w:sz w:val="21"/>
          <w:szCs w:val="21"/>
          <w:highlight w:val="none"/>
        </w:rPr>
        <w:t>，每月5-10日之间，对上个月度的台账资料进行检查，包含日常巡查台账、养护维护台账、工作计划台账、安全生产台账等进行检查，形成资料台账考核评价表，分数计入月度考核评分。</w:t>
      </w:r>
    </w:p>
    <w:p w14:paraId="7621EACB">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四、考核分值公布</w:t>
      </w:r>
    </w:p>
    <w:p w14:paraId="50F0182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每日由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将当天考核情况汇总上报至考核工单日报群。每月考核分值汇总后，由考核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将分值及扣分点公示给各管养单位，公示申诉期为3天，由</w:t>
      </w:r>
      <w:r>
        <w:rPr>
          <w:rFonts w:hint="eastAsia" w:ascii="仿宋" w:hAnsi="仿宋" w:eastAsia="仿宋" w:cs="仿宋"/>
          <w:bCs/>
          <w:color w:val="auto"/>
          <w:sz w:val="21"/>
          <w:szCs w:val="21"/>
          <w:highlight w:val="none"/>
          <w:lang w:val="en-US" w:eastAsia="zh-CN"/>
        </w:rPr>
        <w:t>管养单位</w:t>
      </w:r>
      <w:r>
        <w:rPr>
          <w:rFonts w:hint="eastAsia" w:ascii="仿宋" w:hAnsi="仿宋" w:eastAsia="仿宋" w:cs="仿宋"/>
          <w:bCs/>
          <w:color w:val="auto"/>
          <w:sz w:val="21"/>
          <w:szCs w:val="21"/>
          <w:highlight w:val="none"/>
        </w:rPr>
        <w:t>书面申诉，逾期不予接受。公示结束后由考核</w:t>
      </w:r>
      <w:r>
        <w:rPr>
          <w:rFonts w:hint="eastAsia" w:ascii="仿宋" w:hAnsi="仿宋" w:eastAsia="仿宋" w:cs="仿宋"/>
          <w:bCs/>
          <w:color w:val="auto"/>
          <w:sz w:val="21"/>
          <w:szCs w:val="21"/>
          <w:highlight w:val="none"/>
          <w:lang w:val="en-US" w:eastAsia="zh-CN"/>
        </w:rPr>
        <w:t>组</w:t>
      </w:r>
      <w:r>
        <w:rPr>
          <w:rFonts w:hint="eastAsia" w:ascii="仿宋" w:hAnsi="仿宋" w:eastAsia="仿宋" w:cs="仿宋"/>
          <w:bCs/>
          <w:color w:val="auto"/>
          <w:sz w:val="21"/>
          <w:szCs w:val="21"/>
          <w:highlight w:val="none"/>
        </w:rPr>
        <w:t>形成月报，上报至城管局领导。</w:t>
      </w:r>
    </w:p>
    <w:p w14:paraId="474D529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五、考核奖惩</w:t>
      </w:r>
    </w:p>
    <w:p w14:paraId="7CF1740E">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根据合同约定，考核绩效款项占月度管养费用的20%。考核得分上限为</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分（每月得分超过100分的，以</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分计分），将1</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的月度绩效款项所对应的分值设置为容错分（月度绩效款*</w:t>
      </w:r>
      <w:r>
        <w:rPr>
          <w:rFonts w:hint="eastAsia" w:ascii="仿宋" w:hAnsi="仿宋" w:eastAsia="仿宋" w:cs="仿宋"/>
          <w:bCs/>
          <w:color w:val="auto"/>
          <w:sz w:val="21"/>
          <w:szCs w:val="21"/>
          <w:highlight w:val="none"/>
          <w:lang w:val="en-US" w:eastAsia="zh-CN"/>
        </w:rPr>
        <w:t>%</w:t>
      </w:r>
      <w:r>
        <w:rPr>
          <w:rFonts w:hint="eastAsia" w:ascii="仿宋" w:hAnsi="仿宋" w:eastAsia="仿宋" w:cs="仿宋"/>
          <w:bCs/>
          <w:color w:val="auto"/>
          <w:sz w:val="21"/>
          <w:szCs w:val="21"/>
          <w:highlight w:val="none"/>
        </w:rPr>
        <w:t>/100），该分值内的扣分仅计分，不扣款。</w:t>
      </w:r>
    </w:p>
    <w:p w14:paraId="3A8AE5C7">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扣分超过该分值后，开始扣除考核绩效款。月度考核中，每扣1分，扣除当月绩效款100元，扣完为止，以月度为一个计算周期。根据合同约定，按付款节点进行结算，由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提供数据，市政</w:t>
      </w:r>
      <w:r>
        <w:rPr>
          <w:rFonts w:hint="eastAsia" w:ascii="仿宋" w:hAnsi="仿宋" w:eastAsia="仿宋" w:cs="仿宋"/>
          <w:bCs/>
          <w:color w:val="auto"/>
          <w:sz w:val="21"/>
          <w:szCs w:val="21"/>
          <w:highlight w:val="none"/>
          <w:lang w:val="en-US" w:eastAsia="zh-CN"/>
        </w:rPr>
        <w:t>科</w:t>
      </w:r>
      <w:r>
        <w:rPr>
          <w:rFonts w:hint="eastAsia" w:ascii="仿宋" w:hAnsi="仿宋" w:eastAsia="仿宋" w:cs="仿宋"/>
          <w:bCs/>
          <w:color w:val="auto"/>
          <w:sz w:val="21"/>
          <w:szCs w:val="21"/>
          <w:highlight w:val="none"/>
        </w:rPr>
        <w:t>在支付养护款时直接予以扣除。</w:t>
      </w:r>
    </w:p>
    <w:p w14:paraId="1398A5CF">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当月考核绩效分数低于</w:t>
      </w:r>
      <w:r>
        <w:rPr>
          <w:rFonts w:hint="eastAsia" w:ascii="仿宋" w:hAnsi="仿宋" w:eastAsia="仿宋" w:cs="仿宋"/>
          <w:bCs/>
          <w:color w:val="auto"/>
          <w:sz w:val="21"/>
          <w:szCs w:val="21"/>
          <w:highlight w:val="none"/>
          <w:lang w:val="en-US" w:eastAsia="zh-CN"/>
        </w:rPr>
        <w:t>80</w:t>
      </w:r>
      <w:r>
        <w:rPr>
          <w:rFonts w:hint="eastAsia" w:ascii="仿宋" w:hAnsi="仿宋" w:eastAsia="仿宋" w:cs="仿宋"/>
          <w:bCs/>
          <w:color w:val="auto"/>
          <w:sz w:val="21"/>
          <w:szCs w:val="21"/>
          <w:highlight w:val="none"/>
        </w:rPr>
        <w:t>分的管养单位，视为当月考核不合格，由</w:t>
      </w:r>
      <w:r>
        <w:rPr>
          <w:rFonts w:hint="eastAsia" w:ascii="仿宋" w:hAnsi="仿宋" w:eastAsia="仿宋" w:cs="仿宋"/>
          <w:bCs/>
          <w:color w:val="auto"/>
          <w:sz w:val="21"/>
          <w:szCs w:val="21"/>
          <w:highlight w:val="none"/>
          <w:lang w:eastAsia="zh-CN"/>
        </w:rPr>
        <w:t>考核组</w:t>
      </w:r>
      <w:r>
        <w:rPr>
          <w:rFonts w:hint="eastAsia" w:ascii="仿宋" w:hAnsi="仿宋" w:eastAsia="仿宋" w:cs="仿宋"/>
          <w:bCs/>
          <w:color w:val="auto"/>
          <w:sz w:val="21"/>
          <w:szCs w:val="21"/>
          <w:highlight w:val="none"/>
        </w:rPr>
        <w:t>在考核月报中点名批评。年度累计两个月考核不合格的管养单位，由城管局领导进行约谈。年度累计三个月考核不合格的管养单位，由</w:t>
      </w:r>
      <w:r>
        <w:rPr>
          <w:rFonts w:hint="eastAsia" w:ascii="仿宋" w:hAnsi="仿宋" w:eastAsia="仿宋" w:cs="仿宋"/>
          <w:bCs/>
          <w:color w:val="auto"/>
          <w:sz w:val="21"/>
          <w:szCs w:val="21"/>
          <w:highlight w:val="none"/>
          <w:lang w:val="en-US" w:eastAsia="zh-CN"/>
        </w:rPr>
        <w:t>南京市栖霞区城市管理局履行有关手续（程序）</w:t>
      </w:r>
      <w:r>
        <w:rPr>
          <w:rFonts w:hint="eastAsia" w:ascii="仿宋" w:hAnsi="仿宋" w:eastAsia="仿宋" w:cs="仿宋"/>
          <w:bCs/>
          <w:color w:val="auto"/>
          <w:sz w:val="21"/>
          <w:szCs w:val="21"/>
          <w:highlight w:val="none"/>
        </w:rPr>
        <w:t>后，于次月终止该片区的管养合同，不再续签后续管养合同。</w:t>
      </w:r>
    </w:p>
    <w:p w14:paraId="2D778469">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月度考核绩效占比=（月度考核扣款/月度考核绩效款）*</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w:t>
      </w:r>
    </w:p>
    <w:p w14:paraId="15A118A2">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月度考核绩效分数=</w:t>
      </w:r>
      <w:r>
        <w:rPr>
          <w:rFonts w:hint="eastAsia" w:ascii="仿宋" w:hAnsi="仿宋" w:eastAsia="仿宋" w:cs="仿宋"/>
          <w:bCs/>
          <w:color w:val="auto"/>
          <w:sz w:val="21"/>
          <w:szCs w:val="21"/>
          <w:highlight w:val="none"/>
          <w:lang w:val="en-US" w:eastAsia="zh-CN"/>
        </w:rPr>
        <w:t>100</w:t>
      </w:r>
      <w:r>
        <w:rPr>
          <w:rFonts w:hint="eastAsia" w:ascii="仿宋" w:hAnsi="仿宋" w:eastAsia="仿宋" w:cs="仿宋"/>
          <w:bCs/>
          <w:color w:val="auto"/>
          <w:sz w:val="21"/>
          <w:szCs w:val="21"/>
          <w:highlight w:val="none"/>
        </w:rPr>
        <w:t>-月度考核绩效占比；年度考核绩效分数取全年均值。</w:t>
      </w:r>
    </w:p>
    <w:p w14:paraId="3094A0AC">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考核绩效分数为月度、年度排名依据。年度考核系数排名靠前的管养单位，作为下一期养护市场化重点推荐单位。</w:t>
      </w:r>
    </w:p>
    <w:p w14:paraId="5B1FED88">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六、其它说明</w:t>
      </w:r>
    </w:p>
    <w:p w14:paraId="222B48D1">
      <w:pPr>
        <w:pStyle w:val="20"/>
        <w:keepNext w:val="0"/>
        <w:keepLines w:val="0"/>
        <w:pageBreakBefore w:val="0"/>
        <w:widowControl w:val="0"/>
        <w:kinsoku/>
        <w:wordWrap/>
        <w:overflowPunct/>
        <w:topLinePunct w:val="0"/>
        <w:autoSpaceDE/>
        <w:autoSpaceDN/>
        <w:bidi w:val="0"/>
        <w:adjustRightInd/>
        <w:snapToGrid/>
        <w:spacing w:line="240" w:lineRule="auto"/>
        <w:ind w:left="426" w:leftChars="203" w:right="109" w:rightChars="52" w:firstLine="420" w:firstLineChars="200"/>
        <w:textAlignment w:val="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lang w:val="en-US" w:eastAsia="zh-CN"/>
        </w:rPr>
        <w:t>南京市栖霞区城市管理局</w:t>
      </w:r>
      <w:r>
        <w:rPr>
          <w:rFonts w:hint="eastAsia" w:ascii="仿宋" w:hAnsi="仿宋" w:eastAsia="仿宋" w:cs="仿宋"/>
          <w:bCs/>
          <w:color w:val="auto"/>
          <w:sz w:val="21"/>
          <w:szCs w:val="21"/>
          <w:highlight w:val="none"/>
        </w:rPr>
        <w:t>有权根据管养情况的变化，更新或修改本考核办法及考核细则，修改完毕并告知管养单位后，按新的考核办法及考核细则实施。</w:t>
      </w:r>
    </w:p>
    <w:bookmarkEnd w:id="29"/>
    <w:p w14:paraId="00419C97">
      <w:pPr>
        <w:spacing w:line="480" w:lineRule="auto"/>
        <w:ind w:firstLine="422" w:firstLineChars="200"/>
        <w:outlineLvl w:val="0"/>
        <w:rPr>
          <w:rFonts w:ascii="新宋体" w:hAnsi="新宋体" w:eastAsia="新宋体"/>
          <w:b/>
          <w:bCs/>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3</w:t>
      </w:r>
      <w:r>
        <w:rPr>
          <w:rFonts w:hint="eastAsia" w:ascii="新宋体" w:hAnsi="新宋体" w:eastAsia="新宋体"/>
          <w:b/>
          <w:bCs/>
          <w:color w:val="auto"/>
          <w:sz w:val="21"/>
          <w:szCs w:val="21"/>
          <w:highlight w:val="none"/>
        </w:rPr>
        <w:t>：乙方营业执照、人员表、设备表及服务承诺</w:t>
      </w:r>
    </w:p>
    <w:p w14:paraId="0E17F0C8">
      <w:pPr>
        <w:spacing w:line="480" w:lineRule="auto"/>
        <w:rPr>
          <w:rFonts w:ascii="新宋体" w:hAnsi="新宋体" w:eastAsia="新宋体"/>
          <w:color w:val="auto"/>
          <w:sz w:val="21"/>
          <w:szCs w:val="21"/>
          <w:highlight w:val="none"/>
        </w:rPr>
      </w:pPr>
      <w:r>
        <w:rPr>
          <w:rFonts w:hint="eastAsia" w:ascii="新宋体" w:hAnsi="新宋体" w:eastAsia="新宋体"/>
          <w:color w:val="auto"/>
          <w:sz w:val="21"/>
          <w:szCs w:val="21"/>
          <w:highlight w:val="none"/>
        </w:rPr>
        <w:t>（截取中标人投标文件中营业执照、人员表、设备表及服务承诺）</w:t>
      </w:r>
    </w:p>
    <w:p w14:paraId="5BA5CFB2">
      <w:pPr>
        <w:spacing w:line="480" w:lineRule="auto"/>
        <w:ind w:firstLine="422" w:firstLineChars="200"/>
        <w:outlineLvl w:val="0"/>
        <w:rPr>
          <w:rFonts w:ascii="新宋体" w:hAnsi="新宋体" w:eastAsia="新宋体"/>
          <w:b/>
          <w:bCs/>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4</w:t>
      </w:r>
      <w:r>
        <w:rPr>
          <w:rFonts w:hint="eastAsia" w:ascii="新宋体" w:hAnsi="新宋体" w:eastAsia="新宋体"/>
          <w:b/>
          <w:bCs/>
          <w:color w:val="auto"/>
          <w:sz w:val="21"/>
          <w:szCs w:val="21"/>
          <w:highlight w:val="none"/>
        </w:rPr>
        <w:t>：安全施工与文明现场协议书</w:t>
      </w:r>
    </w:p>
    <w:p w14:paraId="40956CD6">
      <w:pPr>
        <w:pStyle w:val="20"/>
        <w:ind w:left="0" w:leftChars="0" w:right="1470"/>
        <w:jc w:val="left"/>
        <w:rPr>
          <w:rFonts w:ascii="新宋体" w:hAnsi="新宋体" w:eastAsia="新宋体"/>
          <w:color w:val="auto"/>
          <w:sz w:val="21"/>
          <w:szCs w:val="21"/>
          <w:highlight w:val="none"/>
        </w:rPr>
      </w:pPr>
      <w:r>
        <w:rPr>
          <w:rFonts w:hint="eastAsia" w:ascii="新宋体" w:hAnsi="新宋体" w:eastAsia="新宋体"/>
          <w:color w:val="auto"/>
          <w:sz w:val="21"/>
          <w:szCs w:val="21"/>
          <w:highlight w:val="none"/>
        </w:rPr>
        <w:t>（后附格式，由双方签字盖章作为合同附件）</w:t>
      </w:r>
    </w:p>
    <w:p w14:paraId="00336F91">
      <w:pPr>
        <w:spacing w:line="480" w:lineRule="auto"/>
        <w:ind w:firstLine="211" w:firstLineChars="100"/>
        <w:outlineLvl w:val="0"/>
        <w:rPr>
          <w:rFonts w:ascii="新宋体" w:hAnsi="新宋体" w:eastAsia="新宋体"/>
          <w:b/>
          <w:bCs/>
          <w:color w:val="auto"/>
          <w:sz w:val="21"/>
          <w:szCs w:val="21"/>
          <w:highlight w:val="none"/>
        </w:rPr>
      </w:pPr>
      <w:r>
        <w:rPr>
          <w:rFonts w:hint="eastAsia" w:ascii="新宋体" w:hAnsi="新宋体" w:eastAsia="新宋体"/>
          <w:b/>
          <w:bCs/>
          <w:color w:val="auto"/>
          <w:sz w:val="21"/>
          <w:szCs w:val="21"/>
          <w:highlight w:val="none"/>
        </w:rPr>
        <w:t>附件</w:t>
      </w:r>
      <w:r>
        <w:rPr>
          <w:rFonts w:ascii="新宋体" w:hAnsi="新宋体" w:eastAsia="新宋体"/>
          <w:b/>
          <w:bCs/>
          <w:color w:val="auto"/>
          <w:sz w:val="21"/>
          <w:szCs w:val="21"/>
          <w:highlight w:val="none"/>
        </w:rPr>
        <w:t>5</w:t>
      </w:r>
      <w:r>
        <w:rPr>
          <w:rFonts w:hint="eastAsia" w:ascii="新宋体" w:hAnsi="新宋体" w:eastAsia="新宋体"/>
          <w:b/>
          <w:bCs/>
          <w:color w:val="auto"/>
          <w:sz w:val="21"/>
          <w:szCs w:val="21"/>
          <w:highlight w:val="none"/>
        </w:rPr>
        <w:t>：廉政管理协议书</w:t>
      </w:r>
    </w:p>
    <w:p w14:paraId="2A27F868">
      <w:pPr>
        <w:pStyle w:val="20"/>
        <w:ind w:left="0" w:leftChars="0" w:right="1470"/>
        <w:jc w:val="lef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（后附格式，由双方签字盖章作为合同附件）</w:t>
      </w:r>
    </w:p>
    <w:p w14:paraId="68843741">
      <w:pPr>
        <w:pStyle w:val="20"/>
        <w:ind w:left="0" w:leftChars="0" w:right="1470" w:firstLine="211" w:firstLineChars="100"/>
        <w:jc w:val="left"/>
        <w:rPr>
          <w:rFonts w:hint="eastAsia" w:ascii="新宋体" w:hAnsi="新宋体" w:eastAsia="新宋体"/>
          <w:b/>
          <w:bCs/>
          <w:color w:val="auto"/>
          <w:sz w:val="21"/>
          <w:szCs w:val="21"/>
          <w:highlight w:val="none"/>
          <w:lang w:eastAsia="zh-CN"/>
        </w:rPr>
      </w:pPr>
      <w:r>
        <w:rPr>
          <w:rFonts w:hint="eastAsia" w:ascii="新宋体" w:hAnsi="新宋体" w:eastAsia="新宋体"/>
          <w:b/>
          <w:bCs/>
          <w:color w:val="auto"/>
          <w:sz w:val="21"/>
          <w:szCs w:val="21"/>
          <w:highlight w:val="none"/>
        </w:rPr>
        <w:t>附件6：</w:t>
      </w:r>
      <w:r>
        <w:rPr>
          <w:rFonts w:hint="eastAsia" w:ascii="新宋体" w:hAnsi="新宋体" w:eastAsia="新宋体"/>
          <w:b/>
          <w:bCs/>
          <w:color w:val="auto"/>
          <w:sz w:val="21"/>
          <w:szCs w:val="21"/>
          <w:highlight w:val="none"/>
          <w:lang w:eastAsia="zh-CN"/>
        </w:rPr>
        <w:t>安全生产责任承诺书</w:t>
      </w:r>
    </w:p>
    <w:p w14:paraId="5C4A87CC">
      <w:pPr>
        <w:pStyle w:val="20"/>
        <w:ind w:left="0" w:leftChars="0" w:right="1470"/>
        <w:jc w:val="left"/>
        <w:rPr>
          <w:rFonts w:hint="eastAsia" w:ascii="新宋体" w:hAnsi="新宋体" w:eastAsia="新宋体"/>
          <w:color w:val="auto"/>
          <w:sz w:val="21"/>
          <w:szCs w:val="21"/>
          <w:highlight w:val="none"/>
        </w:rPr>
      </w:pPr>
      <w:r>
        <w:rPr>
          <w:rFonts w:hint="eastAsia" w:ascii="新宋体" w:hAnsi="新宋体" w:eastAsia="新宋体"/>
          <w:color w:val="auto"/>
          <w:sz w:val="21"/>
          <w:szCs w:val="21"/>
          <w:highlight w:val="none"/>
        </w:rPr>
        <w:t>（后附格式，由乙方签字盖章作为合同附件）</w:t>
      </w:r>
    </w:p>
    <w:p w14:paraId="67997A52">
      <w:pPr>
        <w:pStyle w:val="20"/>
        <w:ind w:left="0" w:leftChars="0" w:right="1470"/>
        <w:jc w:val="left"/>
        <w:rPr>
          <w:rFonts w:hint="eastAsia" w:ascii="新宋体" w:hAnsi="新宋体" w:eastAsia="新宋体"/>
          <w:b/>
          <w:bCs/>
          <w:color w:val="auto"/>
          <w:sz w:val="24"/>
          <w:highlight w:val="none"/>
        </w:rPr>
      </w:pPr>
    </w:p>
    <w:p w14:paraId="077C0E33">
      <w:pPr>
        <w:tabs>
          <w:tab w:val="left" w:pos="5115"/>
        </w:tabs>
        <w:spacing w:line="360" w:lineRule="auto"/>
        <w:jc w:val="left"/>
        <w:rPr>
          <w:color w:val="auto"/>
          <w:highlight w:val="none"/>
        </w:rPr>
      </w:pPr>
      <w:r>
        <w:rPr>
          <w:color w:val="auto"/>
          <w:highlight w:val="none"/>
        </w:rPr>
        <w:br w:type="page"/>
      </w:r>
      <w:r>
        <w:rPr>
          <w:rFonts w:hint="eastAsia"/>
          <w:color w:val="auto"/>
          <w:highlight w:val="none"/>
        </w:rPr>
        <w:t>附件4：</w:t>
      </w:r>
    </w:p>
    <w:p w14:paraId="2DF3179A">
      <w:pPr>
        <w:tabs>
          <w:tab w:val="left" w:pos="5115"/>
        </w:tabs>
        <w:spacing w:line="360" w:lineRule="auto"/>
        <w:jc w:val="center"/>
        <w:rPr>
          <w:rFonts w:ascii="宋体" w:hAnsi="宋体"/>
          <w:b/>
          <w:color w:val="auto"/>
          <w:sz w:val="36"/>
          <w:szCs w:val="36"/>
          <w:highlight w:val="none"/>
        </w:rPr>
      </w:pPr>
      <w:r>
        <w:rPr>
          <w:rFonts w:hint="eastAsia" w:ascii="宋体" w:hAnsi="宋体"/>
          <w:b/>
          <w:color w:val="auto"/>
          <w:sz w:val="36"/>
          <w:szCs w:val="36"/>
          <w:highlight w:val="none"/>
        </w:rPr>
        <w:t>安全施工与文明现场协议书</w:t>
      </w:r>
    </w:p>
    <w:p w14:paraId="4B7C6A8E">
      <w:pPr>
        <w:tabs>
          <w:tab w:val="left" w:pos="5115"/>
        </w:tabs>
        <w:spacing w:line="360" w:lineRule="auto"/>
        <w:rPr>
          <w:rFonts w:ascii="宋体" w:hAnsi="宋体"/>
          <w:b/>
          <w:color w:val="auto"/>
          <w:highlight w:val="none"/>
        </w:rPr>
      </w:pPr>
    </w:p>
    <w:p w14:paraId="47F28EEE">
      <w:pPr>
        <w:adjustRightInd w:val="0"/>
        <w:snapToGrid w:val="0"/>
        <w:spacing w:line="360" w:lineRule="auto"/>
        <w:rPr>
          <w:rFonts w:ascii="宋体" w:hAnsi="宋体"/>
          <w:color w:val="auto"/>
          <w:highlight w:val="none"/>
          <w:u w:val="single"/>
        </w:rPr>
      </w:pPr>
      <w:r>
        <w:rPr>
          <w:rFonts w:hint="eastAsia" w:ascii="宋体" w:hAnsi="宋体"/>
          <w:color w:val="auto"/>
          <w:highlight w:val="none"/>
        </w:rPr>
        <w:t>发包人(全称)：</w:t>
      </w:r>
      <w:r>
        <w:rPr>
          <w:rFonts w:hint="eastAsia" w:ascii="宋体" w:hAnsi="宋体"/>
          <w:color w:val="auto"/>
          <w:highlight w:val="none"/>
          <w:u w:val="single"/>
        </w:rPr>
        <w:t xml:space="preserve">                             </w:t>
      </w:r>
    </w:p>
    <w:p w14:paraId="3DE763BD">
      <w:pPr>
        <w:tabs>
          <w:tab w:val="left" w:pos="5115"/>
        </w:tabs>
        <w:spacing w:line="360" w:lineRule="auto"/>
        <w:rPr>
          <w:rFonts w:ascii="宋体" w:hAnsi="宋体"/>
          <w:color w:val="auto"/>
          <w:highlight w:val="none"/>
          <w:u w:val="single"/>
        </w:rPr>
      </w:pPr>
      <w:r>
        <w:rPr>
          <w:rFonts w:hint="eastAsia" w:ascii="宋体" w:hAnsi="宋体"/>
          <w:color w:val="auto"/>
          <w:highlight w:val="none"/>
        </w:rPr>
        <w:t>承包人(全称)：</w:t>
      </w:r>
      <w:r>
        <w:rPr>
          <w:rFonts w:hint="eastAsia" w:ascii="宋体" w:hAnsi="宋体"/>
          <w:color w:val="auto"/>
          <w:highlight w:val="none"/>
          <w:u w:val="single"/>
        </w:rPr>
        <w:t xml:space="preserve">                             </w:t>
      </w:r>
    </w:p>
    <w:p w14:paraId="32667ACF">
      <w:pPr>
        <w:tabs>
          <w:tab w:val="left" w:pos="5115"/>
        </w:tabs>
        <w:spacing w:line="360" w:lineRule="auto"/>
        <w:ind w:firstLine="420" w:firstLineChars="200"/>
        <w:rPr>
          <w:rFonts w:ascii="宋体" w:hAnsi="宋体"/>
          <w:color w:val="auto"/>
          <w:highlight w:val="none"/>
        </w:rPr>
      </w:pPr>
      <w:r>
        <w:rPr>
          <w:rFonts w:hint="eastAsia" w:ascii="宋体" w:hAnsi="宋体"/>
          <w:color w:val="auto"/>
          <w:highlight w:val="none"/>
        </w:rPr>
        <w:t>根据国家相关法律法规及省市有关文件精</w:t>
      </w:r>
      <w:r>
        <w:rPr>
          <w:rFonts w:hint="eastAsia" w:ascii="宋体" w:hAnsi="宋体" w:cs="Times New Roman"/>
          <w:color w:val="auto"/>
          <w:highlight w:val="none"/>
        </w:rPr>
        <w:t>神，结合</w:t>
      </w:r>
      <w:r>
        <w:rPr>
          <w:rFonts w:hint="eastAsia" w:ascii="宋体" w:hAnsi="宋体" w:cs="Times New Roman"/>
          <w:color w:val="auto"/>
          <w:highlight w:val="none"/>
          <w:lang w:val="en-US" w:eastAsia="zh-CN"/>
        </w:rPr>
        <w:t>项目</w:t>
      </w:r>
      <w:r>
        <w:rPr>
          <w:rFonts w:hint="eastAsia" w:ascii="宋体" w:hAnsi="宋体" w:cs="Times New Roman"/>
          <w:color w:val="auto"/>
          <w:highlight w:val="none"/>
        </w:rPr>
        <w:t>的特</w:t>
      </w:r>
      <w:r>
        <w:rPr>
          <w:rFonts w:hint="eastAsia" w:ascii="宋体" w:hAnsi="宋体"/>
          <w:color w:val="auto"/>
          <w:highlight w:val="none"/>
        </w:rPr>
        <w:t>点及本</w:t>
      </w:r>
      <w:r>
        <w:rPr>
          <w:rFonts w:hint="eastAsia" w:ascii="宋体" w:hAnsi="宋体"/>
          <w:color w:val="auto"/>
          <w:highlight w:val="none"/>
          <w:lang w:val="en-US" w:eastAsia="zh-CN"/>
        </w:rPr>
        <w:t>项目</w:t>
      </w:r>
      <w:r>
        <w:rPr>
          <w:rFonts w:hint="eastAsia" w:ascii="宋体" w:hAnsi="宋体"/>
          <w:color w:val="auto"/>
          <w:highlight w:val="none"/>
        </w:rPr>
        <w:t>安全施工与文明现场的要求，双方签订本协议。本协议作为甲乙双方合同的附件。</w:t>
      </w:r>
    </w:p>
    <w:p w14:paraId="7DB57529">
      <w:pPr>
        <w:tabs>
          <w:tab w:val="left" w:pos="5115"/>
        </w:tabs>
        <w:spacing w:line="360" w:lineRule="auto"/>
        <w:ind w:firstLine="420" w:firstLineChars="200"/>
        <w:rPr>
          <w:rFonts w:ascii="宋体" w:hAnsi="宋体"/>
          <w:color w:val="auto"/>
          <w:highlight w:val="none"/>
        </w:rPr>
      </w:pPr>
      <w:r>
        <w:rPr>
          <w:rFonts w:hint="eastAsia" w:ascii="宋体" w:hAnsi="宋体"/>
          <w:bCs/>
          <w:color w:val="auto"/>
          <w:highlight w:val="none"/>
        </w:rPr>
        <w:t>一、</w:t>
      </w:r>
      <w:r>
        <w:rPr>
          <w:rFonts w:hint="eastAsia" w:ascii="宋体" w:hAnsi="宋体"/>
          <w:color w:val="auto"/>
          <w:highlight w:val="none"/>
          <w:lang w:val="en-US" w:eastAsia="zh-CN"/>
        </w:rPr>
        <w:t>项目</w:t>
      </w:r>
      <w:r>
        <w:rPr>
          <w:rFonts w:hint="eastAsia" w:ascii="宋体" w:hAnsi="宋体"/>
          <w:color w:val="auto"/>
          <w:highlight w:val="none"/>
        </w:rPr>
        <w:t>概况：见合同。</w:t>
      </w:r>
    </w:p>
    <w:p w14:paraId="27915139">
      <w:pPr>
        <w:spacing w:line="360" w:lineRule="auto"/>
        <w:ind w:firstLine="420" w:firstLineChars="200"/>
        <w:rPr>
          <w:rFonts w:ascii="宋体" w:hAnsi="宋体"/>
          <w:color w:val="auto"/>
          <w:highlight w:val="none"/>
        </w:rPr>
      </w:pPr>
      <w:r>
        <w:rPr>
          <w:rFonts w:hint="eastAsia" w:ascii="宋体" w:hAnsi="宋体"/>
          <w:bCs/>
          <w:color w:val="auto"/>
          <w:highlight w:val="none"/>
        </w:rPr>
        <w:t>二、</w:t>
      </w:r>
      <w:r>
        <w:rPr>
          <w:rFonts w:hint="eastAsia" w:ascii="宋体" w:hAnsi="宋体"/>
          <w:color w:val="auto"/>
          <w:highlight w:val="none"/>
        </w:rPr>
        <w:t>安全生产目标：安全生产无事故。</w:t>
      </w:r>
    </w:p>
    <w:p w14:paraId="61D547E4">
      <w:pPr>
        <w:spacing w:line="360" w:lineRule="auto"/>
        <w:ind w:firstLine="420" w:firstLineChars="200"/>
        <w:rPr>
          <w:rFonts w:ascii="宋体" w:hAnsi="宋体"/>
          <w:color w:val="auto"/>
          <w:highlight w:val="none"/>
        </w:rPr>
      </w:pPr>
      <w:r>
        <w:rPr>
          <w:rFonts w:hint="eastAsia" w:ascii="宋体" w:hAnsi="宋体"/>
          <w:bCs/>
          <w:color w:val="auto"/>
          <w:highlight w:val="none"/>
        </w:rPr>
        <w:t>三、</w:t>
      </w:r>
      <w:r>
        <w:rPr>
          <w:rFonts w:hint="eastAsia" w:ascii="宋体" w:hAnsi="宋体"/>
          <w:color w:val="auto"/>
          <w:highlight w:val="none"/>
        </w:rPr>
        <w:t>发包人职责：</w:t>
      </w:r>
    </w:p>
    <w:p w14:paraId="3BE070B4">
      <w:pPr>
        <w:spacing w:line="360" w:lineRule="auto"/>
        <w:ind w:firstLine="420" w:firstLineChars="200"/>
        <w:rPr>
          <w:rFonts w:ascii="宋体" w:hAnsi="宋体"/>
          <w:color w:val="auto"/>
          <w:highlight w:val="none"/>
        </w:rPr>
      </w:pPr>
      <w:r>
        <w:rPr>
          <w:rFonts w:hint="eastAsia" w:ascii="宋体" w:hAnsi="宋体"/>
          <w:color w:val="auto"/>
          <w:highlight w:val="none"/>
        </w:rPr>
        <w:t>1、按规定检查、指导乙方安全文明施工现场管理。</w:t>
      </w:r>
    </w:p>
    <w:p w14:paraId="19597D55">
      <w:pPr>
        <w:spacing w:line="360" w:lineRule="auto"/>
        <w:ind w:firstLine="420" w:firstLineChars="200"/>
        <w:rPr>
          <w:rFonts w:ascii="宋体" w:hAnsi="宋体"/>
          <w:color w:val="auto"/>
          <w:highlight w:val="none"/>
        </w:rPr>
      </w:pPr>
      <w:r>
        <w:rPr>
          <w:rFonts w:hint="eastAsia" w:ascii="宋体" w:hAnsi="宋体"/>
          <w:color w:val="auto"/>
          <w:highlight w:val="none"/>
        </w:rPr>
        <w:t>2、协调各参与方于</w:t>
      </w:r>
      <w:r>
        <w:rPr>
          <w:rFonts w:hint="eastAsia" w:ascii="宋体" w:hAnsi="宋体"/>
          <w:color w:val="auto"/>
          <w:highlight w:val="none"/>
          <w:lang w:val="en-US" w:eastAsia="zh-CN"/>
        </w:rPr>
        <w:t>服务</w:t>
      </w:r>
      <w:r>
        <w:rPr>
          <w:rFonts w:hint="eastAsia" w:ascii="宋体" w:hAnsi="宋体"/>
          <w:color w:val="auto"/>
          <w:highlight w:val="none"/>
        </w:rPr>
        <w:t>单位之间的协作关系。</w:t>
      </w:r>
    </w:p>
    <w:p w14:paraId="2A97E9AA">
      <w:pPr>
        <w:spacing w:line="360" w:lineRule="auto"/>
        <w:ind w:firstLine="420" w:firstLineChars="200"/>
        <w:rPr>
          <w:rFonts w:ascii="宋体" w:hAnsi="宋体"/>
          <w:color w:val="auto"/>
          <w:highlight w:val="none"/>
        </w:rPr>
      </w:pPr>
      <w:r>
        <w:rPr>
          <w:rFonts w:hint="eastAsia" w:ascii="宋体" w:hAnsi="宋体"/>
          <w:bCs/>
          <w:color w:val="auto"/>
          <w:highlight w:val="none"/>
        </w:rPr>
        <w:t>四、</w:t>
      </w:r>
      <w:r>
        <w:rPr>
          <w:rFonts w:hint="eastAsia" w:ascii="宋体" w:hAnsi="宋体"/>
          <w:color w:val="auto"/>
          <w:highlight w:val="none"/>
        </w:rPr>
        <w:t>承包人职责：</w:t>
      </w:r>
    </w:p>
    <w:p w14:paraId="55D373DF">
      <w:pPr>
        <w:spacing w:line="360" w:lineRule="auto"/>
        <w:ind w:firstLine="420" w:firstLineChars="200"/>
        <w:rPr>
          <w:rFonts w:ascii="宋体" w:hAnsi="宋体"/>
          <w:color w:val="auto"/>
          <w:highlight w:val="none"/>
        </w:rPr>
      </w:pPr>
      <w:r>
        <w:rPr>
          <w:rFonts w:hint="eastAsia" w:ascii="宋体" w:hAnsi="宋体"/>
          <w:color w:val="auto"/>
          <w:highlight w:val="none"/>
        </w:rPr>
        <w:t>1、项目负责人是安全文明生产责任人，须建立安全文明生产管理小组。</w:t>
      </w:r>
    </w:p>
    <w:p w14:paraId="47E0B774">
      <w:pPr>
        <w:spacing w:line="360" w:lineRule="auto"/>
        <w:ind w:firstLine="420" w:firstLineChars="200"/>
        <w:rPr>
          <w:rFonts w:ascii="宋体" w:hAnsi="宋体"/>
          <w:color w:val="auto"/>
          <w:highlight w:val="none"/>
        </w:rPr>
      </w:pPr>
      <w:r>
        <w:rPr>
          <w:rFonts w:hint="eastAsia" w:ascii="宋体" w:hAnsi="宋体"/>
          <w:color w:val="auto"/>
          <w:highlight w:val="none"/>
        </w:rPr>
        <w:t>2、结合本</w:t>
      </w:r>
      <w:r>
        <w:rPr>
          <w:rFonts w:hint="eastAsia" w:ascii="宋体" w:hAnsi="宋体"/>
          <w:color w:val="auto"/>
          <w:highlight w:val="none"/>
          <w:lang w:val="en-US" w:eastAsia="zh-CN"/>
        </w:rPr>
        <w:t>项目</w:t>
      </w:r>
      <w:r>
        <w:rPr>
          <w:rFonts w:hint="eastAsia" w:ascii="宋体" w:hAnsi="宋体"/>
          <w:color w:val="auto"/>
          <w:highlight w:val="none"/>
        </w:rPr>
        <w:t>实际情况及相关规定，具体制定并在</w:t>
      </w:r>
      <w:r>
        <w:rPr>
          <w:rFonts w:hint="eastAsia" w:ascii="宋体" w:hAnsi="宋体"/>
          <w:color w:val="auto"/>
          <w:highlight w:val="none"/>
          <w:lang w:val="en-US" w:eastAsia="zh-CN"/>
        </w:rPr>
        <w:t>服务期间</w:t>
      </w:r>
      <w:r>
        <w:rPr>
          <w:rFonts w:hint="eastAsia" w:ascii="宋体" w:hAnsi="宋体"/>
          <w:color w:val="auto"/>
          <w:highlight w:val="none"/>
        </w:rPr>
        <w:t>认真执行安全生产条例及实施细则。内容须包括以下方面；</w:t>
      </w:r>
    </w:p>
    <w:p w14:paraId="286A54A8">
      <w:pPr>
        <w:spacing w:line="360" w:lineRule="auto"/>
        <w:rPr>
          <w:rFonts w:ascii="宋体" w:hAnsi="宋体"/>
          <w:color w:val="auto"/>
          <w:highlight w:val="none"/>
        </w:rPr>
      </w:pPr>
      <w:r>
        <w:rPr>
          <w:rFonts w:hint="eastAsia" w:ascii="宋体" w:hAnsi="宋体"/>
          <w:color w:val="auto"/>
          <w:highlight w:val="none"/>
        </w:rPr>
        <w:t>①施工现场安全防护工作要按相关规定落实到位；</w:t>
      </w:r>
    </w:p>
    <w:p w14:paraId="55814288">
      <w:pPr>
        <w:spacing w:line="360" w:lineRule="auto"/>
        <w:rPr>
          <w:rFonts w:ascii="宋体" w:hAnsi="宋体"/>
          <w:color w:val="auto"/>
          <w:highlight w:val="none"/>
        </w:rPr>
      </w:pPr>
      <w:r>
        <w:rPr>
          <w:rFonts w:hint="eastAsia" w:ascii="宋体" w:hAnsi="宋体"/>
          <w:color w:val="auto"/>
          <w:highlight w:val="none"/>
        </w:rPr>
        <w:t>②对职工进行安全文明教育；</w:t>
      </w:r>
    </w:p>
    <w:p w14:paraId="1BA0EB37">
      <w:pPr>
        <w:spacing w:line="360" w:lineRule="auto"/>
        <w:rPr>
          <w:rFonts w:ascii="宋体" w:hAnsi="宋体"/>
          <w:color w:val="auto"/>
          <w:highlight w:val="none"/>
        </w:rPr>
      </w:pPr>
      <w:r>
        <w:rPr>
          <w:rFonts w:hint="eastAsia" w:ascii="宋体" w:hAnsi="宋体"/>
          <w:color w:val="auto"/>
          <w:highlight w:val="none"/>
        </w:rPr>
        <w:t>③严格遵守安全生产纪律及各项规程；</w:t>
      </w:r>
    </w:p>
    <w:p w14:paraId="77984B7D">
      <w:pPr>
        <w:spacing w:line="360" w:lineRule="auto"/>
        <w:rPr>
          <w:rFonts w:ascii="宋体" w:hAnsi="宋体"/>
          <w:color w:val="auto"/>
          <w:highlight w:val="none"/>
        </w:rPr>
      </w:pPr>
      <w:r>
        <w:rPr>
          <w:rFonts w:hint="eastAsia" w:ascii="宋体" w:hAnsi="宋体"/>
          <w:color w:val="auto"/>
          <w:highlight w:val="none"/>
        </w:rPr>
        <w:t>④做好场容场貌，如工地围挡、便道、材料堆放、五牌一图等；</w:t>
      </w:r>
    </w:p>
    <w:p w14:paraId="6E50C43E">
      <w:pPr>
        <w:spacing w:line="360" w:lineRule="auto"/>
        <w:rPr>
          <w:rFonts w:ascii="宋体" w:hAnsi="宋体"/>
          <w:color w:val="auto"/>
          <w:highlight w:val="none"/>
        </w:rPr>
      </w:pPr>
      <w:r>
        <w:rPr>
          <w:rFonts w:hint="eastAsia" w:ascii="宋体" w:hAnsi="宋体"/>
          <w:color w:val="auto"/>
          <w:highlight w:val="none"/>
        </w:rPr>
        <w:t>⑤保持绿地卫生状况良好；做好卫生防疫工作；</w:t>
      </w:r>
    </w:p>
    <w:p w14:paraId="44AA8679">
      <w:pPr>
        <w:spacing w:line="360" w:lineRule="auto"/>
        <w:rPr>
          <w:rFonts w:ascii="宋体" w:hAnsi="宋体"/>
          <w:color w:val="auto"/>
          <w:highlight w:val="none"/>
        </w:rPr>
      </w:pPr>
      <w:r>
        <w:rPr>
          <w:rFonts w:hint="eastAsia" w:ascii="宋体" w:hAnsi="宋体"/>
          <w:color w:val="auto"/>
          <w:highlight w:val="none"/>
        </w:rPr>
        <w:t>⑥做好爱民便民及其它工作，保持良好的施工环境和氛围；</w:t>
      </w:r>
    </w:p>
    <w:p w14:paraId="3EDB7140">
      <w:pPr>
        <w:spacing w:line="360" w:lineRule="auto"/>
        <w:rPr>
          <w:rFonts w:ascii="宋体" w:hAnsi="宋体"/>
          <w:color w:val="auto"/>
          <w:highlight w:val="none"/>
        </w:rPr>
      </w:pPr>
      <w:r>
        <w:rPr>
          <w:rFonts w:hint="eastAsia" w:ascii="宋体" w:hAnsi="宋体"/>
          <w:color w:val="auto"/>
          <w:highlight w:val="none"/>
        </w:rPr>
        <w:t>⑦做好与相关部门和单位的协调与配合；</w:t>
      </w:r>
    </w:p>
    <w:p w14:paraId="0DE68A81">
      <w:pPr>
        <w:spacing w:line="360" w:lineRule="auto"/>
        <w:rPr>
          <w:rFonts w:ascii="宋体" w:hAnsi="宋体"/>
          <w:color w:val="auto"/>
          <w:highlight w:val="none"/>
        </w:rPr>
      </w:pPr>
      <w:r>
        <w:rPr>
          <w:rFonts w:hint="eastAsia" w:ascii="宋体" w:hAnsi="宋体"/>
          <w:color w:val="auto"/>
          <w:highlight w:val="none"/>
        </w:rPr>
        <w:t>⑧落实法律、法规、及相关管理文件要求的各项工作。</w:t>
      </w:r>
    </w:p>
    <w:p w14:paraId="57C8F656">
      <w:pPr>
        <w:tabs>
          <w:tab w:val="left" w:pos="900"/>
        </w:tabs>
        <w:spacing w:line="360" w:lineRule="auto"/>
        <w:ind w:firstLine="420" w:firstLineChars="200"/>
        <w:rPr>
          <w:rFonts w:ascii="宋体" w:hAnsi="宋体"/>
          <w:color w:val="auto"/>
          <w:highlight w:val="none"/>
        </w:rPr>
      </w:pPr>
      <w:r>
        <w:rPr>
          <w:rFonts w:hint="eastAsia" w:ascii="宋体" w:hAnsi="宋体"/>
          <w:color w:val="auto"/>
          <w:highlight w:val="none"/>
        </w:rPr>
        <w:t>3、指定专人做好安全管理日志。</w:t>
      </w:r>
    </w:p>
    <w:p w14:paraId="46BB6286">
      <w:pPr>
        <w:spacing w:line="360" w:lineRule="auto"/>
        <w:ind w:firstLine="420" w:firstLineChars="200"/>
        <w:rPr>
          <w:rFonts w:ascii="宋体" w:hAnsi="宋体"/>
          <w:color w:val="auto"/>
          <w:highlight w:val="none"/>
        </w:rPr>
      </w:pPr>
      <w:r>
        <w:rPr>
          <w:rFonts w:hint="eastAsia" w:ascii="宋体" w:hAnsi="宋体"/>
          <w:bCs/>
          <w:color w:val="auto"/>
          <w:highlight w:val="none"/>
        </w:rPr>
        <w:t>五、</w:t>
      </w:r>
      <w:r>
        <w:rPr>
          <w:rFonts w:hint="eastAsia" w:ascii="宋体" w:hAnsi="宋体"/>
          <w:color w:val="auto"/>
          <w:highlight w:val="none"/>
        </w:rPr>
        <w:t>如承包人违反相关安全生产规定、或本协议的规定进行违章作业，发包人将视该行为为承包人的部分违约。发包人有权要求承包人立即进行整改（必要时有权要求停工进行整改），同时要求承包人承担一定数额的违约金罚款（从</w:t>
      </w:r>
      <w:r>
        <w:rPr>
          <w:rFonts w:hint="eastAsia" w:ascii="宋体" w:hAnsi="宋体"/>
          <w:color w:val="auto"/>
          <w:highlight w:val="none"/>
          <w:lang w:val="en-US" w:eastAsia="zh-CN"/>
        </w:rPr>
        <w:t>合同总价</w:t>
      </w:r>
      <w:r>
        <w:rPr>
          <w:rFonts w:hint="eastAsia" w:ascii="宋体" w:hAnsi="宋体"/>
          <w:color w:val="auto"/>
          <w:highlight w:val="none"/>
        </w:rPr>
        <w:t>款中直接扣除），具体如下：</w:t>
      </w:r>
    </w:p>
    <w:p w14:paraId="566C184F">
      <w:pPr>
        <w:spacing w:line="360" w:lineRule="auto"/>
        <w:ind w:firstLine="420" w:firstLineChars="200"/>
        <w:rPr>
          <w:rFonts w:ascii="宋体" w:hAnsi="宋体"/>
          <w:color w:val="auto"/>
          <w:highlight w:val="none"/>
        </w:rPr>
      </w:pPr>
      <w:r>
        <w:rPr>
          <w:rFonts w:hint="eastAsia" w:ascii="宋体" w:hAnsi="宋体"/>
          <w:color w:val="auto"/>
          <w:highlight w:val="none"/>
        </w:rPr>
        <w:t>1、一般性违章作业每发现一次扣罚违约金人民币500元以上。</w:t>
      </w:r>
    </w:p>
    <w:p w14:paraId="5CAE92BB">
      <w:pPr>
        <w:spacing w:line="360" w:lineRule="auto"/>
        <w:ind w:firstLine="420" w:firstLineChars="200"/>
        <w:rPr>
          <w:rFonts w:ascii="宋体" w:hAnsi="宋体"/>
          <w:color w:val="auto"/>
          <w:highlight w:val="none"/>
        </w:rPr>
      </w:pPr>
      <w:r>
        <w:rPr>
          <w:rFonts w:hint="eastAsia" w:ascii="宋体" w:hAnsi="宋体"/>
          <w:color w:val="auto"/>
          <w:highlight w:val="none"/>
        </w:rPr>
        <w:t>2、重大违章作业每发现一次扣罚违约金人民币1500元以上。造成后果的，将视情节轻重、根据相关规定进行处理和处罚。</w:t>
      </w:r>
    </w:p>
    <w:p w14:paraId="427D3767">
      <w:pPr>
        <w:spacing w:line="360" w:lineRule="auto"/>
        <w:ind w:firstLine="420" w:firstLineChars="200"/>
        <w:rPr>
          <w:rFonts w:ascii="宋体" w:hAnsi="宋体"/>
          <w:color w:val="auto"/>
          <w:highlight w:val="none"/>
        </w:rPr>
      </w:pPr>
      <w:r>
        <w:rPr>
          <w:rFonts w:hint="eastAsia" w:ascii="宋体" w:hAnsi="宋体"/>
          <w:bCs/>
          <w:color w:val="auto"/>
          <w:highlight w:val="none"/>
        </w:rPr>
        <w:t>六、</w:t>
      </w:r>
      <w:r>
        <w:rPr>
          <w:rFonts w:hint="eastAsia" w:ascii="宋体" w:hAnsi="宋体"/>
          <w:color w:val="auto"/>
          <w:highlight w:val="none"/>
        </w:rPr>
        <w:t>考虑本</w:t>
      </w:r>
      <w:r>
        <w:rPr>
          <w:rFonts w:hint="eastAsia" w:ascii="宋体" w:hAnsi="宋体"/>
          <w:color w:val="auto"/>
          <w:highlight w:val="none"/>
          <w:lang w:val="en-US" w:eastAsia="zh-CN"/>
        </w:rPr>
        <w:t>项目</w:t>
      </w:r>
      <w:r>
        <w:rPr>
          <w:rFonts w:hint="eastAsia" w:ascii="宋体" w:hAnsi="宋体"/>
          <w:color w:val="auto"/>
          <w:highlight w:val="none"/>
        </w:rPr>
        <w:t>在具体实施过程中，有大量的协调和配合工作。为确保</w:t>
      </w:r>
      <w:r>
        <w:rPr>
          <w:rFonts w:hint="eastAsia" w:ascii="宋体" w:hAnsi="宋体"/>
          <w:color w:val="auto"/>
          <w:highlight w:val="none"/>
          <w:lang w:val="en-US" w:eastAsia="zh-CN"/>
        </w:rPr>
        <w:t>项目</w:t>
      </w:r>
      <w:r>
        <w:rPr>
          <w:rFonts w:hint="eastAsia" w:ascii="宋体" w:hAnsi="宋体"/>
          <w:color w:val="auto"/>
          <w:highlight w:val="none"/>
        </w:rPr>
        <w:t>能顺利、高效地推进，对承包人作如下要求：</w:t>
      </w:r>
    </w:p>
    <w:p w14:paraId="22C3CA86">
      <w:pPr>
        <w:spacing w:line="360" w:lineRule="auto"/>
        <w:ind w:firstLine="420" w:firstLineChars="200"/>
        <w:rPr>
          <w:rFonts w:ascii="宋体" w:hAnsi="宋体"/>
          <w:color w:val="auto"/>
          <w:highlight w:val="none"/>
        </w:rPr>
      </w:pPr>
      <w:r>
        <w:rPr>
          <w:rFonts w:hint="eastAsia" w:ascii="宋体" w:hAnsi="宋体"/>
          <w:color w:val="auto"/>
          <w:highlight w:val="none"/>
        </w:rPr>
        <w:t>1、承包人及其下属各施工队、组人员在与其他部门、单位、个人或在承包人内部之间发生矛盾时，应采取友好协商的形式予以解决。</w:t>
      </w:r>
    </w:p>
    <w:p w14:paraId="504D8443">
      <w:pPr>
        <w:spacing w:line="360" w:lineRule="auto"/>
        <w:ind w:firstLine="420" w:firstLineChars="200"/>
        <w:rPr>
          <w:rFonts w:ascii="宋体" w:hAnsi="宋体"/>
          <w:color w:val="auto"/>
          <w:highlight w:val="none"/>
        </w:rPr>
      </w:pPr>
      <w:r>
        <w:rPr>
          <w:rFonts w:hint="eastAsia" w:ascii="宋体" w:hAnsi="宋体"/>
          <w:color w:val="auto"/>
          <w:highlight w:val="none"/>
        </w:rPr>
        <w:t>2、承包人须确保自己各</w:t>
      </w:r>
      <w:r>
        <w:rPr>
          <w:rFonts w:hint="eastAsia" w:ascii="宋体" w:hAnsi="宋体"/>
          <w:color w:val="auto"/>
          <w:highlight w:val="none"/>
          <w:lang w:val="en-US" w:eastAsia="zh-CN"/>
        </w:rPr>
        <w:t>作业人员</w:t>
      </w:r>
      <w:r>
        <w:rPr>
          <w:rFonts w:hint="eastAsia" w:ascii="宋体" w:hAnsi="宋体"/>
          <w:color w:val="auto"/>
          <w:highlight w:val="none"/>
        </w:rPr>
        <w:t>在本</w:t>
      </w:r>
      <w:r>
        <w:rPr>
          <w:rFonts w:hint="eastAsia" w:ascii="宋体" w:hAnsi="宋体"/>
          <w:color w:val="auto"/>
          <w:highlight w:val="none"/>
          <w:lang w:val="en-US" w:eastAsia="zh-CN"/>
        </w:rPr>
        <w:t>项目</w:t>
      </w:r>
      <w:r>
        <w:rPr>
          <w:rFonts w:hint="eastAsia" w:ascii="宋体" w:hAnsi="宋体"/>
          <w:color w:val="auto"/>
          <w:highlight w:val="none"/>
        </w:rPr>
        <w:t>范围内不因任何事由发生暴力行为。</w:t>
      </w:r>
    </w:p>
    <w:p w14:paraId="540812A8">
      <w:pPr>
        <w:spacing w:line="360" w:lineRule="auto"/>
        <w:ind w:firstLine="420" w:firstLineChars="200"/>
        <w:rPr>
          <w:rFonts w:ascii="宋体" w:hAnsi="宋体"/>
          <w:color w:val="auto"/>
          <w:highlight w:val="none"/>
        </w:rPr>
      </w:pPr>
      <w:r>
        <w:rPr>
          <w:rFonts w:hint="eastAsia" w:ascii="宋体" w:hAnsi="宋体"/>
          <w:color w:val="auto"/>
          <w:highlight w:val="none"/>
        </w:rPr>
        <w:t>3、如承包人违反上述约定的行为，发包人将视该行为为承包人的部分违约。发包人有权要求承包人将当事人清退出</w:t>
      </w:r>
      <w:r>
        <w:rPr>
          <w:rFonts w:hint="eastAsia" w:ascii="宋体" w:hAnsi="宋体"/>
          <w:color w:val="auto"/>
          <w:highlight w:val="none"/>
          <w:lang w:val="en-US" w:eastAsia="zh-CN"/>
        </w:rPr>
        <w:t>项目</w:t>
      </w:r>
      <w:r>
        <w:rPr>
          <w:rFonts w:hint="eastAsia" w:ascii="宋体" w:hAnsi="宋体"/>
          <w:color w:val="auto"/>
          <w:highlight w:val="none"/>
        </w:rPr>
        <w:t>现场，同时要扣罚承包人每发生一次不少于1000元人民币（当事人200元以下）的违约金，该违约金将直接从当期的养护款中扣除。</w:t>
      </w:r>
    </w:p>
    <w:p w14:paraId="45EB399D">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七</w:t>
      </w:r>
      <w:r>
        <w:rPr>
          <w:rFonts w:hint="eastAsia" w:ascii="宋体" w:hAnsi="宋体"/>
          <w:color w:val="auto"/>
          <w:highlight w:val="none"/>
        </w:rPr>
        <w:t>、本协议经签字盖章后生效。</w:t>
      </w:r>
    </w:p>
    <w:p w14:paraId="29580F7D">
      <w:pPr>
        <w:spacing w:line="360" w:lineRule="auto"/>
        <w:ind w:firstLine="420" w:firstLineChars="200"/>
        <w:rPr>
          <w:rFonts w:ascii="宋体" w:hAnsi="宋体"/>
          <w:color w:val="auto"/>
          <w:highlight w:val="none"/>
        </w:rPr>
      </w:pPr>
      <w:r>
        <w:rPr>
          <w:rFonts w:hint="eastAsia" w:ascii="宋体" w:hAnsi="宋体"/>
          <w:color w:val="auto"/>
          <w:highlight w:val="none"/>
          <w:lang w:val="en-US" w:eastAsia="zh-CN"/>
        </w:rPr>
        <w:t>八</w:t>
      </w:r>
      <w:r>
        <w:rPr>
          <w:rFonts w:hint="eastAsia" w:ascii="宋体" w:hAnsi="宋体"/>
          <w:color w:val="auto"/>
          <w:highlight w:val="none"/>
        </w:rPr>
        <w:t>、本协议书作为合同附件，由合同双方共同签署。</w:t>
      </w:r>
    </w:p>
    <w:p w14:paraId="1E8E3161">
      <w:pPr>
        <w:adjustRightInd w:val="0"/>
        <w:snapToGrid w:val="0"/>
        <w:spacing w:line="360" w:lineRule="auto"/>
        <w:rPr>
          <w:rFonts w:ascii="宋体" w:hAnsi="宋体"/>
          <w:color w:val="auto"/>
          <w:highlight w:val="none"/>
        </w:rPr>
      </w:pPr>
    </w:p>
    <w:p w14:paraId="305DAB80">
      <w:pPr>
        <w:adjustRightInd w:val="0"/>
        <w:snapToGrid w:val="0"/>
        <w:spacing w:line="360" w:lineRule="auto"/>
        <w:rPr>
          <w:rFonts w:ascii="宋体" w:hAnsi="宋体"/>
          <w:color w:val="auto"/>
          <w:highlight w:val="none"/>
        </w:rPr>
      </w:pPr>
    </w:p>
    <w:p w14:paraId="7C7EDE74">
      <w:pPr>
        <w:adjustRightInd w:val="0"/>
        <w:snapToGrid w:val="0"/>
        <w:spacing w:line="360" w:lineRule="auto"/>
        <w:rPr>
          <w:rFonts w:ascii="宋体" w:hAnsi="宋体"/>
          <w:color w:val="auto"/>
          <w:highlight w:val="none"/>
        </w:rPr>
      </w:pPr>
      <w:r>
        <w:rPr>
          <w:rFonts w:hint="eastAsia" w:ascii="宋体" w:hAnsi="宋体"/>
          <w:color w:val="auto"/>
          <w:highlight w:val="none"/>
        </w:rPr>
        <w:t>发 包 人：（公章）                     承 包 人：（公章）</w:t>
      </w:r>
    </w:p>
    <w:p w14:paraId="3AF407A8">
      <w:pPr>
        <w:adjustRightInd w:val="0"/>
        <w:snapToGrid w:val="0"/>
        <w:spacing w:line="360" w:lineRule="auto"/>
        <w:rPr>
          <w:rFonts w:ascii="宋体" w:hAnsi="宋体"/>
          <w:color w:val="auto"/>
          <w:highlight w:val="none"/>
        </w:rPr>
      </w:pPr>
    </w:p>
    <w:p w14:paraId="6183119B">
      <w:pPr>
        <w:adjustRightInd w:val="0"/>
        <w:snapToGrid w:val="0"/>
        <w:spacing w:line="360" w:lineRule="auto"/>
        <w:rPr>
          <w:rFonts w:ascii="宋体" w:hAnsi="宋体"/>
          <w:color w:val="auto"/>
          <w:highlight w:val="none"/>
        </w:rPr>
      </w:pPr>
      <w:r>
        <w:rPr>
          <w:rFonts w:hint="eastAsia" w:ascii="宋体" w:hAnsi="宋体"/>
          <w:color w:val="auto"/>
          <w:highlight w:val="none"/>
        </w:rPr>
        <w:t>地址：                                    地址：</w:t>
      </w:r>
      <w:r>
        <w:rPr>
          <w:rFonts w:ascii="宋体" w:hAnsi="宋体"/>
          <w:color w:val="auto"/>
          <w:highlight w:val="none"/>
        </w:rPr>
        <w:t xml:space="preserve">           </w:t>
      </w:r>
      <w:r>
        <w:rPr>
          <w:rFonts w:hint="eastAsia" w:ascii="宋体" w:hAnsi="宋体"/>
          <w:color w:val="auto"/>
          <w:highlight w:val="none"/>
        </w:rPr>
        <w:t xml:space="preserve">                                                  </w:t>
      </w:r>
    </w:p>
    <w:p w14:paraId="3AB283F9">
      <w:pPr>
        <w:adjustRightInd w:val="0"/>
        <w:snapToGrid w:val="0"/>
        <w:spacing w:line="360" w:lineRule="auto"/>
        <w:rPr>
          <w:rFonts w:ascii="宋体" w:hAnsi="宋体"/>
          <w:color w:val="auto"/>
          <w:highlight w:val="none"/>
        </w:rPr>
      </w:pPr>
    </w:p>
    <w:p w14:paraId="1748790F">
      <w:pPr>
        <w:adjustRightInd w:val="0"/>
        <w:snapToGrid w:val="0"/>
        <w:spacing w:line="360" w:lineRule="auto"/>
        <w:rPr>
          <w:rFonts w:ascii="宋体" w:hAnsi="宋体"/>
          <w:color w:val="auto"/>
          <w:highlight w:val="none"/>
        </w:rPr>
      </w:pPr>
      <w:r>
        <w:rPr>
          <w:rFonts w:hint="eastAsia" w:ascii="宋体" w:hAnsi="宋体"/>
          <w:color w:val="auto"/>
          <w:highlight w:val="none"/>
        </w:rPr>
        <w:t xml:space="preserve">法定代表人：                          法定代表人：          </w:t>
      </w:r>
    </w:p>
    <w:p w14:paraId="5B7575C3">
      <w:pPr>
        <w:adjustRightInd w:val="0"/>
        <w:snapToGrid w:val="0"/>
        <w:spacing w:line="360" w:lineRule="auto"/>
        <w:rPr>
          <w:rFonts w:ascii="宋体" w:hAnsi="宋体"/>
          <w:color w:val="auto"/>
          <w:highlight w:val="none"/>
        </w:rPr>
      </w:pPr>
      <w:r>
        <w:rPr>
          <w:rFonts w:hint="eastAsia" w:ascii="宋体" w:hAnsi="宋体"/>
          <w:color w:val="auto"/>
          <w:highlight w:val="none"/>
        </w:rPr>
        <w:t xml:space="preserve">委托代表人：                          委托代表人：          </w:t>
      </w:r>
    </w:p>
    <w:p w14:paraId="7F32F698">
      <w:pPr>
        <w:tabs>
          <w:tab w:val="left" w:pos="5115"/>
        </w:tabs>
        <w:spacing w:line="360" w:lineRule="auto"/>
        <w:rPr>
          <w:rFonts w:ascii="宋体" w:hAnsi="宋体"/>
          <w:color w:val="auto"/>
          <w:highlight w:val="none"/>
        </w:rPr>
      </w:pPr>
    </w:p>
    <w:p w14:paraId="753497EC">
      <w:pPr>
        <w:rPr>
          <w:color w:val="auto"/>
          <w:highlight w:val="none"/>
        </w:rPr>
      </w:pPr>
      <w:r>
        <w:rPr>
          <w:rFonts w:hint="eastAsia" w:ascii="宋体" w:hAnsi="宋体"/>
          <w:color w:val="auto"/>
          <w:highlight w:val="none"/>
        </w:rPr>
        <w:t>年   月   日                        年   月   日</w:t>
      </w:r>
    </w:p>
    <w:p w14:paraId="7978BEF1">
      <w:pPr>
        <w:pStyle w:val="20"/>
        <w:ind w:left="0" w:leftChars="0" w:right="1470"/>
        <w:rPr>
          <w:rFonts w:hint="eastAsia"/>
          <w:color w:val="auto"/>
          <w:highlight w:val="none"/>
        </w:rPr>
      </w:pPr>
    </w:p>
    <w:p w14:paraId="20BB323F">
      <w:pPr>
        <w:spacing w:line="360" w:lineRule="auto"/>
        <w:ind w:firstLine="316" w:firstLineChars="150"/>
        <w:rPr>
          <w:rFonts w:ascii="宋体" w:hAnsi="宋体"/>
          <w:b/>
          <w:bCs/>
          <w:color w:val="auto"/>
          <w:highlight w:val="none"/>
        </w:rPr>
      </w:pPr>
    </w:p>
    <w:p w14:paraId="1AED2FCE">
      <w:pPr>
        <w:pStyle w:val="20"/>
        <w:ind w:left="1470" w:right="1470"/>
        <w:rPr>
          <w:rFonts w:hint="eastAsia"/>
          <w:color w:val="auto"/>
          <w:highlight w:val="none"/>
        </w:rPr>
      </w:pPr>
    </w:p>
    <w:p w14:paraId="0D923F1D">
      <w:pPr>
        <w:pStyle w:val="20"/>
        <w:ind w:left="1470" w:right="1470"/>
        <w:rPr>
          <w:rFonts w:hint="eastAsia"/>
          <w:color w:val="auto"/>
          <w:highlight w:val="none"/>
        </w:rPr>
      </w:pPr>
    </w:p>
    <w:p w14:paraId="24192940">
      <w:pPr>
        <w:pStyle w:val="20"/>
        <w:ind w:left="0" w:leftChars="0" w:right="1470"/>
        <w:rPr>
          <w:color w:val="auto"/>
          <w:highlight w:val="none"/>
        </w:rPr>
      </w:pPr>
      <w:r>
        <w:rPr>
          <w:color w:val="auto"/>
          <w:highlight w:val="none"/>
        </w:rPr>
        <w:br w:type="page"/>
      </w:r>
      <w:r>
        <w:rPr>
          <w:rFonts w:hint="eastAsia"/>
          <w:color w:val="auto"/>
          <w:highlight w:val="none"/>
        </w:rPr>
        <w:t>附件</w:t>
      </w:r>
      <w:r>
        <w:rPr>
          <w:color w:val="auto"/>
          <w:highlight w:val="none"/>
        </w:rPr>
        <w:t>5</w:t>
      </w:r>
      <w:r>
        <w:rPr>
          <w:rFonts w:hint="eastAsia"/>
          <w:color w:val="auto"/>
          <w:highlight w:val="none"/>
        </w:rPr>
        <w:t>：</w:t>
      </w:r>
    </w:p>
    <w:p w14:paraId="7B0586BE">
      <w:pPr>
        <w:autoSpaceDE w:val="0"/>
        <w:autoSpaceDN w:val="0"/>
        <w:adjustRightInd w:val="0"/>
        <w:jc w:val="center"/>
        <w:rPr>
          <w:rFonts w:ascii="黑体" w:hAnsi="黑体" w:eastAsia="黑体" w:cs="宋体"/>
          <w:color w:val="auto"/>
          <w:kern w:val="0"/>
          <w:sz w:val="36"/>
          <w:szCs w:val="36"/>
          <w:highlight w:val="none"/>
        </w:rPr>
      </w:pPr>
      <w:r>
        <w:rPr>
          <w:rFonts w:hint="eastAsia" w:ascii="黑体" w:hAnsi="黑体" w:eastAsia="黑体" w:cs="宋体"/>
          <w:color w:val="auto"/>
          <w:kern w:val="0"/>
          <w:sz w:val="36"/>
          <w:szCs w:val="36"/>
          <w:highlight w:val="none"/>
        </w:rPr>
        <w:t>廉政管理协议书</w:t>
      </w:r>
    </w:p>
    <w:p w14:paraId="422938BA">
      <w:pPr>
        <w:autoSpaceDE w:val="0"/>
        <w:autoSpaceDN w:val="0"/>
        <w:adjustRightInd w:val="0"/>
        <w:spacing w:line="360" w:lineRule="auto"/>
        <w:ind w:firstLine="420" w:firstLineChars="200"/>
        <w:jc w:val="left"/>
        <w:rPr>
          <w:rFonts w:ascii="宋体" w:hAnsi="宋体" w:cs="宋体"/>
          <w:b/>
          <w:bCs/>
          <w:color w:val="auto"/>
          <w:kern w:val="0"/>
          <w:highlight w:val="none"/>
          <w:u w:val="single"/>
        </w:rPr>
      </w:pPr>
      <w:r>
        <w:rPr>
          <w:rFonts w:hint="eastAsia" w:ascii="宋体" w:hAnsi="宋体" w:cs="宋体"/>
          <w:color w:val="auto"/>
          <w:kern w:val="0"/>
          <w:highlight w:val="none"/>
        </w:rPr>
        <w:t>招标单位（甲方）：</w:t>
      </w:r>
      <w:r>
        <w:rPr>
          <w:rFonts w:hint="eastAsia" w:ascii="宋体" w:hAnsi="宋体"/>
          <w:b/>
          <w:color w:val="auto"/>
          <w:highlight w:val="none"/>
          <w:u w:val="single"/>
        </w:rPr>
        <w:t xml:space="preserve">                        </w:t>
      </w:r>
    </w:p>
    <w:p w14:paraId="3762FC29">
      <w:pPr>
        <w:autoSpaceDE w:val="0"/>
        <w:autoSpaceDN w:val="0"/>
        <w:adjustRightInd w:val="0"/>
        <w:spacing w:line="360" w:lineRule="auto"/>
        <w:ind w:firstLine="420" w:firstLineChars="200"/>
        <w:jc w:val="left"/>
        <w:rPr>
          <w:rFonts w:ascii="宋体" w:hAnsi="宋体" w:cs="宋体"/>
          <w:color w:val="auto"/>
          <w:kern w:val="0"/>
          <w:highlight w:val="none"/>
          <w:u w:val="single"/>
        </w:rPr>
      </w:pPr>
      <w:r>
        <w:rPr>
          <w:rFonts w:hint="eastAsia" w:ascii="宋体" w:hAnsi="宋体" w:cs="宋体"/>
          <w:color w:val="auto"/>
          <w:kern w:val="0"/>
          <w:highlight w:val="none"/>
        </w:rPr>
        <w:t>投标单位（乙方）：</w:t>
      </w:r>
      <w:r>
        <w:rPr>
          <w:rFonts w:ascii="宋体" w:hAnsi="宋体" w:cs="宋体"/>
          <w:color w:val="auto"/>
          <w:kern w:val="0"/>
          <w:highlight w:val="none"/>
          <w:u w:val="single"/>
        </w:rPr>
        <w:t xml:space="preserve">                   </w:t>
      </w:r>
      <w:r>
        <w:rPr>
          <w:rFonts w:hint="eastAsia" w:ascii="宋体" w:hAnsi="宋体" w:cs="宋体"/>
          <w:color w:val="auto"/>
          <w:kern w:val="0"/>
          <w:highlight w:val="none"/>
          <w:u w:val="single"/>
        </w:rPr>
        <w:t xml:space="preserve">     </w:t>
      </w:r>
    </w:p>
    <w:p w14:paraId="4483FE5E">
      <w:pPr>
        <w:autoSpaceDE w:val="0"/>
        <w:autoSpaceDN w:val="0"/>
        <w:adjustRightInd w:val="0"/>
        <w:spacing w:line="360" w:lineRule="auto"/>
        <w:ind w:firstLine="420" w:firstLineChars="200"/>
        <w:jc w:val="left"/>
        <w:rPr>
          <w:rFonts w:ascii="宋体" w:hAnsi="宋体"/>
          <w:b/>
          <w:color w:val="auto"/>
          <w:highlight w:val="none"/>
        </w:rPr>
      </w:pPr>
      <w:r>
        <w:rPr>
          <w:rFonts w:hint="eastAsia" w:ascii="宋体" w:hAnsi="宋体" w:cs="宋体"/>
          <w:color w:val="auto"/>
          <w:kern w:val="0"/>
          <w:highlight w:val="none"/>
        </w:rPr>
        <w:t>承包单位服务项目：</w:t>
      </w:r>
      <w:r>
        <w:rPr>
          <w:rFonts w:hint="eastAsia" w:ascii="宋体" w:hAnsi="宋体"/>
          <w:b/>
          <w:bCs/>
          <w:color w:val="auto"/>
          <w:kern w:val="0"/>
          <w:highlight w:val="none"/>
          <w:u w:val="single"/>
        </w:rPr>
        <w:t xml:space="preserve">                             </w:t>
      </w:r>
    </w:p>
    <w:p w14:paraId="24C8310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为了加强服务项目的廉政管理，确保服务项目高效优质，经甲乙双方同意签订廉政管理协议书并作为甲乙双方共同遵守的廉政行为准则。</w:t>
      </w:r>
    </w:p>
    <w:p w14:paraId="3D7840FE">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招标单位（甲方）廉政管理职责：</w:t>
      </w:r>
    </w:p>
    <w:p w14:paraId="5EB5F134">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甲方有责任向乙方介绍本单位有关廉政管理的各项制度和规定。</w:t>
      </w:r>
    </w:p>
    <w:p w14:paraId="6629CF4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甲方有责任对单位服务项目人员进行廉政教育。</w:t>
      </w:r>
    </w:p>
    <w:p w14:paraId="020A5F5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甲方有权对乙方在服务项目中执行廉政情况实行监督。</w:t>
      </w:r>
    </w:p>
    <w:p w14:paraId="2054C743">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甲方人员应严格遵守本单位制定的廉政管理制度，如违反此规定除给予当事人批评教育外，视情节轻重、后果大小给予相应的经济或纪律处罚。</w:t>
      </w:r>
    </w:p>
    <w:p w14:paraId="684D8FEC">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甲方人员参加乙方单位的宴请及各种会议，需经主管领导同意，会议所发的礼品、礼券（现金）均应按所在单位有关规定执行。</w:t>
      </w:r>
    </w:p>
    <w:p w14:paraId="69954D3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甲方人员在服务项目中发现乙方单位有不廉政的行为，应及时采取措施，终止其不廉政行为的继续发生，并报告主管领导。</w:t>
      </w:r>
    </w:p>
    <w:p w14:paraId="1CAEB2B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投标单位（乙方）廉政管理职责：</w:t>
      </w:r>
    </w:p>
    <w:p w14:paraId="4ED8CE0B">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乙方应了解甲方单位有关廉政管理方面的各项制度和规定，并遵守执行。</w:t>
      </w:r>
    </w:p>
    <w:p w14:paraId="4DAAED8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乙方有责任对本单位服务项目人员进行廉政教育（包括甲方单位制定的有关廉政方面的制度和规定），按时出席甲方召集的廉政管理会议。</w:t>
      </w:r>
    </w:p>
    <w:p w14:paraId="7103D507">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不得宴请甲方人员或向甲方人员赠送各种礼品、礼券（现金），如乙方确有特殊情况需宴请甲方人员或向甲方人员赠送礼品、礼券（现金）应先征得甲方单位主管领导的同意并报送甲方人员的名单，如有违反规定除批评教育外，视情节轻重，后果大小给予乙方当事人</w:t>
      </w:r>
      <w:r>
        <w:rPr>
          <w:rFonts w:ascii="宋体" w:hAnsi="宋体" w:cs="宋体"/>
          <w:color w:val="auto"/>
          <w:kern w:val="0"/>
          <w:highlight w:val="none"/>
        </w:rPr>
        <w:t>200-500</w:t>
      </w:r>
      <w:r>
        <w:rPr>
          <w:rFonts w:hint="eastAsia" w:ascii="宋体" w:hAnsi="宋体" w:cs="宋体"/>
          <w:color w:val="auto"/>
          <w:kern w:val="0"/>
          <w:highlight w:val="none"/>
        </w:rPr>
        <w:t>元罚款，后果</w:t>
      </w:r>
      <w:r>
        <w:rPr>
          <w:rFonts w:hint="eastAsia" w:ascii="宋体" w:hAnsi="宋体" w:cs="宋体"/>
          <w:color w:val="auto"/>
          <w:kern w:val="0"/>
          <w:highlight w:val="none"/>
          <w:lang w:val="en-US" w:eastAsia="zh-CN"/>
        </w:rPr>
        <w:t>严重</w:t>
      </w:r>
      <w:r>
        <w:rPr>
          <w:rFonts w:hint="eastAsia" w:ascii="宋体" w:hAnsi="宋体" w:cs="宋体"/>
          <w:color w:val="auto"/>
          <w:kern w:val="0"/>
          <w:highlight w:val="none"/>
        </w:rPr>
        <w:t>的扣除乙方单位服务项目造价的</w:t>
      </w:r>
      <w:r>
        <w:rPr>
          <w:rFonts w:ascii="宋体" w:hAnsi="宋体" w:cs="宋体"/>
          <w:color w:val="auto"/>
          <w:kern w:val="0"/>
          <w:highlight w:val="none"/>
        </w:rPr>
        <w:t>1.5%</w:t>
      </w:r>
      <w:r>
        <w:rPr>
          <w:rFonts w:hint="eastAsia" w:ascii="宋体" w:hAnsi="宋体" w:cs="宋体"/>
          <w:color w:val="auto"/>
          <w:kern w:val="0"/>
          <w:highlight w:val="none"/>
        </w:rPr>
        <w:t>，直至终止其项目服务合同，由此给甲方单位造成的损失均由乙方单位承担。</w:t>
      </w:r>
    </w:p>
    <w:p w14:paraId="0D8EA226">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乙方在服务项目中采用不正当的手段拉拢甲方人员，损害甲方利益，根据具体情节和造成的后果扣除乙方单位在服务项目总造价的</w:t>
      </w:r>
      <w:r>
        <w:rPr>
          <w:rFonts w:ascii="宋体" w:hAnsi="宋体" w:cs="宋体"/>
          <w:color w:val="auto"/>
          <w:kern w:val="0"/>
          <w:highlight w:val="none"/>
        </w:rPr>
        <w:t>1-5%</w:t>
      </w:r>
      <w:r>
        <w:rPr>
          <w:rFonts w:hint="eastAsia" w:ascii="宋体" w:hAnsi="宋体" w:cs="宋体"/>
          <w:color w:val="auto"/>
          <w:kern w:val="0"/>
          <w:highlight w:val="none"/>
        </w:rPr>
        <w:t>直至终止服务项目合同，由此给甲方单位造成的损失均由乙方单位承担。</w:t>
      </w:r>
    </w:p>
    <w:p w14:paraId="24CC6662">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如乙方在服务项目中贿赂甲方人员，被检察机关立案查处的，甲方有权取消或终止服务项目合同。由此给甲方单位造成的损失均由乙方单位承担，并向甲方单位承担经济赔偿责任。</w:t>
      </w:r>
    </w:p>
    <w:p w14:paraId="720C9248">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乙方在服务项目中发现甲方人员有不廉政行为，应及时采取措施，积极有效地终止其不廉政行为的连续发生，并及时告知甲方单位主管领导。</w:t>
      </w:r>
    </w:p>
    <w:p w14:paraId="5256451D">
      <w:pPr>
        <w:autoSpaceDE w:val="0"/>
        <w:autoSpaceDN w:val="0"/>
        <w:adjustRightInd w:val="0"/>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乙方任何人员向甲方人员行贿，无论是甲方索贿，还是乙方主动行贿，一旦此事被确认，乙方均自愿在原合同基础上让利</w:t>
      </w:r>
      <w:r>
        <w:rPr>
          <w:rFonts w:ascii="宋体" w:hAnsi="宋体" w:cs="宋体"/>
          <w:color w:val="auto"/>
          <w:kern w:val="0"/>
          <w:highlight w:val="none"/>
        </w:rPr>
        <w:t>20</w:t>
      </w:r>
      <w:r>
        <w:rPr>
          <w:rFonts w:hint="eastAsia" w:ascii="宋体" w:hAnsi="宋体" w:cs="宋体"/>
          <w:color w:val="auto"/>
          <w:kern w:val="0"/>
          <w:highlight w:val="none"/>
        </w:rPr>
        <w:t>万元。</w:t>
      </w:r>
    </w:p>
    <w:p w14:paraId="6DF607C6">
      <w:pPr>
        <w:autoSpaceDE w:val="0"/>
        <w:autoSpaceDN w:val="0"/>
        <w:adjustRightInd w:val="0"/>
        <w:jc w:val="left"/>
        <w:rPr>
          <w:rFonts w:ascii="宋体" w:hAnsi="宋体"/>
          <w:b/>
          <w:bCs/>
          <w:color w:val="auto"/>
          <w:kern w:val="0"/>
          <w:highlight w:val="none"/>
        </w:rPr>
      </w:pPr>
    </w:p>
    <w:p w14:paraId="15ECB87A">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采购单位：</w:t>
      </w:r>
      <w:r>
        <w:rPr>
          <w:rFonts w:ascii="宋体" w:hAnsi="宋体" w:cs="宋体"/>
          <w:b/>
          <w:bCs/>
          <w:color w:val="auto"/>
          <w:kern w:val="0"/>
          <w:highlight w:val="none"/>
        </w:rPr>
        <w:t xml:space="preserve"> </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lang w:val="en-US" w:eastAsia="zh-CN"/>
        </w:rPr>
        <w:t xml:space="preserve">    </w:t>
      </w:r>
      <w:r>
        <w:rPr>
          <w:rFonts w:hint="eastAsia" w:ascii="宋体" w:hAnsi="宋体" w:cs="宋体"/>
          <w:b/>
          <w:bCs/>
          <w:color w:val="auto"/>
          <w:kern w:val="0"/>
          <w:highlight w:val="none"/>
        </w:rPr>
        <w:t>服务单位：</w:t>
      </w:r>
      <w:r>
        <w:rPr>
          <w:rFonts w:ascii="宋体" w:hAnsi="宋体" w:cs="宋体"/>
          <w:b/>
          <w:bCs/>
          <w:color w:val="auto"/>
          <w:kern w:val="0"/>
          <w:highlight w:val="none"/>
          <w:u w:val="single"/>
        </w:rPr>
        <w:t xml:space="preserve">               </w:t>
      </w:r>
    </w:p>
    <w:p w14:paraId="7304BF54">
      <w:pPr>
        <w:autoSpaceDE w:val="0"/>
        <w:autoSpaceDN w:val="0"/>
        <w:adjustRightInd w:val="0"/>
        <w:jc w:val="left"/>
        <w:rPr>
          <w:rFonts w:ascii="宋体" w:hAnsi="宋体"/>
          <w:b/>
          <w:bCs/>
          <w:color w:val="auto"/>
          <w:kern w:val="0"/>
          <w:highlight w:val="none"/>
        </w:rPr>
      </w:pPr>
    </w:p>
    <w:p w14:paraId="34FBA74E">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甲方单位经办人：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乙方单位经办人：</w:t>
      </w:r>
      <w:r>
        <w:rPr>
          <w:rFonts w:ascii="宋体" w:hAnsi="宋体" w:cs="宋体"/>
          <w:b/>
          <w:bCs/>
          <w:color w:val="auto"/>
          <w:kern w:val="0"/>
          <w:highlight w:val="none"/>
          <w:u w:val="single"/>
        </w:rPr>
        <w:t xml:space="preserve">         </w:t>
      </w:r>
    </w:p>
    <w:p w14:paraId="29DABCC6">
      <w:pPr>
        <w:autoSpaceDE w:val="0"/>
        <w:autoSpaceDN w:val="0"/>
        <w:adjustRightInd w:val="0"/>
        <w:jc w:val="left"/>
        <w:rPr>
          <w:rFonts w:ascii="宋体" w:hAnsi="宋体"/>
          <w:b/>
          <w:bCs/>
          <w:color w:val="auto"/>
          <w:kern w:val="0"/>
          <w:highlight w:val="none"/>
        </w:rPr>
      </w:pPr>
    </w:p>
    <w:p w14:paraId="14138EF4">
      <w:pPr>
        <w:autoSpaceDE w:val="0"/>
        <w:autoSpaceDN w:val="0"/>
        <w:adjustRightInd w:val="0"/>
        <w:jc w:val="left"/>
        <w:rPr>
          <w:rFonts w:ascii="宋体" w:hAnsi="宋体" w:cs="宋体"/>
          <w:b/>
          <w:bCs/>
          <w:color w:val="auto"/>
          <w:kern w:val="0"/>
          <w:highlight w:val="none"/>
          <w:u w:val="single"/>
        </w:rPr>
      </w:pPr>
      <w:r>
        <w:rPr>
          <w:rFonts w:hint="eastAsia" w:ascii="宋体" w:hAnsi="宋体" w:cs="宋体"/>
          <w:b/>
          <w:bCs/>
          <w:color w:val="auto"/>
          <w:kern w:val="0"/>
          <w:highlight w:val="none"/>
        </w:rPr>
        <w:t>甲方单位负责人：</w:t>
      </w:r>
      <w:r>
        <w:rPr>
          <w:rFonts w:ascii="宋体" w:hAnsi="宋体" w:cs="宋体"/>
          <w:b/>
          <w:bCs/>
          <w:color w:val="auto"/>
          <w:kern w:val="0"/>
          <w:highlight w:val="none"/>
          <w:u w:val="single"/>
        </w:rPr>
        <w:t xml:space="preserve">          </w:t>
      </w:r>
      <w:r>
        <w:rPr>
          <w:rFonts w:ascii="宋体" w:hAnsi="宋体" w:cs="宋体"/>
          <w:b/>
          <w:bCs/>
          <w:color w:val="auto"/>
          <w:kern w:val="0"/>
          <w:highlight w:val="none"/>
        </w:rPr>
        <w:t xml:space="preserve">               </w:t>
      </w:r>
      <w:r>
        <w:rPr>
          <w:rFonts w:hint="eastAsia" w:ascii="宋体" w:hAnsi="宋体" w:cs="宋体"/>
          <w:b/>
          <w:bCs/>
          <w:color w:val="auto"/>
          <w:kern w:val="0"/>
          <w:highlight w:val="none"/>
        </w:rPr>
        <w:t>乙方单位负责人：</w:t>
      </w:r>
      <w:r>
        <w:rPr>
          <w:rFonts w:ascii="宋体" w:hAnsi="宋体" w:cs="宋体"/>
          <w:b/>
          <w:bCs/>
          <w:color w:val="auto"/>
          <w:kern w:val="0"/>
          <w:highlight w:val="none"/>
          <w:u w:val="single"/>
        </w:rPr>
        <w:t xml:space="preserve">         </w:t>
      </w:r>
    </w:p>
    <w:p w14:paraId="640E2CA3">
      <w:pPr>
        <w:autoSpaceDE w:val="0"/>
        <w:autoSpaceDN w:val="0"/>
        <w:adjustRightInd w:val="0"/>
        <w:jc w:val="left"/>
        <w:rPr>
          <w:rFonts w:ascii="宋体" w:hAnsi="宋体"/>
          <w:b/>
          <w:bCs/>
          <w:color w:val="auto"/>
          <w:kern w:val="0"/>
          <w:highlight w:val="none"/>
        </w:rPr>
      </w:pPr>
    </w:p>
    <w:p w14:paraId="7C1965C4">
      <w:pPr>
        <w:autoSpaceDE w:val="0"/>
        <w:autoSpaceDN w:val="0"/>
        <w:adjustRightInd w:val="0"/>
        <w:jc w:val="left"/>
        <w:rPr>
          <w:rFonts w:ascii="宋体" w:hAnsi="宋体" w:cs="宋体"/>
          <w:b/>
          <w:bCs/>
          <w:color w:val="auto"/>
          <w:kern w:val="0"/>
          <w:highlight w:val="none"/>
        </w:rPr>
      </w:pP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r>
        <w:rPr>
          <w:rFonts w:ascii="宋体" w:hAnsi="宋体" w:cs="宋体"/>
          <w:b/>
          <w:bCs/>
          <w:color w:val="auto"/>
          <w:kern w:val="0"/>
          <w:highlight w:val="none"/>
        </w:rPr>
        <w:t xml:space="preserve">               </w:t>
      </w:r>
      <w:r>
        <w:rPr>
          <w:rFonts w:hint="eastAsia" w:ascii="宋体" w:hAnsi="宋体" w:cs="宋体"/>
          <w:b/>
          <w:bCs/>
          <w:color w:val="auto"/>
          <w:kern w:val="0"/>
          <w:highlight w:val="none"/>
        </w:rPr>
        <w:t>时间：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年</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月</w:t>
      </w:r>
      <w:r>
        <w:rPr>
          <w:rFonts w:ascii="宋体" w:hAnsi="宋体" w:cs="宋体"/>
          <w:b/>
          <w:bCs/>
          <w:color w:val="auto"/>
          <w:kern w:val="0"/>
          <w:highlight w:val="none"/>
          <w:u w:val="single"/>
        </w:rPr>
        <w:t xml:space="preserve">    </w:t>
      </w:r>
      <w:r>
        <w:rPr>
          <w:rFonts w:hint="eastAsia" w:ascii="宋体" w:hAnsi="宋体" w:cs="宋体"/>
          <w:b/>
          <w:bCs/>
          <w:color w:val="auto"/>
          <w:kern w:val="0"/>
          <w:highlight w:val="none"/>
        </w:rPr>
        <w:t>日</w:t>
      </w:r>
    </w:p>
    <w:p w14:paraId="1CFF0FA2">
      <w:pPr>
        <w:pStyle w:val="20"/>
        <w:ind w:left="0" w:leftChars="0" w:right="1470"/>
        <w:rPr>
          <w:color w:val="auto"/>
          <w:highlight w:val="none"/>
        </w:rPr>
      </w:pPr>
      <w:r>
        <w:rPr>
          <w:color w:val="auto"/>
          <w:highlight w:val="none"/>
        </w:rPr>
        <w:br w:type="page"/>
      </w:r>
      <w:r>
        <w:rPr>
          <w:rFonts w:hint="eastAsia"/>
          <w:color w:val="auto"/>
          <w:highlight w:val="none"/>
        </w:rPr>
        <w:t>附件</w:t>
      </w:r>
      <w:r>
        <w:rPr>
          <w:color w:val="auto"/>
          <w:highlight w:val="none"/>
        </w:rPr>
        <w:t>6</w:t>
      </w:r>
      <w:r>
        <w:rPr>
          <w:rFonts w:hint="eastAsia"/>
          <w:color w:val="auto"/>
          <w:highlight w:val="none"/>
        </w:rPr>
        <w:t>：</w:t>
      </w:r>
    </w:p>
    <w:p w14:paraId="77279E5F">
      <w:pPr>
        <w:autoSpaceDE w:val="0"/>
        <w:autoSpaceDN w:val="0"/>
        <w:adjustRightInd w:val="0"/>
        <w:jc w:val="center"/>
        <w:rPr>
          <w:rFonts w:ascii="黑体" w:hAnsi="黑体" w:eastAsia="黑体" w:cs="宋体"/>
          <w:b/>
          <w:bCs/>
          <w:color w:val="auto"/>
          <w:spacing w:val="15"/>
          <w:kern w:val="0"/>
          <w:sz w:val="36"/>
          <w:szCs w:val="36"/>
          <w:highlight w:val="none"/>
        </w:rPr>
      </w:pPr>
      <w:r>
        <w:rPr>
          <w:rFonts w:hint="eastAsia" w:ascii="黑体" w:hAnsi="黑体" w:eastAsia="黑体" w:cs="宋体"/>
          <w:b/>
          <w:bCs/>
          <w:color w:val="auto"/>
          <w:spacing w:val="15"/>
          <w:kern w:val="0"/>
          <w:sz w:val="36"/>
          <w:szCs w:val="36"/>
          <w:highlight w:val="none"/>
        </w:rPr>
        <w:t>安全生产责任承诺书</w:t>
      </w:r>
    </w:p>
    <w:p w14:paraId="0FDC92BA">
      <w:pPr>
        <w:autoSpaceDE w:val="0"/>
        <w:autoSpaceDN w:val="0"/>
        <w:adjustRightInd w:val="0"/>
        <w:jc w:val="left"/>
        <w:rPr>
          <w:rFonts w:ascii="宋体" w:hAnsi="宋体"/>
          <w:color w:val="auto"/>
          <w:spacing w:val="15"/>
          <w:kern w:val="0"/>
          <w:highlight w:val="none"/>
        </w:rPr>
      </w:pPr>
    </w:p>
    <w:p w14:paraId="1CC3E069">
      <w:pPr>
        <w:autoSpaceDE w:val="0"/>
        <w:autoSpaceDN w:val="0"/>
        <w:adjustRightInd w:val="0"/>
        <w:spacing w:line="360" w:lineRule="auto"/>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u w:val="single"/>
        </w:rPr>
        <w:t xml:space="preserve">                     ：</w:t>
      </w:r>
    </w:p>
    <w:p w14:paraId="00E5C8D2">
      <w:pPr>
        <w:autoSpaceDE w:val="0"/>
        <w:autoSpaceDN w:val="0"/>
        <w:adjustRightInd w:val="0"/>
        <w:spacing w:line="360" w:lineRule="auto"/>
        <w:ind w:firstLine="480" w:firstLineChars="200"/>
        <w:jc w:val="left"/>
        <w:rPr>
          <w:rFonts w:ascii="宋体" w:hAnsi="宋体" w:cs="宋体"/>
          <w:color w:val="auto"/>
          <w:spacing w:val="15"/>
          <w:kern w:val="0"/>
          <w:highlight w:val="none"/>
        </w:rPr>
      </w:pPr>
      <w:r>
        <w:rPr>
          <w:rFonts w:hint="eastAsia" w:ascii="宋体" w:hAnsi="宋体" w:cs="宋体"/>
          <w:color w:val="auto"/>
          <w:spacing w:val="15"/>
          <w:kern w:val="0"/>
          <w:highlight w:val="none"/>
        </w:rPr>
        <w:t>我</w:t>
      </w:r>
      <w:r>
        <w:rPr>
          <w:rFonts w:ascii="宋体" w:hAnsi="宋体" w:cs="宋体"/>
          <w:color w:val="auto"/>
          <w:spacing w:val="15"/>
          <w:kern w:val="0"/>
          <w:highlight w:val="none"/>
          <w:u w:val="single"/>
        </w:rPr>
        <w:t xml:space="preserve">                          </w:t>
      </w:r>
      <w:r>
        <w:rPr>
          <w:rFonts w:hint="eastAsia" w:ascii="宋体" w:hAnsi="宋体" w:cs="宋体"/>
          <w:color w:val="auto"/>
          <w:spacing w:val="15"/>
          <w:kern w:val="0"/>
          <w:highlight w:val="none"/>
        </w:rPr>
        <w:t>公司现向贵公司承诺，我公司在</w:t>
      </w:r>
      <w:r>
        <w:rPr>
          <w:rFonts w:hint="eastAsia" w:ascii="宋体" w:hAnsi="宋体"/>
          <w:b/>
          <w:bCs/>
          <w:color w:val="auto"/>
          <w:kern w:val="0"/>
          <w:highlight w:val="none"/>
          <w:u w:val="single"/>
        </w:rPr>
        <w:t xml:space="preserve">          </w:t>
      </w:r>
      <w:r>
        <w:rPr>
          <w:rFonts w:hint="eastAsia" w:ascii="宋体" w:hAnsi="宋体" w:cs="宋体"/>
          <w:color w:val="auto"/>
          <w:kern w:val="0"/>
          <w:highlight w:val="none"/>
        </w:rPr>
        <w:t>实施</w:t>
      </w:r>
      <w:r>
        <w:rPr>
          <w:rFonts w:hint="eastAsia" w:ascii="宋体" w:hAnsi="宋体" w:cs="宋体"/>
          <w:color w:val="auto"/>
          <w:spacing w:val="15"/>
          <w:kern w:val="0"/>
          <w:highlight w:val="none"/>
        </w:rPr>
        <w:t>过程中，保证不发生重大人员伤亡事故，在此服务过程中所发生的一切工伤事故，或安全事故，均由我公司承担一切责任。</w:t>
      </w:r>
    </w:p>
    <w:p w14:paraId="1F0773CE">
      <w:pPr>
        <w:autoSpaceDE w:val="0"/>
        <w:autoSpaceDN w:val="0"/>
        <w:adjustRightInd w:val="0"/>
        <w:jc w:val="left"/>
        <w:rPr>
          <w:rFonts w:ascii="宋体" w:hAnsi="宋体"/>
          <w:color w:val="auto"/>
          <w:spacing w:val="15"/>
          <w:kern w:val="0"/>
          <w:highlight w:val="none"/>
        </w:rPr>
      </w:pPr>
    </w:p>
    <w:p w14:paraId="515C47DC">
      <w:pPr>
        <w:autoSpaceDE w:val="0"/>
        <w:autoSpaceDN w:val="0"/>
        <w:adjustRightInd w:val="0"/>
        <w:jc w:val="left"/>
        <w:rPr>
          <w:rFonts w:ascii="宋体" w:hAnsi="宋体" w:cs="宋体"/>
          <w:color w:val="auto"/>
          <w:spacing w:val="15"/>
          <w:kern w:val="0"/>
          <w:highlight w:val="none"/>
        </w:rPr>
      </w:pPr>
      <w:r>
        <w:rPr>
          <w:rFonts w:ascii="宋体" w:hAnsi="宋体" w:cs="宋体"/>
          <w:color w:val="auto"/>
          <w:spacing w:val="15"/>
          <w:kern w:val="0"/>
          <w:highlight w:val="none"/>
        </w:rPr>
        <w:t xml:space="preserve">                   </w:t>
      </w:r>
    </w:p>
    <w:p w14:paraId="0319B7F0">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承诺单位（公章）</w:t>
      </w:r>
      <w:r>
        <w:rPr>
          <w:rFonts w:ascii="宋体" w:hAnsi="宋体" w:cs="宋体"/>
          <w:color w:val="auto"/>
          <w:spacing w:val="15"/>
          <w:kern w:val="0"/>
          <w:highlight w:val="none"/>
          <w:u w:val="single"/>
        </w:rPr>
        <w:t xml:space="preserve">                  </w:t>
      </w:r>
    </w:p>
    <w:p w14:paraId="3630F8CA">
      <w:pPr>
        <w:autoSpaceDE w:val="0"/>
        <w:autoSpaceDN w:val="0"/>
        <w:adjustRightInd w:val="0"/>
        <w:jc w:val="left"/>
        <w:rPr>
          <w:rFonts w:ascii="宋体" w:hAnsi="宋体"/>
          <w:color w:val="auto"/>
          <w:spacing w:val="15"/>
          <w:kern w:val="0"/>
          <w:highlight w:val="none"/>
        </w:rPr>
      </w:pPr>
    </w:p>
    <w:p w14:paraId="325C5FE7">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法定代表人（签字或盖章）</w:t>
      </w:r>
      <w:r>
        <w:rPr>
          <w:rFonts w:ascii="宋体" w:hAnsi="宋体" w:cs="宋体"/>
          <w:color w:val="auto"/>
          <w:spacing w:val="15"/>
          <w:kern w:val="0"/>
          <w:highlight w:val="none"/>
          <w:u w:val="single"/>
        </w:rPr>
        <w:t xml:space="preserve">          </w:t>
      </w:r>
    </w:p>
    <w:p w14:paraId="3512B6A7">
      <w:pPr>
        <w:autoSpaceDE w:val="0"/>
        <w:autoSpaceDN w:val="0"/>
        <w:adjustRightInd w:val="0"/>
        <w:jc w:val="left"/>
        <w:rPr>
          <w:rFonts w:ascii="宋体" w:hAnsi="宋体"/>
          <w:color w:val="auto"/>
          <w:spacing w:val="15"/>
          <w:kern w:val="0"/>
          <w:highlight w:val="none"/>
        </w:rPr>
      </w:pPr>
    </w:p>
    <w:p w14:paraId="39C38FA1">
      <w:pPr>
        <w:autoSpaceDE w:val="0"/>
        <w:autoSpaceDN w:val="0"/>
        <w:adjustRightInd w:val="0"/>
        <w:jc w:val="left"/>
        <w:rPr>
          <w:rFonts w:ascii="宋体" w:hAnsi="宋体" w:cs="宋体"/>
          <w:color w:val="auto"/>
          <w:spacing w:val="15"/>
          <w:kern w:val="0"/>
          <w:highlight w:val="none"/>
          <w:u w:val="single"/>
        </w:rPr>
      </w:pPr>
      <w:r>
        <w:rPr>
          <w:rFonts w:hint="eastAsia" w:ascii="宋体" w:hAnsi="宋体" w:cs="宋体"/>
          <w:color w:val="auto"/>
          <w:spacing w:val="15"/>
          <w:kern w:val="0"/>
          <w:highlight w:val="none"/>
        </w:rPr>
        <w:t>代理人（签字或盖章）</w:t>
      </w:r>
      <w:r>
        <w:rPr>
          <w:rFonts w:ascii="宋体" w:hAnsi="宋体" w:cs="宋体"/>
          <w:color w:val="auto"/>
          <w:spacing w:val="15"/>
          <w:kern w:val="0"/>
          <w:highlight w:val="none"/>
          <w:u w:val="single"/>
        </w:rPr>
        <w:t xml:space="preserve">                </w:t>
      </w:r>
    </w:p>
    <w:p w14:paraId="7247F33F">
      <w:pPr>
        <w:autoSpaceDE w:val="0"/>
        <w:autoSpaceDN w:val="0"/>
        <w:adjustRightInd w:val="0"/>
        <w:jc w:val="left"/>
        <w:rPr>
          <w:rFonts w:ascii="宋体" w:hAnsi="宋体"/>
          <w:color w:val="auto"/>
          <w:spacing w:val="15"/>
          <w:kern w:val="0"/>
          <w:highlight w:val="none"/>
        </w:rPr>
      </w:pPr>
    </w:p>
    <w:p w14:paraId="2FA776CA">
      <w:pPr>
        <w:spacing w:line="360" w:lineRule="auto"/>
        <w:rPr>
          <w:rFonts w:hint="eastAsia" w:ascii="宋体" w:hAnsi="宋体" w:eastAsia="宋体" w:cs="宋体"/>
          <w:color w:val="auto"/>
          <w:sz w:val="21"/>
          <w:szCs w:val="21"/>
          <w:highlight w:val="none"/>
          <w:lang w:eastAsia="zh-CN"/>
        </w:rPr>
      </w:pPr>
      <w:r>
        <w:rPr>
          <w:rFonts w:hint="eastAsia" w:ascii="宋体" w:hAnsi="宋体" w:cs="宋体"/>
          <w:color w:val="auto"/>
          <w:spacing w:val="15"/>
          <w:kern w:val="0"/>
          <w:highlight w:val="none"/>
        </w:rPr>
        <w:t>日期：</w:t>
      </w:r>
      <w:r>
        <w:rPr>
          <w:rFonts w:ascii="宋体" w:hAnsi="宋体" w:cs="宋体"/>
          <w:color w:val="auto"/>
          <w:spacing w:val="15"/>
          <w:kern w:val="0"/>
          <w:highlight w:val="none"/>
          <w:u w:val="single"/>
        </w:rPr>
        <w:t xml:space="preserve">                    </w:t>
      </w:r>
    </w:p>
    <w:p w14:paraId="29940F3A">
      <w:pPr>
        <w:rPr>
          <w:rFonts w:ascii="宋体" w:hAnsi="宋体" w:cs="宋体"/>
          <w:color w:val="auto"/>
          <w:szCs w:val="21"/>
          <w:highlight w:val="none"/>
        </w:rPr>
      </w:pPr>
      <w:r>
        <w:rPr>
          <w:rFonts w:cs="宋体"/>
          <w:color w:val="auto"/>
          <w:highlight w:val="none"/>
        </w:rPr>
        <w:br w:type="page"/>
      </w:r>
    </w:p>
    <w:p w14:paraId="7C5D870B">
      <w:pPr>
        <w:pStyle w:val="2"/>
        <w:numPr>
          <w:ilvl w:val="0"/>
          <w:numId w:val="6"/>
        </w:numPr>
        <w:rPr>
          <w:rFonts w:ascii="宋体" w:hAnsi="宋体" w:cs="宋体"/>
          <w:color w:val="auto"/>
          <w:highlight w:val="none"/>
        </w:rPr>
      </w:pPr>
      <w:bookmarkStart w:id="30" w:name="_Toc15886"/>
      <w:bookmarkStart w:id="31" w:name="_Toc13466"/>
      <w:r>
        <w:rPr>
          <w:rFonts w:hint="eastAsia" w:ascii="宋体" w:hAnsi="宋体" w:cs="宋体"/>
          <w:color w:val="auto"/>
          <w:highlight w:val="none"/>
        </w:rPr>
        <w:t>投标文件格式及附件</w:t>
      </w:r>
      <w:bookmarkEnd w:id="30"/>
      <w:bookmarkEnd w:id="31"/>
    </w:p>
    <w:p w14:paraId="65EF2F96">
      <w:pPr>
        <w:pStyle w:val="58"/>
        <w:ind w:firstLine="0" w:firstLineChars="0"/>
        <w:rPr>
          <w:rFonts w:hint="eastAsia" w:ascii="宋体" w:hAnsi="宋体" w:eastAsia="宋体" w:cs="宋体"/>
          <w:color w:val="auto"/>
          <w:highlight w:val="none"/>
        </w:rPr>
      </w:pPr>
    </w:p>
    <w:p w14:paraId="742B1BA2">
      <w:pPr>
        <w:widowControl/>
        <w:adjustRightInd w:val="0"/>
        <w:spacing w:line="240" w:lineRule="atLeast"/>
        <w:jc w:val="left"/>
        <w:rPr>
          <w:rFonts w:hint="eastAsia" w:ascii="宋体" w:hAnsi="宋体" w:cs="宋体"/>
          <w:b/>
          <w:bCs/>
          <w:color w:val="auto"/>
          <w:szCs w:val="21"/>
          <w:highlight w:val="none"/>
        </w:rPr>
      </w:pPr>
    </w:p>
    <w:p w14:paraId="28A4004B">
      <w:pPr>
        <w:spacing w:line="440" w:lineRule="exact"/>
        <w:rPr>
          <w:rFonts w:hint="eastAsia" w:ascii="宋体" w:hAnsi="宋体" w:cs="宋体"/>
          <w:color w:val="auto"/>
          <w:sz w:val="20"/>
          <w:szCs w:val="20"/>
          <w:highlight w:val="none"/>
        </w:rPr>
      </w:pPr>
    </w:p>
    <w:p w14:paraId="514BB455">
      <w:pPr>
        <w:spacing w:line="440" w:lineRule="exact"/>
        <w:rPr>
          <w:rFonts w:hint="eastAsia" w:ascii="宋体" w:hAnsi="宋体" w:cs="宋体"/>
          <w:color w:val="auto"/>
          <w:sz w:val="20"/>
          <w:szCs w:val="20"/>
          <w:highlight w:val="none"/>
        </w:rPr>
      </w:pPr>
    </w:p>
    <w:p w14:paraId="5B9B8F40">
      <w:pPr>
        <w:spacing w:line="440" w:lineRule="exact"/>
        <w:rPr>
          <w:rFonts w:hint="eastAsia" w:ascii="宋体" w:hAnsi="宋体" w:cs="宋体"/>
          <w:color w:val="auto"/>
          <w:sz w:val="20"/>
          <w:szCs w:val="20"/>
          <w:highlight w:val="none"/>
        </w:rPr>
      </w:pPr>
    </w:p>
    <w:p w14:paraId="6F30F0E8">
      <w:pPr>
        <w:jc w:val="both"/>
        <w:rPr>
          <w:rFonts w:hint="eastAsia" w:ascii="宋体" w:hAnsi="宋体" w:cs="宋体"/>
          <w:color w:val="auto"/>
          <w:sz w:val="22"/>
          <w:szCs w:val="22"/>
          <w:highlight w:val="none"/>
        </w:rPr>
      </w:pPr>
    </w:p>
    <w:p w14:paraId="07961ACF">
      <w:pPr>
        <w:rPr>
          <w:rFonts w:hint="eastAsia" w:ascii="宋体" w:hAnsi="宋体" w:cs="宋体"/>
          <w:color w:val="auto"/>
          <w:sz w:val="22"/>
          <w:szCs w:val="22"/>
          <w:highlight w:val="none"/>
        </w:rPr>
      </w:pPr>
    </w:p>
    <w:p w14:paraId="196D4F2F">
      <w:pPr>
        <w:jc w:val="center"/>
        <w:rPr>
          <w:rFonts w:hint="eastAsia" w:ascii="宋体" w:hAnsi="宋体" w:cs="宋体"/>
          <w:color w:val="auto"/>
          <w:sz w:val="52"/>
          <w:szCs w:val="52"/>
          <w:highlight w:val="none"/>
        </w:rPr>
      </w:pPr>
      <w:r>
        <w:rPr>
          <w:rFonts w:hint="eastAsia" w:ascii="宋体" w:hAnsi="宋体" w:cs="宋体"/>
          <w:color w:val="auto"/>
          <w:sz w:val="52"/>
          <w:szCs w:val="52"/>
          <w:highlight w:val="none"/>
        </w:rPr>
        <w:t>投标文件</w:t>
      </w:r>
    </w:p>
    <w:p w14:paraId="16CFE4E1">
      <w:pPr>
        <w:rPr>
          <w:rFonts w:hint="eastAsia" w:ascii="宋体" w:hAnsi="宋体" w:cs="宋体"/>
          <w:color w:val="auto"/>
          <w:sz w:val="36"/>
          <w:szCs w:val="36"/>
          <w:highlight w:val="none"/>
        </w:rPr>
      </w:pPr>
    </w:p>
    <w:p w14:paraId="5705AEBA">
      <w:pPr>
        <w:rPr>
          <w:rFonts w:hint="eastAsia" w:ascii="宋体" w:hAnsi="宋体" w:cs="宋体"/>
          <w:color w:val="auto"/>
          <w:sz w:val="36"/>
          <w:szCs w:val="36"/>
          <w:highlight w:val="none"/>
        </w:rPr>
      </w:pPr>
    </w:p>
    <w:p w14:paraId="7686B905">
      <w:pPr>
        <w:rPr>
          <w:rFonts w:hint="eastAsia" w:ascii="宋体" w:hAnsi="宋体" w:cs="宋体"/>
          <w:color w:val="auto"/>
          <w:sz w:val="36"/>
          <w:szCs w:val="36"/>
          <w:highlight w:val="none"/>
        </w:rPr>
      </w:pPr>
    </w:p>
    <w:p w14:paraId="00C2AE6A">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项目名称：</w:t>
      </w:r>
    </w:p>
    <w:p w14:paraId="23A330CE">
      <w:pPr>
        <w:ind w:firstLine="720" w:firstLineChars="200"/>
        <w:rPr>
          <w:rFonts w:hint="eastAsia" w:ascii="宋体" w:hAnsi="宋体" w:cs="宋体"/>
          <w:color w:val="auto"/>
          <w:sz w:val="36"/>
          <w:szCs w:val="36"/>
          <w:highlight w:val="none"/>
          <w:lang w:val="en-US" w:eastAsia="zh-CN"/>
        </w:rPr>
      </w:pPr>
      <w:r>
        <w:rPr>
          <w:rFonts w:hint="eastAsia" w:ascii="宋体" w:hAnsi="宋体" w:cs="宋体"/>
          <w:color w:val="auto"/>
          <w:sz w:val="36"/>
          <w:szCs w:val="36"/>
          <w:highlight w:val="none"/>
          <w:lang w:val="en-US" w:eastAsia="zh-CN"/>
        </w:rPr>
        <w:t>招标编号：</w:t>
      </w:r>
    </w:p>
    <w:p w14:paraId="5D9A32DC">
      <w:pPr>
        <w:ind w:firstLine="720" w:firstLineChars="200"/>
        <w:jc w:val="both"/>
        <w:rPr>
          <w:rFonts w:hint="eastAsia" w:ascii="宋体" w:hAnsi="宋体" w:cs="宋体"/>
          <w:color w:val="auto"/>
          <w:sz w:val="36"/>
          <w:szCs w:val="36"/>
          <w:highlight w:val="none"/>
          <w:u w:val="single"/>
        </w:rPr>
      </w:pPr>
      <w:r>
        <w:rPr>
          <w:rFonts w:hint="eastAsia" w:ascii="宋体" w:hAnsi="宋体" w:cs="宋体"/>
          <w:color w:val="auto"/>
          <w:sz w:val="36"/>
          <w:szCs w:val="36"/>
          <w:highlight w:val="none"/>
        </w:rPr>
        <w:t>投标人</w:t>
      </w:r>
      <w:r>
        <w:rPr>
          <w:rFonts w:hint="eastAsia" w:ascii="宋体" w:hAnsi="宋体" w:cs="宋体"/>
          <w:color w:val="auto"/>
          <w:sz w:val="36"/>
          <w:szCs w:val="36"/>
          <w:highlight w:val="none"/>
          <w:lang w:val="en-US" w:eastAsia="zh-CN"/>
        </w:rPr>
        <w:t>名称</w:t>
      </w:r>
      <w:r>
        <w:rPr>
          <w:rFonts w:hint="eastAsia" w:ascii="宋体" w:hAnsi="宋体" w:cs="宋体"/>
          <w:color w:val="auto"/>
          <w:sz w:val="36"/>
          <w:szCs w:val="36"/>
          <w:highlight w:val="none"/>
        </w:rPr>
        <w:t>：（加盖电子公章）</w:t>
      </w:r>
    </w:p>
    <w:p w14:paraId="4C3C2DEA">
      <w:pPr>
        <w:widowControl/>
        <w:ind w:firstLine="720" w:firstLineChars="200"/>
        <w:jc w:val="left"/>
        <w:rPr>
          <w:rFonts w:hint="eastAsia" w:ascii="宋体" w:hAnsi="宋体" w:cs="宋体"/>
          <w:color w:val="auto"/>
          <w:sz w:val="28"/>
          <w:szCs w:val="28"/>
          <w:highlight w:val="none"/>
        </w:rPr>
      </w:pPr>
      <w:r>
        <w:rPr>
          <w:rFonts w:hint="eastAsia" w:ascii="宋体" w:hAnsi="宋体" w:cs="宋体"/>
          <w:color w:val="auto"/>
          <w:sz w:val="36"/>
          <w:szCs w:val="36"/>
          <w:highlight w:val="none"/>
          <w:lang w:val="en-US" w:eastAsia="zh-CN"/>
        </w:rPr>
        <w:t>日期：</w:t>
      </w:r>
      <w:r>
        <w:rPr>
          <w:rFonts w:hint="eastAsia" w:ascii="宋体" w:hAnsi="宋体" w:cs="宋体"/>
          <w:color w:val="auto"/>
          <w:sz w:val="28"/>
          <w:szCs w:val="28"/>
          <w:highlight w:val="none"/>
        </w:rPr>
        <w:br w:type="page"/>
      </w:r>
    </w:p>
    <w:p w14:paraId="00978A2E">
      <w:pPr>
        <w:spacing w:before="312" w:beforeLines="100" w:after="312" w:afterLines="100"/>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t>目录</w:t>
      </w:r>
    </w:p>
    <w:p w14:paraId="0C317017">
      <w:pPr>
        <w:spacing w:line="440" w:lineRule="exact"/>
        <w:rPr>
          <w:rFonts w:hint="eastAsia" w:ascii="宋体" w:hAnsi="宋体" w:cs="宋体"/>
          <w:color w:val="auto"/>
          <w:kern w:val="0"/>
          <w:szCs w:val="21"/>
          <w:highlight w:val="none"/>
        </w:rPr>
      </w:pPr>
      <w:r>
        <w:rPr>
          <w:rFonts w:hint="eastAsia" w:ascii="宋体" w:hAnsi="宋体" w:cs="宋体"/>
          <w:color w:val="auto"/>
          <w:highlight w:val="none"/>
        </w:rPr>
        <w:br w:type="page"/>
      </w:r>
      <w:r>
        <w:rPr>
          <w:rFonts w:hint="eastAsia" w:ascii="宋体" w:hAnsi="宋体" w:cs="宋体"/>
          <w:b/>
          <w:bCs/>
          <w:color w:val="auto"/>
          <w:kern w:val="0"/>
          <w:szCs w:val="21"/>
          <w:highlight w:val="none"/>
        </w:rPr>
        <w:t>附件一、投标申请及声明格式</w:t>
      </w:r>
    </w:p>
    <w:p w14:paraId="70F4C4FB">
      <w:pPr>
        <w:widowControl/>
        <w:shd w:val="clear" w:color="auto" w:fill="FFFFFF"/>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投标申请及声明</w:t>
      </w:r>
    </w:p>
    <w:p w14:paraId="3634C42E">
      <w:pPr>
        <w:widowControl/>
        <w:shd w:val="clear" w:color="auto" w:fill="FFFFFF"/>
        <w:spacing w:line="400" w:lineRule="exact"/>
        <w:rPr>
          <w:rFonts w:hint="eastAsia" w:ascii="宋体" w:hAnsi="宋体" w:eastAsia="宋体" w:cs="宋体"/>
          <w:color w:val="auto"/>
          <w:kern w:val="0"/>
          <w:szCs w:val="21"/>
          <w:highlight w:val="none"/>
          <w:lang w:eastAsia="zh-CN"/>
        </w:rPr>
      </w:pPr>
      <w:r>
        <w:rPr>
          <w:rFonts w:hint="eastAsia" w:ascii="宋体" w:hAnsi="宋体" w:cs="宋体"/>
          <w:color w:val="auto"/>
          <w:kern w:val="0"/>
          <w:szCs w:val="21"/>
          <w:highlight w:val="none"/>
        </w:rPr>
        <w:t>致：</w:t>
      </w:r>
      <w:r>
        <w:rPr>
          <w:rFonts w:hint="eastAsia" w:ascii="宋体" w:hAnsi="宋体" w:cs="宋体"/>
          <w:color w:val="auto"/>
          <w:kern w:val="0"/>
          <w:szCs w:val="21"/>
          <w:highlight w:val="none"/>
          <w:lang w:eastAsia="zh-CN"/>
        </w:rPr>
        <w:t>江苏泰鼎工程咨询有限公司</w:t>
      </w:r>
    </w:p>
    <w:p w14:paraId="2C687FDB">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根据贵方</w:t>
      </w:r>
      <w:r>
        <w:rPr>
          <w:rFonts w:hint="eastAsia" w:ascii="宋体" w:hAnsi="宋体" w:cs="宋体"/>
          <w:color w:val="auto"/>
          <w:kern w:val="0"/>
          <w:szCs w:val="21"/>
          <w:highlight w:val="none"/>
          <w:u w:val="single"/>
        </w:rPr>
        <w:t>           </w:t>
      </w:r>
      <w:r>
        <w:rPr>
          <w:rFonts w:hint="eastAsia" w:ascii="宋体" w:hAnsi="宋体" w:cs="宋体"/>
          <w:b/>
          <w:bCs/>
          <w:color w:val="auto"/>
          <w:kern w:val="0"/>
          <w:szCs w:val="21"/>
          <w:highlight w:val="none"/>
          <w:u w:val="single"/>
        </w:rPr>
        <w:t>（</w:t>
      </w:r>
      <w:r>
        <w:rPr>
          <w:rFonts w:hint="eastAsia" w:ascii="宋体" w:hAnsi="宋体" w:cs="宋体"/>
          <w:color w:val="auto"/>
          <w:kern w:val="0"/>
          <w:szCs w:val="21"/>
          <w:highlight w:val="none"/>
        </w:rPr>
        <w:t>项目名称） </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（项目编号）投标邀请，正式授权下述签字人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(姓名和职务)代表投标人</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（投标人名称），提交投标文件。</w:t>
      </w:r>
    </w:p>
    <w:p w14:paraId="5D098538">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据此函，签字人兹宣布声明和承诺如下：</w:t>
      </w:r>
    </w:p>
    <w:p w14:paraId="26F1EC0A">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1、</w:t>
      </w:r>
      <w:r>
        <w:rPr>
          <w:rFonts w:hint="eastAsia" w:ascii="宋体" w:hAnsi="宋体" w:cs="宋体"/>
          <w:b/>
          <w:bCs/>
          <w:color w:val="auto"/>
          <w:kern w:val="0"/>
          <w:szCs w:val="21"/>
          <w:highlight w:val="none"/>
        </w:rPr>
        <w:t>我们的资格条件完全符合政府采购法和本次招标要求</w:t>
      </w:r>
      <w:r>
        <w:rPr>
          <w:rFonts w:hint="eastAsia" w:ascii="宋体" w:hAnsi="宋体" w:cs="宋体"/>
          <w:color w:val="auto"/>
          <w:kern w:val="0"/>
          <w:szCs w:val="21"/>
          <w:highlight w:val="none"/>
        </w:rPr>
        <w:t>，我们同意并向贵方提供了与投标有关的所有证据和资料。</w:t>
      </w:r>
    </w:p>
    <w:p w14:paraId="64300094">
      <w:pPr>
        <w:widowControl/>
        <w:shd w:val="clear" w:color="auto" w:fill="FFFFFF"/>
        <w:spacing w:line="400" w:lineRule="exact"/>
        <w:ind w:left="1470" w:hanging="1050"/>
        <w:rPr>
          <w:rFonts w:hint="eastAsia" w:ascii="宋体" w:hAnsi="宋体" w:cs="宋体"/>
          <w:color w:val="auto"/>
          <w:kern w:val="0"/>
          <w:szCs w:val="21"/>
          <w:highlight w:val="none"/>
        </w:rPr>
      </w:pPr>
      <w:r>
        <w:rPr>
          <w:rFonts w:hint="eastAsia" w:ascii="宋体" w:hAnsi="宋体" w:cs="宋体"/>
          <w:color w:val="auto"/>
          <w:kern w:val="0"/>
          <w:szCs w:val="21"/>
          <w:highlight w:val="none"/>
        </w:rPr>
        <w:t>2、按招标要求，我们的投标报价详见开标一览表。</w:t>
      </w:r>
    </w:p>
    <w:p w14:paraId="16F61A0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3、本项目服务时间为：</w:t>
      </w:r>
      <w:r>
        <w:rPr>
          <w:rFonts w:hint="eastAsia" w:ascii="宋体" w:hAnsi="宋体" w:cs="宋体"/>
          <w:color w:val="auto"/>
          <w:kern w:val="0"/>
          <w:szCs w:val="21"/>
          <w:highlight w:val="none"/>
          <w:u w:val="single"/>
        </w:rPr>
        <w:t xml:space="preserve">  满足招标文件要求  </w:t>
      </w:r>
      <w:r>
        <w:rPr>
          <w:rFonts w:hint="eastAsia" w:ascii="宋体" w:hAnsi="宋体" w:cs="宋体"/>
          <w:color w:val="auto"/>
          <w:kern w:val="0"/>
          <w:szCs w:val="21"/>
          <w:highlight w:val="none"/>
        </w:rPr>
        <w:t>。</w:t>
      </w:r>
    </w:p>
    <w:p w14:paraId="5CF67355">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4、我们已详细阅读全部招标文件及其有效补充文件，我们放弃对招标文件任何误解的权利，提交投标文件后，</w:t>
      </w:r>
      <w:r>
        <w:rPr>
          <w:rFonts w:hint="eastAsia" w:ascii="宋体" w:hAnsi="宋体" w:cs="宋体"/>
          <w:b/>
          <w:bCs/>
          <w:color w:val="auto"/>
          <w:kern w:val="0"/>
          <w:szCs w:val="21"/>
          <w:highlight w:val="none"/>
        </w:rPr>
        <w:t>不对招标文件本身提出质疑</w:t>
      </w:r>
      <w:r>
        <w:rPr>
          <w:rFonts w:hint="eastAsia" w:ascii="宋体" w:hAnsi="宋体" w:cs="宋体"/>
          <w:color w:val="auto"/>
          <w:kern w:val="0"/>
          <w:szCs w:val="21"/>
          <w:highlight w:val="none"/>
        </w:rPr>
        <w:t>。</w:t>
      </w:r>
    </w:p>
    <w:p w14:paraId="3CB64BA7">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5、我们同意从规定的开标日期起遵循本投标文件，并在规定的投标有效期期满之前均具有约束力。</w:t>
      </w:r>
    </w:p>
    <w:p w14:paraId="15C82740">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6、投标截止时间结束后参加投标的投标人不足三家的，或在评标期间出现符合专业条件的供应商或者对招标文件作出实质响应的投标人不足三家情形的，我们酌情决定是否参加</w:t>
      </w:r>
      <w:r>
        <w:rPr>
          <w:rFonts w:hint="eastAsia" w:ascii="宋体" w:hAnsi="宋体" w:cs="宋体"/>
          <w:color w:val="auto"/>
          <w:highlight w:val="none"/>
        </w:rPr>
        <w:t>贵方组织的其他采购</w:t>
      </w:r>
      <w:r>
        <w:rPr>
          <w:rFonts w:hint="eastAsia" w:ascii="宋体" w:hAnsi="宋体" w:cs="宋体"/>
          <w:color w:val="auto"/>
          <w:highlight w:val="none"/>
          <w:lang w:val="en-US" w:eastAsia="zh-CN"/>
        </w:rPr>
        <w:t>方式</w:t>
      </w:r>
      <w:r>
        <w:rPr>
          <w:rFonts w:hint="eastAsia" w:ascii="宋体" w:hAnsi="宋体" w:cs="宋体"/>
          <w:color w:val="auto"/>
          <w:highlight w:val="none"/>
        </w:rPr>
        <w:t>采购</w:t>
      </w:r>
      <w:r>
        <w:rPr>
          <w:rFonts w:hint="eastAsia" w:ascii="宋体" w:hAnsi="宋体" w:cs="宋体"/>
          <w:color w:val="auto"/>
          <w:kern w:val="0"/>
          <w:szCs w:val="21"/>
          <w:highlight w:val="none"/>
        </w:rPr>
        <w:t>。</w:t>
      </w:r>
    </w:p>
    <w:p w14:paraId="167DE93E">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7、一旦我方中标，我方将根据招标文件的规定严格履行合同，并保证于承诺的时间完成货物的启动/集成、调试等服务，交付采购人验收、使用。</w:t>
      </w:r>
    </w:p>
    <w:p w14:paraId="2AB80A8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8、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p>
    <w:p w14:paraId="0B2D75E2">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9、与本投标有关的正式联系方式为：</w:t>
      </w:r>
    </w:p>
    <w:p w14:paraId="6814B529">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地   址：</w:t>
      </w:r>
      <w:r>
        <w:rPr>
          <w:rFonts w:hint="eastAsia" w:ascii="宋体" w:hAnsi="宋体" w:cs="宋体"/>
          <w:color w:val="auto"/>
          <w:kern w:val="0"/>
          <w:szCs w:val="21"/>
          <w:highlight w:val="none"/>
          <w:u w:val="single"/>
        </w:rPr>
        <w:t>                      </w:t>
      </w:r>
    </w:p>
    <w:p w14:paraId="75620789">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电   话：</w:t>
      </w:r>
      <w:r>
        <w:rPr>
          <w:rFonts w:hint="eastAsia" w:ascii="宋体" w:hAnsi="宋体" w:cs="宋体"/>
          <w:color w:val="auto"/>
          <w:kern w:val="0"/>
          <w:szCs w:val="21"/>
          <w:highlight w:val="none"/>
          <w:u w:val="single"/>
        </w:rPr>
        <w:t>                      </w:t>
      </w:r>
    </w:p>
    <w:p w14:paraId="1A5EC78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传   真：</w:t>
      </w:r>
      <w:r>
        <w:rPr>
          <w:rFonts w:hint="eastAsia" w:ascii="宋体" w:hAnsi="宋体" w:cs="宋体"/>
          <w:color w:val="auto"/>
          <w:kern w:val="0"/>
          <w:szCs w:val="21"/>
          <w:highlight w:val="none"/>
          <w:u w:val="single"/>
        </w:rPr>
        <w:t>                      </w:t>
      </w:r>
    </w:p>
    <w:p w14:paraId="01251568">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开户银行：</w:t>
      </w:r>
    </w:p>
    <w:p w14:paraId="6152977E">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银行账号：</w:t>
      </w:r>
    </w:p>
    <w:p w14:paraId="1393F0D1">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投标人名称：</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（加盖电子公章）</w:t>
      </w:r>
    </w:p>
    <w:p w14:paraId="687882EA">
      <w:pPr>
        <w:widowControl/>
        <w:shd w:val="clear" w:color="auto" w:fill="FFFFFF"/>
        <w:spacing w:line="400" w:lineRule="exact"/>
        <w:ind w:firstLine="420"/>
        <w:rPr>
          <w:rFonts w:hint="eastAsia" w:ascii="宋体" w:hAnsi="宋体" w:cs="宋体"/>
          <w:color w:val="auto"/>
          <w:kern w:val="0"/>
          <w:szCs w:val="21"/>
          <w:highlight w:val="none"/>
        </w:rPr>
      </w:pPr>
      <w:r>
        <w:rPr>
          <w:rFonts w:hint="eastAsia" w:ascii="宋体" w:hAnsi="宋体" w:cs="宋体"/>
          <w:color w:val="auto"/>
          <w:kern w:val="0"/>
          <w:szCs w:val="21"/>
          <w:highlight w:val="none"/>
        </w:rPr>
        <w:t>日    期：</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年</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月</w:t>
      </w:r>
      <w:r>
        <w:rPr>
          <w:rFonts w:hint="eastAsia" w:ascii="宋体" w:hAnsi="宋体" w:cs="宋体"/>
          <w:color w:val="auto"/>
          <w:kern w:val="0"/>
          <w:szCs w:val="21"/>
          <w:highlight w:val="none"/>
          <w:u w:val="single"/>
        </w:rPr>
        <w:t>    </w:t>
      </w:r>
      <w:r>
        <w:rPr>
          <w:rFonts w:hint="eastAsia" w:ascii="宋体" w:hAnsi="宋体" w:cs="宋体"/>
          <w:color w:val="auto"/>
          <w:kern w:val="0"/>
          <w:szCs w:val="21"/>
          <w:highlight w:val="none"/>
        </w:rPr>
        <w:t>日</w:t>
      </w:r>
    </w:p>
    <w:p w14:paraId="08C47268">
      <w:pPr>
        <w:widowControl/>
        <w:shd w:val="clear" w:color="auto" w:fill="FFFFFF"/>
        <w:spacing w:line="360" w:lineRule="auto"/>
        <w:rPr>
          <w:rFonts w:hint="eastAsia" w:ascii="宋体" w:hAnsi="宋体" w:cs="宋体"/>
          <w:color w:val="auto"/>
          <w:kern w:val="0"/>
          <w:szCs w:val="21"/>
          <w:highlight w:val="none"/>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附件二、法人授权委托书格式</w:t>
      </w:r>
    </w:p>
    <w:p w14:paraId="62CF9FE0">
      <w:pPr>
        <w:widowControl/>
        <w:shd w:val="clear" w:color="auto" w:fill="FFFFFF"/>
        <w:spacing w:line="360" w:lineRule="auto"/>
        <w:ind w:firstLine="720"/>
        <w:jc w:val="center"/>
        <w:rPr>
          <w:rFonts w:hint="eastAsia" w:ascii="宋体" w:hAnsi="宋体" w:cs="宋体"/>
          <w:color w:val="auto"/>
          <w:kern w:val="0"/>
          <w:sz w:val="36"/>
          <w:szCs w:val="36"/>
          <w:highlight w:val="none"/>
        </w:rPr>
      </w:pPr>
    </w:p>
    <w:p w14:paraId="2D6890A9">
      <w:pPr>
        <w:widowControl/>
        <w:shd w:val="clear" w:color="auto" w:fill="FFFFFF"/>
        <w:spacing w:line="360" w:lineRule="auto"/>
        <w:ind w:firstLine="7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法人授权书</w:t>
      </w:r>
    </w:p>
    <w:p w14:paraId="120CEE31">
      <w:pPr>
        <w:widowControl/>
        <w:shd w:val="clear" w:color="auto" w:fill="FFFFFF"/>
        <w:spacing w:line="360" w:lineRule="auto"/>
        <w:jc w:val="left"/>
        <w:rPr>
          <w:rFonts w:hint="eastAsia" w:ascii="宋体" w:hAnsi="宋体" w:cs="宋体"/>
          <w:color w:val="auto"/>
          <w:kern w:val="0"/>
          <w:szCs w:val="21"/>
          <w:highlight w:val="none"/>
        </w:rPr>
      </w:pPr>
    </w:p>
    <w:p w14:paraId="0C51E80F">
      <w:pPr>
        <w:spacing w:line="480" w:lineRule="exact"/>
        <w:ind w:firstLine="480"/>
        <w:rPr>
          <w:rFonts w:ascii="宋体" w:hAnsi="宋体"/>
          <w:color w:val="auto"/>
          <w:szCs w:val="21"/>
          <w:highlight w:val="none"/>
        </w:rPr>
      </w:pPr>
      <w:r>
        <w:rPr>
          <w:rFonts w:hint="eastAsia" w:ascii="宋体" w:hAnsi="宋体"/>
          <w:color w:val="auto"/>
          <w:szCs w:val="21"/>
          <w:highlight w:val="none"/>
        </w:rPr>
        <w:t>本授权书声明：</w:t>
      </w:r>
      <w:r>
        <w:rPr>
          <w:rFonts w:hint="eastAsia" w:ascii="宋体" w:hAnsi="宋体"/>
          <w:color w:val="auto"/>
          <w:szCs w:val="21"/>
          <w:highlight w:val="none"/>
          <w:u w:val="single"/>
        </w:rPr>
        <w:t xml:space="preserve">            </w:t>
      </w:r>
      <w:r>
        <w:rPr>
          <w:rFonts w:hint="eastAsia" w:ascii="宋体" w:hAnsi="宋体"/>
          <w:color w:val="auto"/>
          <w:szCs w:val="21"/>
          <w:highlight w:val="none"/>
        </w:rPr>
        <w:t>（投标人名称）授权</w:t>
      </w:r>
      <w:r>
        <w:rPr>
          <w:rFonts w:hint="eastAsia" w:ascii="宋体" w:hAnsi="宋体"/>
          <w:color w:val="auto"/>
          <w:szCs w:val="21"/>
          <w:highlight w:val="none"/>
          <w:u w:val="single"/>
        </w:rPr>
        <w:t xml:space="preserve">                 </w:t>
      </w:r>
      <w:r>
        <w:rPr>
          <w:rFonts w:hint="eastAsia" w:ascii="宋体" w:hAnsi="宋体"/>
          <w:color w:val="auto"/>
          <w:szCs w:val="21"/>
          <w:highlight w:val="none"/>
        </w:rPr>
        <w:t>（被授权人姓名）作为我方参加编号为</w:t>
      </w:r>
      <w:r>
        <w:rPr>
          <w:rFonts w:hint="eastAsia" w:ascii="宋体" w:hAnsi="宋体"/>
          <w:color w:val="auto"/>
          <w:szCs w:val="21"/>
          <w:highlight w:val="none"/>
          <w:u w:val="single"/>
        </w:rPr>
        <w:t xml:space="preserve">                             </w:t>
      </w:r>
      <w:r>
        <w:rPr>
          <w:rFonts w:hint="eastAsia" w:ascii="宋体" w:hAnsi="宋体"/>
          <w:color w:val="auto"/>
          <w:szCs w:val="21"/>
          <w:highlight w:val="none"/>
        </w:rPr>
        <w:t>项目采购活动的合法代理人，以本单位名义全权处理一切与该项目采购有关的事务。</w:t>
      </w:r>
    </w:p>
    <w:p w14:paraId="7726CBD5">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本授权书自______年____月____日起生效，特此声明。</w:t>
      </w:r>
    </w:p>
    <w:p w14:paraId="793D4DA4">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被授权人身份证号码：</w:t>
      </w:r>
    </w:p>
    <w:p w14:paraId="52FDCFF8">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被授权人联系电话：           （手机）</w:t>
      </w:r>
    </w:p>
    <w:p w14:paraId="49BD1464">
      <w:pPr>
        <w:spacing w:line="480" w:lineRule="exact"/>
        <w:ind w:firstLine="480"/>
        <w:rPr>
          <w:rFonts w:hint="eastAsia" w:ascii="宋体" w:hAnsi="宋体"/>
          <w:color w:val="auto"/>
          <w:szCs w:val="21"/>
          <w:highlight w:val="none"/>
          <w:u w:val="single"/>
        </w:rPr>
      </w:pPr>
      <w:r>
        <w:rPr>
          <w:rFonts w:hint="eastAsia" w:ascii="宋体" w:hAnsi="宋体"/>
          <w:color w:val="auto"/>
          <w:szCs w:val="21"/>
          <w:highlight w:val="none"/>
        </w:rPr>
        <w:t>投标人名称：              （加盖电子公章）</w:t>
      </w:r>
    </w:p>
    <w:p w14:paraId="020FFBD6">
      <w:pPr>
        <w:spacing w:line="480" w:lineRule="exact"/>
        <w:ind w:firstLine="480"/>
        <w:rPr>
          <w:rFonts w:ascii="宋体" w:hAnsi="宋体"/>
          <w:color w:val="auto"/>
          <w:szCs w:val="21"/>
          <w:highlight w:val="none"/>
          <w:u w:val="single"/>
        </w:rPr>
      </w:pPr>
      <w:r>
        <w:rPr>
          <w:rFonts w:hint="eastAsia" w:ascii="宋体" w:hAnsi="宋体"/>
          <w:color w:val="auto"/>
          <w:szCs w:val="21"/>
          <w:highlight w:val="none"/>
        </w:rPr>
        <w:t>单位地址：</w:t>
      </w:r>
    </w:p>
    <w:p w14:paraId="0AC95680">
      <w:pPr>
        <w:spacing w:line="480" w:lineRule="exact"/>
        <w:ind w:firstLine="480"/>
        <w:rPr>
          <w:rFonts w:hint="eastAsia" w:ascii="宋体" w:hAnsi="宋体"/>
          <w:color w:val="auto"/>
          <w:szCs w:val="21"/>
          <w:highlight w:val="none"/>
        </w:rPr>
      </w:pPr>
      <w:r>
        <w:rPr>
          <w:rFonts w:hint="eastAsia" w:ascii="宋体" w:hAnsi="宋体"/>
          <w:color w:val="auto"/>
          <w:szCs w:val="21"/>
          <w:highlight w:val="none"/>
        </w:rPr>
        <w:t>日    期：</w:t>
      </w:r>
    </w:p>
    <w:p w14:paraId="74D48932">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13DABEE6">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F553970">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5E112D35">
      <w:pPr>
        <w:autoSpaceDE w:val="0"/>
        <w:autoSpaceDN w:val="0"/>
        <w:adjustRightInd w:val="0"/>
        <w:spacing w:line="360" w:lineRule="auto"/>
        <w:rPr>
          <w:rFonts w:hint="eastAsia" w:ascii="宋体" w:hAnsi="宋体" w:cs="宋体"/>
          <w:color w:val="auto"/>
          <w:highlight w:val="none"/>
          <w:lang w:val="zh-CN"/>
        </w:rPr>
      </w:pPr>
      <w:r>
        <w:rPr>
          <w:rFonts w:hint="eastAsia" w:ascii="宋体" w:hAnsi="宋体" w:cs="宋体"/>
          <w:b/>
          <w:bCs/>
          <w:color w:val="auto"/>
          <w:kern w:val="0"/>
          <w:szCs w:val="21"/>
          <w:highlight w:val="none"/>
        </w:rPr>
        <w:br w:type="page"/>
      </w:r>
      <w:bookmarkStart w:id="32" w:name="_Toc26810"/>
      <w:r>
        <w:rPr>
          <w:rFonts w:hint="eastAsia" w:ascii="宋体" w:hAnsi="宋体" w:cs="宋体"/>
          <w:b/>
          <w:bCs/>
          <w:color w:val="auto"/>
          <w:kern w:val="0"/>
          <w:szCs w:val="21"/>
          <w:highlight w:val="none"/>
          <w:lang w:val="zh-CN"/>
        </w:rPr>
        <w:t>附件三、</w:t>
      </w:r>
      <w:bookmarkEnd w:id="32"/>
      <w:r>
        <w:rPr>
          <w:rFonts w:hint="eastAsia" w:ascii="宋体" w:hAnsi="宋体" w:cs="宋体"/>
          <w:b/>
          <w:bCs/>
          <w:color w:val="auto"/>
          <w:kern w:val="0"/>
          <w:szCs w:val="21"/>
          <w:highlight w:val="none"/>
          <w:lang w:val="zh-CN"/>
        </w:rPr>
        <w:t>开标一览表</w:t>
      </w:r>
    </w:p>
    <w:p w14:paraId="0153E723">
      <w:pPr>
        <w:autoSpaceDE w:val="0"/>
        <w:autoSpaceDN w:val="0"/>
        <w:adjustRightInd w:val="0"/>
        <w:rPr>
          <w:rFonts w:hint="eastAsia" w:ascii="宋体" w:hAnsi="宋体" w:cs="宋体"/>
          <w:b/>
          <w:bCs/>
          <w:color w:val="auto"/>
          <w:highlight w:val="none"/>
          <w:lang w:val="zh-CN"/>
        </w:rPr>
      </w:pPr>
    </w:p>
    <w:p w14:paraId="3A67B587">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开标一览表</w:t>
      </w:r>
    </w:p>
    <w:p w14:paraId="6CB6BC22">
      <w:pPr>
        <w:widowControl/>
        <w:shd w:val="clear" w:color="auto" w:fill="FFFFFF"/>
        <w:spacing w:line="360" w:lineRule="auto"/>
        <w:jc w:val="center"/>
        <w:rPr>
          <w:rFonts w:hint="eastAsia" w:ascii="宋体" w:hAnsi="宋体" w:cs="宋体"/>
          <w:color w:val="auto"/>
          <w:kern w:val="0"/>
          <w:sz w:val="24"/>
          <w:highlight w:val="none"/>
        </w:rPr>
      </w:pPr>
    </w:p>
    <w:p w14:paraId="1A9D0572">
      <w:pPr>
        <w:pStyle w:val="13"/>
        <w:spacing w:line="440" w:lineRule="exact"/>
        <w:ind w:firstLine="474" w:firstLineChars="225"/>
        <w:rPr>
          <w:rFonts w:hint="eastAsia" w:ascii="宋体" w:hAnsi="宋体" w:cs="宋体"/>
          <w:color w:val="auto"/>
          <w:sz w:val="21"/>
          <w:szCs w:val="21"/>
          <w:highlight w:val="none"/>
        </w:rPr>
      </w:pPr>
      <w:r>
        <w:rPr>
          <w:rFonts w:hint="eastAsia" w:ascii="宋体" w:hAnsi="宋体" w:cs="宋体"/>
          <w:color w:val="auto"/>
          <w:sz w:val="21"/>
          <w:szCs w:val="21"/>
          <w:highlight w:val="none"/>
        </w:rPr>
        <w:t xml:space="preserve">项目名称：                                   项目编号 ：           </w:t>
      </w:r>
    </w:p>
    <w:tbl>
      <w:tblPr>
        <w:tblStyle w:val="46"/>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4"/>
        <w:gridCol w:w="2451"/>
        <w:gridCol w:w="4665"/>
      </w:tblGrid>
      <w:tr w14:paraId="478C8A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10" w:hRule="atLeast"/>
        </w:trPr>
        <w:tc>
          <w:tcPr>
            <w:tcW w:w="1524" w:type="dxa"/>
            <w:noWrap w:val="0"/>
            <w:vAlign w:val="center"/>
          </w:tcPr>
          <w:p w14:paraId="63F54BB9">
            <w:pPr>
              <w:jc w:val="center"/>
              <w:textAlignment w:val="baseline"/>
              <w:rPr>
                <w:color w:val="auto"/>
                <w:highlight w:val="none"/>
              </w:rPr>
            </w:pPr>
            <w:r>
              <w:rPr>
                <w:rFonts w:hint="eastAsia"/>
                <w:color w:val="auto"/>
                <w:highlight w:val="none"/>
              </w:rPr>
              <w:t>投标报价</w:t>
            </w:r>
          </w:p>
        </w:tc>
        <w:tc>
          <w:tcPr>
            <w:tcW w:w="2451" w:type="dxa"/>
            <w:noWrap w:val="0"/>
            <w:vAlign w:val="center"/>
          </w:tcPr>
          <w:p w14:paraId="64EB0DFD">
            <w:pPr>
              <w:pStyle w:val="13"/>
              <w:ind w:firstLine="472" w:firstLineChars="225"/>
              <w:rPr>
                <w:rFonts w:hint="default" w:ascii="宋体" w:hAnsi="宋体" w:eastAsia="宋体" w:cs="宋体"/>
                <w:b w:val="0"/>
                <w:bCs/>
                <w:color w:val="auto"/>
                <w:sz w:val="21"/>
                <w:szCs w:val="21"/>
                <w:highlight w:val="none"/>
                <w:lang w:val="en-US" w:eastAsia="zh-CN"/>
              </w:rPr>
            </w:pPr>
            <w:r>
              <w:rPr>
                <w:rFonts w:hint="eastAsia" w:ascii="宋体" w:hAnsi="宋体" w:cs="宋体"/>
                <w:b w:val="0"/>
                <w:bCs/>
                <w:color w:val="auto"/>
                <w:sz w:val="21"/>
                <w:szCs w:val="21"/>
                <w:highlight w:val="none"/>
                <w:lang w:val="en-US" w:eastAsia="zh-CN"/>
              </w:rPr>
              <w:t>详见苏采云系统</w:t>
            </w:r>
          </w:p>
        </w:tc>
        <w:tc>
          <w:tcPr>
            <w:tcW w:w="4665" w:type="dxa"/>
            <w:noWrap w:val="0"/>
            <w:vAlign w:val="center"/>
          </w:tcPr>
          <w:p w14:paraId="4FCE4F9A">
            <w:pPr>
              <w:spacing w:line="440" w:lineRule="exact"/>
              <w:textAlignment w:val="baseline"/>
              <w:rPr>
                <w:rFonts w:hint="default" w:ascii="宋体" w:hAnsi="宋体" w:eastAsia="宋体" w:cs="宋体"/>
                <w:color w:val="auto"/>
                <w:szCs w:val="21"/>
                <w:highlight w:val="none"/>
                <w:lang w:val="en-US" w:eastAsia="zh-CN"/>
              </w:rPr>
            </w:pPr>
            <w:r>
              <w:rPr>
                <w:rFonts w:hint="eastAsia" w:ascii="宋体" w:hAnsi="宋体" w:cs="宋体"/>
                <w:b/>
                <w:bCs/>
                <w:color w:val="auto"/>
                <w:szCs w:val="21"/>
                <w:highlight w:val="none"/>
              </w:rPr>
              <w:t>备注：</w:t>
            </w:r>
            <w:r>
              <w:rPr>
                <w:rFonts w:hint="eastAsia" w:ascii="宋体" w:hAnsi="宋体" w:cs="宋体"/>
                <w:b/>
                <w:bCs/>
                <w:color w:val="auto"/>
                <w:szCs w:val="21"/>
                <w:highlight w:val="none"/>
                <w:lang w:val="en-US" w:eastAsia="zh-CN"/>
              </w:rPr>
              <w:t>苏采云系统中填报的价格为2年总价</w:t>
            </w:r>
          </w:p>
        </w:tc>
      </w:tr>
    </w:tbl>
    <w:p w14:paraId="1F477DA9">
      <w:pPr>
        <w:pStyle w:val="13"/>
        <w:spacing w:line="440" w:lineRule="exact"/>
        <w:ind w:firstLine="474" w:firstLineChars="225"/>
        <w:rPr>
          <w:rFonts w:hint="eastAsia" w:ascii="宋体" w:hAnsi="宋体" w:cs="宋体"/>
          <w:color w:val="auto"/>
          <w:sz w:val="21"/>
          <w:szCs w:val="21"/>
          <w:highlight w:val="none"/>
        </w:rPr>
      </w:pPr>
    </w:p>
    <w:p w14:paraId="42F110F5">
      <w:pPr>
        <w:widowControl/>
        <w:shd w:val="clear" w:color="auto" w:fill="FFFFFF"/>
        <w:spacing w:line="360" w:lineRule="auto"/>
        <w:jc w:val="left"/>
        <w:rPr>
          <w:rFonts w:hint="eastAsia" w:ascii="宋体" w:hAnsi="宋体" w:cs="宋体"/>
          <w:b/>
          <w:bCs/>
          <w:color w:val="auto"/>
          <w:kern w:val="0"/>
          <w:szCs w:val="21"/>
          <w:highlight w:val="none"/>
          <w:lang w:val="zh-CN"/>
        </w:rPr>
      </w:pPr>
      <w:bookmarkStart w:id="33" w:name="_Toc12264"/>
      <w:r>
        <w:rPr>
          <w:rFonts w:hint="eastAsia" w:ascii="宋体" w:hAnsi="宋体" w:cs="宋体"/>
          <w:b/>
          <w:bCs/>
          <w:color w:val="auto"/>
          <w:kern w:val="0"/>
          <w:szCs w:val="21"/>
          <w:highlight w:val="none"/>
          <w:lang w:val="zh-CN"/>
        </w:rPr>
        <w:br w:type="page"/>
      </w:r>
    </w:p>
    <w:p w14:paraId="72603DF1">
      <w:pPr>
        <w:widowControl/>
        <w:shd w:val="clear" w:color="auto" w:fill="FFFFFF"/>
        <w:spacing w:line="360" w:lineRule="auto"/>
        <w:jc w:val="left"/>
        <w:rPr>
          <w:rFonts w:hint="eastAsia" w:ascii="宋体" w:hAnsi="宋体" w:cs="宋体"/>
          <w:b/>
          <w:bCs/>
          <w:color w:val="auto"/>
          <w:kern w:val="0"/>
          <w:szCs w:val="21"/>
          <w:highlight w:val="none"/>
          <w:lang w:val="zh-CN"/>
        </w:rPr>
      </w:pPr>
      <w:r>
        <w:rPr>
          <w:rFonts w:hint="eastAsia" w:ascii="宋体" w:hAnsi="宋体" w:cs="宋体"/>
          <w:b/>
          <w:bCs/>
          <w:color w:val="auto"/>
          <w:kern w:val="0"/>
          <w:szCs w:val="21"/>
          <w:highlight w:val="none"/>
          <w:lang w:val="zh-CN"/>
        </w:rPr>
        <w:t>附件四、分项报价表格式</w:t>
      </w:r>
      <w:bookmarkEnd w:id="33"/>
    </w:p>
    <w:p w14:paraId="2662893C">
      <w:pPr>
        <w:widowControl/>
        <w:adjustRightInd w:val="0"/>
        <w:spacing w:line="240" w:lineRule="atLeast"/>
        <w:jc w:val="left"/>
        <w:rPr>
          <w:rFonts w:hint="eastAsia" w:ascii="宋体" w:hAnsi="宋体" w:cs="宋体"/>
          <w:b/>
          <w:bCs/>
          <w:color w:val="auto"/>
          <w:kern w:val="0"/>
          <w:highlight w:val="none"/>
          <w:lang w:val="zh-CN"/>
        </w:rPr>
      </w:pPr>
    </w:p>
    <w:p w14:paraId="2C30F829">
      <w:pPr>
        <w:widowControl/>
        <w:spacing w:line="360" w:lineRule="auto"/>
        <w:jc w:val="center"/>
        <w:rPr>
          <w:rFonts w:hint="eastAsia" w:ascii="宋体" w:hAnsi="宋体"/>
          <w:b/>
          <w:color w:val="auto"/>
          <w:kern w:val="0"/>
          <w:sz w:val="32"/>
          <w:szCs w:val="32"/>
          <w:highlight w:val="none"/>
        </w:rPr>
      </w:pPr>
      <w:r>
        <w:rPr>
          <w:rFonts w:hint="eastAsia" w:ascii="宋体" w:hAnsi="宋体" w:cs="宋体"/>
          <w:b/>
          <w:color w:val="auto"/>
          <w:kern w:val="0"/>
          <w:sz w:val="36"/>
          <w:szCs w:val="36"/>
          <w:highlight w:val="none"/>
        </w:rPr>
        <w:t>分项报价表</w:t>
      </w:r>
    </w:p>
    <w:tbl>
      <w:tblPr>
        <w:tblStyle w:val="46"/>
        <w:tblW w:w="8631" w:type="dxa"/>
        <w:tblInd w:w="91" w:type="dxa"/>
        <w:tblLayout w:type="autofit"/>
        <w:tblCellMar>
          <w:top w:w="0" w:type="dxa"/>
          <w:left w:w="108" w:type="dxa"/>
          <w:bottom w:w="0" w:type="dxa"/>
          <w:right w:w="108" w:type="dxa"/>
        </w:tblCellMar>
      </w:tblPr>
      <w:tblGrid>
        <w:gridCol w:w="686"/>
        <w:gridCol w:w="1902"/>
        <w:gridCol w:w="1465"/>
        <w:gridCol w:w="822"/>
        <w:gridCol w:w="1878"/>
        <w:gridCol w:w="1878"/>
      </w:tblGrid>
      <w:tr w14:paraId="75DA92FC">
        <w:tblPrEx>
          <w:tblCellMar>
            <w:top w:w="0" w:type="dxa"/>
            <w:left w:w="108" w:type="dxa"/>
            <w:bottom w:w="0" w:type="dxa"/>
            <w:right w:w="108" w:type="dxa"/>
          </w:tblCellMar>
        </w:tblPrEx>
        <w:trPr>
          <w:trHeight w:val="603"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38EE36">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A3E8F">
            <w:pPr>
              <w:widowControl/>
              <w:jc w:val="center"/>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项目</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FD7184">
            <w:pPr>
              <w:widowControl/>
              <w:jc w:val="center"/>
              <w:rPr>
                <w:rFonts w:hint="default" w:ascii="宋体" w:hAnsi="宋体" w:eastAsia="宋体" w:cs="宋体"/>
                <w:b/>
                <w:bCs/>
                <w:color w:val="auto"/>
                <w:sz w:val="21"/>
                <w:szCs w:val="21"/>
                <w:highlight w:val="none"/>
                <w:lang w:val="en-US" w:eastAsia="zh-CN" w:bidi="ar"/>
              </w:rPr>
            </w:pPr>
            <w:r>
              <w:rPr>
                <w:rFonts w:hint="eastAsia" w:ascii="宋体" w:hAnsi="宋体" w:cs="宋体"/>
                <w:b/>
                <w:bCs/>
                <w:color w:val="auto"/>
                <w:sz w:val="21"/>
                <w:szCs w:val="21"/>
                <w:highlight w:val="none"/>
                <w:lang w:val="en-US" w:eastAsia="zh-CN" w:bidi="ar"/>
              </w:rPr>
              <w:t>工作量</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CE7DD77">
            <w:pPr>
              <w:widowControl/>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计量单位</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F7E3D55">
            <w:pPr>
              <w:widowControl/>
              <w:jc w:val="center"/>
              <w:rPr>
                <w:rFonts w:hint="eastAsia" w:ascii="宋体" w:hAnsi="宋体" w:eastAsia="宋体" w:cs="宋体"/>
                <w:b/>
                <w:bCs/>
                <w:color w:val="auto"/>
                <w:sz w:val="21"/>
                <w:szCs w:val="21"/>
                <w:highlight w:val="none"/>
              </w:rPr>
            </w:pPr>
            <w:r>
              <w:rPr>
                <w:rFonts w:hint="eastAsia" w:ascii="宋体" w:hAnsi="宋体" w:cs="宋体"/>
                <w:b/>
                <w:bCs/>
                <w:color w:val="auto"/>
                <w:sz w:val="21"/>
                <w:szCs w:val="21"/>
                <w:highlight w:val="none"/>
                <w:lang w:val="en-US" w:eastAsia="zh-CN" w:bidi="ar"/>
              </w:rPr>
              <w:t>单价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0F4C88">
            <w:pPr>
              <w:widowControl/>
              <w:jc w:val="center"/>
              <w:rPr>
                <w:rFonts w:hint="eastAsia" w:ascii="宋体" w:hAnsi="宋体" w:eastAsia="宋体" w:cs="宋体"/>
                <w:b/>
                <w:bCs/>
                <w:color w:val="auto"/>
                <w:sz w:val="21"/>
                <w:szCs w:val="21"/>
                <w:highlight w:val="none"/>
                <w:lang w:bidi="ar"/>
              </w:rPr>
            </w:pPr>
            <w:r>
              <w:rPr>
                <w:rFonts w:hint="eastAsia" w:ascii="宋体" w:hAnsi="宋体" w:cs="宋体"/>
                <w:b/>
                <w:bCs/>
                <w:color w:val="auto"/>
                <w:sz w:val="21"/>
                <w:szCs w:val="21"/>
                <w:highlight w:val="none"/>
                <w:lang w:val="en-US" w:eastAsia="zh-CN"/>
              </w:rPr>
              <w:t>小计（元/年）</w:t>
            </w:r>
          </w:p>
        </w:tc>
      </w:tr>
      <w:tr w14:paraId="74B54A42">
        <w:tblPrEx>
          <w:tblCellMar>
            <w:top w:w="0" w:type="dxa"/>
            <w:left w:w="108" w:type="dxa"/>
            <w:bottom w:w="0" w:type="dxa"/>
            <w:right w:w="108" w:type="dxa"/>
          </w:tblCellMar>
        </w:tblPrEx>
        <w:trPr>
          <w:trHeight w:val="495"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722A31">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1</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733B48">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基本绿化养护</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ED0498">
            <w:pPr>
              <w:keepNext w:val="0"/>
              <w:keepLines w:val="0"/>
              <w:widowControl/>
              <w:suppressLineNumbers w:val="0"/>
              <w:jc w:val="center"/>
              <w:textAlignment w:val="auto"/>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744395.94</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FD5DA8">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8824F6">
            <w:pPr>
              <w:widowControl/>
              <w:jc w:val="center"/>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元/</w:t>
            </w:r>
            <w:r>
              <w:rPr>
                <w:rFonts w:hint="eastAsia" w:ascii="宋体" w:hAnsi="宋体" w:eastAsia="宋体" w:cs="宋体"/>
                <w:color w:val="auto"/>
                <w:sz w:val="21"/>
                <w:szCs w:val="21"/>
                <w:highlight w:val="none"/>
                <w:lang w:bidi="ar"/>
              </w:rPr>
              <w:t>m²</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A9C058">
            <w:pPr>
              <w:widowControl/>
              <w:jc w:val="center"/>
              <w:rPr>
                <w:rFonts w:hint="eastAsia" w:ascii="宋体" w:hAnsi="宋体" w:cs="宋体"/>
                <w:color w:val="auto"/>
                <w:sz w:val="21"/>
                <w:szCs w:val="21"/>
                <w:highlight w:val="none"/>
                <w:lang w:val="en-US" w:eastAsia="zh-CN"/>
              </w:rPr>
            </w:pPr>
          </w:p>
        </w:tc>
      </w:tr>
      <w:tr w14:paraId="22C92ABC">
        <w:tblPrEx>
          <w:tblCellMar>
            <w:top w:w="0" w:type="dxa"/>
            <w:left w:w="108" w:type="dxa"/>
            <w:bottom w:w="0" w:type="dxa"/>
            <w:right w:w="108" w:type="dxa"/>
          </w:tblCellMar>
        </w:tblPrEx>
        <w:trPr>
          <w:trHeight w:val="495" w:hRule="atLeast"/>
        </w:trPr>
        <w:tc>
          <w:tcPr>
            <w:tcW w:w="6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5BC9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bidi="ar"/>
              </w:rPr>
              <w:t>2</w:t>
            </w:r>
          </w:p>
        </w:tc>
        <w:tc>
          <w:tcPr>
            <w:tcW w:w="190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FE0BA6">
            <w:pPr>
              <w:widowControl/>
              <w:jc w:val="center"/>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行道树</w:t>
            </w:r>
          </w:p>
        </w:tc>
        <w:tc>
          <w:tcPr>
            <w:tcW w:w="14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26A5D">
            <w:pPr>
              <w:keepNext w:val="0"/>
              <w:keepLines w:val="0"/>
              <w:widowControl/>
              <w:suppressLineNumbers w:val="0"/>
              <w:jc w:val="center"/>
              <w:textAlignment w:val="auto"/>
              <w:rPr>
                <w:rFonts w:hint="default" w:ascii="宋体" w:hAnsi="宋体" w:eastAsia="宋体" w:cs="宋体"/>
                <w:b w:val="0"/>
                <w:bCs w:val="0"/>
                <w:i w:val="0"/>
                <w:iCs w:val="0"/>
                <w:color w:val="auto"/>
                <w:kern w:val="2"/>
                <w:sz w:val="21"/>
                <w:szCs w:val="21"/>
                <w:highlight w:val="none"/>
                <w:u w:val="none"/>
                <w:lang w:val="en-US" w:eastAsia="zh-CN" w:bidi="ar"/>
              </w:rPr>
            </w:pPr>
            <w:r>
              <w:rPr>
                <w:rFonts w:hint="eastAsia" w:ascii="宋体" w:hAnsi="宋体" w:cs="宋体"/>
                <w:b w:val="0"/>
                <w:bCs w:val="0"/>
                <w:i w:val="0"/>
                <w:iCs w:val="0"/>
                <w:color w:val="auto"/>
                <w:kern w:val="2"/>
                <w:sz w:val="21"/>
                <w:szCs w:val="21"/>
                <w:highlight w:val="none"/>
                <w:u w:val="none"/>
                <w:lang w:val="en-US" w:eastAsia="zh-CN" w:bidi="ar"/>
              </w:rPr>
              <w:t>12903</w:t>
            </w:r>
          </w:p>
        </w:tc>
        <w:tc>
          <w:tcPr>
            <w:tcW w:w="8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C1CD3">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株</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080FB5">
            <w:pPr>
              <w:widowControl/>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元/株</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0AD860">
            <w:pPr>
              <w:widowControl/>
              <w:jc w:val="center"/>
              <w:rPr>
                <w:rFonts w:hint="eastAsia" w:ascii="宋体" w:hAnsi="宋体" w:cs="宋体"/>
                <w:color w:val="auto"/>
                <w:sz w:val="21"/>
                <w:szCs w:val="21"/>
                <w:highlight w:val="none"/>
                <w:lang w:val="en-US" w:eastAsia="zh-CN"/>
              </w:rPr>
            </w:pPr>
          </w:p>
        </w:tc>
      </w:tr>
      <w:tr w14:paraId="70D47022">
        <w:tblPrEx>
          <w:tblCellMar>
            <w:top w:w="0" w:type="dxa"/>
            <w:left w:w="108" w:type="dxa"/>
            <w:bottom w:w="0" w:type="dxa"/>
            <w:right w:w="108" w:type="dxa"/>
          </w:tblCellMar>
        </w:tblPrEx>
        <w:trPr>
          <w:trHeight w:val="495" w:hRule="atLeast"/>
        </w:trPr>
        <w:tc>
          <w:tcPr>
            <w:tcW w:w="6753"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73F12B">
            <w:pPr>
              <w:widowControl/>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合计（元/年）序号1+序号2之和（一年总价）</w:t>
            </w:r>
          </w:p>
        </w:tc>
        <w:tc>
          <w:tcPr>
            <w:tcW w:w="1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20D3CA">
            <w:pPr>
              <w:widowControl/>
              <w:jc w:val="center"/>
              <w:rPr>
                <w:rFonts w:hint="eastAsia" w:ascii="宋体" w:hAnsi="宋体" w:cs="宋体"/>
                <w:color w:val="auto"/>
                <w:sz w:val="21"/>
                <w:szCs w:val="21"/>
                <w:highlight w:val="none"/>
                <w:lang w:val="en-US" w:eastAsia="zh-CN"/>
              </w:rPr>
            </w:pPr>
          </w:p>
        </w:tc>
      </w:tr>
      <w:tr w14:paraId="0FFE6A0D">
        <w:tblPrEx>
          <w:tblCellMar>
            <w:top w:w="0" w:type="dxa"/>
            <w:left w:w="108" w:type="dxa"/>
            <w:bottom w:w="0" w:type="dxa"/>
            <w:right w:w="108" w:type="dxa"/>
          </w:tblCellMar>
        </w:tblPrEx>
        <w:trPr>
          <w:trHeight w:val="495" w:hRule="atLeast"/>
        </w:trPr>
        <w:tc>
          <w:tcPr>
            <w:tcW w:w="8631"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14:paraId="3AABC258">
            <w:pPr>
              <w:widowControl/>
              <w:jc w:val="both"/>
              <w:rPr>
                <w:rFonts w:hint="eastAsia" w:ascii="宋体" w:hAnsi="宋体" w:cs="宋体"/>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总价（元/二年）：                               </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 (苏采云开标一览表按此数值填写)</w:t>
            </w:r>
          </w:p>
        </w:tc>
      </w:tr>
    </w:tbl>
    <w:p w14:paraId="0B1BAADE">
      <w:pPr>
        <w:widowControl/>
        <w:shd w:val="clear" w:color="auto" w:fill="FFFFFF"/>
        <w:spacing w:line="360" w:lineRule="auto"/>
        <w:jc w:val="center"/>
        <w:rPr>
          <w:rFonts w:hint="default" w:ascii="宋体" w:hAnsi="宋体" w:eastAsia="宋体" w:cs="宋体"/>
          <w:color w:val="auto"/>
          <w:kern w:val="0"/>
          <w:szCs w:val="21"/>
          <w:highlight w:val="none"/>
          <w:lang w:val="en-US" w:eastAsia="zh-CN"/>
        </w:rPr>
      </w:pPr>
    </w:p>
    <w:p w14:paraId="29C5431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40FD263C">
      <w:pPr>
        <w:widowControl/>
        <w:shd w:val="clear" w:color="auto" w:fill="FFFFFF"/>
        <w:spacing w:line="360" w:lineRule="auto"/>
        <w:jc w:val="left"/>
        <w:rPr>
          <w:rFonts w:hint="eastAsia" w:ascii="宋体" w:hAnsi="宋体" w:cs="宋体"/>
          <w:color w:val="auto"/>
          <w:kern w:val="0"/>
          <w:szCs w:val="21"/>
          <w:highlight w:val="none"/>
        </w:rPr>
      </w:pPr>
    </w:p>
    <w:p w14:paraId="78BF2B9C">
      <w:pPr>
        <w:widowControl/>
        <w:numPr>
          <w:ilvl w:val="0"/>
          <w:numId w:val="7"/>
        </w:numPr>
        <w:shd w:val="clear" w:color="auto" w:fill="FFFFFF"/>
        <w:spacing w:line="360" w:lineRule="auto"/>
        <w:jc w:val="left"/>
        <w:rPr>
          <w:rFonts w:hint="eastAsia" w:ascii="宋体" w:hAnsi="宋体" w:cs="宋体"/>
          <w:b/>
          <w:bCs/>
          <w:kern w:val="0"/>
          <w:szCs w:val="21"/>
          <w:highlight w:val="none"/>
          <w:u w:val="single"/>
          <w:lang w:val="en-US" w:eastAsia="zh-CN"/>
        </w:rPr>
      </w:pPr>
      <w:r>
        <w:rPr>
          <w:rFonts w:hint="eastAsia" w:ascii="宋体" w:hAnsi="宋体" w:cs="宋体"/>
          <w:b/>
          <w:bCs/>
          <w:kern w:val="0"/>
          <w:szCs w:val="21"/>
          <w:highlight w:val="none"/>
          <w:u w:val="single"/>
          <w:lang w:val="en-US" w:eastAsia="zh-CN"/>
        </w:rPr>
        <w:t>单价不得超过招标文件规定的单项限价，否则作无效标处理。</w:t>
      </w:r>
    </w:p>
    <w:p w14:paraId="795F77BB">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kern w:val="0"/>
          <w:szCs w:val="21"/>
          <w:highlight w:val="none"/>
          <w:u w:val="single"/>
          <w:lang w:val="en-US" w:eastAsia="zh-CN"/>
        </w:rPr>
        <w:t>2、项目、工作量、计量单位不得随意更改，否则作无效标处理。</w:t>
      </w:r>
      <w:r>
        <w:rPr>
          <w:rFonts w:hint="eastAsia" w:ascii="宋体" w:hAnsi="宋体" w:cs="宋体"/>
          <w:color w:val="auto"/>
          <w:kern w:val="0"/>
          <w:szCs w:val="21"/>
          <w:highlight w:val="none"/>
        </w:rPr>
        <w:br w:type="page"/>
      </w:r>
    </w:p>
    <w:p w14:paraId="69ACB07A">
      <w:pPr>
        <w:widowControl/>
        <w:jc w:val="left"/>
        <w:rPr>
          <w:rFonts w:hint="eastAsia" w:ascii="宋体" w:hAnsi="宋体" w:cs="宋体"/>
          <w:color w:val="auto"/>
          <w:kern w:val="0"/>
          <w:szCs w:val="21"/>
          <w:highlight w:val="none"/>
        </w:rPr>
      </w:pPr>
    </w:p>
    <w:p w14:paraId="2A01247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附件五、</w:t>
      </w:r>
      <w:r>
        <w:rPr>
          <w:rFonts w:hint="eastAsia" w:ascii="宋体" w:hAnsi="宋体" w:cs="宋体"/>
          <w:b/>
          <w:bCs/>
          <w:color w:val="auto"/>
          <w:kern w:val="0"/>
          <w:szCs w:val="21"/>
          <w:highlight w:val="none"/>
          <w:lang w:eastAsia="zh-CN"/>
        </w:rPr>
        <w:t>采购需求偏离表</w:t>
      </w:r>
      <w:r>
        <w:rPr>
          <w:rFonts w:hint="eastAsia" w:ascii="宋体" w:hAnsi="宋体" w:cs="宋体"/>
          <w:b/>
          <w:bCs/>
          <w:color w:val="auto"/>
          <w:kern w:val="0"/>
          <w:szCs w:val="21"/>
          <w:highlight w:val="none"/>
        </w:rPr>
        <w:t>格式</w:t>
      </w:r>
    </w:p>
    <w:p w14:paraId="638F5293">
      <w:pPr>
        <w:widowControl/>
        <w:shd w:val="clear" w:color="auto" w:fill="FFFFFF"/>
        <w:spacing w:line="360" w:lineRule="auto"/>
        <w:ind w:left="435"/>
        <w:jc w:val="left"/>
        <w:rPr>
          <w:rFonts w:hint="eastAsia" w:ascii="宋体" w:hAnsi="宋体" w:cs="宋体"/>
          <w:color w:val="auto"/>
          <w:kern w:val="0"/>
          <w:szCs w:val="21"/>
          <w:highlight w:val="none"/>
        </w:rPr>
      </w:pPr>
    </w:p>
    <w:p w14:paraId="47152A9A">
      <w:pPr>
        <w:widowControl/>
        <w:shd w:val="clear" w:color="auto" w:fill="FFFFFF"/>
        <w:spacing w:line="360" w:lineRule="auto"/>
        <w:ind w:left="420"/>
        <w:jc w:val="center"/>
        <w:rPr>
          <w:rFonts w:hint="eastAsia" w:ascii="宋体" w:hAnsi="宋体" w:eastAsia="宋体" w:cs="宋体"/>
          <w:b/>
          <w:color w:val="auto"/>
          <w:kern w:val="0"/>
          <w:szCs w:val="21"/>
          <w:highlight w:val="none"/>
          <w:lang w:eastAsia="zh-CN"/>
        </w:rPr>
      </w:pPr>
      <w:r>
        <w:rPr>
          <w:rFonts w:hint="eastAsia" w:ascii="宋体" w:hAnsi="宋体" w:cs="宋体"/>
          <w:b/>
          <w:color w:val="auto"/>
          <w:kern w:val="0"/>
          <w:sz w:val="36"/>
          <w:szCs w:val="36"/>
          <w:highlight w:val="none"/>
          <w:lang w:eastAsia="zh-CN"/>
        </w:rPr>
        <w:t>采购需求偏离表</w:t>
      </w:r>
    </w:p>
    <w:p w14:paraId="56C91C55">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1F6D0DF">
      <w:pPr>
        <w:widowControl/>
        <w:tabs>
          <w:tab w:val="left" w:pos="5397"/>
        </w:tabs>
        <w:spacing w:line="360" w:lineRule="auto"/>
        <w:ind w:firstLine="84" w:firstLineChars="4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27"/>
        <w:gridCol w:w="1077"/>
        <w:gridCol w:w="4006"/>
        <w:gridCol w:w="2430"/>
        <w:gridCol w:w="1414"/>
      </w:tblGrid>
      <w:tr w14:paraId="3CC5D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4" w:hRule="atLeast"/>
          <w:jc w:val="center"/>
        </w:trPr>
        <w:tc>
          <w:tcPr>
            <w:tcW w:w="642" w:type="dxa"/>
            <w:noWrap w:val="0"/>
            <w:tcMar>
              <w:top w:w="0" w:type="dxa"/>
              <w:left w:w="10" w:type="dxa"/>
              <w:bottom w:w="0" w:type="dxa"/>
              <w:right w:w="10" w:type="dxa"/>
            </w:tcMar>
            <w:vAlign w:val="center"/>
          </w:tcPr>
          <w:p w14:paraId="310DDC45">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序号</w:t>
            </w:r>
          </w:p>
        </w:tc>
        <w:tc>
          <w:tcPr>
            <w:tcW w:w="951" w:type="dxa"/>
            <w:noWrap w:val="0"/>
            <w:tcMar>
              <w:top w:w="0" w:type="dxa"/>
              <w:left w:w="10" w:type="dxa"/>
              <w:bottom w:w="0" w:type="dxa"/>
              <w:right w:w="10" w:type="dxa"/>
            </w:tcMar>
            <w:vAlign w:val="center"/>
          </w:tcPr>
          <w:p w14:paraId="73D0DA86">
            <w:pPr>
              <w:pStyle w:val="58"/>
              <w:spacing w:line="360" w:lineRule="auto"/>
              <w:ind w:firstLine="0" w:firstLineChars="0"/>
              <w:jc w:val="center"/>
              <w:rPr>
                <w:rFonts w:hint="eastAsia" w:ascii="宋体" w:hAnsi="宋体" w:cs="宋体"/>
                <w:b/>
                <w:bCs/>
                <w:color w:val="auto"/>
                <w:kern w:val="0"/>
                <w:szCs w:val="21"/>
                <w:highlight w:val="none"/>
              </w:rPr>
            </w:pPr>
            <w:r>
              <w:rPr>
                <w:rFonts w:hint="eastAsia"/>
                <w:b/>
                <w:bCs/>
                <w:color w:val="auto"/>
                <w:highlight w:val="none"/>
              </w:rPr>
              <w:t>产品名称</w:t>
            </w:r>
          </w:p>
        </w:tc>
        <w:tc>
          <w:tcPr>
            <w:tcW w:w="3537" w:type="dxa"/>
            <w:noWrap w:val="0"/>
            <w:tcMar>
              <w:top w:w="0" w:type="dxa"/>
              <w:left w:w="10" w:type="dxa"/>
              <w:bottom w:w="0" w:type="dxa"/>
              <w:right w:w="10" w:type="dxa"/>
            </w:tcMar>
            <w:vAlign w:val="center"/>
          </w:tcPr>
          <w:p w14:paraId="0305949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w:t>
            </w:r>
            <w:r>
              <w:rPr>
                <w:rFonts w:hint="eastAsia" w:ascii="宋体" w:hAnsi="宋体" w:cs="宋体"/>
                <w:b/>
                <w:bCs w:val="0"/>
                <w:color w:val="auto"/>
                <w:kern w:val="0"/>
                <w:szCs w:val="21"/>
                <w:highlight w:val="none"/>
              </w:rPr>
              <w:t>要求</w:t>
            </w:r>
            <w:r>
              <w:rPr>
                <w:rFonts w:hint="eastAsia"/>
                <w:b/>
                <w:bCs w:val="0"/>
                <w:color w:val="auto"/>
                <w:highlight w:val="none"/>
              </w:rPr>
              <w:t>技术参数</w:t>
            </w:r>
          </w:p>
        </w:tc>
        <w:tc>
          <w:tcPr>
            <w:tcW w:w="2145" w:type="dxa"/>
            <w:noWrap w:val="0"/>
            <w:tcMar>
              <w:top w:w="0" w:type="dxa"/>
              <w:left w:w="10" w:type="dxa"/>
              <w:bottom w:w="0" w:type="dxa"/>
              <w:right w:w="10" w:type="dxa"/>
            </w:tcMar>
            <w:vAlign w:val="center"/>
          </w:tcPr>
          <w:p w14:paraId="5D65A9A8">
            <w:pPr>
              <w:widowControl/>
              <w:spacing w:line="360" w:lineRule="auto"/>
              <w:jc w:val="center"/>
              <w:rPr>
                <w:rFonts w:hint="eastAsia" w:ascii="宋体" w:hAnsi="宋体" w:eastAsia="宋体" w:cs="宋体"/>
                <w:b/>
                <w:color w:val="auto"/>
                <w:kern w:val="0"/>
                <w:szCs w:val="21"/>
                <w:highlight w:val="none"/>
                <w:lang w:val="en-US" w:eastAsia="zh-CN"/>
              </w:rPr>
            </w:pPr>
            <w:r>
              <w:rPr>
                <w:rFonts w:hint="eastAsia" w:ascii="宋体" w:hAnsi="宋体" w:cs="宋体"/>
                <w:b/>
                <w:color w:val="auto"/>
                <w:kern w:val="0"/>
                <w:szCs w:val="21"/>
                <w:highlight w:val="none"/>
                <w:lang w:val="en-US" w:eastAsia="zh-CN"/>
              </w:rPr>
              <w:t>技术参数</w:t>
            </w:r>
            <w:r>
              <w:rPr>
                <w:rFonts w:hint="eastAsia" w:ascii="宋体" w:hAnsi="宋体" w:cs="宋体"/>
                <w:b/>
                <w:color w:val="auto"/>
                <w:kern w:val="0"/>
                <w:szCs w:val="21"/>
                <w:highlight w:val="none"/>
              </w:rPr>
              <w:t>响应</w:t>
            </w:r>
            <w:r>
              <w:rPr>
                <w:rFonts w:hint="eastAsia" w:ascii="宋体" w:hAnsi="宋体" w:cs="宋体"/>
                <w:b/>
                <w:color w:val="auto"/>
                <w:kern w:val="0"/>
                <w:szCs w:val="21"/>
                <w:highlight w:val="none"/>
                <w:lang w:val="en-US" w:eastAsia="zh-CN"/>
              </w:rPr>
              <w:t>情况</w:t>
            </w:r>
          </w:p>
        </w:tc>
        <w:tc>
          <w:tcPr>
            <w:tcW w:w="1248" w:type="dxa"/>
            <w:noWrap w:val="0"/>
            <w:tcMar>
              <w:top w:w="0" w:type="dxa"/>
              <w:left w:w="10" w:type="dxa"/>
              <w:bottom w:w="0" w:type="dxa"/>
              <w:right w:w="10" w:type="dxa"/>
            </w:tcMar>
            <w:vAlign w:val="center"/>
          </w:tcPr>
          <w:p w14:paraId="78DB0602">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lang w:val="en-US" w:eastAsia="zh-CN"/>
              </w:rPr>
              <w:t>是否</w:t>
            </w:r>
            <w:r>
              <w:rPr>
                <w:rFonts w:hint="eastAsia" w:ascii="宋体" w:hAnsi="宋体" w:cs="宋体"/>
                <w:b/>
                <w:color w:val="auto"/>
                <w:kern w:val="0"/>
                <w:szCs w:val="21"/>
                <w:highlight w:val="none"/>
              </w:rPr>
              <w:t>偏离</w:t>
            </w:r>
          </w:p>
        </w:tc>
      </w:tr>
      <w:tr w14:paraId="1461A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06BCDF1">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1</w:t>
            </w:r>
          </w:p>
        </w:tc>
        <w:tc>
          <w:tcPr>
            <w:tcW w:w="951" w:type="dxa"/>
            <w:noWrap w:val="0"/>
            <w:tcMar>
              <w:top w:w="0" w:type="dxa"/>
              <w:left w:w="10" w:type="dxa"/>
              <w:bottom w:w="0" w:type="dxa"/>
              <w:right w:w="10" w:type="dxa"/>
            </w:tcMar>
            <w:vAlign w:val="center"/>
          </w:tcPr>
          <w:p w14:paraId="0C04BEB2">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5C823B9">
            <w:pPr>
              <w:pStyle w:val="58"/>
              <w:numPr>
                <w:ilvl w:val="0"/>
                <w:numId w:val="0"/>
              </w:numPr>
              <w:spacing w:line="360" w:lineRule="auto"/>
              <w:ind w:left="-2" w:leftChars="0" w:firstLine="0" w:firstLineChars="0"/>
              <w:jc w:val="left"/>
              <w:rPr>
                <w:rFonts w:hint="default" w:ascii="宋体" w:hAnsi="宋体" w:eastAsia="宋体" w:cs="宋体"/>
                <w:color w:val="auto"/>
                <w:kern w:val="0"/>
                <w:szCs w:val="21"/>
                <w:highlight w:val="none"/>
                <w:lang w:val="en-US" w:eastAsia="zh-CN"/>
              </w:rPr>
            </w:pPr>
          </w:p>
        </w:tc>
        <w:tc>
          <w:tcPr>
            <w:tcW w:w="2145" w:type="dxa"/>
            <w:noWrap w:val="0"/>
            <w:tcMar>
              <w:top w:w="0" w:type="dxa"/>
              <w:left w:w="10" w:type="dxa"/>
              <w:bottom w:w="0" w:type="dxa"/>
              <w:right w:w="10" w:type="dxa"/>
            </w:tcMar>
            <w:vAlign w:val="center"/>
          </w:tcPr>
          <w:p w14:paraId="53AAD33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148C86A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无偏离</w:t>
            </w:r>
            <w:r>
              <w:rPr>
                <w:rFonts w:hint="eastAsia" w:ascii="宋体" w:hAnsi="宋体" w:cs="宋体"/>
                <w:color w:val="auto"/>
                <w:kern w:val="0"/>
                <w:szCs w:val="21"/>
                <w:highlight w:val="none"/>
              </w:rPr>
              <w:t> </w:t>
            </w:r>
          </w:p>
        </w:tc>
      </w:tr>
      <w:tr w14:paraId="17FA29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358545D4">
            <w:pPr>
              <w:keepNext w:val="0"/>
              <w:keepLines w:val="0"/>
              <w:widowControl/>
              <w:suppressLineNumbers w:val="0"/>
              <w:jc w:val="center"/>
              <w:textAlignment w:val="center"/>
              <w:rPr>
                <w:rFonts w:hint="eastAsia" w:ascii="宋体" w:hAnsi="宋体" w:cs="宋体"/>
                <w:color w:val="auto"/>
                <w:kern w:val="0"/>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p>
        </w:tc>
        <w:tc>
          <w:tcPr>
            <w:tcW w:w="951" w:type="dxa"/>
            <w:noWrap w:val="0"/>
            <w:tcMar>
              <w:top w:w="0" w:type="dxa"/>
              <w:left w:w="10" w:type="dxa"/>
              <w:bottom w:w="0" w:type="dxa"/>
              <w:right w:w="10" w:type="dxa"/>
            </w:tcMar>
            <w:vAlign w:val="center"/>
          </w:tcPr>
          <w:p w14:paraId="53AF8DE3">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9D58B68">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6812F4EE">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7F4565E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4C762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745E15B1">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951" w:type="dxa"/>
            <w:noWrap w:val="0"/>
            <w:tcMar>
              <w:top w:w="0" w:type="dxa"/>
              <w:left w:w="10" w:type="dxa"/>
              <w:bottom w:w="0" w:type="dxa"/>
              <w:right w:w="10" w:type="dxa"/>
            </w:tcMar>
            <w:vAlign w:val="center"/>
          </w:tcPr>
          <w:p w14:paraId="1AB569B3">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49336338">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7B43754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48" w:type="dxa"/>
            <w:noWrap w:val="0"/>
            <w:tcMar>
              <w:top w:w="0" w:type="dxa"/>
              <w:left w:w="10" w:type="dxa"/>
              <w:bottom w:w="0" w:type="dxa"/>
              <w:right w:w="10" w:type="dxa"/>
            </w:tcMar>
            <w:vAlign w:val="center"/>
          </w:tcPr>
          <w:p w14:paraId="507842B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7642C0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EE65290">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4</w:t>
            </w:r>
          </w:p>
        </w:tc>
        <w:tc>
          <w:tcPr>
            <w:tcW w:w="951" w:type="dxa"/>
            <w:noWrap w:val="0"/>
            <w:tcMar>
              <w:top w:w="0" w:type="dxa"/>
              <w:left w:w="10" w:type="dxa"/>
              <w:bottom w:w="0" w:type="dxa"/>
              <w:right w:w="10" w:type="dxa"/>
            </w:tcMar>
            <w:vAlign w:val="center"/>
          </w:tcPr>
          <w:p w14:paraId="13816F1C">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45C4C374">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63EDD144">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CACDA86">
            <w:pPr>
              <w:widowControl/>
              <w:spacing w:line="360" w:lineRule="auto"/>
              <w:jc w:val="center"/>
              <w:rPr>
                <w:rFonts w:hint="eastAsia" w:ascii="宋体" w:hAnsi="宋体" w:cs="宋体"/>
                <w:color w:val="auto"/>
                <w:kern w:val="0"/>
                <w:szCs w:val="21"/>
                <w:highlight w:val="none"/>
              </w:rPr>
            </w:pPr>
          </w:p>
        </w:tc>
      </w:tr>
      <w:tr w14:paraId="558C7B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67980A40">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5</w:t>
            </w:r>
          </w:p>
        </w:tc>
        <w:tc>
          <w:tcPr>
            <w:tcW w:w="951" w:type="dxa"/>
            <w:noWrap w:val="0"/>
            <w:tcMar>
              <w:top w:w="0" w:type="dxa"/>
              <w:left w:w="10" w:type="dxa"/>
              <w:bottom w:w="0" w:type="dxa"/>
              <w:right w:w="10" w:type="dxa"/>
            </w:tcMar>
            <w:vAlign w:val="center"/>
          </w:tcPr>
          <w:p w14:paraId="7CA678D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5759F01">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3BCEF742">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0728048B">
            <w:pPr>
              <w:widowControl/>
              <w:spacing w:line="360" w:lineRule="auto"/>
              <w:jc w:val="center"/>
              <w:rPr>
                <w:rFonts w:hint="eastAsia" w:ascii="宋体" w:hAnsi="宋体" w:cs="宋体"/>
                <w:color w:val="auto"/>
                <w:kern w:val="0"/>
                <w:szCs w:val="21"/>
                <w:highlight w:val="none"/>
              </w:rPr>
            </w:pPr>
          </w:p>
        </w:tc>
      </w:tr>
      <w:tr w14:paraId="3B346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8B5490D">
            <w:pPr>
              <w:keepNext w:val="0"/>
              <w:keepLines w:val="0"/>
              <w:widowControl/>
              <w:suppressLineNumbers w:val="0"/>
              <w:jc w:val="center"/>
              <w:textAlignment w:val="center"/>
              <w:rPr>
                <w:rFonts w:hint="eastAsia" w:ascii="宋体" w:hAnsi="宋体" w:eastAsia="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6</w:t>
            </w:r>
          </w:p>
        </w:tc>
        <w:tc>
          <w:tcPr>
            <w:tcW w:w="951" w:type="dxa"/>
            <w:noWrap w:val="0"/>
            <w:tcMar>
              <w:top w:w="0" w:type="dxa"/>
              <w:left w:w="10" w:type="dxa"/>
              <w:bottom w:w="0" w:type="dxa"/>
              <w:right w:w="10" w:type="dxa"/>
            </w:tcMar>
            <w:vAlign w:val="center"/>
          </w:tcPr>
          <w:p w14:paraId="6EF7BFC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6CD5C899">
            <w:pPr>
              <w:pStyle w:val="58"/>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B517DE8">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5B24E0C8">
            <w:pPr>
              <w:widowControl/>
              <w:spacing w:line="360" w:lineRule="auto"/>
              <w:jc w:val="center"/>
              <w:rPr>
                <w:rFonts w:hint="eastAsia" w:ascii="宋体" w:hAnsi="宋体" w:cs="宋体"/>
                <w:color w:val="auto"/>
                <w:kern w:val="0"/>
                <w:szCs w:val="21"/>
                <w:highlight w:val="none"/>
              </w:rPr>
            </w:pPr>
          </w:p>
        </w:tc>
      </w:tr>
      <w:tr w14:paraId="0B76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47F876B9">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7</w:t>
            </w:r>
          </w:p>
        </w:tc>
        <w:tc>
          <w:tcPr>
            <w:tcW w:w="951" w:type="dxa"/>
            <w:noWrap w:val="0"/>
            <w:tcMar>
              <w:top w:w="0" w:type="dxa"/>
              <w:left w:w="10" w:type="dxa"/>
              <w:bottom w:w="0" w:type="dxa"/>
              <w:right w:w="10" w:type="dxa"/>
            </w:tcMar>
            <w:vAlign w:val="center"/>
          </w:tcPr>
          <w:p w14:paraId="23B0B96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8724F44">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496B678">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EAE7DE4">
            <w:pPr>
              <w:widowControl/>
              <w:spacing w:line="360" w:lineRule="auto"/>
              <w:jc w:val="center"/>
              <w:rPr>
                <w:rFonts w:hint="eastAsia" w:ascii="宋体" w:hAnsi="宋体" w:cs="宋体"/>
                <w:color w:val="auto"/>
                <w:kern w:val="0"/>
                <w:szCs w:val="21"/>
                <w:highlight w:val="none"/>
              </w:rPr>
            </w:pPr>
          </w:p>
        </w:tc>
      </w:tr>
      <w:tr w14:paraId="71D18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15104F29">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8</w:t>
            </w:r>
          </w:p>
        </w:tc>
        <w:tc>
          <w:tcPr>
            <w:tcW w:w="951" w:type="dxa"/>
            <w:noWrap w:val="0"/>
            <w:tcMar>
              <w:top w:w="0" w:type="dxa"/>
              <w:left w:w="10" w:type="dxa"/>
              <w:bottom w:w="0" w:type="dxa"/>
              <w:right w:w="10" w:type="dxa"/>
            </w:tcMar>
            <w:vAlign w:val="center"/>
          </w:tcPr>
          <w:p w14:paraId="39CA2685">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263DC08B">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262060EC">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2E047E94">
            <w:pPr>
              <w:widowControl/>
              <w:spacing w:line="360" w:lineRule="auto"/>
              <w:jc w:val="center"/>
              <w:rPr>
                <w:rFonts w:hint="eastAsia" w:ascii="宋体" w:hAnsi="宋体" w:cs="宋体"/>
                <w:color w:val="auto"/>
                <w:kern w:val="0"/>
                <w:szCs w:val="21"/>
                <w:highlight w:val="none"/>
              </w:rPr>
            </w:pPr>
          </w:p>
        </w:tc>
      </w:tr>
      <w:tr w14:paraId="7EC488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59C73EF5">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9</w:t>
            </w:r>
          </w:p>
        </w:tc>
        <w:tc>
          <w:tcPr>
            <w:tcW w:w="951" w:type="dxa"/>
            <w:noWrap w:val="0"/>
            <w:tcMar>
              <w:top w:w="0" w:type="dxa"/>
              <w:left w:w="10" w:type="dxa"/>
              <w:bottom w:w="0" w:type="dxa"/>
              <w:right w:w="10" w:type="dxa"/>
            </w:tcMar>
            <w:vAlign w:val="center"/>
          </w:tcPr>
          <w:p w14:paraId="57435E94">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79ACEAED">
            <w:pPr>
              <w:pStyle w:val="58"/>
              <w:numPr>
                <w:ilvl w:val="0"/>
                <w:numId w:val="0"/>
              </w:numPr>
              <w:spacing w:line="360" w:lineRule="auto"/>
              <w:ind w:left="-2"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1224CB42">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CD2358F">
            <w:pPr>
              <w:widowControl/>
              <w:spacing w:line="360" w:lineRule="auto"/>
              <w:jc w:val="center"/>
              <w:rPr>
                <w:rFonts w:hint="eastAsia" w:ascii="宋体" w:hAnsi="宋体" w:cs="宋体"/>
                <w:color w:val="auto"/>
                <w:kern w:val="0"/>
                <w:szCs w:val="21"/>
                <w:highlight w:val="none"/>
              </w:rPr>
            </w:pPr>
          </w:p>
        </w:tc>
      </w:tr>
      <w:tr w14:paraId="190A6E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0BDF147F">
            <w:pPr>
              <w:keepNext w:val="0"/>
              <w:keepLines w:val="0"/>
              <w:widowControl/>
              <w:suppressLineNumbers w:val="0"/>
              <w:jc w:val="center"/>
              <w:textAlignment w:val="center"/>
              <w:rPr>
                <w:rFonts w:hint="eastAsia" w:ascii="宋体" w:hAnsi="宋体" w:cs="宋体"/>
                <w:color w:val="auto"/>
                <w:kern w:val="0"/>
                <w:szCs w:val="21"/>
                <w:highlight w:val="none"/>
                <w:lang w:val="en-US" w:eastAsia="zh-CN"/>
              </w:rPr>
            </w:pPr>
            <w:r>
              <w:rPr>
                <w:rFonts w:hint="eastAsia" w:ascii="宋体" w:hAnsi="宋体" w:eastAsia="宋体" w:cs="宋体"/>
                <w:i w:val="0"/>
                <w:iCs w:val="0"/>
                <w:color w:val="auto"/>
                <w:kern w:val="0"/>
                <w:sz w:val="21"/>
                <w:szCs w:val="21"/>
                <w:highlight w:val="none"/>
                <w:u w:val="none"/>
                <w:lang w:val="en-US" w:eastAsia="zh-CN" w:bidi="ar"/>
              </w:rPr>
              <w:t>10</w:t>
            </w:r>
          </w:p>
        </w:tc>
        <w:tc>
          <w:tcPr>
            <w:tcW w:w="951" w:type="dxa"/>
            <w:noWrap w:val="0"/>
            <w:tcMar>
              <w:top w:w="0" w:type="dxa"/>
              <w:left w:w="10" w:type="dxa"/>
              <w:bottom w:w="0" w:type="dxa"/>
              <w:right w:w="10" w:type="dxa"/>
            </w:tcMar>
            <w:vAlign w:val="center"/>
          </w:tcPr>
          <w:p w14:paraId="55C21560">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18FA3E65">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30C74729">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3F4F32C8">
            <w:pPr>
              <w:widowControl/>
              <w:spacing w:line="360" w:lineRule="auto"/>
              <w:jc w:val="center"/>
              <w:rPr>
                <w:rFonts w:hint="eastAsia" w:ascii="宋体" w:hAnsi="宋体" w:cs="宋体"/>
                <w:color w:val="auto"/>
                <w:kern w:val="0"/>
                <w:szCs w:val="21"/>
                <w:highlight w:val="none"/>
              </w:rPr>
            </w:pPr>
          </w:p>
        </w:tc>
      </w:tr>
      <w:tr w14:paraId="74555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42" w:type="dxa"/>
            <w:noWrap w:val="0"/>
            <w:tcMar>
              <w:top w:w="0" w:type="dxa"/>
              <w:left w:w="10" w:type="dxa"/>
              <w:bottom w:w="0" w:type="dxa"/>
              <w:right w:w="10" w:type="dxa"/>
            </w:tcMar>
            <w:vAlign w:val="center"/>
          </w:tcPr>
          <w:p w14:paraId="2406FE8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cs="宋体"/>
                <w:i w:val="0"/>
                <w:iCs w:val="0"/>
                <w:color w:val="auto"/>
                <w:kern w:val="0"/>
                <w:sz w:val="21"/>
                <w:szCs w:val="21"/>
                <w:highlight w:val="none"/>
                <w:u w:val="none"/>
                <w:lang w:val="en-US" w:eastAsia="zh-CN" w:bidi="ar"/>
              </w:rPr>
              <w:t>....</w:t>
            </w:r>
          </w:p>
        </w:tc>
        <w:tc>
          <w:tcPr>
            <w:tcW w:w="951" w:type="dxa"/>
            <w:noWrap w:val="0"/>
            <w:tcMar>
              <w:top w:w="0" w:type="dxa"/>
              <w:left w:w="10" w:type="dxa"/>
              <w:bottom w:w="0" w:type="dxa"/>
              <w:right w:w="10" w:type="dxa"/>
            </w:tcMar>
            <w:vAlign w:val="center"/>
          </w:tcPr>
          <w:p w14:paraId="5BBE7539">
            <w:pPr>
              <w:keepNext w:val="0"/>
              <w:keepLines w:val="0"/>
              <w:widowControl/>
              <w:suppressLineNumbers w:val="0"/>
              <w:jc w:val="center"/>
              <w:textAlignment w:val="center"/>
              <w:rPr>
                <w:rFonts w:hint="eastAsia" w:ascii="宋体" w:hAnsi="宋体" w:cs="宋体"/>
                <w:color w:val="auto"/>
                <w:kern w:val="0"/>
                <w:szCs w:val="21"/>
                <w:highlight w:val="none"/>
              </w:rPr>
            </w:pPr>
          </w:p>
        </w:tc>
        <w:tc>
          <w:tcPr>
            <w:tcW w:w="3537" w:type="dxa"/>
            <w:noWrap w:val="0"/>
            <w:tcMar>
              <w:top w:w="0" w:type="dxa"/>
              <w:left w:w="10" w:type="dxa"/>
              <w:bottom w:w="0" w:type="dxa"/>
              <w:right w:w="10" w:type="dxa"/>
            </w:tcMar>
            <w:vAlign w:val="center"/>
          </w:tcPr>
          <w:p w14:paraId="0C398559">
            <w:pPr>
              <w:pStyle w:val="58"/>
              <w:numPr>
                <w:ilvl w:val="0"/>
                <w:numId w:val="0"/>
              </w:numPr>
              <w:spacing w:line="360" w:lineRule="auto"/>
              <w:ind w:left="0" w:leftChars="0" w:firstLine="0" w:firstLineChars="0"/>
              <w:jc w:val="left"/>
              <w:rPr>
                <w:rFonts w:hint="eastAsia" w:ascii="宋体" w:hAnsi="宋体" w:cs="宋体"/>
                <w:color w:val="auto"/>
                <w:kern w:val="0"/>
                <w:szCs w:val="21"/>
                <w:highlight w:val="none"/>
              </w:rPr>
            </w:pPr>
          </w:p>
        </w:tc>
        <w:tc>
          <w:tcPr>
            <w:tcW w:w="2145" w:type="dxa"/>
            <w:noWrap w:val="0"/>
            <w:tcMar>
              <w:top w:w="0" w:type="dxa"/>
              <w:left w:w="10" w:type="dxa"/>
              <w:bottom w:w="0" w:type="dxa"/>
              <w:right w:w="10" w:type="dxa"/>
            </w:tcMar>
            <w:vAlign w:val="center"/>
          </w:tcPr>
          <w:p w14:paraId="78A0F0E3">
            <w:pPr>
              <w:widowControl/>
              <w:spacing w:line="360" w:lineRule="auto"/>
              <w:jc w:val="center"/>
              <w:rPr>
                <w:rFonts w:hint="eastAsia" w:ascii="宋体" w:hAnsi="宋体" w:cs="宋体"/>
                <w:color w:val="auto"/>
                <w:kern w:val="0"/>
                <w:szCs w:val="21"/>
                <w:highlight w:val="none"/>
              </w:rPr>
            </w:pPr>
          </w:p>
        </w:tc>
        <w:tc>
          <w:tcPr>
            <w:tcW w:w="1248" w:type="dxa"/>
            <w:noWrap w:val="0"/>
            <w:tcMar>
              <w:top w:w="0" w:type="dxa"/>
              <w:left w:w="10" w:type="dxa"/>
              <w:bottom w:w="0" w:type="dxa"/>
              <w:right w:w="10" w:type="dxa"/>
            </w:tcMar>
            <w:vAlign w:val="center"/>
          </w:tcPr>
          <w:p w14:paraId="47ADFE7C">
            <w:pPr>
              <w:widowControl/>
              <w:spacing w:line="360" w:lineRule="auto"/>
              <w:jc w:val="center"/>
              <w:rPr>
                <w:rFonts w:hint="eastAsia" w:ascii="宋体" w:hAnsi="宋体" w:cs="宋体"/>
                <w:color w:val="auto"/>
                <w:kern w:val="0"/>
                <w:szCs w:val="21"/>
                <w:highlight w:val="none"/>
              </w:rPr>
            </w:pPr>
          </w:p>
        </w:tc>
      </w:tr>
    </w:tbl>
    <w:p w14:paraId="554CEAFA">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投标文件的采购需求部分内容响应存在正偏离或负偏离或无偏离的，请在本表中逐条列出。未列出的，视为响应采购文件要求。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15DC5F86">
      <w:pPr>
        <w:widowControl/>
        <w:shd w:val="clear" w:color="auto" w:fill="FFFFFF"/>
        <w:spacing w:line="360" w:lineRule="auto"/>
        <w:jc w:val="left"/>
        <w:rPr>
          <w:rFonts w:hint="eastAsia" w:ascii="宋体" w:hAnsi="宋体" w:cs="宋体"/>
          <w:b/>
          <w:bCs/>
          <w:color w:val="auto"/>
          <w:kern w:val="0"/>
          <w:szCs w:val="21"/>
          <w:highlight w:val="none"/>
        </w:rPr>
      </w:pPr>
    </w:p>
    <w:p w14:paraId="64F18306">
      <w:pPr>
        <w:widowControl/>
        <w:shd w:val="clear" w:color="auto" w:fill="FFFFFF"/>
        <w:spacing w:line="360" w:lineRule="auto"/>
        <w:jc w:val="left"/>
        <w:rPr>
          <w:rFonts w:hint="eastAsia" w:ascii="宋体" w:hAnsi="宋体" w:cs="宋体"/>
          <w:color w:val="auto"/>
          <w:kern w:val="0"/>
          <w:szCs w:val="21"/>
          <w:highlight w:val="none"/>
        </w:rPr>
      </w:pPr>
    </w:p>
    <w:p w14:paraId="0E786E18">
      <w:pPr>
        <w:widowControl/>
        <w:shd w:val="clear" w:color="auto" w:fill="FFFFFF"/>
        <w:spacing w:line="360" w:lineRule="auto"/>
        <w:jc w:val="left"/>
        <w:rPr>
          <w:rFonts w:hint="eastAsia" w:ascii="宋体" w:hAnsi="宋体" w:cs="宋体"/>
          <w:color w:val="auto"/>
          <w:kern w:val="0"/>
          <w:szCs w:val="21"/>
          <w:highlight w:val="none"/>
        </w:rPr>
      </w:pPr>
    </w:p>
    <w:p w14:paraId="28DF872A">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6594930B">
      <w:pPr>
        <w:widowControl/>
        <w:shd w:val="clear" w:color="auto" w:fill="FFFFFF"/>
        <w:spacing w:line="360" w:lineRule="auto"/>
        <w:jc w:val="left"/>
        <w:rPr>
          <w:rFonts w:hint="eastAsia" w:ascii="宋体" w:hAnsi="宋体" w:cs="宋体"/>
          <w:color w:val="auto"/>
          <w:kern w:val="0"/>
          <w:szCs w:val="21"/>
          <w:highlight w:val="none"/>
        </w:rPr>
      </w:pPr>
    </w:p>
    <w:p w14:paraId="13714850">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49999589">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B6E9FE4">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6DBCC8EF">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48B4DD6">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b/>
          <w:bCs/>
          <w:color w:val="auto"/>
          <w:kern w:val="0"/>
          <w:szCs w:val="21"/>
          <w:highlight w:val="none"/>
        </w:rPr>
        <w:t>附件六、商务条款偏离表格式</w:t>
      </w:r>
    </w:p>
    <w:p w14:paraId="44C66AC1">
      <w:pPr>
        <w:widowControl/>
        <w:shd w:val="clear" w:color="auto" w:fill="FFFFFF"/>
        <w:spacing w:line="360" w:lineRule="auto"/>
        <w:ind w:firstLine="420"/>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386F571C">
      <w:pPr>
        <w:widowControl/>
        <w:shd w:val="clear" w:color="auto" w:fill="FFFFFF"/>
        <w:spacing w:line="360" w:lineRule="auto"/>
        <w:ind w:left="420"/>
        <w:jc w:val="center"/>
        <w:rPr>
          <w:rFonts w:hint="eastAsia" w:ascii="宋体" w:hAnsi="宋体" w:cs="宋体"/>
          <w:b/>
          <w:color w:val="auto"/>
          <w:kern w:val="0"/>
          <w:szCs w:val="21"/>
          <w:highlight w:val="none"/>
        </w:rPr>
      </w:pPr>
      <w:r>
        <w:rPr>
          <w:rFonts w:hint="eastAsia" w:ascii="宋体" w:hAnsi="宋体" w:cs="宋体"/>
          <w:b/>
          <w:color w:val="auto"/>
          <w:kern w:val="0"/>
          <w:sz w:val="36"/>
          <w:szCs w:val="36"/>
          <w:highlight w:val="none"/>
        </w:rPr>
        <w:t>商务条款偏离表</w:t>
      </w:r>
    </w:p>
    <w:p w14:paraId="5E090291">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 w:val="24"/>
          <w:highlight w:val="none"/>
        </w:rPr>
        <w:t> </w:t>
      </w:r>
    </w:p>
    <w:p w14:paraId="21CC707D">
      <w:pPr>
        <w:widowControl/>
        <w:tabs>
          <w:tab w:val="left" w:pos="5366"/>
        </w:tabs>
        <w:spacing w:line="360" w:lineRule="auto"/>
        <w:ind w:firstLine="96" w:firstLineChars="46"/>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w:t>
      </w:r>
      <w:r>
        <w:rPr>
          <w:rFonts w:hint="eastAsia" w:ascii="宋体" w:hAnsi="宋体" w:cs="宋体"/>
          <w:color w:val="auto"/>
          <w:kern w:val="0"/>
          <w:szCs w:val="21"/>
          <w:highlight w:val="none"/>
        </w:rPr>
        <w:tab/>
      </w:r>
      <w:r>
        <w:rPr>
          <w:rFonts w:hint="eastAsia" w:ascii="宋体" w:hAnsi="宋体" w:cs="宋体"/>
          <w:color w:val="auto"/>
          <w:kern w:val="0"/>
          <w:szCs w:val="21"/>
          <w:highlight w:val="none"/>
        </w:rPr>
        <w:t>项目编号：         </w:t>
      </w:r>
    </w:p>
    <w:tbl>
      <w:tblPr>
        <w:tblStyle w:val="46"/>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60"/>
        <w:gridCol w:w="1679"/>
        <w:gridCol w:w="2488"/>
        <w:gridCol w:w="3004"/>
        <w:gridCol w:w="1201"/>
      </w:tblGrid>
      <w:tr w14:paraId="2512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88E2472">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序号</w:t>
            </w:r>
          </w:p>
        </w:tc>
        <w:tc>
          <w:tcPr>
            <w:tcW w:w="1679" w:type="dxa"/>
            <w:noWrap w:val="0"/>
            <w:tcMar>
              <w:top w:w="0" w:type="dxa"/>
              <w:left w:w="10" w:type="dxa"/>
              <w:bottom w:w="0" w:type="dxa"/>
              <w:right w:w="10" w:type="dxa"/>
            </w:tcMar>
            <w:vAlign w:val="center"/>
          </w:tcPr>
          <w:p w14:paraId="1862D7D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招标文件条目号</w:t>
            </w:r>
          </w:p>
        </w:tc>
        <w:tc>
          <w:tcPr>
            <w:tcW w:w="2488" w:type="dxa"/>
            <w:noWrap w:val="0"/>
            <w:tcMar>
              <w:top w:w="0" w:type="dxa"/>
              <w:left w:w="10" w:type="dxa"/>
              <w:bottom w:w="0" w:type="dxa"/>
              <w:right w:w="10" w:type="dxa"/>
            </w:tcMar>
            <w:vAlign w:val="center"/>
          </w:tcPr>
          <w:p w14:paraId="1DAB28DB">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招标文件要求的商务条款</w:t>
            </w:r>
          </w:p>
        </w:tc>
        <w:tc>
          <w:tcPr>
            <w:tcW w:w="3004" w:type="dxa"/>
            <w:noWrap w:val="0"/>
            <w:tcMar>
              <w:top w:w="0" w:type="dxa"/>
              <w:left w:w="10" w:type="dxa"/>
              <w:bottom w:w="0" w:type="dxa"/>
              <w:right w:w="10" w:type="dxa"/>
            </w:tcMar>
            <w:vAlign w:val="center"/>
          </w:tcPr>
          <w:p w14:paraId="27A9EAE9">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投标响应</w:t>
            </w:r>
          </w:p>
        </w:tc>
        <w:tc>
          <w:tcPr>
            <w:tcW w:w="1201" w:type="dxa"/>
            <w:noWrap w:val="0"/>
            <w:tcMar>
              <w:top w:w="0" w:type="dxa"/>
              <w:left w:w="10" w:type="dxa"/>
              <w:bottom w:w="0" w:type="dxa"/>
              <w:right w:w="10" w:type="dxa"/>
            </w:tcMar>
            <w:vAlign w:val="center"/>
          </w:tcPr>
          <w:p w14:paraId="59D49E89">
            <w:pPr>
              <w:widowControl/>
              <w:spacing w:line="360" w:lineRule="auto"/>
              <w:jc w:val="center"/>
              <w:rPr>
                <w:rFonts w:hint="eastAsia" w:ascii="宋体" w:hAnsi="宋体" w:cs="宋体"/>
                <w:b/>
                <w:color w:val="auto"/>
                <w:kern w:val="0"/>
                <w:szCs w:val="21"/>
                <w:highlight w:val="none"/>
              </w:rPr>
            </w:pPr>
            <w:r>
              <w:rPr>
                <w:rFonts w:hint="eastAsia" w:ascii="宋体" w:hAnsi="宋体" w:cs="宋体"/>
                <w:b/>
                <w:color w:val="auto"/>
                <w:kern w:val="0"/>
                <w:szCs w:val="21"/>
                <w:highlight w:val="none"/>
              </w:rPr>
              <w:t>偏离</w:t>
            </w:r>
          </w:p>
        </w:tc>
      </w:tr>
      <w:tr w14:paraId="5223F1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4C18BA2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11B2DD3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365A9867">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7438EF9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4A78EFD0">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25DA4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E041EB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0A90A1E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04F48F4F">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5F9DFED6">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1ACAC53F">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8195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6552E90">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572D5EE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6DA71E3D">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3E41EE0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5E42491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3A951C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EE144E2">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2C0E888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6C534758">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612B60C4">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608407E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01E1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57C3FBD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679" w:type="dxa"/>
            <w:noWrap w:val="0"/>
            <w:tcMar>
              <w:top w:w="0" w:type="dxa"/>
              <w:left w:w="10" w:type="dxa"/>
              <w:bottom w:w="0" w:type="dxa"/>
              <w:right w:w="10" w:type="dxa"/>
            </w:tcMar>
            <w:vAlign w:val="center"/>
          </w:tcPr>
          <w:p w14:paraId="24AC92A3">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2488" w:type="dxa"/>
            <w:noWrap w:val="0"/>
            <w:tcMar>
              <w:top w:w="0" w:type="dxa"/>
              <w:left w:w="10" w:type="dxa"/>
              <w:bottom w:w="0" w:type="dxa"/>
              <w:right w:w="10" w:type="dxa"/>
            </w:tcMar>
            <w:vAlign w:val="center"/>
          </w:tcPr>
          <w:p w14:paraId="400718B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3004" w:type="dxa"/>
            <w:noWrap w:val="0"/>
            <w:tcMar>
              <w:top w:w="0" w:type="dxa"/>
              <w:left w:w="10" w:type="dxa"/>
              <w:bottom w:w="0" w:type="dxa"/>
              <w:right w:w="10" w:type="dxa"/>
            </w:tcMar>
            <w:vAlign w:val="center"/>
          </w:tcPr>
          <w:p w14:paraId="531729A5">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c>
          <w:tcPr>
            <w:tcW w:w="1201" w:type="dxa"/>
            <w:noWrap w:val="0"/>
            <w:tcMar>
              <w:top w:w="0" w:type="dxa"/>
              <w:left w:w="10" w:type="dxa"/>
              <w:bottom w:w="0" w:type="dxa"/>
              <w:right w:w="10" w:type="dxa"/>
            </w:tcMar>
            <w:vAlign w:val="center"/>
          </w:tcPr>
          <w:p w14:paraId="5C521A2B">
            <w:pPr>
              <w:widowControl/>
              <w:spacing w:line="360" w:lineRule="auto"/>
              <w:jc w:val="center"/>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tc>
      </w:tr>
      <w:tr w14:paraId="65C0BC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36A38A64">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1BD6B06D">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082A5CC4">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2E3F8423">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305174C0">
            <w:pPr>
              <w:widowControl/>
              <w:spacing w:line="360" w:lineRule="auto"/>
              <w:jc w:val="center"/>
              <w:rPr>
                <w:rFonts w:hint="eastAsia" w:ascii="宋体" w:hAnsi="宋体" w:cs="宋体"/>
                <w:color w:val="auto"/>
                <w:kern w:val="0"/>
                <w:szCs w:val="21"/>
                <w:highlight w:val="none"/>
              </w:rPr>
            </w:pPr>
          </w:p>
        </w:tc>
      </w:tr>
      <w:tr w14:paraId="24736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560" w:type="dxa"/>
            <w:noWrap w:val="0"/>
            <w:tcMar>
              <w:top w:w="0" w:type="dxa"/>
              <w:left w:w="10" w:type="dxa"/>
              <w:bottom w:w="0" w:type="dxa"/>
              <w:right w:w="10" w:type="dxa"/>
            </w:tcMar>
            <w:vAlign w:val="center"/>
          </w:tcPr>
          <w:p w14:paraId="796AD997">
            <w:pPr>
              <w:widowControl/>
              <w:spacing w:line="360" w:lineRule="auto"/>
              <w:jc w:val="center"/>
              <w:rPr>
                <w:rFonts w:hint="eastAsia" w:ascii="宋体" w:hAnsi="宋体" w:cs="宋体"/>
                <w:color w:val="auto"/>
                <w:kern w:val="0"/>
                <w:szCs w:val="21"/>
                <w:highlight w:val="none"/>
              </w:rPr>
            </w:pPr>
          </w:p>
        </w:tc>
        <w:tc>
          <w:tcPr>
            <w:tcW w:w="1679" w:type="dxa"/>
            <w:noWrap w:val="0"/>
            <w:tcMar>
              <w:top w:w="0" w:type="dxa"/>
              <w:left w:w="10" w:type="dxa"/>
              <w:bottom w:w="0" w:type="dxa"/>
              <w:right w:w="10" w:type="dxa"/>
            </w:tcMar>
            <w:vAlign w:val="center"/>
          </w:tcPr>
          <w:p w14:paraId="657E1C2F">
            <w:pPr>
              <w:widowControl/>
              <w:spacing w:line="360" w:lineRule="auto"/>
              <w:jc w:val="center"/>
              <w:rPr>
                <w:rFonts w:hint="eastAsia" w:ascii="宋体" w:hAnsi="宋体" w:cs="宋体"/>
                <w:color w:val="auto"/>
                <w:kern w:val="0"/>
                <w:szCs w:val="21"/>
                <w:highlight w:val="none"/>
              </w:rPr>
            </w:pPr>
          </w:p>
        </w:tc>
        <w:tc>
          <w:tcPr>
            <w:tcW w:w="2488" w:type="dxa"/>
            <w:noWrap w:val="0"/>
            <w:tcMar>
              <w:top w:w="0" w:type="dxa"/>
              <w:left w:w="10" w:type="dxa"/>
              <w:bottom w:w="0" w:type="dxa"/>
              <w:right w:w="10" w:type="dxa"/>
            </w:tcMar>
            <w:vAlign w:val="center"/>
          </w:tcPr>
          <w:p w14:paraId="37EF76CB">
            <w:pPr>
              <w:widowControl/>
              <w:spacing w:line="360" w:lineRule="auto"/>
              <w:jc w:val="center"/>
              <w:rPr>
                <w:rFonts w:hint="eastAsia" w:ascii="宋体" w:hAnsi="宋体" w:cs="宋体"/>
                <w:color w:val="auto"/>
                <w:kern w:val="0"/>
                <w:szCs w:val="21"/>
                <w:highlight w:val="none"/>
              </w:rPr>
            </w:pPr>
          </w:p>
        </w:tc>
        <w:tc>
          <w:tcPr>
            <w:tcW w:w="3004" w:type="dxa"/>
            <w:noWrap w:val="0"/>
            <w:tcMar>
              <w:top w:w="0" w:type="dxa"/>
              <w:left w:w="10" w:type="dxa"/>
              <w:bottom w:w="0" w:type="dxa"/>
              <w:right w:w="10" w:type="dxa"/>
            </w:tcMar>
            <w:vAlign w:val="center"/>
          </w:tcPr>
          <w:p w14:paraId="45C2A166">
            <w:pPr>
              <w:widowControl/>
              <w:spacing w:line="360" w:lineRule="auto"/>
              <w:jc w:val="center"/>
              <w:rPr>
                <w:rFonts w:hint="eastAsia" w:ascii="宋体" w:hAnsi="宋体" w:cs="宋体"/>
                <w:color w:val="auto"/>
                <w:kern w:val="0"/>
                <w:szCs w:val="21"/>
                <w:highlight w:val="none"/>
              </w:rPr>
            </w:pPr>
          </w:p>
        </w:tc>
        <w:tc>
          <w:tcPr>
            <w:tcW w:w="1201" w:type="dxa"/>
            <w:noWrap w:val="0"/>
            <w:tcMar>
              <w:top w:w="0" w:type="dxa"/>
              <w:left w:w="10" w:type="dxa"/>
              <w:bottom w:w="0" w:type="dxa"/>
              <w:right w:w="10" w:type="dxa"/>
            </w:tcMar>
            <w:vAlign w:val="center"/>
          </w:tcPr>
          <w:p w14:paraId="6C0C936E">
            <w:pPr>
              <w:widowControl/>
              <w:spacing w:line="360" w:lineRule="auto"/>
              <w:jc w:val="center"/>
              <w:rPr>
                <w:rFonts w:hint="eastAsia" w:ascii="宋体" w:hAnsi="宋体" w:cs="宋体"/>
                <w:color w:val="auto"/>
                <w:kern w:val="0"/>
                <w:szCs w:val="21"/>
                <w:highlight w:val="none"/>
              </w:rPr>
            </w:pPr>
          </w:p>
        </w:tc>
      </w:tr>
    </w:tbl>
    <w:p w14:paraId="4A19F24A">
      <w:pPr>
        <w:widowControl/>
        <w:shd w:val="clear" w:color="auto" w:fill="FFFFFF"/>
        <w:spacing w:line="360" w:lineRule="auto"/>
        <w:jc w:val="left"/>
        <w:rPr>
          <w:rFonts w:ascii="Arial" w:hAnsi="Arial"/>
          <w:color w:val="auto"/>
          <w:kern w:val="0"/>
          <w:szCs w:val="21"/>
          <w:highlight w:val="none"/>
        </w:rPr>
      </w:pPr>
      <w:r>
        <w:rPr>
          <w:rFonts w:ascii="Arial" w:hAnsi="Arial"/>
          <w:color w:val="auto"/>
          <w:kern w:val="0"/>
          <w:szCs w:val="21"/>
          <w:highlight w:val="none"/>
        </w:rPr>
        <w:t>说明：</w:t>
      </w:r>
      <w:r>
        <w:rPr>
          <w:rFonts w:hint="eastAsia" w:ascii="Arial" w:hAnsi="Arial"/>
          <w:color w:val="auto"/>
          <w:kern w:val="0"/>
          <w:szCs w:val="21"/>
          <w:highlight w:val="none"/>
        </w:rPr>
        <w:t>投标文件的商务部分内容响应存在正偏离或负偏离或无偏离的，请在本表中逐条列出。未列出的，视为响应采购文件要求。</w:t>
      </w:r>
      <w:r>
        <w:rPr>
          <w:rFonts w:ascii="Arial" w:hAnsi="Arial"/>
          <w:color w:val="auto"/>
          <w:kern w:val="0"/>
          <w:szCs w:val="21"/>
          <w:highlight w:val="none"/>
        </w:rPr>
        <w:t>如果行数不够，请自行增加。</w:t>
      </w:r>
    </w:p>
    <w:p w14:paraId="15A6712E">
      <w:pPr>
        <w:widowControl/>
        <w:shd w:val="clear" w:color="auto" w:fill="FFFFFF"/>
        <w:spacing w:line="360" w:lineRule="auto"/>
        <w:jc w:val="left"/>
        <w:rPr>
          <w:rFonts w:hint="eastAsia" w:ascii="宋体" w:hAnsi="宋体" w:cs="宋体"/>
          <w:color w:val="auto"/>
          <w:kern w:val="0"/>
          <w:szCs w:val="21"/>
          <w:highlight w:val="none"/>
        </w:rPr>
      </w:pPr>
    </w:p>
    <w:p w14:paraId="6BDF0A72">
      <w:pPr>
        <w:widowControl/>
        <w:shd w:val="clear" w:color="auto" w:fill="FFFFFF"/>
        <w:spacing w:line="360" w:lineRule="auto"/>
        <w:jc w:val="left"/>
        <w:rPr>
          <w:rFonts w:hint="eastAsia" w:ascii="宋体" w:hAnsi="宋体" w:cs="宋体"/>
          <w:color w:val="auto"/>
          <w:kern w:val="0"/>
          <w:szCs w:val="21"/>
          <w:highlight w:val="none"/>
        </w:rPr>
      </w:pPr>
    </w:p>
    <w:p w14:paraId="4DE5851D">
      <w:pPr>
        <w:widowControl/>
        <w:shd w:val="clear" w:color="auto" w:fill="FFFFFF"/>
        <w:spacing w:line="360" w:lineRule="auto"/>
        <w:jc w:val="left"/>
        <w:rPr>
          <w:rFonts w:hint="eastAsia" w:ascii="宋体" w:hAnsi="宋体" w:cs="宋体"/>
          <w:color w:val="auto"/>
          <w:kern w:val="0"/>
          <w:szCs w:val="21"/>
          <w:highlight w:val="none"/>
        </w:rPr>
      </w:pPr>
    </w:p>
    <w:p w14:paraId="79003998">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投标单位（加盖电子公章）：</w:t>
      </w:r>
      <w:r>
        <w:rPr>
          <w:rFonts w:hint="eastAsia" w:ascii="宋体" w:hAnsi="宋体" w:cs="宋体"/>
          <w:color w:val="auto"/>
          <w:kern w:val="0"/>
          <w:szCs w:val="21"/>
          <w:highlight w:val="none"/>
          <w:u w:val="single"/>
        </w:rPr>
        <w:t>                             </w:t>
      </w:r>
    </w:p>
    <w:p w14:paraId="0B077D5E">
      <w:pPr>
        <w:widowControl/>
        <w:shd w:val="clear" w:color="auto" w:fill="FFFFFF"/>
        <w:spacing w:line="360" w:lineRule="auto"/>
        <w:jc w:val="left"/>
        <w:rPr>
          <w:rFonts w:hint="eastAsia" w:ascii="宋体" w:hAnsi="宋体" w:cs="宋体"/>
          <w:color w:val="auto"/>
          <w:kern w:val="0"/>
          <w:szCs w:val="21"/>
          <w:highlight w:val="none"/>
        </w:rPr>
      </w:pPr>
    </w:p>
    <w:p w14:paraId="1C2BFEB2">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E4430C7">
      <w:pPr>
        <w:widowControl/>
        <w:shd w:val="clear" w:color="auto" w:fill="FFFFFF"/>
        <w:spacing w:line="360" w:lineRule="auto"/>
        <w:jc w:val="left"/>
        <w:rPr>
          <w:rFonts w:hint="eastAsia" w:ascii="宋体" w:hAnsi="宋体" w:cs="宋体"/>
          <w:color w:val="auto"/>
          <w:kern w:val="0"/>
          <w:szCs w:val="21"/>
          <w:highlight w:val="none"/>
        </w:rPr>
      </w:pPr>
      <w:r>
        <w:rPr>
          <w:rFonts w:hint="eastAsia" w:ascii="宋体" w:hAnsi="宋体" w:cs="宋体"/>
          <w:color w:val="auto"/>
          <w:kern w:val="0"/>
          <w:szCs w:val="21"/>
          <w:highlight w:val="none"/>
        </w:rPr>
        <w:t> </w:t>
      </w:r>
    </w:p>
    <w:p w14:paraId="21D2C36D">
      <w:pPr>
        <w:widowControl/>
        <w:shd w:val="clear" w:color="auto" w:fill="FFFFFF"/>
        <w:spacing w:line="360" w:lineRule="auto"/>
        <w:jc w:val="left"/>
        <w:rPr>
          <w:rFonts w:hint="eastAsia" w:ascii="宋体" w:hAnsi="宋体" w:cs="宋体"/>
          <w:color w:val="auto"/>
          <w:kern w:val="0"/>
          <w:szCs w:val="21"/>
          <w:highlight w:val="none"/>
        </w:rPr>
      </w:pPr>
    </w:p>
    <w:p w14:paraId="7F67933E">
      <w:pPr>
        <w:widowControl/>
        <w:shd w:val="clear" w:color="auto" w:fill="FFFFFF"/>
        <w:spacing w:line="360" w:lineRule="auto"/>
        <w:jc w:val="left"/>
        <w:rPr>
          <w:rFonts w:hint="eastAsia" w:ascii="宋体" w:hAnsi="宋体" w:cs="宋体"/>
          <w:b/>
          <w:color w:val="auto"/>
          <w:szCs w:val="21"/>
          <w:highlight w:val="none"/>
          <w:lang w:val="zh-CN"/>
        </w:rPr>
      </w:pPr>
      <w:r>
        <w:rPr>
          <w:rFonts w:hint="eastAsia" w:ascii="宋体" w:hAnsi="宋体" w:cs="宋体"/>
          <w:b/>
          <w:bCs/>
          <w:color w:val="auto"/>
          <w:kern w:val="0"/>
          <w:szCs w:val="21"/>
          <w:highlight w:val="none"/>
        </w:rPr>
        <w:br w:type="page"/>
      </w:r>
      <w:r>
        <w:rPr>
          <w:rFonts w:hint="eastAsia" w:ascii="宋体" w:hAnsi="宋体" w:cs="宋体"/>
          <w:b/>
          <w:bCs/>
          <w:color w:val="auto"/>
          <w:kern w:val="0"/>
          <w:szCs w:val="21"/>
          <w:highlight w:val="none"/>
        </w:rPr>
        <w:t>附件七、</w:t>
      </w:r>
      <w:r>
        <w:rPr>
          <w:rFonts w:hint="eastAsia" w:ascii="宋体" w:hAnsi="宋体" w:cs="宋体"/>
          <w:b/>
          <w:color w:val="auto"/>
          <w:szCs w:val="21"/>
          <w:highlight w:val="none"/>
          <w:lang w:val="zh-CN"/>
        </w:rPr>
        <w:t>技术说明与服务方案</w:t>
      </w:r>
    </w:p>
    <w:p w14:paraId="508DD10C">
      <w:pPr>
        <w:widowControl/>
        <w:shd w:val="clear" w:color="auto" w:fill="FFFFFF"/>
        <w:spacing w:line="360" w:lineRule="auto"/>
        <w:jc w:val="left"/>
        <w:rPr>
          <w:rFonts w:hint="eastAsia" w:ascii="宋体" w:hAnsi="宋体" w:cs="宋体"/>
          <w:b/>
          <w:color w:val="auto"/>
          <w:szCs w:val="21"/>
          <w:highlight w:val="none"/>
          <w:lang w:val="zh-CN"/>
        </w:rPr>
      </w:pPr>
    </w:p>
    <w:p w14:paraId="3F51BC9D">
      <w:pPr>
        <w:pStyle w:val="193"/>
        <w:snapToGrid w:val="0"/>
        <w:spacing w:before="0" w:after="0"/>
        <w:ind w:firstLine="0"/>
        <w:rPr>
          <w:rFonts w:hint="eastAsia" w:ascii="宋体" w:hAnsi="宋体" w:cs="宋体"/>
          <w:color w:val="auto"/>
          <w:kern w:val="2"/>
          <w:sz w:val="21"/>
          <w:szCs w:val="21"/>
          <w:highlight w:val="none"/>
        </w:rPr>
      </w:pPr>
      <w:r>
        <w:rPr>
          <w:rFonts w:hint="eastAsia" w:ascii="宋体" w:hAnsi="宋体" w:cs="宋体"/>
          <w:color w:val="auto"/>
          <w:kern w:val="2"/>
          <w:sz w:val="21"/>
          <w:szCs w:val="21"/>
          <w:highlight w:val="none"/>
        </w:rPr>
        <w:t>技术方案及服务承诺应根据招标人对项目的要求、评标标准的要求及项目本身的特点编写。</w:t>
      </w:r>
    </w:p>
    <w:p w14:paraId="67C6D860">
      <w:pPr>
        <w:widowControl/>
        <w:shd w:val="clear" w:color="auto" w:fill="FFFFFF"/>
        <w:spacing w:line="360" w:lineRule="auto"/>
        <w:jc w:val="left"/>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 </w:t>
      </w:r>
    </w:p>
    <w:p w14:paraId="0E3E24A0">
      <w:pPr>
        <w:widowControl/>
        <w:adjustRightInd w:val="0"/>
        <w:spacing w:line="460" w:lineRule="atLeast"/>
        <w:rPr>
          <w:rFonts w:hint="eastAsia" w:ascii="宋体" w:hAnsi="宋体" w:cs="宋体"/>
          <w:b/>
          <w:bCs/>
          <w:color w:val="auto"/>
          <w:kern w:val="0"/>
          <w:sz w:val="24"/>
          <w:highlight w:val="none"/>
        </w:rPr>
      </w:pPr>
      <w:r>
        <w:rPr>
          <w:rFonts w:hint="eastAsia" w:ascii="宋体" w:hAnsi="宋体" w:cs="宋体"/>
          <w:color w:val="auto"/>
          <w:highlight w:val="none"/>
        </w:rPr>
        <w:br w:type="page"/>
      </w:r>
      <w:r>
        <w:rPr>
          <w:rFonts w:hint="eastAsia" w:ascii="宋体" w:hAnsi="宋体" w:cs="宋体"/>
          <w:b/>
          <w:bCs/>
          <w:color w:val="auto"/>
          <w:kern w:val="0"/>
          <w:sz w:val="24"/>
          <w:highlight w:val="none"/>
        </w:rPr>
        <w:t>附件八、拟参与本项目服务人员一览表</w:t>
      </w:r>
    </w:p>
    <w:p w14:paraId="09DD5B6D">
      <w:pPr>
        <w:widowControl/>
        <w:adjustRightInd w:val="0"/>
        <w:spacing w:line="460" w:lineRule="atLeast"/>
        <w:rPr>
          <w:rFonts w:hint="eastAsia" w:ascii="宋体" w:hAnsi="宋体" w:cs="宋体"/>
          <w:b/>
          <w:bCs/>
          <w:color w:val="auto"/>
          <w:kern w:val="0"/>
          <w:sz w:val="24"/>
          <w:highlight w:val="none"/>
        </w:rPr>
      </w:pPr>
    </w:p>
    <w:p w14:paraId="2043258F">
      <w:pPr>
        <w:widowControl/>
        <w:adjustRightInd w:val="0"/>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拟参与本项目服务人员一览表</w:t>
      </w:r>
    </w:p>
    <w:p w14:paraId="5DBDAC99">
      <w:pPr>
        <w:widowControl/>
        <w:adjustRightInd w:val="0"/>
        <w:jc w:val="center"/>
        <w:rPr>
          <w:rFonts w:hint="eastAsia" w:ascii="宋体" w:hAnsi="宋体" w:cs="宋体"/>
          <w:b/>
          <w:bCs/>
          <w:color w:val="auto"/>
          <w:kern w:val="0"/>
          <w:sz w:val="24"/>
          <w:highlight w:val="none"/>
        </w:rPr>
      </w:pPr>
    </w:p>
    <w:p w14:paraId="62AAE7C7">
      <w:pPr>
        <w:widowControl/>
        <w:adjustRightInd w:val="0"/>
        <w:rPr>
          <w:rFonts w:hint="eastAsia" w:ascii="宋体" w:hAnsi="宋体" w:cs="宋体"/>
          <w:color w:val="auto"/>
          <w:kern w:val="0"/>
          <w:szCs w:val="21"/>
          <w:highlight w:val="none"/>
        </w:rPr>
      </w:pPr>
      <w:r>
        <w:rPr>
          <w:rFonts w:hint="eastAsia" w:ascii="宋体" w:hAnsi="宋体" w:cs="宋体"/>
          <w:color w:val="auto"/>
          <w:kern w:val="0"/>
          <w:szCs w:val="21"/>
          <w:highlight w:val="none"/>
        </w:rPr>
        <w:t>项目名称：                                 项目编号：</w:t>
      </w:r>
    </w:p>
    <w:tbl>
      <w:tblPr>
        <w:tblStyle w:val="46"/>
        <w:tblW w:w="9464" w:type="dxa"/>
        <w:jc w:val="center"/>
        <w:tblLayout w:type="fixed"/>
        <w:tblCellMar>
          <w:top w:w="0" w:type="dxa"/>
          <w:left w:w="108" w:type="dxa"/>
          <w:bottom w:w="0" w:type="dxa"/>
          <w:right w:w="108" w:type="dxa"/>
        </w:tblCellMar>
      </w:tblPr>
      <w:tblGrid>
        <w:gridCol w:w="534"/>
        <w:gridCol w:w="896"/>
        <w:gridCol w:w="663"/>
        <w:gridCol w:w="709"/>
        <w:gridCol w:w="1134"/>
        <w:gridCol w:w="931"/>
        <w:gridCol w:w="1020"/>
        <w:gridCol w:w="994"/>
        <w:gridCol w:w="882"/>
        <w:gridCol w:w="850"/>
        <w:gridCol w:w="851"/>
      </w:tblGrid>
      <w:tr w14:paraId="6BB9EBB7">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center"/>
          </w:tcPr>
          <w:p w14:paraId="593A4890">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896" w:type="dxa"/>
            <w:tcBorders>
              <w:top w:val="single" w:color="000000" w:sz="4" w:space="0"/>
              <w:left w:val="nil"/>
              <w:bottom w:val="single" w:color="000000" w:sz="4" w:space="0"/>
              <w:right w:val="single" w:color="000000" w:sz="4" w:space="0"/>
            </w:tcBorders>
            <w:noWrap w:val="0"/>
            <w:vAlign w:val="center"/>
          </w:tcPr>
          <w:p w14:paraId="1F6D8EDC">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姓名</w:t>
            </w:r>
          </w:p>
        </w:tc>
        <w:tc>
          <w:tcPr>
            <w:tcW w:w="663" w:type="dxa"/>
            <w:tcBorders>
              <w:top w:val="single" w:color="000000" w:sz="4" w:space="0"/>
              <w:left w:val="nil"/>
              <w:bottom w:val="single" w:color="000000" w:sz="4" w:space="0"/>
              <w:right w:val="single" w:color="000000" w:sz="4" w:space="0"/>
            </w:tcBorders>
            <w:noWrap w:val="0"/>
            <w:vAlign w:val="center"/>
          </w:tcPr>
          <w:p w14:paraId="5160CBEC">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性别</w:t>
            </w:r>
          </w:p>
        </w:tc>
        <w:tc>
          <w:tcPr>
            <w:tcW w:w="709" w:type="dxa"/>
            <w:tcBorders>
              <w:top w:val="single" w:color="000000" w:sz="4" w:space="0"/>
              <w:left w:val="nil"/>
              <w:bottom w:val="single" w:color="000000" w:sz="4" w:space="0"/>
              <w:right w:val="single" w:color="000000" w:sz="4" w:space="0"/>
            </w:tcBorders>
            <w:noWrap w:val="0"/>
            <w:vAlign w:val="center"/>
          </w:tcPr>
          <w:p w14:paraId="75D933E8">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年龄</w:t>
            </w:r>
          </w:p>
        </w:tc>
        <w:tc>
          <w:tcPr>
            <w:tcW w:w="1134" w:type="dxa"/>
            <w:tcBorders>
              <w:top w:val="single" w:color="000000" w:sz="4" w:space="0"/>
              <w:left w:val="nil"/>
              <w:bottom w:val="single" w:color="000000" w:sz="4" w:space="0"/>
              <w:right w:val="single" w:color="000000" w:sz="4" w:space="0"/>
            </w:tcBorders>
            <w:noWrap w:val="0"/>
            <w:vAlign w:val="center"/>
          </w:tcPr>
          <w:p w14:paraId="4F5D799A">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专业</w:t>
            </w:r>
          </w:p>
        </w:tc>
        <w:tc>
          <w:tcPr>
            <w:tcW w:w="931" w:type="dxa"/>
            <w:tcBorders>
              <w:top w:val="single" w:color="000000" w:sz="4" w:space="0"/>
              <w:left w:val="nil"/>
              <w:bottom w:val="single" w:color="000000" w:sz="4" w:space="0"/>
              <w:right w:val="single" w:color="000000" w:sz="4" w:space="0"/>
            </w:tcBorders>
            <w:noWrap w:val="0"/>
            <w:vAlign w:val="center"/>
          </w:tcPr>
          <w:p w14:paraId="3F14DDE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学历</w:t>
            </w:r>
          </w:p>
        </w:tc>
        <w:tc>
          <w:tcPr>
            <w:tcW w:w="1020" w:type="dxa"/>
            <w:tcBorders>
              <w:top w:val="single" w:color="000000" w:sz="4" w:space="0"/>
              <w:left w:val="nil"/>
              <w:bottom w:val="single" w:color="000000" w:sz="4" w:space="0"/>
              <w:right w:val="single" w:color="000000" w:sz="4" w:space="0"/>
            </w:tcBorders>
            <w:noWrap w:val="0"/>
            <w:vAlign w:val="center"/>
          </w:tcPr>
          <w:p w14:paraId="790EBF65">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执业</w:t>
            </w:r>
          </w:p>
          <w:p w14:paraId="43250FF8">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资格</w:t>
            </w:r>
          </w:p>
        </w:tc>
        <w:tc>
          <w:tcPr>
            <w:tcW w:w="994" w:type="dxa"/>
            <w:tcBorders>
              <w:top w:val="single" w:color="000000" w:sz="4" w:space="0"/>
              <w:left w:val="nil"/>
              <w:bottom w:val="single" w:color="000000" w:sz="4" w:space="0"/>
              <w:right w:val="single" w:color="000000" w:sz="4" w:space="0"/>
            </w:tcBorders>
            <w:noWrap w:val="0"/>
            <w:vAlign w:val="center"/>
          </w:tcPr>
          <w:p w14:paraId="0D7BDD3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证书号</w:t>
            </w:r>
          </w:p>
        </w:tc>
        <w:tc>
          <w:tcPr>
            <w:tcW w:w="882" w:type="dxa"/>
            <w:tcBorders>
              <w:top w:val="single" w:color="000000" w:sz="4" w:space="0"/>
              <w:left w:val="nil"/>
              <w:bottom w:val="single" w:color="000000" w:sz="4" w:space="0"/>
              <w:right w:val="single" w:color="000000" w:sz="4" w:space="0"/>
            </w:tcBorders>
            <w:noWrap w:val="0"/>
            <w:vAlign w:val="center"/>
          </w:tcPr>
          <w:p w14:paraId="3AC28604">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技术职称</w:t>
            </w:r>
          </w:p>
        </w:tc>
        <w:tc>
          <w:tcPr>
            <w:tcW w:w="850" w:type="dxa"/>
            <w:tcBorders>
              <w:top w:val="single" w:color="000000" w:sz="4" w:space="0"/>
              <w:left w:val="nil"/>
              <w:bottom w:val="single" w:color="000000" w:sz="4" w:space="0"/>
              <w:right w:val="single" w:color="000000" w:sz="4" w:space="0"/>
            </w:tcBorders>
            <w:noWrap w:val="0"/>
            <w:vAlign w:val="center"/>
          </w:tcPr>
          <w:p w14:paraId="02028CCD">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相关工作年限</w:t>
            </w:r>
          </w:p>
        </w:tc>
        <w:tc>
          <w:tcPr>
            <w:tcW w:w="851" w:type="dxa"/>
            <w:tcBorders>
              <w:top w:val="single" w:color="000000" w:sz="4" w:space="0"/>
              <w:left w:val="nil"/>
              <w:bottom w:val="single" w:color="000000" w:sz="4" w:space="0"/>
              <w:right w:val="single" w:color="000000" w:sz="4" w:space="0"/>
            </w:tcBorders>
            <w:noWrap w:val="0"/>
            <w:vAlign w:val="center"/>
          </w:tcPr>
          <w:p w14:paraId="2EACEED9">
            <w:pPr>
              <w:widowControl/>
              <w:adjustRightInd w:val="0"/>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61607446">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52C9053">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A26F6A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CF0A50">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C40912E">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ECED7C6">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A5A1D2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224902CB">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18A0F40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0590A75">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2F34B0A1">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47A2FAD">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项目负责人</w:t>
            </w:r>
          </w:p>
        </w:tc>
      </w:tr>
      <w:tr w14:paraId="7EADC641">
        <w:tblPrEx>
          <w:tblCellMar>
            <w:top w:w="0" w:type="dxa"/>
            <w:left w:w="108" w:type="dxa"/>
            <w:bottom w:w="0" w:type="dxa"/>
            <w:right w:w="108" w:type="dxa"/>
          </w:tblCellMar>
        </w:tblPrEx>
        <w:trPr>
          <w:trHeight w:val="517" w:hRule="atLeast"/>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1D97773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1A3808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2E40586">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D1E528A">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C3AF9DE">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9AA130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561F7FF">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6EC1DD4E">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8BF4A71">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A2712F4">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21CDA36F">
            <w:pPr>
              <w:widowControl/>
              <w:adjustRightInd w:val="0"/>
              <w:rPr>
                <w:rFonts w:hint="eastAsia" w:ascii="宋体" w:hAnsi="宋体" w:cs="宋体"/>
                <w:color w:val="auto"/>
                <w:kern w:val="0"/>
                <w:szCs w:val="21"/>
                <w:highlight w:val="none"/>
              </w:rPr>
            </w:pPr>
          </w:p>
        </w:tc>
      </w:tr>
      <w:tr w14:paraId="784C5C18">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D913B8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B31C04B">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367C9EF1">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EE5DCD3">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95F81B">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72B5909D">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5BAD9AB">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0EC3D8D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F6F1D51">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728C53DA">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33878695">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080A5C09">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59348FDA">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6A3E6785">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D3116C2">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0C215C31">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E003F39">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7EAB9EA">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FB04023">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08371D3">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539B92B">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0720BB5E">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796B9589">
            <w:pPr>
              <w:widowControl/>
              <w:adjustRightInd w:val="0"/>
              <w:rPr>
                <w:rFonts w:hint="default" w:ascii="宋体" w:hAnsi="宋体" w:eastAsia="宋体" w:cs="宋体"/>
                <w:color w:val="auto"/>
                <w:kern w:val="0"/>
                <w:szCs w:val="21"/>
                <w:highlight w:val="none"/>
                <w:lang w:val="en-US" w:eastAsia="zh-CN"/>
              </w:rPr>
            </w:pPr>
            <w:r>
              <w:rPr>
                <w:rFonts w:hint="eastAsia" w:ascii="宋体" w:hAnsi="宋体" w:cs="宋体"/>
                <w:color w:val="auto"/>
                <w:kern w:val="0"/>
                <w:szCs w:val="21"/>
                <w:highlight w:val="none"/>
                <w:lang w:val="en-US" w:eastAsia="zh-CN"/>
              </w:rPr>
              <w:t>...</w:t>
            </w:r>
          </w:p>
        </w:tc>
      </w:tr>
      <w:tr w14:paraId="79FC0D74">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3E790B12">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7094C010">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16C97204">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180D5648">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0E12B02">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4C6283B2">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3A449CB7">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7FD34A1">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6F49AEAC">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1F1D238D">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58AA335">
            <w:pPr>
              <w:widowControl/>
              <w:adjustRightInd w:val="0"/>
              <w:rPr>
                <w:rFonts w:hint="eastAsia" w:ascii="宋体" w:hAnsi="宋体" w:cs="宋体"/>
                <w:color w:val="auto"/>
                <w:kern w:val="0"/>
                <w:szCs w:val="21"/>
                <w:highlight w:val="none"/>
              </w:rPr>
            </w:pPr>
          </w:p>
        </w:tc>
      </w:tr>
      <w:tr w14:paraId="57BF9CCB">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017E4D8D">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3C0A06F4">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764A6312">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35267F37">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023FFA45">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5DE23694">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54FBBF45">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71BC2299">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4020DA4F">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3D02A326">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F78A64F">
            <w:pPr>
              <w:widowControl/>
              <w:adjustRightInd w:val="0"/>
              <w:rPr>
                <w:rFonts w:hint="eastAsia" w:ascii="宋体" w:hAnsi="宋体" w:cs="宋体"/>
                <w:color w:val="auto"/>
                <w:kern w:val="0"/>
                <w:szCs w:val="21"/>
                <w:highlight w:val="none"/>
              </w:rPr>
            </w:pPr>
          </w:p>
        </w:tc>
      </w:tr>
      <w:tr w14:paraId="09479BCF">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6F2A8F2F">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4785C082">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5E02F6B0">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2095BDBF">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AF45AF1">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64E33416">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7736350A">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3FEAF22B">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3F1D5A1D">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43F71161">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61414C6A">
            <w:pPr>
              <w:widowControl/>
              <w:adjustRightInd w:val="0"/>
              <w:rPr>
                <w:rFonts w:hint="eastAsia" w:ascii="宋体" w:hAnsi="宋体" w:cs="宋体"/>
                <w:color w:val="auto"/>
                <w:kern w:val="0"/>
                <w:szCs w:val="21"/>
                <w:highlight w:val="none"/>
              </w:rPr>
            </w:pPr>
          </w:p>
        </w:tc>
      </w:tr>
      <w:tr w14:paraId="1C897DBD">
        <w:tblPrEx>
          <w:tblCellMar>
            <w:top w:w="0" w:type="dxa"/>
            <w:left w:w="108" w:type="dxa"/>
            <w:bottom w:w="0" w:type="dxa"/>
            <w:right w:w="108" w:type="dxa"/>
          </w:tblCellMar>
        </w:tblPrEx>
        <w:trPr>
          <w:jc w:val="center"/>
        </w:trPr>
        <w:tc>
          <w:tcPr>
            <w:tcW w:w="534" w:type="dxa"/>
            <w:tcBorders>
              <w:top w:val="single" w:color="000000" w:sz="4" w:space="0"/>
              <w:left w:val="single" w:color="000000" w:sz="4" w:space="0"/>
              <w:bottom w:val="single" w:color="000000" w:sz="4" w:space="0"/>
              <w:right w:val="single" w:color="000000" w:sz="4" w:space="0"/>
            </w:tcBorders>
            <w:noWrap w:val="0"/>
            <w:vAlign w:val="top"/>
          </w:tcPr>
          <w:p w14:paraId="23350CB6">
            <w:pPr>
              <w:widowControl/>
              <w:adjustRightInd w:val="0"/>
              <w:rPr>
                <w:rFonts w:hint="eastAsia" w:ascii="宋体" w:hAnsi="宋体" w:cs="宋体"/>
                <w:color w:val="auto"/>
                <w:kern w:val="0"/>
                <w:szCs w:val="21"/>
                <w:highlight w:val="none"/>
              </w:rPr>
            </w:pPr>
          </w:p>
        </w:tc>
        <w:tc>
          <w:tcPr>
            <w:tcW w:w="896" w:type="dxa"/>
            <w:tcBorders>
              <w:top w:val="single" w:color="000000" w:sz="4" w:space="0"/>
              <w:left w:val="nil"/>
              <w:bottom w:val="single" w:color="000000" w:sz="4" w:space="0"/>
              <w:right w:val="single" w:color="000000" w:sz="4" w:space="0"/>
            </w:tcBorders>
            <w:noWrap w:val="0"/>
            <w:vAlign w:val="top"/>
          </w:tcPr>
          <w:p w14:paraId="008C4BF8">
            <w:pPr>
              <w:widowControl/>
              <w:adjustRightInd w:val="0"/>
              <w:rPr>
                <w:rFonts w:hint="eastAsia" w:ascii="宋体" w:hAnsi="宋体" w:cs="宋体"/>
                <w:color w:val="auto"/>
                <w:kern w:val="0"/>
                <w:szCs w:val="21"/>
                <w:highlight w:val="none"/>
              </w:rPr>
            </w:pPr>
          </w:p>
        </w:tc>
        <w:tc>
          <w:tcPr>
            <w:tcW w:w="663" w:type="dxa"/>
            <w:tcBorders>
              <w:top w:val="single" w:color="000000" w:sz="4" w:space="0"/>
              <w:left w:val="nil"/>
              <w:bottom w:val="single" w:color="000000" w:sz="4" w:space="0"/>
              <w:right w:val="single" w:color="000000" w:sz="4" w:space="0"/>
            </w:tcBorders>
            <w:noWrap w:val="0"/>
            <w:vAlign w:val="top"/>
          </w:tcPr>
          <w:p w14:paraId="2A56F7CC">
            <w:pPr>
              <w:widowControl/>
              <w:adjustRightInd w:val="0"/>
              <w:rPr>
                <w:rFonts w:hint="eastAsia" w:ascii="宋体" w:hAnsi="宋体" w:cs="宋体"/>
                <w:color w:val="auto"/>
                <w:kern w:val="0"/>
                <w:szCs w:val="21"/>
                <w:highlight w:val="none"/>
              </w:rPr>
            </w:pPr>
          </w:p>
        </w:tc>
        <w:tc>
          <w:tcPr>
            <w:tcW w:w="709" w:type="dxa"/>
            <w:tcBorders>
              <w:top w:val="single" w:color="000000" w:sz="4" w:space="0"/>
              <w:left w:val="nil"/>
              <w:bottom w:val="single" w:color="000000" w:sz="4" w:space="0"/>
              <w:right w:val="single" w:color="000000" w:sz="4" w:space="0"/>
            </w:tcBorders>
            <w:noWrap w:val="0"/>
            <w:vAlign w:val="top"/>
          </w:tcPr>
          <w:p w14:paraId="7C50B77B">
            <w:pPr>
              <w:widowControl/>
              <w:adjustRightInd w:val="0"/>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A199B3">
            <w:pPr>
              <w:widowControl/>
              <w:adjustRightInd w:val="0"/>
              <w:rPr>
                <w:rFonts w:hint="eastAsia" w:ascii="宋体" w:hAnsi="宋体" w:cs="宋体"/>
                <w:color w:val="auto"/>
                <w:kern w:val="0"/>
                <w:szCs w:val="21"/>
                <w:highlight w:val="none"/>
              </w:rPr>
            </w:pPr>
          </w:p>
        </w:tc>
        <w:tc>
          <w:tcPr>
            <w:tcW w:w="931" w:type="dxa"/>
            <w:tcBorders>
              <w:top w:val="single" w:color="000000" w:sz="4" w:space="0"/>
              <w:left w:val="nil"/>
              <w:bottom w:val="single" w:color="000000" w:sz="4" w:space="0"/>
              <w:right w:val="single" w:color="000000" w:sz="4" w:space="0"/>
            </w:tcBorders>
            <w:noWrap w:val="0"/>
            <w:vAlign w:val="top"/>
          </w:tcPr>
          <w:p w14:paraId="1388907F">
            <w:pPr>
              <w:widowControl/>
              <w:adjustRightInd w:val="0"/>
              <w:rPr>
                <w:rFonts w:hint="eastAsia" w:ascii="宋体" w:hAnsi="宋体" w:cs="宋体"/>
                <w:color w:val="auto"/>
                <w:kern w:val="0"/>
                <w:szCs w:val="21"/>
                <w:highlight w:val="none"/>
              </w:rPr>
            </w:pPr>
          </w:p>
        </w:tc>
        <w:tc>
          <w:tcPr>
            <w:tcW w:w="1020" w:type="dxa"/>
            <w:tcBorders>
              <w:top w:val="single" w:color="000000" w:sz="4" w:space="0"/>
              <w:left w:val="nil"/>
              <w:bottom w:val="single" w:color="000000" w:sz="4" w:space="0"/>
              <w:right w:val="single" w:color="000000" w:sz="4" w:space="0"/>
            </w:tcBorders>
            <w:noWrap w:val="0"/>
            <w:vAlign w:val="top"/>
          </w:tcPr>
          <w:p w14:paraId="07414D8C">
            <w:pPr>
              <w:widowControl/>
              <w:adjustRightInd w:val="0"/>
              <w:rPr>
                <w:rFonts w:hint="eastAsia" w:ascii="宋体" w:hAnsi="宋体" w:cs="宋体"/>
                <w:color w:val="auto"/>
                <w:kern w:val="0"/>
                <w:szCs w:val="21"/>
                <w:highlight w:val="none"/>
              </w:rPr>
            </w:pPr>
          </w:p>
        </w:tc>
        <w:tc>
          <w:tcPr>
            <w:tcW w:w="994" w:type="dxa"/>
            <w:tcBorders>
              <w:top w:val="single" w:color="000000" w:sz="4" w:space="0"/>
              <w:left w:val="nil"/>
              <w:bottom w:val="single" w:color="000000" w:sz="4" w:space="0"/>
              <w:right w:val="single" w:color="000000" w:sz="4" w:space="0"/>
            </w:tcBorders>
            <w:noWrap w:val="0"/>
            <w:vAlign w:val="top"/>
          </w:tcPr>
          <w:p w14:paraId="561A8B8C">
            <w:pPr>
              <w:widowControl/>
              <w:adjustRightInd w:val="0"/>
              <w:rPr>
                <w:rFonts w:hint="eastAsia" w:ascii="宋体" w:hAnsi="宋体" w:cs="宋体"/>
                <w:color w:val="auto"/>
                <w:kern w:val="0"/>
                <w:szCs w:val="21"/>
                <w:highlight w:val="none"/>
              </w:rPr>
            </w:pPr>
          </w:p>
        </w:tc>
        <w:tc>
          <w:tcPr>
            <w:tcW w:w="882" w:type="dxa"/>
            <w:tcBorders>
              <w:top w:val="single" w:color="000000" w:sz="4" w:space="0"/>
              <w:left w:val="nil"/>
              <w:bottom w:val="single" w:color="000000" w:sz="4" w:space="0"/>
              <w:right w:val="single" w:color="000000" w:sz="4" w:space="0"/>
            </w:tcBorders>
            <w:noWrap w:val="0"/>
            <w:vAlign w:val="top"/>
          </w:tcPr>
          <w:p w14:paraId="2B39288B">
            <w:pPr>
              <w:widowControl/>
              <w:adjustRightInd w:val="0"/>
              <w:rPr>
                <w:rFonts w:hint="eastAsia" w:ascii="宋体" w:hAnsi="宋体" w:cs="宋体"/>
                <w:color w:val="auto"/>
                <w:kern w:val="0"/>
                <w:szCs w:val="21"/>
                <w:highlight w:val="none"/>
              </w:rPr>
            </w:pPr>
          </w:p>
        </w:tc>
        <w:tc>
          <w:tcPr>
            <w:tcW w:w="850" w:type="dxa"/>
            <w:tcBorders>
              <w:top w:val="single" w:color="000000" w:sz="4" w:space="0"/>
              <w:left w:val="nil"/>
              <w:bottom w:val="single" w:color="000000" w:sz="4" w:space="0"/>
              <w:right w:val="single" w:color="000000" w:sz="4" w:space="0"/>
            </w:tcBorders>
            <w:noWrap w:val="0"/>
            <w:vAlign w:val="top"/>
          </w:tcPr>
          <w:p w14:paraId="60A0C036">
            <w:pPr>
              <w:widowControl/>
              <w:adjustRightInd w:val="0"/>
              <w:rPr>
                <w:rFonts w:hint="eastAsia" w:ascii="宋体" w:hAnsi="宋体" w:cs="宋体"/>
                <w:color w:val="auto"/>
                <w:kern w:val="0"/>
                <w:szCs w:val="21"/>
                <w:highlight w:val="none"/>
              </w:rPr>
            </w:pPr>
          </w:p>
        </w:tc>
        <w:tc>
          <w:tcPr>
            <w:tcW w:w="851" w:type="dxa"/>
            <w:tcBorders>
              <w:top w:val="single" w:color="000000" w:sz="4" w:space="0"/>
              <w:left w:val="nil"/>
              <w:bottom w:val="single" w:color="000000" w:sz="4" w:space="0"/>
              <w:right w:val="single" w:color="000000" w:sz="4" w:space="0"/>
            </w:tcBorders>
            <w:noWrap w:val="0"/>
            <w:vAlign w:val="top"/>
          </w:tcPr>
          <w:p w14:paraId="17E7E9CA">
            <w:pPr>
              <w:widowControl/>
              <w:adjustRightInd w:val="0"/>
              <w:rPr>
                <w:rFonts w:hint="eastAsia" w:ascii="宋体" w:hAnsi="宋体" w:cs="宋体"/>
                <w:color w:val="auto"/>
                <w:kern w:val="0"/>
                <w:szCs w:val="21"/>
                <w:highlight w:val="none"/>
              </w:rPr>
            </w:pPr>
          </w:p>
        </w:tc>
      </w:tr>
    </w:tbl>
    <w:p w14:paraId="5B525332">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1、项目负责人-（姓名：    ）</w:t>
      </w:r>
    </w:p>
    <w:p w14:paraId="4544F471">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38AA8936">
      <w:pPr>
        <w:widowControl/>
        <w:adjustRightInd w:val="0"/>
        <w:spacing w:line="360" w:lineRule="auto"/>
        <w:rPr>
          <w:rFonts w:hint="eastAsia" w:ascii="宋体" w:hAnsi="宋体" w:cs="宋体"/>
          <w:b/>
          <w:bCs/>
          <w:color w:val="auto"/>
          <w:kern w:val="0"/>
          <w:szCs w:val="21"/>
          <w:highlight w:val="none"/>
          <w:lang w:val="en-US" w:eastAsia="zh-CN"/>
        </w:rPr>
      </w:pPr>
    </w:p>
    <w:p w14:paraId="45F54648">
      <w:pPr>
        <w:widowControl/>
        <w:adjustRightInd w:val="0"/>
        <w:spacing w:line="360" w:lineRule="auto"/>
        <w:rPr>
          <w:rFonts w:hint="eastAsia" w:ascii="宋体" w:hAnsi="宋体" w:cs="宋体"/>
          <w:b/>
          <w:bCs/>
          <w:color w:val="auto"/>
          <w:kern w:val="0"/>
          <w:szCs w:val="21"/>
          <w:highlight w:val="none"/>
          <w:lang w:val="en-US" w:eastAsia="zh-CN"/>
        </w:rPr>
      </w:pPr>
    </w:p>
    <w:p w14:paraId="74294FB7">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474D2BA2">
      <w:pPr>
        <w:spacing w:line="360" w:lineRule="auto"/>
        <w:rPr>
          <w:rFonts w:hint="eastAsia" w:ascii="宋体" w:hAnsi="宋体" w:cs="宋体"/>
          <w:b/>
          <w:bCs/>
          <w:color w:val="auto"/>
          <w:highlight w:val="none"/>
        </w:rPr>
      </w:pPr>
    </w:p>
    <w:p w14:paraId="2DC6C9E3">
      <w:pPr>
        <w:spacing w:line="360" w:lineRule="auto"/>
        <w:rPr>
          <w:rFonts w:hint="eastAsia" w:ascii="宋体" w:hAnsi="宋体" w:cs="宋体"/>
          <w:b/>
          <w:bCs/>
          <w:color w:val="auto"/>
          <w:highlight w:val="none"/>
        </w:rPr>
      </w:pPr>
    </w:p>
    <w:p w14:paraId="5464D997">
      <w:pPr>
        <w:spacing w:line="360" w:lineRule="auto"/>
        <w:rPr>
          <w:rFonts w:hint="eastAsia" w:ascii="宋体" w:hAnsi="宋体" w:eastAsia="宋体" w:cs="宋体"/>
          <w:b/>
          <w:bCs/>
          <w:color w:val="auto"/>
          <w:highlight w:val="none"/>
          <w:lang w:eastAsia="zh-CN"/>
        </w:rPr>
      </w:pPr>
      <w:r>
        <w:rPr>
          <w:rFonts w:hint="eastAsia" w:ascii="宋体" w:hAnsi="宋体" w:cs="宋体"/>
          <w:b/>
          <w:bCs/>
          <w:color w:val="auto"/>
          <w:highlight w:val="none"/>
          <w:lang w:eastAsia="zh-CN"/>
        </w:rPr>
        <w:t>…………</w:t>
      </w:r>
    </w:p>
    <w:p w14:paraId="215B2332">
      <w:pPr>
        <w:widowControl/>
        <w:adjustRightInd w:val="0"/>
        <w:spacing w:line="360" w:lineRule="auto"/>
        <w:rPr>
          <w:rFonts w:hint="default" w:ascii="宋体" w:hAnsi="宋体" w:eastAsia="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2、成员-（姓名：    ）</w:t>
      </w:r>
    </w:p>
    <w:p w14:paraId="37678849">
      <w:pPr>
        <w:widowControl/>
        <w:adjustRightInd w:val="0"/>
        <w:spacing w:line="360" w:lineRule="auto"/>
        <w:rPr>
          <w:rFonts w:hint="eastAsia"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1</w:t>
      </w:r>
      <w:r>
        <w:rPr>
          <w:rFonts w:hint="eastAsia" w:ascii="宋体" w:hAnsi="宋体" w:cs="宋体"/>
          <w:b/>
          <w:bCs/>
          <w:color w:val="auto"/>
          <w:kern w:val="0"/>
          <w:szCs w:val="21"/>
          <w:highlight w:val="none"/>
          <w:lang w:eastAsia="zh-CN"/>
        </w:rPr>
        <w:t>）</w:t>
      </w:r>
      <w:r>
        <w:rPr>
          <w:rFonts w:hint="eastAsia" w:ascii="宋体" w:hAnsi="宋体" w:cs="宋体"/>
          <w:b/>
          <w:bCs/>
          <w:color w:val="auto"/>
          <w:kern w:val="0"/>
          <w:szCs w:val="21"/>
          <w:highlight w:val="none"/>
          <w:lang w:val="en-US" w:eastAsia="zh-CN"/>
        </w:rPr>
        <w:t>证书证明材料</w:t>
      </w:r>
    </w:p>
    <w:p w14:paraId="6A8613B9">
      <w:pPr>
        <w:widowControl/>
        <w:adjustRightInd w:val="0"/>
        <w:spacing w:line="360" w:lineRule="auto"/>
        <w:rPr>
          <w:rFonts w:hint="eastAsia" w:ascii="宋体" w:hAnsi="宋体" w:cs="宋体"/>
          <w:b/>
          <w:bCs/>
          <w:color w:val="auto"/>
          <w:kern w:val="0"/>
          <w:szCs w:val="21"/>
          <w:highlight w:val="none"/>
          <w:lang w:val="en-US" w:eastAsia="zh-CN"/>
        </w:rPr>
      </w:pPr>
    </w:p>
    <w:p w14:paraId="20140DBF">
      <w:pPr>
        <w:widowControl/>
        <w:adjustRightInd w:val="0"/>
        <w:spacing w:line="360" w:lineRule="auto"/>
        <w:rPr>
          <w:rFonts w:hint="eastAsia" w:ascii="宋体" w:hAnsi="宋体" w:cs="宋体"/>
          <w:b/>
          <w:bCs/>
          <w:color w:val="auto"/>
          <w:kern w:val="0"/>
          <w:szCs w:val="21"/>
          <w:highlight w:val="none"/>
          <w:lang w:val="en-US" w:eastAsia="zh-CN"/>
        </w:rPr>
      </w:pPr>
    </w:p>
    <w:p w14:paraId="66E1DD14">
      <w:pPr>
        <w:widowControl/>
        <w:adjustRightInd w:val="0"/>
        <w:spacing w:line="360" w:lineRule="auto"/>
        <w:rPr>
          <w:rFonts w:hint="default" w:ascii="宋体" w:hAnsi="宋体" w:cs="宋体"/>
          <w:b/>
          <w:bCs/>
          <w:color w:val="auto"/>
          <w:kern w:val="0"/>
          <w:szCs w:val="21"/>
          <w:highlight w:val="none"/>
          <w:lang w:val="en-US" w:eastAsia="zh-CN"/>
        </w:rPr>
      </w:pPr>
      <w:r>
        <w:rPr>
          <w:rFonts w:hint="eastAsia" w:ascii="宋体" w:hAnsi="宋体" w:cs="宋体"/>
          <w:b/>
          <w:bCs/>
          <w:color w:val="auto"/>
          <w:kern w:val="0"/>
          <w:szCs w:val="21"/>
          <w:highlight w:val="none"/>
          <w:lang w:val="en-US" w:eastAsia="zh-CN"/>
        </w:rPr>
        <w:t>（2）社保证明材料</w:t>
      </w:r>
    </w:p>
    <w:p w14:paraId="606740E3">
      <w:pPr>
        <w:spacing w:line="360" w:lineRule="auto"/>
        <w:rPr>
          <w:rFonts w:hint="eastAsia" w:ascii="宋体" w:hAnsi="宋体" w:cs="宋体"/>
          <w:b/>
          <w:bCs/>
          <w:color w:val="auto"/>
          <w:highlight w:val="none"/>
        </w:rPr>
      </w:pPr>
    </w:p>
    <w:p w14:paraId="1DB4AB31">
      <w:pPr>
        <w:spacing w:line="360" w:lineRule="auto"/>
        <w:rPr>
          <w:rFonts w:hint="eastAsia" w:ascii="宋体" w:hAnsi="宋体" w:cs="宋体"/>
          <w:b/>
          <w:bCs/>
          <w:color w:val="auto"/>
          <w:highlight w:val="none"/>
        </w:rPr>
      </w:pPr>
    </w:p>
    <w:p w14:paraId="07139662">
      <w:pPr>
        <w:spacing w:line="360" w:lineRule="auto"/>
        <w:rPr>
          <w:rFonts w:hint="eastAsia" w:ascii="宋体" w:hAnsi="宋体" w:cs="宋体"/>
          <w:b/>
          <w:color w:val="auto"/>
          <w:highlight w:val="none"/>
        </w:rPr>
      </w:pPr>
      <w:r>
        <w:rPr>
          <w:rFonts w:hint="eastAsia" w:ascii="宋体" w:hAnsi="宋体" w:cs="宋体"/>
          <w:b/>
          <w:bCs/>
          <w:color w:val="auto"/>
          <w:highlight w:val="none"/>
          <w:lang w:eastAsia="zh-CN"/>
        </w:rPr>
        <w:t>…………</w:t>
      </w:r>
    </w:p>
    <w:p w14:paraId="3E4C2D05">
      <w:pPr>
        <w:rPr>
          <w:rFonts w:hint="eastAsia" w:ascii="宋体" w:hAnsi="宋体" w:cs="宋体"/>
          <w:b/>
          <w:color w:val="auto"/>
          <w:highlight w:val="none"/>
        </w:rPr>
      </w:pPr>
    </w:p>
    <w:p w14:paraId="0DD93873">
      <w:pPr>
        <w:rPr>
          <w:rFonts w:hint="eastAsia" w:ascii="宋体" w:hAnsi="宋体" w:cs="宋体"/>
          <w:b/>
          <w:color w:val="auto"/>
          <w:highlight w:val="none"/>
        </w:rPr>
      </w:pPr>
      <w:r>
        <w:rPr>
          <w:rFonts w:hint="eastAsia" w:ascii="宋体" w:hAnsi="宋体" w:cs="宋体"/>
          <w:b/>
          <w:color w:val="auto"/>
          <w:highlight w:val="none"/>
        </w:rPr>
        <w:br w:type="page"/>
      </w:r>
    </w:p>
    <w:p w14:paraId="407E8E59">
      <w:pPr>
        <w:widowControl/>
        <w:adjustRightInd w:val="0"/>
        <w:spacing w:line="360" w:lineRule="auto"/>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附件九、 投标人类似业绩情况表</w:t>
      </w:r>
    </w:p>
    <w:p w14:paraId="6E3BC102">
      <w:pPr>
        <w:widowControl/>
        <w:adjustRightInd w:val="0"/>
        <w:spacing w:line="360" w:lineRule="auto"/>
        <w:jc w:val="center"/>
        <w:rPr>
          <w:rFonts w:hint="eastAsia" w:ascii="宋体" w:hAnsi="宋体" w:cs="宋体"/>
          <w:b/>
          <w:bCs/>
          <w:color w:val="auto"/>
          <w:kern w:val="0"/>
          <w:sz w:val="24"/>
          <w:highlight w:val="none"/>
        </w:rPr>
      </w:pPr>
    </w:p>
    <w:p w14:paraId="769772C2">
      <w:pPr>
        <w:widowControl/>
        <w:adjustRightInd w:val="0"/>
        <w:spacing w:line="360" w:lineRule="auto"/>
        <w:jc w:val="center"/>
        <w:rPr>
          <w:rFonts w:hint="eastAsia" w:ascii="宋体" w:hAnsi="宋体" w:cs="宋体"/>
          <w:b/>
          <w:bCs/>
          <w:color w:val="auto"/>
          <w:kern w:val="0"/>
          <w:sz w:val="24"/>
          <w:highlight w:val="none"/>
        </w:rPr>
      </w:pPr>
      <w:r>
        <w:rPr>
          <w:rFonts w:hint="eastAsia" w:ascii="宋体" w:hAnsi="宋体" w:cs="宋体"/>
          <w:b/>
          <w:bCs/>
          <w:color w:val="auto"/>
          <w:kern w:val="0"/>
          <w:sz w:val="24"/>
          <w:highlight w:val="none"/>
        </w:rPr>
        <w:t>投标人类似业绩情况表</w:t>
      </w:r>
    </w:p>
    <w:tbl>
      <w:tblPr>
        <w:tblStyle w:val="46"/>
        <w:tblW w:w="8436" w:type="dxa"/>
        <w:jc w:val="center"/>
        <w:tblLayout w:type="fixed"/>
        <w:tblCellMar>
          <w:top w:w="0" w:type="dxa"/>
          <w:left w:w="108" w:type="dxa"/>
          <w:bottom w:w="0" w:type="dxa"/>
          <w:right w:w="108" w:type="dxa"/>
        </w:tblCellMar>
      </w:tblPr>
      <w:tblGrid>
        <w:gridCol w:w="682"/>
        <w:gridCol w:w="1559"/>
        <w:gridCol w:w="1418"/>
        <w:gridCol w:w="992"/>
        <w:gridCol w:w="1517"/>
        <w:gridCol w:w="1134"/>
        <w:gridCol w:w="1134"/>
      </w:tblGrid>
      <w:tr w14:paraId="1B9702AE">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center"/>
          </w:tcPr>
          <w:p w14:paraId="323A9D17">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序号</w:t>
            </w:r>
          </w:p>
        </w:tc>
        <w:tc>
          <w:tcPr>
            <w:tcW w:w="1559" w:type="dxa"/>
            <w:tcBorders>
              <w:top w:val="single" w:color="000000" w:sz="4" w:space="0"/>
              <w:left w:val="nil"/>
              <w:bottom w:val="single" w:color="000000" w:sz="4" w:space="0"/>
              <w:right w:val="single" w:color="000000" w:sz="4" w:space="0"/>
            </w:tcBorders>
            <w:noWrap w:val="0"/>
            <w:vAlign w:val="center"/>
          </w:tcPr>
          <w:p w14:paraId="2B5912B0">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项目名称</w:t>
            </w:r>
          </w:p>
        </w:tc>
        <w:tc>
          <w:tcPr>
            <w:tcW w:w="1418" w:type="dxa"/>
            <w:tcBorders>
              <w:top w:val="single" w:color="000000" w:sz="4" w:space="0"/>
              <w:left w:val="nil"/>
              <w:bottom w:val="single" w:color="000000" w:sz="4" w:space="0"/>
              <w:right w:val="single" w:color="000000" w:sz="4" w:space="0"/>
            </w:tcBorders>
            <w:noWrap w:val="0"/>
            <w:vAlign w:val="center"/>
          </w:tcPr>
          <w:p w14:paraId="480AC8CB">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业主单位</w:t>
            </w:r>
          </w:p>
        </w:tc>
        <w:tc>
          <w:tcPr>
            <w:tcW w:w="992" w:type="dxa"/>
            <w:tcBorders>
              <w:top w:val="single" w:color="000000" w:sz="4" w:space="0"/>
              <w:left w:val="nil"/>
              <w:bottom w:val="single" w:color="000000" w:sz="4" w:space="0"/>
              <w:right w:val="single" w:color="000000" w:sz="4" w:space="0"/>
            </w:tcBorders>
            <w:noWrap w:val="0"/>
            <w:vAlign w:val="center"/>
          </w:tcPr>
          <w:p w14:paraId="4991660C">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项目</w:t>
            </w:r>
          </w:p>
          <w:p w14:paraId="50529BC2">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规模</w:t>
            </w:r>
          </w:p>
        </w:tc>
        <w:tc>
          <w:tcPr>
            <w:tcW w:w="1517" w:type="dxa"/>
            <w:tcBorders>
              <w:top w:val="single" w:color="000000" w:sz="4" w:space="0"/>
              <w:left w:val="nil"/>
              <w:bottom w:val="single" w:color="000000" w:sz="4" w:space="0"/>
              <w:right w:val="single" w:color="000000" w:sz="4" w:space="0"/>
            </w:tcBorders>
            <w:noWrap w:val="0"/>
            <w:vAlign w:val="center"/>
          </w:tcPr>
          <w:p w14:paraId="138743D1">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签约及服务</w:t>
            </w:r>
          </w:p>
          <w:p w14:paraId="17FF67F4">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时间</w:t>
            </w:r>
          </w:p>
        </w:tc>
        <w:tc>
          <w:tcPr>
            <w:tcW w:w="1134" w:type="dxa"/>
            <w:tcBorders>
              <w:top w:val="single" w:color="000000" w:sz="4" w:space="0"/>
              <w:left w:val="nil"/>
              <w:bottom w:val="single" w:color="000000" w:sz="4" w:space="0"/>
              <w:right w:val="single" w:color="000000" w:sz="4" w:space="0"/>
            </w:tcBorders>
            <w:noWrap w:val="0"/>
            <w:vAlign w:val="center"/>
          </w:tcPr>
          <w:p w14:paraId="60487287">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联系人及电话</w:t>
            </w:r>
          </w:p>
        </w:tc>
        <w:tc>
          <w:tcPr>
            <w:tcW w:w="1134" w:type="dxa"/>
            <w:tcBorders>
              <w:top w:val="single" w:color="000000" w:sz="4" w:space="0"/>
              <w:left w:val="nil"/>
              <w:bottom w:val="single" w:color="000000" w:sz="4" w:space="0"/>
              <w:right w:val="single" w:color="000000" w:sz="4" w:space="0"/>
            </w:tcBorders>
            <w:noWrap w:val="0"/>
            <w:vAlign w:val="center"/>
          </w:tcPr>
          <w:p w14:paraId="7B454F96">
            <w:pPr>
              <w:widowControl/>
              <w:spacing w:line="400" w:lineRule="atLeast"/>
              <w:jc w:val="center"/>
              <w:rPr>
                <w:rFonts w:hint="eastAsia" w:ascii="宋体" w:hAnsi="宋体" w:cs="宋体"/>
                <w:b/>
                <w:bCs/>
                <w:color w:val="auto"/>
                <w:kern w:val="0"/>
                <w:szCs w:val="21"/>
                <w:highlight w:val="none"/>
              </w:rPr>
            </w:pPr>
            <w:r>
              <w:rPr>
                <w:rFonts w:hint="eastAsia" w:ascii="宋体" w:hAnsi="宋体" w:cs="宋体"/>
                <w:b/>
                <w:bCs/>
                <w:color w:val="auto"/>
                <w:kern w:val="0"/>
                <w:szCs w:val="21"/>
                <w:highlight w:val="none"/>
              </w:rPr>
              <w:t>备注</w:t>
            </w:r>
          </w:p>
        </w:tc>
      </w:tr>
      <w:tr w14:paraId="4FE7AFF8">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61EC323B">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A9CDBE6">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156C6A9E">
            <w:pPr>
              <w:widowControl/>
              <w:spacing w:line="400" w:lineRule="atLeast"/>
              <w:ind w:firstLine="120"/>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68604D9">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29399B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F060D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47844060">
            <w:pPr>
              <w:widowControl/>
              <w:spacing w:line="400" w:lineRule="atLeast"/>
              <w:jc w:val="center"/>
              <w:rPr>
                <w:rFonts w:hint="eastAsia" w:ascii="宋体" w:hAnsi="宋体" w:cs="宋体"/>
                <w:color w:val="auto"/>
                <w:kern w:val="0"/>
                <w:szCs w:val="21"/>
                <w:highlight w:val="none"/>
              </w:rPr>
            </w:pPr>
          </w:p>
        </w:tc>
      </w:tr>
      <w:tr w14:paraId="72AFF28C">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0BD21F00">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A4132FE">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46042BC3">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61278DE4">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CC4E8E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59841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2AD31">
            <w:pPr>
              <w:widowControl/>
              <w:spacing w:line="400" w:lineRule="atLeast"/>
              <w:jc w:val="center"/>
              <w:rPr>
                <w:rFonts w:hint="eastAsia" w:ascii="宋体" w:hAnsi="宋体" w:cs="宋体"/>
                <w:color w:val="auto"/>
                <w:kern w:val="0"/>
                <w:szCs w:val="21"/>
                <w:highlight w:val="none"/>
              </w:rPr>
            </w:pPr>
          </w:p>
        </w:tc>
      </w:tr>
      <w:tr w14:paraId="16678C2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952B85">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5FAEBCC4">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3ECBCFAD">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1B1FB3C">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554FBE24">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84708F6">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6355957D">
            <w:pPr>
              <w:widowControl/>
              <w:spacing w:line="400" w:lineRule="atLeast"/>
              <w:jc w:val="center"/>
              <w:rPr>
                <w:rFonts w:hint="eastAsia" w:ascii="宋体" w:hAnsi="宋体" w:cs="宋体"/>
                <w:color w:val="auto"/>
                <w:kern w:val="0"/>
                <w:szCs w:val="21"/>
                <w:highlight w:val="none"/>
              </w:rPr>
            </w:pPr>
          </w:p>
        </w:tc>
      </w:tr>
      <w:tr w14:paraId="6F4DE92B">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509F6C1D">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41C08757">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26A21E6">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321DA3ED">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7D85E1">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7305DDE">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7F644057">
            <w:pPr>
              <w:widowControl/>
              <w:spacing w:line="400" w:lineRule="atLeast"/>
              <w:jc w:val="center"/>
              <w:rPr>
                <w:rFonts w:hint="eastAsia" w:ascii="宋体" w:hAnsi="宋体" w:cs="宋体"/>
                <w:color w:val="auto"/>
                <w:kern w:val="0"/>
                <w:szCs w:val="21"/>
                <w:highlight w:val="none"/>
              </w:rPr>
            </w:pPr>
          </w:p>
        </w:tc>
      </w:tr>
      <w:tr w14:paraId="58781ABA">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1D6BEE6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11C1FE99">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8B9D94D">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73F6BE63">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D1ABBF2">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9A227A0">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0A1692E">
            <w:pPr>
              <w:widowControl/>
              <w:spacing w:line="400" w:lineRule="atLeast"/>
              <w:jc w:val="center"/>
              <w:rPr>
                <w:rFonts w:hint="eastAsia" w:ascii="宋体" w:hAnsi="宋体" w:cs="宋体"/>
                <w:color w:val="auto"/>
                <w:kern w:val="0"/>
                <w:szCs w:val="21"/>
                <w:highlight w:val="none"/>
              </w:rPr>
            </w:pPr>
          </w:p>
        </w:tc>
      </w:tr>
      <w:tr w14:paraId="454A3595">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21A6D530">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2799DF52">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CFBB628">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2016B7FB">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783B4F71">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56939FF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DCD83B4">
            <w:pPr>
              <w:widowControl/>
              <w:spacing w:line="400" w:lineRule="atLeast"/>
              <w:jc w:val="center"/>
              <w:rPr>
                <w:rFonts w:hint="eastAsia" w:ascii="宋体" w:hAnsi="宋体" w:cs="宋体"/>
                <w:color w:val="auto"/>
                <w:kern w:val="0"/>
                <w:szCs w:val="21"/>
                <w:highlight w:val="none"/>
              </w:rPr>
            </w:pPr>
          </w:p>
        </w:tc>
      </w:tr>
      <w:tr w14:paraId="0718359D">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D17E02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0F3D656E">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23488A9C">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03182FA9">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38E59255">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1621C0E7">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54F42DF">
            <w:pPr>
              <w:widowControl/>
              <w:spacing w:line="400" w:lineRule="atLeast"/>
              <w:jc w:val="center"/>
              <w:rPr>
                <w:rFonts w:hint="eastAsia" w:ascii="宋体" w:hAnsi="宋体" w:cs="宋体"/>
                <w:color w:val="auto"/>
                <w:kern w:val="0"/>
                <w:szCs w:val="21"/>
                <w:highlight w:val="none"/>
              </w:rPr>
            </w:pPr>
          </w:p>
        </w:tc>
      </w:tr>
      <w:tr w14:paraId="6879FE46">
        <w:tblPrEx>
          <w:tblCellMar>
            <w:top w:w="0" w:type="dxa"/>
            <w:left w:w="108" w:type="dxa"/>
            <w:bottom w:w="0" w:type="dxa"/>
            <w:right w:w="108" w:type="dxa"/>
          </w:tblCellMar>
        </w:tblPrEx>
        <w:trPr>
          <w:jc w:val="center"/>
        </w:trPr>
        <w:tc>
          <w:tcPr>
            <w:tcW w:w="682" w:type="dxa"/>
            <w:tcBorders>
              <w:top w:val="single" w:color="000000" w:sz="4" w:space="0"/>
              <w:left w:val="single" w:color="000000" w:sz="4" w:space="0"/>
              <w:bottom w:val="single" w:color="000000" w:sz="4" w:space="0"/>
              <w:right w:val="single" w:color="000000" w:sz="4" w:space="0"/>
            </w:tcBorders>
            <w:noWrap w:val="0"/>
            <w:vAlign w:val="top"/>
          </w:tcPr>
          <w:p w14:paraId="77C6567C">
            <w:pPr>
              <w:widowControl/>
              <w:spacing w:line="400" w:lineRule="atLeast"/>
              <w:jc w:val="center"/>
              <w:rPr>
                <w:rFonts w:hint="eastAsia" w:ascii="宋体" w:hAnsi="宋体" w:cs="宋体"/>
                <w:color w:val="auto"/>
                <w:kern w:val="0"/>
                <w:szCs w:val="21"/>
                <w:highlight w:val="none"/>
              </w:rPr>
            </w:pPr>
          </w:p>
        </w:tc>
        <w:tc>
          <w:tcPr>
            <w:tcW w:w="1559" w:type="dxa"/>
            <w:tcBorders>
              <w:top w:val="single" w:color="000000" w:sz="4" w:space="0"/>
              <w:left w:val="nil"/>
              <w:bottom w:val="single" w:color="000000" w:sz="4" w:space="0"/>
              <w:right w:val="single" w:color="000000" w:sz="4" w:space="0"/>
            </w:tcBorders>
            <w:noWrap w:val="0"/>
            <w:vAlign w:val="top"/>
          </w:tcPr>
          <w:p w14:paraId="6A1B0A88">
            <w:pPr>
              <w:widowControl/>
              <w:spacing w:line="400" w:lineRule="atLeast"/>
              <w:jc w:val="center"/>
              <w:rPr>
                <w:rFonts w:hint="eastAsia" w:ascii="宋体" w:hAnsi="宋体" w:cs="宋体"/>
                <w:color w:val="auto"/>
                <w:kern w:val="0"/>
                <w:szCs w:val="21"/>
                <w:highlight w:val="none"/>
              </w:rPr>
            </w:pPr>
          </w:p>
        </w:tc>
        <w:tc>
          <w:tcPr>
            <w:tcW w:w="1418" w:type="dxa"/>
            <w:tcBorders>
              <w:top w:val="single" w:color="000000" w:sz="4" w:space="0"/>
              <w:left w:val="nil"/>
              <w:bottom w:val="single" w:color="000000" w:sz="4" w:space="0"/>
              <w:right w:val="single" w:color="000000" w:sz="4" w:space="0"/>
            </w:tcBorders>
            <w:noWrap w:val="0"/>
            <w:vAlign w:val="top"/>
          </w:tcPr>
          <w:p w14:paraId="0EDC48AB">
            <w:pPr>
              <w:widowControl/>
              <w:spacing w:line="400" w:lineRule="atLeast"/>
              <w:jc w:val="center"/>
              <w:rPr>
                <w:rFonts w:hint="eastAsia" w:ascii="宋体" w:hAnsi="宋体" w:cs="宋体"/>
                <w:color w:val="auto"/>
                <w:kern w:val="0"/>
                <w:szCs w:val="21"/>
                <w:highlight w:val="none"/>
              </w:rPr>
            </w:pPr>
          </w:p>
        </w:tc>
        <w:tc>
          <w:tcPr>
            <w:tcW w:w="992" w:type="dxa"/>
            <w:tcBorders>
              <w:top w:val="single" w:color="000000" w:sz="4" w:space="0"/>
              <w:left w:val="nil"/>
              <w:bottom w:val="single" w:color="000000" w:sz="4" w:space="0"/>
              <w:right w:val="single" w:color="000000" w:sz="4" w:space="0"/>
            </w:tcBorders>
            <w:noWrap w:val="0"/>
            <w:vAlign w:val="top"/>
          </w:tcPr>
          <w:p w14:paraId="57A9BB84">
            <w:pPr>
              <w:widowControl/>
              <w:spacing w:line="400" w:lineRule="atLeast"/>
              <w:jc w:val="center"/>
              <w:rPr>
                <w:rFonts w:hint="eastAsia" w:ascii="宋体" w:hAnsi="宋体" w:cs="宋体"/>
                <w:color w:val="auto"/>
                <w:kern w:val="0"/>
                <w:szCs w:val="21"/>
                <w:highlight w:val="none"/>
              </w:rPr>
            </w:pPr>
          </w:p>
        </w:tc>
        <w:tc>
          <w:tcPr>
            <w:tcW w:w="1517" w:type="dxa"/>
            <w:tcBorders>
              <w:top w:val="single" w:color="000000" w:sz="4" w:space="0"/>
              <w:left w:val="nil"/>
              <w:bottom w:val="single" w:color="000000" w:sz="4" w:space="0"/>
              <w:right w:val="single" w:color="000000" w:sz="4" w:space="0"/>
            </w:tcBorders>
            <w:noWrap w:val="0"/>
            <w:vAlign w:val="top"/>
          </w:tcPr>
          <w:p w14:paraId="1F0233E5">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0C78559">
            <w:pPr>
              <w:widowControl/>
              <w:spacing w:line="400" w:lineRule="atLeast"/>
              <w:jc w:val="center"/>
              <w:rPr>
                <w:rFonts w:hint="eastAsia" w:ascii="宋体" w:hAnsi="宋体" w:cs="宋体"/>
                <w:color w:val="auto"/>
                <w:kern w:val="0"/>
                <w:szCs w:val="21"/>
                <w:highlight w:val="none"/>
              </w:rPr>
            </w:pPr>
          </w:p>
        </w:tc>
        <w:tc>
          <w:tcPr>
            <w:tcW w:w="1134" w:type="dxa"/>
            <w:tcBorders>
              <w:top w:val="single" w:color="000000" w:sz="4" w:space="0"/>
              <w:left w:val="nil"/>
              <w:bottom w:val="single" w:color="000000" w:sz="4" w:space="0"/>
              <w:right w:val="single" w:color="000000" w:sz="4" w:space="0"/>
            </w:tcBorders>
            <w:noWrap w:val="0"/>
            <w:vAlign w:val="top"/>
          </w:tcPr>
          <w:p w14:paraId="233D0F37">
            <w:pPr>
              <w:widowControl/>
              <w:spacing w:line="400" w:lineRule="atLeast"/>
              <w:jc w:val="center"/>
              <w:rPr>
                <w:rFonts w:hint="eastAsia" w:ascii="宋体" w:hAnsi="宋体" w:cs="宋体"/>
                <w:color w:val="auto"/>
                <w:kern w:val="0"/>
                <w:szCs w:val="21"/>
                <w:highlight w:val="none"/>
              </w:rPr>
            </w:pPr>
          </w:p>
        </w:tc>
      </w:tr>
    </w:tbl>
    <w:p w14:paraId="18CBCA9E">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业绩一：</w:t>
      </w:r>
    </w:p>
    <w:p w14:paraId="799DDB5F">
      <w:pPr>
        <w:rPr>
          <w:rFonts w:hint="eastAsia" w:ascii="宋体" w:hAnsi="宋体" w:cs="宋体"/>
          <w:b/>
          <w:color w:val="auto"/>
          <w:highlight w:val="none"/>
          <w:lang w:val="en-US" w:eastAsia="zh-CN"/>
        </w:rPr>
      </w:pPr>
    </w:p>
    <w:p w14:paraId="4F9BFE6B">
      <w:pPr>
        <w:rPr>
          <w:rFonts w:hint="eastAsia" w:ascii="宋体" w:hAnsi="宋体" w:cs="宋体"/>
          <w:b/>
          <w:color w:val="auto"/>
          <w:highlight w:val="none"/>
          <w:lang w:val="en-US" w:eastAsia="zh-CN"/>
        </w:rPr>
      </w:pPr>
    </w:p>
    <w:p w14:paraId="080D14F4">
      <w:pPr>
        <w:rPr>
          <w:rFonts w:hint="eastAsia" w:ascii="宋体" w:hAnsi="宋体" w:cs="宋体"/>
          <w:b/>
          <w:color w:val="auto"/>
          <w:highlight w:val="none"/>
          <w:lang w:val="en-US" w:eastAsia="zh-CN"/>
        </w:rPr>
      </w:pPr>
    </w:p>
    <w:p w14:paraId="0AE055C9">
      <w:pPr>
        <w:rPr>
          <w:rFonts w:hint="eastAsia" w:ascii="宋体" w:hAnsi="宋体" w:cs="宋体"/>
          <w:b/>
          <w:color w:val="auto"/>
          <w:highlight w:val="none"/>
          <w:lang w:val="en-US" w:eastAsia="zh-CN"/>
        </w:rPr>
      </w:pPr>
    </w:p>
    <w:p w14:paraId="60F77331">
      <w:pPr>
        <w:rPr>
          <w:rFonts w:hint="eastAsia" w:ascii="宋体" w:hAnsi="宋体" w:cs="宋体"/>
          <w:b/>
          <w:color w:val="auto"/>
          <w:highlight w:val="none"/>
          <w:lang w:val="en-US" w:eastAsia="zh-CN"/>
        </w:rPr>
      </w:pPr>
    </w:p>
    <w:p w14:paraId="25188438">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业绩二：</w:t>
      </w:r>
    </w:p>
    <w:p w14:paraId="6084914C">
      <w:pPr>
        <w:rPr>
          <w:rFonts w:hint="eastAsia" w:ascii="宋体" w:hAnsi="宋体" w:cs="宋体"/>
          <w:b/>
          <w:color w:val="auto"/>
          <w:highlight w:val="none"/>
          <w:lang w:val="en-US" w:eastAsia="zh-CN"/>
        </w:rPr>
      </w:pPr>
    </w:p>
    <w:p w14:paraId="0244F4D7">
      <w:pPr>
        <w:rPr>
          <w:rFonts w:hint="eastAsia" w:ascii="宋体" w:hAnsi="宋体" w:cs="宋体"/>
          <w:b/>
          <w:color w:val="auto"/>
          <w:highlight w:val="none"/>
          <w:lang w:val="en-US" w:eastAsia="zh-CN"/>
        </w:rPr>
      </w:pPr>
    </w:p>
    <w:p w14:paraId="39DEF821">
      <w:pPr>
        <w:rPr>
          <w:rFonts w:hint="eastAsia" w:ascii="宋体" w:hAnsi="宋体" w:cs="宋体"/>
          <w:b/>
          <w:color w:val="auto"/>
          <w:highlight w:val="none"/>
          <w:lang w:val="en-US" w:eastAsia="zh-CN"/>
        </w:rPr>
      </w:pPr>
    </w:p>
    <w:p w14:paraId="393804EF">
      <w:pPr>
        <w:rPr>
          <w:rFonts w:hint="eastAsia" w:ascii="宋体" w:hAnsi="宋体" w:cs="宋体"/>
          <w:b/>
          <w:color w:val="auto"/>
          <w:highlight w:val="none"/>
          <w:lang w:val="en-US" w:eastAsia="zh-CN"/>
        </w:rPr>
      </w:pPr>
    </w:p>
    <w:p w14:paraId="781ACAB1">
      <w:pPr>
        <w:rPr>
          <w:rFonts w:hint="eastAsia" w:ascii="宋体" w:hAnsi="宋体" w:cs="宋体"/>
          <w:b/>
          <w:color w:val="auto"/>
          <w:highlight w:val="none"/>
          <w:lang w:val="en-US" w:eastAsia="zh-CN"/>
        </w:rPr>
      </w:pPr>
    </w:p>
    <w:p w14:paraId="5CCBD64C">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业绩三：</w:t>
      </w:r>
    </w:p>
    <w:p w14:paraId="30F7F516">
      <w:pPr>
        <w:rPr>
          <w:rFonts w:hint="eastAsia" w:ascii="宋体" w:hAnsi="宋体" w:cs="宋体"/>
          <w:b/>
          <w:color w:val="auto"/>
          <w:highlight w:val="none"/>
          <w:lang w:val="en-US" w:eastAsia="zh-CN"/>
        </w:rPr>
      </w:pPr>
    </w:p>
    <w:p w14:paraId="34100963">
      <w:pPr>
        <w:rPr>
          <w:rFonts w:hint="eastAsia" w:ascii="宋体" w:hAnsi="宋体" w:cs="宋体"/>
          <w:b/>
          <w:color w:val="auto"/>
          <w:highlight w:val="none"/>
          <w:lang w:val="en-US" w:eastAsia="zh-CN"/>
        </w:rPr>
      </w:pPr>
    </w:p>
    <w:p w14:paraId="3524B12A">
      <w:pPr>
        <w:rPr>
          <w:rFonts w:hint="eastAsia" w:ascii="宋体" w:hAnsi="宋体" w:cs="宋体"/>
          <w:b/>
          <w:color w:val="auto"/>
          <w:highlight w:val="none"/>
          <w:lang w:val="en-US" w:eastAsia="zh-CN"/>
        </w:rPr>
      </w:pPr>
    </w:p>
    <w:p w14:paraId="179AE44E">
      <w:pPr>
        <w:rPr>
          <w:rFonts w:hint="eastAsia" w:ascii="宋体" w:hAnsi="宋体" w:cs="宋体"/>
          <w:b/>
          <w:color w:val="auto"/>
          <w:highlight w:val="none"/>
          <w:lang w:val="en-US" w:eastAsia="zh-CN"/>
        </w:rPr>
      </w:pPr>
    </w:p>
    <w:p w14:paraId="6F16A8B1">
      <w:pPr>
        <w:rPr>
          <w:rFonts w:hint="eastAsia" w:ascii="宋体" w:hAnsi="宋体" w:cs="宋体"/>
          <w:b/>
          <w:color w:val="auto"/>
          <w:highlight w:val="none"/>
          <w:lang w:val="en-US" w:eastAsia="zh-CN"/>
        </w:rPr>
      </w:pPr>
    </w:p>
    <w:p w14:paraId="4E2089DF">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业绩四：</w:t>
      </w:r>
    </w:p>
    <w:p w14:paraId="06A9594D">
      <w:pPr>
        <w:rPr>
          <w:rFonts w:hint="eastAsia" w:ascii="宋体" w:hAnsi="宋体" w:cs="宋体"/>
          <w:b/>
          <w:color w:val="auto"/>
          <w:highlight w:val="none"/>
          <w:lang w:val="en-US" w:eastAsia="zh-CN"/>
        </w:rPr>
      </w:pPr>
    </w:p>
    <w:p w14:paraId="10054225">
      <w:pPr>
        <w:rPr>
          <w:rFonts w:hint="eastAsia" w:ascii="宋体" w:hAnsi="宋体" w:cs="宋体"/>
          <w:b/>
          <w:color w:val="auto"/>
          <w:highlight w:val="none"/>
          <w:lang w:val="en-US" w:eastAsia="zh-CN"/>
        </w:rPr>
      </w:pPr>
    </w:p>
    <w:p w14:paraId="1318BF43">
      <w:pPr>
        <w:rPr>
          <w:rFonts w:hint="eastAsia" w:ascii="宋体" w:hAnsi="宋体" w:cs="宋体"/>
          <w:b/>
          <w:color w:val="auto"/>
          <w:highlight w:val="none"/>
          <w:lang w:val="en-US" w:eastAsia="zh-CN"/>
        </w:rPr>
      </w:pPr>
    </w:p>
    <w:p w14:paraId="04E021EA">
      <w:pPr>
        <w:rPr>
          <w:rFonts w:hint="eastAsia" w:ascii="宋体" w:hAnsi="宋体" w:cs="宋体"/>
          <w:b/>
          <w:color w:val="auto"/>
          <w:highlight w:val="none"/>
          <w:lang w:val="en-US" w:eastAsia="zh-CN"/>
        </w:rPr>
      </w:pPr>
    </w:p>
    <w:p w14:paraId="23F40E0B">
      <w:pPr>
        <w:rPr>
          <w:rFonts w:hint="eastAsia" w:ascii="宋体" w:hAnsi="宋体" w:cs="宋体"/>
          <w:b/>
          <w:color w:val="auto"/>
          <w:highlight w:val="none"/>
          <w:lang w:val="en-US" w:eastAsia="zh-CN"/>
        </w:rPr>
      </w:pPr>
    </w:p>
    <w:p w14:paraId="0E0AC6C9">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772D5E47">
      <w:pPr>
        <w:rPr>
          <w:rFonts w:hint="eastAsia" w:ascii="宋体" w:hAnsi="宋体" w:cs="宋体"/>
          <w:b/>
          <w:color w:val="auto"/>
          <w:highlight w:val="none"/>
        </w:rPr>
      </w:pPr>
      <w:r>
        <w:rPr>
          <w:rFonts w:hint="eastAsia" w:ascii="宋体" w:hAnsi="宋体" w:cs="宋体"/>
          <w:b/>
          <w:color w:val="auto"/>
          <w:highlight w:val="none"/>
        </w:rPr>
        <w:br w:type="page"/>
      </w:r>
    </w:p>
    <w:p w14:paraId="1E7819FE">
      <w:pPr>
        <w:spacing w:line="360" w:lineRule="auto"/>
        <w:rPr>
          <w:rFonts w:hint="default" w:ascii="宋体" w:hAnsi="宋体" w:eastAsia="宋体" w:cs="宋体"/>
          <w:b/>
          <w:color w:val="auto"/>
          <w:highlight w:val="none"/>
          <w:lang w:val="en-US" w:eastAsia="zh-CN"/>
        </w:rPr>
      </w:pPr>
      <w:r>
        <w:rPr>
          <w:rFonts w:hint="eastAsia" w:ascii="宋体" w:hAnsi="宋体" w:cs="宋体"/>
          <w:b/>
          <w:color w:val="auto"/>
          <w:highlight w:val="none"/>
        </w:rPr>
        <w:t>附件</w:t>
      </w:r>
      <w:r>
        <w:rPr>
          <w:rFonts w:hint="eastAsia" w:ascii="宋体" w:hAnsi="宋体" w:cs="宋体"/>
          <w:b/>
          <w:color w:val="auto"/>
          <w:highlight w:val="none"/>
          <w:lang w:val="en-US" w:eastAsia="zh-CN"/>
        </w:rPr>
        <w:t>十</w:t>
      </w:r>
      <w:r>
        <w:rPr>
          <w:rFonts w:hint="eastAsia" w:ascii="宋体" w:hAnsi="宋体" w:cs="宋体"/>
          <w:b/>
          <w:bCs/>
          <w:color w:val="auto"/>
          <w:highlight w:val="none"/>
        </w:rPr>
        <w:t>、</w:t>
      </w:r>
      <w:r>
        <w:rPr>
          <w:rFonts w:hint="eastAsia" w:ascii="宋体" w:hAnsi="宋体" w:cs="宋体"/>
          <w:b/>
          <w:bCs/>
          <w:color w:val="auto"/>
          <w:highlight w:val="none"/>
          <w:lang w:val="en-US" w:eastAsia="zh-CN"/>
        </w:rPr>
        <w:t>拟投入设备一览表</w:t>
      </w:r>
    </w:p>
    <w:tbl>
      <w:tblPr>
        <w:tblStyle w:val="47"/>
        <w:tblW w:w="92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59"/>
        <w:gridCol w:w="1859"/>
        <w:gridCol w:w="1860"/>
        <w:gridCol w:w="1860"/>
        <w:gridCol w:w="1860"/>
      </w:tblGrid>
      <w:tr w14:paraId="7E518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D6BBA73">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序号</w:t>
            </w:r>
          </w:p>
        </w:tc>
        <w:tc>
          <w:tcPr>
            <w:tcW w:w="1859" w:type="dxa"/>
          </w:tcPr>
          <w:p w14:paraId="3284973A">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名称</w:t>
            </w:r>
          </w:p>
        </w:tc>
        <w:tc>
          <w:tcPr>
            <w:tcW w:w="1860" w:type="dxa"/>
          </w:tcPr>
          <w:p w14:paraId="3AEFCFFC">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数量</w:t>
            </w:r>
          </w:p>
        </w:tc>
        <w:tc>
          <w:tcPr>
            <w:tcW w:w="1860" w:type="dxa"/>
          </w:tcPr>
          <w:p w14:paraId="66B741C2">
            <w:pPr>
              <w:spacing w:line="360" w:lineRule="auto"/>
              <w:jc w:val="center"/>
              <w:rPr>
                <w:rFonts w:hint="default"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租赁/自有/承诺</w:t>
            </w:r>
          </w:p>
        </w:tc>
        <w:tc>
          <w:tcPr>
            <w:tcW w:w="1860" w:type="dxa"/>
          </w:tcPr>
          <w:p w14:paraId="65DEA870">
            <w:pPr>
              <w:spacing w:line="360" w:lineRule="auto"/>
              <w:jc w:val="center"/>
              <w:rPr>
                <w:rFonts w:hint="eastAsia" w:ascii="宋体" w:hAnsi="宋体" w:eastAsia="宋体" w:cs="宋体"/>
                <w:b/>
                <w:color w:val="auto"/>
                <w:highlight w:val="none"/>
                <w:vertAlign w:val="baseline"/>
                <w:lang w:val="en-US" w:eastAsia="zh-CN"/>
              </w:rPr>
            </w:pPr>
            <w:r>
              <w:rPr>
                <w:rFonts w:hint="eastAsia" w:ascii="宋体" w:hAnsi="宋体" w:cs="宋体"/>
                <w:b/>
                <w:color w:val="auto"/>
                <w:highlight w:val="none"/>
                <w:vertAlign w:val="baseline"/>
                <w:lang w:val="en-US" w:eastAsia="zh-CN"/>
              </w:rPr>
              <w:t>备注</w:t>
            </w:r>
          </w:p>
        </w:tc>
      </w:tr>
      <w:tr w14:paraId="6504C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95CA442">
            <w:pPr>
              <w:spacing w:line="360" w:lineRule="auto"/>
              <w:rPr>
                <w:rFonts w:hint="eastAsia" w:ascii="宋体" w:hAnsi="宋体" w:cs="宋体"/>
                <w:b/>
                <w:color w:val="auto"/>
                <w:highlight w:val="none"/>
                <w:vertAlign w:val="baseline"/>
              </w:rPr>
            </w:pPr>
          </w:p>
        </w:tc>
        <w:tc>
          <w:tcPr>
            <w:tcW w:w="1859" w:type="dxa"/>
          </w:tcPr>
          <w:p w14:paraId="3A4D9D14">
            <w:pPr>
              <w:spacing w:line="360" w:lineRule="auto"/>
              <w:rPr>
                <w:rFonts w:hint="eastAsia" w:ascii="宋体" w:hAnsi="宋体" w:cs="宋体"/>
                <w:b/>
                <w:color w:val="auto"/>
                <w:highlight w:val="none"/>
                <w:vertAlign w:val="baseline"/>
              </w:rPr>
            </w:pPr>
          </w:p>
        </w:tc>
        <w:tc>
          <w:tcPr>
            <w:tcW w:w="1860" w:type="dxa"/>
          </w:tcPr>
          <w:p w14:paraId="2A152B96">
            <w:pPr>
              <w:spacing w:line="360" w:lineRule="auto"/>
              <w:rPr>
                <w:rFonts w:hint="eastAsia" w:ascii="宋体" w:hAnsi="宋体" w:cs="宋体"/>
                <w:b/>
                <w:color w:val="auto"/>
                <w:highlight w:val="none"/>
                <w:vertAlign w:val="baseline"/>
              </w:rPr>
            </w:pPr>
          </w:p>
        </w:tc>
        <w:tc>
          <w:tcPr>
            <w:tcW w:w="1860" w:type="dxa"/>
          </w:tcPr>
          <w:p w14:paraId="63663926">
            <w:pPr>
              <w:spacing w:line="360" w:lineRule="auto"/>
              <w:rPr>
                <w:rFonts w:hint="eastAsia" w:ascii="宋体" w:hAnsi="宋体" w:cs="宋体"/>
                <w:b/>
                <w:color w:val="auto"/>
                <w:highlight w:val="none"/>
                <w:vertAlign w:val="baseline"/>
              </w:rPr>
            </w:pPr>
          </w:p>
        </w:tc>
        <w:tc>
          <w:tcPr>
            <w:tcW w:w="1860" w:type="dxa"/>
          </w:tcPr>
          <w:p w14:paraId="4EA73AFD">
            <w:pPr>
              <w:spacing w:line="360" w:lineRule="auto"/>
              <w:rPr>
                <w:rFonts w:hint="eastAsia" w:ascii="宋体" w:hAnsi="宋体" w:cs="宋体"/>
                <w:b/>
                <w:color w:val="auto"/>
                <w:highlight w:val="none"/>
                <w:vertAlign w:val="baseline"/>
              </w:rPr>
            </w:pPr>
          </w:p>
        </w:tc>
      </w:tr>
      <w:tr w14:paraId="267F3A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13009E62">
            <w:pPr>
              <w:spacing w:line="360" w:lineRule="auto"/>
              <w:rPr>
                <w:rFonts w:hint="eastAsia" w:ascii="宋体" w:hAnsi="宋体" w:cs="宋体"/>
                <w:b/>
                <w:color w:val="auto"/>
                <w:highlight w:val="none"/>
                <w:vertAlign w:val="baseline"/>
              </w:rPr>
            </w:pPr>
          </w:p>
        </w:tc>
        <w:tc>
          <w:tcPr>
            <w:tcW w:w="1859" w:type="dxa"/>
          </w:tcPr>
          <w:p w14:paraId="67A27A3B">
            <w:pPr>
              <w:spacing w:line="360" w:lineRule="auto"/>
              <w:rPr>
                <w:rFonts w:hint="eastAsia" w:ascii="宋体" w:hAnsi="宋体" w:cs="宋体"/>
                <w:b/>
                <w:color w:val="auto"/>
                <w:highlight w:val="none"/>
                <w:vertAlign w:val="baseline"/>
              </w:rPr>
            </w:pPr>
          </w:p>
        </w:tc>
        <w:tc>
          <w:tcPr>
            <w:tcW w:w="1860" w:type="dxa"/>
          </w:tcPr>
          <w:p w14:paraId="5EA40124">
            <w:pPr>
              <w:spacing w:line="360" w:lineRule="auto"/>
              <w:rPr>
                <w:rFonts w:hint="eastAsia" w:ascii="宋体" w:hAnsi="宋体" w:cs="宋体"/>
                <w:b/>
                <w:color w:val="auto"/>
                <w:highlight w:val="none"/>
                <w:vertAlign w:val="baseline"/>
              </w:rPr>
            </w:pPr>
          </w:p>
        </w:tc>
        <w:tc>
          <w:tcPr>
            <w:tcW w:w="1860" w:type="dxa"/>
          </w:tcPr>
          <w:p w14:paraId="6242C01B">
            <w:pPr>
              <w:spacing w:line="360" w:lineRule="auto"/>
              <w:rPr>
                <w:rFonts w:hint="eastAsia" w:ascii="宋体" w:hAnsi="宋体" w:cs="宋体"/>
                <w:b/>
                <w:color w:val="auto"/>
                <w:highlight w:val="none"/>
                <w:vertAlign w:val="baseline"/>
              </w:rPr>
            </w:pPr>
          </w:p>
        </w:tc>
        <w:tc>
          <w:tcPr>
            <w:tcW w:w="1860" w:type="dxa"/>
          </w:tcPr>
          <w:p w14:paraId="4F2C204A">
            <w:pPr>
              <w:spacing w:line="360" w:lineRule="auto"/>
              <w:rPr>
                <w:rFonts w:hint="eastAsia" w:ascii="宋体" w:hAnsi="宋体" w:cs="宋体"/>
                <w:b/>
                <w:color w:val="auto"/>
                <w:highlight w:val="none"/>
                <w:vertAlign w:val="baseline"/>
              </w:rPr>
            </w:pPr>
          </w:p>
        </w:tc>
      </w:tr>
      <w:tr w14:paraId="607AB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7CBC8EC7">
            <w:pPr>
              <w:spacing w:line="360" w:lineRule="auto"/>
              <w:rPr>
                <w:rFonts w:hint="eastAsia" w:ascii="宋体" w:hAnsi="宋体" w:cs="宋体"/>
                <w:b/>
                <w:color w:val="auto"/>
                <w:highlight w:val="none"/>
                <w:vertAlign w:val="baseline"/>
              </w:rPr>
            </w:pPr>
          </w:p>
        </w:tc>
        <w:tc>
          <w:tcPr>
            <w:tcW w:w="1859" w:type="dxa"/>
          </w:tcPr>
          <w:p w14:paraId="3385669A">
            <w:pPr>
              <w:spacing w:line="360" w:lineRule="auto"/>
              <w:rPr>
                <w:rFonts w:hint="eastAsia" w:ascii="宋体" w:hAnsi="宋体" w:cs="宋体"/>
                <w:b/>
                <w:color w:val="auto"/>
                <w:highlight w:val="none"/>
                <w:vertAlign w:val="baseline"/>
              </w:rPr>
            </w:pPr>
          </w:p>
        </w:tc>
        <w:tc>
          <w:tcPr>
            <w:tcW w:w="1860" w:type="dxa"/>
          </w:tcPr>
          <w:p w14:paraId="370D93B3">
            <w:pPr>
              <w:spacing w:line="360" w:lineRule="auto"/>
              <w:rPr>
                <w:rFonts w:hint="eastAsia" w:ascii="宋体" w:hAnsi="宋体" w:cs="宋体"/>
                <w:b/>
                <w:color w:val="auto"/>
                <w:highlight w:val="none"/>
                <w:vertAlign w:val="baseline"/>
              </w:rPr>
            </w:pPr>
          </w:p>
        </w:tc>
        <w:tc>
          <w:tcPr>
            <w:tcW w:w="1860" w:type="dxa"/>
          </w:tcPr>
          <w:p w14:paraId="57A8E947">
            <w:pPr>
              <w:spacing w:line="360" w:lineRule="auto"/>
              <w:rPr>
                <w:rFonts w:hint="eastAsia" w:ascii="宋体" w:hAnsi="宋体" w:cs="宋体"/>
                <w:b/>
                <w:color w:val="auto"/>
                <w:highlight w:val="none"/>
                <w:vertAlign w:val="baseline"/>
              </w:rPr>
            </w:pPr>
          </w:p>
        </w:tc>
        <w:tc>
          <w:tcPr>
            <w:tcW w:w="1860" w:type="dxa"/>
          </w:tcPr>
          <w:p w14:paraId="0A546F4F">
            <w:pPr>
              <w:spacing w:line="360" w:lineRule="auto"/>
              <w:rPr>
                <w:rFonts w:hint="eastAsia" w:ascii="宋体" w:hAnsi="宋体" w:cs="宋体"/>
                <w:b/>
                <w:color w:val="auto"/>
                <w:highlight w:val="none"/>
                <w:vertAlign w:val="baseline"/>
              </w:rPr>
            </w:pPr>
          </w:p>
        </w:tc>
      </w:tr>
      <w:tr w14:paraId="2046E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07249785">
            <w:pPr>
              <w:spacing w:line="360" w:lineRule="auto"/>
              <w:rPr>
                <w:rFonts w:hint="eastAsia" w:ascii="宋体" w:hAnsi="宋体" w:cs="宋体"/>
                <w:b/>
                <w:color w:val="auto"/>
                <w:highlight w:val="none"/>
                <w:vertAlign w:val="baseline"/>
              </w:rPr>
            </w:pPr>
          </w:p>
        </w:tc>
        <w:tc>
          <w:tcPr>
            <w:tcW w:w="1859" w:type="dxa"/>
          </w:tcPr>
          <w:p w14:paraId="20EA4152">
            <w:pPr>
              <w:spacing w:line="360" w:lineRule="auto"/>
              <w:rPr>
                <w:rFonts w:hint="eastAsia" w:ascii="宋体" w:hAnsi="宋体" w:cs="宋体"/>
                <w:b/>
                <w:color w:val="auto"/>
                <w:highlight w:val="none"/>
                <w:vertAlign w:val="baseline"/>
              </w:rPr>
            </w:pPr>
          </w:p>
        </w:tc>
        <w:tc>
          <w:tcPr>
            <w:tcW w:w="1860" w:type="dxa"/>
          </w:tcPr>
          <w:p w14:paraId="71CE7931">
            <w:pPr>
              <w:spacing w:line="360" w:lineRule="auto"/>
              <w:rPr>
                <w:rFonts w:hint="eastAsia" w:ascii="宋体" w:hAnsi="宋体" w:cs="宋体"/>
                <w:b/>
                <w:color w:val="auto"/>
                <w:highlight w:val="none"/>
                <w:vertAlign w:val="baseline"/>
              </w:rPr>
            </w:pPr>
          </w:p>
        </w:tc>
        <w:tc>
          <w:tcPr>
            <w:tcW w:w="1860" w:type="dxa"/>
          </w:tcPr>
          <w:p w14:paraId="36A2251A">
            <w:pPr>
              <w:spacing w:line="360" w:lineRule="auto"/>
              <w:rPr>
                <w:rFonts w:hint="eastAsia" w:ascii="宋体" w:hAnsi="宋体" w:cs="宋体"/>
                <w:b/>
                <w:color w:val="auto"/>
                <w:highlight w:val="none"/>
                <w:vertAlign w:val="baseline"/>
              </w:rPr>
            </w:pPr>
          </w:p>
        </w:tc>
        <w:tc>
          <w:tcPr>
            <w:tcW w:w="1860" w:type="dxa"/>
          </w:tcPr>
          <w:p w14:paraId="38292803">
            <w:pPr>
              <w:spacing w:line="360" w:lineRule="auto"/>
              <w:rPr>
                <w:rFonts w:hint="eastAsia" w:ascii="宋体" w:hAnsi="宋体" w:cs="宋体"/>
                <w:b/>
                <w:color w:val="auto"/>
                <w:highlight w:val="none"/>
                <w:vertAlign w:val="baseline"/>
              </w:rPr>
            </w:pPr>
          </w:p>
        </w:tc>
      </w:tr>
      <w:tr w14:paraId="02BDCD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7C408AE">
            <w:pPr>
              <w:spacing w:line="360" w:lineRule="auto"/>
              <w:rPr>
                <w:rFonts w:hint="eastAsia" w:ascii="宋体" w:hAnsi="宋体" w:cs="宋体"/>
                <w:b/>
                <w:color w:val="auto"/>
                <w:highlight w:val="none"/>
                <w:vertAlign w:val="baseline"/>
              </w:rPr>
            </w:pPr>
          </w:p>
        </w:tc>
        <w:tc>
          <w:tcPr>
            <w:tcW w:w="1859" w:type="dxa"/>
          </w:tcPr>
          <w:p w14:paraId="73AD1094">
            <w:pPr>
              <w:spacing w:line="360" w:lineRule="auto"/>
              <w:rPr>
                <w:rFonts w:hint="eastAsia" w:ascii="宋体" w:hAnsi="宋体" w:cs="宋体"/>
                <w:b/>
                <w:color w:val="auto"/>
                <w:highlight w:val="none"/>
                <w:vertAlign w:val="baseline"/>
              </w:rPr>
            </w:pPr>
          </w:p>
        </w:tc>
        <w:tc>
          <w:tcPr>
            <w:tcW w:w="1860" w:type="dxa"/>
          </w:tcPr>
          <w:p w14:paraId="67007ADD">
            <w:pPr>
              <w:spacing w:line="360" w:lineRule="auto"/>
              <w:rPr>
                <w:rFonts w:hint="eastAsia" w:ascii="宋体" w:hAnsi="宋体" w:cs="宋体"/>
                <w:b/>
                <w:color w:val="auto"/>
                <w:highlight w:val="none"/>
                <w:vertAlign w:val="baseline"/>
              </w:rPr>
            </w:pPr>
          </w:p>
        </w:tc>
        <w:tc>
          <w:tcPr>
            <w:tcW w:w="1860" w:type="dxa"/>
          </w:tcPr>
          <w:p w14:paraId="2861DFCB">
            <w:pPr>
              <w:spacing w:line="360" w:lineRule="auto"/>
              <w:rPr>
                <w:rFonts w:hint="eastAsia" w:ascii="宋体" w:hAnsi="宋体" w:cs="宋体"/>
                <w:b/>
                <w:color w:val="auto"/>
                <w:highlight w:val="none"/>
                <w:vertAlign w:val="baseline"/>
              </w:rPr>
            </w:pPr>
          </w:p>
        </w:tc>
        <w:tc>
          <w:tcPr>
            <w:tcW w:w="1860" w:type="dxa"/>
          </w:tcPr>
          <w:p w14:paraId="3002AD19">
            <w:pPr>
              <w:spacing w:line="360" w:lineRule="auto"/>
              <w:rPr>
                <w:rFonts w:hint="eastAsia" w:ascii="宋体" w:hAnsi="宋体" w:cs="宋体"/>
                <w:b/>
                <w:color w:val="auto"/>
                <w:highlight w:val="none"/>
                <w:vertAlign w:val="baseline"/>
              </w:rPr>
            </w:pPr>
          </w:p>
        </w:tc>
      </w:tr>
      <w:tr w14:paraId="35665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42F03E5F">
            <w:pPr>
              <w:spacing w:line="360" w:lineRule="auto"/>
              <w:rPr>
                <w:rFonts w:hint="eastAsia" w:ascii="宋体" w:hAnsi="宋体" w:cs="宋体"/>
                <w:b/>
                <w:color w:val="auto"/>
                <w:highlight w:val="none"/>
                <w:vertAlign w:val="baseline"/>
              </w:rPr>
            </w:pPr>
          </w:p>
        </w:tc>
        <w:tc>
          <w:tcPr>
            <w:tcW w:w="1859" w:type="dxa"/>
          </w:tcPr>
          <w:p w14:paraId="7AC5D760">
            <w:pPr>
              <w:spacing w:line="360" w:lineRule="auto"/>
              <w:rPr>
                <w:rFonts w:hint="eastAsia" w:ascii="宋体" w:hAnsi="宋体" w:cs="宋体"/>
                <w:b/>
                <w:color w:val="auto"/>
                <w:highlight w:val="none"/>
                <w:vertAlign w:val="baseline"/>
              </w:rPr>
            </w:pPr>
          </w:p>
        </w:tc>
        <w:tc>
          <w:tcPr>
            <w:tcW w:w="1860" w:type="dxa"/>
          </w:tcPr>
          <w:p w14:paraId="6C269492">
            <w:pPr>
              <w:spacing w:line="360" w:lineRule="auto"/>
              <w:rPr>
                <w:rFonts w:hint="eastAsia" w:ascii="宋体" w:hAnsi="宋体" w:cs="宋体"/>
                <w:b/>
                <w:color w:val="auto"/>
                <w:highlight w:val="none"/>
                <w:vertAlign w:val="baseline"/>
              </w:rPr>
            </w:pPr>
          </w:p>
        </w:tc>
        <w:tc>
          <w:tcPr>
            <w:tcW w:w="1860" w:type="dxa"/>
          </w:tcPr>
          <w:p w14:paraId="4C265DD6">
            <w:pPr>
              <w:spacing w:line="360" w:lineRule="auto"/>
              <w:rPr>
                <w:rFonts w:hint="eastAsia" w:ascii="宋体" w:hAnsi="宋体" w:cs="宋体"/>
                <w:b/>
                <w:color w:val="auto"/>
                <w:highlight w:val="none"/>
                <w:vertAlign w:val="baseline"/>
              </w:rPr>
            </w:pPr>
          </w:p>
        </w:tc>
        <w:tc>
          <w:tcPr>
            <w:tcW w:w="1860" w:type="dxa"/>
          </w:tcPr>
          <w:p w14:paraId="6732B903">
            <w:pPr>
              <w:spacing w:line="360" w:lineRule="auto"/>
              <w:rPr>
                <w:rFonts w:hint="eastAsia" w:ascii="宋体" w:hAnsi="宋体" w:cs="宋体"/>
                <w:b/>
                <w:color w:val="auto"/>
                <w:highlight w:val="none"/>
                <w:vertAlign w:val="baseline"/>
              </w:rPr>
            </w:pPr>
          </w:p>
        </w:tc>
      </w:tr>
      <w:tr w14:paraId="7C4167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3" w:hRule="atLeast"/>
        </w:trPr>
        <w:tc>
          <w:tcPr>
            <w:tcW w:w="1859" w:type="dxa"/>
          </w:tcPr>
          <w:p w14:paraId="5C760FC9">
            <w:pPr>
              <w:spacing w:line="360" w:lineRule="auto"/>
              <w:rPr>
                <w:rFonts w:hint="eastAsia" w:ascii="宋体" w:hAnsi="宋体" w:cs="宋体"/>
                <w:b/>
                <w:color w:val="auto"/>
                <w:highlight w:val="none"/>
                <w:vertAlign w:val="baseline"/>
              </w:rPr>
            </w:pPr>
          </w:p>
        </w:tc>
        <w:tc>
          <w:tcPr>
            <w:tcW w:w="1859" w:type="dxa"/>
          </w:tcPr>
          <w:p w14:paraId="4C4A738F">
            <w:pPr>
              <w:spacing w:line="360" w:lineRule="auto"/>
              <w:rPr>
                <w:rFonts w:hint="eastAsia" w:ascii="宋体" w:hAnsi="宋体" w:cs="宋体"/>
                <w:b/>
                <w:color w:val="auto"/>
                <w:highlight w:val="none"/>
                <w:vertAlign w:val="baseline"/>
              </w:rPr>
            </w:pPr>
          </w:p>
        </w:tc>
        <w:tc>
          <w:tcPr>
            <w:tcW w:w="1860" w:type="dxa"/>
          </w:tcPr>
          <w:p w14:paraId="6FA4149C">
            <w:pPr>
              <w:spacing w:line="360" w:lineRule="auto"/>
              <w:rPr>
                <w:rFonts w:hint="eastAsia" w:ascii="宋体" w:hAnsi="宋体" w:cs="宋体"/>
                <w:b/>
                <w:color w:val="auto"/>
                <w:highlight w:val="none"/>
                <w:vertAlign w:val="baseline"/>
              </w:rPr>
            </w:pPr>
          </w:p>
        </w:tc>
        <w:tc>
          <w:tcPr>
            <w:tcW w:w="1860" w:type="dxa"/>
          </w:tcPr>
          <w:p w14:paraId="5319D2D0">
            <w:pPr>
              <w:spacing w:line="360" w:lineRule="auto"/>
              <w:rPr>
                <w:rFonts w:hint="eastAsia" w:ascii="宋体" w:hAnsi="宋体" w:cs="宋体"/>
                <w:b/>
                <w:color w:val="auto"/>
                <w:highlight w:val="none"/>
                <w:vertAlign w:val="baseline"/>
              </w:rPr>
            </w:pPr>
          </w:p>
        </w:tc>
        <w:tc>
          <w:tcPr>
            <w:tcW w:w="1860" w:type="dxa"/>
          </w:tcPr>
          <w:p w14:paraId="161617BE">
            <w:pPr>
              <w:spacing w:line="360" w:lineRule="auto"/>
              <w:rPr>
                <w:rFonts w:hint="eastAsia" w:ascii="宋体" w:hAnsi="宋体" w:cs="宋体"/>
                <w:b/>
                <w:color w:val="auto"/>
                <w:highlight w:val="none"/>
                <w:vertAlign w:val="baseline"/>
              </w:rPr>
            </w:pPr>
          </w:p>
        </w:tc>
      </w:tr>
      <w:tr w14:paraId="37910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atLeast"/>
        </w:trPr>
        <w:tc>
          <w:tcPr>
            <w:tcW w:w="1859" w:type="dxa"/>
          </w:tcPr>
          <w:p w14:paraId="5FD34108">
            <w:pPr>
              <w:spacing w:line="360" w:lineRule="auto"/>
              <w:rPr>
                <w:rFonts w:hint="eastAsia" w:ascii="宋体" w:hAnsi="宋体" w:cs="宋体"/>
                <w:b/>
                <w:color w:val="auto"/>
                <w:highlight w:val="none"/>
                <w:vertAlign w:val="baseline"/>
              </w:rPr>
            </w:pPr>
          </w:p>
        </w:tc>
        <w:tc>
          <w:tcPr>
            <w:tcW w:w="1859" w:type="dxa"/>
          </w:tcPr>
          <w:p w14:paraId="7FA9D859">
            <w:pPr>
              <w:spacing w:line="360" w:lineRule="auto"/>
              <w:rPr>
                <w:rFonts w:hint="eastAsia" w:ascii="宋体" w:hAnsi="宋体" w:cs="宋体"/>
                <w:b/>
                <w:color w:val="auto"/>
                <w:highlight w:val="none"/>
                <w:vertAlign w:val="baseline"/>
              </w:rPr>
            </w:pPr>
          </w:p>
        </w:tc>
        <w:tc>
          <w:tcPr>
            <w:tcW w:w="1860" w:type="dxa"/>
          </w:tcPr>
          <w:p w14:paraId="5C3C58D8">
            <w:pPr>
              <w:spacing w:line="360" w:lineRule="auto"/>
              <w:rPr>
                <w:rFonts w:hint="eastAsia" w:ascii="宋体" w:hAnsi="宋体" w:cs="宋体"/>
                <w:b/>
                <w:color w:val="auto"/>
                <w:highlight w:val="none"/>
                <w:vertAlign w:val="baseline"/>
              </w:rPr>
            </w:pPr>
          </w:p>
        </w:tc>
        <w:tc>
          <w:tcPr>
            <w:tcW w:w="1860" w:type="dxa"/>
          </w:tcPr>
          <w:p w14:paraId="27FFE0DD">
            <w:pPr>
              <w:spacing w:line="360" w:lineRule="auto"/>
              <w:rPr>
                <w:rFonts w:hint="eastAsia" w:ascii="宋体" w:hAnsi="宋体" w:cs="宋体"/>
                <w:b/>
                <w:color w:val="auto"/>
                <w:highlight w:val="none"/>
                <w:vertAlign w:val="baseline"/>
              </w:rPr>
            </w:pPr>
          </w:p>
        </w:tc>
        <w:tc>
          <w:tcPr>
            <w:tcW w:w="1860" w:type="dxa"/>
          </w:tcPr>
          <w:p w14:paraId="0B0747CD">
            <w:pPr>
              <w:spacing w:line="360" w:lineRule="auto"/>
              <w:rPr>
                <w:rFonts w:hint="eastAsia" w:ascii="宋体" w:hAnsi="宋体" w:cs="宋体"/>
                <w:b/>
                <w:color w:val="auto"/>
                <w:highlight w:val="none"/>
                <w:vertAlign w:val="baseline"/>
              </w:rPr>
            </w:pPr>
          </w:p>
        </w:tc>
      </w:tr>
    </w:tbl>
    <w:p w14:paraId="10DBC822">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设备一证明材料（数量：     ）：</w:t>
      </w:r>
    </w:p>
    <w:p w14:paraId="5F3677E4">
      <w:pPr>
        <w:rPr>
          <w:rFonts w:hint="eastAsia" w:ascii="宋体" w:hAnsi="宋体" w:cs="宋体"/>
          <w:b/>
          <w:color w:val="auto"/>
          <w:highlight w:val="none"/>
          <w:lang w:val="en-US" w:eastAsia="zh-CN"/>
        </w:rPr>
      </w:pPr>
    </w:p>
    <w:p w14:paraId="67BBC11A">
      <w:pPr>
        <w:rPr>
          <w:rFonts w:hint="eastAsia" w:ascii="宋体" w:hAnsi="宋体" w:cs="宋体"/>
          <w:b/>
          <w:color w:val="auto"/>
          <w:highlight w:val="none"/>
          <w:lang w:val="en-US" w:eastAsia="zh-CN"/>
        </w:rPr>
      </w:pPr>
    </w:p>
    <w:p w14:paraId="7BE7C2B6">
      <w:pPr>
        <w:rPr>
          <w:rFonts w:hint="eastAsia" w:ascii="宋体" w:hAnsi="宋体" w:cs="宋体"/>
          <w:b/>
          <w:color w:val="auto"/>
          <w:highlight w:val="none"/>
          <w:lang w:val="en-US" w:eastAsia="zh-CN"/>
        </w:rPr>
      </w:pPr>
    </w:p>
    <w:p w14:paraId="2B89C837">
      <w:pPr>
        <w:rPr>
          <w:rFonts w:hint="eastAsia" w:ascii="宋体" w:hAnsi="宋体" w:cs="宋体"/>
          <w:b/>
          <w:color w:val="auto"/>
          <w:highlight w:val="none"/>
          <w:lang w:val="en-US" w:eastAsia="zh-CN"/>
        </w:rPr>
      </w:pPr>
    </w:p>
    <w:p w14:paraId="6CEF325D">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设备二证明材料（数量：     ）：</w:t>
      </w:r>
    </w:p>
    <w:p w14:paraId="67026359">
      <w:pPr>
        <w:rPr>
          <w:rFonts w:hint="eastAsia" w:ascii="宋体" w:hAnsi="宋体" w:cs="宋体"/>
          <w:b/>
          <w:color w:val="auto"/>
          <w:highlight w:val="none"/>
          <w:lang w:val="en-US" w:eastAsia="zh-CN"/>
        </w:rPr>
      </w:pPr>
    </w:p>
    <w:p w14:paraId="59B54880">
      <w:pPr>
        <w:rPr>
          <w:rFonts w:hint="eastAsia" w:ascii="宋体" w:hAnsi="宋体" w:cs="宋体"/>
          <w:b/>
          <w:color w:val="auto"/>
          <w:highlight w:val="none"/>
          <w:lang w:val="en-US" w:eastAsia="zh-CN"/>
        </w:rPr>
      </w:pPr>
    </w:p>
    <w:p w14:paraId="1060D8C3">
      <w:pPr>
        <w:rPr>
          <w:rFonts w:hint="eastAsia" w:ascii="宋体" w:hAnsi="宋体" w:cs="宋体"/>
          <w:b/>
          <w:color w:val="auto"/>
          <w:highlight w:val="none"/>
          <w:lang w:val="en-US" w:eastAsia="zh-CN"/>
        </w:rPr>
      </w:pPr>
    </w:p>
    <w:p w14:paraId="2EB99C6A">
      <w:pPr>
        <w:rPr>
          <w:rFonts w:hint="eastAsia" w:ascii="宋体" w:hAnsi="宋体" w:cs="宋体"/>
          <w:b/>
          <w:color w:val="auto"/>
          <w:highlight w:val="none"/>
          <w:lang w:val="en-US" w:eastAsia="zh-CN"/>
        </w:rPr>
      </w:pPr>
    </w:p>
    <w:p w14:paraId="21F6EE8F">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设备三证明材料（数量：     ）：</w:t>
      </w:r>
    </w:p>
    <w:p w14:paraId="307CAA8A">
      <w:pPr>
        <w:rPr>
          <w:rFonts w:hint="default" w:ascii="宋体" w:hAnsi="宋体" w:cs="宋体"/>
          <w:b/>
          <w:color w:val="auto"/>
          <w:highlight w:val="none"/>
          <w:lang w:val="en-US" w:eastAsia="zh-CN"/>
        </w:rPr>
      </w:pPr>
    </w:p>
    <w:p w14:paraId="6BB0B741">
      <w:pPr>
        <w:rPr>
          <w:rFonts w:hint="default" w:ascii="宋体" w:hAnsi="宋体" w:cs="宋体"/>
          <w:b/>
          <w:color w:val="auto"/>
          <w:highlight w:val="none"/>
          <w:lang w:val="en-US" w:eastAsia="zh-CN"/>
        </w:rPr>
      </w:pPr>
    </w:p>
    <w:p w14:paraId="2552CB6B">
      <w:pPr>
        <w:rPr>
          <w:rFonts w:hint="default" w:ascii="宋体" w:hAnsi="宋体" w:cs="宋体"/>
          <w:b/>
          <w:color w:val="auto"/>
          <w:highlight w:val="none"/>
          <w:lang w:val="en-US" w:eastAsia="zh-CN"/>
        </w:rPr>
      </w:pPr>
    </w:p>
    <w:p w14:paraId="23D141F1">
      <w:pPr>
        <w:rPr>
          <w:rFonts w:hint="default" w:ascii="宋体" w:hAnsi="宋体" w:cs="宋体"/>
          <w:b/>
          <w:color w:val="auto"/>
          <w:highlight w:val="none"/>
          <w:lang w:val="en-US" w:eastAsia="zh-CN"/>
        </w:rPr>
      </w:pPr>
    </w:p>
    <w:p w14:paraId="6F581ACA">
      <w:pPr>
        <w:rPr>
          <w:rFonts w:hint="eastAsia" w:ascii="宋体" w:hAnsi="宋体" w:cs="宋体"/>
          <w:b/>
          <w:color w:val="auto"/>
          <w:highlight w:val="none"/>
          <w:lang w:val="en-US" w:eastAsia="zh-CN"/>
        </w:rPr>
      </w:pPr>
      <w:r>
        <w:rPr>
          <w:rFonts w:hint="eastAsia" w:ascii="宋体" w:hAnsi="宋体" w:cs="宋体"/>
          <w:b/>
          <w:color w:val="auto"/>
          <w:highlight w:val="none"/>
          <w:lang w:val="en-US" w:eastAsia="zh-CN"/>
        </w:rPr>
        <w:t>设备四证明材料（数量：     ）：</w:t>
      </w:r>
    </w:p>
    <w:p w14:paraId="19BC971C">
      <w:pPr>
        <w:rPr>
          <w:rFonts w:hint="default" w:ascii="宋体" w:hAnsi="宋体" w:cs="宋体"/>
          <w:b/>
          <w:color w:val="auto"/>
          <w:highlight w:val="none"/>
          <w:lang w:val="en-US" w:eastAsia="zh-CN"/>
        </w:rPr>
      </w:pPr>
    </w:p>
    <w:p w14:paraId="03D5192B">
      <w:pPr>
        <w:rPr>
          <w:rFonts w:hint="default" w:ascii="宋体" w:hAnsi="宋体" w:cs="宋体"/>
          <w:b/>
          <w:color w:val="auto"/>
          <w:highlight w:val="none"/>
          <w:lang w:val="en-US" w:eastAsia="zh-CN"/>
        </w:rPr>
      </w:pPr>
    </w:p>
    <w:p w14:paraId="73F741CF">
      <w:pPr>
        <w:rPr>
          <w:rFonts w:hint="default" w:ascii="宋体" w:hAnsi="宋体" w:cs="宋体"/>
          <w:b/>
          <w:color w:val="auto"/>
          <w:highlight w:val="none"/>
          <w:lang w:val="en-US" w:eastAsia="zh-CN"/>
        </w:rPr>
      </w:pPr>
    </w:p>
    <w:p w14:paraId="5ACEA720">
      <w:pPr>
        <w:rPr>
          <w:rFonts w:hint="default" w:ascii="宋体" w:hAnsi="宋体" w:cs="宋体"/>
          <w:b/>
          <w:color w:val="auto"/>
          <w:highlight w:val="none"/>
          <w:lang w:val="en-US" w:eastAsia="zh-CN"/>
        </w:rPr>
      </w:pPr>
    </w:p>
    <w:p w14:paraId="31C2F695">
      <w:pPr>
        <w:rPr>
          <w:rFonts w:hint="default" w:ascii="宋体" w:hAnsi="宋体" w:cs="宋体"/>
          <w:b/>
          <w:color w:val="auto"/>
          <w:highlight w:val="none"/>
          <w:lang w:val="en-US" w:eastAsia="zh-CN"/>
        </w:rPr>
      </w:pPr>
      <w:r>
        <w:rPr>
          <w:rFonts w:hint="eastAsia" w:ascii="宋体" w:hAnsi="宋体" w:cs="宋体"/>
          <w:b/>
          <w:color w:val="auto"/>
          <w:highlight w:val="none"/>
          <w:lang w:val="en-US" w:eastAsia="zh-CN"/>
        </w:rPr>
        <w:t>…………</w:t>
      </w:r>
    </w:p>
    <w:p w14:paraId="11DE3ACE">
      <w:pPr>
        <w:rPr>
          <w:rFonts w:hint="default" w:ascii="宋体" w:hAnsi="宋体" w:cs="宋体"/>
          <w:b/>
          <w:color w:val="auto"/>
          <w:highlight w:val="none"/>
          <w:lang w:val="en-US" w:eastAsia="zh-CN"/>
        </w:rPr>
      </w:pPr>
    </w:p>
    <w:p w14:paraId="49933752">
      <w:pPr>
        <w:rPr>
          <w:rFonts w:hint="eastAsia" w:ascii="宋体" w:hAnsi="宋体" w:cs="宋体"/>
          <w:b/>
          <w:color w:val="auto"/>
          <w:highlight w:val="none"/>
        </w:rPr>
      </w:pPr>
      <w:r>
        <w:rPr>
          <w:rFonts w:hint="eastAsia" w:ascii="宋体" w:hAnsi="宋体" w:cs="宋体"/>
          <w:b/>
          <w:color w:val="auto"/>
          <w:highlight w:val="none"/>
        </w:rPr>
        <w:br w:type="page"/>
      </w:r>
    </w:p>
    <w:p w14:paraId="1D25FD60">
      <w:pPr>
        <w:spacing w:line="360" w:lineRule="auto"/>
        <w:rPr>
          <w:rFonts w:ascii="宋体" w:hAnsi="宋体" w:cs="宋体"/>
          <w:b/>
          <w:bCs/>
          <w:color w:val="auto"/>
          <w:highlight w:val="none"/>
        </w:rPr>
      </w:pPr>
      <w:r>
        <w:rPr>
          <w:rFonts w:hint="eastAsia" w:ascii="宋体" w:hAnsi="宋体" w:cs="宋体"/>
          <w:b/>
          <w:color w:val="auto"/>
          <w:highlight w:val="none"/>
        </w:rPr>
        <w:t>附件</w:t>
      </w:r>
      <w:r>
        <w:rPr>
          <w:rFonts w:hint="eastAsia" w:ascii="宋体" w:hAnsi="宋体" w:cs="宋体"/>
          <w:b/>
          <w:color w:val="auto"/>
          <w:highlight w:val="none"/>
          <w:lang w:val="en-US" w:eastAsia="zh-CN"/>
        </w:rPr>
        <w:t>十一</w:t>
      </w:r>
      <w:r>
        <w:rPr>
          <w:rFonts w:hint="eastAsia" w:ascii="宋体" w:hAnsi="宋体" w:cs="宋体"/>
          <w:b/>
          <w:bCs/>
          <w:color w:val="auto"/>
          <w:highlight w:val="none"/>
        </w:rPr>
        <w:t>、企业声明函格式</w:t>
      </w:r>
    </w:p>
    <w:p w14:paraId="59F4EF9B">
      <w:pPr>
        <w:spacing w:before="312" w:beforeLines="100" w:after="312" w:afterLines="100" w:line="480" w:lineRule="auto"/>
        <w:jc w:val="center"/>
        <w:rPr>
          <w:rFonts w:ascii="宋体" w:hAnsi="宋体" w:cs="宋体"/>
          <w:b/>
          <w:bCs/>
          <w:color w:val="auto"/>
          <w:sz w:val="28"/>
          <w:szCs w:val="28"/>
          <w:highlight w:val="none"/>
        </w:rPr>
      </w:pPr>
      <w:bookmarkStart w:id="34" w:name="OLE_LINK13"/>
      <w:bookmarkStart w:id="35" w:name="OLE_LINK14"/>
      <w:r>
        <w:rPr>
          <w:rFonts w:hint="eastAsia" w:ascii="宋体" w:hAnsi="宋体" w:cs="宋体"/>
          <w:b/>
          <w:bCs/>
          <w:color w:val="auto"/>
          <w:sz w:val="28"/>
          <w:szCs w:val="28"/>
          <w:highlight w:val="none"/>
        </w:rPr>
        <w:t>中小企业声明函（工程、服务）</w:t>
      </w:r>
    </w:p>
    <w:p w14:paraId="5DC25603">
      <w:pPr>
        <w:widowControl/>
        <w:spacing w:line="440" w:lineRule="exact"/>
        <w:ind w:firstLine="420" w:firstLineChars="200"/>
        <w:jc w:val="left"/>
        <w:rPr>
          <w:rFonts w:ascii="宋体" w:hAnsi="宋体" w:cs="宋体"/>
          <w:color w:val="auto"/>
          <w:kern w:val="0"/>
          <w:szCs w:val="21"/>
          <w:highlight w:val="none"/>
        </w:rPr>
      </w:pPr>
      <w:r>
        <w:rPr>
          <w:rFonts w:hint="eastAsia" w:ascii="宋体" w:hAnsi="宋体" w:cs="宋体"/>
          <w:color w:val="auto"/>
          <w:kern w:val="0"/>
          <w:highlight w:val="none"/>
        </w:rPr>
        <w:t>本公司（联合体）郑重声明，根据《政府采购促进中小企业发展管理办法》（财库〔2020</w:t>
      </w:r>
      <w:r>
        <w:rPr>
          <w:rFonts w:hint="eastAsia" w:ascii="宋体" w:hAnsi="宋体" w:cs="宋体"/>
          <w:color w:val="auto"/>
          <w:highlight w:val="none"/>
        </w:rPr>
        <w:t>〕</w:t>
      </w:r>
      <w:r>
        <w:rPr>
          <w:rFonts w:hint="eastAsia" w:ascii="宋体" w:hAnsi="宋体" w:cs="宋体"/>
          <w:color w:val="auto"/>
          <w:kern w:val="0"/>
          <w:highlight w:val="none"/>
        </w:rPr>
        <w:t xml:space="preserve"> 46号）的规定，本公司（联合体）参加（单位名称）的（项目名称）采购活动，工程的施工单位全部为符合政策要求的中小企业（或者：服务全部由符合政策要求的中小企业承接）。相关企业（含联合 体中的中小企业、签订分包意向协议的中小企业）的具体情况如下：</w:t>
      </w:r>
    </w:p>
    <w:p w14:paraId="12612D99">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w:t>
      </w:r>
      <w:r>
        <w:rPr>
          <w:rFonts w:hint="eastAsia" w:ascii="宋体" w:hAnsi="宋体" w:cs="宋体"/>
          <w:color w:val="auto"/>
          <w:kern w:val="0"/>
          <w:highlight w:val="none"/>
          <w:u w:val="single"/>
        </w:rPr>
        <w:t>（采购文件中明确的所属行业）</w:t>
      </w:r>
      <w:r>
        <w:rPr>
          <w:rFonts w:hint="eastAsia" w:ascii="宋体" w:hAnsi="宋体" w:cs="宋体"/>
          <w:color w:val="auto"/>
          <w:kern w:val="0"/>
          <w:highlight w:val="none"/>
        </w:rPr>
        <w:t>,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p>
    <w:p w14:paraId="3A46EAA8">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u w:val="single"/>
        </w:rPr>
        <w:t>（标的名称）,</w:t>
      </w:r>
      <w:r>
        <w:rPr>
          <w:rFonts w:hint="eastAsia" w:ascii="宋体" w:hAnsi="宋体" w:cs="宋体"/>
          <w:color w:val="auto"/>
          <w:kern w:val="0"/>
          <w:highlight w:val="none"/>
        </w:rPr>
        <w:t>属于（采购文件中明确的所属行业）, 承建（承接）企业为（企业名称）,从业人员</w:t>
      </w:r>
      <w:r>
        <w:rPr>
          <w:rFonts w:hint="eastAsia" w:ascii="宋体" w:hAnsi="宋体" w:cs="宋体"/>
          <w:color w:val="auto"/>
          <w:kern w:val="0"/>
          <w:highlight w:val="none"/>
          <w:u w:val="single"/>
        </w:rPr>
        <w:tab/>
      </w:r>
      <w:r>
        <w:rPr>
          <w:rFonts w:hint="eastAsia" w:ascii="宋体" w:hAnsi="宋体" w:cs="宋体"/>
          <w:color w:val="auto"/>
          <w:kern w:val="0"/>
          <w:highlight w:val="none"/>
          <w:u w:val="single"/>
        </w:rPr>
        <w:t>人</w:t>
      </w:r>
      <w:r>
        <w:rPr>
          <w:rFonts w:hint="eastAsia" w:ascii="宋体" w:hAnsi="宋体" w:cs="宋体"/>
          <w:color w:val="auto"/>
          <w:kern w:val="0"/>
          <w:highlight w:val="none"/>
        </w:rPr>
        <w:t>，营业收入为</w:t>
      </w:r>
      <w:r>
        <w:rPr>
          <w:rFonts w:hint="eastAsia" w:ascii="宋体" w:hAnsi="宋体" w:cs="宋体"/>
          <w:color w:val="auto"/>
          <w:kern w:val="0"/>
          <w:highlight w:val="none"/>
          <w:u w:val="single"/>
        </w:rPr>
        <w:tab/>
      </w:r>
      <w:r>
        <w:rPr>
          <w:rFonts w:hint="eastAsia" w:ascii="宋体" w:hAnsi="宋体" w:cs="宋体"/>
          <w:color w:val="auto"/>
          <w:kern w:val="0"/>
          <w:highlight w:val="none"/>
        </w:rPr>
        <w:t>万元，资产总额为</w:t>
      </w:r>
      <w:r>
        <w:rPr>
          <w:rFonts w:hint="eastAsia" w:ascii="宋体" w:hAnsi="宋体" w:cs="宋体"/>
          <w:color w:val="auto"/>
          <w:kern w:val="0"/>
          <w:highlight w:val="none"/>
          <w:u w:val="single"/>
        </w:rPr>
        <w:tab/>
      </w:r>
      <w:r>
        <w:rPr>
          <w:rFonts w:hint="eastAsia" w:ascii="宋体" w:hAnsi="宋体" w:cs="宋体"/>
          <w:color w:val="auto"/>
          <w:kern w:val="0"/>
          <w:highlight w:val="none"/>
        </w:rPr>
        <w:t>万元，属于（中型企业、小型企业、微型企业）；</w:t>
      </w:r>
      <w:r>
        <w:rPr>
          <w:rFonts w:hint="eastAsia" w:ascii="宋体" w:hAnsi="宋体" w:cs="宋体"/>
          <w:color w:val="auto"/>
          <w:kern w:val="0"/>
          <w:highlight w:val="none"/>
        </w:rPr>
        <w:tab/>
      </w:r>
    </w:p>
    <w:p w14:paraId="2778447E">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以上企业，不属于大企业的分支机构，不存在控股股东为大企业的情形，也不存在与大企业的负责人为同一人的情形。</w:t>
      </w:r>
    </w:p>
    <w:p w14:paraId="0C50ABF7">
      <w:pPr>
        <w:widowControl/>
        <w:spacing w:line="440" w:lineRule="exact"/>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本企业对上述声明内容的真实性负责。如有虚假，将依法承担相应责任。</w:t>
      </w:r>
    </w:p>
    <w:p w14:paraId="17DEA284">
      <w:pPr>
        <w:widowControl/>
        <w:spacing w:line="440" w:lineRule="exact"/>
        <w:ind w:firstLine="420" w:firstLineChars="200"/>
        <w:jc w:val="left"/>
        <w:rPr>
          <w:rFonts w:ascii="宋体" w:hAnsi="宋体" w:cs="宋体"/>
          <w:color w:val="auto"/>
          <w:kern w:val="0"/>
          <w:highlight w:val="none"/>
        </w:rPr>
      </w:pPr>
    </w:p>
    <w:p w14:paraId="21946506">
      <w:pPr>
        <w:widowControl/>
        <w:spacing w:line="440" w:lineRule="exact"/>
        <w:ind w:firstLine="420" w:firstLineChars="200"/>
        <w:jc w:val="left"/>
        <w:rPr>
          <w:rFonts w:ascii="宋体" w:hAnsi="宋体" w:cs="宋体"/>
          <w:color w:val="auto"/>
          <w:kern w:val="0"/>
          <w:highlight w:val="none"/>
        </w:rPr>
      </w:pPr>
    </w:p>
    <w:p w14:paraId="127BFBBE">
      <w:pPr>
        <w:widowControl/>
        <w:spacing w:line="440" w:lineRule="exact"/>
        <w:ind w:firstLine="420" w:firstLineChars="200"/>
        <w:jc w:val="left"/>
        <w:rPr>
          <w:rFonts w:ascii="宋体" w:hAnsi="宋体" w:cs="宋体"/>
          <w:color w:val="auto"/>
          <w:kern w:val="0"/>
          <w:highlight w:val="none"/>
        </w:rPr>
      </w:pPr>
    </w:p>
    <w:p w14:paraId="30A50309">
      <w:pPr>
        <w:widowControl/>
        <w:spacing w:line="440" w:lineRule="exact"/>
        <w:ind w:firstLine="420" w:firstLineChars="200"/>
        <w:jc w:val="right"/>
        <w:rPr>
          <w:rFonts w:ascii="宋体" w:hAnsi="宋体" w:cs="宋体"/>
          <w:color w:val="auto"/>
          <w:kern w:val="0"/>
          <w:highlight w:val="none"/>
        </w:rPr>
      </w:pPr>
      <w:r>
        <w:rPr>
          <w:rFonts w:hint="eastAsia" w:ascii="宋体" w:hAnsi="宋体" w:cs="宋体"/>
          <w:color w:val="auto"/>
          <w:kern w:val="0"/>
          <w:highlight w:val="none"/>
        </w:rPr>
        <w:t>企业名称</w:t>
      </w:r>
      <w:r>
        <w:rPr>
          <w:rFonts w:hint="eastAsia" w:ascii="宋体" w:hAnsi="宋体" w:cs="宋体"/>
          <w:color w:val="auto"/>
          <w:kern w:val="0"/>
          <w:szCs w:val="21"/>
          <w:highlight w:val="none"/>
        </w:rPr>
        <w:t>（加盖电子公章）</w:t>
      </w:r>
      <w:r>
        <w:rPr>
          <w:rFonts w:hint="eastAsia" w:ascii="宋体" w:hAnsi="宋体" w:cs="宋体"/>
          <w:color w:val="auto"/>
          <w:kern w:val="0"/>
          <w:highlight w:val="none"/>
        </w:rPr>
        <w:t>：</w:t>
      </w:r>
    </w:p>
    <w:p w14:paraId="6E4AA798">
      <w:pPr>
        <w:widowControl/>
        <w:spacing w:line="360" w:lineRule="auto"/>
        <w:ind w:firstLine="420" w:firstLineChars="200"/>
        <w:jc w:val="left"/>
        <w:rPr>
          <w:rFonts w:ascii="宋体" w:hAnsi="宋体" w:cs="宋体"/>
          <w:color w:val="auto"/>
          <w:kern w:val="0"/>
          <w:highlight w:val="none"/>
        </w:rPr>
      </w:pPr>
      <w:r>
        <w:rPr>
          <w:rFonts w:hint="eastAsia" w:ascii="宋体" w:hAnsi="宋体" w:cs="宋体"/>
          <w:color w:val="auto"/>
          <w:kern w:val="0"/>
          <w:highlight w:val="none"/>
        </w:rPr>
        <w:t xml:space="preserve">                                                   日期：</w:t>
      </w:r>
    </w:p>
    <w:p w14:paraId="13A0C920">
      <w:pPr>
        <w:widowControl/>
        <w:spacing w:line="360" w:lineRule="auto"/>
        <w:ind w:firstLine="420" w:firstLineChars="200"/>
        <w:jc w:val="left"/>
        <w:rPr>
          <w:rFonts w:ascii="宋体" w:hAnsi="宋体" w:cs="宋体"/>
          <w:color w:val="auto"/>
          <w:kern w:val="0"/>
          <w:highlight w:val="none"/>
        </w:rPr>
      </w:pPr>
    </w:p>
    <w:p w14:paraId="3235C5E3">
      <w:pPr>
        <w:widowControl/>
        <w:spacing w:line="360" w:lineRule="auto"/>
        <w:ind w:firstLine="420" w:firstLineChars="200"/>
        <w:jc w:val="left"/>
        <w:rPr>
          <w:rFonts w:ascii="宋体" w:hAnsi="宋体" w:cs="宋体"/>
          <w:color w:val="auto"/>
          <w:kern w:val="0"/>
          <w:highlight w:val="none"/>
        </w:rPr>
      </w:pPr>
    </w:p>
    <w:p w14:paraId="4703047F">
      <w:pPr>
        <w:widowControl/>
        <w:spacing w:line="360" w:lineRule="auto"/>
        <w:ind w:firstLine="422" w:firstLineChars="200"/>
        <w:jc w:val="left"/>
        <w:rPr>
          <w:rFonts w:ascii="宋体" w:hAnsi="宋体" w:cs="宋体"/>
          <w:b/>
          <w:snapToGrid w:val="0"/>
          <w:color w:val="auto"/>
          <w:kern w:val="0"/>
          <w:szCs w:val="21"/>
          <w:highlight w:val="none"/>
        </w:rPr>
      </w:pPr>
      <w:r>
        <w:rPr>
          <w:rFonts w:hint="eastAsia" w:ascii="宋体" w:hAnsi="宋体" w:cs="宋体"/>
          <w:b/>
          <w:snapToGrid w:val="0"/>
          <w:color w:val="auto"/>
          <w:kern w:val="0"/>
          <w:szCs w:val="21"/>
          <w:highlight w:val="none"/>
        </w:rPr>
        <w:t>注：从业人员、营业收入、资产总额填报上一年度数据，无上一年度数据的新成立企业可不填报。</w:t>
      </w:r>
    </w:p>
    <w:p w14:paraId="52E584BF">
      <w:pPr>
        <w:spacing w:line="360" w:lineRule="auto"/>
        <w:jc w:val="center"/>
        <w:rPr>
          <w:rFonts w:ascii="宋体" w:hAnsi="宋体" w:cs="宋体"/>
          <w:b/>
          <w:bCs/>
          <w:color w:val="auto"/>
          <w:sz w:val="28"/>
          <w:highlight w:val="none"/>
        </w:rPr>
      </w:pPr>
    </w:p>
    <w:p w14:paraId="7CEA87CD">
      <w:pPr>
        <w:keepNext/>
        <w:keepLines/>
        <w:ind w:firstLine="420"/>
        <w:outlineLvl w:val="9"/>
        <w:rPr>
          <w:rFonts w:ascii="宋体" w:hAnsi="宋体" w:eastAsia="宋体" w:cs="宋体"/>
          <w:color w:val="auto"/>
          <w:kern w:val="0"/>
          <w:szCs w:val="24"/>
          <w:highlight w:val="none"/>
        </w:rPr>
      </w:pPr>
      <w:bookmarkStart w:id="36" w:name="_Toc10552"/>
      <w:r>
        <w:rPr>
          <w:rFonts w:hint="eastAsia" w:ascii="宋体" w:hAnsi="宋体" w:eastAsia="宋体" w:cs="宋体"/>
          <w:color w:val="auto"/>
          <w:kern w:val="0"/>
          <w:szCs w:val="24"/>
          <w:highlight w:val="none"/>
        </w:rPr>
        <w:t>备注：</w:t>
      </w:r>
      <w:bookmarkEnd w:id="36"/>
    </w:p>
    <w:p w14:paraId="50E9F431">
      <w:pPr>
        <w:keepNext/>
        <w:keepLines/>
        <w:ind w:firstLine="630" w:firstLineChars="300"/>
        <w:outlineLvl w:val="9"/>
        <w:rPr>
          <w:rFonts w:ascii="宋体" w:hAnsi="宋体" w:eastAsia="宋体" w:cs="宋体"/>
          <w:color w:val="auto"/>
          <w:kern w:val="0"/>
          <w:szCs w:val="24"/>
          <w:highlight w:val="none"/>
        </w:rPr>
      </w:pPr>
      <w:bookmarkStart w:id="37" w:name="_Toc12731"/>
      <w:r>
        <w:rPr>
          <w:rFonts w:hint="eastAsia" w:ascii="宋体" w:hAnsi="宋体" w:eastAsia="宋体" w:cs="宋体"/>
          <w:color w:val="auto"/>
          <w:kern w:val="0"/>
          <w:szCs w:val="24"/>
          <w:highlight w:val="none"/>
        </w:rPr>
        <w:t>1.从业人员、营业收入、资产总额填报上一年度数据，无上一年度数据的新成立企业可不填报。</w:t>
      </w:r>
      <w:bookmarkEnd w:id="37"/>
    </w:p>
    <w:p w14:paraId="7DB06738">
      <w:pPr>
        <w:keepNext/>
        <w:keepLines/>
        <w:ind w:firstLine="630"/>
        <w:outlineLvl w:val="9"/>
        <w:rPr>
          <w:rFonts w:ascii="宋体" w:hAnsi="宋体" w:eastAsia="宋体" w:cs="宋体"/>
          <w:b/>
          <w:bCs/>
          <w:color w:val="auto"/>
          <w:kern w:val="0"/>
          <w:szCs w:val="24"/>
          <w:highlight w:val="none"/>
        </w:rPr>
      </w:pPr>
      <w:bookmarkStart w:id="38" w:name="_Toc397"/>
      <w:r>
        <w:rPr>
          <w:rFonts w:hint="eastAsia" w:ascii="宋体" w:hAnsi="宋体" w:eastAsia="宋体" w:cs="宋体"/>
          <w:color w:val="auto"/>
          <w:kern w:val="0"/>
          <w:szCs w:val="24"/>
          <w:highlight w:val="none"/>
        </w:rPr>
        <w:t>2.在货物采购项目中，货物由中小企业制造，即货物由中小企业生产且使用该中小企业商号或者注册商标。</w:t>
      </w:r>
      <w:r>
        <w:rPr>
          <w:rFonts w:hint="eastAsia" w:ascii="宋体" w:hAnsi="宋体" w:eastAsia="宋体" w:cs="宋体"/>
          <w:b/>
          <w:bCs/>
          <w:color w:val="auto"/>
          <w:kern w:val="0"/>
          <w:szCs w:val="24"/>
          <w:highlight w:val="none"/>
        </w:rPr>
        <w:t>供应商提供的货物既有中小企业制造货物，也有大型企业制造货物的，不享受相应扶持政策。</w:t>
      </w:r>
      <w:bookmarkEnd w:id="38"/>
    </w:p>
    <w:p w14:paraId="51714B38">
      <w:pPr>
        <w:keepNext/>
        <w:keepLines/>
        <w:ind w:firstLine="630"/>
        <w:outlineLvl w:val="9"/>
        <w:rPr>
          <w:rFonts w:ascii="宋体" w:hAnsi="宋体" w:eastAsia="宋体" w:cs="宋体"/>
          <w:b/>
          <w:bCs/>
          <w:color w:val="auto"/>
          <w:kern w:val="0"/>
          <w:szCs w:val="24"/>
          <w:highlight w:val="none"/>
        </w:rPr>
      </w:pPr>
      <w:bookmarkStart w:id="39" w:name="_Toc16566"/>
      <w:r>
        <w:rPr>
          <w:rFonts w:hint="eastAsia" w:ascii="宋体" w:hAnsi="宋体" w:eastAsia="宋体" w:cs="宋体"/>
          <w:color w:val="auto"/>
          <w:kern w:val="0"/>
          <w:szCs w:val="24"/>
          <w:highlight w:val="none"/>
        </w:rPr>
        <w:t>3.《中小企业声明函》中所填的行业应与本采购标的对应的中小企业划分标准所属行业一致，不一致的不可享受相应政策优惠。</w:t>
      </w:r>
      <w:r>
        <w:rPr>
          <w:rFonts w:hint="eastAsia" w:ascii="宋体" w:hAnsi="宋体" w:eastAsia="宋体" w:cs="宋体"/>
          <w:b/>
          <w:bCs/>
          <w:color w:val="auto"/>
          <w:kern w:val="0"/>
          <w:szCs w:val="24"/>
          <w:highlight w:val="none"/>
        </w:rPr>
        <w:t>本采购标的对应的中小企业划分标准所属行业，以采购文件中具体规定为准。</w:t>
      </w:r>
      <w:bookmarkEnd w:id="39"/>
    </w:p>
    <w:p w14:paraId="33EED38A">
      <w:pPr>
        <w:keepNext/>
        <w:keepLines/>
        <w:ind w:firstLine="632"/>
        <w:outlineLvl w:val="9"/>
        <w:rPr>
          <w:rFonts w:ascii="宋体" w:hAnsi="宋体" w:eastAsia="宋体" w:cs="宋体"/>
          <w:b/>
          <w:bCs/>
          <w:color w:val="auto"/>
          <w:kern w:val="0"/>
          <w:szCs w:val="24"/>
          <w:highlight w:val="none"/>
        </w:rPr>
      </w:pPr>
      <w:bookmarkStart w:id="40" w:name="_Toc30543"/>
      <w:r>
        <w:rPr>
          <w:rFonts w:hint="eastAsia" w:ascii="宋体" w:hAnsi="宋体" w:eastAsia="宋体" w:cs="宋体"/>
          <w:b/>
          <w:bCs/>
          <w:color w:val="auto"/>
          <w:kern w:val="0"/>
          <w:szCs w:val="24"/>
          <w:highlight w:val="none"/>
        </w:rPr>
        <w:t>4.如未对（中型企业、小型企业、微型企业）进行勾选，视同非中小微企业，不可享受相应扶持政策。</w:t>
      </w:r>
      <w:bookmarkEnd w:id="40"/>
    </w:p>
    <w:p w14:paraId="73FA193B">
      <w:pPr>
        <w:spacing w:line="360" w:lineRule="auto"/>
        <w:ind w:left="840" w:hanging="210"/>
        <w:outlineLvl w:val="9"/>
        <w:rPr>
          <w:rFonts w:ascii="宋体" w:hAnsi="宋体" w:eastAsia="宋体" w:cs="宋体"/>
          <w:color w:val="auto"/>
          <w:kern w:val="0"/>
          <w:szCs w:val="24"/>
          <w:highlight w:val="none"/>
          <w:lang w:val="zh-CN"/>
        </w:rPr>
      </w:pPr>
      <w:r>
        <w:rPr>
          <w:rFonts w:hint="eastAsia" w:ascii="宋体" w:hAnsi="宋体" w:eastAsia="宋体" w:cs="宋体"/>
          <w:color w:val="auto"/>
          <w:kern w:val="0"/>
          <w:szCs w:val="24"/>
          <w:highlight w:val="none"/>
        </w:rPr>
        <w:t>5.中标单位为中小企业的，《中小企业声明函》将随中标结果同时公告</w:t>
      </w:r>
      <w:r>
        <w:rPr>
          <w:rFonts w:hint="eastAsia" w:ascii="宋体" w:hAnsi="宋体" w:eastAsia="宋体" w:cs="宋体"/>
          <w:color w:val="auto"/>
          <w:kern w:val="0"/>
          <w:szCs w:val="24"/>
          <w:highlight w:val="none"/>
          <w:lang w:val="zh-CN"/>
        </w:rPr>
        <w:t>。</w:t>
      </w:r>
    </w:p>
    <w:p w14:paraId="4C3E7109">
      <w:pPr>
        <w:spacing w:line="360" w:lineRule="auto"/>
        <w:ind w:left="840" w:hanging="210"/>
        <w:outlineLvl w:val="9"/>
        <w:rPr>
          <w:rFonts w:ascii="宋体" w:hAnsi="宋体" w:eastAsia="宋体" w:cs="宋体"/>
          <w:color w:val="auto"/>
          <w:kern w:val="0"/>
          <w:szCs w:val="24"/>
          <w:highlight w:val="none"/>
          <w:lang w:val="zh-CN"/>
        </w:rPr>
      </w:pPr>
    </w:p>
    <w:p w14:paraId="5D7FBCE8">
      <w:pPr>
        <w:outlineLvl w:val="9"/>
        <w:rPr>
          <w:rFonts w:ascii="宋体" w:hAnsi="宋体" w:eastAsia="宋体" w:cs="Times New Roman"/>
          <w:b/>
          <w:color w:val="auto"/>
          <w:kern w:val="0"/>
          <w:szCs w:val="24"/>
          <w:highlight w:val="none"/>
        </w:rPr>
      </w:pPr>
      <w:r>
        <w:rPr>
          <w:rFonts w:hint="eastAsia" w:ascii="宋体" w:hAnsi="宋体" w:eastAsia="宋体" w:cs="Times New Roman"/>
          <w:b/>
          <w:color w:val="auto"/>
          <w:kern w:val="0"/>
          <w:szCs w:val="24"/>
          <w:highlight w:val="none"/>
        </w:rPr>
        <w:t>附：中小企业划型标准规定</w:t>
      </w:r>
    </w:p>
    <w:p w14:paraId="0809A1F7">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（一）农、林、牧、渔业。</w:t>
      </w:r>
      <w:r>
        <w:rPr>
          <w:rFonts w:hint="eastAsia" w:ascii="宋体" w:hAnsi="宋体" w:eastAsia="宋体" w:cs="Times New Roman"/>
          <w:color w:val="auto"/>
          <w:kern w:val="0"/>
          <w:szCs w:val="24"/>
          <w:highlight w:val="none"/>
        </w:rPr>
        <w:t>营业收入20000万元以下的为中小微型企业。其中，营业收入500万元及以上的为中型企业，营业收入50万元及以上的为小型企业，营业收入50万元以下的为微型企业。</w:t>
      </w:r>
    </w:p>
    <w:p w14:paraId="57BE454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（二）工业。</w:t>
      </w:r>
      <w:r>
        <w:rPr>
          <w:rFonts w:hint="eastAsia" w:ascii="宋体" w:hAnsi="宋体" w:eastAsia="宋体" w:cs="Times New Roman"/>
          <w:color w:val="auto"/>
          <w:kern w:val="0"/>
          <w:szCs w:val="24"/>
          <w:highlight w:val="none"/>
        </w:rPr>
        <w:t>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5853D87F">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（三）建筑业。</w:t>
      </w:r>
      <w:r>
        <w:rPr>
          <w:rFonts w:hint="eastAsia" w:ascii="宋体" w:hAnsi="宋体" w:eastAsia="宋体" w:cs="Times New Roman"/>
          <w:color w:val="auto"/>
          <w:kern w:val="0"/>
          <w:szCs w:val="24"/>
          <w:highlight w:val="none"/>
        </w:rPr>
        <w:t>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C01B647">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（四）批发业。</w:t>
      </w:r>
      <w:r>
        <w:rPr>
          <w:rFonts w:hint="eastAsia" w:ascii="宋体" w:hAnsi="宋体" w:eastAsia="宋体" w:cs="Times New Roman"/>
          <w:color w:val="auto"/>
          <w:kern w:val="0"/>
          <w:szCs w:val="24"/>
          <w:highlight w:val="none"/>
        </w:rPr>
        <w:t>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4FC0ACC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（五）零售业。</w:t>
      </w:r>
      <w:r>
        <w:rPr>
          <w:rFonts w:hint="eastAsia" w:ascii="宋体" w:hAnsi="宋体" w:eastAsia="宋体" w:cs="Times New Roman"/>
          <w:color w:val="auto"/>
          <w:kern w:val="0"/>
          <w:szCs w:val="24"/>
          <w:highlight w:val="none"/>
        </w:rPr>
        <w:t>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343A9841">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（六）交通运输业。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473549B">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（七）仓储业。</w:t>
      </w:r>
      <w:r>
        <w:rPr>
          <w:rFonts w:hint="eastAsia" w:ascii="宋体" w:hAnsi="宋体" w:eastAsia="宋体" w:cs="Times New Roman"/>
          <w:color w:val="auto"/>
          <w:kern w:val="0"/>
          <w:szCs w:val="24"/>
          <w:highlight w:val="none"/>
        </w:rPr>
        <w:t>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5FB5F54">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（八）邮政业。</w:t>
      </w:r>
      <w:r>
        <w:rPr>
          <w:rFonts w:hint="eastAsia" w:ascii="宋体" w:hAnsi="宋体" w:eastAsia="宋体" w:cs="Times New Roman"/>
          <w:color w:val="auto"/>
          <w:kern w:val="0"/>
          <w:szCs w:val="24"/>
          <w:highlight w:val="none"/>
        </w:rPr>
        <w:t>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08761BCA">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（九）住宿业。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28C2DCB2">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（十）餐饮业。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92CF51">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（十一）信息传输业。</w:t>
      </w:r>
      <w:r>
        <w:rPr>
          <w:rFonts w:hint="eastAsia" w:ascii="宋体" w:hAnsi="宋体" w:eastAsia="宋体" w:cs="Times New Roman"/>
          <w:color w:val="auto"/>
          <w:kern w:val="0"/>
          <w:szCs w:val="24"/>
          <w:highlight w:val="none"/>
        </w:rPr>
        <w:t>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969E775">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（十二）软件和信息技术服务业。</w:t>
      </w:r>
      <w:r>
        <w:rPr>
          <w:rFonts w:hint="eastAsia" w:ascii="宋体" w:hAnsi="宋体" w:eastAsia="宋体" w:cs="Times New Roman"/>
          <w:color w:val="auto"/>
          <w:kern w:val="0"/>
          <w:szCs w:val="24"/>
          <w:highlight w:val="none"/>
        </w:rPr>
        <w:t>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00304EBC">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（十三）房地产开发经营。</w:t>
      </w:r>
      <w:r>
        <w:rPr>
          <w:rFonts w:hint="eastAsia" w:ascii="宋体" w:hAnsi="宋体" w:eastAsia="宋体" w:cs="Times New Roman"/>
          <w:color w:val="auto"/>
          <w:kern w:val="0"/>
          <w:szCs w:val="24"/>
          <w:highlight w:val="none"/>
        </w:rPr>
        <w:t>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761B0C7F">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（十四）物业管理。</w:t>
      </w:r>
      <w:r>
        <w:rPr>
          <w:rFonts w:hint="eastAsia" w:ascii="宋体" w:hAnsi="宋体" w:eastAsia="宋体" w:cs="Times New Roman"/>
          <w:color w:val="auto"/>
          <w:kern w:val="0"/>
          <w:szCs w:val="24"/>
          <w:highlight w:val="none"/>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F444D35">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（十五）租赁和商务服务业。</w:t>
      </w:r>
      <w:r>
        <w:rPr>
          <w:rFonts w:hint="eastAsia" w:ascii="宋体" w:hAnsi="宋体" w:eastAsia="宋体" w:cs="Times New Roman"/>
          <w:color w:val="auto"/>
          <w:kern w:val="0"/>
          <w:szCs w:val="24"/>
          <w:highlight w:val="none"/>
        </w:rPr>
        <w:t>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3D4831A0">
      <w:pPr>
        <w:ind w:firstLine="422"/>
        <w:outlineLvl w:val="9"/>
        <w:rPr>
          <w:rFonts w:ascii="宋体" w:hAnsi="宋体" w:eastAsia="宋体" w:cs="Times New Roman"/>
          <w:color w:val="auto"/>
          <w:kern w:val="0"/>
          <w:szCs w:val="24"/>
          <w:highlight w:val="none"/>
        </w:rPr>
      </w:pPr>
      <w:r>
        <w:rPr>
          <w:rFonts w:hint="eastAsia" w:ascii="宋体" w:hAnsi="宋体" w:eastAsia="宋体" w:cs="Times New Roman"/>
          <w:b/>
          <w:color w:val="auto"/>
          <w:kern w:val="0"/>
          <w:szCs w:val="24"/>
          <w:highlight w:val="none"/>
        </w:rPr>
        <w:t>（十六）其他未列明行业。</w:t>
      </w:r>
      <w:r>
        <w:rPr>
          <w:rFonts w:hint="eastAsia" w:ascii="宋体" w:hAnsi="宋体" w:eastAsia="宋体" w:cs="Times New Roman"/>
          <w:color w:val="auto"/>
          <w:kern w:val="0"/>
          <w:szCs w:val="24"/>
          <w:highlight w:val="none"/>
        </w:rPr>
        <w:t>从业人员300人以下的为中小微型企业。其中，从业人员100人及以上的为中型企业；从业人员10人及以上的为小型企业；从业人员10人以下的为微型企业。</w:t>
      </w:r>
    </w:p>
    <w:p w14:paraId="649538B6">
      <w:pPr>
        <w:spacing w:line="360" w:lineRule="auto"/>
        <w:jc w:val="both"/>
        <w:rPr>
          <w:rFonts w:ascii="宋体" w:hAnsi="宋体" w:cs="宋体"/>
          <w:b/>
          <w:bCs/>
          <w:color w:val="auto"/>
          <w:sz w:val="28"/>
          <w:highlight w:val="none"/>
        </w:rPr>
      </w:pPr>
    </w:p>
    <w:p w14:paraId="5AF0C713">
      <w:pPr>
        <w:spacing w:line="360" w:lineRule="auto"/>
        <w:jc w:val="both"/>
        <w:rPr>
          <w:rFonts w:ascii="宋体" w:hAnsi="宋体" w:cs="宋体"/>
          <w:b/>
          <w:bCs/>
          <w:color w:val="auto"/>
          <w:sz w:val="28"/>
          <w:highlight w:val="none"/>
        </w:rPr>
      </w:pPr>
    </w:p>
    <w:p w14:paraId="70F785E8">
      <w:pPr>
        <w:spacing w:line="360" w:lineRule="auto"/>
        <w:jc w:val="both"/>
        <w:rPr>
          <w:rFonts w:ascii="宋体" w:hAnsi="宋体" w:cs="宋体"/>
          <w:b/>
          <w:bCs/>
          <w:color w:val="auto"/>
          <w:sz w:val="28"/>
          <w:highlight w:val="none"/>
        </w:rPr>
      </w:pPr>
    </w:p>
    <w:p w14:paraId="3A6D1303">
      <w:pPr>
        <w:spacing w:line="360" w:lineRule="auto"/>
        <w:jc w:val="both"/>
        <w:rPr>
          <w:rFonts w:ascii="宋体" w:hAnsi="宋体" w:cs="宋体"/>
          <w:b/>
          <w:bCs/>
          <w:color w:val="auto"/>
          <w:sz w:val="28"/>
          <w:highlight w:val="none"/>
        </w:rPr>
      </w:pPr>
    </w:p>
    <w:p w14:paraId="38E14F80">
      <w:pPr>
        <w:spacing w:line="360" w:lineRule="auto"/>
        <w:jc w:val="both"/>
        <w:rPr>
          <w:rFonts w:ascii="宋体" w:hAnsi="宋体" w:cs="宋体"/>
          <w:b/>
          <w:bCs/>
          <w:color w:val="auto"/>
          <w:sz w:val="28"/>
          <w:highlight w:val="none"/>
        </w:rPr>
      </w:pPr>
    </w:p>
    <w:p w14:paraId="796D263E">
      <w:pPr>
        <w:spacing w:line="360" w:lineRule="auto"/>
        <w:jc w:val="both"/>
        <w:rPr>
          <w:rFonts w:ascii="宋体" w:hAnsi="宋体" w:cs="宋体"/>
          <w:b/>
          <w:bCs/>
          <w:color w:val="auto"/>
          <w:sz w:val="28"/>
          <w:highlight w:val="none"/>
        </w:rPr>
      </w:pPr>
    </w:p>
    <w:p w14:paraId="43D92014">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残疾人福利性单位声明函</w:t>
      </w:r>
    </w:p>
    <w:bookmarkEnd w:id="34"/>
    <w:bookmarkEnd w:id="35"/>
    <w:p w14:paraId="55708E17">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50948354">
      <w:pPr>
        <w:widowControl/>
        <w:spacing w:line="440" w:lineRule="exact"/>
        <w:ind w:firstLine="420" w:firstLineChars="2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本单位对上述声明的真实性负责。如有虚假，将依法承担相应责任。</w:t>
      </w:r>
    </w:p>
    <w:p w14:paraId="0F6DC243">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单位名称</w:t>
      </w:r>
      <w:r>
        <w:rPr>
          <w:rFonts w:hint="eastAsia" w:ascii="宋体" w:hAnsi="宋体" w:cs="宋体"/>
          <w:color w:val="auto"/>
          <w:kern w:val="0"/>
          <w:szCs w:val="21"/>
          <w:highlight w:val="none"/>
        </w:rPr>
        <w:t>（加盖电子公章）</w:t>
      </w:r>
      <w:r>
        <w:rPr>
          <w:rFonts w:hint="eastAsia" w:ascii="宋体" w:hAnsi="宋体" w:cs="宋体"/>
          <w:snapToGrid w:val="0"/>
          <w:color w:val="auto"/>
          <w:kern w:val="0"/>
          <w:szCs w:val="21"/>
          <w:highlight w:val="none"/>
        </w:rPr>
        <w:t>：</w:t>
      </w:r>
    </w:p>
    <w:p w14:paraId="758132C2">
      <w:pPr>
        <w:widowControl/>
        <w:spacing w:line="440" w:lineRule="exact"/>
        <w:ind w:firstLine="5040" w:firstLineChars="2400"/>
        <w:jc w:val="left"/>
        <w:rPr>
          <w:rFonts w:ascii="宋体" w:hAnsi="宋体" w:cs="宋体"/>
          <w:snapToGrid w:val="0"/>
          <w:color w:val="auto"/>
          <w:kern w:val="0"/>
          <w:szCs w:val="21"/>
          <w:highlight w:val="none"/>
        </w:rPr>
      </w:pPr>
      <w:r>
        <w:rPr>
          <w:rFonts w:hint="eastAsia" w:ascii="宋体" w:hAnsi="宋体" w:cs="宋体"/>
          <w:snapToGrid w:val="0"/>
          <w:color w:val="auto"/>
          <w:kern w:val="0"/>
          <w:szCs w:val="21"/>
          <w:highlight w:val="none"/>
        </w:rPr>
        <w:t>日  期：</w:t>
      </w:r>
    </w:p>
    <w:p w14:paraId="7EA5E24D">
      <w:pPr>
        <w:spacing w:line="360" w:lineRule="auto"/>
        <w:rPr>
          <w:rFonts w:ascii="宋体" w:hAnsi="宋体" w:cs="宋体"/>
          <w:b/>
          <w:bCs/>
          <w:color w:val="auto"/>
          <w:highlight w:val="none"/>
        </w:rPr>
      </w:pPr>
    </w:p>
    <w:p w14:paraId="24BC64E7">
      <w:pPr>
        <w:spacing w:line="360" w:lineRule="auto"/>
        <w:rPr>
          <w:rFonts w:ascii="宋体" w:hAnsi="宋体" w:cs="宋体"/>
          <w:b/>
          <w:bCs/>
          <w:color w:val="auto"/>
          <w:highlight w:val="none"/>
        </w:rPr>
      </w:pPr>
    </w:p>
    <w:p w14:paraId="341211E5">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属于监狱企业的证明文件</w:t>
      </w:r>
    </w:p>
    <w:p w14:paraId="5582CF68">
      <w:pPr>
        <w:spacing w:line="360" w:lineRule="auto"/>
        <w:rPr>
          <w:rFonts w:ascii="宋体" w:hAnsi="宋体" w:cs="宋体"/>
          <w:color w:val="auto"/>
          <w:highlight w:val="none"/>
        </w:rPr>
      </w:pPr>
      <w:r>
        <w:rPr>
          <w:rFonts w:hint="eastAsia" w:ascii="宋体" w:hAnsi="宋体" w:cs="宋体"/>
          <w:color w:val="auto"/>
          <w:highlight w:val="none"/>
        </w:rPr>
        <w:t>（提供由省级以上监狱管理局、戒毒管理局(含新疆生产建设兵团)出具的属于监狱企业的证明文件）</w:t>
      </w:r>
    </w:p>
    <w:p w14:paraId="4DEC5A13">
      <w:pPr>
        <w:spacing w:line="360" w:lineRule="auto"/>
        <w:rPr>
          <w:rFonts w:ascii="宋体" w:hAnsi="宋体" w:cs="宋体"/>
          <w:b/>
          <w:bCs/>
          <w:color w:val="auto"/>
          <w:highlight w:val="none"/>
        </w:rPr>
      </w:pPr>
    </w:p>
    <w:p w14:paraId="0D545F4C">
      <w:pPr>
        <w:spacing w:line="360" w:lineRule="auto"/>
        <w:rPr>
          <w:rFonts w:ascii="宋体" w:hAnsi="宋体" w:cs="宋体"/>
          <w:b/>
          <w:bCs/>
          <w:color w:val="auto"/>
          <w:highlight w:val="none"/>
        </w:rPr>
      </w:pPr>
    </w:p>
    <w:p w14:paraId="58A25CFF">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节能产品认证证书</w:t>
      </w:r>
    </w:p>
    <w:p w14:paraId="69824287">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1C44081E">
      <w:pPr>
        <w:spacing w:line="360" w:lineRule="auto"/>
        <w:rPr>
          <w:rFonts w:ascii="宋体" w:hAnsi="宋体" w:cs="宋体"/>
          <w:b/>
          <w:bCs/>
          <w:color w:val="auto"/>
          <w:highlight w:val="none"/>
        </w:rPr>
      </w:pPr>
    </w:p>
    <w:p w14:paraId="7C142ED4">
      <w:pPr>
        <w:spacing w:line="360" w:lineRule="auto"/>
        <w:rPr>
          <w:rFonts w:ascii="宋体" w:hAnsi="宋体" w:cs="宋体"/>
          <w:b/>
          <w:bCs/>
          <w:color w:val="auto"/>
          <w:highlight w:val="none"/>
        </w:rPr>
      </w:pPr>
    </w:p>
    <w:p w14:paraId="7DF9F079">
      <w:pPr>
        <w:spacing w:line="360" w:lineRule="auto"/>
        <w:rPr>
          <w:rFonts w:ascii="宋体" w:hAnsi="宋体" w:cs="宋体"/>
          <w:b/>
          <w:bCs/>
          <w:color w:val="auto"/>
          <w:highlight w:val="none"/>
        </w:rPr>
      </w:pPr>
    </w:p>
    <w:p w14:paraId="4082F433">
      <w:pPr>
        <w:spacing w:line="360" w:lineRule="auto"/>
        <w:jc w:val="center"/>
        <w:rPr>
          <w:rFonts w:ascii="宋体" w:hAnsi="宋体" w:cs="宋体"/>
          <w:b/>
          <w:bCs/>
          <w:color w:val="auto"/>
          <w:highlight w:val="none"/>
        </w:rPr>
      </w:pPr>
      <w:r>
        <w:rPr>
          <w:rFonts w:hint="eastAsia" w:ascii="宋体" w:hAnsi="宋体" w:cs="宋体"/>
          <w:b/>
          <w:bCs/>
          <w:color w:val="auto"/>
          <w:sz w:val="28"/>
          <w:highlight w:val="none"/>
        </w:rPr>
        <w:t>环境标志产品认证证书</w:t>
      </w:r>
    </w:p>
    <w:p w14:paraId="0CDB3677">
      <w:pPr>
        <w:spacing w:line="360" w:lineRule="auto"/>
        <w:rPr>
          <w:rFonts w:ascii="宋体" w:hAnsi="宋体" w:cs="宋体"/>
          <w:bCs/>
          <w:color w:val="auto"/>
          <w:highlight w:val="none"/>
        </w:rPr>
      </w:pPr>
      <w:r>
        <w:rPr>
          <w:rFonts w:hint="eastAsia" w:ascii="宋体" w:hAnsi="宋体" w:cs="宋体"/>
          <w:bCs/>
          <w:color w:val="auto"/>
          <w:highlight w:val="none"/>
        </w:rPr>
        <w:t>（提供国家确定的认证机构出具的、处于有效期之内的产品认证证书）</w:t>
      </w:r>
    </w:p>
    <w:p w14:paraId="497B691C">
      <w:pPr>
        <w:pStyle w:val="86"/>
        <w:rPr>
          <w:rFonts w:ascii="宋体" w:hAnsi="宋体" w:cs="宋体"/>
          <w:bCs/>
          <w:color w:val="auto"/>
          <w:highlight w:val="none"/>
        </w:rPr>
      </w:pPr>
    </w:p>
    <w:p w14:paraId="523E2959">
      <w:pPr>
        <w:pStyle w:val="86"/>
        <w:rPr>
          <w:rFonts w:ascii="宋体" w:hAnsi="宋体" w:cs="宋体"/>
          <w:bCs/>
          <w:color w:val="auto"/>
          <w:highlight w:val="none"/>
        </w:rPr>
      </w:pPr>
    </w:p>
    <w:p w14:paraId="5B8A0A08">
      <w:pPr>
        <w:pStyle w:val="86"/>
        <w:rPr>
          <w:rFonts w:ascii="宋体" w:hAnsi="宋体" w:cs="宋体"/>
          <w:bCs/>
          <w:color w:val="auto"/>
          <w:highlight w:val="none"/>
        </w:rPr>
      </w:pPr>
    </w:p>
    <w:p w14:paraId="63AA63C8">
      <w:pPr>
        <w:spacing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进口产品转让技术、消化吸收再创新方案</w:t>
      </w:r>
    </w:p>
    <w:p w14:paraId="6499866C">
      <w:pPr>
        <w:spacing w:line="360" w:lineRule="auto"/>
        <w:rPr>
          <w:rFonts w:hint="eastAsia" w:ascii="宋体" w:hAnsi="宋体" w:cs="宋体"/>
          <w:bCs/>
          <w:color w:val="auto"/>
          <w:highlight w:val="none"/>
        </w:rPr>
      </w:pPr>
      <w:r>
        <w:rPr>
          <w:rFonts w:hint="eastAsia" w:ascii="宋体" w:hAnsi="宋体" w:cs="宋体"/>
          <w:bCs/>
          <w:color w:val="auto"/>
          <w:highlight w:val="none"/>
        </w:rPr>
        <w:t>（对于允许进口产品参加的项目）</w:t>
      </w:r>
    </w:p>
    <w:p w14:paraId="40079BC9">
      <w:pPr>
        <w:rPr>
          <w:color w:val="auto"/>
          <w:highlight w:val="none"/>
        </w:rPr>
      </w:pPr>
      <w:r>
        <w:rPr>
          <w:color w:val="auto"/>
          <w:highlight w:val="none"/>
        </w:rPr>
        <w:br w:type="page"/>
      </w:r>
    </w:p>
    <w:p w14:paraId="36AAE96E">
      <w:pPr>
        <w:widowControl/>
        <w:shd w:val="clear" w:color="auto" w:fill="FFFFFF"/>
        <w:spacing w:before="24" w:after="24" w:line="360" w:lineRule="auto"/>
        <w:jc w:val="left"/>
        <w:rPr>
          <w:rFonts w:ascii="宋体" w:hAnsi="宋体" w:cs="宋体"/>
          <w:b/>
          <w:bCs/>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二</w:t>
      </w:r>
      <w:r>
        <w:rPr>
          <w:rFonts w:hint="eastAsia" w:ascii="宋体" w:hAnsi="宋体" w:cs="宋体"/>
          <w:b/>
          <w:bCs/>
          <w:color w:val="auto"/>
          <w:highlight w:val="none"/>
        </w:rPr>
        <w:t>、关于符合本国产品标准的声明函</w:t>
      </w:r>
    </w:p>
    <w:p w14:paraId="6DAD7CA7">
      <w:pPr>
        <w:widowControl/>
        <w:shd w:val="clear" w:color="auto" w:fill="FFFFFF"/>
        <w:spacing w:before="24" w:after="24" w:line="360" w:lineRule="auto"/>
        <w:jc w:val="center"/>
        <w:rPr>
          <w:rFonts w:ascii="宋体" w:hAnsi="宋体" w:cs="宋体"/>
          <w:b/>
          <w:bCs/>
          <w:color w:val="auto"/>
          <w:sz w:val="28"/>
          <w:highlight w:val="none"/>
        </w:rPr>
      </w:pPr>
      <w:r>
        <w:rPr>
          <w:rFonts w:hint="eastAsia" w:ascii="宋体" w:hAnsi="宋体" w:cs="宋体"/>
          <w:b/>
          <w:bCs/>
          <w:color w:val="auto"/>
          <w:sz w:val="28"/>
          <w:highlight w:val="none"/>
        </w:rPr>
        <w:t>关于符合本国产品标准的声明函</w:t>
      </w:r>
    </w:p>
    <w:p w14:paraId="2A85D327">
      <w:pPr>
        <w:pStyle w:val="42"/>
        <w:spacing w:before="0" w:beforeAutospacing="0" w:after="0" w:afterAutospacing="0" w:line="360" w:lineRule="auto"/>
        <w:ind w:firstLine="420"/>
        <w:rPr>
          <w:color w:val="auto"/>
          <w:highlight w:val="none"/>
        </w:rPr>
      </w:pPr>
      <w:r>
        <w:rPr>
          <w:rFonts w:hint="eastAsia"/>
          <w:color w:val="auto"/>
          <w:highlight w:val="none"/>
        </w:rPr>
        <w:t>本公司（单位）郑重声明，根据《国务院办公厅关于在政府采购中实施本国产品标准及相关政策的通知》（国办发〔2025〕34号）的规定，本公司（单位）提供的以下产品属于本国产品。具体情况如下：</w:t>
      </w:r>
    </w:p>
    <w:p w14:paraId="022CAE82">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1.</w:t>
      </w:r>
      <w:r>
        <w:rPr>
          <w:rStyle w:val="52"/>
          <w:rFonts w:hint="eastAsia"/>
          <w:color w:val="auto"/>
          <w:highlight w:val="none"/>
          <w:u w:val="single"/>
          <w:shd w:val="clear" w:color="auto" w:fill="FFFFFF"/>
        </w:rPr>
        <w:t>（产品名称1）</w:t>
      </w:r>
      <w:r>
        <w:rPr>
          <w:rStyle w:val="52"/>
          <w:rFonts w:hint="eastAsia"/>
          <w:color w:val="auto"/>
          <w:highlight w:val="none"/>
          <w:shd w:val="clear" w:color="auto" w:fill="FFFFFF"/>
          <w:vertAlign w:val="superscript"/>
        </w:rPr>
        <w:t>1</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Style w:val="52"/>
          <w:rFonts w:hint="eastAsia"/>
          <w:color w:val="auto"/>
          <w:highlight w:val="none"/>
          <w:shd w:val="clear" w:color="auto" w:fill="FFFFFF"/>
          <w:vertAlign w:val="superscript"/>
        </w:rPr>
        <w:t>2</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3</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4</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Style w:val="52"/>
          <w:rFonts w:hint="eastAsia"/>
          <w:color w:val="auto"/>
          <w:highlight w:val="none"/>
          <w:shd w:val="clear" w:color="auto" w:fill="FFFFFF"/>
          <w:vertAlign w:val="superscript"/>
        </w:rPr>
        <w:t>5</w:t>
      </w:r>
      <w:r>
        <w:rPr>
          <w:rFonts w:hint="eastAsia"/>
          <w:color w:val="auto"/>
          <w:highlight w:val="none"/>
          <w:shd w:val="clear" w:color="auto" w:fill="FFFFFF"/>
        </w:rPr>
        <w:t>在中国境内完成。</w:t>
      </w:r>
    </w:p>
    <w:p w14:paraId="5F702B39">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2.</w:t>
      </w:r>
      <w:r>
        <w:rPr>
          <w:rStyle w:val="52"/>
          <w:rFonts w:hint="eastAsia"/>
          <w:color w:val="auto"/>
          <w:highlight w:val="none"/>
          <w:u w:val="single"/>
          <w:shd w:val="clear" w:color="auto" w:fill="FFFFFF"/>
        </w:rPr>
        <w:t>（产品名称2）</w:t>
      </w:r>
      <w:r>
        <w:rPr>
          <w:rFonts w:hint="eastAsia"/>
          <w:color w:val="auto"/>
          <w:highlight w:val="none"/>
          <w:shd w:val="clear" w:color="auto" w:fill="FFFFFF"/>
        </w:rPr>
        <w:t>，生产厂为</w:t>
      </w:r>
      <w:r>
        <w:rPr>
          <w:rStyle w:val="52"/>
          <w:rFonts w:hint="eastAsia"/>
          <w:color w:val="auto"/>
          <w:highlight w:val="none"/>
          <w:u w:val="single"/>
          <w:shd w:val="clear" w:color="auto" w:fill="FFFFFF"/>
        </w:rPr>
        <w:t>（厂名）</w:t>
      </w:r>
      <w:r>
        <w:rPr>
          <w:rFonts w:hint="eastAsia"/>
          <w:color w:val="auto"/>
          <w:highlight w:val="none"/>
          <w:shd w:val="clear" w:color="auto" w:fill="FFFFFF"/>
        </w:rPr>
        <w:t>，厂址为</w:t>
      </w:r>
      <w:r>
        <w:rPr>
          <w:rStyle w:val="52"/>
          <w:rFonts w:hint="eastAsia"/>
          <w:color w:val="auto"/>
          <w:highlight w:val="none"/>
          <w:u w:val="single"/>
          <w:shd w:val="clear" w:color="auto" w:fill="FFFFFF"/>
        </w:rPr>
        <w:t>（生产厂址）</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的中国境内生产的组件成本占比≥</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在中国境内生产。</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在中国境内完成。</w:t>
      </w:r>
    </w:p>
    <w:p w14:paraId="01D67E33">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w:t>
      </w:r>
    </w:p>
    <w:p w14:paraId="714E0AE6">
      <w:pPr>
        <w:pStyle w:val="42"/>
        <w:spacing w:before="30" w:beforeAutospacing="0" w:after="30" w:afterAutospacing="0" w:line="360" w:lineRule="auto"/>
        <w:ind w:firstLine="420"/>
        <w:rPr>
          <w:color w:val="auto"/>
          <w:highlight w:val="none"/>
        </w:rPr>
      </w:pPr>
      <w:r>
        <w:rPr>
          <w:rFonts w:hint="eastAsia"/>
          <w:color w:val="auto"/>
          <w:highlight w:val="none"/>
          <w:shd w:val="clear" w:color="auto" w:fill="FFFFFF"/>
        </w:rPr>
        <w:t>本公司（单位）对上述声明内容的真实性负责。如有虚假，愿承担相应法律责任。</w:t>
      </w:r>
    </w:p>
    <w:p w14:paraId="0151E06E">
      <w:pPr>
        <w:pStyle w:val="42"/>
        <w:spacing w:before="30" w:beforeAutospacing="0" w:after="30" w:afterAutospacing="0" w:line="360" w:lineRule="auto"/>
        <w:jc w:val="right"/>
        <w:rPr>
          <w:color w:val="auto"/>
          <w:highlight w:val="none"/>
        </w:rPr>
      </w:pPr>
      <w:r>
        <w:rPr>
          <w:rFonts w:hint="eastAsia"/>
          <w:color w:val="auto"/>
          <w:highlight w:val="none"/>
          <w:shd w:val="clear" w:color="auto" w:fill="FFFFFF"/>
        </w:rPr>
        <w:t xml:space="preserve">   公司（单位）名称（加盖CA电子公章）：　        </w:t>
      </w:r>
    </w:p>
    <w:p w14:paraId="540119BF">
      <w:pPr>
        <w:pStyle w:val="42"/>
        <w:spacing w:before="30" w:beforeAutospacing="0" w:after="30" w:afterAutospacing="0" w:line="360" w:lineRule="auto"/>
        <w:jc w:val="center"/>
        <w:rPr>
          <w:color w:val="auto"/>
          <w:highlight w:val="none"/>
        </w:rPr>
      </w:pPr>
      <w:r>
        <w:rPr>
          <w:rFonts w:hint="eastAsia"/>
          <w:color w:val="auto"/>
          <w:highlight w:val="none"/>
          <w:shd w:val="clear" w:color="auto" w:fill="FFFFFF"/>
        </w:rPr>
        <w:t xml:space="preserve">           日期：　     年　  月　  日         </w:t>
      </w:r>
    </w:p>
    <w:p w14:paraId="480C2E99">
      <w:pPr>
        <w:pStyle w:val="42"/>
        <w:spacing w:before="30" w:beforeAutospacing="0" w:after="30" w:afterAutospacing="0" w:line="0" w:lineRule="atLeast"/>
        <w:rPr>
          <w:color w:val="auto"/>
          <w:highlight w:val="none"/>
        </w:rPr>
      </w:pPr>
      <w:r>
        <w:rPr>
          <w:rFonts w:hint="eastAsia"/>
          <w:color w:val="auto"/>
          <w:highlight w:val="none"/>
          <w:shd w:val="clear" w:color="auto" w:fill="FFFFFF"/>
        </w:rPr>
        <w:t>_________________</w:t>
      </w:r>
    </w:p>
    <w:p w14:paraId="2A053D46">
      <w:pPr>
        <w:pStyle w:val="42"/>
        <w:spacing w:before="30" w:beforeAutospacing="0" w:after="30" w:afterAutospacing="0" w:line="360" w:lineRule="auto"/>
        <w:rPr>
          <w:color w:val="auto"/>
          <w:highlight w:val="none"/>
        </w:rPr>
      </w:pPr>
      <w:r>
        <w:rPr>
          <w:rFonts w:hint="eastAsia"/>
          <w:color w:val="auto"/>
          <w:highlight w:val="none"/>
          <w:shd w:val="clear" w:color="auto" w:fill="FFFFFF"/>
        </w:rPr>
        <w:t>1.产品如有型号，请在“产品名称”栏一并填写。</w:t>
      </w:r>
    </w:p>
    <w:p w14:paraId="7C9506E1">
      <w:pPr>
        <w:pStyle w:val="42"/>
        <w:spacing w:before="30" w:beforeAutospacing="0" w:after="30" w:afterAutospacing="0" w:line="360" w:lineRule="auto"/>
        <w:rPr>
          <w:color w:val="auto"/>
          <w:highlight w:val="none"/>
        </w:rPr>
      </w:pPr>
      <w:r>
        <w:rPr>
          <w:rFonts w:hint="eastAsia"/>
          <w:color w:val="auto"/>
          <w:highlight w:val="none"/>
          <w:shd w:val="clear" w:color="auto" w:fill="FFFFFF"/>
        </w:rPr>
        <w:t>2.生产厂名与厂址应与生产厂营业执照载明的相关信息保持一致。</w:t>
      </w:r>
    </w:p>
    <w:p w14:paraId="173E1CE8">
      <w:pPr>
        <w:pStyle w:val="42"/>
        <w:spacing w:before="30" w:beforeAutospacing="0" w:after="30" w:afterAutospacing="0" w:line="360" w:lineRule="auto"/>
        <w:rPr>
          <w:color w:val="auto"/>
          <w:highlight w:val="none"/>
        </w:rPr>
      </w:pPr>
      <w:r>
        <w:rPr>
          <w:rFonts w:hint="eastAsia"/>
          <w:color w:val="auto"/>
          <w:highlight w:val="none"/>
          <w:shd w:val="clear" w:color="auto" w:fill="FFFFFF"/>
        </w:rPr>
        <w:t>3.该产品的中国境内生产的组件成本占比相关要求实施前，“规定比例”栏可不填，下同。</w:t>
      </w:r>
    </w:p>
    <w:p w14:paraId="6B0E96FD">
      <w:pPr>
        <w:pStyle w:val="42"/>
        <w:spacing w:before="30" w:beforeAutospacing="0" w:after="30" w:afterAutospacing="0" w:line="360" w:lineRule="auto"/>
        <w:rPr>
          <w:color w:val="auto"/>
          <w:highlight w:val="none"/>
        </w:rPr>
      </w:pPr>
      <w:r>
        <w:rPr>
          <w:rFonts w:hint="eastAsia"/>
          <w:color w:val="auto"/>
          <w:highlight w:val="none"/>
          <w:shd w:val="clear" w:color="auto" w:fill="FFFFFF"/>
        </w:rPr>
        <w:t>4.该产品的关键组件要求实施前，“关键组件”栏可不填，下同。</w:t>
      </w:r>
    </w:p>
    <w:p w14:paraId="4FBFF612">
      <w:pPr>
        <w:pStyle w:val="4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5.该产品的关键工序要求实施前，“关键工序”栏可不填，下同。</w:t>
      </w:r>
    </w:p>
    <w:p w14:paraId="17F71C10">
      <w:pPr>
        <w:pStyle w:val="42"/>
        <w:spacing w:before="30" w:beforeAutospacing="0" w:after="30" w:afterAutospacing="0" w:line="360" w:lineRule="auto"/>
        <w:rPr>
          <w:color w:val="auto"/>
          <w:highlight w:val="none"/>
          <w:shd w:val="clear" w:color="auto" w:fill="FFFFFF"/>
        </w:rPr>
      </w:pPr>
      <w:r>
        <w:rPr>
          <w:rFonts w:hint="eastAsia"/>
          <w:color w:val="auto"/>
          <w:highlight w:val="none"/>
          <w:shd w:val="clear" w:color="auto" w:fill="FFFFFF"/>
        </w:rPr>
        <w:t>6.《声明函》中标注“</w:t>
      </w:r>
      <w:r>
        <w:rPr>
          <w:rFonts w:hint="eastAsia"/>
          <w:color w:val="auto"/>
          <w:highlight w:val="none"/>
          <w:u w:val="single"/>
          <w:shd w:val="clear" w:color="auto" w:fill="FFFFFF"/>
        </w:rPr>
        <w:t xml:space="preserve">  </w:t>
      </w:r>
      <w:r>
        <w:rPr>
          <w:rStyle w:val="52"/>
          <w:rFonts w:hint="eastAsia"/>
          <w:color w:val="auto"/>
          <w:highlight w:val="none"/>
          <w:u w:val="single"/>
          <w:shd w:val="clear" w:color="auto" w:fill="FFFFFF"/>
        </w:rPr>
        <w:t xml:space="preserve">/  </w:t>
      </w:r>
      <w:r>
        <w:rPr>
          <w:rFonts w:hint="eastAsia"/>
          <w:color w:val="auto"/>
          <w:highlight w:val="none"/>
          <w:shd w:val="clear" w:color="auto" w:fill="FFFFFF"/>
        </w:rPr>
        <w:t>”的地方无需填写。</w:t>
      </w:r>
    </w:p>
    <w:p w14:paraId="13D194CA">
      <w:pPr>
        <w:rPr>
          <w:rFonts w:hint="eastAsia" w:ascii="宋体" w:hAnsi="宋体" w:cs="宋体"/>
          <w:b/>
          <w:color w:val="auto"/>
          <w:highlight w:val="none"/>
          <w:lang w:val="en-US" w:eastAsia="zh-CN"/>
        </w:rPr>
      </w:pPr>
    </w:p>
    <w:p w14:paraId="7A757DD1">
      <w:pPr>
        <w:rPr>
          <w:rFonts w:hint="eastAsia" w:ascii="宋体" w:hAnsi="宋体" w:cs="宋体"/>
          <w:b/>
          <w:color w:val="auto"/>
          <w:highlight w:val="none"/>
        </w:rPr>
      </w:pPr>
      <w:r>
        <w:rPr>
          <w:rFonts w:hint="eastAsia" w:ascii="宋体" w:hAnsi="宋体" w:cs="宋体"/>
          <w:b/>
          <w:color w:val="auto"/>
          <w:highlight w:val="none"/>
        </w:rPr>
        <w:br w:type="page"/>
      </w:r>
    </w:p>
    <w:p w14:paraId="23C891AC">
      <w:pPr>
        <w:rPr>
          <w:color w:val="auto"/>
          <w:highlight w:val="none"/>
        </w:rPr>
      </w:pPr>
    </w:p>
    <w:p w14:paraId="30BB34C2">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三</w:t>
      </w:r>
      <w:r>
        <w:rPr>
          <w:rFonts w:hint="eastAsia" w:ascii="宋体" w:hAnsi="宋体" w:cs="宋体"/>
          <w:b/>
          <w:color w:val="auto"/>
          <w:highlight w:val="none"/>
        </w:rPr>
        <w:t>、无重大违法记录声明格式</w:t>
      </w:r>
    </w:p>
    <w:p w14:paraId="4F2322A7">
      <w:pPr>
        <w:spacing w:line="240" w:lineRule="atLeast"/>
        <w:jc w:val="center"/>
        <w:rPr>
          <w:rFonts w:hint="eastAsia" w:ascii="宋体" w:hAnsi="宋体" w:cs="宋体"/>
          <w:color w:val="auto"/>
          <w:sz w:val="28"/>
          <w:szCs w:val="36"/>
          <w:highlight w:val="none"/>
        </w:rPr>
      </w:pPr>
    </w:p>
    <w:p w14:paraId="45EA2277">
      <w:pPr>
        <w:spacing w:line="240" w:lineRule="atLeast"/>
        <w:jc w:val="center"/>
        <w:rPr>
          <w:rFonts w:hint="eastAsia" w:ascii="宋体" w:hAnsi="宋体" w:cs="宋体"/>
          <w:color w:val="auto"/>
          <w:sz w:val="28"/>
          <w:szCs w:val="36"/>
          <w:highlight w:val="none"/>
        </w:rPr>
      </w:pPr>
      <w:r>
        <w:rPr>
          <w:rFonts w:hint="eastAsia" w:ascii="宋体" w:hAnsi="宋体" w:cs="宋体"/>
          <w:color w:val="auto"/>
          <w:sz w:val="28"/>
          <w:szCs w:val="36"/>
          <w:highlight w:val="none"/>
        </w:rPr>
        <w:t>无重大违法记录声明</w:t>
      </w:r>
    </w:p>
    <w:p w14:paraId="7BC217A3">
      <w:pPr>
        <w:spacing w:line="360" w:lineRule="auto"/>
        <w:rPr>
          <w:rFonts w:hint="eastAsia" w:ascii="宋体" w:hAnsi="宋体" w:cs="宋体"/>
          <w:color w:val="auto"/>
          <w:szCs w:val="21"/>
          <w:highlight w:val="none"/>
        </w:rPr>
      </w:pPr>
    </w:p>
    <w:p w14:paraId="43C53255">
      <w:pPr>
        <w:spacing w:line="360" w:lineRule="auto"/>
        <w:rPr>
          <w:rFonts w:hint="eastAsia" w:ascii="宋体" w:hAnsi="宋体" w:cs="宋体"/>
          <w:color w:val="auto"/>
          <w:szCs w:val="21"/>
          <w:highlight w:val="none"/>
        </w:rPr>
      </w:pPr>
      <w:r>
        <w:rPr>
          <w:rFonts w:hint="eastAsia" w:ascii="宋体" w:hAnsi="宋体" w:cs="宋体"/>
          <w:color w:val="auto"/>
          <w:szCs w:val="21"/>
          <w:highlight w:val="none"/>
          <w:lang w:eastAsia="zh-CN"/>
        </w:rPr>
        <w:t>江苏泰鼎工程咨询有限公司</w:t>
      </w:r>
      <w:r>
        <w:rPr>
          <w:rFonts w:hint="eastAsia" w:ascii="宋体" w:hAnsi="宋体" w:cs="宋体"/>
          <w:color w:val="auto"/>
          <w:szCs w:val="21"/>
          <w:highlight w:val="none"/>
        </w:rPr>
        <w:t>：</w:t>
      </w:r>
    </w:p>
    <w:p w14:paraId="1099BC71">
      <w:pPr>
        <w:spacing w:line="360" w:lineRule="auto"/>
        <w:rPr>
          <w:rFonts w:hint="eastAsia" w:ascii="宋体" w:hAnsi="宋体" w:cs="宋体"/>
          <w:color w:val="auto"/>
          <w:highlight w:val="none"/>
        </w:rPr>
      </w:pPr>
    </w:p>
    <w:p w14:paraId="6E9DE103">
      <w:pPr>
        <w:spacing w:line="360" w:lineRule="auto"/>
        <w:ind w:firstLine="336" w:firstLineChars="160"/>
        <w:rPr>
          <w:rFonts w:hint="eastAsia" w:ascii="宋体" w:hAnsi="宋体" w:cs="宋体"/>
          <w:color w:val="auto"/>
          <w:highlight w:val="none"/>
        </w:rPr>
      </w:pPr>
      <w:r>
        <w:rPr>
          <w:rFonts w:hint="eastAsia" w:ascii="宋体" w:hAnsi="宋体" w:cs="宋体"/>
          <w:color w:val="auto"/>
          <w:highlight w:val="none"/>
        </w:rPr>
        <w:t>我单位（供应商名称）郑重声明：</w:t>
      </w:r>
    </w:p>
    <w:p w14:paraId="7B454E60">
      <w:pPr>
        <w:widowControl/>
        <w:shd w:val="clear" w:color="auto" w:fill="FFFFFF"/>
        <w:spacing w:line="360" w:lineRule="auto"/>
        <w:ind w:firstLine="308" w:firstLineChars="147"/>
        <w:rPr>
          <w:rFonts w:hint="eastAsia" w:ascii="宋体" w:hAnsi="宋体" w:cs="宋体"/>
          <w:b/>
          <w:color w:val="auto"/>
          <w:kern w:val="0"/>
          <w:szCs w:val="21"/>
          <w:highlight w:val="none"/>
        </w:rPr>
      </w:pPr>
      <w:r>
        <w:rPr>
          <w:rFonts w:hint="eastAsia" w:ascii="宋体" w:hAnsi="宋体" w:cs="宋体"/>
          <w:color w:val="auto"/>
          <w:kern w:val="0"/>
          <w:szCs w:val="21"/>
          <w:highlight w:val="none"/>
        </w:rPr>
        <w:t>我单位</w:t>
      </w:r>
      <w:r>
        <w:rPr>
          <w:rFonts w:hint="eastAsia" w:ascii="宋体" w:hAnsi="宋体" w:cs="宋体"/>
          <w:color w:val="auto"/>
          <w:highlight w:val="none"/>
        </w:rPr>
        <w:t>参加政府采购活动前3年内在经营活动中（</w:t>
      </w:r>
      <w:r>
        <w:rPr>
          <w:rFonts w:hint="eastAsia" w:ascii="宋体" w:hAnsi="宋体" w:cs="宋体"/>
          <w:b/>
          <w:i/>
          <w:color w:val="auto"/>
          <w:highlight w:val="none"/>
          <w:u w:val="single"/>
        </w:rPr>
        <w:t>在下划线上如实填写：有或没有</w:t>
      </w:r>
      <w:r>
        <w:rPr>
          <w:rFonts w:hint="eastAsia" w:ascii="宋体" w:hAnsi="宋体" w:cs="宋体"/>
          <w:color w:val="auto"/>
          <w:highlight w:val="none"/>
        </w:rPr>
        <w:t>）</w:t>
      </w:r>
      <w:r>
        <w:rPr>
          <w:rFonts w:hint="eastAsia" w:ascii="宋体" w:hAnsi="宋体" w:cs="宋体"/>
          <w:b/>
          <w:color w:val="auto"/>
          <w:highlight w:val="none"/>
        </w:rPr>
        <w:t>重大违法记录</w:t>
      </w:r>
      <w:r>
        <w:rPr>
          <w:rFonts w:hint="eastAsia" w:ascii="宋体" w:hAnsi="宋体" w:cs="宋体"/>
          <w:b/>
          <w:color w:val="auto"/>
          <w:kern w:val="0"/>
          <w:szCs w:val="21"/>
          <w:highlight w:val="none"/>
        </w:rPr>
        <w:t>，且不是失信被执行人、</w:t>
      </w:r>
      <w:r>
        <w:rPr>
          <w:rFonts w:hint="eastAsia" w:ascii="宋体" w:hAnsi="宋体" w:cs="宋体"/>
          <w:b/>
          <w:color w:val="auto"/>
          <w:kern w:val="0"/>
          <w:szCs w:val="21"/>
          <w:highlight w:val="none"/>
          <w:lang w:eastAsia="zh-CN"/>
        </w:rPr>
        <w:t>重大税收违法失信主体名单</w:t>
      </w:r>
      <w:r>
        <w:rPr>
          <w:rFonts w:hint="eastAsia" w:ascii="宋体" w:hAnsi="宋体" w:cs="宋体"/>
          <w:b/>
          <w:color w:val="auto"/>
          <w:kern w:val="0"/>
          <w:szCs w:val="21"/>
          <w:highlight w:val="none"/>
        </w:rPr>
        <w:t>、政府采购严重违法失信行为记录名单的供应商。</w:t>
      </w:r>
    </w:p>
    <w:p w14:paraId="0A268E90">
      <w:pPr>
        <w:spacing w:line="360" w:lineRule="auto"/>
        <w:ind w:firstLine="420" w:firstLineChars="200"/>
        <w:rPr>
          <w:rFonts w:hint="eastAsia" w:ascii="宋体" w:hAnsi="宋体" w:cs="宋体"/>
          <w:color w:val="auto"/>
          <w:highlight w:val="none"/>
        </w:rPr>
      </w:pPr>
    </w:p>
    <w:p w14:paraId="6D250656">
      <w:pPr>
        <w:spacing w:line="360" w:lineRule="auto"/>
        <w:ind w:firstLine="315" w:firstLineChars="150"/>
        <w:rPr>
          <w:rFonts w:hint="eastAsia" w:ascii="宋体" w:hAnsi="宋体" w:cs="宋体"/>
          <w:color w:val="auto"/>
          <w:highlight w:val="none"/>
        </w:rPr>
      </w:pPr>
      <w:r>
        <w:rPr>
          <w:rFonts w:hint="eastAsia" w:ascii="宋体" w:hAnsi="宋体" w:cs="宋体"/>
          <w:color w:val="auto"/>
          <w:highlight w:val="none"/>
        </w:rPr>
        <w:t>（说明：政府采购法第二十二条第一款第五项所称重大违法记录，是指供应商因违法经营受到刑事处罚或者责令停产停业、吊销许可证或者执照、较大数额罚款等行政处罚。）</w:t>
      </w:r>
    </w:p>
    <w:p w14:paraId="49CBAE81">
      <w:pPr>
        <w:spacing w:line="360" w:lineRule="auto"/>
        <w:rPr>
          <w:rFonts w:hint="eastAsia" w:ascii="宋体" w:hAnsi="宋体" w:cs="宋体"/>
          <w:color w:val="auto"/>
          <w:highlight w:val="none"/>
        </w:rPr>
      </w:pPr>
    </w:p>
    <w:p w14:paraId="55AC374F">
      <w:pPr>
        <w:spacing w:line="360" w:lineRule="auto"/>
        <w:rPr>
          <w:rFonts w:hint="eastAsia" w:ascii="宋体" w:hAnsi="宋体" w:cs="宋体"/>
          <w:color w:val="auto"/>
          <w:highlight w:val="none"/>
        </w:rPr>
      </w:pPr>
    </w:p>
    <w:p w14:paraId="1D12DA3D">
      <w:pPr>
        <w:spacing w:line="360" w:lineRule="auto"/>
        <w:ind w:firstLine="5103" w:firstLineChars="2430"/>
        <w:rPr>
          <w:rFonts w:hint="eastAsia" w:ascii="宋体" w:hAnsi="宋体" w:cs="宋体"/>
          <w:color w:val="auto"/>
          <w:highlight w:val="none"/>
        </w:rPr>
      </w:pPr>
      <w:r>
        <w:rPr>
          <w:rFonts w:hint="eastAsia" w:ascii="宋体" w:hAnsi="宋体" w:cs="宋体"/>
          <w:color w:val="auto"/>
          <w:highlight w:val="none"/>
        </w:rPr>
        <w:t>声明人：（加盖电子公章）</w:t>
      </w:r>
    </w:p>
    <w:p w14:paraId="34CDFE60">
      <w:pPr>
        <w:autoSpaceDE w:val="0"/>
        <w:autoSpaceDN w:val="0"/>
        <w:adjustRightInd w:val="0"/>
        <w:spacing w:line="360" w:lineRule="auto"/>
        <w:ind w:firstLine="5040" w:firstLineChars="2400"/>
        <w:rPr>
          <w:rFonts w:hint="eastAsia" w:ascii="宋体" w:hAnsi="宋体" w:cs="宋体"/>
          <w:b/>
          <w:color w:val="auto"/>
          <w:highlight w:val="none"/>
        </w:rPr>
      </w:pPr>
      <w:r>
        <w:rPr>
          <w:rFonts w:hint="eastAsia" w:ascii="宋体" w:hAnsi="宋体" w:cs="宋体"/>
          <w:color w:val="auto"/>
          <w:szCs w:val="21"/>
          <w:highlight w:val="none"/>
          <w:lang w:val="zh-CN"/>
        </w:rPr>
        <w:t>日期：年月</w:t>
      </w:r>
      <w:r>
        <w:rPr>
          <w:rFonts w:hint="eastAsia" w:ascii="宋体" w:hAnsi="宋体" w:cs="宋体"/>
          <w:color w:val="auto"/>
          <w:szCs w:val="21"/>
          <w:highlight w:val="none"/>
          <w:lang w:val="en-US" w:eastAsia="zh-CN"/>
        </w:rPr>
        <w:t>日</w:t>
      </w:r>
      <w:r>
        <w:rPr>
          <w:rFonts w:hint="eastAsia" w:ascii="宋体" w:hAnsi="宋体" w:cs="宋体"/>
          <w:b/>
          <w:color w:val="auto"/>
          <w:szCs w:val="21"/>
          <w:highlight w:val="none"/>
          <w:lang w:val="zh-CN"/>
        </w:rPr>
        <w:br w:type="page"/>
      </w:r>
    </w:p>
    <w:p w14:paraId="52A728B5">
      <w:pPr>
        <w:autoSpaceDE w:val="0"/>
        <w:autoSpaceDN w:val="0"/>
        <w:adjustRightInd w:val="0"/>
        <w:spacing w:line="360" w:lineRule="auto"/>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四</w:t>
      </w:r>
      <w:r>
        <w:rPr>
          <w:rFonts w:hint="eastAsia" w:ascii="宋体" w:hAnsi="宋体" w:cs="宋体"/>
          <w:b/>
          <w:color w:val="auto"/>
          <w:highlight w:val="none"/>
        </w:rPr>
        <w:t>、资格资信证明文件</w:t>
      </w:r>
    </w:p>
    <w:p w14:paraId="1CBC3861">
      <w:pPr>
        <w:autoSpaceDE w:val="0"/>
        <w:autoSpaceDN w:val="0"/>
        <w:adjustRightInd w:val="0"/>
        <w:spacing w:line="360" w:lineRule="auto"/>
        <w:rPr>
          <w:rFonts w:ascii="宋体" w:hAnsi="宋体" w:cs="宋体"/>
          <w:b/>
          <w:color w:val="auto"/>
          <w:highlight w:val="none"/>
        </w:rPr>
      </w:pPr>
    </w:p>
    <w:p w14:paraId="1FB0EBAA">
      <w:pPr>
        <w:pStyle w:val="86"/>
        <w:rPr>
          <w:rFonts w:hint="eastAsia"/>
          <w:color w:val="auto"/>
          <w:highlight w:val="none"/>
        </w:rPr>
      </w:pPr>
    </w:p>
    <w:p w14:paraId="75EA0A06">
      <w:pPr>
        <w:autoSpaceDE w:val="0"/>
        <w:autoSpaceDN w:val="0"/>
        <w:adjustRightInd w:val="0"/>
        <w:spacing w:line="360" w:lineRule="auto"/>
        <w:rPr>
          <w:rFonts w:hint="eastAsia" w:ascii="宋体" w:hAnsi="宋体" w:cs="宋体"/>
          <w:b/>
          <w:color w:val="auto"/>
          <w:highlight w:val="none"/>
        </w:rPr>
      </w:pPr>
    </w:p>
    <w:p w14:paraId="3271FFDE">
      <w:pPr>
        <w:pStyle w:val="86"/>
        <w:spacing w:line="360" w:lineRule="auto"/>
        <w:ind w:firstLine="0" w:firstLineChars="0"/>
        <w:jc w:val="left"/>
        <w:rPr>
          <w:rFonts w:hint="eastAsia" w:ascii="宋体" w:hAnsi="宋体" w:cs="宋体"/>
          <w:b/>
          <w:color w:val="auto"/>
          <w:highlight w:val="none"/>
        </w:rPr>
      </w:pPr>
      <w:r>
        <w:rPr>
          <w:rFonts w:hint="eastAsia" w:ascii="宋体" w:hAnsi="宋体" w:cs="宋体"/>
          <w:b/>
          <w:color w:val="auto"/>
          <w:highlight w:val="none"/>
        </w:rPr>
        <w:t>附件十</w:t>
      </w:r>
      <w:r>
        <w:rPr>
          <w:rFonts w:hint="eastAsia" w:ascii="宋体" w:hAnsi="宋体" w:cs="宋体"/>
          <w:b/>
          <w:color w:val="auto"/>
          <w:highlight w:val="none"/>
          <w:lang w:val="en-US" w:eastAsia="zh-CN"/>
        </w:rPr>
        <w:t>五</w:t>
      </w:r>
      <w:r>
        <w:rPr>
          <w:rFonts w:hint="eastAsia" w:ascii="宋体" w:hAnsi="宋体" w:cs="宋体"/>
          <w:b/>
          <w:color w:val="auto"/>
          <w:highlight w:val="none"/>
        </w:rPr>
        <w:t>、《</w:t>
      </w:r>
      <w:r>
        <w:rPr>
          <w:rFonts w:hint="eastAsia" w:ascii="宋体" w:hAnsi="宋体" w:cs="宋体"/>
          <w:b/>
          <w:color w:val="auto"/>
          <w:highlight w:val="none"/>
          <w:lang w:eastAsia="zh-CN"/>
        </w:rPr>
        <w:t>南京市政府采购供应商信用承诺书</w:t>
      </w:r>
      <w:r>
        <w:rPr>
          <w:rFonts w:hint="eastAsia" w:ascii="宋体" w:hAnsi="宋体" w:cs="宋体"/>
          <w:b/>
          <w:color w:val="auto"/>
          <w:highlight w:val="none"/>
        </w:rPr>
        <w:t>》</w:t>
      </w:r>
    </w:p>
    <w:p w14:paraId="740A512F">
      <w:pPr>
        <w:keepNext w:val="0"/>
        <w:keepLines w:val="0"/>
        <w:pageBreakBefore w:val="0"/>
        <w:widowControl w:val="0"/>
        <w:kinsoku/>
        <w:wordWrap/>
        <w:overflowPunct/>
        <w:topLinePunct w:val="0"/>
        <w:autoSpaceDE/>
        <w:autoSpaceDN/>
        <w:bidi w:val="0"/>
        <w:adjustRightInd/>
        <w:snapToGrid w:val="0"/>
        <w:jc w:val="center"/>
        <w:textAlignment w:val="auto"/>
        <w:rPr>
          <w:rFonts w:hint="eastAsia" w:ascii="方正小标宋简体" w:hAnsi="方正小标宋简体" w:eastAsia="方正小标宋简体" w:cs="方正小标宋简体"/>
          <w:color w:val="auto"/>
          <w:sz w:val="44"/>
          <w:szCs w:val="52"/>
          <w:highlight w:val="none"/>
          <w:lang w:val="en-US" w:eastAsia="zh-CN"/>
        </w:rPr>
      </w:pPr>
      <w:r>
        <w:rPr>
          <w:rFonts w:hint="eastAsia" w:ascii="方正小标宋简体" w:hAnsi="方正小标宋简体" w:eastAsia="方正小标宋简体" w:cs="方正小标宋简体"/>
          <w:color w:val="auto"/>
          <w:sz w:val="44"/>
          <w:szCs w:val="52"/>
          <w:highlight w:val="none"/>
          <w:lang w:val="en-US" w:eastAsia="zh-CN"/>
        </w:rPr>
        <w:t>南京市政府采购供应商信用承诺书</w:t>
      </w:r>
    </w:p>
    <w:p w14:paraId="3E96F3BE">
      <w:pPr>
        <w:jc w:val="right"/>
        <w:rPr>
          <w:rFonts w:hint="default" w:ascii="方正小标宋简体" w:hAnsi="方正小标宋简体" w:eastAsia="方正小标宋简体" w:cs="方正小标宋简体"/>
          <w:color w:val="auto"/>
          <w:sz w:val="22"/>
          <w:szCs w:val="28"/>
          <w:highlight w:val="none"/>
          <w:lang w:val="en-US" w:eastAsia="zh-CN"/>
        </w:rPr>
      </w:pPr>
      <w:r>
        <w:rPr>
          <w:rFonts w:hint="eastAsia" w:ascii="方正小标宋简体" w:hAnsi="方正小标宋简体" w:eastAsia="方正小标宋简体" w:cs="方正小标宋简体"/>
          <w:color w:val="auto"/>
          <w:sz w:val="22"/>
          <w:szCs w:val="28"/>
          <w:highlight w:val="none"/>
          <w:lang w:val="en-US" w:eastAsia="zh-CN"/>
        </w:rPr>
        <w:t>XXXX年XX月XX日</w:t>
      </w:r>
    </w:p>
    <w:p w14:paraId="37C707E1">
      <w:pPr>
        <w:jc w:val="center"/>
        <w:rPr>
          <w:rFonts w:hint="eastAsia" w:ascii="Calibri" w:hAnsi="Calibri" w:eastAsia="宋体"/>
          <w:color w:val="auto"/>
          <w:highlight w:val="none"/>
          <w:lang w:val="en-US" w:eastAsia="zh-CN"/>
        </w:rPr>
      </w:pPr>
    </w:p>
    <w:tbl>
      <w:tblPr>
        <w:tblStyle w:val="47"/>
        <w:tblpPr w:leftFromText="180" w:rightFromText="180" w:vertAnchor="text" w:tblpXSpec="center" w:tblpY="1"/>
        <w:tblOverlap w:val="never"/>
        <w:tblW w:w="9596"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8"/>
        <w:gridCol w:w="2284"/>
        <w:gridCol w:w="1833"/>
        <w:gridCol w:w="3331"/>
      </w:tblGrid>
      <w:tr w14:paraId="5B966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7316533C">
            <w:pPr>
              <w:tabs>
                <w:tab w:val="left" w:pos="2520"/>
              </w:tabs>
              <w:ind w:left="-420" w:leftChars="-200" w:firstLine="0" w:firstLineChars="0"/>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 xml:space="preserve">   单位名称</w:t>
            </w:r>
          </w:p>
        </w:tc>
        <w:tc>
          <w:tcPr>
            <w:tcW w:w="2284" w:type="dxa"/>
            <w:vAlign w:val="center"/>
          </w:tcPr>
          <w:p w14:paraId="50227048">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02E2234A">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统一社会信用代码</w:t>
            </w:r>
          </w:p>
        </w:tc>
        <w:tc>
          <w:tcPr>
            <w:tcW w:w="3331" w:type="dxa"/>
            <w:vAlign w:val="center"/>
          </w:tcPr>
          <w:p w14:paraId="0EFA00FC">
            <w:pPr>
              <w:tabs>
                <w:tab w:val="left" w:pos="2320"/>
              </w:tabs>
              <w:ind w:right="-678" w:rightChars="-323"/>
              <w:jc w:val="center"/>
              <w:rPr>
                <w:rFonts w:hint="eastAsia" w:ascii="Calibri" w:hAnsi="Calibri" w:eastAsia="宋体"/>
                <w:color w:val="auto"/>
                <w:highlight w:val="none"/>
                <w:vertAlign w:val="baseline"/>
                <w:lang w:val="en-US" w:eastAsia="zh-CN"/>
              </w:rPr>
            </w:pPr>
          </w:p>
        </w:tc>
      </w:tr>
      <w:tr w14:paraId="28BEF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6D44B11E">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法定代表人</w:t>
            </w:r>
          </w:p>
        </w:tc>
        <w:tc>
          <w:tcPr>
            <w:tcW w:w="2284" w:type="dxa"/>
            <w:vAlign w:val="center"/>
          </w:tcPr>
          <w:p w14:paraId="33012B6E">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77BCCA3E">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联系人</w:t>
            </w:r>
          </w:p>
        </w:tc>
        <w:tc>
          <w:tcPr>
            <w:tcW w:w="3331" w:type="dxa"/>
            <w:vAlign w:val="center"/>
          </w:tcPr>
          <w:p w14:paraId="57159C29">
            <w:pPr>
              <w:jc w:val="center"/>
              <w:rPr>
                <w:rFonts w:hint="eastAsia" w:ascii="Calibri" w:hAnsi="Calibri" w:eastAsia="宋体"/>
                <w:color w:val="auto"/>
                <w:highlight w:val="none"/>
                <w:vertAlign w:val="baseline"/>
                <w:lang w:val="en-US" w:eastAsia="zh-CN"/>
              </w:rPr>
            </w:pPr>
          </w:p>
        </w:tc>
      </w:tr>
      <w:tr w14:paraId="4B6A84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2148" w:type="dxa"/>
            <w:vAlign w:val="center"/>
          </w:tcPr>
          <w:p w14:paraId="0A42E636">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联系地址</w:t>
            </w:r>
          </w:p>
        </w:tc>
        <w:tc>
          <w:tcPr>
            <w:tcW w:w="2284" w:type="dxa"/>
            <w:vAlign w:val="center"/>
          </w:tcPr>
          <w:p w14:paraId="6958BA00">
            <w:pPr>
              <w:jc w:val="center"/>
              <w:rPr>
                <w:rFonts w:hint="eastAsia" w:ascii="Calibri" w:hAnsi="Calibri" w:eastAsia="宋体"/>
                <w:color w:val="auto"/>
                <w:sz w:val="24"/>
                <w:szCs w:val="32"/>
                <w:highlight w:val="none"/>
                <w:vertAlign w:val="baseline"/>
                <w:lang w:val="en-US" w:eastAsia="zh-CN"/>
              </w:rPr>
            </w:pPr>
          </w:p>
        </w:tc>
        <w:tc>
          <w:tcPr>
            <w:tcW w:w="1833" w:type="dxa"/>
            <w:vAlign w:val="center"/>
          </w:tcPr>
          <w:p w14:paraId="6581BAD7">
            <w:pPr>
              <w:jc w:val="center"/>
              <w:rPr>
                <w:rFonts w:hint="default" w:ascii="Calibri" w:hAnsi="Calibri" w:eastAsia="宋体"/>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联系电话</w:t>
            </w:r>
          </w:p>
        </w:tc>
        <w:tc>
          <w:tcPr>
            <w:tcW w:w="3331" w:type="dxa"/>
            <w:vAlign w:val="center"/>
          </w:tcPr>
          <w:p w14:paraId="16C744B2">
            <w:pPr>
              <w:jc w:val="center"/>
              <w:rPr>
                <w:rFonts w:hint="eastAsia" w:ascii="Calibri" w:hAnsi="Calibri" w:eastAsia="宋体"/>
                <w:color w:val="auto"/>
                <w:highlight w:val="none"/>
                <w:vertAlign w:val="baseline"/>
                <w:lang w:val="en-US" w:eastAsia="zh-CN"/>
              </w:rPr>
            </w:pPr>
          </w:p>
        </w:tc>
      </w:tr>
      <w:tr w14:paraId="417CF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60" w:hRule="atLeast"/>
        </w:trPr>
        <w:tc>
          <w:tcPr>
            <w:tcW w:w="2148" w:type="dxa"/>
            <w:vAlign w:val="center"/>
          </w:tcPr>
          <w:p w14:paraId="6C42D7E6">
            <w:pPr>
              <w:jc w:val="center"/>
              <w:rPr>
                <w:rFonts w:hint="default" w:ascii="Calibri" w:hAnsi="Calibri"/>
                <w:color w:val="auto"/>
                <w:sz w:val="24"/>
                <w:szCs w:val="32"/>
                <w:highlight w:val="none"/>
                <w:vertAlign w:val="baseline"/>
                <w:lang w:val="en-US" w:eastAsia="zh-CN"/>
              </w:rPr>
            </w:pPr>
            <w:r>
              <w:rPr>
                <w:rFonts w:hint="eastAsia" w:ascii="Calibri" w:hAnsi="Calibri"/>
                <w:color w:val="auto"/>
                <w:sz w:val="24"/>
                <w:szCs w:val="32"/>
                <w:highlight w:val="none"/>
                <w:vertAlign w:val="baseline"/>
                <w:lang w:val="en-US" w:eastAsia="zh-CN"/>
              </w:rPr>
              <w:t>信用承诺</w:t>
            </w:r>
          </w:p>
        </w:tc>
        <w:tc>
          <w:tcPr>
            <w:tcW w:w="7448" w:type="dxa"/>
            <w:gridSpan w:val="3"/>
            <w:vAlign w:val="center"/>
          </w:tcPr>
          <w:p w14:paraId="01ED8C1F">
            <w:pPr>
              <w:ind w:firstLine="420" w:firstLineChars="200"/>
              <w:jc w:val="both"/>
              <w:rPr>
                <w:rFonts w:hint="eastAsia" w:ascii="Calibri" w:hAnsi="Calibri"/>
                <w:color w:val="auto"/>
                <w:highlight w:val="none"/>
                <w:vertAlign w:val="baseline"/>
                <w:lang w:val="en-US" w:eastAsia="zh-CN"/>
              </w:rPr>
            </w:pPr>
            <w:r>
              <w:rPr>
                <w:rFonts w:hint="eastAsia" w:ascii="Calibri" w:hAnsi="Calibri" w:eastAsia="宋体"/>
                <w:color w:val="auto"/>
                <w:highlight w:val="none"/>
                <w:vertAlign w:val="baseline"/>
                <w:lang w:val="en-US" w:eastAsia="zh-CN"/>
              </w:rPr>
              <w:t>我公司自愿参加贵中心</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公司</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组织的本次采购活动，严格遵守《中华人民共和国政府采购法》及相关法律法规，坚守公开、公平、公正和诚实信用的原则，依法诚信经营，无条件遵守本次政府采购活动的各项规定。我们郑重承诺，本公司符合《政府采购法》第二十</w:t>
            </w:r>
            <w:r>
              <w:rPr>
                <w:rFonts w:hint="eastAsia" w:ascii="Calibri" w:hAnsi="Calibri"/>
                <w:color w:val="auto"/>
                <w:highlight w:val="none"/>
                <w:vertAlign w:val="baseline"/>
                <w:lang w:val="en-US" w:eastAsia="zh-CN"/>
              </w:rPr>
              <w:t>二</w:t>
            </w:r>
            <w:r>
              <w:rPr>
                <w:rFonts w:hint="eastAsia" w:ascii="Calibri" w:hAnsi="Calibri" w:eastAsia="宋体"/>
                <w:color w:val="auto"/>
                <w:highlight w:val="none"/>
                <w:vertAlign w:val="baseline"/>
                <w:lang w:val="en-US" w:eastAsia="zh-CN"/>
              </w:rPr>
              <w:t>条规定的条件，包括</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具有独立承担民事责任的能力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具有良好的商业信誉和健全的财务会计制度</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有履行合同所必需的设备和专业技术能力</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有依法缴纳税收和社会保障资金的良好记录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参加政府采购活动前三年内，在经营活动中没有重大违法记录</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符合法律、行政法规和采购文件规定的其他条件</w:t>
            </w:r>
            <w:r>
              <w:rPr>
                <w:rFonts w:hint="eastAsia" w:ascii="Calibri" w:hAnsi="Calibri"/>
                <w:color w:val="auto"/>
                <w:highlight w:val="none"/>
                <w:vertAlign w:val="baseline"/>
                <w:lang w:val="en-US" w:eastAsia="zh-CN"/>
              </w:rPr>
              <w:t>。</w:t>
            </w:r>
            <w:r>
              <w:rPr>
                <w:rFonts w:hint="eastAsia" w:ascii="Calibri" w:hAnsi="Calibri" w:eastAsia="宋体"/>
                <w:color w:val="auto"/>
                <w:highlight w:val="none"/>
                <w:vertAlign w:val="baseline"/>
                <w:lang w:val="en-US" w:eastAsia="zh-CN"/>
              </w:rPr>
              <w:t>如有弄虚作假或其他违法违规行为，愿承担一切法律责任，接受各级政府采购监管部门和有权机关的审查和处罚</w:t>
            </w:r>
            <w:r>
              <w:rPr>
                <w:rFonts w:hint="eastAsia" w:ascii="Calibri" w:hAnsi="Calibri"/>
                <w:color w:val="auto"/>
                <w:highlight w:val="none"/>
                <w:vertAlign w:val="baseline"/>
                <w:lang w:val="en-US" w:eastAsia="zh-CN"/>
              </w:rPr>
              <w:t>。</w:t>
            </w:r>
          </w:p>
          <w:p w14:paraId="284C060A">
            <w:pPr>
              <w:ind w:firstLine="420" w:firstLineChars="200"/>
              <w:jc w:val="both"/>
              <w:rPr>
                <w:rFonts w:hint="eastAsia" w:ascii="Calibri" w:hAnsi="Calibri"/>
                <w:color w:val="auto"/>
                <w:highlight w:val="none"/>
                <w:vertAlign w:val="baseline"/>
                <w:lang w:val="en-US" w:eastAsia="zh-CN"/>
              </w:rPr>
            </w:pPr>
          </w:p>
          <w:p w14:paraId="4EF74F1F">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供应商名称（盖章）：</w:t>
            </w:r>
          </w:p>
          <w:p w14:paraId="657C5CC3">
            <w:pPr>
              <w:ind w:firstLine="420" w:firstLineChars="200"/>
              <w:jc w:val="center"/>
              <w:rPr>
                <w:rFonts w:hint="eastAsia" w:ascii="Calibri" w:hAnsi="Calibri"/>
                <w:color w:val="auto"/>
                <w:highlight w:val="none"/>
                <w:vertAlign w:val="baseline"/>
                <w:lang w:val="en-US" w:eastAsia="zh-CN"/>
              </w:rPr>
            </w:pPr>
          </w:p>
          <w:p w14:paraId="3717FC76">
            <w:pPr>
              <w:ind w:firstLine="420" w:firstLineChars="200"/>
              <w:jc w:val="center"/>
              <w:rPr>
                <w:rFonts w:hint="eastAsia"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法定代表人（签字）：</w:t>
            </w:r>
          </w:p>
          <w:p w14:paraId="0B695B81">
            <w:pPr>
              <w:ind w:firstLine="420" w:firstLineChars="200"/>
              <w:jc w:val="center"/>
              <w:rPr>
                <w:rFonts w:hint="eastAsia" w:ascii="Calibri" w:hAnsi="Calibri"/>
                <w:color w:val="auto"/>
                <w:highlight w:val="none"/>
                <w:vertAlign w:val="baseline"/>
                <w:lang w:val="en-US" w:eastAsia="zh-CN"/>
              </w:rPr>
            </w:pPr>
          </w:p>
          <w:p w14:paraId="442CBD7B">
            <w:pPr>
              <w:ind w:firstLine="420" w:firstLineChars="200"/>
              <w:jc w:val="center"/>
              <w:rPr>
                <w:rFonts w:hint="default" w:ascii="Calibri" w:hAnsi="Calibri"/>
                <w:color w:val="auto"/>
                <w:highlight w:val="none"/>
                <w:vertAlign w:val="baseline"/>
                <w:lang w:val="en-US" w:eastAsia="zh-CN"/>
              </w:rPr>
            </w:pPr>
            <w:r>
              <w:rPr>
                <w:rFonts w:hint="eastAsia" w:ascii="Calibri" w:hAnsi="Calibri"/>
                <w:color w:val="auto"/>
                <w:highlight w:val="none"/>
                <w:vertAlign w:val="baseline"/>
                <w:lang w:val="en-US" w:eastAsia="zh-CN"/>
              </w:rPr>
              <w:t>XXXX年XX月XX日</w:t>
            </w:r>
          </w:p>
        </w:tc>
      </w:tr>
    </w:tbl>
    <w:p w14:paraId="18786F2B">
      <w:pPr>
        <w:jc w:val="center"/>
        <w:rPr>
          <w:rFonts w:hint="eastAsia" w:ascii="Calibri" w:hAnsi="Calibri" w:eastAsia="宋体"/>
          <w:color w:val="auto"/>
          <w:highlight w:val="none"/>
          <w:lang w:val="en-US" w:eastAsia="zh-CN"/>
        </w:rPr>
      </w:pPr>
    </w:p>
    <w:p w14:paraId="10C67FF4">
      <w:pPr>
        <w:pStyle w:val="86"/>
        <w:spacing w:line="360" w:lineRule="auto"/>
        <w:ind w:firstLine="0" w:firstLineChars="0"/>
        <w:jc w:val="left"/>
        <w:rPr>
          <w:rFonts w:ascii="宋体" w:hAnsi="宋体" w:cs="宋体"/>
          <w:b/>
          <w:color w:val="auto"/>
          <w:highlight w:val="none"/>
        </w:rPr>
      </w:pPr>
    </w:p>
    <w:p w14:paraId="0CCD2F5B">
      <w:pPr>
        <w:rPr>
          <w:rFonts w:hint="eastAsia" w:ascii="宋体" w:hAnsi="宋体" w:cs="宋体"/>
          <w:b/>
          <w:color w:val="auto"/>
          <w:highlight w:val="none"/>
        </w:rPr>
      </w:pPr>
      <w:r>
        <w:rPr>
          <w:rFonts w:hint="eastAsia" w:ascii="宋体" w:hAnsi="宋体" w:cs="宋体"/>
          <w:b/>
          <w:color w:val="auto"/>
          <w:highlight w:val="none"/>
        </w:rPr>
        <w:br w:type="page"/>
      </w:r>
    </w:p>
    <w:p w14:paraId="1DDAE2D2">
      <w:pPr>
        <w:pStyle w:val="86"/>
        <w:spacing w:line="360" w:lineRule="auto"/>
        <w:ind w:firstLine="0" w:firstLineChars="0"/>
        <w:jc w:val="left"/>
        <w:rPr>
          <w:rFonts w:hint="eastAsia" w:ascii="宋体" w:hAnsi="宋体" w:cs="宋体"/>
          <w:b/>
          <w:color w:val="auto"/>
          <w:highlight w:val="none"/>
          <w:lang w:val="en-US" w:eastAsia="zh-CN"/>
        </w:rPr>
      </w:pPr>
      <w:r>
        <w:rPr>
          <w:rFonts w:hint="eastAsia" w:ascii="宋体" w:hAnsi="宋体" w:cs="宋体"/>
          <w:b/>
          <w:color w:val="auto"/>
          <w:highlight w:val="none"/>
        </w:rPr>
        <w:t>附件十</w:t>
      </w:r>
      <w:r>
        <w:rPr>
          <w:rFonts w:hint="eastAsia" w:ascii="宋体" w:hAnsi="宋体" w:cs="宋体"/>
          <w:b/>
          <w:color w:val="auto"/>
          <w:highlight w:val="none"/>
          <w:lang w:val="en-US" w:eastAsia="zh-CN"/>
        </w:rPr>
        <w:t>六</w:t>
      </w:r>
      <w:r>
        <w:rPr>
          <w:rFonts w:hint="eastAsia" w:ascii="宋体" w:hAnsi="宋体" w:cs="宋体"/>
          <w:b/>
          <w:color w:val="auto"/>
          <w:highlight w:val="none"/>
        </w:rPr>
        <w:t>、</w:t>
      </w:r>
      <w:r>
        <w:rPr>
          <w:rFonts w:hint="eastAsia" w:ascii="宋体" w:hAnsi="宋体" w:cs="宋体"/>
          <w:b/>
          <w:color w:val="auto"/>
          <w:highlight w:val="none"/>
          <w:lang w:val="en-US" w:eastAsia="zh-CN"/>
        </w:rPr>
        <w:t>投标人需要提供的其他材料</w:t>
      </w:r>
    </w:p>
    <w:p w14:paraId="65E4984E">
      <w:pPr>
        <w:spacing w:line="360" w:lineRule="auto"/>
        <w:ind w:firstLine="420" w:firstLineChars="200"/>
        <w:jc w:val="center"/>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承诺书</w:t>
      </w:r>
    </w:p>
    <w:p w14:paraId="67A5D464">
      <w:pPr>
        <w:spacing w:line="360" w:lineRule="auto"/>
        <w:ind w:firstLine="420" w:firstLineChars="20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我单位承诺：</w:t>
      </w:r>
    </w:p>
    <w:p w14:paraId="3A5F2180">
      <w:pPr>
        <w:spacing w:line="360" w:lineRule="auto"/>
        <w:ind w:firstLine="420" w:firstLineChars="200"/>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按招标文件要求填写。</w:t>
      </w:r>
    </w:p>
    <w:p w14:paraId="67C4FE2B">
      <w:pPr>
        <w:pStyle w:val="42"/>
        <w:shd w:val="clear" w:color="auto" w:fill="FFFFFF"/>
        <w:spacing w:before="0" w:beforeAutospacing="0" w:after="0" w:afterAutospacing="0" w:line="360" w:lineRule="auto"/>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投标单位（加盖电子公章）：　        </w:t>
      </w:r>
    </w:p>
    <w:p w14:paraId="19E5BB32">
      <w:pPr>
        <w:jc w:val="righ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日期：　     年　  月　  日  </w:t>
      </w:r>
    </w:p>
    <w:p w14:paraId="73A7594A">
      <w:pPr>
        <w:pStyle w:val="16"/>
        <w:numPr>
          <w:ilvl w:val="0"/>
          <w:numId w:val="0"/>
        </w:numPr>
        <w:rPr>
          <w:rFonts w:hint="eastAsia" w:ascii="宋体" w:hAnsi="宋体" w:cs="宋体"/>
          <w:b/>
          <w:color w:val="auto"/>
          <w:highlight w:val="none"/>
          <w:lang w:val="en-US" w:eastAsia="zh-CN"/>
        </w:rPr>
      </w:pPr>
    </w:p>
    <w:sectPr>
      <w:footerReference r:id="rId7" w:type="first"/>
      <w:headerReference r:id="rId5" w:type="default"/>
      <w:footerReference r:id="rId6" w:type="default"/>
      <w:pgSz w:w="11906" w:h="16838"/>
      <w:pgMar w:top="1134" w:right="1134" w:bottom="1134" w:left="1134" w:header="851" w:footer="992" w:gutter="0"/>
      <w:pgBorders>
        <w:top w:val="none" w:sz="0" w:space="0"/>
        <w:left w:val="none" w:sz="0" w:space="0"/>
        <w:bottom w:val="none" w:sz="0" w:space="0"/>
        <w:right w:val="none" w:sz="0" w:space="0"/>
      </w:pgBorders>
      <w:pgNumType w:fmt="decimal"/>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7C5BB7B5-22A7-492D-9975-4B573FA5E1ED}"/>
  </w:font>
  <w:font w:name="黑体">
    <w:panose1 w:val="02010609060101010101"/>
    <w:charset w:val="86"/>
    <w:family w:val="auto"/>
    <w:pitch w:val="default"/>
    <w:sig w:usb0="800002BF" w:usb1="38CF7CFA" w:usb2="00000016" w:usb3="00000000" w:csb0="00040001" w:csb1="00000000"/>
    <w:embedRegular r:id="rId2" w:fontKey="{CA134148-D18A-4344-AF54-A7A524F5B04A}"/>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embedRegular r:id="rId3" w:fontKey="{A8C50A94-54DF-4105-A2AA-030076D5A63F}"/>
  </w:font>
  <w:font w:name="Cambria">
    <w:panose1 w:val="02040503050406030204"/>
    <w:charset w:val="00"/>
    <w:family w:val="roman"/>
    <w:pitch w:val="default"/>
    <w:sig w:usb0="E00006FF" w:usb1="420024FF" w:usb2="02000000" w:usb3="00000000" w:csb0="2000019F" w:csb1="00000000"/>
  </w:font>
  <w:font w:name="幼圆">
    <w:panose1 w:val="02010509060101010101"/>
    <w:charset w:val="86"/>
    <w:family w:val="modern"/>
    <w:pitch w:val="default"/>
    <w:sig w:usb0="00000001" w:usb1="080E0000" w:usb2="00000000" w:usb3="00000000" w:csb0="00040000" w:csb1="00000000"/>
    <w:embedRegular r:id="rId4" w:fontKey="{A2687AA6-97A6-4541-9821-265BA582E893}"/>
  </w:font>
  <w:font w:name="Ari">
    <w:altName w:val="Arial"/>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5" w:fontKey="{5F2B4A29-53B6-4BA7-8306-654FCEA5D019}"/>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华文楷体">
    <w:panose1 w:val="02010600040101010101"/>
    <w:charset w:val="86"/>
    <w:family w:val="auto"/>
    <w:pitch w:val="default"/>
    <w:sig w:usb0="00000287" w:usb1="080F0000" w:usb2="00000000" w:usb3="00000000" w:csb0="0004009F" w:csb1="DFD70000"/>
  </w:font>
  <w:font w:name="KNLe">
    <w:altName w:val="Times New Roman"/>
    <w:panose1 w:val="00000000000000000000"/>
    <w:charset w:val="00"/>
    <w:family w:val="roman"/>
    <w:pitch w:val="default"/>
    <w:sig w:usb0="00000000" w:usb1="00000000" w:usb2="00000000" w:usb3="00000000" w:csb0="00040001"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Tahoma">
    <w:panose1 w:val="020B0604030504040204"/>
    <w:charset w:val="00"/>
    <w:family w:val="swiss"/>
    <w:pitch w:val="default"/>
    <w:sig w:usb0="E1002EFF" w:usb1="C000605B" w:usb2="00000029" w:usb3="00000000" w:csb0="200101FF" w:csb1="20280000"/>
  </w:font>
  <w:font w:name="ヒラギノ角ゴ Pro W3">
    <w:altName w:val="Yu Gothic"/>
    <w:panose1 w:val="00000000000000000000"/>
    <w:charset w:val="80"/>
    <w:family w:val="auto"/>
    <w:pitch w:val="default"/>
    <w:sig w:usb0="00000000" w:usb1="00000000" w:usb2="00000012" w:usb3="00000000" w:csb0="0002000D" w:csb1="00000000"/>
  </w:font>
  <w:font w:name="Yu Gothic">
    <w:panose1 w:val="020B0400000000000000"/>
    <w:charset w:val="80"/>
    <w:family w:val="auto"/>
    <w:pitch w:val="default"/>
    <w:sig w:usb0="E00002FF" w:usb1="2AC7FDFF" w:usb2="00000016" w:usb3="00000000" w:csb0="2002009F" w:csb1="00000000"/>
  </w:font>
  <w:font w:name="方正书宋_GBK">
    <w:altName w:val="微软雅黑"/>
    <w:panose1 w:val="00000000000000000000"/>
    <w:charset w:val="00"/>
    <w:family w:val="auto"/>
    <w:pitch w:val="default"/>
    <w:sig w:usb0="00000000" w:usb1="00000000" w:usb2="00000000" w:usb3="00000000" w:csb0="00000000" w:csb1="00000000"/>
  </w:font>
  <w:font w:name="新宋体">
    <w:panose1 w:val="02010609030101010101"/>
    <w:charset w:val="86"/>
    <w:family w:val="modern"/>
    <w:pitch w:val="default"/>
    <w:sig w:usb0="00000203" w:usb1="288F0000" w:usb2="00000006" w:usb3="00000000" w:csb0="00040001" w:csb1="00000000"/>
    <w:embedRegular r:id="rId6" w:fontKey="{B410F882-2B67-4E09-8E05-F5D6E0DE37FB}"/>
  </w:font>
  <w:font w:name="方正小标宋简体">
    <w:panose1 w:val="02000000000000000000"/>
    <w:charset w:val="86"/>
    <w:family w:val="auto"/>
    <w:pitch w:val="default"/>
    <w:sig w:usb0="00000001" w:usb1="08000000" w:usb2="00000000" w:usb3="00000000" w:csb0="00040000" w:csb1="00000000"/>
    <w:embedRegular r:id="rId7" w:fontKey="{C85C171B-0DC5-4EED-9AFC-0DDE6D196E08}"/>
  </w:font>
  <w:font w:name="WPSEMBED1">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B7C433">
    <w:pPr>
      <w:pStyle w:val="29"/>
      <w:tabs>
        <w:tab w:val="center" w:pos="4819"/>
        <w:tab w:val="clear" w:pos="4153"/>
      </w:tabs>
    </w:pPr>
    <w:r>
      <w:rPr>
        <w:rFonts w:hint="eastAsia"/>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FD12F6">
    <w:pPr>
      <w:pStyle w:val="29"/>
    </w:pPr>
    <w:r>
      <w:rPr>
        <w:rFonts w:hint="eastAsia"/>
        <w:lang w:val="en-US" w:eastAsia="zh-CN"/>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40A069">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9E2CDC">
                          <w:pPr>
                            <w:pStyle w:val="29"/>
                          </w:pPr>
                          <w:r>
                            <w:fldChar w:fldCharType="begin"/>
                          </w:r>
                          <w:r>
                            <w:instrText xml:space="preserve"> PAGE  \* MERGEFORMAT </w:instrText>
                          </w:r>
                          <w:r>
                            <w:fldChar w:fldCharType="separate"/>
                          </w:r>
                          <w:r>
                            <w:t>21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kX1r85AgAAcQ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6/ejtODiwfgUsdYkaahh4mUutKjFdpd&#10;2/PcmeIEms50k+It39QoZct8uGcOo4HysTzhDp9SGqQ0vUVJZdzXf93HeHQMXkoajFpONTaLEvlB&#10;o5MADIPhBmM3GPqgbg1md4KltDyZeOCCHMzSGfUFG7WKOeBimiNTTsNg3oZu3LGRXKxWKehgXb2v&#10;ugeYQ8vCVj9YHtNEqbxdHQKkTYpHgTpV0Kl4wCSmnvVbE0f9z3OKevqnWD4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DkX1r85AgAAcQQAAA4AAAAAAAAAAQAgAAAAHwEAAGRycy9lMm9Eb2Mu&#10;eG1sUEsFBgAAAAAGAAYAWQEAAMoFAAAAAA==&#10;">
              <v:fill on="f" focussize="0,0"/>
              <v:stroke on="f" weight="0.5pt"/>
              <v:imagedata o:title=""/>
              <o:lock v:ext="edit" aspectratio="f"/>
              <v:textbox inset="0mm,0mm,0mm,0mm" style="mso-fit-shape-to-text:t;">
                <w:txbxContent>
                  <w:p w14:paraId="139E2CDC">
                    <w:pPr>
                      <w:pStyle w:val="29"/>
                    </w:pPr>
                    <w:r>
                      <w:fldChar w:fldCharType="begin"/>
                    </w:r>
                    <w:r>
                      <w:instrText xml:space="preserve"> PAGE  \* MERGEFORMAT </w:instrText>
                    </w:r>
                    <w:r>
                      <w:fldChar w:fldCharType="separate"/>
                    </w:r>
                    <w:r>
                      <w:t>21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87D9F2">
    <w:pPr>
      <w:pStyle w:val="29"/>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31112C51">
                          <w:pPr>
                            <w:pStyle w:val="29"/>
                          </w:pPr>
                          <w:r>
                            <w:fldChar w:fldCharType="begin"/>
                          </w:r>
                          <w:r>
                            <w:instrText xml:space="preserve"> PAGE  \* MERGEFORMAT </w:instrText>
                          </w:r>
                          <w:r>
                            <w:fldChar w:fldCharType="separate"/>
                          </w:r>
                          <w:r>
                            <w:t>20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8PUr45AgAAcQQAAA4AAABkcnMvZTJvRG9jLnhtbK1UzY7TMBC+I/EO&#10;lu80aYFVVTVdla2KkCp2pQVxdh2nieQ/2W6T8gDwBpy4cN/n6nPw2Wm6aOGwBy7p2DP+Zr5vZjq/&#10;7pQkB+F8Y3RBx6OcEqG5KRu9K+jnT+tXU0p8YLpk0mhR0KPw9Hrx8sW8tTMxMbWRpXAEINrPWlvQ&#10;OgQ7yzLPa6GYHxkrNJyVcYoFHN0uKx1rga5kNsnzq6w1rrTOcOE9ble9k54R3XMATVU1XKwM3yuh&#10;Q4/qhGQBlHzdWE8XqdqqEjzcVpUXgciCgmlIXySBvY3fbDFns51jtm74uQT2nBKecFKs0Uh6gVqx&#10;wMjeNX9BqYY7400VRtyorCeSFAGLcf5Em/uaWZG4QGpvL6L7/wfLPx7uHGlKTMIbSjRT6Pjpx/fT&#10;z4fTr28EdxCotX6GuHuLyNC9Mx2Ch3uPy8i7q5yKv2BE4Ie8x4u8oguEx0fTyXSaw8XhGw7Azx6f&#10;W+fDe2EUiUZBHfqXZGWHjQ996BASs2mzbqRMPZSatAW9ev02Tw8uHoBLHWNFmoYzTKTUlx6t0G27&#10;M8+tKY+g6Uw/Kd7ydYNSNsyHO+YwGigfyxNu8amkQUpztiipjfv6r/sYj47BS0mLUSuoxmZRIj9o&#10;dBKAYTDcYGwHQ+/VjcHsjrGUlicTD1yQg1k5o75go5YxB1xMc2QqaBjMm9CPOzaSi+UyBe2ta3Z1&#10;/wBzaFnY6HvLY5oolbfLfYC0SfEoUK8KOhUPmMTUs/PWxFH/85yiHv8pFr8B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ogQAAFtDb250ZW50X1R5&#10;cGVzXS54bWxQSwECFAAKAAAAAACHTuJAAAAAAAAAAAAAAAAABgAAAAAAAAAAABAAAACEAwAAX3Jl&#10;bHMvUEsBAhQAFAAAAAgAh07iQIoUZjzRAAAAlAEAAAsAAAAAAAAAAQAgAAAAqAMAAF9yZWxzLy5y&#10;ZWxzUEsBAhQACgAAAAAAh07iQAAAAAAAAAAAAAAAAAQAAAAAAAAAAAAQAAAAAAAAAGRycy9QSwEC&#10;FAAUAAAACACHTuJAs0lY7tAAAAAFAQAADwAAAAAAAAABACAAAAAiAAAAZHJzL2Rvd25yZXYueG1s&#10;UEsBAhQAFAAAAAgAh07iQJ8PUr45AgAAcQQAAA4AAAAAAAAAAQAgAAAAHwEAAGRycy9lMm9Eb2Mu&#10;eG1sUEsFBgAAAAAGAAYAWQEAAMoFAAAAAA==&#10;">
              <v:fill on="f" focussize="0,0"/>
              <v:stroke on="f" weight="0.5pt"/>
              <v:imagedata o:title=""/>
              <o:lock v:ext="edit" aspectratio="f"/>
              <v:textbox inset="0mm,0mm,0mm,0mm" style="mso-fit-shape-to-text:t;">
                <w:txbxContent>
                  <w:p w14:paraId="31112C51">
                    <w:pPr>
                      <w:pStyle w:val="29"/>
                    </w:pPr>
                    <w:r>
                      <w:fldChar w:fldCharType="begin"/>
                    </w:r>
                    <w:r>
                      <w:instrText xml:space="preserve"> PAGE  \* MERGEFORMAT </w:instrText>
                    </w:r>
                    <w:r>
                      <w:fldChar w:fldCharType="separate"/>
                    </w:r>
                    <w:r>
                      <w:t>20</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187134">
    <w:pPr>
      <w:pStyle w:val="31"/>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ED48E92"/>
    <w:multiLevelType w:val="singleLevel"/>
    <w:tmpl w:val="DED48E92"/>
    <w:lvl w:ilvl="0" w:tentative="0">
      <w:start w:val="1"/>
      <w:numFmt w:val="decimal"/>
      <w:suff w:val="nothing"/>
      <w:lvlText w:val="%1、"/>
      <w:lvlJc w:val="left"/>
    </w:lvl>
  </w:abstractNum>
  <w:abstractNum w:abstractNumId="1">
    <w:nsid w:val="00000006"/>
    <w:multiLevelType w:val="multilevel"/>
    <w:tmpl w:val="00000006"/>
    <w:lvl w:ilvl="0" w:tentative="0">
      <w:start w:val="1"/>
      <w:numFmt w:val="chineseCountingThousand"/>
      <w:pStyle w:val="2"/>
      <w:suff w:val="nothing"/>
      <w:lvlText w:val="第%1章"/>
      <w:lvlJc w:val="left"/>
      <w:pPr>
        <w:ind w:left="0" w:firstLine="0"/>
      </w:pPr>
    </w:lvl>
    <w:lvl w:ilvl="1" w:tentative="0">
      <w:start w:val="1"/>
      <w:numFmt w:val="none"/>
      <w:pStyle w:val="3"/>
      <w:suff w:val="nothing"/>
      <w:lvlText w:val=""/>
      <w:lvlJc w:val="left"/>
      <w:pPr>
        <w:ind w:left="0" w:firstLine="0"/>
      </w:pPr>
    </w:lvl>
    <w:lvl w:ilvl="2" w:tentative="0">
      <w:start w:val="1"/>
      <w:numFmt w:val="none"/>
      <w:pStyle w:val="4"/>
      <w:suff w:val="nothing"/>
      <w:lvlText w:val=""/>
      <w:lvlJc w:val="left"/>
      <w:pPr>
        <w:ind w:left="0" w:firstLine="0"/>
      </w:pPr>
    </w:lvl>
    <w:lvl w:ilvl="3" w:tentative="0">
      <w:start w:val="1"/>
      <w:numFmt w:val="none"/>
      <w:pStyle w:val="5"/>
      <w:suff w:val="nothing"/>
      <w:lvlText w:val=""/>
      <w:lvlJc w:val="left"/>
      <w:pPr>
        <w:ind w:left="0" w:firstLine="0"/>
      </w:pPr>
    </w:lvl>
    <w:lvl w:ilvl="4" w:tentative="0">
      <w:start w:val="1"/>
      <w:numFmt w:val="none"/>
      <w:pStyle w:val="6"/>
      <w:suff w:val="nothing"/>
      <w:lvlText w:val=""/>
      <w:lvlJc w:val="left"/>
      <w:pPr>
        <w:ind w:left="0" w:firstLine="0"/>
      </w:pPr>
    </w:lvl>
    <w:lvl w:ilvl="5" w:tentative="0">
      <w:start w:val="1"/>
      <w:numFmt w:val="none"/>
      <w:pStyle w:val="7"/>
      <w:suff w:val="nothing"/>
      <w:lvlText w:val=""/>
      <w:lvlJc w:val="left"/>
      <w:pPr>
        <w:ind w:left="0" w:firstLine="0"/>
      </w:pPr>
    </w:lvl>
    <w:lvl w:ilvl="6" w:tentative="0">
      <w:start w:val="1"/>
      <w:numFmt w:val="none"/>
      <w:pStyle w:val="8"/>
      <w:suff w:val="nothing"/>
      <w:lvlText w:val=""/>
      <w:lvlJc w:val="left"/>
      <w:pPr>
        <w:ind w:left="0" w:firstLine="0"/>
      </w:pPr>
    </w:lvl>
    <w:lvl w:ilvl="7" w:tentative="0">
      <w:start w:val="1"/>
      <w:numFmt w:val="none"/>
      <w:pStyle w:val="9"/>
      <w:suff w:val="nothing"/>
      <w:lvlText w:val=""/>
      <w:lvlJc w:val="left"/>
      <w:pPr>
        <w:ind w:left="0" w:firstLine="0"/>
      </w:pPr>
    </w:lvl>
    <w:lvl w:ilvl="8" w:tentative="0">
      <w:start w:val="1"/>
      <w:numFmt w:val="none"/>
      <w:pStyle w:val="10"/>
      <w:suff w:val="nothing"/>
      <w:lvlText w:val=""/>
      <w:lvlJc w:val="left"/>
      <w:pPr>
        <w:ind w:left="0" w:firstLine="0"/>
      </w:pPr>
    </w:lvl>
  </w:abstractNum>
  <w:abstractNum w:abstractNumId="2">
    <w:nsid w:val="085007CF"/>
    <w:multiLevelType w:val="multilevel"/>
    <w:tmpl w:val="085007CF"/>
    <w:lvl w:ilvl="0" w:tentative="0">
      <w:start w:val="1"/>
      <w:numFmt w:val="decimal"/>
      <w:lvlText w:val="%1."/>
      <w:lvlJc w:val="left"/>
      <w:pPr>
        <w:tabs>
          <w:tab w:val="left" w:pos="630"/>
        </w:tabs>
        <w:ind w:left="630" w:hanging="420"/>
      </w:pPr>
      <w:rPr>
        <w:rFonts w:cs="Times New Roman"/>
      </w:rPr>
    </w:lvl>
    <w:lvl w:ilvl="1" w:tentative="0">
      <w:start w:val="1"/>
      <w:numFmt w:val="decimal"/>
      <w:lvlText w:val="%2)"/>
      <w:lvlJc w:val="left"/>
      <w:pPr>
        <w:tabs>
          <w:tab w:val="left" w:pos="990"/>
        </w:tabs>
        <w:ind w:left="990" w:hanging="360"/>
      </w:pPr>
      <w:rPr>
        <w:color w:val="auto"/>
      </w:rPr>
    </w:lvl>
    <w:lvl w:ilvl="2" w:tentative="0">
      <w:start w:val="1"/>
      <w:numFmt w:val="lowerRoman"/>
      <w:lvlText w:val="%3."/>
      <w:lvlJc w:val="right"/>
      <w:pPr>
        <w:tabs>
          <w:tab w:val="left" w:pos="1470"/>
        </w:tabs>
        <w:ind w:left="1470" w:hanging="420"/>
      </w:pPr>
      <w:rPr>
        <w:rFonts w:cs="Times New Roman"/>
      </w:rPr>
    </w:lvl>
    <w:lvl w:ilvl="3" w:tentative="0">
      <w:start w:val="1"/>
      <w:numFmt w:val="decimal"/>
      <w:lvlText w:val="%4."/>
      <w:lvlJc w:val="left"/>
      <w:pPr>
        <w:tabs>
          <w:tab w:val="left" w:pos="1890"/>
        </w:tabs>
        <w:ind w:left="1890" w:hanging="420"/>
      </w:pPr>
      <w:rPr>
        <w:rFonts w:cs="Times New Roman"/>
      </w:rPr>
    </w:lvl>
    <w:lvl w:ilvl="4" w:tentative="0">
      <w:start w:val="1"/>
      <w:numFmt w:val="lowerLetter"/>
      <w:lvlText w:val="%5)"/>
      <w:lvlJc w:val="left"/>
      <w:pPr>
        <w:tabs>
          <w:tab w:val="left" w:pos="2310"/>
        </w:tabs>
        <w:ind w:left="2310" w:hanging="420"/>
      </w:pPr>
      <w:rPr>
        <w:rFonts w:cs="Times New Roman"/>
      </w:rPr>
    </w:lvl>
    <w:lvl w:ilvl="5" w:tentative="0">
      <w:start w:val="1"/>
      <w:numFmt w:val="lowerRoman"/>
      <w:lvlText w:val="%6."/>
      <w:lvlJc w:val="right"/>
      <w:pPr>
        <w:tabs>
          <w:tab w:val="left" w:pos="2730"/>
        </w:tabs>
        <w:ind w:left="2730" w:hanging="420"/>
      </w:pPr>
      <w:rPr>
        <w:rFonts w:cs="Times New Roman"/>
      </w:rPr>
    </w:lvl>
    <w:lvl w:ilvl="6" w:tentative="0">
      <w:start w:val="1"/>
      <w:numFmt w:val="decimal"/>
      <w:lvlText w:val="%7."/>
      <w:lvlJc w:val="left"/>
      <w:pPr>
        <w:tabs>
          <w:tab w:val="left" w:pos="3150"/>
        </w:tabs>
        <w:ind w:left="3150" w:hanging="420"/>
      </w:pPr>
      <w:rPr>
        <w:rFonts w:cs="Times New Roman"/>
      </w:rPr>
    </w:lvl>
    <w:lvl w:ilvl="7" w:tentative="0">
      <w:start w:val="1"/>
      <w:numFmt w:val="lowerLetter"/>
      <w:lvlText w:val="%8)"/>
      <w:lvlJc w:val="left"/>
      <w:pPr>
        <w:tabs>
          <w:tab w:val="left" w:pos="3570"/>
        </w:tabs>
        <w:ind w:left="3570" w:hanging="420"/>
      </w:pPr>
      <w:rPr>
        <w:rFonts w:cs="Times New Roman"/>
      </w:rPr>
    </w:lvl>
    <w:lvl w:ilvl="8" w:tentative="0">
      <w:start w:val="1"/>
      <w:numFmt w:val="lowerRoman"/>
      <w:lvlText w:val="%9."/>
      <w:lvlJc w:val="right"/>
      <w:pPr>
        <w:tabs>
          <w:tab w:val="left" w:pos="3990"/>
        </w:tabs>
        <w:ind w:left="3990" w:hanging="420"/>
      </w:pPr>
      <w:rPr>
        <w:rFonts w:cs="Times New Roman"/>
      </w:rPr>
    </w:lvl>
  </w:abstractNum>
  <w:abstractNum w:abstractNumId="3">
    <w:nsid w:val="130A2188"/>
    <w:multiLevelType w:val="multilevel"/>
    <w:tmpl w:val="130A2188"/>
    <w:lvl w:ilvl="0" w:tentative="0">
      <w:start w:val="1"/>
      <w:numFmt w:val="chineseCountingThousand"/>
      <w:pStyle w:val="156"/>
      <w:lvlText w:val="%1"/>
      <w:lvlJc w:val="left"/>
      <w:pPr>
        <w:ind w:left="425" w:hanging="425"/>
      </w:pPr>
      <w:rPr>
        <w:rFonts w:hint="eastAsia" w:ascii="Arial Unicode MS" w:hAnsi="Arial Unicode MS" w:eastAsia="微软雅黑"/>
        <w:b/>
        <w:i w:val="0"/>
        <w:lang w:val="en-US"/>
      </w:rPr>
    </w:lvl>
    <w:lvl w:ilvl="1" w:tentative="0">
      <w:start w:val="1"/>
      <w:numFmt w:val="decimal"/>
      <w:pStyle w:val="176"/>
      <w:isLgl/>
      <w:lvlText w:val="%1.%2"/>
      <w:lvlJc w:val="left"/>
      <w:pPr>
        <w:ind w:left="425" w:hanging="425"/>
      </w:pPr>
      <w:rPr>
        <w:rFonts w:hint="eastAsia" w:ascii="Arial Unicode MS" w:hAnsi="Arial Unicode MS" w:eastAsia="微软雅黑"/>
        <w:b/>
        <w:i w:val="0"/>
      </w:rPr>
    </w:lvl>
    <w:lvl w:ilvl="2" w:tentative="0">
      <w:start w:val="1"/>
      <w:numFmt w:val="decimal"/>
      <w:pStyle w:val="190"/>
      <w:isLgl/>
      <w:lvlText w:val="%1.%2.%3"/>
      <w:lvlJc w:val="left"/>
      <w:pPr>
        <w:ind w:left="425" w:hanging="425"/>
      </w:pPr>
      <w:rPr>
        <w:rFonts w:hint="eastAsia" w:ascii="Arial Unicode MS" w:hAnsi="Arial Unicode MS" w:eastAsia="微软雅黑"/>
        <w:b/>
        <w:i w:val="0"/>
      </w:rPr>
    </w:lvl>
    <w:lvl w:ilvl="3" w:tentative="0">
      <w:start w:val="1"/>
      <w:numFmt w:val="decimal"/>
      <w:isLgl/>
      <w:lvlText w:val="%1.%2.%3.%4"/>
      <w:lvlJc w:val="left"/>
      <w:pPr>
        <w:ind w:left="425" w:hanging="425"/>
      </w:pPr>
      <w:rPr>
        <w:rFonts w:hint="eastAsia" w:ascii="Arial Unicode MS" w:hAnsi="Arial Unicode MS" w:eastAsia="微软雅黑"/>
        <w:b/>
        <w:i w:val="0"/>
      </w:rPr>
    </w:lvl>
    <w:lvl w:ilvl="4" w:tentative="0">
      <w:start w:val="1"/>
      <w:numFmt w:val="decimal"/>
      <w:isLgl/>
      <w:lvlText w:val="%1.%2.%3.%4.%5"/>
      <w:lvlJc w:val="left"/>
      <w:pPr>
        <w:ind w:left="425" w:hanging="425"/>
      </w:pPr>
      <w:rPr>
        <w:rFonts w:hint="eastAsia" w:ascii="Arial Unicode MS" w:hAnsi="Arial Unicode MS" w:eastAsia="微软雅黑"/>
        <w:b/>
        <w:i w:val="0"/>
      </w:rPr>
    </w:lvl>
    <w:lvl w:ilvl="5" w:tentative="0">
      <w:start w:val="1"/>
      <w:numFmt w:val="none"/>
      <w:lvlText w:val="%1.%2.%3.%4.%5.%6"/>
      <w:lvlJc w:val="left"/>
      <w:pPr>
        <w:ind w:left="425" w:hanging="425"/>
      </w:pPr>
      <w:rPr>
        <w:rFonts w:hint="eastAsia"/>
      </w:rPr>
    </w:lvl>
    <w:lvl w:ilvl="6" w:tentative="0">
      <w:start w:val="1"/>
      <w:numFmt w:val="decimal"/>
      <w:lvlText w:val="%1.%2.%3.%4.%5.%6.%7"/>
      <w:lvlJc w:val="left"/>
      <w:pPr>
        <w:ind w:left="425" w:hanging="425"/>
      </w:pPr>
      <w:rPr>
        <w:rFonts w:hint="eastAsia"/>
      </w:rPr>
    </w:lvl>
    <w:lvl w:ilvl="7" w:tentative="0">
      <w:start w:val="1"/>
      <w:numFmt w:val="decimal"/>
      <w:lvlText w:val="%1.%2.%3.%4.%5.%6.%7.%8"/>
      <w:lvlJc w:val="left"/>
      <w:pPr>
        <w:ind w:left="425" w:hanging="425"/>
      </w:pPr>
      <w:rPr>
        <w:rFonts w:hint="eastAsia"/>
      </w:rPr>
    </w:lvl>
    <w:lvl w:ilvl="8" w:tentative="0">
      <w:start w:val="1"/>
      <w:numFmt w:val="decimal"/>
      <w:lvlText w:val="%1.%2.%3.%4.%5.%6.%7.%8.%9"/>
      <w:lvlJc w:val="left"/>
      <w:pPr>
        <w:ind w:left="425" w:hanging="425"/>
      </w:pPr>
      <w:rPr>
        <w:rFonts w:hint="eastAsia"/>
      </w:rPr>
    </w:lvl>
  </w:abstractNum>
  <w:abstractNum w:abstractNumId="4">
    <w:nsid w:val="14590CD4"/>
    <w:multiLevelType w:val="singleLevel"/>
    <w:tmpl w:val="14590CD4"/>
    <w:lvl w:ilvl="0" w:tentative="0">
      <w:start w:val="5"/>
      <w:numFmt w:val="chineseCounting"/>
      <w:suff w:val="space"/>
      <w:lvlText w:val="第%1章"/>
      <w:lvlJc w:val="left"/>
      <w:rPr>
        <w:rFonts w:hint="eastAsia"/>
      </w:rPr>
    </w:lvl>
  </w:abstractNum>
  <w:abstractNum w:abstractNumId="5">
    <w:nsid w:val="59ADCABA"/>
    <w:multiLevelType w:val="multilevel"/>
    <w:tmpl w:val="59ADCABA"/>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47"/>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6">
    <w:nsid w:val="64B0665D"/>
    <w:multiLevelType w:val="singleLevel"/>
    <w:tmpl w:val="64B0665D"/>
    <w:lvl w:ilvl="0" w:tentative="0">
      <w:start w:val="7"/>
      <w:numFmt w:val="decimal"/>
      <w:suff w:val="nothing"/>
      <w:lvlText w:val="%1、"/>
      <w:lvlJc w:val="left"/>
    </w:lvl>
  </w:abstractNum>
  <w:num w:numId="1">
    <w:abstractNumId w:val="1"/>
  </w:num>
  <w:num w:numId="2">
    <w:abstractNumId w:val="3"/>
  </w:num>
  <w:num w:numId="3">
    <w:abstractNumId w:val="5"/>
  </w:num>
  <w:num w:numId="4">
    <w:abstractNumId w:val="6"/>
  </w:num>
  <w:num w:numId="5">
    <w:abstractNumId w:val="2"/>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embedTrueTypeFonts/>
  <w:saveSubsetFonts/>
  <w:bordersDoNotSurroundHeader w:val="0"/>
  <w:bordersDoNotSurroundFooter w:val="0"/>
  <w:attachedTemplate r:id="rId1"/>
  <w:revisionView w:markup="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doNotValidateAgainstSchema/>
  <w:doNotDemarcateInvalidXml/>
  <w:endnotePr>
    <w:numFmt w:val="decimal"/>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2ZGZiNzZiNDVlOGViOWVmM2JhOTY0NGJkNjUyYzgifQ=="/>
  </w:docVars>
  <w:rsids>
    <w:rsidRoot w:val="196839F7"/>
    <w:rsid w:val="000012DD"/>
    <w:rsid w:val="00001B79"/>
    <w:rsid w:val="000033BC"/>
    <w:rsid w:val="000037BA"/>
    <w:rsid w:val="00003E09"/>
    <w:rsid w:val="00004ADD"/>
    <w:rsid w:val="00010961"/>
    <w:rsid w:val="00013EE1"/>
    <w:rsid w:val="000144FE"/>
    <w:rsid w:val="00016168"/>
    <w:rsid w:val="000207B3"/>
    <w:rsid w:val="00020AA1"/>
    <w:rsid w:val="00020F19"/>
    <w:rsid w:val="000240F2"/>
    <w:rsid w:val="00024385"/>
    <w:rsid w:val="0002464E"/>
    <w:rsid w:val="00024AB3"/>
    <w:rsid w:val="00025BBC"/>
    <w:rsid w:val="00026D12"/>
    <w:rsid w:val="00031EC9"/>
    <w:rsid w:val="00032595"/>
    <w:rsid w:val="00032B4A"/>
    <w:rsid w:val="00032EB2"/>
    <w:rsid w:val="00033F13"/>
    <w:rsid w:val="00035A5A"/>
    <w:rsid w:val="000373CB"/>
    <w:rsid w:val="00037558"/>
    <w:rsid w:val="0004062C"/>
    <w:rsid w:val="000427E1"/>
    <w:rsid w:val="00042948"/>
    <w:rsid w:val="00043A61"/>
    <w:rsid w:val="00044757"/>
    <w:rsid w:val="00044D8D"/>
    <w:rsid w:val="00044FB9"/>
    <w:rsid w:val="000458DD"/>
    <w:rsid w:val="00045B12"/>
    <w:rsid w:val="000460E7"/>
    <w:rsid w:val="000473B7"/>
    <w:rsid w:val="00047F5E"/>
    <w:rsid w:val="00051706"/>
    <w:rsid w:val="00051ABD"/>
    <w:rsid w:val="00051BCC"/>
    <w:rsid w:val="00051C2B"/>
    <w:rsid w:val="00051EB2"/>
    <w:rsid w:val="000527C8"/>
    <w:rsid w:val="0005443E"/>
    <w:rsid w:val="000547D0"/>
    <w:rsid w:val="00054F7D"/>
    <w:rsid w:val="00056485"/>
    <w:rsid w:val="00056572"/>
    <w:rsid w:val="00056E6B"/>
    <w:rsid w:val="0006006F"/>
    <w:rsid w:val="00060B89"/>
    <w:rsid w:val="0006160D"/>
    <w:rsid w:val="00061A29"/>
    <w:rsid w:val="00062472"/>
    <w:rsid w:val="000632AD"/>
    <w:rsid w:val="00063394"/>
    <w:rsid w:val="00063B66"/>
    <w:rsid w:val="000640E2"/>
    <w:rsid w:val="0006476D"/>
    <w:rsid w:val="00064BCC"/>
    <w:rsid w:val="00067D84"/>
    <w:rsid w:val="00071CBC"/>
    <w:rsid w:val="00072185"/>
    <w:rsid w:val="00081250"/>
    <w:rsid w:val="000851FF"/>
    <w:rsid w:val="0008631F"/>
    <w:rsid w:val="00086705"/>
    <w:rsid w:val="00087396"/>
    <w:rsid w:val="00090FE4"/>
    <w:rsid w:val="000963C4"/>
    <w:rsid w:val="00096BB7"/>
    <w:rsid w:val="00097207"/>
    <w:rsid w:val="00097293"/>
    <w:rsid w:val="00097411"/>
    <w:rsid w:val="000978F6"/>
    <w:rsid w:val="00097C5F"/>
    <w:rsid w:val="000A3341"/>
    <w:rsid w:val="000A45A0"/>
    <w:rsid w:val="000A4741"/>
    <w:rsid w:val="000A573E"/>
    <w:rsid w:val="000A64DD"/>
    <w:rsid w:val="000A6F9A"/>
    <w:rsid w:val="000A7DA8"/>
    <w:rsid w:val="000B086C"/>
    <w:rsid w:val="000B21A6"/>
    <w:rsid w:val="000B4AC4"/>
    <w:rsid w:val="000B6C7A"/>
    <w:rsid w:val="000B6FEE"/>
    <w:rsid w:val="000C000B"/>
    <w:rsid w:val="000C010C"/>
    <w:rsid w:val="000C0834"/>
    <w:rsid w:val="000C3C47"/>
    <w:rsid w:val="000C5551"/>
    <w:rsid w:val="000D18A2"/>
    <w:rsid w:val="000D4685"/>
    <w:rsid w:val="000D4CDD"/>
    <w:rsid w:val="000D632A"/>
    <w:rsid w:val="000D7DFA"/>
    <w:rsid w:val="000E0528"/>
    <w:rsid w:val="000E513A"/>
    <w:rsid w:val="000E5792"/>
    <w:rsid w:val="000E595A"/>
    <w:rsid w:val="000E6BE6"/>
    <w:rsid w:val="000E70D0"/>
    <w:rsid w:val="000E72E0"/>
    <w:rsid w:val="000E7AEC"/>
    <w:rsid w:val="000F353A"/>
    <w:rsid w:val="000F3911"/>
    <w:rsid w:val="000F5460"/>
    <w:rsid w:val="000F64B8"/>
    <w:rsid w:val="00100C2D"/>
    <w:rsid w:val="00102973"/>
    <w:rsid w:val="001043EE"/>
    <w:rsid w:val="00104FBB"/>
    <w:rsid w:val="001050E5"/>
    <w:rsid w:val="00105965"/>
    <w:rsid w:val="00106DF5"/>
    <w:rsid w:val="00107AD2"/>
    <w:rsid w:val="001152DD"/>
    <w:rsid w:val="00115C20"/>
    <w:rsid w:val="0011699D"/>
    <w:rsid w:val="00116AB7"/>
    <w:rsid w:val="00121249"/>
    <w:rsid w:val="00123A13"/>
    <w:rsid w:val="00124DDA"/>
    <w:rsid w:val="00125FE2"/>
    <w:rsid w:val="0013061E"/>
    <w:rsid w:val="00130C01"/>
    <w:rsid w:val="001315EC"/>
    <w:rsid w:val="00132750"/>
    <w:rsid w:val="00132D0F"/>
    <w:rsid w:val="00133387"/>
    <w:rsid w:val="00133C84"/>
    <w:rsid w:val="0013431C"/>
    <w:rsid w:val="00135325"/>
    <w:rsid w:val="00137F26"/>
    <w:rsid w:val="0014045A"/>
    <w:rsid w:val="0014108C"/>
    <w:rsid w:val="00142258"/>
    <w:rsid w:val="001441C5"/>
    <w:rsid w:val="00145B6B"/>
    <w:rsid w:val="00145CD4"/>
    <w:rsid w:val="00147B69"/>
    <w:rsid w:val="00150D69"/>
    <w:rsid w:val="00153691"/>
    <w:rsid w:val="001538BB"/>
    <w:rsid w:val="0015514F"/>
    <w:rsid w:val="00156B27"/>
    <w:rsid w:val="00156C22"/>
    <w:rsid w:val="00156DBE"/>
    <w:rsid w:val="00157602"/>
    <w:rsid w:val="001620DA"/>
    <w:rsid w:val="001638FC"/>
    <w:rsid w:val="00163D70"/>
    <w:rsid w:val="00165899"/>
    <w:rsid w:val="001661C4"/>
    <w:rsid w:val="001709AF"/>
    <w:rsid w:val="00172312"/>
    <w:rsid w:val="00172A27"/>
    <w:rsid w:val="00172BB0"/>
    <w:rsid w:val="00173F2B"/>
    <w:rsid w:val="00176ACB"/>
    <w:rsid w:val="0017756E"/>
    <w:rsid w:val="0018037C"/>
    <w:rsid w:val="00180512"/>
    <w:rsid w:val="001808D5"/>
    <w:rsid w:val="00181811"/>
    <w:rsid w:val="00184409"/>
    <w:rsid w:val="0018647C"/>
    <w:rsid w:val="00190367"/>
    <w:rsid w:val="00190B4C"/>
    <w:rsid w:val="0019168F"/>
    <w:rsid w:val="001920E2"/>
    <w:rsid w:val="00193455"/>
    <w:rsid w:val="00197E0F"/>
    <w:rsid w:val="001A0417"/>
    <w:rsid w:val="001A38B9"/>
    <w:rsid w:val="001A38FF"/>
    <w:rsid w:val="001A7DAF"/>
    <w:rsid w:val="001B0329"/>
    <w:rsid w:val="001B46F2"/>
    <w:rsid w:val="001B4A81"/>
    <w:rsid w:val="001B689B"/>
    <w:rsid w:val="001B77CB"/>
    <w:rsid w:val="001B7C72"/>
    <w:rsid w:val="001C158D"/>
    <w:rsid w:val="001C226C"/>
    <w:rsid w:val="001C23AF"/>
    <w:rsid w:val="001C29EE"/>
    <w:rsid w:val="001C34CC"/>
    <w:rsid w:val="001C66D0"/>
    <w:rsid w:val="001C6D1C"/>
    <w:rsid w:val="001D0268"/>
    <w:rsid w:val="001D031C"/>
    <w:rsid w:val="001D0EB2"/>
    <w:rsid w:val="001D3678"/>
    <w:rsid w:val="001D4C43"/>
    <w:rsid w:val="001D56B2"/>
    <w:rsid w:val="001D77B7"/>
    <w:rsid w:val="001E059F"/>
    <w:rsid w:val="001E1864"/>
    <w:rsid w:val="001E4541"/>
    <w:rsid w:val="001E4EF8"/>
    <w:rsid w:val="001E566C"/>
    <w:rsid w:val="001E6506"/>
    <w:rsid w:val="001E6577"/>
    <w:rsid w:val="001E72B7"/>
    <w:rsid w:val="001F2C9F"/>
    <w:rsid w:val="001F2EB7"/>
    <w:rsid w:val="001F2F97"/>
    <w:rsid w:val="001F3ADA"/>
    <w:rsid w:val="001F3EF6"/>
    <w:rsid w:val="001F400C"/>
    <w:rsid w:val="001F52B2"/>
    <w:rsid w:val="00201A58"/>
    <w:rsid w:val="00201CD1"/>
    <w:rsid w:val="00201D97"/>
    <w:rsid w:val="00202386"/>
    <w:rsid w:val="002035A8"/>
    <w:rsid w:val="00203D38"/>
    <w:rsid w:val="00205638"/>
    <w:rsid w:val="00206E55"/>
    <w:rsid w:val="00207739"/>
    <w:rsid w:val="002079EB"/>
    <w:rsid w:val="00210C2B"/>
    <w:rsid w:val="00213F8B"/>
    <w:rsid w:val="00214634"/>
    <w:rsid w:val="00215B16"/>
    <w:rsid w:val="00216916"/>
    <w:rsid w:val="00216DE7"/>
    <w:rsid w:val="002172AE"/>
    <w:rsid w:val="0021753F"/>
    <w:rsid w:val="002179DE"/>
    <w:rsid w:val="0022040A"/>
    <w:rsid w:val="002215ED"/>
    <w:rsid w:val="00226A2F"/>
    <w:rsid w:val="00227213"/>
    <w:rsid w:val="00227F51"/>
    <w:rsid w:val="002305DB"/>
    <w:rsid w:val="002332B9"/>
    <w:rsid w:val="00235A36"/>
    <w:rsid w:val="002368B0"/>
    <w:rsid w:val="00236FC9"/>
    <w:rsid w:val="0023761F"/>
    <w:rsid w:val="0024036C"/>
    <w:rsid w:val="00240DD8"/>
    <w:rsid w:val="00241C7D"/>
    <w:rsid w:val="0024462B"/>
    <w:rsid w:val="00245594"/>
    <w:rsid w:val="00245C13"/>
    <w:rsid w:val="0025007B"/>
    <w:rsid w:val="0025013B"/>
    <w:rsid w:val="00250D12"/>
    <w:rsid w:val="00250EDD"/>
    <w:rsid w:val="00253197"/>
    <w:rsid w:val="00256BEB"/>
    <w:rsid w:val="002570EE"/>
    <w:rsid w:val="002604F0"/>
    <w:rsid w:val="00261BCF"/>
    <w:rsid w:val="00263349"/>
    <w:rsid w:val="002708AF"/>
    <w:rsid w:val="00273EDD"/>
    <w:rsid w:val="002740C3"/>
    <w:rsid w:val="0027735C"/>
    <w:rsid w:val="0027753E"/>
    <w:rsid w:val="002810AC"/>
    <w:rsid w:val="002812CC"/>
    <w:rsid w:val="002867C5"/>
    <w:rsid w:val="00293EC3"/>
    <w:rsid w:val="00295A7F"/>
    <w:rsid w:val="002A1103"/>
    <w:rsid w:val="002A1705"/>
    <w:rsid w:val="002A22EA"/>
    <w:rsid w:val="002A2964"/>
    <w:rsid w:val="002A2F7D"/>
    <w:rsid w:val="002A3AF4"/>
    <w:rsid w:val="002A5F7E"/>
    <w:rsid w:val="002A74F1"/>
    <w:rsid w:val="002A7B32"/>
    <w:rsid w:val="002B2041"/>
    <w:rsid w:val="002B29BA"/>
    <w:rsid w:val="002B4F07"/>
    <w:rsid w:val="002B55CA"/>
    <w:rsid w:val="002B7B7D"/>
    <w:rsid w:val="002C084A"/>
    <w:rsid w:val="002C24AF"/>
    <w:rsid w:val="002C3A28"/>
    <w:rsid w:val="002C4463"/>
    <w:rsid w:val="002C4A64"/>
    <w:rsid w:val="002C6711"/>
    <w:rsid w:val="002C6D74"/>
    <w:rsid w:val="002D2894"/>
    <w:rsid w:val="002D5638"/>
    <w:rsid w:val="002D64CD"/>
    <w:rsid w:val="002D696C"/>
    <w:rsid w:val="002D703B"/>
    <w:rsid w:val="002D7BA2"/>
    <w:rsid w:val="002E0562"/>
    <w:rsid w:val="002E0FD5"/>
    <w:rsid w:val="002E11DD"/>
    <w:rsid w:val="002E1DAD"/>
    <w:rsid w:val="002E35B5"/>
    <w:rsid w:val="002E3BC8"/>
    <w:rsid w:val="002E585D"/>
    <w:rsid w:val="002E5CD7"/>
    <w:rsid w:val="002E67FB"/>
    <w:rsid w:val="002E6D7C"/>
    <w:rsid w:val="002F0AE1"/>
    <w:rsid w:val="002F0C61"/>
    <w:rsid w:val="002F0DF0"/>
    <w:rsid w:val="002F2DA7"/>
    <w:rsid w:val="002F3872"/>
    <w:rsid w:val="002F4462"/>
    <w:rsid w:val="002F5066"/>
    <w:rsid w:val="002F5D82"/>
    <w:rsid w:val="002F6084"/>
    <w:rsid w:val="0030167A"/>
    <w:rsid w:val="00304E56"/>
    <w:rsid w:val="00304F1B"/>
    <w:rsid w:val="00306FBC"/>
    <w:rsid w:val="00310632"/>
    <w:rsid w:val="00311916"/>
    <w:rsid w:val="003120B1"/>
    <w:rsid w:val="003129FD"/>
    <w:rsid w:val="00312B26"/>
    <w:rsid w:val="00313484"/>
    <w:rsid w:val="00313AEF"/>
    <w:rsid w:val="00313BF3"/>
    <w:rsid w:val="00313C21"/>
    <w:rsid w:val="003141CA"/>
    <w:rsid w:val="003154A3"/>
    <w:rsid w:val="00315858"/>
    <w:rsid w:val="003203E5"/>
    <w:rsid w:val="00320912"/>
    <w:rsid w:val="00322C45"/>
    <w:rsid w:val="003246D4"/>
    <w:rsid w:val="0032536C"/>
    <w:rsid w:val="00326C8C"/>
    <w:rsid w:val="00327533"/>
    <w:rsid w:val="003309C5"/>
    <w:rsid w:val="0033139D"/>
    <w:rsid w:val="003335D3"/>
    <w:rsid w:val="00334124"/>
    <w:rsid w:val="0033600E"/>
    <w:rsid w:val="00340850"/>
    <w:rsid w:val="00341869"/>
    <w:rsid w:val="0034418A"/>
    <w:rsid w:val="00345C58"/>
    <w:rsid w:val="00345DB5"/>
    <w:rsid w:val="00346E30"/>
    <w:rsid w:val="0034735E"/>
    <w:rsid w:val="00351AFA"/>
    <w:rsid w:val="003527FB"/>
    <w:rsid w:val="00352E13"/>
    <w:rsid w:val="003564AA"/>
    <w:rsid w:val="00357CF7"/>
    <w:rsid w:val="00357DF1"/>
    <w:rsid w:val="003600F4"/>
    <w:rsid w:val="00363602"/>
    <w:rsid w:val="003651BD"/>
    <w:rsid w:val="00365948"/>
    <w:rsid w:val="00367044"/>
    <w:rsid w:val="00367347"/>
    <w:rsid w:val="00367B81"/>
    <w:rsid w:val="0037007A"/>
    <w:rsid w:val="00371CD6"/>
    <w:rsid w:val="00372366"/>
    <w:rsid w:val="00372537"/>
    <w:rsid w:val="00374628"/>
    <w:rsid w:val="003762DA"/>
    <w:rsid w:val="003767C0"/>
    <w:rsid w:val="00380910"/>
    <w:rsid w:val="00381242"/>
    <w:rsid w:val="0038766E"/>
    <w:rsid w:val="00387B4B"/>
    <w:rsid w:val="0039392C"/>
    <w:rsid w:val="00393EC0"/>
    <w:rsid w:val="00395F32"/>
    <w:rsid w:val="003969C7"/>
    <w:rsid w:val="003972B6"/>
    <w:rsid w:val="003A12C6"/>
    <w:rsid w:val="003A1936"/>
    <w:rsid w:val="003A2501"/>
    <w:rsid w:val="003A2F14"/>
    <w:rsid w:val="003A3E1F"/>
    <w:rsid w:val="003A477C"/>
    <w:rsid w:val="003A4DB8"/>
    <w:rsid w:val="003A565F"/>
    <w:rsid w:val="003B1470"/>
    <w:rsid w:val="003B57AF"/>
    <w:rsid w:val="003B5E57"/>
    <w:rsid w:val="003B6BFB"/>
    <w:rsid w:val="003B6DB0"/>
    <w:rsid w:val="003C2F0C"/>
    <w:rsid w:val="003C4ABE"/>
    <w:rsid w:val="003C4FA2"/>
    <w:rsid w:val="003C5B1B"/>
    <w:rsid w:val="003C5EAC"/>
    <w:rsid w:val="003C7777"/>
    <w:rsid w:val="003D11A8"/>
    <w:rsid w:val="003D2612"/>
    <w:rsid w:val="003D37B5"/>
    <w:rsid w:val="003D568E"/>
    <w:rsid w:val="003E1379"/>
    <w:rsid w:val="003E582E"/>
    <w:rsid w:val="003F0AE8"/>
    <w:rsid w:val="003F22CE"/>
    <w:rsid w:val="003F2F8E"/>
    <w:rsid w:val="003F2FB9"/>
    <w:rsid w:val="003F3268"/>
    <w:rsid w:val="003F374E"/>
    <w:rsid w:val="003F3D34"/>
    <w:rsid w:val="003F49F0"/>
    <w:rsid w:val="003F604B"/>
    <w:rsid w:val="003F785D"/>
    <w:rsid w:val="00400EF4"/>
    <w:rsid w:val="004013D9"/>
    <w:rsid w:val="00401780"/>
    <w:rsid w:val="00403DE1"/>
    <w:rsid w:val="00403E2E"/>
    <w:rsid w:val="0040420E"/>
    <w:rsid w:val="00404550"/>
    <w:rsid w:val="00405B33"/>
    <w:rsid w:val="00405D48"/>
    <w:rsid w:val="00407F04"/>
    <w:rsid w:val="004112F7"/>
    <w:rsid w:val="004119C7"/>
    <w:rsid w:val="00412023"/>
    <w:rsid w:val="00413B7E"/>
    <w:rsid w:val="00413DA2"/>
    <w:rsid w:val="004144AC"/>
    <w:rsid w:val="004157AF"/>
    <w:rsid w:val="00420A4C"/>
    <w:rsid w:val="004271E3"/>
    <w:rsid w:val="00427545"/>
    <w:rsid w:val="00431B6C"/>
    <w:rsid w:val="00432BCF"/>
    <w:rsid w:val="00434F67"/>
    <w:rsid w:val="00435AEC"/>
    <w:rsid w:val="004361EB"/>
    <w:rsid w:val="0043707B"/>
    <w:rsid w:val="00440CD0"/>
    <w:rsid w:val="004413BD"/>
    <w:rsid w:val="0044226E"/>
    <w:rsid w:val="00442E81"/>
    <w:rsid w:val="00443704"/>
    <w:rsid w:val="00447E6A"/>
    <w:rsid w:val="00450222"/>
    <w:rsid w:val="004506CC"/>
    <w:rsid w:val="00453FFF"/>
    <w:rsid w:val="0045464A"/>
    <w:rsid w:val="004550DE"/>
    <w:rsid w:val="0045557D"/>
    <w:rsid w:val="0045558F"/>
    <w:rsid w:val="00455F44"/>
    <w:rsid w:val="00457AF7"/>
    <w:rsid w:val="00460383"/>
    <w:rsid w:val="00461AD6"/>
    <w:rsid w:val="0046330A"/>
    <w:rsid w:val="00463ACA"/>
    <w:rsid w:val="00463CB4"/>
    <w:rsid w:val="004642FE"/>
    <w:rsid w:val="00466E45"/>
    <w:rsid w:val="00470C69"/>
    <w:rsid w:val="004726C8"/>
    <w:rsid w:val="0047600F"/>
    <w:rsid w:val="00476AB1"/>
    <w:rsid w:val="00476ECA"/>
    <w:rsid w:val="00477202"/>
    <w:rsid w:val="00477B1A"/>
    <w:rsid w:val="004805DA"/>
    <w:rsid w:val="00483480"/>
    <w:rsid w:val="00484798"/>
    <w:rsid w:val="004860C3"/>
    <w:rsid w:val="004915AB"/>
    <w:rsid w:val="00492FA1"/>
    <w:rsid w:val="00497549"/>
    <w:rsid w:val="004A199F"/>
    <w:rsid w:val="004A24F0"/>
    <w:rsid w:val="004A2CB0"/>
    <w:rsid w:val="004A5E41"/>
    <w:rsid w:val="004C1E13"/>
    <w:rsid w:val="004C1E85"/>
    <w:rsid w:val="004C1F95"/>
    <w:rsid w:val="004C3D66"/>
    <w:rsid w:val="004C4DBA"/>
    <w:rsid w:val="004C5EAB"/>
    <w:rsid w:val="004C6150"/>
    <w:rsid w:val="004C6A6C"/>
    <w:rsid w:val="004C6C8B"/>
    <w:rsid w:val="004C6F0B"/>
    <w:rsid w:val="004C6F22"/>
    <w:rsid w:val="004C7623"/>
    <w:rsid w:val="004D0287"/>
    <w:rsid w:val="004D07DF"/>
    <w:rsid w:val="004D611F"/>
    <w:rsid w:val="004D7D51"/>
    <w:rsid w:val="004E392C"/>
    <w:rsid w:val="004E3F50"/>
    <w:rsid w:val="004E4AF3"/>
    <w:rsid w:val="004E4E01"/>
    <w:rsid w:val="004E58AB"/>
    <w:rsid w:val="004E6188"/>
    <w:rsid w:val="004E6DD2"/>
    <w:rsid w:val="004E6E76"/>
    <w:rsid w:val="004F0BBC"/>
    <w:rsid w:val="004F316C"/>
    <w:rsid w:val="004F4F24"/>
    <w:rsid w:val="004F5161"/>
    <w:rsid w:val="004F7128"/>
    <w:rsid w:val="00501DC6"/>
    <w:rsid w:val="00502239"/>
    <w:rsid w:val="00502CFD"/>
    <w:rsid w:val="00502FF2"/>
    <w:rsid w:val="00506149"/>
    <w:rsid w:val="00507FE8"/>
    <w:rsid w:val="00511345"/>
    <w:rsid w:val="00511895"/>
    <w:rsid w:val="00512D9D"/>
    <w:rsid w:val="00512F5C"/>
    <w:rsid w:val="00513E68"/>
    <w:rsid w:val="00515D0C"/>
    <w:rsid w:val="005164FD"/>
    <w:rsid w:val="00517586"/>
    <w:rsid w:val="00520554"/>
    <w:rsid w:val="00522024"/>
    <w:rsid w:val="0052251E"/>
    <w:rsid w:val="00525CC5"/>
    <w:rsid w:val="00526165"/>
    <w:rsid w:val="005278AA"/>
    <w:rsid w:val="0053012F"/>
    <w:rsid w:val="00530C19"/>
    <w:rsid w:val="00530D62"/>
    <w:rsid w:val="0053236E"/>
    <w:rsid w:val="005334EE"/>
    <w:rsid w:val="0053471D"/>
    <w:rsid w:val="00534E17"/>
    <w:rsid w:val="005358FA"/>
    <w:rsid w:val="00535C12"/>
    <w:rsid w:val="00542510"/>
    <w:rsid w:val="005430D6"/>
    <w:rsid w:val="00544833"/>
    <w:rsid w:val="0054652E"/>
    <w:rsid w:val="00546580"/>
    <w:rsid w:val="0054703C"/>
    <w:rsid w:val="00550D42"/>
    <w:rsid w:val="00550DC4"/>
    <w:rsid w:val="005514AF"/>
    <w:rsid w:val="00551B4A"/>
    <w:rsid w:val="00552394"/>
    <w:rsid w:val="005525C3"/>
    <w:rsid w:val="00552860"/>
    <w:rsid w:val="005529A4"/>
    <w:rsid w:val="00553115"/>
    <w:rsid w:val="00554AFE"/>
    <w:rsid w:val="00555D65"/>
    <w:rsid w:val="00557436"/>
    <w:rsid w:val="005627DD"/>
    <w:rsid w:val="0056374A"/>
    <w:rsid w:val="005639F5"/>
    <w:rsid w:val="00566375"/>
    <w:rsid w:val="00567F95"/>
    <w:rsid w:val="00571F59"/>
    <w:rsid w:val="00572476"/>
    <w:rsid w:val="00573B5F"/>
    <w:rsid w:val="00573C88"/>
    <w:rsid w:val="005759AF"/>
    <w:rsid w:val="0057679B"/>
    <w:rsid w:val="005770BB"/>
    <w:rsid w:val="00577886"/>
    <w:rsid w:val="00580841"/>
    <w:rsid w:val="00580AB2"/>
    <w:rsid w:val="00582092"/>
    <w:rsid w:val="005847E1"/>
    <w:rsid w:val="005849C6"/>
    <w:rsid w:val="005852C9"/>
    <w:rsid w:val="00585A68"/>
    <w:rsid w:val="005868C9"/>
    <w:rsid w:val="00586A03"/>
    <w:rsid w:val="00586B6F"/>
    <w:rsid w:val="00586E84"/>
    <w:rsid w:val="005877F6"/>
    <w:rsid w:val="00592F71"/>
    <w:rsid w:val="00592FF1"/>
    <w:rsid w:val="005956EC"/>
    <w:rsid w:val="005A0878"/>
    <w:rsid w:val="005A0CDB"/>
    <w:rsid w:val="005A1246"/>
    <w:rsid w:val="005A495B"/>
    <w:rsid w:val="005A56EA"/>
    <w:rsid w:val="005A61D7"/>
    <w:rsid w:val="005B0153"/>
    <w:rsid w:val="005B0417"/>
    <w:rsid w:val="005B7896"/>
    <w:rsid w:val="005C0FD4"/>
    <w:rsid w:val="005C1744"/>
    <w:rsid w:val="005C31E6"/>
    <w:rsid w:val="005C3479"/>
    <w:rsid w:val="005C4816"/>
    <w:rsid w:val="005C5854"/>
    <w:rsid w:val="005C5E8D"/>
    <w:rsid w:val="005D00AF"/>
    <w:rsid w:val="005D0641"/>
    <w:rsid w:val="005D1BB8"/>
    <w:rsid w:val="005D3E66"/>
    <w:rsid w:val="005D5118"/>
    <w:rsid w:val="005D5725"/>
    <w:rsid w:val="005D6B82"/>
    <w:rsid w:val="005D7D02"/>
    <w:rsid w:val="005E04C9"/>
    <w:rsid w:val="005E0A69"/>
    <w:rsid w:val="005E2B4F"/>
    <w:rsid w:val="005E38AC"/>
    <w:rsid w:val="005E3B58"/>
    <w:rsid w:val="005E3D1E"/>
    <w:rsid w:val="005E3F62"/>
    <w:rsid w:val="005E4232"/>
    <w:rsid w:val="005E5029"/>
    <w:rsid w:val="005E5068"/>
    <w:rsid w:val="005E58CC"/>
    <w:rsid w:val="005E6299"/>
    <w:rsid w:val="005E7B4F"/>
    <w:rsid w:val="005F18FA"/>
    <w:rsid w:val="005F24F1"/>
    <w:rsid w:val="005F35E4"/>
    <w:rsid w:val="005F46BB"/>
    <w:rsid w:val="005F4C92"/>
    <w:rsid w:val="005F5E49"/>
    <w:rsid w:val="00600CEF"/>
    <w:rsid w:val="00601094"/>
    <w:rsid w:val="00601B4B"/>
    <w:rsid w:val="00603813"/>
    <w:rsid w:val="00606EDF"/>
    <w:rsid w:val="00611178"/>
    <w:rsid w:val="006122E1"/>
    <w:rsid w:val="006128AC"/>
    <w:rsid w:val="00613F4D"/>
    <w:rsid w:val="0061542D"/>
    <w:rsid w:val="0061567A"/>
    <w:rsid w:val="00616597"/>
    <w:rsid w:val="00620715"/>
    <w:rsid w:val="00624187"/>
    <w:rsid w:val="00624ACA"/>
    <w:rsid w:val="006252AF"/>
    <w:rsid w:val="00626255"/>
    <w:rsid w:val="0063000A"/>
    <w:rsid w:val="006304CC"/>
    <w:rsid w:val="00631AA1"/>
    <w:rsid w:val="00631DEC"/>
    <w:rsid w:val="0063400A"/>
    <w:rsid w:val="00634CC2"/>
    <w:rsid w:val="00635435"/>
    <w:rsid w:val="00636109"/>
    <w:rsid w:val="00637F2B"/>
    <w:rsid w:val="0064176B"/>
    <w:rsid w:val="00641807"/>
    <w:rsid w:val="00641BBC"/>
    <w:rsid w:val="006429BC"/>
    <w:rsid w:val="00644A48"/>
    <w:rsid w:val="00646FBB"/>
    <w:rsid w:val="006476CE"/>
    <w:rsid w:val="006503D3"/>
    <w:rsid w:val="006526B7"/>
    <w:rsid w:val="00654CF6"/>
    <w:rsid w:val="00654E23"/>
    <w:rsid w:val="00655583"/>
    <w:rsid w:val="0065579F"/>
    <w:rsid w:val="00656945"/>
    <w:rsid w:val="00657C9E"/>
    <w:rsid w:val="00657CDC"/>
    <w:rsid w:val="00661BA3"/>
    <w:rsid w:val="0066223F"/>
    <w:rsid w:val="00663C55"/>
    <w:rsid w:val="0066710A"/>
    <w:rsid w:val="006713B7"/>
    <w:rsid w:val="0067163A"/>
    <w:rsid w:val="0067483E"/>
    <w:rsid w:val="006749D8"/>
    <w:rsid w:val="0067674F"/>
    <w:rsid w:val="00676AA0"/>
    <w:rsid w:val="00676B2B"/>
    <w:rsid w:val="006771E1"/>
    <w:rsid w:val="0067799C"/>
    <w:rsid w:val="00677F9B"/>
    <w:rsid w:val="006813A6"/>
    <w:rsid w:val="00681700"/>
    <w:rsid w:val="00687E44"/>
    <w:rsid w:val="00691E8C"/>
    <w:rsid w:val="00692195"/>
    <w:rsid w:val="006926CE"/>
    <w:rsid w:val="0069348F"/>
    <w:rsid w:val="006935CB"/>
    <w:rsid w:val="0069514B"/>
    <w:rsid w:val="00697D38"/>
    <w:rsid w:val="006A0450"/>
    <w:rsid w:val="006A0758"/>
    <w:rsid w:val="006A2D08"/>
    <w:rsid w:val="006A2FA2"/>
    <w:rsid w:val="006A4FBF"/>
    <w:rsid w:val="006A6A77"/>
    <w:rsid w:val="006A76FC"/>
    <w:rsid w:val="006B0C4A"/>
    <w:rsid w:val="006B10BA"/>
    <w:rsid w:val="006B21F9"/>
    <w:rsid w:val="006B3CF9"/>
    <w:rsid w:val="006B4C50"/>
    <w:rsid w:val="006B690E"/>
    <w:rsid w:val="006B70FF"/>
    <w:rsid w:val="006B7FF7"/>
    <w:rsid w:val="006C01BE"/>
    <w:rsid w:val="006C03EA"/>
    <w:rsid w:val="006C7231"/>
    <w:rsid w:val="006D0088"/>
    <w:rsid w:val="006D0379"/>
    <w:rsid w:val="006D0719"/>
    <w:rsid w:val="006D09F2"/>
    <w:rsid w:val="006D1409"/>
    <w:rsid w:val="006D3D8B"/>
    <w:rsid w:val="006E1B8C"/>
    <w:rsid w:val="006E25C2"/>
    <w:rsid w:val="006E7D40"/>
    <w:rsid w:val="006F0FCE"/>
    <w:rsid w:val="006F1273"/>
    <w:rsid w:val="006F164F"/>
    <w:rsid w:val="006F31BB"/>
    <w:rsid w:val="006F36D3"/>
    <w:rsid w:val="006F41E1"/>
    <w:rsid w:val="006F6030"/>
    <w:rsid w:val="006F62A0"/>
    <w:rsid w:val="006F75C1"/>
    <w:rsid w:val="006F75D1"/>
    <w:rsid w:val="006F7B4F"/>
    <w:rsid w:val="00702588"/>
    <w:rsid w:val="00703446"/>
    <w:rsid w:val="007045EC"/>
    <w:rsid w:val="00710AFC"/>
    <w:rsid w:val="007118A7"/>
    <w:rsid w:val="00711B4E"/>
    <w:rsid w:val="00711BF0"/>
    <w:rsid w:val="0071236C"/>
    <w:rsid w:val="007139E4"/>
    <w:rsid w:val="007177BB"/>
    <w:rsid w:val="00720E8A"/>
    <w:rsid w:val="007213DC"/>
    <w:rsid w:val="0072184F"/>
    <w:rsid w:val="007221B0"/>
    <w:rsid w:val="00723C04"/>
    <w:rsid w:val="007266CA"/>
    <w:rsid w:val="00726E96"/>
    <w:rsid w:val="00727891"/>
    <w:rsid w:val="007305AB"/>
    <w:rsid w:val="0073090C"/>
    <w:rsid w:val="00731C48"/>
    <w:rsid w:val="0073200D"/>
    <w:rsid w:val="00732750"/>
    <w:rsid w:val="007341A1"/>
    <w:rsid w:val="00735E4B"/>
    <w:rsid w:val="007364B5"/>
    <w:rsid w:val="00736F50"/>
    <w:rsid w:val="0074143E"/>
    <w:rsid w:val="007422E5"/>
    <w:rsid w:val="00742ACC"/>
    <w:rsid w:val="00743003"/>
    <w:rsid w:val="007458B4"/>
    <w:rsid w:val="00746717"/>
    <w:rsid w:val="007467DE"/>
    <w:rsid w:val="007503CF"/>
    <w:rsid w:val="00753361"/>
    <w:rsid w:val="007565EE"/>
    <w:rsid w:val="007571EB"/>
    <w:rsid w:val="007601D8"/>
    <w:rsid w:val="007631F5"/>
    <w:rsid w:val="007639EB"/>
    <w:rsid w:val="00764437"/>
    <w:rsid w:val="007644F0"/>
    <w:rsid w:val="00764ACE"/>
    <w:rsid w:val="00764D39"/>
    <w:rsid w:val="00764E53"/>
    <w:rsid w:val="00765983"/>
    <w:rsid w:val="00767F86"/>
    <w:rsid w:val="00772B9E"/>
    <w:rsid w:val="007731F2"/>
    <w:rsid w:val="00773816"/>
    <w:rsid w:val="00773D1C"/>
    <w:rsid w:val="00774A96"/>
    <w:rsid w:val="007752BE"/>
    <w:rsid w:val="00775C02"/>
    <w:rsid w:val="007763D4"/>
    <w:rsid w:val="00777BF5"/>
    <w:rsid w:val="0078097C"/>
    <w:rsid w:val="00781498"/>
    <w:rsid w:val="00784A5B"/>
    <w:rsid w:val="007872EA"/>
    <w:rsid w:val="0079007B"/>
    <w:rsid w:val="007903B1"/>
    <w:rsid w:val="00791CC9"/>
    <w:rsid w:val="00792B85"/>
    <w:rsid w:val="00792F8B"/>
    <w:rsid w:val="00793211"/>
    <w:rsid w:val="00794502"/>
    <w:rsid w:val="0079589E"/>
    <w:rsid w:val="00795DE4"/>
    <w:rsid w:val="00797D23"/>
    <w:rsid w:val="007A5697"/>
    <w:rsid w:val="007A6D30"/>
    <w:rsid w:val="007A7822"/>
    <w:rsid w:val="007B00C4"/>
    <w:rsid w:val="007B0587"/>
    <w:rsid w:val="007B0B0F"/>
    <w:rsid w:val="007B2825"/>
    <w:rsid w:val="007B389F"/>
    <w:rsid w:val="007B4D43"/>
    <w:rsid w:val="007B4D6A"/>
    <w:rsid w:val="007B598E"/>
    <w:rsid w:val="007B6685"/>
    <w:rsid w:val="007C0C37"/>
    <w:rsid w:val="007C1804"/>
    <w:rsid w:val="007C3478"/>
    <w:rsid w:val="007C5EC3"/>
    <w:rsid w:val="007C701D"/>
    <w:rsid w:val="007D13C6"/>
    <w:rsid w:val="007D23BF"/>
    <w:rsid w:val="007D24E4"/>
    <w:rsid w:val="007D3B46"/>
    <w:rsid w:val="007D60DB"/>
    <w:rsid w:val="007D615F"/>
    <w:rsid w:val="007E05FE"/>
    <w:rsid w:val="007E0C57"/>
    <w:rsid w:val="007E11B0"/>
    <w:rsid w:val="007E1BA9"/>
    <w:rsid w:val="007E20D4"/>
    <w:rsid w:val="007E2390"/>
    <w:rsid w:val="007E33C5"/>
    <w:rsid w:val="007E4D28"/>
    <w:rsid w:val="007E5512"/>
    <w:rsid w:val="007F0F4F"/>
    <w:rsid w:val="007F2DDE"/>
    <w:rsid w:val="007F403B"/>
    <w:rsid w:val="00800176"/>
    <w:rsid w:val="00800E36"/>
    <w:rsid w:val="00801136"/>
    <w:rsid w:val="00801882"/>
    <w:rsid w:val="00802408"/>
    <w:rsid w:val="00802BF6"/>
    <w:rsid w:val="008100C8"/>
    <w:rsid w:val="00811F5E"/>
    <w:rsid w:val="00813ACF"/>
    <w:rsid w:val="008147C8"/>
    <w:rsid w:val="00822199"/>
    <w:rsid w:val="0082320B"/>
    <w:rsid w:val="00825B11"/>
    <w:rsid w:val="0082761A"/>
    <w:rsid w:val="00830124"/>
    <w:rsid w:val="008303FB"/>
    <w:rsid w:val="00831067"/>
    <w:rsid w:val="00831A1E"/>
    <w:rsid w:val="00832600"/>
    <w:rsid w:val="00832C51"/>
    <w:rsid w:val="0083386A"/>
    <w:rsid w:val="00833882"/>
    <w:rsid w:val="00833C7A"/>
    <w:rsid w:val="00834FF3"/>
    <w:rsid w:val="00835672"/>
    <w:rsid w:val="00836244"/>
    <w:rsid w:val="008372B2"/>
    <w:rsid w:val="0084071A"/>
    <w:rsid w:val="0084216B"/>
    <w:rsid w:val="00842EDD"/>
    <w:rsid w:val="0084342C"/>
    <w:rsid w:val="00844D9B"/>
    <w:rsid w:val="00845109"/>
    <w:rsid w:val="008453C5"/>
    <w:rsid w:val="00846FB4"/>
    <w:rsid w:val="008504EA"/>
    <w:rsid w:val="008579A3"/>
    <w:rsid w:val="008608E6"/>
    <w:rsid w:val="00861FDD"/>
    <w:rsid w:val="0086227A"/>
    <w:rsid w:val="00865AFA"/>
    <w:rsid w:val="00866831"/>
    <w:rsid w:val="0086783C"/>
    <w:rsid w:val="00867CFE"/>
    <w:rsid w:val="008700E4"/>
    <w:rsid w:val="008707AC"/>
    <w:rsid w:val="00870D02"/>
    <w:rsid w:val="00870D28"/>
    <w:rsid w:val="00871391"/>
    <w:rsid w:val="00871B7A"/>
    <w:rsid w:val="00872E0F"/>
    <w:rsid w:val="008737FC"/>
    <w:rsid w:val="00874A8B"/>
    <w:rsid w:val="008756EE"/>
    <w:rsid w:val="008763EA"/>
    <w:rsid w:val="008773F3"/>
    <w:rsid w:val="008775F5"/>
    <w:rsid w:val="00880F39"/>
    <w:rsid w:val="00881BD6"/>
    <w:rsid w:val="00882499"/>
    <w:rsid w:val="00882726"/>
    <w:rsid w:val="00882AB7"/>
    <w:rsid w:val="0088575E"/>
    <w:rsid w:val="00885CAF"/>
    <w:rsid w:val="008922BB"/>
    <w:rsid w:val="00892ACF"/>
    <w:rsid w:val="0089353F"/>
    <w:rsid w:val="00896EAB"/>
    <w:rsid w:val="0089706A"/>
    <w:rsid w:val="008A0210"/>
    <w:rsid w:val="008A1A08"/>
    <w:rsid w:val="008A2A0A"/>
    <w:rsid w:val="008A3C15"/>
    <w:rsid w:val="008A53D0"/>
    <w:rsid w:val="008A62FC"/>
    <w:rsid w:val="008A68C5"/>
    <w:rsid w:val="008B0795"/>
    <w:rsid w:val="008B0C0F"/>
    <w:rsid w:val="008B2F18"/>
    <w:rsid w:val="008B30E9"/>
    <w:rsid w:val="008B4CAA"/>
    <w:rsid w:val="008B558C"/>
    <w:rsid w:val="008B6C7E"/>
    <w:rsid w:val="008B7A42"/>
    <w:rsid w:val="008C113C"/>
    <w:rsid w:val="008C1984"/>
    <w:rsid w:val="008C30C4"/>
    <w:rsid w:val="008C3218"/>
    <w:rsid w:val="008C36BC"/>
    <w:rsid w:val="008C3BF5"/>
    <w:rsid w:val="008C502A"/>
    <w:rsid w:val="008C6649"/>
    <w:rsid w:val="008D0BF3"/>
    <w:rsid w:val="008D2503"/>
    <w:rsid w:val="008D3D88"/>
    <w:rsid w:val="008D556A"/>
    <w:rsid w:val="008D74A4"/>
    <w:rsid w:val="008E17BA"/>
    <w:rsid w:val="008E411E"/>
    <w:rsid w:val="008E4653"/>
    <w:rsid w:val="008E6170"/>
    <w:rsid w:val="008E6BE3"/>
    <w:rsid w:val="008E7A24"/>
    <w:rsid w:val="008F1C48"/>
    <w:rsid w:val="008F37E5"/>
    <w:rsid w:val="008F4627"/>
    <w:rsid w:val="008F5326"/>
    <w:rsid w:val="008F5667"/>
    <w:rsid w:val="008F57E9"/>
    <w:rsid w:val="008F67CB"/>
    <w:rsid w:val="008F78DA"/>
    <w:rsid w:val="009003BF"/>
    <w:rsid w:val="0090324B"/>
    <w:rsid w:val="00907A41"/>
    <w:rsid w:val="009108B8"/>
    <w:rsid w:val="00910F76"/>
    <w:rsid w:val="00915A2F"/>
    <w:rsid w:val="00917E2A"/>
    <w:rsid w:val="0092097B"/>
    <w:rsid w:val="0092280C"/>
    <w:rsid w:val="00923223"/>
    <w:rsid w:val="009238FC"/>
    <w:rsid w:val="00927116"/>
    <w:rsid w:val="00927BA0"/>
    <w:rsid w:val="00927D79"/>
    <w:rsid w:val="00927E3C"/>
    <w:rsid w:val="009300DD"/>
    <w:rsid w:val="00930CF2"/>
    <w:rsid w:val="00930FF5"/>
    <w:rsid w:val="00931461"/>
    <w:rsid w:val="00931DEC"/>
    <w:rsid w:val="0093266C"/>
    <w:rsid w:val="0093485E"/>
    <w:rsid w:val="00935B11"/>
    <w:rsid w:val="009361D3"/>
    <w:rsid w:val="00936F46"/>
    <w:rsid w:val="0094375E"/>
    <w:rsid w:val="00953CE9"/>
    <w:rsid w:val="00954C60"/>
    <w:rsid w:val="00955A1E"/>
    <w:rsid w:val="00956004"/>
    <w:rsid w:val="00960ACF"/>
    <w:rsid w:val="00961017"/>
    <w:rsid w:val="00961335"/>
    <w:rsid w:val="009627DA"/>
    <w:rsid w:val="00964046"/>
    <w:rsid w:val="00964EE9"/>
    <w:rsid w:val="00965C05"/>
    <w:rsid w:val="009676CA"/>
    <w:rsid w:val="0096792B"/>
    <w:rsid w:val="009719E9"/>
    <w:rsid w:val="009723B1"/>
    <w:rsid w:val="00976721"/>
    <w:rsid w:val="00981166"/>
    <w:rsid w:val="00985AC0"/>
    <w:rsid w:val="009867A9"/>
    <w:rsid w:val="00987D75"/>
    <w:rsid w:val="009914FD"/>
    <w:rsid w:val="00991DED"/>
    <w:rsid w:val="00992892"/>
    <w:rsid w:val="00995208"/>
    <w:rsid w:val="009A0D30"/>
    <w:rsid w:val="009A38F7"/>
    <w:rsid w:val="009A5771"/>
    <w:rsid w:val="009A68A5"/>
    <w:rsid w:val="009B260F"/>
    <w:rsid w:val="009B4BC4"/>
    <w:rsid w:val="009B6F6E"/>
    <w:rsid w:val="009C052A"/>
    <w:rsid w:val="009C273F"/>
    <w:rsid w:val="009C2E52"/>
    <w:rsid w:val="009C4557"/>
    <w:rsid w:val="009C5742"/>
    <w:rsid w:val="009C6237"/>
    <w:rsid w:val="009C634D"/>
    <w:rsid w:val="009C66FB"/>
    <w:rsid w:val="009C756E"/>
    <w:rsid w:val="009D09B2"/>
    <w:rsid w:val="009D1894"/>
    <w:rsid w:val="009D3EB7"/>
    <w:rsid w:val="009D5C6C"/>
    <w:rsid w:val="009D7A62"/>
    <w:rsid w:val="009D7E3A"/>
    <w:rsid w:val="009E032A"/>
    <w:rsid w:val="009E0575"/>
    <w:rsid w:val="009E5803"/>
    <w:rsid w:val="009E5EE5"/>
    <w:rsid w:val="009E793F"/>
    <w:rsid w:val="009F005A"/>
    <w:rsid w:val="009F060E"/>
    <w:rsid w:val="009F4A60"/>
    <w:rsid w:val="009F62C3"/>
    <w:rsid w:val="00A009E1"/>
    <w:rsid w:val="00A03782"/>
    <w:rsid w:val="00A04CAD"/>
    <w:rsid w:val="00A05EBA"/>
    <w:rsid w:val="00A06538"/>
    <w:rsid w:val="00A131B5"/>
    <w:rsid w:val="00A13C48"/>
    <w:rsid w:val="00A149EC"/>
    <w:rsid w:val="00A15221"/>
    <w:rsid w:val="00A174BA"/>
    <w:rsid w:val="00A17910"/>
    <w:rsid w:val="00A17E00"/>
    <w:rsid w:val="00A17E2D"/>
    <w:rsid w:val="00A20D88"/>
    <w:rsid w:val="00A21FEB"/>
    <w:rsid w:val="00A23187"/>
    <w:rsid w:val="00A23AA3"/>
    <w:rsid w:val="00A23B5F"/>
    <w:rsid w:val="00A23F7E"/>
    <w:rsid w:val="00A24B8F"/>
    <w:rsid w:val="00A26C6A"/>
    <w:rsid w:val="00A31791"/>
    <w:rsid w:val="00A323C7"/>
    <w:rsid w:val="00A33A06"/>
    <w:rsid w:val="00A3443B"/>
    <w:rsid w:val="00A358EB"/>
    <w:rsid w:val="00A35C1A"/>
    <w:rsid w:val="00A35E8E"/>
    <w:rsid w:val="00A37343"/>
    <w:rsid w:val="00A42C5D"/>
    <w:rsid w:val="00A4388C"/>
    <w:rsid w:val="00A448BE"/>
    <w:rsid w:val="00A451A3"/>
    <w:rsid w:val="00A4567F"/>
    <w:rsid w:val="00A45DC2"/>
    <w:rsid w:val="00A45F50"/>
    <w:rsid w:val="00A46714"/>
    <w:rsid w:val="00A54843"/>
    <w:rsid w:val="00A54D2D"/>
    <w:rsid w:val="00A5593E"/>
    <w:rsid w:val="00A64CCC"/>
    <w:rsid w:val="00A64FA1"/>
    <w:rsid w:val="00A66CA9"/>
    <w:rsid w:val="00A70562"/>
    <w:rsid w:val="00A70DAE"/>
    <w:rsid w:val="00A71AF3"/>
    <w:rsid w:val="00A722F2"/>
    <w:rsid w:val="00A76434"/>
    <w:rsid w:val="00A8274F"/>
    <w:rsid w:val="00A84BA1"/>
    <w:rsid w:val="00A87993"/>
    <w:rsid w:val="00A9000A"/>
    <w:rsid w:val="00A9111A"/>
    <w:rsid w:val="00A9275C"/>
    <w:rsid w:val="00A93998"/>
    <w:rsid w:val="00A939FC"/>
    <w:rsid w:val="00A93E3B"/>
    <w:rsid w:val="00A94B75"/>
    <w:rsid w:val="00A96D7B"/>
    <w:rsid w:val="00AA0741"/>
    <w:rsid w:val="00AA0DFF"/>
    <w:rsid w:val="00AA48DB"/>
    <w:rsid w:val="00AA644F"/>
    <w:rsid w:val="00AA6BEF"/>
    <w:rsid w:val="00AA6D6C"/>
    <w:rsid w:val="00AA7036"/>
    <w:rsid w:val="00AA76E0"/>
    <w:rsid w:val="00AA7A0C"/>
    <w:rsid w:val="00AB1DD8"/>
    <w:rsid w:val="00AB461E"/>
    <w:rsid w:val="00AB4B93"/>
    <w:rsid w:val="00AB5817"/>
    <w:rsid w:val="00AB58C3"/>
    <w:rsid w:val="00AB7BC7"/>
    <w:rsid w:val="00AC0555"/>
    <w:rsid w:val="00AC3CE1"/>
    <w:rsid w:val="00AC4EB7"/>
    <w:rsid w:val="00AD13C0"/>
    <w:rsid w:val="00AD2779"/>
    <w:rsid w:val="00AD357C"/>
    <w:rsid w:val="00AD5827"/>
    <w:rsid w:val="00AD5D52"/>
    <w:rsid w:val="00AD6419"/>
    <w:rsid w:val="00AD664C"/>
    <w:rsid w:val="00AE1C40"/>
    <w:rsid w:val="00AE1CDC"/>
    <w:rsid w:val="00AE2C0C"/>
    <w:rsid w:val="00AE2CA9"/>
    <w:rsid w:val="00AE39BF"/>
    <w:rsid w:val="00AE4388"/>
    <w:rsid w:val="00AE4C19"/>
    <w:rsid w:val="00AF00AE"/>
    <w:rsid w:val="00AF2BD0"/>
    <w:rsid w:val="00AF4078"/>
    <w:rsid w:val="00AF4596"/>
    <w:rsid w:val="00AF62B4"/>
    <w:rsid w:val="00AF67FB"/>
    <w:rsid w:val="00AF6ABB"/>
    <w:rsid w:val="00B00269"/>
    <w:rsid w:val="00B002AA"/>
    <w:rsid w:val="00B04924"/>
    <w:rsid w:val="00B0516F"/>
    <w:rsid w:val="00B0648B"/>
    <w:rsid w:val="00B0788D"/>
    <w:rsid w:val="00B07FF4"/>
    <w:rsid w:val="00B128F3"/>
    <w:rsid w:val="00B12E42"/>
    <w:rsid w:val="00B14156"/>
    <w:rsid w:val="00B147A7"/>
    <w:rsid w:val="00B14835"/>
    <w:rsid w:val="00B15446"/>
    <w:rsid w:val="00B1744E"/>
    <w:rsid w:val="00B17468"/>
    <w:rsid w:val="00B174A4"/>
    <w:rsid w:val="00B208FC"/>
    <w:rsid w:val="00B21CD1"/>
    <w:rsid w:val="00B24B09"/>
    <w:rsid w:val="00B26556"/>
    <w:rsid w:val="00B26A86"/>
    <w:rsid w:val="00B3135E"/>
    <w:rsid w:val="00B31905"/>
    <w:rsid w:val="00B35724"/>
    <w:rsid w:val="00B35BA3"/>
    <w:rsid w:val="00B365D8"/>
    <w:rsid w:val="00B40276"/>
    <w:rsid w:val="00B40CB7"/>
    <w:rsid w:val="00B41B5C"/>
    <w:rsid w:val="00B41E08"/>
    <w:rsid w:val="00B43298"/>
    <w:rsid w:val="00B4362D"/>
    <w:rsid w:val="00B43F73"/>
    <w:rsid w:val="00B43FC7"/>
    <w:rsid w:val="00B45AEE"/>
    <w:rsid w:val="00B46B82"/>
    <w:rsid w:val="00B46C7A"/>
    <w:rsid w:val="00B52364"/>
    <w:rsid w:val="00B52690"/>
    <w:rsid w:val="00B52ABC"/>
    <w:rsid w:val="00B52BCB"/>
    <w:rsid w:val="00B53034"/>
    <w:rsid w:val="00B60C6E"/>
    <w:rsid w:val="00B62C19"/>
    <w:rsid w:val="00B62D0C"/>
    <w:rsid w:val="00B63F27"/>
    <w:rsid w:val="00B6430C"/>
    <w:rsid w:val="00B6458E"/>
    <w:rsid w:val="00B646E8"/>
    <w:rsid w:val="00B656C2"/>
    <w:rsid w:val="00B70D16"/>
    <w:rsid w:val="00B73B6F"/>
    <w:rsid w:val="00B7421B"/>
    <w:rsid w:val="00B74BB5"/>
    <w:rsid w:val="00B82FB3"/>
    <w:rsid w:val="00B83525"/>
    <w:rsid w:val="00B847F1"/>
    <w:rsid w:val="00B84AE4"/>
    <w:rsid w:val="00B852CF"/>
    <w:rsid w:val="00B85599"/>
    <w:rsid w:val="00B86BF1"/>
    <w:rsid w:val="00B871C6"/>
    <w:rsid w:val="00B872C8"/>
    <w:rsid w:val="00B908D5"/>
    <w:rsid w:val="00B95578"/>
    <w:rsid w:val="00B96B13"/>
    <w:rsid w:val="00BA051E"/>
    <w:rsid w:val="00BA26E3"/>
    <w:rsid w:val="00BA2FC6"/>
    <w:rsid w:val="00BA5931"/>
    <w:rsid w:val="00BA643D"/>
    <w:rsid w:val="00BA77B1"/>
    <w:rsid w:val="00BB5965"/>
    <w:rsid w:val="00BB6E73"/>
    <w:rsid w:val="00BB7B16"/>
    <w:rsid w:val="00BC038F"/>
    <w:rsid w:val="00BC0808"/>
    <w:rsid w:val="00BC157F"/>
    <w:rsid w:val="00BC15EF"/>
    <w:rsid w:val="00BC1FEC"/>
    <w:rsid w:val="00BC4002"/>
    <w:rsid w:val="00BC4039"/>
    <w:rsid w:val="00BC4788"/>
    <w:rsid w:val="00BC538B"/>
    <w:rsid w:val="00BD11A5"/>
    <w:rsid w:val="00BD1BFA"/>
    <w:rsid w:val="00BD239B"/>
    <w:rsid w:val="00BD25D4"/>
    <w:rsid w:val="00BD2CBA"/>
    <w:rsid w:val="00BD424B"/>
    <w:rsid w:val="00BD75C8"/>
    <w:rsid w:val="00BD7A67"/>
    <w:rsid w:val="00BE14FC"/>
    <w:rsid w:val="00BE16F9"/>
    <w:rsid w:val="00BE18B2"/>
    <w:rsid w:val="00BE1F3A"/>
    <w:rsid w:val="00BE23BE"/>
    <w:rsid w:val="00BE3415"/>
    <w:rsid w:val="00BE3452"/>
    <w:rsid w:val="00BE47A9"/>
    <w:rsid w:val="00BE646E"/>
    <w:rsid w:val="00BE73AA"/>
    <w:rsid w:val="00BF0506"/>
    <w:rsid w:val="00BF0E2E"/>
    <w:rsid w:val="00BF2DEB"/>
    <w:rsid w:val="00BF3BDE"/>
    <w:rsid w:val="00BF53AE"/>
    <w:rsid w:val="00BF58A6"/>
    <w:rsid w:val="00C0020E"/>
    <w:rsid w:val="00C00D89"/>
    <w:rsid w:val="00C00E3B"/>
    <w:rsid w:val="00C063BE"/>
    <w:rsid w:val="00C07CE5"/>
    <w:rsid w:val="00C13041"/>
    <w:rsid w:val="00C1483C"/>
    <w:rsid w:val="00C14F4D"/>
    <w:rsid w:val="00C16E3A"/>
    <w:rsid w:val="00C17EE9"/>
    <w:rsid w:val="00C20199"/>
    <w:rsid w:val="00C21472"/>
    <w:rsid w:val="00C22994"/>
    <w:rsid w:val="00C24ADB"/>
    <w:rsid w:val="00C24B7D"/>
    <w:rsid w:val="00C24DB2"/>
    <w:rsid w:val="00C25709"/>
    <w:rsid w:val="00C26254"/>
    <w:rsid w:val="00C33353"/>
    <w:rsid w:val="00C34E2D"/>
    <w:rsid w:val="00C368A2"/>
    <w:rsid w:val="00C42190"/>
    <w:rsid w:val="00C44F54"/>
    <w:rsid w:val="00C45F02"/>
    <w:rsid w:val="00C5138C"/>
    <w:rsid w:val="00C51FE2"/>
    <w:rsid w:val="00C52F0D"/>
    <w:rsid w:val="00C536D8"/>
    <w:rsid w:val="00C55E63"/>
    <w:rsid w:val="00C55F5D"/>
    <w:rsid w:val="00C60C03"/>
    <w:rsid w:val="00C61906"/>
    <w:rsid w:val="00C65A0F"/>
    <w:rsid w:val="00C66416"/>
    <w:rsid w:val="00C6720B"/>
    <w:rsid w:val="00C72249"/>
    <w:rsid w:val="00C741B1"/>
    <w:rsid w:val="00C74F5D"/>
    <w:rsid w:val="00C777EC"/>
    <w:rsid w:val="00C7784E"/>
    <w:rsid w:val="00C80836"/>
    <w:rsid w:val="00C808F4"/>
    <w:rsid w:val="00C85FB7"/>
    <w:rsid w:val="00C86EF1"/>
    <w:rsid w:val="00C87051"/>
    <w:rsid w:val="00C965FC"/>
    <w:rsid w:val="00CA0A36"/>
    <w:rsid w:val="00CA0C53"/>
    <w:rsid w:val="00CA0CA0"/>
    <w:rsid w:val="00CA0EE4"/>
    <w:rsid w:val="00CA138A"/>
    <w:rsid w:val="00CA17E5"/>
    <w:rsid w:val="00CA18E3"/>
    <w:rsid w:val="00CA2B62"/>
    <w:rsid w:val="00CA3030"/>
    <w:rsid w:val="00CA3CD3"/>
    <w:rsid w:val="00CA5876"/>
    <w:rsid w:val="00CA79B8"/>
    <w:rsid w:val="00CB0495"/>
    <w:rsid w:val="00CB0644"/>
    <w:rsid w:val="00CB0CCF"/>
    <w:rsid w:val="00CB3E3D"/>
    <w:rsid w:val="00CB5B3C"/>
    <w:rsid w:val="00CC31CD"/>
    <w:rsid w:val="00CC3CBE"/>
    <w:rsid w:val="00CC3FAB"/>
    <w:rsid w:val="00CC4D44"/>
    <w:rsid w:val="00CD062C"/>
    <w:rsid w:val="00CD15B3"/>
    <w:rsid w:val="00CD2834"/>
    <w:rsid w:val="00CD32CD"/>
    <w:rsid w:val="00CD345C"/>
    <w:rsid w:val="00CD76FF"/>
    <w:rsid w:val="00CE03A7"/>
    <w:rsid w:val="00CE49BC"/>
    <w:rsid w:val="00CE4A9A"/>
    <w:rsid w:val="00CE64EF"/>
    <w:rsid w:val="00CF07A6"/>
    <w:rsid w:val="00CF0B66"/>
    <w:rsid w:val="00CF0FFE"/>
    <w:rsid w:val="00CF52B0"/>
    <w:rsid w:val="00CF586B"/>
    <w:rsid w:val="00CF7CF7"/>
    <w:rsid w:val="00D03886"/>
    <w:rsid w:val="00D03CFA"/>
    <w:rsid w:val="00D04600"/>
    <w:rsid w:val="00D046FD"/>
    <w:rsid w:val="00D0710E"/>
    <w:rsid w:val="00D1163E"/>
    <w:rsid w:val="00D13DFA"/>
    <w:rsid w:val="00D14BB3"/>
    <w:rsid w:val="00D15918"/>
    <w:rsid w:val="00D1596B"/>
    <w:rsid w:val="00D23B2E"/>
    <w:rsid w:val="00D250CE"/>
    <w:rsid w:val="00D27127"/>
    <w:rsid w:val="00D328DA"/>
    <w:rsid w:val="00D33ED6"/>
    <w:rsid w:val="00D34304"/>
    <w:rsid w:val="00D34579"/>
    <w:rsid w:val="00D34782"/>
    <w:rsid w:val="00D351D3"/>
    <w:rsid w:val="00D35870"/>
    <w:rsid w:val="00D36535"/>
    <w:rsid w:val="00D40353"/>
    <w:rsid w:val="00D409D4"/>
    <w:rsid w:val="00D419D7"/>
    <w:rsid w:val="00D4423F"/>
    <w:rsid w:val="00D459D7"/>
    <w:rsid w:val="00D4737E"/>
    <w:rsid w:val="00D473B7"/>
    <w:rsid w:val="00D47A8B"/>
    <w:rsid w:val="00D47EFF"/>
    <w:rsid w:val="00D5050A"/>
    <w:rsid w:val="00D510F6"/>
    <w:rsid w:val="00D52F4C"/>
    <w:rsid w:val="00D53374"/>
    <w:rsid w:val="00D534EF"/>
    <w:rsid w:val="00D55ABD"/>
    <w:rsid w:val="00D613DA"/>
    <w:rsid w:val="00D629B4"/>
    <w:rsid w:val="00D62A76"/>
    <w:rsid w:val="00D6475D"/>
    <w:rsid w:val="00D65CE2"/>
    <w:rsid w:val="00D674CF"/>
    <w:rsid w:val="00D6771B"/>
    <w:rsid w:val="00D67AB8"/>
    <w:rsid w:val="00D72480"/>
    <w:rsid w:val="00D7295D"/>
    <w:rsid w:val="00D73DB4"/>
    <w:rsid w:val="00D73DD0"/>
    <w:rsid w:val="00D76010"/>
    <w:rsid w:val="00D80A92"/>
    <w:rsid w:val="00D80DD9"/>
    <w:rsid w:val="00D8210F"/>
    <w:rsid w:val="00D8559F"/>
    <w:rsid w:val="00D90327"/>
    <w:rsid w:val="00D90426"/>
    <w:rsid w:val="00D922E2"/>
    <w:rsid w:val="00D92CBB"/>
    <w:rsid w:val="00D94AEE"/>
    <w:rsid w:val="00D95BAC"/>
    <w:rsid w:val="00D96A6F"/>
    <w:rsid w:val="00D97D9D"/>
    <w:rsid w:val="00DA1E4A"/>
    <w:rsid w:val="00DA3937"/>
    <w:rsid w:val="00DA41C2"/>
    <w:rsid w:val="00DA4E4E"/>
    <w:rsid w:val="00DA79FF"/>
    <w:rsid w:val="00DB02DB"/>
    <w:rsid w:val="00DB1E2B"/>
    <w:rsid w:val="00DB2E4F"/>
    <w:rsid w:val="00DB408A"/>
    <w:rsid w:val="00DB5887"/>
    <w:rsid w:val="00DB724D"/>
    <w:rsid w:val="00DC360B"/>
    <w:rsid w:val="00DC3B3F"/>
    <w:rsid w:val="00DC426A"/>
    <w:rsid w:val="00DD1B9E"/>
    <w:rsid w:val="00DD3430"/>
    <w:rsid w:val="00DD4DEB"/>
    <w:rsid w:val="00DD5BAF"/>
    <w:rsid w:val="00DD5D0F"/>
    <w:rsid w:val="00DD7056"/>
    <w:rsid w:val="00DD763F"/>
    <w:rsid w:val="00DD7900"/>
    <w:rsid w:val="00DE1257"/>
    <w:rsid w:val="00DE1CA0"/>
    <w:rsid w:val="00DE3FD8"/>
    <w:rsid w:val="00DE4A8D"/>
    <w:rsid w:val="00DE7B06"/>
    <w:rsid w:val="00DE7E64"/>
    <w:rsid w:val="00DF05DB"/>
    <w:rsid w:val="00DF1D11"/>
    <w:rsid w:val="00DF2164"/>
    <w:rsid w:val="00E00F42"/>
    <w:rsid w:val="00E014A6"/>
    <w:rsid w:val="00E02CEA"/>
    <w:rsid w:val="00E0387F"/>
    <w:rsid w:val="00E04D4B"/>
    <w:rsid w:val="00E06AB9"/>
    <w:rsid w:val="00E070B5"/>
    <w:rsid w:val="00E11E38"/>
    <w:rsid w:val="00E12A33"/>
    <w:rsid w:val="00E13411"/>
    <w:rsid w:val="00E1366E"/>
    <w:rsid w:val="00E13CF7"/>
    <w:rsid w:val="00E17DAE"/>
    <w:rsid w:val="00E219AA"/>
    <w:rsid w:val="00E23E63"/>
    <w:rsid w:val="00E24BEA"/>
    <w:rsid w:val="00E25853"/>
    <w:rsid w:val="00E26533"/>
    <w:rsid w:val="00E26D41"/>
    <w:rsid w:val="00E303F7"/>
    <w:rsid w:val="00E30714"/>
    <w:rsid w:val="00E320A6"/>
    <w:rsid w:val="00E32B6F"/>
    <w:rsid w:val="00E334F0"/>
    <w:rsid w:val="00E35680"/>
    <w:rsid w:val="00E369B3"/>
    <w:rsid w:val="00E374F0"/>
    <w:rsid w:val="00E41763"/>
    <w:rsid w:val="00E41B1C"/>
    <w:rsid w:val="00E503A3"/>
    <w:rsid w:val="00E53B1C"/>
    <w:rsid w:val="00E54BF6"/>
    <w:rsid w:val="00E56503"/>
    <w:rsid w:val="00E579FD"/>
    <w:rsid w:val="00E607AB"/>
    <w:rsid w:val="00E607E2"/>
    <w:rsid w:val="00E6082B"/>
    <w:rsid w:val="00E61798"/>
    <w:rsid w:val="00E63D31"/>
    <w:rsid w:val="00E642DB"/>
    <w:rsid w:val="00E658BE"/>
    <w:rsid w:val="00E66B9E"/>
    <w:rsid w:val="00E7091A"/>
    <w:rsid w:val="00E7122E"/>
    <w:rsid w:val="00E71259"/>
    <w:rsid w:val="00E72BDB"/>
    <w:rsid w:val="00E82156"/>
    <w:rsid w:val="00E85579"/>
    <w:rsid w:val="00E8630F"/>
    <w:rsid w:val="00E870B5"/>
    <w:rsid w:val="00E871F1"/>
    <w:rsid w:val="00E876F5"/>
    <w:rsid w:val="00E909B3"/>
    <w:rsid w:val="00E94AE3"/>
    <w:rsid w:val="00E95FA5"/>
    <w:rsid w:val="00E968CF"/>
    <w:rsid w:val="00EA12B4"/>
    <w:rsid w:val="00EA152B"/>
    <w:rsid w:val="00EA3DFF"/>
    <w:rsid w:val="00EA6AB7"/>
    <w:rsid w:val="00EB09D4"/>
    <w:rsid w:val="00EB226C"/>
    <w:rsid w:val="00EB2802"/>
    <w:rsid w:val="00EB4048"/>
    <w:rsid w:val="00EB45F2"/>
    <w:rsid w:val="00EB5814"/>
    <w:rsid w:val="00EB5CC7"/>
    <w:rsid w:val="00EB6B3F"/>
    <w:rsid w:val="00EB77BA"/>
    <w:rsid w:val="00EB7F9C"/>
    <w:rsid w:val="00EC00DB"/>
    <w:rsid w:val="00EC0994"/>
    <w:rsid w:val="00EC0BBD"/>
    <w:rsid w:val="00EC1319"/>
    <w:rsid w:val="00EC157A"/>
    <w:rsid w:val="00EC276B"/>
    <w:rsid w:val="00EC2ACC"/>
    <w:rsid w:val="00EC40BC"/>
    <w:rsid w:val="00EC5FAB"/>
    <w:rsid w:val="00EC6044"/>
    <w:rsid w:val="00EC68FF"/>
    <w:rsid w:val="00EC6982"/>
    <w:rsid w:val="00ED016E"/>
    <w:rsid w:val="00ED05F1"/>
    <w:rsid w:val="00ED113C"/>
    <w:rsid w:val="00ED14D0"/>
    <w:rsid w:val="00ED2A85"/>
    <w:rsid w:val="00ED3AAA"/>
    <w:rsid w:val="00ED72D9"/>
    <w:rsid w:val="00ED7533"/>
    <w:rsid w:val="00EE2DFB"/>
    <w:rsid w:val="00EE59C9"/>
    <w:rsid w:val="00EE5C32"/>
    <w:rsid w:val="00EE78B2"/>
    <w:rsid w:val="00EF3E00"/>
    <w:rsid w:val="00EF4558"/>
    <w:rsid w:val="00EF52AB"/>
    <w:rsid w:val="00EF725F"/>
    <w:rsid w:val="00F00286"/>
    <w:rsid w:val="00F006BA"/>
    <w:rsid w:val="00F02E6E"/>
    <w:rsid w:val="00F03651"/>
    <w:rsid w:val="00F060AA"/>
    <w:rsid w:val="00F06B84"/>
    <w:rsid w:val="00F10C97"/>
    <w:rsid w:val="00F12552"/>
    <w:rsid w:val="00F135DB"/>
    <w:rsid w:val="00F137C2"/>
    <w:rsid w:val="00F144BB"/>
    <w:rsid w:val="00F15B03"/>
    <w:rsid w:val="00F163AE"/>
    <w:rsid w:val="00F207DB"/>
    <w:rsid w:val="00F20F9C"/>
    <w:rsid w:val="00F23C2B"/>
    <w:rsid w:val="00F23DC8"/>
    <w:rsid w:val="00F23F72"/>
    <w:rsid w:val="00F300F7"/>
    <w:rsid w:val="00F305D6"/>
    <w:rsid w:val="00F305F9"/>
    <w:rsid w:val="00F3169A"/>
    <w:rsid w:val="00F31E88"/>
    <w:rsid w:val="00F32515"/>
    <w:rsid w:val="00F36590"/>
    <w:rsid w:val="00F40086"/>
    <w:rsid w:val="00F40680"/>
    <w:rsid w:val="00F40AD4"/>
    <w:rsid w:val="00F41C6E"/>
    <w:rsid w:val="00F429BE"/>
    <w:rsid w:val="00F42EFA"/>
    <w:rsid w:val="00F4340B"/>
    <w:rsid w:val="00F44E1D"/>
    <w:rsid w:val="00F45A1A"/>
    <w:rsid w:val="00F50BA2"/>
    <w:rsid w:val="00F50C4A"/>
    <w:rsid w:val="00F52175"/>
    <w:rsid w:val="00F52A69"/>
    <w:rsid w:val="00F531BF"/>
    <w:rsid w:val="00F56683"/>
    <w:rsid w:val="00F57129"/>
    <w:rsid w:val="00F602A9"/>
    <w:rsid w:val="00F60E76"/>
    <w:rsid w:val="00F61749"/>
    <w:rsid w:val="00F63A11"/>
    <w:rsid w:val="00F679E0"/>
    <w:rsid w:val="00F72186"/>
    <w:rsid w:val="00F7393B"/>
    <w:rsid w:val="00F73A04"/>
    <w:rsid w:val="00F757A6"/>
    <w:rsid w:val="00F769DA"/>
    <w:rsid w:val="00F773C9"/>
    <w:rsid w:val="00F84879"/>
    <w:rsid w:val="00F86037"/>
    <w:rsid w:val="00F8613C"/>
    <w:rsid w:val="00F90B71"/>
    <w:rsid w:val="00F925CB"/>
    <w:rsid w:val="00F92C0F"/>
    <w:rsid w:val="00F92FA8"/>
    <w:rsid w:val="00F93B98"/>
    <w:rsid w:val="00F94557"/>
    <w:rsid w:val="00F96C3C"/>
    <w:rsid w:val="00FA088D"/>
    <w:rsid w:val="00FA0D6C"/>
    <w:rsid w:val="00FA138F"/>
    <w:rsid w:val="00FA13CB"/>
    <w:rsid w:val="00FA180A"/>
    <w:rsid w:val="00FA4A36"/>
    <w:rsid w:val="00FA56EA"/>
    <w:rsid w:val="00FA6257"/>
    <w:rsid w:val="00FA62AE"/>
    <w:rsid w:val="00FA63F1"/>
    <w:rsid w:val="00FA65FB"/>
    <w:rsid w:val="00FB0B5A"/>
    <w:rsid w:val="00FB1C45"/>
    <w:rsid w:val="00FB1D95"/>
    <w:rsid w:val="00FB2707"/>
    <w:rsid w:val="00FB2BDA"/>
    <w:rsid w:val="00FB2C77"/>
    <w:rsid w:val="00FB3057"/>
    <w:rsid w:val="00FB30DF"/>
    <w:rsid w:val="00FB3502"/>
    <w:rsid w:val="00FB433B"/>
    <w:rsid w:val="00FC0121"/>
    <w:rsid w:val="00FC1F29"/>
    <w:rsid w:val="00FC36B9"/>
    <w:rsid w:val="00FC3C0D"/>
    <w:rsid w:val="00FC4D67"/>
    <w:rsid w:val="00FC4F35"/>
    <w:rsid w:val="00FC6B88"/>
    <w:rsid w:val="00FD6875"/>
    <w:rsid w:val="00FE0272"/>
    <w:rsid w:val="00FE04CE"/>
    <w:rsid w:val="00FE152C"/>
    <w:rsid w:val="00FE2D29"/>
    <w:rsid w:val="00FE3CC9"/>
    <w:rsid w:val="00FE4057"/>
    <w:rsid w:val="00FE42F7"/>
    <w:rsid w:val="00FE5193"/>
    <w:rsid w:val="00FE675C"/>
    <w:rsid w:val="00FF04AB"/>
    <w:rsid w:val="00FF0DB2"/>
    <w:rsid w:val="00FF2F69"/>
    <w:rsid w:val="00FF617C"/>
    <w:rsid w:val="01214A1E"/>
    <w:rsid w:val="012F3F7C"/>
    <w:rsid w:val="014D0B1B"/>
    <w:rsid w:val="014F1B49"/>
    <w:rsid w:val="01526ABB"/>
    <w:rsid w:val="0158318B"/>
    <w:rsid w:val="01610327"/>
    <w:rsid w:val="0161201C"/>
    <w:rsid w:val="01674AD8"/>
    <w:rsid w:val="01751CE0"/>
    <w:rsid w:val="017B15F7"/>
    <w:rsid w:val="017D765D"/>
    <w:rsid w:val="01944B97"/>
    <w:rsid w:val="019B2A51"/>
    <w:rsid w:val="01A56261"/>
    <w:rsid w:val="01BB069A"/>
    <w:rsid w:val="01C0753F"/>
    <w:rsid w:val="01D71DBA"/>
    <w:rsid w:val="01DB6127"/>
    <w:rsid w:val="01DD029F"/>
    <w:rsid w:val="01EE6DBE"/>
    <w:rsid w:val="020E7F3F"/>
    <w:rsid w:val="021A6004"/>
    <w:rsid w:val="022E08B9"/>
    <w:rsid w:val="0238311C"/>
    <w:rsid w:val="023A07E4"/>
    <w:rsid w:val="02516244"/>
    <w:rsid w:val="025608A7"/>
    <w:rsid w:val="025D291A"/>
    <w:rsid w:val="02601852"/>
    <w:rsid w:val="02690B82"/>
    <w:rsid w:val="026B36AE"/>
    <w:rsid w:val="02711414"/>
    <w:rsid w:val="027202B1"/>
    <w:rsid w:val="02721F48"/>
    <w:rsid w:val="02805163"/>
    <w:rsid w:val="02815E8D"/>
    <w:rsid w:val="02964B6A"/>
    <w:rsid w:val="02B82E4C"/>
    <w:rsid w:val="02E41BF4"/>
    <w:rsid w:val="02EB6DDD"/>
    <w:rsid w:val="02F07CB0"/>
    <w:rsid w:val="030105A0"/>
    <w:rsid w:val="030D75EF"/>
    <w:rsid w:val="031168BC"/>
    <w:rsid w:val="03143E06"/>
    <w:rsid w:val="031E451D"/>
    <w:rsid w:val="032D26C5"/>
    <w:rsid w:val="033A0B8B"/>
    <w:rsid w:val="03426C59"/>
    <w:rsid w:val="03433AF1"/>
    <w:rsid w:val="03501AE4"/>
    <w:rsid w:val="0360013E"/>
    <w:rsid w:val="036208AE"/>
    <w:rsid w:val="036D00A2"/>
    <w:rsid w:val="036F588B"/>
    <w:rsid w:val="03716722"/>
    <w:rsid w:val="037C5792"/>
    <w:rsid w:val="03803FCB"/>
    <w:rsid w:val="039B623A"/>
    <w:rsid w:val="03A8028B"/>
    <w:rsid w:val="03B1713F"/>
    <w:rsid w:val="03B44AA5"/>
    <w:rsid w:val="03C33A72"/>
    <w:rsid w:val="03C94F45"/>
    <w:rsid w:val="040020A7"/>
    <w:rsid w:val="040D00EE"/>
    <w:rsid w:val="04155920"/>
    <w:rsid w:val="043D21F8"/>
    <w:rsid w:val="04473247"/>
    <w:rsid w:val="044D2B93"/>
    <w:rsid w:val="044E3239"/>
    <w:rsid w:val="044E5014"/>
    <w:rsid w:val="04635904"/>
    <w:rsid w:val="04650D32"/>
    <w:rsid w:val="0468555E"/>
    <w:rsid w:val="04833676"/>
    <w:rsid w:val="04930DBB"/>
    <w:rsid w:val="049F3500"/>
    <w:rsid w:val="04A2371F"/>
    <w:rsid w:val="04A26A62"/>
    <w:rsid w:val="04A53BA4"/>
    <w:rsid w:val="04AA1834"/>
    <w:rsid w:val="04BB5826"/>
    <w:rsid w:val="04BC5D9C"/>
    <w:rsid w:val="04D17C83"/>
    <w:rsid w:val="04E374DE"/>
    <w:rsid w:val="04FF00EB"/>
    <w:rsid w:val="0501459E"/>
    <w:rsid w:val="050F4EDE"/>
    <w:rsid w:val="05175FCF"/>
    <w:rsid w:val="051D3FFE"/>
    <w:rsid w:val="052263A0"/>
    <w:rsid w:val="05253812"/>
    <w:rsid w:val="0533099F"/>
    <w:rsid w:val="054E23E8"/>
    <w:rsid w:val="05524952"/>
    <w:rsid w:val="05586075"/>
    <w:rsid w:val="058916A3"/>
    <w:rsid w:val="058E5789"/>
    <w:rsid w:val="059C5E7A"/>
    <w:rsid w:val="059F3F35"/>
    <w:rsid w:val="05A01219"/>
    <w:rsid w:val="05A24237"/>
    <w:rsid w:val="05A93EDA"/>
    <w:rsid w:val="05AA0706"/>
    <w:rsid w:val="05AB2DB2"/>
    <w:rsid w:val="05AE4CA8"/>
    <w:rsid w:val="05B431A7"/>
    <w:rsid w:val="05C127AF"/>
    <w:rsid w:val="05C342DE"/>
    <w:rsid w:val="05D56659"/>
    <w:rsid w:val="05DE4CD6"/>
    <w:rsid w:val="05E535CA"/>
    <w:rsid w:val="05E55267"/>
    <w:rsid w:val="05EB76F4"/>
    <w:rsid w:val="05EC4B85"/>
    <w:rsid w:val="05F56B6A"/>
    <w:rsid w:val="05F7106C"/>
    <w:rsid w:val="06027766"/>
    <w:rsid w:val="060F2C6D"/>
    <w:rsid w:val="06302DAA"/>
    <w:rsid w:val="06305727"/>
    <w:rsid w:val="06322461"/>
    <w:rsid w:val="063F5F20"/>
    <w:rsid w:val="06526B6D"/>
    <w:rsid w:val="06647C6C"/>
    <w:rsid w:val="06665E33"/>
    <w:rsid w:val="067B2FA9"/>
    <w:rsid w:val="068176F6"/>
    <w:rsid w:val="068E5E09"/>
    <w:rsid w:val="06936D88"/>
    <w:rsid w:val="069B5E85"/>
    <w:rsid w:val="06A31CA0"/>
    <w:rsid w:val="06A44898"/>
    <w:rsid w:val="06A64975"/>
    <w:rsid w:val="06AA4A28"/>
    <w:rsid w:val="06AD3CDC"/>
    <w:rsid w:val="06D31947"/>
    <w:rsid w:val="06D92562"/>
    <w:rsid w:val="06E760D7"/>
    <w:rsid w:val="06EA54F3"/>
    <w:rsid w:val="06F650AE"/>
    <w:rsid w:val="06F914EA"/>
    <w:rsid w:val="07075B45"/>
    <w:rsid w:val="070A76BD"/>
    <w:rsid w:val="072E5643"/>
    <w:rsid w:val="07300CC3"/>
    <w:rsid w:val="073D7196"/>
    <w:rsid w:val="07416BAE"/>
    <w:rsid w:val="074340EC"/>
    <w:rsid w:val="07504429"/>
    <w:rsid w:val="07612720"/>
    <w:rsid w:val="076D4D30"/>
    <w:rsid w:val="0772363D"/>
    <w:rsid w:val="0777244E"/>
    <w:rsid w:val="07792B42"/>
    <w:rsid w:val="077E3D0B"/>
    <w:rsid w:val="078C511B"/>
    <w:rsid w:val="078C53F5"/>
    <w:rsid w:val="078D2D8A"/>
    <w:rsid w:val="079923C4"/>
    <w:rsid w:val="07996868"/>
    <w:rsid w:val="07AC65D8"/>
    <w:rsid w:val="07AF2FE0"/>
    <w:rsid w:val="07B727B5"/>
    <w:rsid w:val="07B92A66"/>
    <w:rsid w:val="07BE2A34"/>
    <w:rsid w:val="07C172BE"/>
    <w:rsid w:val="07D25335"/>
    <w:rsid w:val="07D43E3E"/>
    <w:rsid w:val="07DA124D"/>
    <w:rsid w:val="07DE782C"/>
    <w:rsid w:val="07DF1893"/>
    <w:rsid w:val="07E53F70"/>
    <w:rsid w:val="07F03CBF"/>
    <w:rsid w:val="07F42B67"/>
    <w:rsid w:val="07F61F13"/>
    <w:rsid w:val="08016B07"/>
    <w:rsid w:val="08064DBA"/>
    <w:rsid w:val="080D0CE3"/>
    <w:rsid w:val="083A1AF5"/>
    <w:rsid w:val="083D3D11"/>
    <w:rsid w:val="08447D35"/>
    <w:rsid w:val="086626CB"/>
    <w:rsid w:val="087370B9"/>
    <w:rsid w:val="08790814"/>
    <w:rsid w:val="087B41C0"/>
    <w:rsid w:val="08817F9A"/>
    <w:rsid w:val="08830107"/>
    <w:rsid w:val="08933F38"/>
    <w:rsid w:val="08935065"/>
    <w:rsid w:val="089E56D2"/>
    <w:rsid w:val="08AB4E3F"/>
    <w:rsid w:val="08B338AC"/>
    <w:rsid w:val="08B43F37"/>
    <w:rsid w:val="08B472FE"/>
    <w:rsid w:val="08B614BD"/>
    <w:rsid w:val="08B937A7"/>
    <w:rsid w:val="08BB0F23"/>
    <w:rsid w:val="08CD671D"/>
    <w:rsid w:val="08D5688C"/>
    <w:rsid w:val="08D66EA5"/>
    <w:rsid w:val="08D83875"/>
    <w:rsid w:val="08E078B0"/>
    <w:rsid w:val="08EF118D"/>
    <w:rsid w:val="08F56067"/>
    <w:rsid w:val="08F56798"/>
    <w:rsid w:val="08F657D2"/>
    <w:rsid w:val="09012917"/>
    <w:rsid w:val="09072AF5"/>
    <w:rsid w:val="090D78C9"/>
    <w:rsid w:val="09101FB3"/>
    <w:rsid w:val="09192CB9"/>
    <w:rsid w:val="092103E2"/>
    <w:rsid w:val="09296C06"/>
    <w:rsid w:val="093522CB"/>
    <w:rsid w:val="093E1EFF"/>
    <w:rsid w:val="093E592B"/>
    <w:rsid w:val="09443C71"/>
    <w:rsid w:val="0946032A"/>
    <w:rsid w:val="095A5813"/>
    <w:rsid w:val="0972155C"/>
    <w:rsid w:val="097D234D"/>
    <w:rsid w:val="0991369C"/>
    <w:rsid w:val="09A858BF"/>
    <w:rsid w:val="09F31262"/>
    <w:rsid w:val="09F8752F"/>
    <w:rsid w:val="0A037C2D"/>
    <w:rsid w:val="0A0D439F"/>
    <w:rsid w:val="0A0E459B"/>
    <w:rsid w:val="0A0F0D09"/>
    <w:rsid w:val="0A1D4600"/>
    <w:rsid w:val="0A1F68B2"/>
    <w:rsid w:val="0A210F95"/>
    <w:rsid w:val="0A255506"/>
    <w:rsid w:val="0A275C51"/>
    <w:rsid w:val="0A2836E0"/>
    <w:rsid w:val="0A29194C"/>
    <w:rsid w:val="0A2C39C3"/>
    <w:rsid w:val="0A36214C"/>
    <w:rsid w:val="0A4D7977"/>
    <w:rsid w:val="0A593073"/>
    <w:rsid w:val="0A5F62E5"/>
    <w:rsid w:val="0A8E5529"/>
    <w:rsid w:val="0A934F20"/>
    <w:rsid w:val="0AA0734E"/>
    <w:rsid w:val="0AB44EF5"/>
    <w:rsid w:val="0AB85201"/>
    <w:rsid w:val="0AC159A6"/>
    <w:rsid w:val="0AD572BC"/>
    <w:rsid w:val="0AE34BB1"/>
    <w:rsid w:val="0AED0B6E"/>
    <w:rsid w:val="0B16461C"/>
    <w:rsid w:val="0B2A4738"/>
    <w:rsid w:val="0B2E72C7"/>
    <w:rsid w:val="0B3066BC"/>
    <w:rsid w:val="0B316DB7"/>
    <w:rsid w:val="0B3A680E"/>
    <w:rsid w:val="0B3C5C9C"/>
    <w:rsid w:val="0B4B7099"/>
    <w:rsid w:val="0B747542"/>
    <w:rsid w:val="0B7C7FE2"/>
    <w:rsid w:val="0B8E7D02"/>
    <w:rsid w:val="0B9E1A60"/>
    <w:rsid w:val="0BAD70EA"/>
    <w:rsid w:val="0BB93035"/>
    <w:rsid w:val="0BBC2354"/>
    <w:rsid w:val="0BDE2A9B"/>
    <w:rsid w:val="0BDF1202"/>
    <w:rsid w:val="0BE60C5C"/>
    <w:rsid w:val="0BE64446"/>
    <w:rsid w:val="0BF40511"/>
    <w:rsid w:val="0BF92CAC"/>
    <w:rsid w:val="0C09671A"/>
    <w:rsid w:val="0C296CAE"/>
    <w:rsid w:val="0C326267"/>
    <w:rsid w:val="0C350165"/>
    <w:rsid w:val="0C365370"/>
    <w:rsid w:val="0C3C77C2"/>
    <w:rsid w:val="0C442C80"/>
    <w:rsid w:val="0C4A6383"/>
    <w:rsid w:val="0C4B30F1"/>
    <w:rsid w:val="0C5D71EC"/>
    <w:rsid w:val="0C7376A8"/>
    <w:rsid w:val="0C801F53"/>
    <w:rsid w:val="0C8076E1"/>
    <w:rsid w:val="0C8F51A6"/>
    <w:rsid w:val="0CA97841"/>
    <w:rsid w:val="0CBC0B3E"/>
    <w:rsid w:val="0CCC58BA"/>
    <w:rsid w:val="0CF15084"/>
    <w:rsid w:val="0CF22F65"/>
    <w:rsid w:val="0CFD3771"/>
    <w:rsid w:val="0D001BEA"/>
    <w:rsid w:val="0D0A7F77"/>
    <w:rsid w:val="0D312794"/>
    <w:rsid w:val="0D3A6B01"/>
    <w:rsid w:val="0D4945E7"/>
    <w:rsid w:val="0D4D0748"/>
    <w:rsid w:val="0D4D2094"/>
    <w:rsid w:val="0D5E0D3B"/>
    <w:rsid w:val="0D5F5515"/>
    <w:rsid w:val="0D61544F"/>
    <w:rsid w:val="0D713A3F"/>
    <w:rsid w:val="0D756522"/>
    <w:rsid w:val="0D7E3520"/>
    <w:rsid w:val="0D8943DC"/>
    <w:rsid w:val="0D8A04E4"/>
    <w:rsid w:val="0D932BB8"/>
    <w:rsid w:val="0D98461B"/>
    <w:rsid w:val="0DB8556E"/>
    <w:rsid w:val="0DB904D9"/>
    <w:rsid w:val="0DBB0918"/>
    <w:rsid w:val="0DDD6D83"/>
    <w:rsid w:val="0DDF6F9F"/>
    <w:rsid w:val="0DE25782"/>
    <w:rsid w:val="0DE72AC0"/>
    <w:rsid w:val="0DEC6468"/>
    <w:rsid w:val="0DEE271A"/>
    <w:rsid w:val="0DF148E8"/>
    <w:rsid w:val="0E210D90"/>
    <w:rsid w:val="0E280BF1"/>
    <w:rsid w:val="0E2A2732"/>
    <w:rsid w:val="0E2F7B01"/>
    <w:rsid w:val="0E39045D"/>
    <w:rsid w:val="0E4B5699"/>
    <w:rsid w:val="0E4D5CB6"/>
    <w:rsid w:val="0E512E80"/>
    <w:rsid w:val="0E6E1A32"/>
    <w:rsid w:val="0E7960F6"/>
    <w:rsid w:val="0E7F25F5"/>
    <w:rsid w:val="0E8611C8"/>
    <w:rsid w:val="0E915BD0"/>
    <w:rsid w:val="0E9E4C84"/>
    <w:rsid w:val="0EAA5D5A"/>
    <w:rsid w:val="0EBC43EC"/>
    <w:rsid w:val="0EC33A46"/>
    <w:rsid w:val="0ECD4128"/>
    <w:rsid w:val="0EDC0ACC"/>
    <w:rsid w:val="0EE15926"/>
    <w:rsid w:val="0EEA08A5"/>
    <w:rsid w:val="0EF05635"/>
    <w:rsid w:val="0EF32DCC"/>
    <w:rsid w:val="0F0913A4"/>
    <w:rsid w:val="0F0A1DF9"/>
    <w:rsid w:val="0F106462"/>
    <w:rsid w:val="0F154AD4"/>
    <w:rsid w:val="0F1D1DB9"/>
    <w:rsid w:val="0F202CED"/>
    <w:rsid w:val="0F360DD3"/>
    <w:rsid w:val="0F6B1793"/>
    <w:rsid w:val="0F7554C5"/>
    <w:rsid w:val="0F783207"/>
    <w:rsid w:val="0F7865A2"/>
    <w:rsid w:val="0F7B5DFB"/>
    <w:rsid w:val="0F9A0919"/>
    <w:rsid w:val="0FC11AFA"/>
    <w:rsid w:val="0FC22C67"/>
    <w:rsid w:val="0FCB4B4E"/>
    <w:rsid w:val="0FD75461"/>
    <w:rsid w:val="0FF00A2B"/>
    <w:rsid w:val="0FF37EF3"/>
    <w:rsid w:val="0FFE4C46"/>
    <w:rsid w:val="10022A8B"/>
    <w:rsid w:val="10064480"/>
    <w:rsid w:val="10090E16"/>
    <w:rsid w:val="100930B7"/>
    <w:rsid w:val="1010417D"/>
    <w:rsid w:val="10156FD1"/>
    <w:rsid w:val="10194746"/>
    <w:rsid w:val="10204305"/>
    <w:rsid w:val="10371F2F"/>
    <w:rsid w:val="10430A3B"/>
    <w:rsid w:val="105A6D80"/>
    <w:rsid w:val="105A7A68"/>
    <w:rsid w:val="105F0FA1"/>
    <w:rsid w:val="10725EA8"/>
    <w:rsid w:val="1073353A"/>
    <w:rsid w:val="10750971"/>
    <w:rsid w:val="107B23CF"/>
    <w:rsid w:val="107E1871"/>
    <w:rsid w:val="10824E25"/>
    <w:rsid w:val="1092654A"/>
    <w:rsid w:val="10A10E2A"/>
    <w:rsid w:val="10B71B72"/>
    <w:rsid w:val="10BD5626"/>
    <w:rsid w:val="10C3255D"/>
    <w:rsid w:val="10C85301"/>
    <w:rsid w:val="10CA55F9"/>
    <w:rsid w:val="10D63C01"/>
    <w:rsid w:val="10DB2F38"/>
    <w:rsid w:val="10F13399"/>
    <w:rsid w:val="10F5099F"/>
    <w:rsid w:val="10F84E57"/>
    <w:rsid w:val="11007524"/>
    <w:rsid w:val="11046680"/>
    <w:rsid w:val="110C53CD"/>
    <w:rsid w:val="111952C2"/>
    <w:rsid w:val="111D5D9A"/>
    <w:rsid w:val="11333738"/>
    <w:rsid w:val="113E21E6"/>
    <w:rsid w:val="11423CF0"/>
    <w:rsid w:val="11450104"/>
    <w:rsid w:val="1159255C"/>
    <w:rsid w:val="115C1DEA"/>
    <w:rsid w:val="115D038D"/>
    <w:rsid w:val="116741A8"/>
    <w:rsid w:val="11887A9E"/>
    <w:rsid w:val="1189034F"/>
    <w:rsid w:val="11897D97"/>
    <w:rsid w:val="11963731"/>
    <w:rsid w:val="119D4DFC"/>
    <w:rsid w:val="119E030F"/>
    <w:rsid w:val="11A00EE4"/>
    <w:rsid w:val="11A622AD"/>
    <w:rsid w:val="11AC3296"/>
    <w:rsid w:val="11BF3764"/>
    <w:rsid w:val="11BF5D6D"/>
    <w:rsid w:val="11C8255C"/>
    <w:rsid w:val="11D53F79"/>
    <w:rsid w:val="11EF6486"/>
    <w:rsid w:val="11F75962"/>
    <w:rsid w:val="11FC0451"/>
    <w:rsid w:val="120C4EB8"/>
    <w:rsid w:val="12135F22"/>
    <w:rsid w:val="122B1FEE"/>
    <w:rsid w:val="122D760A"/>
    <w:rsid w:val="12311F5A"/>
    <w:rsid w:val="12396EDB"/>
    <w:rsid w:val="123B651A"/>
    <w:rsid w:val="123D3153"/>
    <w:rsid w:val="12406C58"/>
    <w:rsid w:val="12425364"/>
    <w:rsid w:val="12427601"/>
    <w:rsid w:val="125352C6"/>
    <w:rsid w:val="125944FB"/>
    <w:rsid w:val="125D64D0"/>
    <w:rsid w:val="12613E8B"/>
    <w:rsid w:val="12624EB7"/>
    <w:rsid w:val="126A32DB"/>
    <w:rsid w:val="127F665A"/>
    <w:rsid w:val="1282388F"/>
    <w:rsid w:val="128572E6"/>
    <w:rsid w:val="128A0F8B"/>
    <w:rsid w:val="129139EE"/>
    <w:rsid w:val="12B105FE"/>
    <w:rsid w:val="12B26461"/>
    <w:rsid w:val="12BF6F7B"/>
    <w:rsid w:val="12C86253"/>
    <w:rsid w:val="12D0549C"/>
    <w:rsid w:val="12D228CA"/>
    <w:rsid w:val="12D442DB"/>
    <w:rsid w:val="12D469A6"/>
    <w:rsid w:val="12D546F4"/>
    <w:rsid w:val="12D54FFC"/>
    <w:rsid w:val="12DF680F"/>
    <w:rsid w:val="12DF6E63"/>
    <w:rsid w:val="12E84200"/>
    <w:rsid w:val="12E941CE"/>
    <w:rsid w:val="12F36759"/>
    <w:rsid w:val="12F42BA4"/>
    <w:rsid w:val="12F46D05"/>
    <w:rsid w:val="12FE2032"/>
    <w:rsid w:val="1300045E"/>
    <w:rsid w:val="130623BB"/>
    <w:rsid w:val="130A6921"/>
    <w:rsid w:val="131E2317"/>
    <w:rsid w:val="131E269C"/>
    <w:rsid w:val="131E73CE"/>
    <w:rsid w:val="13201BEB"/>
    <w:rsid w:val="13274D28"/>
    <w:rsid w:val="13312AE3"/>
    <w:rsid w:val="133D024F"/>
    <w:rsid w:val="133D6D87"/>
    <w:rsid w:val="135F78E8"/>
    <w:rsid w:val="1360648C"/>
    <w:rsid w:val="136A4918"/>
    <w:rsid w:val="13716BB4"/>
    <w:rsid w:val="13821EE1"/>
    <w:rsid w:val="13890B9C"/>
    <w:rsid w:val="13944D7F"/>
    <w:rsid w:val="13B63C9C"/>
    <w:rsid w:val="13C75329"/>
    <w:rsid w:val="13CB4137"/>
    <w:rsid w:val="13D11AEC"/>
    <w:rsid w:val="13D57C19"/>
    <w:rsid w:val="13DA6A23"/>
    <w:rsid w:val="13F27FD8"/>
    <w:rsid w:val="13FA3C10"/>
    <w:rsid w:val="140B4E5D"/>
    <w:rsid w:val="14197590"/>
    <w:rsid w:val="141C7AF8"/>
    <w:rsid w:val="14291CCC"/>
    <w:rsid w:val="142D5867"/>
    <w:rsid w:val="14311C3C"/>
    <w:rsid w:val="1433458D"/>
    <w:rsid w:val="145A6A37"/>
    <w:rsid w:val="147C6864"/>
    <w:rsid w:val="14823CB2"/>
    <w:rsid w:val="14A05CEA"/>
    <w:rsid w:val="14A65781"/>
    <w:rsid w:val="14BA7BD0"/>
    <w:rsid w:val="14BE0DA8"/>
    <w:rsid w:val="14BF76D0"/>
    <w:rsid w:val="14CD5299"/>
    <w:rsid w:val="14D058B3"/>
    <w:rsid w:val="14D233B9"/>
    <w:rsid w:val="14D8550B"/>
    <w:rsid w:val="14DF2DE8"/>
    <w:rsid w:val="14E20E88"/>
    <w:rsid w:val="14E71B9C"/>
    <w:rsid w:val="14EC5270"/>
    <w:rsid w:val="14ED24C4"/>
    <w:rsid w:val="14FE6E45"/>
    <w:rsid w:val="15004976"/>
    <w:rsid w:val="15030DD2"/>
    <w:rsid w:val="150660C7"/>
    <w:rsid w:val="150B029C"/>
    <w:rsid w:val="150F1835"/>
    <w:rsid w:val="151246C1"/>
    <w:rsid w:val="152F6F01"/>
    <w:rsid w:val="15300534"/>
    <w:rsid w:val="1542409B"/>
    <w:rsid w:val="15430081"/>
    <w:rsid w:val="1549179A"/>
    <w:rsid w:val="154A2F50"/>
    <w:rsid w:val="15512530"/>
    <w:rsid w:val="155855A0"/>
    <w:rsid w:val="155958EF"/>
    <w:rsid w:val="15760A82"/>
    <w:rsid w:val="15885993"/>
    <w:rsid w:val="158A38FE"/>
    <w:rsid w:val="158C2D9C"/>
    <w:rsid w:val="158E4CB6"/>
    <w:rsid w:val="158E72E0"/>
    <w:rsid w:val="15943580"/>
    <w:rsid w:val="159E744E"/>
    <w:rsid w:val="159F71E4"/>
    <w:rsid w:val="15D13671"/>
    <w:rsid w:val="15D61032"/>
    <w:rsid w:val="15DA54BE"/>
    <w:rsid w:val="15DE1A29"/>
    <w:rsid w:val="15DF15B2"/>
    <w:rsid w:val="15E07A9A"/>
    <w:rsid w:val="15EF2D9A"/>
    <w:rsid w:val="1600559A"/>
    <w:rsid w:val="160C6213"/>
    <w:rsid w:val="160F471D"/>
    <w:rsid w:val="1612444D"/>
    <w:rsid w:val="1615492F"/>
    <w:rsid w:val="16211C47"/>
    <w:rsid w:val="162C07E1"/>
    <w:rsid w:val="162D644C"/>
    <w:rsid w:val="16392D84"/>
    <w:rsid w:val="165027E8"/>
    <w:rsid w:val="166F60B9"/>
    <w:rsid w:val="167504A0"/>
    <w:rsid w:val="167B010A"/>
    <w:rsid w:val="16883ABF"/>
    <w:rsid w:val="16A05B48"/>
    <w:rsid w:val="16A411B1"/>
    <w:rsid w:val="16AA3EEF"/>
    <w:rsid w:val="16BB65F1"/>
    <w:rsid w:val="16BE59A3"/>
    <w:rsid w:val="16C30E50"/>
    <w:rsid w:val="16C6306C"/>
    <w:rsid w:val="16D301F3"/>
    <w:rsid w:val="16DA045E"/>
    <w:rsid w:val="16DF70C3"/>
    <w:rsid w:val="16E36A8E"/>
    <w:rsid w:val="16E74A90"/>
    <w:rsid w:val="16EF355C"/>
    <w:rsid w:val="17051824"/>
    <w:rsid w:val="170F5918"/>
    <w:rsid w:val="17174321"/>
    <w:rsid w:val="171B4C60"/>
    <w:rsid w:val="171B63E5"/>
    <w:rsid w:val="171C140F"/>
    <w:rsid w:val="171E6164"/>
    <w:rsid w:val="17263548"/>
    <w:rsid w:val="17382C6C"/>
    <w:rsid w:val="173D57C7"/>
    <w:rsid w:val="176B64FB"/>
    <w:rsid w:val="17782D5C"/>
    <w:rsid w:val="17B2733D"/>
    <w:rsid w:val="17BA0202"/>
    <w:rsid w:val="17C36FE9"/>
    <w:rsid w:val="17D32110"/>
    <w:rsid w:val="17DF02C7"/>
    <w:rsid w:val="17EF333D"/>
    <w:rsid w:val="17F736BA"/>
    <w:rsid w:val="17FE4C9B"/>
    <w:rsid w:val="180A017E"/>
    <w:rsid w:val="180B1C8C"/>
    <w:rsid w:val="18186FBF"/>
    <w:rsid w:val="182A0E16"/>
    <w:rsid w:val="182E7059"/>
    <w:rsid w:val="184448A4"/>
    <w:rsid w:val="1853569A"/>
    <w:rsid w:val="1856228A"/>
    <w:rsid w:val="185A2304"/>
    <w:rsid w:val="18655549"/>
    <w:rsid w:val="186B3909"/>
    <w:rsid w:val="18811B0F"/>
    <w:rsid w:val="18883C96"/>
    <w:rsid w:val="18943D05"/>
    <w:rsid w:val="189D5730"/>
    <w:rsid w:val="18A237AC"/>
    <w:rsid w:val="18AE6BDF"/>
    <w:rsid w:val="18BC41FE"/>
    <w:rsid w:val="18C65572"/>
    <w:rsid w:val="18CE406A"/>
    <w:rsid w:val="18D255E8"/>
    <w:rsid w:val="18D71473"/>
    <w:rsid w:val="18E73115"/>
    <w:rsid w:val="18EF453A"/>
    <w:rsid w:val="18F25811"/>
    <w:rsid w:val="18F558C8"/>
    <w:rsid w:val="18F733EE"/>
    <w:rsid w:val="190733FE"/>
    <w:rsid w:val="190A6030"/>
    <w:rsid w:val="191206D3"/>
    <w:rsid w:val="192E2BD3"/>
    <w:rsid w:val="193470ED"/>
    <w:rsid w:val="19362545"/>
    <w:rsid w:val="1938354B"/>
    <w:rsid w:val="195105DC"/>
    <w:rsid w:val="195C14A3"/>
    <w:rsid w:val="196839F7"/>
    <w:rsid w:val="19756CCC"/>
    <w:rsid w:val="197B5636"/>
    <w:rsid w:val="197F7538"/>
    <w:rsid w:val="1987149D"/>
    <w:rsid w:val="198D30EC"/>
    <w:rsid w:val="1991132A"/>
    <w:rsid w:val="199777B1"/>
    <w:rsid w:val="199C34C0"/>
    <w:rsid w:val="199D28CF"/>
    <w:rsid w:val="19A15CAB"/>
    <w:rsid w:val="19AB7BCA"/>
    <w:rsid w:val="19B255DB"/>
    <w:rsid w:val="19D74089"/>
    <w:rsid w:val="19F33BB6"/>
    <w:rsid w:val="1A051B3B"/>
    <w:rsid w:val="1A1D2006"/>
    <w:rsid w:val="1A200C49"/>
    <w:rsid w:val="1A206975"/>
    <w:rsid w:val="1A2C7C12"/>
    <w:rsid w:val="1A312E43"/>
    <w:rsid w:val="1A382E26"/>
    <w:rsid w:val="1A3A2210"/>
    <w:rsid w:val="1A4118E9"/>
    <w:rsid w:val="1A414F47"/>
    <w:rsid w:val="1A526576"/>
    <w:rsid w:val="1A5C16D9"/>
    <w:rsid w:val="1A5C6D63"/>
    <w:rsid w:val="1A5F2FF9"/>
    <w:rsid w:val="1A604AA4"/>
    <w:rsid w:val="1A7636B6"/>
    <w:rsid w:val="1A780A63"/>
    <w:rsid w:val="1A7B17BE"/>
    <w:rsid w:val="1A7C004F"/>
    <w:rsid w:val="1A8B4F58"/>
    <w:rsid w:val="1A907657"/>
    <w:rsid w:val="1AB772D9"/>
    <w:rsid w:val="1AE133EF"/>
    <w:rsid w:val="1AED2809"/>
    <w:rsid w:val="1AEF4DAE"/>
    <w:rsid w:val="1AF77FAB"/>
    <w:rsid w:val="1AFB020E"/>
    <w:rsid w:val="1B1C7367"/>
    <w:rsid w:val="1B370B89"/>
    <w:rsid w:val="1B3B043B"/>
    <w:rsid w:val="1B43728E"/>
    <w:rsid w:val="1B492FF3"/>
    <w:rsid w:val="1B4950A4"/>
    <w:rsid w:val="1B5468D6"/>
    <w:rsid w:val="1B556620"/>
    <w:rsid w:val="1B636B19"/>
    <w:rsid w:val="1B6D5BEA"/>
    <w:rsid w:val="1B6F52C1"/>
    <w:rsid w:val="1B6F5854"/>
    <w:rsid w:val="1B7E5AA8"/>
    <w:rsid w:val="1B8A22F8"/>
    <w:rsid w:val="1B8D3B96"/>
    <w:rsid w:val="1BA324C2"/>
    <w:rsid w:val="1BA61267"/>
    <w:rsid w:val="1BAD7E75"/>
    <w:rsid w:val="1BAF2B44"/>
    <w:rsid w:val="1BB47375"/>
    <w:rsid w:val="1BBB4BA7"/>
    <w:rsid w:val="1BBC0395"/>
    <w:rsid w:val="1BD9327F"/>
    <w:rsid w:val="1BE44D71"/>
    <w:rsid w:val="1BF105C9"/>
    <w:rsid w:val="1BFA7574"/>
    <w:rsid w:val="1C110922"/>
    <w:rsid w:val="1C1B6E90"/>
    <w:rsid w:val="1C213F72"/>
    <w:rsid w:val="1C252021"/>
    <w:rsid w:val="1C2663BF"/>
    <w:rsid w:val="1C36433C"/>
    <w:rsid w:val="1C376E21"/>
    <w:rsid w:val="1C495776"/>
    <w:rsid w:val="1C607E4F"/>
    <w:rsid w:val="1C672126"/>
    <w:rsid w:val="1C685144"/>
    <w:rsid w:val="1C721035"/>
    <w:rsid w:val="1C7246F1"/>
    <w:rsid w:val="1C866A4B"/>
    <w:rsid w:val="1C887DF5"/>
    <w:rsid w:val="1C89288A"/>
    <w:rsid w:val="1CA47846"/>
    <w:rsid w:val="1CA64748"/>
    <w:rsid w:val="1CC40158"/>
    <w:rsid w:val="1CCB621E"/>
    <w:rsid w:val="1CD26B3B"/>
    <w:rsid w:val="1CD35D56"/>
    <w:rsid w:val="1CD565D5"/>
    <w:rsid w:val="1CDF495F"/>
    <w:rsid w:val="1CDF6675"/>
    <w:rsid w:val="1CEF14EF"/>
    <w:rsid w:val="1CF061DA"/>
    <w:rsid w:val="1CF43006"/>
    <w:rsid w:val="1CF87542"/>
    <w:rsid w:val="1D032FA4"/>
    <w:rsid w:val="1D077570"/>
    <w:rsid w:val="1D0E51AB"/>
    <w:rsid w:val="1D202678"/>
    <w:rsid w:val="1D3021C0"/>
    <w:rsid w:val="1D325942"/>
    <w:rsid w:val="1D454FF3"/>
    <w:rsid w:val="1D4C37A3"/>
    <w:rsid w:val="1D5A5F73"/>
    <w:rsid w:val="1D672B1F"/>
    <w:rsid w:val="1D677311"/>
    <w:rsid w:val="1D864D41"/>
    <w:rsid w:val="1D8B3670"/>
    <w:rsid w:val="1DA35BF9"/>
    <w:rsid w:val="1DA6376A"/>
    <w:rsid w:val="1DA73124"/>
    <w:rsid w:val="1DAE0556"/>
    <w:rsid w:val="1DB1270C"/>
    <w:rsid w:val="1DB67C12"/>
    <w:rsid w:val="1DBE097F"/>
    <w:rsid w:val="1DC615E1"/>
    <w:rsid w:val="1DD35E39"/>
    <w:rsid w:val="1DD50B1E"/>
    <w:rsid w:val="1DEE0182"/>
    <w:rsid w:val="1E05035C"/>
    <w:rsid w:val="1E060554"/>
    <w:rsid w:val="1E0C1593"/>
    <w:rsid w:val="1E0F6E32"/>
    <w:rsid w:val="1E415560"/>
    <w:rsid w:val="1E4428FF"/>
    <w:rsid w:val="1E5C0FA0"/>
    <w:rsid w:val="1E5D18EA"/>
    <w:rsid w:val="1E604A81"/>
    <w:rsid w:val="1E706AC5"/>
    <w:rsid w:val="1E706D9C"/>
    <w:rsid w:val="1E841A5F"/>
    <w:rsid w:val="1E960FB4"/>
    <w:rsid w:val="1E98379C"/>
    <w:rsid w:val="1E9B4962"/>
    <w:rsid w:val="1EA33881"/>
    <w:rsid w:val="1EA40105"/>
    <w:rsid w:val="1EA972F9"/>
    <w:rsid w:val="1EBC7CC4"/>
    <w:rsid w:val="1EC665E8"/>
    <w:rsid w:val="1EDC6093"/>
    <w:rsid w:val="1EFE3118"/>
    <w:rsid w:val="1F091197"/>
    <w:rsid w:val="1F276867"/>
    <w:rsid w:val="1F3233D2"/>
    <w:rsid w:val="1F3868D2"/>
    <w:rsid w:val="1F417E01"/>
    <w:rsid w:val="1F4924CA"/>
    <w:rsid w:val="1F494278"/>
    <w:rsid w:val="1F524DE1"/>
    <w:rsid w:val="1F583D4C"/>
    <w:rsid w:val="1F5C21FD"/>
    <w:rsid w:val="1F69585D"/>
    <w:rsid w:val="1F6B38B0"/>
    <w:rsid w:val="1F770DE5"/>
    <w:rsid w:val="1F85443C"/>
    <w:rsid w:val="1F966A87"/>
    <w:rsid w:val="1FB042F7"/>
    <w:rsid w:val="1FB913DD"/>
    <w:rsid w:val="1FD0749B"/>
    <w:rsid w:val="1FE35ADC"/>
    <w:rsid w:val="1FF05470"/>
    <w:rsid w:val="201503A6"/>
    <w:rsid w:val="203A5250"/>
    <w:rsid w:val="203A5CDB"/>
    <w:rsid w:val="20497C75"/>
    <w:rsid w:val="204E0BDF"/>
    <w:rsid w:val="204F1C56"/>
    <w:rsid w:val="204F514C"/>
    <w:rsid w:val="206823A1"/>
    <w:rsid w:val="207A43DF"/>
    <w:rsid w:val="207F6629"/>
    <w:rsid w:val="20833120"/>
    <w:rsid w:val="208539D6"/>
    <w:rsid w:val="209464F1"/>
    <w:rsid w:val="209B222F"/>
    <w:rsid w:val="20A35C0A"/>
    <w:rsid w:val="20A57BD4"/>
    <w:rsid w:val="20A61DD6"/>
    <w:rsid w:val="20B24112"/>
    <w:rsid w:val="20CB4F5C"/>
    <w:rsid w:val="20D0522C"/>
    <w:rsid w:val="20D211A3"/>
    <w:rsid w:val="20D91DD8"/>
    <w:rsid w:val="20DD5762"/>
    <w:rsid w:val="20EE43F2"/>
    <w:rsid w:val="20F301B2"/>
    <w:rsid w:val="20F716A2"/>
    <w:rsid w:val="20F903BB"/>
    <w:rsid w:val="21011A51"/>
    <w:rsid w:val="210227D9"/>
    <w:rsid w:val="21096B24"/>
    <w:rsid w:val="210B25F8"/>
    <w:rsid w:val="210B2A97"/>
    <w:rsid w:val="211A14DF"/>
    <w:rsid w:val="211E2099"/>
    <w:rsid w:val="211F1244"/>
    <w:rsid w:val="2123675E"/>
    <w:rsid w:val="21461CA4"/>
    <w:rsid w:val="214757E3"/>
    <w:rsid w:val="21637A27"/>
    <w:rsid w:val="216C08BA"/>
    <w:rsid w:val="2177570A"/>
    <w:rsid w:val="217F6697"/>
    <w:rsid w:val="21A665AD"/>
    <w:rsid w:val="21B33C19"/>
    <w:rsid w:val="21BA320B"/>
    <w:rsid w:val="21BB34D8"/>
    <w:rsid w:val="21C44C50"/>
    <w:rsid w:val="21D722C1"/>
    <w:rsid w:val="21DF24FF"/>
    <w:rsid w:val="21E309B4"/>
    <w:rsid w:val="21EE6B6B"/>
    <w:rsid w:val="21F82FB6"/>
    <w:rsid w:val="22136A87"/>
    <w:rsid w:val="222C0C93"/>
    <w:rsid w:val="22466D0F"/>
    <w:rsid w:val="22484CBB"/>
    <w:rsid w:val="224B3D5F"/>
    <w:rsid w:val="224D407F"/>
    <w:rsid w:val="2258252F"/>
    <w:rsid w:val="225A0268"/>
    <w:rsid w:val="225B7657"/>
    <w:rsid w:val="225E4F1E"/>
    <w:rsid w:val="226B21EE"/>
    <w:rsid w:val="227305DB"/>
    <w:rsid w:val="227A396C"/>
    <w:rsid w:val="228B5121"/>
    <w:rsid w:val="228F63A9"/>
    <w:rsid w:val="229D0380"/>
    <w:rsid w:val="22A177E6"/>
    <w:rsid w:val="22A42A1E"/>
    <w:rsid w:val="22A90AC1"/>
    <w:rsid w:val="22AF4D3A"/>
    <w:rsid w:val="22BD5CB7"/>
    <w:rsid w:val="22E6677E"/>
    <w:rsid w:val="22EC30DA"/>
    <w:rsid w:val="22ED0E76"/>
    <w:rsid w:val="2307412C"/>
    <w:rsid w:val="23103715"/>
    <w:rsid w:val="2318468D"/>
    <w:rsid w:val="231D3794"/>
    <w:rsid w:val="232C638A"/>
    <w:rsid w:val="233236E3"/>
    <w:rsid w:val="233B768D"/>
    <w:rsid w:val="234452CB"/>
    <w:rsid w:val="2346752C"/>
    <w:rsid w:val="23500324"/>
    <w:rsid w:val="23585DD8"/>
    <w:rsid w:val="235B4AD3"/>
    <w:rsid w:val="23745CDE"/>
    <w:rsid w:val="237913B1"/>
    <w:rsid w:val="237D05D8"/>
    <w:rsid w:val="238B1303"/>
    <w:rsid w:val="239B1C02"/>
    <w:rsid w:val="23A50FD0"/>
    <w:rsid w:val="23AB3963"/>
    <w:rsid w:val="23BA793E"/>
    <w:rsid w:val="23BC4648"/>
    <w:rsid w:val="23C71178"/>
    <w:rsid w:val="23CB43ED"/>
    <w:rsid w:val="23D17044"/>
    <w:rsid w:val="23D172B3"/>
    <w:rsid w:val="23E40684"/>
    <w:rsid w:val="23F23381"/>
    <w:rsid w:val="23F60736"/>
    <w:rsid w:val="240115C5"/>
    <w:rsid w:val="2411563C"/>
    <w:rsid w:val="242447AF"/>
    <w:rsid w:val="24334C53"/>
    <w:rsid w:val="245F149B"/>
    <w:rsid w:val="246D4161"/>
    <w:rsid w:val="24771FAD"/>
    <w:rsid w:val="247E49C4"/>
    <w:rsid w:val="24A85EE5"/>
    <w:rsid w:val="24AB0389"/>
    <w:rsid w:val="24C7135F"/>
    <w:rsid w:val="24D055DB"/>
    <w:rsid w:val="24D75451"/>
    <w:rsid w:val="24DC47FF"/>
    <w:rsid w:val="24E345E4"/>
    <w:rsid w:val="24E41AC1"/>
    <w:rsid w:val="24EE12D8"/>
    <w:rsid w:val="24F31D24"/>
    <w:rsid w:val="25005256"/>
    <w:rsid w:val="250439EF"/>
    <w:rsid w:val="2507343A"/>
    <w:rsid w:val="250A219B"/>
    <w:rsid w:val="250F386E"/>
    <w:rsid w:val="25107F16"/>
    <w:rsid w:val="25113A8A"/>
    <w:rsid w:val="251675CC"/>
    <w:rsid w:val="253024AD"/>
    <w:rsid w:val="2557729C"/>
    <w:rsid w:val="255A6A4F"/>
    <w:rsid w:val="255D5845"/>
    <w:rsid w:val="257239B5"/>
    <w:rsid w:val="257A3E03"/>
    <w:rsid w:val="258C3DF5"/>
    <w:rsid w:val="259D70CC"/>
    <w:rsid w:val="25B132E6"/>
    <w:rsid w:val="25C97EC1"/>
    <w:rsid w:val="25E1786F"/>
    <w:rsid w:val="25E8295B"/>
    <w:rsid w:val="25EB11E1"/>
    <w:rsid w:val="25F13423"/>
    <w:rsid w:val="25F252DE"/>
    <w:rsid w:val="25F453F1"/>
    <w:rsid w:val="25F574EA"/>
    <w:rsid w:val="260104CB"/>
    <w:rsid w:val="26055266"/>
    <w:rsid w:val="260B280F"/>
    <w:rsid w:val="260E417C"/>
    <w:rsid w:val="26154AF6"/>
    <w:rsid w:val="26257624"/>
    <w:rsid w:val="263E440B"/>
    <w:rsid w:val="263F3EBB"/>
    <w:rsid w:val="264B2BBF"/>
    <w:rsid w:val="26633C49"/>
    <w:rsid w:val="26661BB3"/>
    <w:rsid w:val="266C04FD"/>
    <w:rsid w:val="266E1364"/>
    <w:rsid w:val="268A4949"/>
    <w:rsid w:val="268E2249"/>
    <w:rsid w:val="2697027E"/>
    <w:rsid w:val="26A67D94"/>
    <w:rsid w:val="26AF355A"/>
    <w:rsid w:val="26B40B71"/>
    <w:rsid w:val="26B97F35"/>
    <w:rsid w:val="26BA4AE0"/>
    <w:rsid w:val="26C52C94"/>
    <w:rsid w:val="26C610CA"/>
    <w:rsid w:val="26C9037E"/>
    <w:rsid w:val="26D96963"/>
    <w:rsid w:val="26E51871"/>
    <w:rsid w:val="26E81B00"/>
    <w:rsid w:val="26EC2D0B"/>
    <w:rsid w:val="26EC52C4"/>
    <w:rsid w:val="26F15921"/>
    <w:rsid w:val="26FD1062"/>
    <w:rsid w:val="27147861"/>
    <w:rsid w:val="271D527A"/>
    <w:rsid w:val="27224B0F"/>
    <w:rsid w:val="272A3D99"/>
    <w:rsid w:val="272F1E9F"/>
    <w:rsid w:val="273C1105"/>
    <w:rsid w:val="274E1A68"/>
    <w:rsid w:val="27545EB0"/>
    <w:rsid w:val="27561C28"/>
    <w:rsid w:val="275F3C6D"/>
    <w:rsid w:val="2764417B"/>
    <w:rsid w:val="27795A37"/>
    <w:rsid w:val="277D0F63"/>
    <w:rsid w:val="278476CC"/>
    <w:rsid w:val="27851DA0"/>
    <w:rsid w:val="278D396C"/>
    <w:rsid w:val="279369D8"/>
    <w:rsid w:val="27A34E59"/>
    <w:rsid w:val="27B92902"/>
    <w:rsid w:val="27C617D8"/>
    <w:rsid w:val="27D36867"/>
    <w:rsid w:val="27DF33C8"/>
    <w:rsid w:val="27E81FE7"/>
    <w:rsid w:val="27EB411E"/>
    <w:rsid w:val="27EE3C0E"/>
    <w:rsid w:val="27EE40EE"/>
    <w:rsid w:val="27F710A0"/>
    <w:rsid w:val="27FC632B"/>
    <w:rsid w:val="280E4562"/>
    <w:rsid w:val="281F64BE"/>
    <w:rsid w:val="28252233"/>
    <w:rsid w:val="282E0D0A"/>
    <w:rsid w:val="283659E1"/>
    <w:rsid w:val="284737DD"/>
    <w:rsid w:val="284F7247"/>
    <w:rsid w:val="28504F00"/>
    <w:rsid w:val="285401B9"/>
    <w:rsid w:val="2854115A"/>
    <w:rsid w:val="285919D0"/>
    <w:rsid w:val="285D758C"/>
    <w:rsid w:val="286744CD"/>
    <w:rsid w:val="28677614"/>
    <w:rsid w:val="286A715B"/>
    <w:rsid w:val="28774B99"/>
    <w:rsid w:val="287B2854"/>
    <w:rsid w:val="28804068"/>
    <w:rsid w:val="28824CA3"/>
    <w:rsid w:val="2887096F"/>
    <w:rsid w:val="28891A68"/>
    <w:rsid w:val="28A67723"/>
    <w:rsid w:val="28AA6265"/>
    <w:rsid w:val="28B0142C"/>
    <w:rsid w:val="28B031C4"/>
    <w:rsid w:val="28B813D8"/>
    <w:rsid w:val="28BE5DFF"/>
    <w:rsid w:val="28C05393"/>
    <w:rsid w:val="28C15F16"/>
    <w:rsid w:val="28C668F3"/>
    <w:rsid w:val="28C8217E"/>
    <w:rsid w:val="28D13A25"/>
    <w:rsid w:val="28E23AA6"/>
    <w:rsid w:val="29053946"/>
    <w:rsid w:val="291433AE"/>
    <w:rsid w:val="291B15FB"/>
    <w:rsid w:val="291E3195"/>
    <w:rsid w:val="292274D8"/>
    <w:rsid w:val="29291F9C"/>
    <w:rsid w:val="293A5D80"/>
    <w:rsid w:val="29432A42"/>
    <w:rsid w:val="29490B9E"/>
    <w:rsid w:val="294F62D4"/>
    <w:rsid w:val="294F692F"/>
    <w:rsid w:val="295B52D4"/>
    <w:rsid w:val="29617E99"/>
    <w:rsid w:val="2964577C"/>
    <w:rsid w:val="29652E48"/>
    <w:rsid w:val="29755B40"/>
    <w:rsid w:val="2976043F"/>
    <w:rsid w:val="29834CA6"/>
    <w:rsid w:val="298429E5"/>
    <w:rsid w:val="298A40CB"/>
    <w:rsid w:val="298B3897"/>
    <w:rsid w:val="29995F92"/>
    <w:rsid w:val="29AA7F26"/>
    <w:rsid w:val="29AB6C0F"/>
    <w:rsid w:val="29B54E3D"/>
    <w:rsid w:val="29C610A0"/>
    <w:rsid w:val="29D250A3"/>
    <w:rsid w:val="29D97152"/>
    <w:rsid w:val="29E346EC"/>
    <w:rsid w:val="29EA6773"/>
    <w:rsid w:val="29EB26F7"/>
    <w:rsid w:val="29F9147A"/>
    <w:rsid w:val="2A043B28"/>
    <w:rsid w:val="2A2622F9"/>
    <w:rsid w:val="2A2E7A7E"/>
    <w:rsid w:val="2A313BB1"/>
    <w:rsid w:val="2A413BB3"/>
    <w:rsid w:val="2A4735A8"/>
    <w:rsid w:val="2A5D63DB"/>
    <w:rsid w:val="2A5F40B6"/>
    <w:rsid w:val="2A72308A"/>
    <w:rsid w:val="2A7939ED"/>
    <w:rsid w:val="2A8A0D83"/>
    <w:rsid w:val="2AB14818"/>
    <w:rsid w:val="2AB557DB"/>
    <w:rsid w:val="2ADB2B81"/>
    <w:rsid w:val="2B1A174A"/>
    <w:rsid w:val="2B1C4F36"/>
    <w:rsid w:val="2B205491"/>
    <w:rsid w:val="2B2141F9"/>
    <w:rsid w:val="2B225D30"/>
    <w:rsid w:val="2B332625"/>
    <w:rsid w:val="2B361A30"/>
    <w:rsid w:val="2B3C079E"/>
    <w:rsid w:val="2B3C1E41"/>
    <w:rsid w:val="2B455813"/>
    <w:rsid w:val="2B4C2E44"/>
    <w:rsid w:val="2B4E156E"/>
    <w:rsid w:val="2B565E56"/>
    <w:rsid w:val="2B595843"/>
    <w:rsid w:val="2B753532"/>
    <w:rsid w:val="2B7865F9"/>
    <w:rsid w:val="2B7A3C52"/>
    <w:rsid w:val="2B8002E5"/>
    <w:rsid w:val="2B8C374E"/>
    <w:rsid w:val="2B8F46B6"/>
    <w:rsid w:val="2B977AEB"/>
    <w:rsid w:val="2B991DFF"/>
    <w:rsid w:val="2B9C1D21"/>
    <w:rsid w:val="2BA41097"/>
    <w:rsid w:val="2BA956BF"/>
    <w:rsid w:val="2BB948D5"/>
    <w:rsid w:val="2BBE6370"/>
    <w:rsid w:val="2BC90C1A"/>
    <w:rsid w:val="2BF24C23"/>
    <w:rsid w:val="2BFC6B25"/>
    <w:rsid w:val="2C0646C5"/>
    <w:rsid w:val="2C0B151E"/>
    <w:rsid w:val="2C186E9C"/>
    <w:rsid w:val="2C1B0595"/>
    <w:rsid w:val="2C2F4BD1"/>
    <w:rsid w:val="2C300C99"/>
    <w:rsid w:val="2C421FD2"/>
    <w:rsid w:val="2C436E5C"/>
    <w:rsid w:val="2C567BB3"/>
    <w:rsid w:val="2C5B5C73"/>
    <w:rsid w:val="2C632CF4"/>
    <w:rsid w:val="2C66510D"/>
    <w:rsid w:val="2C6A3DB8"/>
    <w:rsid w:val="2C6B4093"/>
    <w:rsid w:val="2C7A1F15"/>
    <w:rsid w:val="2C8A3ED2"/>
    <w:rsid w:val="2C997AF3"/>
    <w:rsid w:val="2C997CDE"/>
    <w:rsid w:val="2C9E14E5"/>
    <w:rsid w:val="2CB84C7B"/>
    <w:rsid w:val="2CCF1D5F"/>
    <w:rsid w:val="2CCF1ECB"/>
    <w:rsid w:val="2CD25FF8"/>
    <w:rsid w:val="2CD466D2"/>
    <w:rsid w:val="2CE02358"/>
    <w:rsid w:val="2CE27DFB"/>
    <w:rsid w:val="2CE3244C"/>
    <w:rsid w:val="2CF30852"/>
    <w:rsid w:val="2CF3392B"/>
    <w:rsid w:val="2D0773C2"/>
    <w:rsid w:val="2D0B78AE"/>
    <w:rsid w:val="2D1142CB"/>
    <w:rsid w:val="2D12007D"/>
    <w:rsid w:val="2D1A734B"/>
    <w:rsid w:val="2D2352B0"/>
    <w:rsid w:val="2D377655"/>
    <w:rsid w:val="2D403484"/>
    <w:rsid w:val="2D430A35"/>
    <w:rsid w:val="2D651E34"/>
    <w:rsid w:val="2D66545A"/>
    <w:rsid w:val="2D6F1178"/>
    <w:rsid w:val="2D9147ED"/>
    <w:rsid w:val="2DAB5DC1"/>
    <w:rsid w:val="2DB31B82"/>
    <w:rsid w:val="2DBE4511"/>
    <w:rsid w:val="2DCF6FB5"/>
    <w:rsid w:val="2DD05EF0"/>
    <w:rsid w:val="2DD5614C"/>
    <w:rsid w:val="2DEC5D5C"/>
    <w:rsid w:val="2DED5CC6"/>
    <w:rsid w:val="2DF14475"/>
    <w:rsid w:val="2DF615EA"/>
    <w:rsid w:val="2DF83CAE"/>
    <w:rsid w:val="2DFF1503"/>
    <w:rsid w:val="2E076BE8"/>
    <w:rsid w:val="2E0A386D"/>
    <w:rsid w:val="2E1036F7"/>
    <w:rsid w:val="2E270F76"/>
    <w:rsid w:val="2E290D16"/>
    <w:rsid w:val="2E2D2691"/>
    <w:rsid w:val="2E2F76FC"/>
    <w:rsid w:val="2E36642A"/>
    <w:rsid w:val="2E3A56A0"/>
    <w:rsid w:val="2E3B3187"/>
    <w:rsid w:val="2E422DCC"/>
    <w:rsid w:val="2E427B73"/>
    <w:rsid w:val="2E505240"/>
    <w:rsid w:val="2E642E7C"/>
    <w:rsid w:val="2E6C218E"/>
    <w:rsid w:val="2E754540"/>
    <w:rsid w:val="2E767F3F"/>
    <w:rsid w:val="2E7806D6"/>
    <w:rsid w:val="2E7C5342"/>
    <w:rsid w:val="2E905186"/>
    <w:rsid w:val="2E9F5029"/>
    <w:rsid w:val="2EA5128A"/>
    <w:rsid w:val="2EAF6BF3"/>
    <w:rsid w:val="2EBD3305"/>
    <w:rsid w:val="2EBD7D6C"/>
    <w:rsid w:val="2ED2330B"/>
    <w:rsid w:val="2ED4221C"/>
    <w:rsid w:val="2EDA622A"/>
    <w:rsid w:val="2EDC447A"/>
    <w:rsid w:val="2EE5733A"/>
    <w:rsid w:val="2EE95130"/>
    <w:rsid w:val="2EEB6F16"/>
    <w:rsid w:val="2EEE11AC"/>
    <w:rsid w:val="2EFE35E8"/>
    <w:rsid w:val="2F0B779C"/>
    <w:rsid w:val="2F0D74C9"/>
    <w:rsid w:val="2F315682"/>
    <w:rsid w:val="2F416D1A"/>
    <w:rsid w:val="2F471C74"/>
    <w:rsid w:val="2F4B69DB"/>
    <w:rsid w:val="2F4E6128"/>
    <w:rsid w:val="2F50648D"/>
    <w:rsid w:val="2F562A39"/>
    <w:rsid w:val="2F593497"/>
    <w:rsid w:val="2F5F25EA"/>
    <w:rsid w:val="2F723875"/>
    <w:rsid w:val="2F80221D"/>
    <w:rsid w:val="2F8673B3"/>
    <w:rsid w:val="2F8B4222"/>
    <w:rsid w:val="2F963160"/>
    <w:rsid w:val="2FA6202F"/>
    <w:rsid w:val="2FAE240F"/>
    <w:rsid w:val="2FB84C7B"/>
    <w:rsid w:val="2FBA6381"/>
    <w:rsid w:val="2FBB2F70"/>
    <w:rsid w:val="2FCC6F2B"/>
    <w:rsid w:val="2FDA5341"/>
    <w:rsid w:val="2FDB47FA"/>
    <w:rsid w:val="2FE53B49"/>
    <w:rsid w:val="300A1801"/>
    <w:rsid w:val="301306B6"/>
    <w:rsid w:val="303A70C4"/>
    <w:rsid w:val="303F08C7"/>
    <w:rsid w:val="30412492"/>
    <w:rsid w:val="304704C5"/>
    <w:rsid w:val="30594C7A"/>
    <w:rsid w:val="30615FED"/>
    <w:rsid w:val="30664AB1"/>
    <w:rsid w:val="306857C7"/>
    <w:rsid w:val="3069482A"/>
    <w:rsid w:val="306D6698"/>
    <w:rsid w:val="309713C6"/>
    <w:rsid w:val="309B42BA"/>
    <w:rsid w:val="30A232E4"/>
    <w:rsid w:val="30A45AD9"/>
    <w:rsid w:val="30A772E8"/>
    <w:rsid w:val="30C50C66"/>
    <w:rsid w:val="30C61120"/>
    <w:rsid w:val="30C77493"/>
    <w:rsid w:val="30CC7B5D"/>
    <w:rsid w:val="30D836AE"/>
    <w:rsid w:val="30E738F1"/>
    <w:rsid w:val="30ED1711"/>
    <w:rsid w:val="31167200"/>
    <w:rsid w:val="311A10B7"/>
    <w:rsid w:val="312C69BA"/>
    <w:rsid w:val="31393DCB"/>
    <w:rsid w:val="31526AA3"/>
    <w:rsid w:val="315C42DF"/>
    <w:rsid w:val="3162183F"/>
    <w:rsid w:val="31636DC3"/>
    <w:rsid w:val="31664D59"/>
    <w:rsid w:val="316A224B"/>
    <w:rsid w:val="316D2854"/>
    <w:rsid w:val="31712EBC"/>
    <w:rsid w:val="317465BC"/>
    <w:rsid w:val="317D5FB6"/>
    <w:rsid w:val="317F48CE"/>
    <w:rsid w:val="31886DD5"/>
    <w:rsid w:val="318A28BC"/>
    <w:rsid w:val="318B00D1"/>
    <w:rsid w:val="318C7F04"/>
    <w:rsid w:val="31992E3D"/>
    <w:rsid w:val="319C5AA7"/>
    <w:rsid w:val="319F465C"/>
    <w:rsid w:val="31A43C7A"/>
    <w:rsid w:val="31B14463"/>
    <w:rsid w:val="31C32FA3"/>
    <w:rsid w:val="31C854D0"/>
    <w:rsid w:val="31CD468B"/>
    <w:rsid w:val="31D91BE1"/>
    <w:rsid w:val="31E60856"/>
    <w:rsid w:val="31EA35E8"/>
    <w:rsid w:val="320D5A12"/>
    <w:rsid w:val="320E5A59"/>
    <w:rsid w:val="3216623C"/>
    <w:rsid w:val="321D0C3B"/>
    <w:rsid w:val="32221592"/>
    <w:rsid w:val="322C0610"/>
    <w:rsid w:val="322E1BFD"/>
    <w:rsid w:val="323A3E96"/>
    <w:rsid w:val="323E22F7"/>
    <w:rsid w:val="323F17F0"/>
    <w:rsid w:val="32413CD9"/>
    <w:rsid w:val="324A5592"/>
    <w:rsid w:val="32773851"/>
    <w:rsid w:val="327C20DC"/>
    <w:rsid w:val="32A02E1D"/>
    <w:rsid w:val="32A5173A"/>
    <w:rsid w:val="32AD6C89"/>
    <w:rsid w:val="32BB148C"/>
    <w:rsid w:val="32BB6217"/>
    <w:rsid w:val="32DC365B"/>
    <w:rsid w:val="32E14835"/>
    <w:rsid w:val="32EE71B8"/>
    <w:rsid w:val="32FB4F1E"/>
    <w:rsid w:val="33077BF3"/>
    <w:rsid w:val="33093FF2"/>
    <w:rsid w:val="330D5C4B"/>
    <w:rsid w:val="33204932"/>
    <w:rsid w:val="33291ACF"/>
    <w:rsid w:val="332C6C4A"/>
    <w:rsid w:val="333D7CDA"/>
    <w:rsid w:val="3365548D"/>
    <w:rsid w:val="336C20F6"/>
    <w:rsid w:val="337630A8"/>
    <w:rsid w:val="337D6DD6"/>
    <w:rsid w:val="3382645E"/>
    <w:rsid w:val="33936F97"/>
    <w:rsid w:val="339670C9"/>
    <w:rsid w:val="339B1966"/>
    <w:rsid w:val="339E0DDD"/>
    <w:rsid w:val="33A23507"/>
    <w:rsid w:val="33B052F1"/>
    <w:rsid w:val="33BB04D5"/>
    <w:rsid w:val="33C1178D"/>
    <w:rsid w:val="33C4646B"/>
    <w:rsid w:val="33CD5CBF"/>
    <w:rsid w:val="33CF6A93"/>
    <w:rsid w:val="33D36847"/>
    <w:rsid w:val="33D52CF0"/>
    <w:rsid w:val="33E3198C"/>
    <w:rsid w:val="33F352AE"/>
    <w:rsid w:val="33F66CF0"/>
    <w:rsid w:val="34051282"/>
    <w:rsid w:val="34083D53"/>
    <w:rsid w:val="341663D8"/>
    <w:rsid w:val="3417159A"/>
    <w:rsid w:val="341F510D"/>
    <w:rsid w:val="34207846"/>
    <w:rsid w:val="3436681E"/>
    <w:rsid w:val="3445062A"/>
    <w:rsid w:val="34454F45"/>
    <w:rsid w:val="34491953"/>
    <w:rsid w:val="344E582D"/>
    <w:rsid w:val="344F1FA8"/>
    <w:rsid w:val="345721E6"/>
    <w:rsid w:val="346C2784"/>
    <w:rsid w:val="34751483"/>
    <w:rsid w:val="348002E4"/>
    <w:rsid w:val="34802028"/>
    <w:rsid w:val="3482106C"/>
    <w:rsid w:val="34853B4C"/>
    <w:rsid w:val="3489757C"/>
    <w:rsid w:val="34983880"/>
    <w:rsid w:val="34992C7E"/>
    <w:rsid w:val="34B44B7E"/>
    <w:rsid w:val="34DB7DEB"/>
    <w:rsid w:val="34DC5274"/>
    <w:rsid w:val="34E75451"/>
    <w:rsid w:val="34F62354"/>
    <w:rsid w:val="35006659"/>
    <w:rsid w:val="35044A71"/>
    <w:rsid w:val="35056F41"/>
    <w:rsid w:val="35096F5D"/>
    <w:rsid w:val="350A4AD0"/>
    <w:rsid w:val="350D19BB"/>
    <w:rsid w:val="350F0702"/>
    <w:rsid w:val="351400AA"/>
    <w:rsid w:val="35275692"/>
    <w:rsid w:val="3547081B"/>
    <w:rsid w:val="354D5BEB"/>
    <w:rsid w:val="35537C83"/>
    <w:rsid w:val="35555759"/>
    <w:rsid w:val="356057E4"/>
    <w:rsid w:val="35645360"/>
    <w:rsid w:val="356E7175"/>
    <w:rsid w:val="3572001E"/>
    <w:rsid w:val="358F4C83"/>
    <w:rsid w:val="35994EE8"/>
    <w:rsid w:val="35A873D1"/>
    <w:rsid w:val="35AB6533"/>
    <w:rsid w:val="35B95A88"/>
    <w:rsid w:val="35C76FEA"/>
    <w:rsid w:val="35D973F3"/>
    <w:rsid w:val="35F27157"/>
    <w:rsid w:val="35F42227"/>
    <w:rsid w:val="3621472B"/>
    <w:rsid w:val="362F0EA3"/>
    <w:rsid w:val="36312097"/>
    <w:rsid w:val="3639704B"/>
    <w:rsid w:val="363B2715"/>
    <w:rsid w:val="36460B81"/>
    <w:rsid w:val="36495886"/>
    <w:rsid w:val="3656754F"/>
    <w:rsid w:val="36637A63"/>
    <w:rsid w:val="367B07A9"/>
    <w:rsid w:val="367F4F73"/>
    <w:rsid w:val="368D6448"/>
    <w:rsid w:val="36A83064"/>
    <w:rsid w:val="36BC7612"/>
    <w:rsid w:val="36D93CDC"/>
    <w:rsid w:val="36DF1B09"/>
    <w:rsid w:val="36EA1AA7"/>
    <w:rsid w:val="36EC1C61"/>
    <w:rsid w:val="36F5558D"/>
    <w:rsid w:val="36FA75CB"/>
    <w:rsid w:val="36FC3DA7"/>
    <w:rsid w:val="36FE69CC"/>
    <w:rsid w:val="37077031"/>
    <w:rsid w:val="370A446C"/>
    <w:rsid w:val="37144D14"/>
    <w:rsid w:val="371521A7"/>
    <w:rsid w:val="37186290"/>
    <w:rsid w:val="371F5514"/>
    <w:rsid w:val="37236D14"/>
    <w:rsid w:val="372846AD"/>
    <w:rsid w:val="374A1271"/>
    <w:rsid w:val="37541C94"/>
    <w:rsid w:val="37645C78"/>
    <w:rsid w:val="376806DB"/>
    <w:rsid w:val="37696240"/>
    <w:rsid w:val="376E5A1F"/>
    <w:rsid w:val="377A101B"/>
    <w:rsid w:val="37846EE5"/>
    <w:rsid w:val="379461DF"/>
    <w:rsid w:val="379C5527"/>
    <w:rsid w:val="379F25AA"/>
    <w:rsid w:val="37A20977"/>
    <w:rsid w:val="37B7331B"/>
    <w:rsid w:val="37BE432D"/>
    <w:rsid w:val="37C0269B"/>
    <w:rsid w:val="37C12AB0"/>
    <w:rsid w:val="37C20289"/>
    <w:rsid w:val="37C36E66"/>
    <w:rsid w:val="37CA67B2"/>
    <w:rsid w:val="37CC113C"/>
    <w:rsid w:val="37CF73B3"/>
    <w:rsid w:val="37D15817"/>
    <w:rsid w:val="37DD3769"/>
    <w:rsid w:val="37FE4685"/>
    <w:rsid w:val="38083F02"/>
    <w:rsid w:val="380A48D8"/>
    <w:rsid w:val="380D623D"/>
    <w:rsid w:val="38290B94"/>
    <w:rsid w:val="382A0185"/>
    <w:rsid w:val="382C4A0B"/>
    <w:rsid w:val="38316343"/>
    <w:rsid w:val="38540962"/>
    <w:rsid w:val="386862CF"/>
    <w:rsid w:val="38727B02"/>
    <w:rsid w:val="38812AD7"/>
    <w:rsid w:val="38926CA6"/>
    <w:rsid w:val="389A4932"/>
    <w:rsid w:val="389C6EEF"/>
    <w:rsid w:val="389F5CD8"/>
    <w:rsid w:val="38A0235A"/>
    <w:rsid w:val="38A87971"/>
    <w:rsid w:val="38AA6BDA"/>
    <w:rsid w:val="38AE7EF7"/>
    <w:rsid w:val="38B279EB"/>
    <w:rsid w:val="38B82AF5"/>
    <w:rsid w:val="38BF46CC"/>
    <w:rsid w:val="38C7204D"/>
    <w:rsid w:val="38E51F81"/>
    <w:rsid w:val="38E54BBA"/>
    <w:rsid w:val="38EA6C83"/>
    <w:rsid w:val="38F23171"/>
    <w:rsid w:val="38F62D99"/>
    <w:rsid w:val="38FA68B7"/>
    <w:rsid w:val="39020C1E"/>
    <w:rsid w:val="392B1828"/>
    <w:rsid w:val="393C1CBA"/>
    <w:rsid w:val="394161FE"/>
    <w:rsid w:val="394D58E5"/>
    <w:rsid w:val="39507379"/>
    <w:rsid w:val="395E36CB"/>
    <w:rsid w:val="39765BB5"/>
    <w:rsid w:val="39933B19"/>
    <w:rsid w:val="39A33CED"/>
    <w:rsid w:val="39B066C1"/>
    <w:rsid w:val="39B63F14"/>
    <w:rsid w:val="39BA4298"/>
    <w:rsid w:val="39BB11C0"/>
    <w:rsid w:val="39BC364C"/>
    <w:rsid w:val="39C55488"/>
    <w:rsid w:val="39E81284"/>
    <w:rsid w:val="39ED5AEC"/>
    <w:rsid w:val="39F25C1A"/>
    <w:rsid w:val="39FC33A7"/>
    <w:rsid w:val="3A094ECC"/>
    <w:rsid w:val="3A2B463D"/>
    <w:rsid w:val="3A2D4A6A"/>
    <w:rsid w:val="3A386A14"/>
    <w:rsid w:val="3A3C0A2C"/>
    <w:rsid w:val="3A3F6B21"/>
    <w:rsid w:val="3A453174"/>
    <w:rsid w:val="3A4F35AF"/>
    <w:rsid w:val="3A5133D0"/>
    <w:rsid w:val="3A52381C"/>
    <w:rsid w:val="3A58654F"/>
    <w:rsid w:val="3A687E26"/>
    <w:rsid w:val="3A8322BE"/>
    <w:rsid w:val="3A9A44C2"/>
    <w:rsid w:val="3AB127B5"/>
    <w:rsid w:val="3AC7728A"/>
    <w:rsid w:val="3ACB380C"/>
    <w:rsid w:val="3AD668BD"/>
    <w:rsid w:val="3AE21C17"/>
    <w:rsid w:val="3AED2353"/>
    <w:rsid w:val="3AED318F"/>
    <w:rsid w:val="3AF6205F"/>
    <w:rsid w:val="3AFE1F63"/>
    <w:rsid w:val="3AFF16FC"/>
    <w:rsid w:val="3B050D2B"/>
    <w:rsid w:val="3B0B42DF"/>
    <w:rsid w:val="3B0C468E"/>
    <w:rsid w:val="3B1D2FE9"/>
    <w:rsid w:val="3B1F566C"/>
    <w:rsid w:val="3B265D2B"/>
    <w:rsid w:val="3B2E6E59"/>
    <w:rsid w:val="3B497D60"/>
    <w:rsid w:val="3B4D0406"/>
    <w:rsid w:val="3B4F3729"/>
    <w:rsid w:val="3B5344E9"/>
    <w:rsid w:val="3B5C1C29"/>
    <w:rsid w:val="3B5C320A"/>
    <w:rsid w:val="3B5F4FC1"/>
    <w:rsid w:val="3B677A33"/>
    <w:rsid w:val="3B716F78"/>
    <w:rsid w:val="3B861B2F"/>
    <w:rsid w:val="3B8725C8"/>
    <w:rsid w:val="3B933D1F"/>
    <w:rsid w:val="3BA35552"/>
    <w:rsid w:val="3BA40D5C"/>
    <w:rsid w:val="3BB54638"/>
    <w:rsid w:val="3BBD597A"/>
    <w:rsid w:val="3BD62991"/>
    <w:rsid w:val="3BD95935"/>
    <w:rsid w:val="3BE033F3"/>
    <w:rsid w:val="3BEC0523"/>
    <w:rsid w:val="3BF34A5A"/>
    <w:rsid w:val="3BFC7627"/>
    <w:rsid w:val="3C112923"/>
    <w:rsid w:val="3C133C00"/>
    <w:rsid w:val="3C2A50F0"/>
    <w:rsid w:val="3C2B11E4"/>
    <w:rsid w:val="3C2D2BF0"/>
    <w:rsid w:val="3C2E3FB6"/>
    <w:rsid w:val="3C40286C"/>
    <w:rsid w:val="3C4373C4"/>
    <w:rsid w:val="3C501DAF"/>
    <w:rsid w:val="3C511010"/>
    <w:rsid w:val="3C595008"/>
    <w:rsid w:val="3C5E715D"/>
    <w:rsid w:val="3C6978B0"/>
    <w:rsid w:val="3C7B7D0F"/>
    <w:rsid w:val="3C83545A"/>
    <w:rsid w:val="3C871789"/>
    <w:rsid w:val="3C8D7A42"/>
    <w:rsid w:val="3C9508B9"/>
    <w:rsid w:val="3CBE1861"/>
    <w:rsid w:val="3CD06F1D"/>
    <w:rsid w:val="3CD9405C"/>
    <w:rsid w:val="3CDB019A"/>
    <w:rsid w:val="3CE83CA8"/>
    <w:rsid w:val="3CF672F5"/>
    <w:rsid w:val="3CF94902"/>
    <w:rsid w:val="3D11065F"/>
    <w:rsid w:val="3D2F4655"/>
    <w:rsid w:val="3D314067"/>
    <w:rsid w:val="3D32517E"/>
    <w:rsid w:val="3D340877"/>
    <w:rsid w:val="3D5B4B1B"/>
    <w:rsid w:val="3D6D49D0"/>
    <w:rsid w:val="3D7778E1"/>
    <w:rsid w:val="3D8E3A72"/>
    <w:rsid w:val="3DA509C7"/>
    <w:rsid w:val="3DAE2673"/>
    <w:rsid w:val="3DBE32B1"/>
    <w:rsid w:val="3DC254CA"/>
    <w:rsid w:val="3DD1570D"/>
    <w:rsid w:val="3DD31485"/>
    <w:rsid w:val="3DD64A42"/>
    <w:rsid w:val="3DD8521E"/>
    <w:rsid w:val="3DF473F7"/>
    <w:rsid w:val="3DFE0BF8"/>
    <w:rsid w:val="3DFF7691"/>
    <w:rsid w:val="3E0C1BA4"/>
    <w:rsid w:val="3E21293C"/>
    <w:rsid w:val="3E2140BF"/>
    <w:rsid w:val="3E2538A4"/>
    <w:rsid w:val="3E30610D"/>
    <w:rsid w:val="3E3703FB"/>
    <w:rsid w:val="3E392133"/>
    <w:rsid w:val="3E6A644A"/>
    <w:rsid w:val="3E711D4C"/>
    <w:rsid w:val="3E7D113A"/>
    <w:rsid w:val="3E861F2A"/>
    <w:rsid w:val="3E865C72"/>
    <w:rsid w:val="3E886713"/>
    <w:rsid w:val="3E920965"/>
    <w:rsid w:val="3E92378D"/>
    <w:rsid w:val="3EA63B08"/>
    <w:rsid w:val="3EC57D85"/>
    <w:rsid w:val="3ED71DD3"/>
    <w:rsid w:val="3ED81093"/>
    <w:rsid w:val="3EE56CFC"/>
    <w:rsid w:val="3EED47C8"/>
    <w:rsid w:val="3EF76DEB"/>
    <w:rsid w:val="3F147322"/>
    <w:rsid w:val="3F1B7BDA"/>
    <w:rsid w:val="3F1E77AE"/>
    <w:rsid w:val="3F2B4F32"/>
    <w:rsid w:val="3F47541D"/>
    <w:rsid w:val="3F4F53D8"/>
    <w:rsid w:val="3F6009A6"/>
    <w:rsid w:val="3F606DFC"/>
    <w:rsid w:val="3F6B19BB"/>
    <w:rsid w:val="3F6D721C"/>
    <w:rsid w:val="3F7561FB"/>
    <w:rsid w:val="3F775701"/>
    <w:rsid w:val="3F7B779F"/>
    <w:rsid w:val="3F7F15D7"/>
    <w:rsid w:val="3F8175A9"/>
    <w:rsid w:val="3F9110FB"/>
    <w:rsid w:val="3F970AC9"/>
    <w:rsid w:val="3F983970"/>
    <w:rsid w:val="3FA04C1F"/>
    <w:rsid w:val="3FAB3EF2"/>
    <w:rsid w:val="3FAB5DE3"/>
    <w:rsid w:val="3FB47094"/>
    <w:rsid w:val="3FB74B79"/>
    <w:rsid w:val="3FB97FE1"/>
    <w:rsid w:val="3FC62C11"/>
    <w:rsid w:val="3FC801AF"/>
    <w:rsid w:val="3FE10133"/>
    <w:rsid w:val="3FEE07F8"/>
    <w:rsid w:val="3FF03FC2"/>
    <w:rsid w:val="400F586A"/>
    <w:rsid w:val="401546BB"/>
    <w:rsid w:val="40175FA1"/>
    <w:rsid w:val="40225FCC"/>
    <w:rsid w:val="402C43AB"/>
    <w:rsid w:val="402D0F85"/>
    <w:rsid w:val="4031573F"/>
    <w:rsid w:val="403329CA"/>
    <w:rsid w:val="403645F3"/>
    <w:rsid w:val="4037142D"/>
    <w:rsid w:val="403F51D3"/>
    <w:rsid w:val="40491F46"/>
    <w:rsid w:val="405A2AD0"/>
    <w:rsid w:val="40644F5E"/>
    <w:rsid w:val="407658B9"/>
    <w:rsid w:val="407F7AEC"/>
    <w:rsid w:val="409450AA"/>
    <w:rsid w:val="40952C78"/>
    <w:rsid w:val="40A354D7"/>
    <w:rsid w:val="40A86353"/>
    <w:rsid w:val="40AC46DB"/>
    <w:rsid w:val="40CC47B9"/>
    <w:rsid w:val="40D07877"/>
    <w:rsid w:val="40E41DEF"/>
    <w:rsid w:val="40E9118A"/>
    <w:rsid w:val="40EA7211"/>
    <w:rsid w:val="40F17FA1"/>
    <w:rsid w:val="40F2485A"/>
    <w:rsid w:val="40F47F9D"/>
    <w:rsid w:val="40FC47E1"/>
    <w:rsid w:val="410F36BC"/>
    <w:rsid w:val="41345493"/>
    <w:rsid w:val="4138297C"/>
    <w:rsid w:val="41520244"/>
    <w:rsid w:val="415C1E5E"/>
    <w:rsid w:val="416B6CB9"/>
    <w:rsid w:val="417D21A8"/>
    <w:rsid w:val="4188317F"/>
    <w:rsid w:val="41924FB9"/>
    <w:rsid w:val="41A623DC"/>
    <w:rsid w:val="41AD378E"/>
    <w:rsid w:val="41AD6698"/>
    <w:rsid w:val="41B34DF1"/>
    <w:rsid w:val="41BB0480"/>
    <w:rsid w:val="41BF708C"/>
    <w:rsid w:val="41CC6917"/>
    <w:rsid w:val="41DA6ADE"/>
    <w:rsid w:val="41F20E3F"/>
    <w:rsid w:val="41F32255"/>
    <w:rsid w:val="42041BE8"/>
    <w:rsid w:val="42097713"/>
    <w:rsid w:val="420D42E6"/>
    <w:rsid w:val="421729DE"/>
    <w:rsid w:val="42181B5C"/>
    <w:rsid w:val="42186FAF"/>
    <w:rsid w:val="42436B6D"/>
    <w:rsid w:val="424F7CB9"/>
    <w:rsid w:val="42635B8E"/>
    <w:rsid w:val="426C67C4"/>
    <w:rsid w:val="426E724D"/>
    <w:rsid w:val="427007F8"/>
    <w:rsid w:val="427878A4"/>
    <w:rsid w:val="427F607F"/>
    <w:rsid w:val="428B1B54"/>
    <w:rsid w:val="429D57CF"/>
    <w:rsid w:val="42A27557"/>
    <w:rsid w:val="42BB2A5D"/>
    <w:rsid w:val="42C172D0"/>
    <w:rsid w:val="42CB6444"/>
    <w:rsid w:val="42E20CF5"/>
    <w:rsid w:val="42E346A1"/>
    <w:rsid w:val="42E55BBC"/>
    <w:rsid w:val="42EF3074"/>
    <w:rsid w:val="42F27836"/>
    <w:rsid w:val="42F51935"/>
    <w:rsid w:val="42F531CE"/>
    <w:rsid w:val="42FF4BE0"/>
    <w:rsid w:val="430A6E5A"/>
    <w:rsid w:val="430F6EAD"/>
    <w:rsid w:val="431303D0"/>
    <w:rsid w:val="432809C5"/>
    <w:rsid w:val="43291B47"/>
    <w:rsid w:val="432B4569"/>
    <w:rsid w:val="432C30FD"/>
    <w:rsid w:val="4330416F"/>
    <w:rsid w:val="433E2AAC"/>
    <w:rsid w:val="434A0B41"/>
    <w:rsid w:val="434D3A87"/>
    <w:rsid w:val="434F7A62"/>
    <w:rsid w:val="43633E12"/>
    <w:rsid w:val="436752A6"/>
    <w:rsid w:val="43804E58"/>
    <w:rsid w:val="43843FDD"/>
    <w:rsid w:val="43876A5C"/>
    <w:rsid w:val="439F0E69"/>
    <w:rsid w:val="43A221AB"/>
    <w:rsid w:val="43D67F21"/>
    <w:rsid w:val="43D7406A"/>
    <w:rsid w:val="43DC5799"/>
    <w:rsid w:val="43E531EC"/>
    <w:rsid w:val="43F42B17"/>
    <w:rsid w:val="441115BA"/>
    <w:rsid w:val="441A3D23"/>
    <w:rsid w:val="441D4B04"/>
    <w:rsid w:val="441E1F6C"/>
    <w:rsid w:val="44284DFE"/>
    <w:rsid w:val="443B29FC"/>
    <w:rsid w:val="443B4DCB"/>
    <w:rsid w:val="443D5D23"/>
    <w:rsid w:val="44564AB1"/>
    <w:rsid w:val="445E3393"/>
    <w:rsid w:val="4464327A"/>
    <w:rsid w:val="446A3FBF"/>
    <w:rsid w:val="447F2736"/>
    <w:rsid w:val="44BC57EA"/>
    <w:rsid w:val="44BD072C"/>
    <w:rsid w:val="44BF57D9"/>
    <w:rsid w:val="44C367B8"/>
    <w:rsid w:val="44D8473A"/>
    <w:rsid w:val="44D97BD3"/>
    <w:rsid w:val="44DB259F"/>
    <w:rsid w:val="44E37827"/>
    <w:rsid w:val="44E701A5"/>
    <w:rsid w:val="44F1532A"/>
    <w:rsid w:val="44FD4B05"/>
    <w:rsid w:val="4504286C"/>
    <w:rsid w:val="45080D22"/>
    <w:rsid w:val="450E74EC"/>
    <w:rsid w:val="451900C5"/>
    <w:rsid w:val="45246A6A"/>
    <w:rsid w:val="45265484"/>
    <w:rsid w:val="452D1DC2"/>
    <w:rsid w:val="452D74E0"/>
    <w:rsid w:val="45330528"/>
    <w:rsid w:val="45392515"/>
    <w:rsid w:val="45396AC7"/>
    <w:rsid w:val="45536CBB"/>
    <w:rsid w:val="45606FDE"/>
    <w:rsid w:val="45756CBD"/>
    <w:rsid w:val="45777091"/>
    <w:rsid w:val="457C4123"/>
    <w:rsid w:val="457D34BC"/>
    <w:rsid w:val="45855844"/>
    <w:rsid w:val="458B69F6"/>
    <w:rsid w:val="458B7306"/>
    <w:rsid w:val="45A40F60"/>
    <w:rsid w:val="45A647C9"/>
    <w:rsid w:val="45A84C46"/>
    <w:rsid w:val="45A94A5A"/>
    <w:rsid w:val="45B97CFD"/>
    <w:rsid w:val="45C325DF"/>
    <w:rsid w:val="45C943D0"/>
    <w:rsid w:val="45CC116E"/>
    <w:rsid w:val="45D71D2E"/>
    <w:rsid w:val="45DA04A4"/>
    <w:rsid w:val="45DA6D30"/>
    <w:rsid w:val="45DE14B8"/>
    <w:rsid w:val="45E16709"/>
    <w:rsid w:val="45EC271B"/>
    <w:rsid w:val="46116C98"/>
    <w:rsid w:val="46232DCE"/>
    <w:rsid w:val="46261627"/>
    <w:rsid w:val="462A12E7"/>
    <w:rsid w:val="463842DE"/>
    <w:rsid w:val="46386E53"/>
    <w:rsid w:val="4639036D"/>
    <w:rsid w:val="46395320"/>
    <w:rsid w:val="463A05A5"/>
    <w:rsid w:val="463A5557"/>
    <w:rsid w:val="4644686C"/>
    <w:rsid w:val="46460291"/>
    <w:rsid w:val="464A0A81"/>
    <w:rsid w:val="464F1E28"/>
    <w:rsid w:val="4662439C"/>
    <w:rsid w:val="46625A9D"/>
    <w:rsid w:val="4666004F"/>
    <w:rsid w:val="467873FB"/>
    <w:rsid w:val="46891645"/>
    <w:rsid w:val="469506DA"/>
    <w:rsid w:val="469B1818"/>
    <w:rsid w:val="469D0882"/>
    <w:rsid w:val="46A7492C"/>
    <w:rsid w:val="46A9385A"/>
    <w:rsid w:val="46C43C98"/>
    <w:rsid w:val="46CA4E0D"/>
    <w:rsid w:val="46CE3131"/>
    <w:rsid w:val="46DB7947"/>
    <w:rsid w:val="46E50172"/>
    <w:rsid w:val="46E542E8"/>
    <w:rsid w:val="46F22A09"/>
    <w:rsid w:val="46F96961"/>
    <w:rsid w:val="47040901"/>
    <w:rsid w:val="4709504A"/>
    <w:rsid w:val="470B23CA"/>
    <w:rsid w:val="471E70AB"/>
    <w:rsid w:val="471F573B"/>
    <w:rsid w:val="4727210E"/>
    <w:rsid w:val="472762D3"/>
    <w:rsid w:val="472B0748"/>
    <w:rsid w:val="472B2D63"/>
    <w:rsid w:val="47433D25"/>
    <w:rsid w:val="47454177"/>
    <w:rsid w:val="474A76E9"/>
    <w:rsid w:val="474F15D8"/>
    <w:rsid w:val="47521E8D"/>
    <w:rsid w:val="4754049B"/>
    <w:rsid w:val="47583095"/>
    <w:rsid w:val="475845FC"/>
    <w:rsid w:val="475E7C0D"/>
    <w:rsid w:val="476415D8"/>
    <w:rsid w:val="4768644E"/>
    <w:rsid w:val="476F0470"/>
    <w:rsid w:val="47701558"/>
    <w:rsid w:val="477426A5"/>
    <w:rsid w:val="477779FF"/>
    <w:rsid w:val="4779499C"/>
    <w:rsid w:val="477B49D4"/>
    <w:rsid w:val="47873BD6"/>
    <w:rsid w:val="478962C2"/>
    <w:rsid w:val="47934980"/>
    <w:rsid w:val="47A41ED7"/>
    <w:rsid w:val="47A56D2C"/>
    <w:rsid w:val="47B2336A"/>
    <w:rsid w:val="47BA4F6E"/>
    <w:rsid w:val="47C475D0"/>
    <w:rsid w:val="47C6198F"/>
    <w:rsid w:val="47D7366E"/>
    <w:rsid w:val="47E12DA0"/>
    <w:rsid w:val="486C3D94"/>
    <w:rsid w:val="486D24D6"/>
    <w:rsid w:val="487216E8"/>
    <w:rsid w:val="48773D46"/>
    <w:rsid w:val="487877F8"/>
    <w:rsid w:val="487E7587"/>
    <w:rsid w:val="4887459B"/>
    <w:rsid w:val="489549DF"/>
    <w:rsid w:val="48A226AD"/>
    <w:rsid w:val="48A26623"/>
    <w:rsid w:val="48B2699F"/>
    <w:rsid w:val="48B67D8D"/>
    <w:rsid w:val="48C260C0"/>
    <w:rsid w:val="48D26D9A"/>
    <w:rsid w:val="48DA7E13"/>
    <w:rsid w:val="48E47706"/>
    <w:rsid w:val="4902628A"/>
    <w:rsid w:val="490B2882"/>
    <w:rsid w:val="490B41C9"/>
    <w:rsid w:val="49116A8B"/>
    <w:rsid w:val="4912008E"/>
    <w:rsid w:val="49134EAB"/>
    <w:rsid w:val="492412C0"/>
    <w:rsid w:val="49302BF1"/>
    <w:rsid w:val="494E7D53"/>
    <w:rsid w:val="49725BF5"/>
    <w:rsid w:val="49755E59"/>
    <w:rsid w:val="4988006D"/>
    <w:rsid w:val="498E0547"/>
    <w:rsid w:val="499646A6"/>
    <w:rsid w:val="499F4D25"/>
    <w:rsid w:val="49A63EF1"/>
    <w:rsid w:val="49AC0AB2"/>
    <w:rsid w:val="49B26E0D"/>
    <w:rsid w:val="49B36FE4"/>
    <w:rsid w:val="49BB06FB"/>
    <w:rsid w:val="49BC2A68"/>
    <w:rsid w:val="49C95D53"/>
    <w:rsid w:val="49CE5884"/>
    <w:rsid w:val="49DD60C4"/>
    <w:rsid w:val="49E91D24"/>
    <w:rsid w:val="49EB7211"/>
    <w:rsid w:val="49F04BCB"/>
    <w:rsid w:val="49F17862"/>
    <w:rsid w:val="49FD451C"/>
    <w:rsid w:val="4A037F21"/>
    <w:rsid w:val="4A152F65"/>
    <w:rsid w:val="4A1A3486"/>
    <w:rsid w:val="4A1E617D"/>
    <w:rsid w:val="4A2D6BAB"/>
    <w:rsid w:val="4A3D4856"/>
    <w:rsid w:val="4A3E0914"/>
    <w:rsid w:val="4A3F1207"/>
    <w:rsid w:val="4A4200BE"/>
    <w:rsid w:val="4A484FA8"/>
    <w:rsid w:val="4A4D4DB2"/>
    <w:rsid w:val="4A5527FC"/>
    <w:rsid w:val="4A57472F"/>
    <w:rsid w:val="4A6E0EB3"/>
    <w:rsid w:val="4A715E3D"/>
    <w:rsid w:val="4A9A1CA8"/>
    <w:rsid w:val="4AB72982"/>
    <w:rsid w:val="4AC51705"/>
    <w:rsid w:val="4AF42A0E"/>
    <w:rsid w:val="4AF64A04"/>
    <w:rsid w:val="4B03235C"/>
    <w:rsid w:val="4B17690E"/>
    <w:rsid w:val="4B1B2082"/>
    <w:rsid w:val="4B224ECB"/>
    <w:rsid w:val="4B2D336A"/>
    <w:rsid w:val="4B336491"/>
    <w:rsid w:val="4B3774F7"/>
    <w:rsid w:val="4B60560D"/>
    <w:rsid w:val="4B630CDF"/>
    <w:rsid w:val="4B635F8B"/>
    <w:rsid w:val="4B643369"/>
    <w:rsid w:val="4B65032C"/>
    <w:rsid w:val="4B712A43"/>
    <w:rsid w:val="4B82202B"/>
    <w:rsid w:val="4B863FDA"/>
    <w:rsid w:val="4B97620C"/>
    <w:rsid w:val="4BA60D92"/>
    <w:rsid w:val="4BB56E75"/>
    <w:rsid w:val="4BBE1692"/>
    <w:rsid w:val="4BCA0C2B"/>
    <w:rsid w:val="4BCC5D64"/>
    <w:rsid w:val="4BCD1C09"/>
    <w:rsid w:val="4BD5655B"/>
    <w:rsid w:val="4BD65A7B"/>
    <w:rsid w:val="4BF21173"/>
    <w:rsid w:val="4BF43EA0"/>
    <w:rsid w:val="4C0B49E3"/>
    <w:rsid w:val="4C180EC0"/>
    <w:rsid w:val="4C2757BD"/>
    <w:rsid w:val="4C2B4BD2"/>
    <w:rsid w:val="4C365A00"/>
    <w:rsid w:val="4C3E4345"/>
    <w:rsid w:val="4C40066C"/>
    <w:rsid w:val="4C4B6676"/>
    <w:rsid w:val="4C4D36BA"/>
    <w:rsid w:val="4C543AEB"/>
    <w:rsid w:val="4C636610"/>
    <w:rsid w:val="4C644C8D"/>
    <w:rsid w:val="4C696745"/>
    <w:rsid w:val="4C737423"/>
    <w:rsid w:val="4C792BE9"/>
    <w:rsid w:val="4C875B06"/>
    <w:rsid w:val="4C987A51"/>
    <w:rsid w:val="4C993ABE"/>
    <w:rsid w:val="4C9C4C72"/>
    <w:rsid w:val="4CAA2DCE"/>
    <w:rsid w:val="4CAD6AF7"/>
    <w:rsid w:val="4CB13E3B"/>
    <w:rsid w:val="4CB96EE9"/>
    <w:rsid w:val="4CD66C96"/>
    <w:rsid w:val="4CD859A2"/>
    <w:rsid w:val="4CDC4359"/>
    <w:rsid w:val="4CDC5A3B"/>
    <w:rsid w:val="4CDF0E5D"/>
    <w:rsid w:val="4CE376D5"/>
    <w:rsid w:val="4D0D3FCB"/>
    <w:rsid w:val="4D0E652F"/>
    <w:rsid w:val="4D1216BD"/>
    <w:rsid w:val="4D2A5D2C"/>
    <w:rsid w:val="4D2C67F8"/>
    <w:rsid w:val="4D31476E"/>
    <w:rsid w:val="4D3A07DD"/>
    <w:rsid w:val="4D3B1A90"/>
    <w:rsid w:val="4D416E20"/>
    <w:rsid w:val="4D4817B2"/>
    <w:rsid w:val="4D547564"/>
    <w:rsid w:val="4D6C65CD"/>
    <w:rsid w:val="4D8217BA"/>
    <w:rsid w:val="4D9C1BB4"/>
    <w:rsid w:val="4DA43BF6"/>
    <w:rsid w:val="4DAA2DE6"/>
    <w:rsid w:val="4DC65A69"/>
    <w:rsid w:val="4DD038DE"/>
    <w:rsid w:val="4DDE4635"/>
    <w:rsid w:val="4DEF7E89"/>
    <w:rsid w:val="4DF4626D"/>
    <w:rsid w:val="4DF5153D"/>
    <w:rsid w:val="4DFC20A2"/>
    <w:rsid w:val="4DFF1B97"/>
    <w:rsid w:val="4E01203E"/>
    <w:rsid w:val="4E020B1B"/>
    <w:rsid w:val="4E043535"/>
    <w:rsid w:val="4E1230F9"/>
    <w:rsid w:val="4E1362FB"/>
    <w:rsid w:val="4E211996"/>
    <w:rsid w:val="4E25360E"/>
    <w:rsid w:val="4E2719FC"/>
    <w:rsid w:val="4E41684D"/>
    <w:rsid w:val="4E5E12F1"/>
    <w:rsid w:val="4E616639"/>
    <w:rsid w:val="4E62045F"/>
    <w:rsid w:val="4E66793D"/>
    <w:rsid w:val="4E731B38"/>
    <w:rsid w:val="4E783F31"/>
    <w:rsid w:val="4E881E17"/>
    <w:rsid w:val="4EAC689C"/>
    <w:rsid w:val="4EB25AA5"/>
    <w:rsid w:val="4EB42C0C"/>
    <w:rsid w:val="4ECC32FB"/>
    <w:rsid w:val="4EDD2691"/>
    <w:rsid w:val="4EF911E3"/>
    <w:rsid w:val="4EF94046"/>
    <w:rsid w:val="4F003827"/>
    <w:rsid w:val="4F0048E8"/>
    <w:rsid w:val="4F037C1C"/>
    <w:rsid w:val="4F0C760F"/>
    <w:rsid w:val="4F15188C"/>
    <w:rsid w:val="4F162F8C"/>
    <w:rsid w:val="4F1B205A"/>
    <w:rsid w:val="4F255836"/>
    <w:rsid w:val="4F29165C"/>
    <w:rsid w:val="4F3C7E8D"/>
    <w:rsid w:val="4F3F24FD"/>
    <w:rsid w:val="4F4F67C3"/>
    <w:rsid w:val="4F542EE9"/>
    <w:rsid w:val="4F580453"/>
    <w:rsid w:val="4F602D94"/>
    <w:rsid w:val="4F647CAE"/>
    <w:rsid w:val="4F7F4759"/>
    <w:rsid w:val="4F85685A"/>
    <w:rsid w:val="4F883FE5"/>
    <w:rsid w:val="4F8A3560"/>
    <w:rsid w:val="4F8A6E9D"/>
    <w:rsid w:val="4F9A62A6"/>
    <w:rsid w:val="4FA00EA1"/>
    <w:rsid w:val="4FA703F4"/>
    <w:rsid w:val="4FA7410F"/>
    <w:rsid w:val="4FAD5B31"/>
    <w:rsid w:val="4FB05ACA"/>
    <w:rsid w:val="4FB10DBD"/>
    <w:rsid w:val="4FB1747E"/>
    <w:rsid w:val="4FBE30A4"/>
    <w:rsid w:val="4FD02150"/>
    <w:rsid w:val="4FD31755"/>
    <w:rsid w:val="4FD47514"/>
    <w:rsid w:val="4FDC31A9"/>
    <w:rsid w:val="4FE15CB0"/>
    <w:rsid w:val="4FE65959"/>
    <w:rsid w:val="4FF525AA"/>
    <w:rsid w:val="4FF63DCE"/>
    <w:rsid w:val="50096044"/>
    <w:rsid w:val="500A5543"/>
    <w:rsid w:val="501D01A2"/>
    <w:rsid w:val="501D19C7"/>
    <w:rsid w:val="50294D88"/>
    <w:rsid w:val="50372FFC"/>
    <w:rsid w:val="50381A05"/>
    <w:rsid w:val="504305E6"/>
    <w:rsid w:val="504C6018"/>
    <w:rsid w:val="50500C93"/>
    <w:rsid w:val="505E71AE"/>
    <w:rsid w:val="506E1264"/>
    <w:rsid w:val="508456FE"/>
    <w:rsid w:val="508B7406"/>
    <w:rsid w:val="509F73B0"/>
    <w:rsid w:val="50B26A6B"/>
    <w:rsid w:val="50C20F4E"/>
    <w:rsid w:val="50C51101"/>
    <w:rsid w:val="50CD4459"/>
    <w:rsid w:val="50D40C4B"/>
    <w:rsid w:val="50E46F54"/>
    <w:rsid w:val="50E87F9F"/>
    <w:rsid w:val="50F26FD7"/>
    <w:rsid w:val="50F27DC3"/>
    <w:rsid w:val="510A0B7F"/>
    <w:rsid w:val="510E0858"/>
    <w:rsid w:val="510F5BEA"/>
    <w:rsid w:val="512978E2"/>
    <w:rsid w:val="512F07EA"/>
    <w:rsid w:val="5130002C"/>
    <w:rsid w:val="514054DD"/>
    <w:rsid w:val="5144267E"/>
    <w:rsid w:val="514D07CA"/>
    <w:rsid w:val="51604849"/>
    <w:rsid w:val="51747844"/>
    <w:rsid w:val="51777F08"/>
    <w:rsid w:val="51797862"/>
    <w:rsid w:val="517D6B05"/>
    <w:rsid w:val="51806E48"/>
    <w:rsid w:val="51912DDA"/>
    <w:rsid w:val="51915487"/>
    <w:rsid w:val="519B7908"/>
    <w:rsid w:val="51AB47E1"/>
    <w:rsid w:val="51AD4828"/>
    <w:rsid w:val="51B047FE"/>
    <w:rsid w:val="51B204B9"/>
    <w:rsid w:val="51B56296"/>
    <w:rsid w:val="51BB3147"/>
    <w:rsid w:val="51C72834"/>
    <w:rsid w:val="51DA0BDC"/>
    <w:rsid w:val="51E16066"/>
    <w:rsid w:val="51E74EF3"/>
    <w:rsid w:val="520C2961"/>
    <w:rsid w:val="522F500B"/>
    <w:rsid w:val="523852D6"/>
    <w:rsid w:val="523A7DCF"/>
    <w:rsid w:val="523E2509"/>
    <w:rsid w:val="523E768F"/>
    <w:rsid w:val="5242577E"/>
    <w:rsid w:val="52530988"/>
    <w:rsid w:val="52631C79"/>
    <w:rsid w:val="52683892"/>
    <w:rsid w:val="527076ED"/>
    <w:rsid w:val="5278251C"/>
    <w:rsid w:val="52783884"/>
    <w:rsid w:val="52866565"/>
    <w:rsid w:val="529D66D8"/>
    <w:rsid w:val="529E7E5B"/>
    <w:rsid w:val="52A5407B"/>
    <w:rsid w:val="52A87A96"/>
    <w:rsid w:val="52AC28BC"/>
    <w:rsid w:val="52B05067"/>
    <w:rsid w:val="52CC01AE"/>
    <w:rsid w:val="52CC23E6"/>
    <w:rsid w:val="52D05C12"/>
    <w:rsid w:val="52D23FA9"/>
    <w:rsid w:val="52D7787C"/>
    <w:rsid w:val="52E07238"/>
    <w:rsid w:val="52EA11D5"/>
    <w:rsid w:val="52EF49AD"/>
    <w:rsid w:val="5329120F"/>
    <w:rsid w:val="53314CE8"/>
    <w:rsid w:val="53360094"/>
    <w:rsid w:val="536F68C7"/>
    <w:rsid w:val="537C1F2B"/>
    <w:rsid w:val="5382736B"/>
    <w:rsid w:val="539C09AC"/>
    <w:rsid w:val="539C6218"/>
    <w:rsid w:val="539D6771"/>
    <w:rsid w:val="539E491F"/>
    <w:rsid w:val="53B24EEA"/>
    <w:rsid w:val="53B97E84"/>
    <w:rsid w:val="53BA2B75"/>
    <w:rsid w:val="53BF4F14"/>
    <w:rsid w:val="53C53301"/>
    <w:rsid w:val="53C72845"/>
    <w:rsid w:val="53CA6414"/>
    <w:rsid w:val="53CC1436"/>
    <w:rsid w:val="53CD661E"/>
    <w:rsid w:val="53CF1DAE"/>
    <w:rsid w:val="53D00E36"/>
    <w:rsid w:val="53D0673A"/>
    <w:rsid w:val="53D31D47"/>
    <w:rsid w:val="53DD499C"/>
    <w:rsid w:val="53DF56E0"/>
    <w:rsid w:val="53EF09CA"/>
    <w:rsid w:val="53F014B1"/>
    <w:rsid w:val="54057F46"/>
    <w:rsid w:val="5408182A"/>
    <w:rsid w:val="5411488E"/>
    <w:rsid w:val="54125F57"/>
    <w:rsid w:val="54187343"/>
    <w:rsid w:val="541C31AF"/>
    <w:rsid w:val="5420466B"/>
    <w:rsid w:val="5420540E"/>
    <w:rsid w:val="54280C0F"/>
    <w:rsid w:val="542D2DFE"/>
    <w:rsid w:val="54317177"/>
    <w:rsid w:val="5433414C"/>
    <w:rsid w:val="54465F20"/>
    <w:rsid w:val="54497292"/>
    <w:rsid w:val="545D4199"/>
    <w:rsid w:val="547235CB"/>
    <w:rsid w:val="54831B18"/>
    <w:rsid w:val="548F5C4F"/>
    <w:rsid w:val="54936AF0"/>
    <w:rsid w:val="549502FD"/>
    <w:rsid w:val="54AA6F8B"/>
    <w:rsid w:val="54AB09A6"/>
    <w:rsid w:val="54AF20D4"/>
    <w:rsid w:val="54B72A99"/>
    <w:rsid w:val="54BC49A0"/>
    <w:rsid w:val="54CC7AC8"/>
    <w:rsid w:val="54FE4EC4"/>
    <w:rsid w:val="55022976"/>
    <w:rsid w:val="550626E2"/>
    <w:rsid w:val="551A2201"/>
    <w:rsid w:val="551C096F"/>
    <w:rsid w:val="55240097"/>
    <w:rsid w:val="552A0691"/>
    <w:rsid w:val="552C3D46"/>
    <w:rsid w:val="554D13EE"/>
    <w:rsid w:val="55651AA0"/>
    <w:rsid w:val="55797798"/>
    <w:rsid w:val="557C57EF"/>
    <w:rsid w:val="558163EB"/>
    <w:rsid w:val="55854A5F"/>
    <w:rsid w:val="55871F7E"/>
    <w:rsid w:val="559341A6"/>
    <w:rsid w:val="5594298A"/>
    <w:rsid w:val="559F4616"/>
    <w:rsid w:val="55A0213D"/>
    <w:rsid w:val="55A167FB"/>
    <w:rsid w:val="55A45A9F"/>
    <w:rsid w:val="55B17EA6"/>
    <w:rsid w:val="55C57ADE"/>
    <w:rsid w:val="55CE22F2"/>
    <w:rsid w:val="55F936EF"/>
    <w:rsid w:val="55FA0B36"/>
    <w:rsid w:val="56160365"/>
    <w:rsid w:val="56162CC9"/>
    <w:rsid w:val="561717F3"/>
    <w:rsid w:val="561E54E3"/>
    <w:rsid w:val="564D4072"/>
    <w:rsid w:val="565F0360"/>
    <w:rsid w:val="566030D8"/>
    <w:rsid w:val="566539D0"/>
    <w:rsid w:val="566E6821"/>
    <w:rsid w:val="56812FF6"/>
    <w:rsid w:val="5697353F"/>
    <w:rsid w:val="569F32F8"/>
    <w:rsid w:val="56A8416C"/>
    <w:rsid w:val="56AA4508"/>
    <w:rsid w:val="56CA56C3"/>
    <w:rsid w:val="56DD5432"/>
    <w:rsid w:val="56DD747D"/>
    <w:rsid w:val="56EA5375"/>
    <w:rsid w:val="56EE039D"/>
    <w:rsid w:val="56F1627A"/>
    <w:rsid w:val="56F96728"/>
    <w:rsid w:val="571F273F"/>
    <w:rsid w:val="57224F31"/>
    <w:rsid w:val="572F7A73"/>
    <w:rsid w:val="5751212C"/>
    <w:rsid w:val="575B5634"/>
    <w:rsid w:val="575D464A"/>
    <w:rsid w:val="575D7EC0"/>
    <w:rsid w:val="576138FC"/>
    <w:rsid w:val="57621579"/>
    <w:rsid w:val="5785592C"/>
    <w:rsid w:val="578736CD"/>
    <w:rsid w:val="578739BB"/>
    <w:rsid w:val="57893C0F"/>
    <w:rsid w:val="579601A7"/>
    <w:rsid w:val="5798256F"/>
    <w:rsid w:val="579840C7"/>
    <w:rsid w:val="57990C53"/>
    <w:rsid w:val="579B6A3A"/>
    <w:rsid w:val="579E26AC"/>
    <w:rsid w:val="57B95737"/>
    <w:rsid w:val="57BD5228"/>
    <w:rsid w:val="57C2221D"/>
    <w:rsid w:val="57C42129"/>
    <w:rsid w:val="57D52B76"/>
    <w:rsid w:val="57DC1CDA"/>
    <w:rsid w:val="57E1536E"/>
    <w:rsid w:val="57E25C69"/>
    <w:rsid w:val="57F23C5C"/>
    <w:rsid w:val="57F937DC"/>
    <w:rsid w:val="57FD673B"/>
    <w:rsid w:val="581224A2"/>
    <w:rsid w:val="58226EF1"/>
    <w:rsid w:val="583A7FA8"/>
    <w:rsid w:val="58440A79"/>
    <w:rsid w:val="58544955"/>
    <w:rsid w:val="58566AE7"/>
    <w:rsid w:val="58590AD0"/>
    <w:rsid w:val="585962B5"/>
    <w:rsid w:val="585F5B75"/>
    <w:rsid w:val="58615BB3"/>
    <w:rsid w:val="586A7801"/>
    <w:rsid w:val="587126D4"/>
    <w:rsid w:val="587349D9"/>
    <w:rsid w:val="587A4269"/>
    <w:rsid w:val="588F43B7"/>
    <w:rsid w:val="589A5A5F"/>
    <w:rsid w:val="58B94375"/>
    <w:rsid w:val="58BA4A70"/>
    <w:rsid w:val="58DF11CE"/>
    <w:rsid w:val="58E82E75"/>
    <w:rsid w:val="58F537AF"/>
    <w:rsid w:val="58FD0793"/>
    <w:rsid w:val="5902444F"/>
    <w:rsid w:val="59043A09"/>
    <w:rsid w:val="591B5CBF"/>
    <w:rsid w:val="5927514C"/>
    <w:rsid w:val="592D7C37"/>
    <w:rsid w:val="593B53B8"/>
    <w:rsid w:val="594F610B"/>
    <w:rsid w:val="59600EE5"/>
    <w:rsid w:val="59634BDC"/>
    <w:rsid w:val="596D67DA"/>
    <w:rsid w:val="59766ED3"/>
    <w:rsid w:val="597F36B6"/>
    <w:rsid w:val="598A15DC"/>
    <w:rsid w:val="59941B20"/>
    <w:rsid w:val="599A4004"/>
    <w:rsid w:val="599B086D"/>
    <w:rsid w:val="59A10DD3"/>
    <w:rsid w:val="59B927ED"/>
    <w:rsid w:val="59BF5C8E"/>
    <w:rsid w:val="59C31511"/>
    <w:rsid w:val="59C50B91"/>
    <w:rsid w:val="59CF0A40"/>
    <w:rsid w:val="59D43437"/>
    <w:rsid w:val="59D625D1"/>
    <w:rsid w:val="59D97EC2"/>
    <w:rsid w:val="59E27409"/>
    <w:rsid w:val="59E52BA1"/>
    <w:rsid w:val="59EB7343"/>
    <w:rsid w:val="59ED36DC"/>
    <w:rsid w:val="59F4376F"/>
    <w:rsid w:val="59FB5539"/>
    <w:rsid w:val="59FC781F"/>
    <w:rsid w:val="5A0724B1"/>
    <w:rsid w:val="5A1C6E0C"/>
    <w:rsid w:val="5A266FC0"/>
    <w:rsid w:val="5A2817A5"/>
    <w:rsid w:val="5A345068"/>
    <w:rsid w:val="5A3526A3"/>
    <w:rsid w:val="5A4033C2"/>
    <w:rsid w:val="5A4A072C"/>
    <w:rsid w:val="5A4E41C1"/>
    <w:rsid w:val="5A6210CC"/>
    <w:rsid w:val="5A654D08"/>
    <w:rsid w:val="5A7348C9"/>
    <w:rsid w:val="5A7521D8"/>
    <w:rsid w:val="5A7E7218"/>
    <w:rsid w:val="5A7F4506"/>
    <w:rsid w:val="5A936069"/>
    <w:rsid w:val="5A961224"/>
    <w:rsid w:val="5A9725BE"/>
    <w:rsid w:val="5AB02E22"/>
    <w:rsid w:val="5AC76508"/>
    <w:rsid w:val="5AD45AFB"/>
    <w:rsid w:val="5AD52888"/>
    <w:rsid w:val="5AD61113"/>
    <w:rsid w:val="5AF72A21"/>
    <w:rsid w:val="5AFC1624"/>
    <w:rsid w:val="5B095493"/>
    <w:rsid w:val="5B115BA8"/>
    <w:rsid w:val="5B235AE9"/>
    <w:rsid w:val="5B246A53"/>
    <w:rsid w:val="5B33382B"/>
    <w:rsid w:val="5B345801"/>
    <w:rsid w:val="5B416E74"/>
    <w:rsid w:val="5B433C96"/>
    <w:rsid w:val="5B437EA2"/>
    <w:rsid w:val="5B534ED1"/>
    <w:rsid w:val="5B745D8C"/>
    <w:rsid w:val="5B750108"/>
    <w:rsid w:val="5B8859A0"/>
    <w:rsid w:val="5B886BD0"/>
    <w:rsid w:val="5B8B5CD7"/>
    <w:rsid w:val="5B8E2674"/>
    <w:rsid w:val="5B8F6E7C"/>
    <w:rsid w:val="5B975D90"/>
    <w:rsid w:val="5B9932D2"/>
    <w:rsid w:val="5B995664"/>
    <w:rsid w:val="5B9F7743"/>
    <w:rsid w:val="5BAB0BC1"/>
    <w:rsid w:val="5BAC6AEC"/>
    <w:rsid w:val="5BAD7361"/>
    <w:rsid w:val="5BB37628"/>
    <w:rsid w:val="5BB522B5"/>
    <w:rsid w:val="5BBA4618"/>
    <w:rsid w:val="5BC30933"/>
    <w:rsid w:val="5BC9548B"/>
    <w:rsid w:val="5BE16D34"/>
    <w:rsid w:val="5BF84DDB"/>
    <w:rsid w:val="5BFB1B82"/>
    <w:rsid w:val="5C0220EB"/>
    <w:rsid w:val="5C036F81"/>
    <w:rsid w:val="5C111338"/>
    <w:rsid w:val="5C1C7821"/>
    <w:rsid w:val="5C3419FF"/>
    <w:rsid w:val="5C480E38"/>
    <w:rsid w:val="5C58107B"/>
    <w:rsid w:val="5C5D2B35"/>
    <w:rsid w:val="5C5D48E3"/>
    <w:rsid w:val="5C691941"/>
    <w:rsid w:val="5C6C44F3"/>
    <w:rsid w:val="5C7919DF"/>
    <w:rsid w:val="5C881C62"/>
    <w:rsid w:val="5C8B6E93"/>
    <w:rsid w:val="5C9038A6"/>
    <w:rsid w:val="5C983B6D"/>
    <w:rsid w:val="5C9A78E6"/>
    <w:rsid w:val="5CA4219D"/>
    <w:rsid w:val="5CB35D47"/>
    <w:rsid w:val="5CB50EF3"/>
    <w:rsid w:val="5CC47458"/>
    <w:rsid w:val="5CC85C68"/>
    <w:rsid w:val="5CDD7838"/>
    <w:rsid w:val="5CEC3A93"/>
    <w:rsid w:val="5CEF405D"/>
    <w:rsid w:val="5CF62188"/>
    <w:rsid w:val="5CFE5040"/>
    <w:rsid w:val="5D042FB1"/>
    <w:rsid w:val="5D1341B2"/>
    <w:rsid w:val="5D1405A6"/>
    <w:rsid w:val="5D154AF0"/>
    <w:rsid w:val="5D186A5C"/>
    <w:rsid w:val="5D251093"/>
    <w:rsid w:val="5D275A93"/>
    <w:rsid w:val="5D287B54"/>
    <w:rsid w:val="5D3047D1"/>
    <w:rsid w:val="5D483FF4"/>
    <w:rsid w:val="5D494018"/>
    <w:rsid w:val="5D4D31C7"/>
    <w:rsid w:val="5D6A7A02"/>
    <w:rsid w:val="5D6B14A2"/>
    <w:rsid w:val="5D816F8F"/>
    <w:rsid w:val="5D8A2AFF"/>
    <w:rsid w:val="5D9142A9"/>
    <w:rsid w:val="5D9B0E6A"/>
    <w:rsid w:val="5D9E1AED"/>
    <w:rsid w:val="5D9E4E16"/>
    <w:rsid w:val="5DAF46CB"/>
    <w:rsid w:val="5DAF5613"/>
    <w:rsid w:val="5DBA0135"/>
    <w:rsid w:val="5DC0337C"/>
    <w:rsid w:val="5DCD5DE5"/>
    <w:rsid w:val="5DD437EF"/>
    <w:rsid w:val="5DF16302"/>
    <w:rsid w:val="5DFB118E"/>
    <w:rsid w:val="5DFF4B46"/>
    <w:rsid w:val="5E1767B1"/>
    <w:rsid w:val="5E191028"/>
    <w:rsid w:val="5E20206C"/>
    <w:rsid w:val="5E227B93"/>
    <w:rsid w:val="5E384714"/>
    <w:rsid w:val="5E3B0A10"/>
    <w:rsid w:val="5E3B0C54"/>
    <w:rsid w:val="5E424B71"/>
    <w:rsid w:val="5E5D3945"/>
    <w:rsid w:val="5E6A153A"/>
    <w:rsid w:val="5E881A80"/>
    <w:rsid w:val="5E9200BF"/>
    <w:rsid w:val="5EA97545"/>
    <w:rsid w:val="5EAE75A4"/>
    <w:rsid w:val="5EB51AB3"/>
    <w:rsid w:val="5EBD78BF"/>
    <w:rsid w:val="5EC33621"/>
    <w:rsid w:val="5ECE5E6C"/>
    <w:rsid w:val="5ECF690A"/>
    <w:rsid w:val="5ED13367"/>
    <w:rsid w:val="5EDE5813"/>
    <w:rsid w:val="5EE427C3"/>
    <w:rsid w:val="5EEF53E5"/>
    <w:rsid w:val="5EF05BA6"/>
    <w:rsid w:val="5EF31C67"/>
    <w:rsid w:val="5EF4004E"/>
    <w:rsid w:val="5EF62DCD"/>
    <w:rsid w:val="5EF76DC0"/>
    <w:rsid w:val="5EFA106E"/>
    <w:rsid w:val="5EFF06CD"/>
    <w:rsid w:val="5F010576"/>
    <w:rsid w:val="5F0251FA"/>
    <w:rsid w:val="5F0265AC"/>
    <w:rsid w:val="5F0E693E"/>
    <w:rsid w:val="5F2D435B"/>
    <w:rsid w:val="5F3202A9"/>
    <w:rsid w:val="5F4475AE"/>
    <w:rsid w:val="5F4A6799"/>
    <w:rsid w:val="5F6C2424"/>
    <w:rsid w:val="5F6E718C"/>
    <w:rsid w:val="5F767D2F"/>
    <w:rsid w:val="5F946A7C"/>
    <w:rsid w:val="5F964E5F"/>
    <w:rsid w:val="5FBA79B0"/>
    <w:rsid w:val="5FC61813"/>
    <w:rsid w:val="5FD27396"/>
    <w:rsid w:val="5FD57CF6"/>
    <w:rsid w:val="5FDE7B88"/>
    <w:rsid w:val="5FE43EEF"/>
    <w:rsid w:val="5FF50EAD"/>
    <w:rsid w:val="5FFC2665"/>
    <w:rsid w:val="5FFE6E0D"/>
    <w:rsid w:val="600676E3"/>
    <w:rsid w:val="600F4147"/>
    <w:rsid w:val="601C5687"/>
    <w:rsid w:val="60210FF8"/>
    <w:rsid w:val="602219B8"/>
    <w:rsid w:val="60250451"/>
    <w:rsid w:val="602B7B91"/>
    <w:rsid w:val="60391C4C"/>
    <w:rsid w:val="603B021E"/>
    <w:rsid w:val="60524986"/>
    <w:rsid w:val="60584683"/>
    <w:rsid w:val="606F768E"/>
    <w:rsid w:val="6070328D"/>
    <w:rsid w:val="60733548"/>
    <w:rsid w:val="60741B68"/>
    <w:rsid w:val="6078526D"/>
    <w:rsid w:val="608D00E3"/>
    <w:rsid w:val="60957760"/>
    <w:rsid w:val="60992490"/>
    <w:rsid w:val="60A1419A"/>
    <w:rsid w:val="60A43A47"/>
    <w:rsid w:val="60A501AC"/>
    <w:rsid w:val="60A62CD1"/>
    <w:rsid w:val="60AB3CCD"/>
    <w:rsid w:val="60C15BBD"/>
    <w:rsid w:val="60C33C2B"/>
    <w:rsid w:val="60D01E8A"/>
    <w:rsid w:val="60E253D9"/>
    <w:rsid w:val="60E82CA1"/>
    <w:rsid w:val="60E97ACC"/>
    <w:rsid w:val="60F15F42"/>
    <w:rsid w:val="60F168D4"/>
    <w:rsid w:val="60F26933"/>
    <w:rsid w:val="60F56FE3"/>
    <w:rsid w:val="610B7004"/>
    <w:rsid w:val="61160E7E"/>
    <w:rsid w:val="61311E12"/>
    <w:rsid w:val="61412723"/>
    <w:rsid w:val="61637659"/>
    <w:rsid w:val="617C570B"/>
    <w:rsid w:val="617F6C58"/>
    <w:rsid w:val="61853804"/>
    <w:rsid w:val="618C0568"/>
    <w:rsid w:val="619B53CA"/>
    <w:rsid w:val="61A56DFA"/>
    <w:rsid w:val="61BB4BC5"/>
    <w:rsid w:val="61C4751D"/>
    <w:rsid w:val="61DD43D6"/>
    <w:rsid w:val="61E77B08"/>
    <w:rsid w:val="61E810F3"/>
    <w:rsid w:val="61EB5F1D"/>
    <w:rsid w:val="61F2797D"/>
    <w:rsid w:val="61FC1ECB"/>
    <w:rsid w:val="62095D9E"/>
    <w:rsid w:val="621355E2"/>
    <w:rsid w:val="621B5631"/>
    <w:rsid w:val="621C08E6"/>
    <w:rsid w:val="62305D9C"/>
    <w:rsid w:val="62455E7F"/>
    <w:rsid w:val="624C125B"/>
    <w:rsid w:val="62612D73"/>
    <w:rsid w:val="626D1DCC"/>
    <w:rsid w:val="626D5F91"/>
    <w:rsid w:val="62787EEC"/>
    <w:rsid w:val="627E7D9D"/>
    <w:rsid w:val="62810C2D"/>
    <w:rsid w:val="628407FE"/>
    <w:rsid w:val="62880405"/>
    <w:rsid w:val="629073C4"/>
    <w:rsid w:val="62996318"/>
    <w:rsid w:val="62AA45FB"/>
    <w:rsid w:val="62AA6D2C"/>
    <w:rsid w:val="62B0179B"/>
    <w:rsid w:val="62CC094F"/>
    <w:rsid w:val="62D201FC"/>
    <w:rsid w:val="62F12CA6"/>
    <w:rsid w:val="62F9296A"/>
    <w:rsid w:val="62FB45CD"/>
    <w:rsid w:val="630334E9"/>
    <w:rsid w:val="631B72A6"/>
    <w:rsid w:val="63242B23"/>
    <w:rsid w:val="632D038D"/>
    <w:rsid w:val="63453DEB"/>
    <w:rsid w:val="63511C8D"/>
    <w:rsid w:val="635C73A1"/>
    <w:rsid w:val="635D78BF"/>
    <w:rsid w:val="63641914"/>
    <w:rsid w:val="63743838"/>
    <w:rsid w:val="637455EF"/>
    <w:rsid w:val="637509AF"/>
    <w:rsid w:val="638730C9"/>
    <w:rsid w:val="63A23228"/>
    <w:rsid w:val="63AB5D44"/>
    <w:rsid w:val="63AC528F"/>
    <w:rsid w:val="63B04CF8"/>
    <w:rsid w:val="63BA7188"/>
    <w:rsid w:val="63BF796E"/>
    <w:rsid w:val="63C705B2"/>
    <w:rsid w:val="63C8241B"/>
    <w:rsid w:val="63C86E42"/>
    <w:rsid w:val="63DF59C2"/>
    <w:rsid w:val="63E6136F"/>
    <w:rsid w:val="63EA625B"/>
    <w:rsid w:val="63EF5D9F"/>
    <w:rsid w:val="63FC6F31"/>
    <w:rsid w:val="64276546"/>
    <w:rsid w:val="642E4F72"/>
    <w:rsid w:val="64385E65"/>
    <w:rsid w:val="64395C36"/>
    <w:rsid w:val="64405FB0"/>
    <w:rsid w:val="64497199"/>
    <w:rsid w:val="644B3B98"/>
    <w:rsid w:val="646469D4"/>
    <w:rsid w:val="647A419D"/>
    <w:rsid w:val="64846083"/>
    <w:rsid w:val="64851089"/>
    <w:rsid w:val="648C0E64"/>
    <w:rsid w:val="649445F6"/>
    <w:rsid w:val="64983CC9"/>
    <w:rsid w:val="64B109D5"/>
    <w:rsid w:val="64C574CA"/>
    <w:rsid w:val="64CB617B"/>
    <w:rsid w:val="64E43E7F"/>
    <w:rsid w:val="64EC2CA8"/>
    <w:rsid w:val="64FE5C71"/>
    <w:rsid w:val="65007BC5"/>
    <w:rsid w:val="650E58CD"/>
    <w:rsid w:val="65107E36"/>
    <w:rsid w:val="65183A9D"/>
    <w:rsid w:val="65354E1B"/>
    <w:rsid w:val="654E476E"/>
    <w:rsid w:val="655A6816"/>
    <w:rsid w:val="65631B13"/>
    <w:rsid w:val="6579732B"/>
    <w:rsid w:val="657B11CD"/>
    <w:rsid w:val="6581003A"/>
    <w:rsid w:val="658A6BCD"/>
    <w:rsid w:val="659D0782"/>
    <w:rsid w:val="659D7C90"/>
    <w:rsid w:val="65A74CE3"/>
    <w:rsid w:val="65B07F96"/>
    <w:rsid w:val="65C85C1B"/>
    <w:rsid w:val="65D04EEB"/>
    <w:rsid w:val="65D424B9"/>
    <w:rsid w:val="65DB6E4D"/>
    <w:rsid w:val="65E31DEE"/>
    <w:rsid w:val="65E816C2"/>
    <w:rsid w:val="65F334C9"/>
    <w:rsid w:val="66001BA4"/>
    <w:rsid w:val="66025947"/>
    <w:rsid w:val="662303C6"/>
    <w:rsid w:val="662C6373"/>
    <w:rsid w:val="663C583B"/>
    <w:rsid w:val="663C7469"/>
    <w:rsid w:val="664903D5"/>
    <w:rsid w:val="664D3C1B"/>
    <w:rsid w:val="66690859"/>
    <w:rsid w:val="666D1D58"/>
    <w:rsid w:val="667747F4"/>
    <w:rsid w:val="66A54030"/>
    <w:rsid w:val="66A71014"/>
    <w:rsid w:val="66B8269C"/>
    <w:rsid w:val="66DA6749"/>
    <w:rsid w:val="66F57243"/>
    <w:rsid w:val="671D46C8"/>
    <w:rsid w:val="671F22A3"/>
    <w:rsid w:val="67291A35"/>
    <w:rsid w:val="673669FF"/>
    <w:rsid w:val="67393CB7"/>
    <w:rsid w:val="673C6439"/>
    <w:rsid w:val="67406A12"/>
    <w:rsid w:val="675C1FE9"/>
    <w:rsid w:val="676166A9"/>
    <w:rsid w:val="67624FF0"/>
    <w:rsid w:val="676A0B2B"/>
    <w:rsid w:val="676C3006"/>
    <w:rsid w:val="6773320D"/>
    <w:rsid w:val="67827A7F"/>
    <w:rsid w:val="67917B37"/>
    <w:rsid w:val="679C2007"/>
    <w:rsid w:val="67A667D3"/>
    <w:rsid w:val="67A74C82"/>
    <w:rsid w:val="67A95111"/>
    <w:rsid w:val="67B845F6"/>
    <w:rsid w:val="67C365BF"/>
    <w:rsid w:val="67D8341E"/>
    <w:rsid w:val="67E46FF5"/>
    <w:rsid w:val="67E66A6F"/>
    <w:rsid w:val="67EB2D8A"/>
    <w:rsid w:val="67ED6C16"/>
    <w:rsid w:val="680A6C82"/>
    <w:rsid w:val="681A7B2C"/>
    <w:rsid w:val="681C4E3A"/>
    <w:rsid w:val="6824034C"/>
    <w:rsid w:val="68340E40"/>
    <w:rsid w:val="683A1C4F"/>
    <w:rsid w:val="683E3347"/>
    <w:rsid w:val="685E57CE"/>
    <w:rsid w:val="685F4AA0"/>
    <w:rsid w:val="68623D3F"/>
    <w:rsid w:val="68637725"/>
    <w:rsid w:val="68690D12"/>
    <w:rsid w:val="686920FE"/>
    <w:rsid w:val="686A3AA5"/>
    <w:rsid w:val="686A7C53"/>
    <w:rsid w:val="686C7E0A"/>
    <w:rsid w:val="68757042"/>
    <w:rsid w:val="687D6111"/>
    <w:rsid w:val="6886166B"/>
    <w:rsid w:val="688C683F"/>
    <w:rsid w:val="68954A3C"/>
    <w:rsid w:val="689B0DF8"/>
    <w:rsid w:val="689E21E1"/>
    <w:rsid w:val="68B5096E"/>
    <w:rsid w:val="68C31F72"/>
    <w:rsid w:val="68CA16AC"/>
    <w:rsid w:val="68CC10BC"/>
    <w:rsid w:val="68CC52CB"/>
    <w:rsid w:val="68DD6960"/>
    <w:rsid w:val="68F44B09"/>
    <w:rsid w:val="68FA1B9A"/>
    <w:rsid w:val="691555DA"/>
    <w:rsid w:val="694A5AE0"/>
    <w:rsid w:val="694E046E"/>
    <w:rsid w:val="696279DD"/>
    <w:rsid w:val="69652D27"/>
    <w:rsid w:val="696F21D5"/>
    <w:rsid w:val="696F6B93"/>
    <w:rsid w:val="697269FC"/>
    <w:rsid w:val="69731BEA"/>
    <w:rsid w:val="697A0C4A"/>
    <w:rsid w:val="698E5CD2"/>
    <w:rsid w:val="69952A0C"/>
    <w:rsid w:val="699A1218"/>
    <w:rsid w:val="699B4BDB"/>
    <w:rsid w:val="69A51678"/>
    <w:rsid w:val="69BB329B"/>
    <w:rsid w:val="69BD4C61"/>
    <w:rsid w:val="69C06D04"/>
    <w:rsid w:val="69C14B59"/>
    <w:rsid w:val="69C229DF"/>
    <w:rsid w:val="69E623BC"/>
    <w:rsid w:val="69E629F3"/>
    <w:rsid w:val="69E67A92"/>
    <w:rsid w:val="69E72F3D"/>
    <w:rsid w:val="69F5057B"/>
    <w:rsid w:val="69FC56C6"/>
    <w:rsid w:val="69FD3B6F"/>
    <w:rsid w:val="6A0065EF"/>
    <w:rsid w:val="6A072332"/>
    <w:rsid w:val="6A0B281D"/>
    <w:rsid w:val="6A171637"/>
    <w:rsid w:val="6A1F1C32"/>
    <w:rsid w:val="6A2259D9"/>
    <w:rsid w:val="6A2C41C6"/>
    <w:rsid w:val="6A5062E2"/>
    <w:rsid w:val="6A5064B5"/>
    <w:rsid w:val="6A5437CA"/>
    <w:rsid w:val="6A5D0E85"/>
    <w:rsid w:val="6A616283"/>
    <w:rsid w:val="6A641407"/>
    <w:rsid w:val="6A656882"/>
    <w:rsid w:val="6A8B60FB"/>
    <w:rsid w:val="6A8E035E"/>
    <w:rsid w:val="6A9674BF"/>
    <w:rsid w:val="6A9A37E0"/>
    <w:rsid w:val="6AA604CA"/>
    <w:rsid w:val="6AB67B97"/>
    <w:rsid w:val="6ACE4BFE"/>
    <w:rsid w:val="6AD06BC8"/>
    <w:rsid w:val="6ADB41F3"/>
    <w:rsid w:val="6AF62540"/>
    <w:rsid w:val="6AFB4F4A"/>
    <w:rsid w:val="6AFC5C0F"/>
    <w:rsid w:val="6B080110"/>
    <w:rsid w:val="6B12444F"/>
    <w:rsid w:val="6B2A12A7"/>
    <w:rsid w:val="6B2B5527"/>
    <w:rsid w:val="6B2F1B41"/>
    <w:rsid w:val="6B301415"/>
    <w:rsid w:val="6B405AFC"/>
    <w:rsid w:val="6B4533C9"/>
    <w:rsid w:val="6B5C39DF"/>
    <w:rsid w:val="6B5E11EE"/>
    <w:rsid w:val="6B601D2D"/>
    <w:rsid w:val="6B611EB1"/>
    <w:rsid w:val="6B643240"/>
    <w:rsid w:val="6B70119D"/>
    <w:rsid w:val="6B89226B"/>
    <w:rsid w:val="6B8C2AEF"/>
    <w:rsid w:val="6B961766"/>
    <w:rsid w:val="6BC8334A"/>
    <w:rsid w:val="6BD47294"/>
    <w:rsid w:val="6BD61A98"/>
    <w:rsid w:val="6BEA2426"/>
    <w:rsid w:val="6BF77F96"/>
    <w:rsid w:val="6BFE19E1"/>
    <w:rsid w:val="6C050A47"/>
    <w:rsid w:val="6C07486C"/>
    <w:rsid w:val="6C0B1A74"/>
    <w:rsid w:val="6C16659B"/>
    <w:rsid w:val="6C19105E"/>
    <w:rsid w:val="6C2471CC"/>
    <w:rsid w:val="6C27235B"/>
    <w:rsid w:val="6C3342D8"/>
    <w:rsid w:val="6C351022"/>
    <w:rsid w:val="6C394A8B"/>
    <w:rsid w:val="6C3F5509"/>
    <w:rsid w:val="6C420156"/>
    <w:rsid w:val="6C4A4519"/>
    <w:rsid w:val="6C5142B7"/>
    <w:rsid w:val="6C554E54"/>
    <w:rsid w:val="6C5F4E8C"/>
    <w:rsid w:val="6C622720"/>
    <w:rsid w:val="6C715150"/>
    <w:rsid w:val="6C7457E7"/>
    <w:rsid w:val="6C7D6E82"/>
    <w:rsid w:val="6C8311C3"/>
    <w:rsid w:val="6C8C5C8D"/>
    <w:rsid w:val="6C8E2897"/>
    <w:rsid w:val="6C924BA3"/>
    <w:rsid w:val="6CA5691E"/>
    <w:rsid w:val="6CA67251"/>
    <w:rsid w:val="6CB56076"/>
    <w:rsid w:val="6CBF0EFA"/>
    <w:rsid w:val="6CC96475"/>
    <w:rsid w:val="6CCC7349"/>
    <w:rsid w:val="6CD14E74"/>
    <w:rsid w:val="6CD446E0"/>
    <w:rsid w:val="6CFC1EEB"/>
    <w:rsid w:val="6CFD2D93"/>
    <w:rsid w:val="6D06067F"/>
    <w:rsid w:val="6D0B5F7A"/>
    <w:rsid w:val="6D1B3C07"/>
    <w:rsid w:val="6D290842"/>
    <w:rsid w:val="6D2C1109"/>
    <w:rsid w:val="6D334FAA"/>
    <w:rsid w:val="6D3B2F57"/>
    <w:rsid w:val="6D3C3588"/>
    <w:rsid w:val="6D415391"/>
    <w:rsid w:val="6D614E24"/>
    <w:rsid w:val="6D680792"/>
    <w:rsid w:val="6D82770E"/>
    <w:rsid w:val="6DAB0FE0"/>
    <w:rsid w:val="6DB427D1"/>
    <w:rsid w:val="6DB7283B"/>
    <w:rsid w:val="6DBD7A7F"/>
    <w:rsid w:val="6DD30EA9"/>
    <w:rsid w:val="6DDC646C"/>
    <w:rsid w:val="6DEE7FF8"/>
    <w:rsid w:val="6DFA5DCC"/>
    <w:rsid w:val="6E0B6604"/>
    <w:rsid w:val="6E1E5CB1"/>
    <w:rsid w:val="6E360871"/>
    <w:rsid w:val="6E51496A"/>
    <w:rsid w:val="6E5F098F"/>
    <w:rsid w:val="6E62222D"/>
    <w:rsid w:val="6E661CC1"/>
    <w:rsid w:val="6E713F3E"/>
    <w:rsid w:val="6E8555D0"/>
    <w:rsid w:val="6E876629"/>
    <w:rsid w:val="6E893B3A"/>
    <w:rsid w:val="6EA02DB6"/>
    <w:rsid w:val="6EB02F99"/>
    <w:rsid w:val="6ECE043D"/>
    <w:rsid w:val="6EDA7020"/>
    <w:rsid w:val="6EDF1C43"/>
    <w:rsid w:val="6EEA5691"/>
    <w:rsid w:val="6EF2710D"/>
    <w:rsid w:val="6F08338C"/>
    <w:rsid w:val="6F0E6B0E"/>
    <w:rsid w:val="6F1D73D4"/>
    <w:rsid w:val="6F492FDA"/>
    <w:rsid w:val="6F561A7D"/>
    <w:rsid w:val="6F5914CB"/>
    <w:rsid w:val="6F6005AE"/>
    <w:rsid w:val="6F63625D"/>
    <w:rsid w:val="6F6629EA"/>
    <w:rsid w:val="6F793301"/>
    <w:rsid w:val="6F843849"/>
    <w:rsid w:val="6FA629B9"/>
    <w:rsid w:val="6FA91B3F"/>
    <w:rsid w:val="6FB05B5D"/>
    <w:rsid w:val="6FB41CDF"/>
    <w:rsid w:val="6FD145CA"/>
    <w:rsid w:val="6FE52B7F"/>
    <w:rsid w:val="6FE81560"/>
    <w:rsid w:val="6FE832DA"/>
    <w:rsid w:val="70017F76"/>
    <w:rsid w:val="70047746"/>
    <w:rsid w:val="70090C45"/>
    <w:rsid w:val="701557A9"/>
    <w:rsid w:val="701B22C2"/>
    <w:rsid w:val="702A0B29"/>
    <w:rsid w:val="704A18A5"/>
    <w:rsid w:val="70535193"/>
    <w:rsid w:val="705353D7"/>
    <w:rsid w:val="70595CFD"/>
    <w:rsid w:val="70731CBA"/>
    <w:rsid w:val="70761500"/>
    <w:rsid w:val="70AB2A5F"/>
    <w:rsid w:val="70AC08A3"/>
    <w:rsid w:val="70BB3FEA"/>
    <w:rsid w:val="70C40F6B"/>
    <w:rsid w:val="70CA1D71"/>
    <w:rsid w:val="70CD22E2"/>
    <w:rsid w:val="70E36810"/>
    <w:rsid w:val="70E43FFB"/>
    <w:rsid w:val="70E72450"/>
    <w:rsid w:val="70E909E4"/>
    <w:rsid w:val="70F27898"/>
    <w:rsid w:val="70FF2B52"/>
    <w:rsid w:val="70FF5135"/>
    <w:rsid w:val="71053071"/>
    <w:rsid w:val="710C10F0"/>
    <w:rsid w:val="710C4547"/>
    <w:rsid w:val="71146B3B"/>
    <w:rsid w:val="711E1A75"/>
    <w:rsid w:val="7128341B"/>
    <w:rsid w:val="713B6FC5"/>
    <w:rsid w:val="71530C93"/>
    <w:rsid w:val="71573ACB"/>
    <w:rsid w:val="715E5257"/>
    <w:rsid w:val="71773CEE"/>
    <w:rsid w:val="718176C8"/>
    <w:rsid w:val="718A6573"/>
    <w:rsid w:val="719C7804"/>
    <w:rsid w:val="71A315DF"/>
    <w:rsid w:val="71A416C3"/>
    <w:rsid w:val="71B8661B"/>
    <w:rsid w:val="71BB1264"/>
    <w:rsid w:val="71C14470"/>
    <w:rsid w:val="71C2123E"/>
    <w:rsid w:val="71D544A5"/>
    <w:rsid w:val="71D8375D"/>
    <w:rsid w:val="71DD01AD"/>
    <w:rsid w:val="71DD241B"/>
    <w:rsid w:val="71E01DDD"/>
    <w:rsid w:val="71E224FF"/>
    <w:rsid w:val="71F2621E"/>
    <w:rsid w:val="71F370EC"/>
    <w:rsid w:val="71F70091"/>
    <w:rsid w:val="722F0694"/>
    <w:rsid w:val="722F679F"/>
    <w:rsid w:val="723A2626"/>
    <w:rsid w:val="723D68AF"/>
    <w:rsid w:val="724721AC"/>
    <w:rsid w:val="724E3C2C"/>
    <w:rsid w:val="72513DDF"/>
    <w:rsid w:val="725501DD"/>
    <w:rsid w:val="72620A4E"/>
    <w:rsid w:val="72705108"/>
    <w:rsid w:val="727B38BE"/>
    <w:rsid w:val="729452D5"/>
    <w:rsid w:val="729B2130"/>
    <w:rsid w:val="72B739A4"/>
    <w:rsid w:val="72D0594D"/>
    <w:rsid w:val="72F657B0"/>
    <w:rsid w:val="72FC409A"/>
    <w:rsid w:val="73032FC0"/>
    <w:rsid w:val="73054AAE"/>
    <w:rsid w:val="73094A02"/>
    <w:rsid w:val="730F48D7"/>
    <w:rsid w:val="732206A5"/>
    <w:rsid w:val="73253B84"/>
    <w:rsid w:val="73345810"/>
    <w:rsid w:val="733D0BED"/>
    <w:rsid w:val="734F4226"/>
    <w:rsid w:val="735321EF"/>
    <w:rsid w:val="73613DC2"/>
    <w:rsid w:val="73626265"/>
    <w:rsid w:val="737259EB"/>
    <w:rsid w:val="738707F8"/>
    <w:rsid w:val="738754CA"/>
    <w:rsid w:val="738B6F89"/>
    <w:rsid w:val="73920EBF"/>
    <w:rsid w:val="739D3646"/>
    <w:rsid w:val="73AF1CC4"/>
    <w:rsid w:val="73B05913"/>
    <w:rsid w:val="73B24691"/>
    <w:rsid w:val="73C056D8"/>
    <w:rsid w:val="73C83268"/>
    <w:rsid w:val="73CB6AC4"/>
    <w:rsid w:val="73ED1A3A"/>
    <w:rsid w:val="73ED4347"/>
    <w:rsid w:val="73F05696"/>
    <w:rsid w:val="73F50B6F"/>
    <w:rsid w:val="73F77DEF"/>
    <w:rsid w:val="74024213"/>
    <w:rsid w:val="74042527"/>
    <w:rsid w:val="740A4B39"/>
    <w:rsid w:val="74146799"/>
    <w:rsid w:val="741A1B16"/>
    <w:rsid w:val="741B3D04"/>
    <w:rsid w:val="741E67C6"/>
    <w:rsid w:val="742C5E27"/>
    <w:rsid w:val="74300226"/>
    <w:rsid w:val="7445283F"/>
    <w:rsid w:val="74551D23"/>
    <w:rsid w:val="745D7B18"/>
    <w:rsid w:val="745F299C"/>
    <w:rsid w:val="746915C4"/>
    <w:rsid w:val="746F1484"/>
    <w:rsid w:val="747C2510"/>
    <w:rsid w:val="749E3121"/>
    <w:rsid w:val="749F692E"/>
    <w:rsid w:val="74A14CC6"/>
    <w:rsid w:val="74B50BE4"/>
    <w:rsid w:val="74B800CA"/>
    <w:rsid w:val="74DB0643"/>
    <w:rsid w:val="74F55B27"/>
    <w:rsid w:val="74FC0CE6"/>
    <w:rsid w:val="75152C56"/>
    <w:rsid w:val="752968DA"/>
    <w:rsid w:val="753366D1"/>
    <w:rsid w:val="753D165B"/>
    <w:rsid w:val="75511543"/>
    <w:rsid w:val="75600E6A"/>
    <w:rsid w:val="756B2471"/>
    <w:rsid w:val="756B33ED"/>
    <w:rsid w:val="75726F76"/>
    <w:rsid w:val="75760D96"/>
    <w:rsid w:val="75875B4C"/>
    <w:rsid w:val="758D6086"/>
    <w:rsid w:val="758F1A33"/>
    <w:rsid w:val="75B0387E"/>
    <w:rsid w:val="75B04FED"/>
    <w:rsid w:val="75B94E29"/>
    <w:rsid w:val="75C13CDD"/>
    <w:rsid w:val="75CA4A2D"/>
    <w:rsid w:val="75E05B69"/>
    <w:rsid w:val="75E55443"/>
    <w:rsid w:val="75EE59E0"/>
    <w:rsid w:val="75F77C05"/>
    <w:rsid w:val="75F8009A"/>
    <w:rsid w:val="75FE27A1"/>
    <w:rsid w:val="760161F4"/>
    <w:rsid w:val="7614205F"/>
    <w:rsid w:val="761941D4"/>
    <w:rsid w:val="761D64FD"/>
    <w:rsid w:val="763A3819"/>
    <w:rsid w:val="76434DFC"/>
    <w:rsid w:val="76471DE8"/>
    <w:rsid w:val="764C1D57"/>
    <w:rsid w:val="76694A23"/>
    <w:rsid w:val="766C59F7"/>
    <w:rsid w:val="76700FC9"/>
    <w:rsid w:val="76701D3D"/>
    <w:rsid w:val="769036A0"/>
    <w:rsid w:val="76935753"/>
    <w:rsid w:val="76951140"/>
    <w:rsid w:val="76974BD9"/>
    <w:rsid w:val="76977026"/>
    <w:rsid w:val="76A70C95"/>
    <w:rsid w:val="76A93CE9"/>
    <w:rsid w:val="76C03F95"/>
    <w:rsid w:val="76D15D09"/>
    <w:rsid w:val="76D32415"/>
    <w:rsid w:val="76EB626F"/>
    <w:rsid w:val="76F459ED"/>
    <w:rsid w:val="76F57B1F"/>
    <w:rsid w:val="770E1875"/>
    <w:rsid w:val="771349E5"/>
    <w:rsid w:val="7714635C"/>
    <w:rsid w:val="771C30FA"/>
    <w:rsid w:val="77206134"/>
    <w:rsid w:val="77252166"/>
    <w:rsid w:val="772F3A61"/>
    <w:rsid w:val="77336738"/>
    <w:rsid w:val="773553A7"/>
    <w:rsid w:val="77524A58"/>
    <w:rsid w:val="77580A66"/>
    <w:rsid w:val="77692418"/>
    <w:rsid w:val="777D20D6"/>
    <w:rsid w:val="778D01FE"/>
    <w:rsid w:val="7798707D"/>
    <w:rsid w:val="77A3436B"/>
    <w:rsid w:val="77B265EF"/>
    <w:rsid w:val="77B8295F"/>
    <w:rsid w:val="77B86288"/>
    <w:rsid w:val="77CC088F"/>
    <w:rsid w:val="77DD5D14"/>
    <w:rsid w:val="77F437B1"/>
    <w:rsid w:val="77F85931"/>
    <w:rsid w:val="780738D1"/>
    <w:rsid w:val="78147AD6"/>
    <w:rsid w:val="7819395D"/>
    <w:rsid w:val="781D17B3"/>
    <w:rsid w:val="782226C6"/>
    <w:rsid w:val="78263974"/>
    <w:rsid w:val="78280044"/>
    <w:rsid w:val="783C4141"/>
    <w:rsid w:val="783D4AFF"/>
    <w:rsid w:val="784D30F3"/>
    <w:rsid w:val="785031C4"/>
    <w:rsid w:val="78581022"/>
    <w:rsid w:val="78693C27"/>
    <w:rsid w:val="788A2C6A"/>
    <w:rsid w:val="789860D5"/>
    <w:rsid w:val="789C1B98"/>
    <w:rsid w:val="78A51694"/>
    <w:rsid w:val="78AD0D21"/>
    <w:rsid w:val="78B73B4F"/>
    <w:rsid w:val="78B934ED"/>
    <w:rsid w:val="78C37C8A"/>
    <w:rsid w:val="78C4315E"/>
    <w:rsid w:val="78DE2D7C"/>
    <w:rsid w:val="790744FA"/>
    <w:rsid w:val="7922596C"/>
    <w:rsid w:val="792F01A6"/>
    <w:rsid w:val="79382965"/>
    <w:rsid w:val="79386064"/>
    <w:rsid w:val="793B3189"/>
    <w:rsid w:val="794C1894"/>
    <w:rsid w:val="795161CA"/>
    <w:rsid w:val="79665BDF"/>
    <w:rsid w:val="79820F11"/>
    <w:rsid w:val="79981173"/>
    <w:rsid w:val="799E6545"/>
    <w:rsid w:val="799F228B"/>
    <w:rsid w:val="79A731EA"/>
    <w:rsid w:val="79A81252"/>
    <w:rsid w:val="79AC037E"/>
    <w:rsid w:val="79B4594A"/>
    <w:rsid w:val="79B95098"/>
    <w:rsid w:val="79B978EA"/>
    <w:rsid w:val="79BC708D"/>
    <w:rsid w:val="79D77FF8"/>
    <w:rsid w:val="79DF4732"/>
    <w:rsid w:val="79EB1C7D"/>
    <w:rsid w:val="79FB1EE7"/>
    <w:rsid w:val="7A0349BA"/>
    <w:rsid w:val="7A146AD1"/>
    <w:rsid w:val="7A1B476E"/>
    <w:rsid w:val="7A2A5E86"/>
    <w:rsid w:val="7A325833"/>
    <w:rsid w:val="7A3C3FD7"/>
    <w:rsid w:val="7A50702E"/>
    <w:rsid w:val="7A752301"/>
    <w:rsid w:val="7A8552D9"/>
    <w:rsid w:val="7A9722EA"/>
    <w:rsid w:val="7A99237D"/>
    <w:rsid w:val="7AA16855"/>
    <w:rsid w:val="7AA274F5"/>
    <w:rsid w:val="7AAD4830"/>
    <w:rsid w:val="7AB14807"/>
    <w:rsid w:val="7AC04563"/>
    <w:rsid w:val="7AE3462E"/>
    <w:rsid w:val="7AE959CB"/>
    <w:rsid w:val="7AEE2741"/>
    <w:rsid w:val="7AF27BF0"/>
    <w:rsid w:val="7AFC6FE5"/>
    <w:rsid w:val="7B095F0A"/>
    <w:rsid w:val="7B124498"/>
    <w:rsid w:val="7B13662A"/>
    <w:rsid w:val="7B1A6AB5"/>
    <w:rsid w:val="7B327BB5"/>
    <w:rsid w:val="7B33563C"/>
    <w:rsid w:val="7B4440DD"/>
    <w:rsid w:val="7B4C0E94"/>
    <w:rsid w:val="7B5737ED"/>
    <w:rsid w:val="7B590B8D"/>
    <w:rsid w:val="7B594633"/>
    <w:rsid w:val="7B763FD0"/>
    <w:rsid w:val="7B8D6D12"/>
    <w:rsid w:val="7B8F2DE3"/>
    <w:rsid w:val="7B9147B3"/>
    <w:rsid w:val="7BAC1017"/>
    <w:rsid w:val="7BAD61AB"/>
    <w:rsid w:val="7BC5015F"/>
    <w:rsid w:val="7BDB40C8"/>
    <w:rsid w:val="7BE54EB8"/>
    <w:rsid w:val="7BFC639E"/>
    <w:rsid w:val="7C052E28"/>
    <w:rsid w:val="7C0663D3"/>
    <w:rsid w:val="7C067B78"/>
    <w:rsid w:val="7C075B78"/>
    <w:rsid w:val="7C08260A"/>
    <w:rsid w:val="7C091F3A"/>
    <w:rsid w:val="7C1060A4"/>
    <w:rsid w:val="7C134B67"/>
    <w:rsid w:val="7C212B16"/>
    <w:rsid w:val="7C344D27"/>
    <w:rsid w:val="7C5331B5"/>
    <w:rsid w:val="7C6034EF"/>
    <w:rsid w:val="7C6F0028"/>
    <w:rsid w:val="7C713B95"/>
    <w:rsid w:val="7C8F3841"/>
    <w:rsid w:val="7C927737"/>
    <w:rsid w:val="7C970076"/>
    <w:rsid w:val="7C991510"/>
    <w:rsid w:val="7CAB244D"/>
    <w:rsid w:val="7CB14283"/>
    <w:rsid w:val="7CB225D2"/>
    <w:rsid w:val="7CC1754B"/>
    <w:rsid w:val="7CDD49A2"/>
    <w:rsid w:val="7CE055BA"/>
    <w:rsid w:val="7CFC1051"/>
    <w:rsid w:val="7D0304AC"/>
    <w:rsid w:val="7D135803"/>
    <w:rsid w:val="7D15058B"/>
    <w:rsid w:val="7D157DA1"/>
    <w:rsid w:val="7D1650D3"/>
    <w:rsid w:val="7D213138"/>
    <w:rsid w:val="7D222D25"/>
    <w:rsid w:val="7D2406DD"/>
    <w:rsid w:val="7D2521B2"/>
    <w:rsid w:val="7D317598"/>
    <w:rsid w:val="7D3230DC"/>
    <w:rsid w:val="7D3F5A81"/>
    <w:rsid w:val="7D417612"/>
    <w:rsid w:val="7D436814"/>
    <w:rsid w:val="7D4A7DF7"/>
    <w:rsid w:val="7D4C20DE"/>
    <w:rsid w:val="7D4D08D5"/>
    <w:rsid w:val="7D4F6887"/>
    <w:rsid w:val="7D5471E5"/>
    <w:rsid w:val="7D551F58"/>
    <w:rsid w:val="7D601119"/>
    <w:rsid w:val="7D676FBC"/>
    <w:rsid w:val="7D697BD3"/>
    <w:rsid w:val="7D6A282B"/>
    <w:rsid w:val="7D6B7FF7"/>
    <w:rsid w:val="7D72047E"/>
    <w:rsid w:val="7D7D58E5"/>
    <w:rsid w:val="7D7F5DD6"/>
    <w:rsid w:val="7DB3377D"/>
    <w:rsid w:val="7DB97E53"/>
    <w:rsid w:val="7DCD17E7"/>
    <w:rsid w:val="7DCF14E3"/>
    <w:rsid w:val="7DD47173"/>
    <w:rsid w:val="7DF04831"/>
    <w:rsid w:val="7DF22A1C"/>
    <w:rsid w:val="7E0E1134"/>
    <w:rsid w:val="7E102EA3"/>
    <w:rsid w:val="7E282CD5"/>
    <w:rsid w:val="7E2A37DA"/>
    <w:rsid w:val="7E3672A9"/>
    <w:rsid w:val="7E4618EE"/>
    <w:rsid w:val="7E47133D"/>
    <w:rsid w:val="7E49452F"/>
    <w:rsid w:val="7E577B57"/>
    <w:rsid w:val="7E5A03C7"/>
    <w:rsid w:val="7E765D7F"/>
    <w:rsid w:val="7E7A400D"/>
    <w:rsid w:val="7E834226"/>
    <w:rsid w:val="7E872237"/>
    <w:rsid w:val="7E873820"/>
    <w:rsid w:val="7E8C3F75"/>
    <w:rsid w:val="7E9832EF"/>
    <w:rsid w:val="7EA36676"/>
    <w:rsid w:val="7EA6709E"/>
    <w:rsid w:val="7EA80241"/>
    <w:rsid w:val="7EAB6E1B"/>
    <w:rsid w:val="7ED378A3"/>
    <w:rsid w:val="7ED76DD4"/>
    <w:rsid w:val="7ED824DC"/>
    <w:rsid w:val="7EE354CD"/>
    <w:rsid w:val="7EFC16E4"/>
    <w:rsid w:val="7EFD24F6"/>
    <w:rsid w:val="7F005876"/>
    <w:rsid w:val="7F06366D"/>
    <w:rsid w:val="7F13011A"/>
    <w:rsid w:val="7F1633B2"/>
    <w:rsid w:val="7F2F1CB8"/>
    <w:rsid w:val="7F2F3A66"/>
    <w:rsid w:val="7F3814A3"/>
    <w:rsid w:val="7F4A08A0"/>
    <w:rsid w:val="7F536596"/>
    <w:rsid w:val="7F5456A0"/>
    <w:rsid w:val="7F5C0130"/>
    <w:rsid w:val="7F6F3664"/>
    <w:rsid w:val="7F74591C"/>
    <w:rsid w:val="7F79289E"/>
    <w:rsid w:val="7F880FE3"/>
    <w:rsid w:val="7F8F1F7C"/>
    <w:rsid w:val="7FA8445B"/>
    <w:rsid w:val="7FAB7D12"/>
    <w:rsid w:val="7FCA114D"/>
    <w:rsid w:val="7FD338C7"/>
    <w:rsid w:val="7FD422E4"/>
    <w:rsid w:val="7FD90BC4"/>
    <w:rsid w:val="7FEA0101"/>
    <w:rsid w:val="7FEE6D76"/>
    <w:rsid w:val="7FF157B2"/>
    <w:rsid w:val="7FF8654D"/>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qFormat="1" w:unhideWhenUsed="0" w:uiPriority="0"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qFormat="1" w:uiPriority="99" w:semiHidden="0"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qFormat="1" w:uiPriority="99" w:semiHidden="0"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qFormat="1" w:uiPriority="0" w:semiHidden="0" w:name="Date"/>
    <w:lsdException w:uiPriority="99" w:name="Body Text First Indent"/>
    <w:lsdException w:qFormat="1" w:unhideWhenUsed="0"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iPriority="99" w:semiHidden="0" w:name="Body Text Indent 2"/>
    <w:lsdException w:qFormat="1" w:unhideWhenUsed="0" w:uiPriority="0" w:semiHidden="0" w:name="Body Text Indent 3"/>
    <w:lsdException w:qFormat="1" w:uiPriority="99"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qFormat="1" w:unhideWhenUsed="0" w:uiPriority="0" w:semiHidden="0"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9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9"/>
    <w:qFormat/>
    <w:uiPriority w:val="0"/>
    <w:pPr>
      <w:keepNext/>
      <w:keepLines/>
      <w:numPr>
        <w:ilvl w:val="0"/>
        <w:numId w:val="1"/>
      </w:numPr>
      <w:spacing w:before="340" w:after="330" w:line="578" w:lineRule="auto"/>
      <w:jc w:val="center"/>
      <w:outlineLvl w:val="0"/>
    </w:pPr>
    <w:rPr>
      <w:b/>
      <w:bCs/>
      <w:kern w:val="44"/>
      <w:sz w:val="32"/>
      <w:szCs w:val="44"/>
    </w:rPr>
  </w:style>
  <w:style w:type="paragraph" w:styleId="3">
    <w:name w:val="heading 2"/>
    <w:basedOn w:val="1"/>
    <w:next w:val="1"/>
    <w:link w:val="60"/>
    <w:qFormat/>
    <w:uiPriority w:val="0"/>
    <w:pPr>
      <w:keepNext/>
      <w:keepLines/>
      <w:numPr>
        <w:ilvl w:val="1"/>
        <w:numId w:val="1"/>
      </w:numPr>
      <w:spacing w:before="260" w:after="260" w:line="416" w:lineRule="auto"/>
      <w:outlineLvl w:val="1"/>
    </w:pPr>
    <w:rPr>
      <w:rFonts w:ascii="Cambria" w:hAnsi="Cambria"/>
      <w:b/>
      <w:bCs/>
      <w:sz w:val="32"/>
      <w:szCs w:val="32"/>
    </w:rPr>
  </w:style>
  <w:style w:type="paragraph" w:styleId="4">
    <w:name w:val="heading 3"/>
    <w:basedOn w:val="1"/>
    <w:next w:val="1"/>
    <w:link w:val="61"/>
    <w:qFormat/>
    <w:uiPriority w:val="0"/>
    <w:pPr>
      <w:keepNext/>
      <w:keepLines/>
      <w:numPr>
        <w:ilvl w:val="2"/>
        <w:numId w:val="1"/>
      </w:numPr>
      <w:spacing w:before="260" w:after="260" w:line="416" w:lineRule="auto"/>
      <w:outlineLvl w:val="2"/>
    </w:pPr>
    <w:rPr>
      <w:b/>
      <w:bCs/>
      <w:sz w:val="32"/>
      <w:szCs w:val="32"/>
    </w:rPr>
  </w:style>
  <w:style w:type="paragraph" w:styleId="5">
    <w:name w:val="heading 4"/>
    <w:basedOn w:val="1"/>
    <w:next w:val="1"/>
    <w:link w:val="62"/>
    <w:qFormat/>
    <w:uiPriority w:val="0"/>
    <w:pPr>
      <w:keepNext/>
      <w:keepLines/>
      <w:numPr>
        <w:ilvl w:val="3"/>
        <w:numId w:val="1"/>
      </w:numPr>
      <w:spacing w:before="280" w:after="290" w:line="376" w:lineRule="auto"/>
      <w:outlineLvl w:val="3"/>
    </w:pPr>
    <w:rPr>
      <w:rFonts w:ascii="Cambria" w:hAnsi="Cambria"/>
      <w:b/>
      <w:bCs/>
      <w:sz w:val="28"/>
      <w:szCs w:val="28"/>
    </w:rPr>
  </w:style>
  <w:style w:type="paragraph" w:styleId="6">
    <w:name w:val="heading 5"/>
    <w:basedOn w:val="1"/>
    <w:next w:val="1"/>
    <w:link w:val="63"/>
    <w:qFormat/>
    <w:uiPriority w:val="0"/>
    <w:pPr>
      <w:keepNext/>
      <w:keepLines/>
      <w:numPr>
        <w:ilvl w:val="4"/>
        <w:numId w:val="1"/>
      </w:numPr>
      <w:spacing w:before="280" w:after="290" w:line="376" w:lineRule="auto"/>
      <w:outlineLvl w:val="4"/>
    </w:pPr>
    <w:rPr>
      <w:b/>
      <w:bCs/>
      <w:sz w:val="28"/>
      <w:szCs w:val="28"/>
    </w:rPr>
  </w:style>
  <w:style w:type="paragraph" w:styleId="7">
    <w:name w:val="heading 6"/>
    <w:basedOn w:val="1"/>
    <w:next w:val="1"/>
    <w:link w:val="64"/>
    <w:qFormat/>
    <w:uiPriority w:val="0"/>
    <w:pPr>
      <w:keepNext/>
      <w:keepLines/>
      <w:numPr>
        <w:ilvl w:val="5"/>
        <w:numId w:val="1"/>
      </w:numPr>
      <w:spacing w:before="240" w:after="64" w:line="320" w:lineRule="auto"/>
      <w:outlineLvl w:val="5"/>
    </w:pPr>
    <w:rPr>
      <w:rFonts w:ascii="Cambria" w:hAnsi="Cambria"/>
      <w:b/>
      <w:bCs/>
      <w:sz w:val="24"/>
    </w:rPr>
  </w:style>
  <w:style w:type="paragraph" w:styleId="8">
    <w:name w:val="heading 7"/>
    <w:basedOn w:val="1"/>
    <w:next w:val="1"/>
    <w:link w:val="65"/>
    <w:qFormat/>
    <w:uiPriority w:val="0"/>
    <w:pPr>
      <w:keepNext/>
      <w:keepLines/>
      <w:numPr>
        <w:ilvl w:val="6"/>
        <w:numId w:val="1"/>
      </w:numPr>
      <w:spacing w:before="240" w:after="64" w:line="320" w:lineRule="auto"/>
      <w:outlineLvl w:val="6"/>
    </w:pPr>
    <w:rPr>
      <w:b/>
      <w:bCs/>
      <w:sz w:val="24"/>
    </w:rPr>
  </w:style>
  <w:style w:type="paragraph" w:styleId="9">
    <w:name w:val="heading 8"/>
    <w:basedOn w:val="1"/>
    <w:next w:val="1"/>
    <w:link w:val="66"/>
    <w:qFormat/>
    <w:uiPriority w:val="0"/>
    <w:pPr>
      <w:keepNext/>
      <w:keepLines/>
      <w:numPr>
        <w:ilvl w:val="7"/>
        <w:numId w:val="1"/>
      </w:numPr>
      <w:spacing w:before="240" w:after="64" w:line="320" w:lineRule="auto"/>
      <w:outlineLvl w:val="7"/>
    </w:pPr>
    <w:rPr>
      <w:rFonts w:ascii="Cambria" w:hAnsi="Cambria"/>
      <w:sz w:val="24"/>
    </w:rPr>
  </w:style>
  <w:style w:type="paragraph" w:styleId="10">
    <w:name w:val="heading 9"/>
    <w:basedOn w:val="1"/>
    <w:next w:val="1"/>
    <w:link w:val="67"/>
    <w:qFormat/>
    <w:uiPriority w:val="0"/>
    <w:pPr>
      <w:keepNext/>
      <w:keepLines/>
      <w:numPr>
        <w:ilvl w:val="8"/>
        <w:numId w:val="1"/>
      </w:numPr>
      <w:spacing w:before="240" w:after="64" w:line="320" w:lineRule="auto"/>
      <w:outlineLvl w:val="8"/>
    </w:pPr>
    <w:rPr>
      <w:rFonts w:ascii="Cambria" w:hAnsi="Cambria"/>
      <w:szCs w:val="21"/>
    </w:rPr>
  </w:style>
  <w:style w:type="character" w:default="1" w:styleId="48">
    <w:name w:val="Default Paragraph Font"/>
    <w:unhideWhenUsed/>
    <w:qFormat/>
    <w:uiPriority w:val="1"/>
  </w:style>
  <w:style w:type="table" w:default="1" w:styleId="46">
    <w:name w:val="Normal Table"/>
    <w:unhideWhenUsed/>
    <w:qFormat/>
    <w:uiPriority w:val="99"/>
    <w:tblPr>
      <w:tblCellMar>
        <w:top w:w="0" w:type="dxa"/>
        <w:left w:w="108" w:type="dxa"/>
        <w:bottom w:w="0" w:type="dxa"/>
        <w:right w:w="108" w:type="dxa"/>
      </w:tblCellMar>
    </w:tblPr>
  </w:style>
  <w:style w:type="paragraph" w:styleId="11">
    <w:name w:val="List 3"/>
    <w:basedOn w:val="1"/>
    <w:unhideWhenUsed/>
    <w:qFormat/>
    <w:uiPriority w:val="99"/>
    <w:pPr>
      <w:spacing w:before="100" w:beforeAutospacing="1" w:after="100" w:afterAutospacing="1"/>
      <w:ind w:left="1260" w:hanging="420"/>
    </w:pPr>
    <w:rPr>
      <w:szCs w:val="21"/>
    </w:rPr>
  </w:style>
  <w:style w:type="paragraph" w:styleId="12">
    <w:name w:val="toc 7"/>
    <w:basedOn w:val="1"/>
    <w:next w:val="1"/>
    <w:unhideWhenUsed/>
    <w:qFormat/>
    <w:uiPriority w:val="39"/>
    <w:pPr>
      <w:ind w:left="2520" w:leftChars="1200"/>
    </w:pPr>
    <w:rPr>
      <w:rFonts w:ascii="Calibri" w:hAnsi="Calibri"/>
      <w:szCs w:val="22"/>
    </w:rPr>
  </w:style>
  <w:style w:type="paragraph" w:styleId="13">
    <w:name w:val="Normal Indent"/>
    <w:basedOn w:val="1"/>
    <w:qFormat/>
    <w:uiPriority w:val="0"/>
    <w:pPr>
      <w:ind w:firstLine="420"/>
    </w:pPr>
    <w:rPr>
      <w:b/>
      <w:sz w:val="24"/>
      <w:szCs w:val="20"/>
    </w:rPr>
  </w:style>
  <w:style w:type="paragraph" w:styleId="14">
    <w:name w:val="caption"/>
    <w:basedOn w:val="1"/>
    <w:next w:val="1"/>
    <w:qFormat/>
    <w:uiPriority w:val="0"/>
    <w:rPr>
      <w:rFonts w:ascii="Cambria" w:hAnsi="Cambria" w:eastAsia="黑体"/>
      <w:sz w:val="20"/>
      <w:szCs w:val="22"/>
    </w:rPr>
  </w:style>
  <w:style w:type="paragraph" w:styleId="15">
    <w:name w:val="Document Map"/>
    <w:basedOn w:val="1"/>
    <w:link w:val="68"/>
    <w:qFormat/>
    <w:uiPriority w:val="0"/>
    <w:rPr>
      <w:rFonts w:ascii="宋体"/>
      <w:sz w:val="18"/>
      <w:szCs w:val="18"/>
    </w:rPr>
  </w:style>
  <w:style w:type="paragraph" w:styleId="16">
    <w:name w:val="annotation text"/>
    <w:basedOn w:val="1"/>
    <w:link w:val="69"/>
    <w:qFormat/>
    <w:uiPriority w:val="99"/>
    <w:pPr>
      <w:jc w:val="left"/>
    </w:pPr>
  </w:style>
  <w:style w:type="paragraph" w:styleId="17">
    <w:name w:val="Body Text 3"/>
    <w:basedOn w:val="1"/>
    <w:link w:val="70"/>
    <w:qFormat/>
    <w:uiPriority w:val="0"/>
    <w:rPr>
      <w:rFonts w:ascii="宋体"/>
      <w:sz w:val="24"/>
      <w:szCs w:val="20"/>
    </w:rPr>
  </w:style>
  <w:style w:type="paragraph" w:styleId="18">
    <w:name w:val="Body Text"/>
    <w:basedOn w:val="1"/>
    <w:next w:val="1"/>
    <w:link w:val="71"/>
    <w:qFormat/>
    <w:uiPriority w:val="0"/>
    <w:pPr>
      <w:jc w:val="center"/>
    </w:pPr>
    <w:rPr>
      <w:rFonts w:eastAsia="幼圆"/>
      <w:b/>
      <w:bCs/>
      <w:sz w:val="44"/>
    </w:rPr>
  </w:style>
  <w:style w:type="paragraph" w:styleId="19">
    <w:name w:val="Body Text Indent"/>
    <w:basedOn w:val="1"/>
    <w:link w:val="72"/>
    <w:qFormat/>
    <w:uiPriority w:val="0"/>
    <w:pPr>
      <w:spacing w:after="120"/>
      <w:ind w:left="420" w:leftChars="200"/>
    </w:pPr>
  </w:style>
  <w:style w:type="paragraph" w:styleId="20">
    <w:name w:val="Block Text"/>
    <w:basedOn w:val="1"/>
    <w:unhideWhenUsed/>
    <w:qFormat/>
    <w:uiPriority w:val="99"/>
    <w:pPr>
      <w:spacing w:after="120"/>
      <w:ind w:left="1440" w:leftChars="700" w:right="1440" w:rightChars="700"/>
    </w:pPr>
  </w:style>
  <w:style w:type="paragraph" w:styleId="21">
    <w:name w:val="index 4"/>
    <w:basedOn w:val="1"/>
    <w:next w:val="1"/>
    <w:qFormat/>
    <w:uiPriority w:val="0"/>
    <w:pPr>
      <w:ind w:left="600" w:leftChars="600"/>
    </w:pPr>
    <w:rPr>
      <w:rFonts w:ascii="Calibri" w:hAnsi="Calibri"/>
    </w:rPr>
  </w:style>
  <w:style w:type="paragraph" w:styleId="22">
    <w:name w:val="toc 5"/>
    <w:basedOn w:val="1"/>
    <w:next w:val="1"/>
    <w:unhideWhenUsed/>
    <w:qFormat/>
    <w:uiPriority w:val="39"/>
    <w:pPr>
      <w:ind w:left="1680" w:leftChars="800"/>
    </w:pPr>
    <w:rPr>
      <w:rFonts w:ascii="Calibri" w:hAnsi="Calibri"/>
      <w:szCs w:val="22"/>
    </w:rPr>
  </w:style>
  <w:style w:type="paragraph" w:styleId="23">
    <w:name w:val="toc 3"/>
    <w:basedOn w:val="1"/>
    <w:next w:val="1"/>
    <w:qFormat/>
    <w:uiPriority w:val="39"/>
    <w:pPr>
      <w:ind w:left="840" w:leftChars="400"/>
    </w:pPr>
    <w:rPr>
      <w:rFonts w:ascii="Calibri" w:hAnsi="Calibri"/>
      <w:szCs w:val="22"/>
    </w:rPr>
  </w:style>
  <w:style w:type="paragraph" w:styleId="24">
    <w:name w:val="Plain Text"/>
    <w:basedOn w:val="1"/>
    <w:link w:val="73"/>
    <w:qFormat/>
    <w:uiPriority w:val="0"/>
    <w:rPr>
      <w:rFonts w:ascii="Ari"/>
    </w:rPr>
  </w:style>
  <w:style w:type="paragraph" w:styleId="25">
    <w:name w:val="toc 8"/>
    <w:basedOn w:val="1"/>
    <w:next w:val="1"/>
    <w:unhideWhenUsed/>
    <w:qFormat/>
    <w:uiPriority w:val="39"/>
    <w:pPr>
      <w:ind w:left="2940" w:leftChars="1400"/>
    </w:pPr>
    <w:rPr>
      <w:rFonts w:ascii="Calibri" w:hAnsi="Calibri"/>
      <w:szCs w:val="22"/>
    </w:rPr>
  </w:style>
  <w:style w:type="paragraph" w:styleId="26">
    <w:name w:val="Date"/>
    <w:basedOn w:val="1"/>
    <w:next w:val="1"/>
    <w:link w:val="74"/>
    <w:unhideWhenUsed/>
    <w:qFormat/>
    <w:uiPriority w:val="0"/>
  </w:style>
  <w:style w:type="paragraph" w:styleId="27">
    <w:name w:val="Body Text Indent 2"/>
    <w:basedOn w:val="1"/>
    <w:link w:val="75"/>
    <w:unhideWhenUsed/>
    <w:qFormat/>
    <w:uiPriority w:val="99"/>
    <w:pPr>
      <w:spacing w:line="420" w:lineRule="exact"/>
      <w:ind w:firstLine="525"/>
    </w:pPr>
    <w:rPr>
      <w:rFonts w:ascii="宋体"/>
      <w:kern w:val="0"/>
      <w:sz w:val="20"/>
      <w:szCs w:val="20"/>
    </w:rPr>
  </w:style>
  <w:style w:type="paragraph" w:styleId="28">
    <w:name w:val="Balloon Text"/>
    <w:basedOn w:val="1"/>
    <w:link w:val="76"/>
    <w:qFormat/>
    <w:uiPriority w:val="0"/>
    <w:rPr>
      <w:sz w:val="18"/>
      <w:szCs w:val="18"/>
    </w:rPr>
  </w:style>
  <w:style w:type="paragraph" w:styleId="29">
    <w:name w:val="footer"/>
    <w:basedOn w:val="1"/>
    <w:next w:val="30"/>
    <w:link w:val="77"/>
    <w:qFormat/>
    <w:uiPriority w:val="99"/>
    <w:pPr>
      <w:tabs>
        <w:tab w:val="center" w:pos="4153"/>
        <w:tab w:val="right" w:pos="8306"/>
      </w:tabs>
      <w:snapToGrid w:val="0"/>
      <w:jc w:val="left"/>
    </w:pPr>
    <w:rPr>
      <w:sz w:val="18"/>
      <w:szCs w:val="18"/>
    </w:rPr>
  </w:style>
  <w:style w:type="paragraph" w:styleId="30">
    <w:name w:val="toc 2"/>
    <w:basedOn w:val="1"/>
    <w:next w:val="1"/>
    <w:qFormat/>
    <w:uiPriority w:val="39"/>
    <w:pPr>
      <w:ind w:left="420" w:leftChars="200"/>
    </w:pPr>
    <w:rPr>
      <w:rFonts w:ascii="Calibri" w:hAnsi="Calibri"/>
      <w:szCs w:val="22"/>
    </w:rPr>
  </w:style>
  <w:style w:type="paragraph" w:styleId="31">
    <w:name w:val="header"/>
    <w:basedOn w:val="1"/>
    <w:link w:val="78"/>
    <w:qFormat/>
    <w:uiPriority w:val="0"/>
    <w:pPr>
      <w:pBdr>
        <w:bottom w:val="single" w:color="auto" w:sz="6" w:space="1"/>
      </w:pBdr>
      <w:tabs>
        <w:tab w:val="center" w:pos="4153"/>
        <w:tab w:val="right" w:pos="8306"/>
      </w:tabs>
      <w:snapToGrid w:val="0"/>
      <w:jc w:val="center"/>
    </w:pPr>
    <w:rPr>
      <w:sz w:val="18"/>
      <w:szCs w:val="18"/>
    </w:rPr>
  </w:style>
  <w:style w:type="paragraph" w:styleId="32">
    <w:name w:val="toc 1"/>
    <w:basedOn w:val="1"/>
    <w:next w:val="1"/>
    <w:qFormat/>
    <w:uiPriority w:val="39"/>
  </w:style>
  <w:style w:type="paragraph" w:styleId="33">
    <w:name w:val="toc 4"/>
    <w:basedOn w:val="1"/>
    <w:next w:val="1"/>
    <w:unhideWhenUsed/>
    <w:qFormat/>
    <w:uiPriority w:val="39"/>
    <w:pPr>
      <w:ind w:left="1260" w:leftChars="600"/>
    </w:pPr>
    <w:rPr>
      <w:rFonts w:ascii="Calibri" w:hAnsi="Calibri"/>
      <w:szCs w:val="22"/>
    </w:rPr>
  </w:style>
  <w:style w:type="paragraph" w:styleId="34">
    <w:name w:val="index heading"/>
    <w:basedOn w:val="1"/>
    <w:next w:val="35"/>
    <w:unhideWhenUsed/>
    <w:qFormat/>
    <w:uiPriority w:val="99"/>
    <w:pPr>
      <w:tabs>
        <w:tab w:val="left" w:pos="240"/>
      </w:tabs>
    </w:pPr>
  </w:style>
  <w:style w:type="paragraph" w:styleId="35">
    <w:name w:val="index 1"/>
    <w:basedOn w:val="1"/>
    <w:next w:val="1"/>
    <w:qFormat/>
    <w:uiPriority w:val="0"/>
    <w:pPr>
      <w:spacing w:line="220" w:lineRule="exact"/>
      <w:jc w:val="center"/>
    </w:pPr>
    <w:rPr>
      <w:rFonts w:ascii="仿宋_GB2312" w:hAnsi="Calibri" w:eastAsia="仿宋_GB2312"/>
      <w:szCs w:val="22"/>
    </w:rPr>
  </w:style>
  <w:style w:type="paragraph" w:styleId="36">
    <w:name w:val="Subtitle"/>
    <w:basedOn w:val="1"/>
    <w:next w:val="1"/>
    <w:link w:val="79"/>
    <w:qFormat/>
    <w:uiPriority w:val="0"/>
    <w:pPr>
      <w:spacing w:before="240" w:after="60" w:line="312" w:lineRule="auto"/>
      <w:jc w:val="center"/>
      <w:outlineLvl w:val="1"/>
    </w:pPr>
    <w:rPr>
      <w:rFonts w:ascii="Cambria" w:hAnsi="Cambria"/>
      <w:b/>
      <w:bCs/>
      <w:kern w:val="28"/>
      <w:sz w:val="32"/>
      <w:szCs w:val="32"/>
    </w:rPr>
  </w:style>
  <w:style w:type="paragraph" w:styleId="37">
    <w:name w:val="toc 6"/>
    <w:basedOn w:val="1"/>
    <w:next w:val="1"/>
    <w:unhideWhenUsed/>
    <w:qFormat/>
    <w:uiPriority w:val="39"/>
    <w:pPr>
      <w:ind w:left="2100" w:leftChars="1000"/>
    </w:pPr>
    <w:rPr>
      <w:rFonts w:ascii="Calibri" w:hAnsi="Calibri"/>
      <w:szCs w:val="22"/>
    </w:rPr>
  </w:style>
  <w:style w:type="paragraph" w:styleId="38">
    <w:name w:val="Body Text Indent 3"/>
    <w:basedOn w:val="1"/>
    <w:link w:val="80"/>
    <w:qFormat/>
    <w:uiPriority w:val="0"/>
    <w:pPr>
      <w:spacing w:after="120"/>
      <w:ind w:left="420" w:leftChars="200"/>
    </w:pPr>
    <w:rPr>
      <w:sz w:val="16"/>
      <w:szCs w:val="20"/>
    </w:rPr>
  </w:style>
  <w:style w:type="paragraph" w:styleId="39">
    <w:name w:val="toc 9"/>
    <w:basedOn w:val="1"/>
    <w:next w:val="1"/>
    <w:unhideWhenUsed/>
    <w:qFormat/>
    <w:uiPriority w:val="39"/>
    <w:pPr>
      <w:ind w:left="3360" w:leftChars="1600"/>
    </w:pPr>
    <w:rPr>
      <w:rFonts w:ascii="Calibri" w:hAnsi="Calibri"/>
      <w:szCs w:val="22"/>
    </w:rPr>
  </w:style>
  <w:style w:type="paragraph" w:styleId="40">
    <w:name w:val="Body Text 2"/>
    <w:basedOn w:val="1"/>
    <w:qFormat/>
    <w:uiPriority w:val="0"/>
    <w:pPr>
      <w:widowControl/>
      <w:jc w:val="center"/>
    </w:pPr>
    <w:rPr>
      <w:rFonts w:ascii="楷体_GB2312" w:eastAsia="楷体_GB2312"/>
      <w:sz w:val="28"/>
    </w:rPr>
  </w:style>
  <w:style w:type="paragraph" w:styleId="41">
    <w:name w:val="HTML Preformatted"/>
    <w:basedOn w:val="1"/>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42">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43">
    <w:name w:val="Title"/>
    <w:basedOn w:val="1"/>
    <w:next w:val="1"/>
    <w:link w:val="81"/>
    <w:qFormat/>
    <w:uiPriority w:val="0"/>
    <w:pPr>
      <w:adjustRightInd w:val="0"/>
      <w:spacing w:before="240" w:after="60" w:line="420" w:lineRule="atLeast"/>
      <w:jc w:val="center"/>
      <w:textAlignment w:val="baseline"/>
      <w:outlineLvl w:val="0"/>
    </w:pPr>
    <w:rPr>
      <w:rFonts w:ascii="Arial" w:hAnsi="Arial"/>
      <w:b/>
      <w:kern w:val="0"/>
      <w:sz w:val="32"/>
      <w:szCs w:val="20"/>
    </w:rPr>
  </w:style>
  <w:style w:type="paragraph" w:styleId="44">
    <w:name w:val="annotation subject"/>
    <w:basedOn w:val="16"/>
    <w:next w:val="16"/>
    <w:link w:val="82"/>
    <w:qFormat/>
    <w:uiPriority w:val="0"/>
    <w:rPr>
      <w:b/>
      <w:bCs/>
    </w:rPr>
  </w:style>
  <w:style w:type="paragraph" w:styleId="45">
    <w:name w:val="Body Text First Indent 2"/>
    <w:basedOn w:val="19"/>
    <w:qFormat/>
    <w:uiPriority w:val="99"/>
    <w:pPr>
      <w:ind w:firstLine="420" w:firstLineChars="200"/>
    </w:pPr>
  </w:style>
  <w:style w:type="table" w:styleId="47">
    <w:name w:val="Table Grid"/>
    <w:basedOn w:val="46"/>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9">
    <w:name w:val="Strong"/>
    <w:basedOn w:val="48"/>
    <w:qFormat/>
    <w:uiPriority w:val="0"/>
    <w:rPr>
      <w:rFonts w:cs="Times New Roman"/>
      <w:b/>
    </w:rPr>
  </w:style>
  <w:style w:type="character" w:styleId="50">
    <w:name w:val="page number"/>
    <w:basedOn w:val="48"/>
    <w:qFormat/>
    <w:uiPriority w:val="0"/>
    <w:rPr>
      <w:rFonts w:eastAsia="宋体"/>
      <w:b/>
      <w:spacing w:val="0"/>
      <w:kern w:val="2"/>
      <w:sz w:val="24"/>
      <w:szCs w:val="24"/>
      <w:vertAlign w:val="baseline"/>
      <w:lang w:val="en-US" w:eastAsia="zh-CN" w:bidi="ar-SA"/>
    </w:rPr>
  </w:style>
  <w:style w:type="character" w:styleId="51">
    <w:name w:val="FollowedHyperlink"/>
    <w:qFormat/>
    <w:uiPriority w:val="0"/>
    <w:rPr>
      <w:color w:val="800080"/>
      <w:u w:val="single"/>
    </w:rPr>
  </w:style>
  <w:style w:type="character" w:styleId="52">
    <w:name w:val="Emphasis"/>
    <w:basedOn w:val="48"/>
    <w:qFormat/>
    <w:uiPriority w:val="0"/>
    <w:rPr>
      <w:color w:val="CC0000"/>
    </w:rPr>
  </w:style>
  <w:style w:type="character" w:styleId="53">
    <w:name w:val="Hyperlink"/>
    <w:basedOn w:val="48"/>
    <w:qFormat/>
    <w:uiPriority w:val="99"/>
    <w:rPr>
      <w:color w:val="0000FF"/>
      <w:u w:val="single"/>
    </w:rPr>
  </w:style>
  <w:style w:type="character" w:styleId="54">
    <w:name w:val="annotation reference"/>
    <w:qFormat/>
    <w:uiPriority w:val="99"/>
    <w:rPr>
      <w:sz w:val="21"/>
      <w:szCs w:val="21"/>
    </w:rPr>
  </w:style>
  <w:style w:type="character" w:styleId="55">
    <w:name w:val="HTML Cite"/>
    <w:qFormat/>
    <w:uiPriority w:val="0"/>
    <w:rPr>
      <w:color w:val="008000"/>
    </w:rPr>
  </w:style>
  <w:style w:type="paragraph" w:customStyle="1" w:styleId="56">
    <w:name w:val="列出段落1"/>
    <w:basedOn w:val="1"/>
    <w:qFormat/>
    <w:uiPriority w:val="34"/>
    <w:pPr>
      <w:widowControl/>
      <w:ind w:left="720"/>
      <w:contextualSpacing/>
      <w:jc w:val="left"/>
    </w:pPr>
    <w:rPr>
      <w:rFonts w:ascii="Arial" w:hAnsi="Arial" w:eastAsia="黑体"/>
      <w:kern w:val="0"/>
      <w:sz w:val="24"/>
      <w:lang w:eastAsia="en-US"/>
    </w:rPr>
  </w:style>
  <w:style w:type="paragraph" w:customStyle="1" w:styleId="57">
    <w:name w:val="标题 312"/>
    <w:basedOn w:val="1"/>
    <w:next w:val="1"/>
    <w:qFormat/>
    <w:uiPriority w:val="9"/>
    <w:pPr>
      <w:keepNext/>
      <w:keepLines/>
      <w:spacing w:before="320" w:after="200"/>
      <w:outlineLvl w:val="2"/>
    </w:pPr>
    <w:rPr>
      <w:rFonts w:ascii="Arial" w:hAnsi="Arial" w:eastAsia="Arial" w:cs="Arial"/>
      <w:sz w:val="30"/>
      <w:szCs w:val="30"/>
    </w:rPr>
  </w:style>
  <w:style w:type="paragraph" w:styleId="58">
    <w:name w:val="List Paragraph"/>
    <w:basedOn w:val="1"/>
    <w:qFormat/>
    <w:uiPriority w:val="34"/>
    <w:pPr>
      <w:ind w:firstLine="420" w:firstLineChars="200"/>
    </w:pPr>
  </w:style>
  <w:style w:type="character" w:customStyle="1" w:styleId="59">
    <w:name w:val="标题 1 字符"/>
    <w:link w:val="2"/>
    <w:qFormat/>
    <w:uiPriority w:val="0"/>
    <w:rPr>
      <w:rFonts w:ascii="Times New Roman" w:hAnsi="Times New Roman" w:eastAsia="宋体" w:cs="Times New Roman"/>
      <w:b/>
      <w:bCs/>
      <w:kern w:val="44"/>
      <w:sz w:val="32"/>
      <w:szCs w:val="44"/>
    </w:rPr>
  </w:style>
  <w:style w:type="character" w:customStyle="1" w:styleId="60">
    <w:name w:val="标题 2 字符"/>
    <w:link w:val="3"/>
    <w:qFormat/>
    <w:uiPriority w:val="0"/>
    <w:rPr>
      <w:rFonts w:ascii="Cambria" w:hAnsi="Cambria"/>
      <w:b/>
      <w:bCs/>
      <w:kern w:val="2"/>
      <w:sz w:val="32"/>
      <w:szCs w:val="32"/>
    </w:rPr>
  </w:style>
  <w:style w:type="character" w:customStyle="1" w:styleId="61">
    <w:name w:val="标题 3 字符"/>
    <w:link w:val="4"/>
    <w:qFormat/>
    <w:uiPriority w:val="0"/>
    <w:rPr>
      <w:b/>
      <w:bCs/>
      <w:kern w:val="2"/>
      <w:sz w:val="32"/>
      <w:szCs w:val="32"/>
    </w:rPr>
  </w:style>
  <w:style w:type="character" w:customStyle="1" w:styleId="62">
    <w:name w:val="标题 4 字符"/>
    <w:link w:val="5"/>
    <w:qFormat/>
    <w:uiPriority w:val="0"/>
    <w:rPr>
      <w:rFonts w:ascii="Cambria" w:hAnsi="Cambria" w:eastAsia="宋体" w:cs="Times New Roman"/>
      <w:b/>
      <w:bCs/>
      <w:kern w:val="2"/>
      <w:sz w:val="28"/>
      <w:szCs w:val="28"/>
    </w:rPr>
  </w:style>
  <w:style w:type="character" w:customStyle="1" w:styleId="63">
    <w:name w:val="标题 5 字符"/>
    <w:link w:val="6"/>
    <w:qFormat/>
    <w:uiPriority w:val="0"/>
    <w:rPr>
      <w:b/>
      <w:bCs/>
      <w:kern w:val="2"/>
      <w:sz w:val="28"/>
      <w:szCs w:val="28"/>
    </w:rPr>
  </w:style>
  <w:style w:type="character" w:customStyle="1" w:styleId="64">
    <w:name w:val="标题 6 字符"/>
    <w:link w:val="7"/>
    <w:qFormat/>
    <w:uiPriority w:val="0"/>
    <w:rPr>
      <w:rFonts w:ascii="Cambria" w:hAnsi="Cambria" w:eastAsia="宋体" w:cs="Times New Roman"/>
      <w:b/>
      <w:bCs/>
      <w:kern w:val="2"/>
      <w:sz w:val="24"/>
      <w:szCs w:val="24"/>
    </w:rPr>
  </w:style>
  <w:style w:type="character" w:customStyle="1" w:styleId="65">
    <w:name w:val="标题 7 字符"/>
    <w:link w:val="8"/>
    <w:qFormat/>
    <w:uiPriority w:val="0"/>
    <w:rPr>
      <w:b/>
      <w:bCs/>
      <w:kern w:val="2"/>
      <w:sz w:val="24"/>
      <w:szCs w:val="24"/>
    </w:rPr>
  </w:style>
  <w:style w:type="character" w:customStyle="1" w:styleId="66">
    <w:name w:val="标题 8 字符"/>
    <w:link w:val="9"/>
    <w:qFormat/>
    <w:uiPriority w:val="0"/>
    <w:rPr>
      <w:rFonts w:ascii="Cambria" w:hAnsi="Cambria" w:eastAsia="宋体" w:cs="Times New Roman"/>
      <w:kern w:val="2"/>
      <w:sz w:val="24"/>
      <w:szCs w:val="24"/>
    </w:rPr>
  </w:style>
  <w:style w:type="character" w:customStyle="1" w:styleId="67">
    <w:name w:val="标题 9 字符"/>
    <w:link w:val="10"/>
    <w:qFormat/>
    <w:uiPriority w:val="0"/>
    <w:rPr>
      <w:rFonts w:ascii="Cambria" w:hAnsi="Cambria" w:eastAsia="宋体" w:cs="Times New Roman"/>
      <w:kern w:val="2"/>
      <w:sz w:val="21"/>
      <w:szCs w:val="21"/>
    </w:rPr>
  </w:style>
  <w:style w:type="character" w:customStyle="1" w:styleId="68">
    <w:name w:val="文档结构图 字符"/>
    <w:link w:val="15"/>
    <w:qFormat/>
    <w:uiPriority w:val="0"/>
    <w:rPr>
      <w:rFonts w:ascii="宋体"/>
      <w:kern w:val="2"/>
      <w:sz w:val="18"/>
      <w:szCs w:val="18"/>
    </w:rPr>
  </w:style>
  <w:style w:type="character" w:customStyle="1" w:styleId="69">
    <w:name w:val="批注文字 字符"/>
    <w:link w:val="16"/>
    <w:qFormat/>
    <w:uiPriority w:val="99"/>
    <w:rPr>
      <w:kern w:val="2"/>
      <w:sz w:val="21"/>
      <w:szCs w:val="24"/>
    </w:rPr>
  </w:style>
  <w:style w:type="character" w:customStyle="1" w:styleId="70">
    <w:name w:val="正文文本 3 字符"/>
    <w:link w:val="17"/>
    <w:qFormat/>
    <w:uiPriority w:val="0"/>
    <w:rPr>
      <w:rFonts w:ascii="宋体"/>
      <w:kern w:val="2"/>
      <w:sz w:val="24"/>
    </w:rPr>
  </w:style>
  <w:style w:type="character" w:customStyle="1" w:styleId="71">
    <w:name w:val="正文文本 字符"/>
    <w:link w:val="18"/>
    <w:qFormat/>
    <w:uiPriority w:val="0"/>
    <w:rPr>
      <w:rFonts w:eastAsia="幼圆"/>
      <w:b/>
      <w:bCs/>
      <w:kern w:val="2"/>
      <w:sz w:val="44"/>
      <w:szCs w:val="24"/>
    </w:rPr>
  </w:style>
  <w:style w:type="character" w:customStyle="1" w:styleId="72">
    <w:name w:val="正文文本缩进 字符"/>
    <w:link w:val="19"/>
    <w:qFormat/>
    <w:uiPriority w:val="0"/>
    <w:rPr>
      <w:kern w:val="2"/>
      <w:sz w:val="21"/>
      <w:szCs w:val="24"/>
    </w:rPr>
  </w:style>
  <w:style w:type="character" w:customStyle="1" w:styleId="73">
    <w:name w:val="纯文本 字符"/>
    <w:link w:val="24"/>
    <w:qFormat/>
    <w:uiPriority w:val="0"/>
    <w:rPr>
      <w:rFonts w:ascii="Ari"/>
      <w:lang w:val="en-US" w:eastAsia="zh-CN" w:bidi="ar-SA"/>
    </w:rPr>
  </w:style>
  <w:style w:type="character" w:customStyle="1" w:styleId="74">
    <w:name w:val="日期 字符"/>
    <w:link w:val="26"/>
    <w:qFormat/>
    <w:uiPriority w:val="0"/>
    <w:rPr>
      <w:kern w:val="2"/>
      <w:sz w:val="21"/>
      <w:szCs w:val="24"/>
    </w:rPr>
  </w:style>
  <w:style w:type="character" w:customStyle="1" w:styleId="75">
    <w:name w:val="正文文本缩进 2 字符"/>
    <w:link w:val="27"/>
    <w:qFormat/>
    <w:uiPriority w:val="99"/>
    <w:rPr>
      <w:rFonts w:ascii="宋体"/>
    </w:rPr>
  </w:style>
  <w:style w:type="character" w:customStyle="1" w:styleId="76">
    <w:name w:val="批注框文本 字符"/>
    <w:link w:val="28"/>
    <w:qFormat/>
    <w:uiPriority w:val="0"/>
    <w:rPr>
      <w:kern w:val="2"/>
      <w:sz w:val="18"/>
      <w:szCs w:val="18"/>
    </w:rPr>
  </w:style>
  <w:style w:type="character" w:customStyle="1" w:styleId="77">
    <w:name w:val="页脚 字符"/>
    <w:link w:val="29"/>
    <w:qFormat/>
    <w:uiPriority w:val="99"/>
    <w:rPr>
      <w:kern w:val="2"/>
      <w:sz w:val="18"/>
      <w:szCs w:val="18"/>
    </w:rPr>
  </w:style>
  <w:style w:type="character" w:customStyle="1" w:styleId="78">
    <w:name w:val="页眉 字符"/>
    <w:link w:val="31"/>
    <w:qFormat/>
    <w:uiPriority w:val="0"/>
    <w:rPr>
      <w:kern w:val="2"/>
      <w:sz w:val="18"/>
      <w:szCs w:val="18"/>
    </w:rPr>
  </w:style>
  <w:style w:type="character" w:customStyle="1" w:styleId="79">
    <w:name w:val="副标题 字符"/>
    <w:link w:val="36"/>
    <w:qFormat/>
    <w:uiPriority w:val="0"/>
    <w:rPr>
      <w:rFonts w:ascii="Cambria" w:hAnsi="Cambria"/>
      <w:b/>
      <w:bCs/>
      <w:kern w:val="28"/>
      <w:sz w:val="32"/>
      <w:szCs w:val="32"/>
    </w:rPr>
  </w:style>
  <w:style w:type="character" w:customStyle="1" w:styleId="80">
    <w:name w:val="正文文本缩进 3 字符"/>
    <w:link w:val="38"/>
    <w:qFormat/>
    <w:uiPriority w:val="0"/>
    <w:rPr>
      <w:kern w:val="2"/>
      <w:sz w:val="16"/>
    </w:rPr>
  </w:style>
  <w:style w:type="character" w:customStyle="1" w:styleId="81">
    <w:name w:val="标题 字符"/>
    <w:link w:val="43"/>
    <w:qFormat/>
    <w:uiPriority w:val="0"/>
    <w:rPr>
      <w:rFonts w:ascii="Arial" w:hAnsi="Arial"/>
      <w:b/>
      <w:sz w:val="32"/>
    </w:rPr>
  </w:style>
  <w:style w:type="character" w:customStyle="1" w:styleId="82">
    <w:name w:val="批注主题 字符"/>
    <w:link w:val="44"/>
    <w:qFormat/>
    <w:uiPriority w:val="0"/>
    <w:rPr>
      <w:b/>
      <w:bCs/>
      <w:kern w:val="2"/>
      <w:sz w:val="21"/>
      <w:szCs w:val="24"/>
    </w:rPr>
  </w:style>
  <w:style w:type="paragraph" w:customStyle="1" w:styleId="83">
    <w:name w:val="一级条标题"/>
    <w:basedOn w:val="84"/>
    <w:next w:val="85"/>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84">
    <w:name w:val="章标题"/>
    <w:basedOn w:val="1"/>
    <w:next w:val="1"/>
    <w:qFormat/>
    <w:uiPriority w:val="0"/>
    <w:pPr>
      <w:widowControl/>
      <w:spacing w:before="158" w:after="153" w:line="1292" w:lineRule="atLeast"/>
      <w:jc w:val="center"/>
    </w:pPr>
    <w:rPr>
      <w:rFonts w:ascii="Arial" w:hAnsi="Calibri" w:eastAsia="黑体" w:cs="黑体"/>
      <w:kern w:val="0"/>
      <w:sz w:val="31"/>
      <w:szCs w:val="22"/>
      <w:lang w:eastAsia="en-US" w:bidi="en-US"/>
    </w:rPr>
  </w:style>
  <w:style w:type="paragraph" w:customStyle="1" w:styleId="85">
    <w:name w:val="段"/>
    <w:basedOn w:val="1"/>
    <w:next w:val="1"/>
    <w:qFormat/>
    <w:uiPriority w:val="0"/>
    <w:pPr>
      <w:widowControl/>
      <w:autoSpaceDE w:val="0"/>
      <w:autoSpaceDN w:val="0"/>
      <w:ind w:firstLine="200" w:firstLineChars="200"/>
    </w:pPr>
    <w:rPr>
      <w:rFonts w:hint="eastAsia" w:ascii="宋体"/>
      <w:kern w:val="0"/>
      <w:szCs w:val="20"/>
    </w:rPr>
  </w:style>
  <w:style w:type="paragraph" w:customStyle="1" w:styleId="86">
    <w:name w:val="列表段落1"/>
    <w:basedOn w:val="1"/>
    <w:next w:val="16"/>
    <w:qFormat/>
    <w:uiPriority w:val="99"/>
    <w:pPr>
      <w:ind w:firstLine="420" w:firstLineChars="200"/>
    </w:pPr>
  </w:style>
  <w:style w:type="paragraph" w:customStyle="1" w:styleId="87">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88">
    <w:name w:val="正文首行缩进 21"/>
    <w:basedOn w:val="89"/>
    <w:next w:val="1"/>
    <w:qFormat/>
    <w:uiPriority w:val="0"/>
    <w:pPr>
      <w:spacing w:before="100" w:beforeAutospacing="1"/>
      <w:ind w:firstLine="420"/>
    </w:pPr>
    <w:rPr>
      <w:rFonts w:ascii="宋体" w:hAnsi="宋体"/>
      <w:szCs w:val="21"/>
    </w:rPr>
  </w:style>
  <w:style w:type="paragraph" w:customStyle="1" w:styleId="89">
    <w:name w:val="正文文本缩进1"/>
    <w:basedOn w:val="1"/>
    <w:qFormat/>
    <w:uiPriority w:val="0"/>
    <w:pPr>
      <w:spacing w:line="500" w:lineRule="exact"/>
      <w:ind w:firstLine="880" w:firstLineChars="200"/>
    </w:pPr>
  </w:style>
  <w:style w:type="character" w:customStyle="1" w:styleId="90">
    <w:name w:val="明显强调1"/>
    <w:qFormat/>
    <w:uiPriority w:val="0"/>
    <w:rPr>
      <w:b/>
      <w:bCs/>
      <w:i/>
      <w:iCs/>
      <w:color w:val="4F81BD"/>
    </w:rPr>
  </w:style>
  <w:style w:type="character" w:customStyle="1" w:styleId="91">
    <w:name w:val="批注文字 Char2"/>
    <w:qFormat/>
    <w:uiPriority w:val="0"/>
    <w:rPr>
      <w:kern w:val="2"/>
      <w:sz w:val="21"/>
    </w:rPr>
  </w:style>
  <w:style w:type="character" w:customStyle="1" w:styleId="92">
    <w:name w:val="标题 3 Char_0"/>
    <w:link w:val="93"/>
    <w:qFormat/>
    <w:uiPriority w:val="0"/>
    <w:rPr>
      <w:b/>
      <w:bCs/>
      <w:sz w:val="32"/>
      <w:szCs w:val="32"/>
    </w:rPr>
  </w:style>
  <w:style w:type="paragraph" w:customStyle="1" w:styleId="93">
    <w:name w:val="标题 3_0"/>
    <w:basedOn w:val="94"/>
    <w:next w:val="94"/>
    <w:link w:val="92"/>
    <w:qFormat/>
    <w:uiPriority w:val="0"/>
    <w:pPr>
      <w:keepNext/>
      <w:keepLines/>
      <w:spacing w:before="260" w:after="260" w:line="416" w:lineRule="auto"/>
      <w:outlineLvl w:val="2"/>
    </w:pPr>
    <w:rPr>
      <w:b/>
      <w:bCs/>
      <w:kern w:val="0"/>
      <w:sz w:val="32"/>
      <w:szCs w:val="32"/>
    </w:rPr>
  </w:style>
  <w:style w:type="paragraph" w:customStyle="1" w:styleId="94">
    <w:name w:val="正文_0"/>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95">
    <w:name w:val="正文文本 Char2"/>
    <w:semiHidden/>
    <w:qFormat/>
    <w:uiPriority w:val="99"/>
    <w:rPr>
      <w:rFonts w:ascii="Calibri" w:hAnsi="Calibri" w:eastAsia="宋体" w:cs="Times New Roman"/>
    </w:rPr>
  </w:style>
  <w:style w:type="character" w:customStyle="1" w:styleId="96">
    <w:name w:val="页脚 Char1"/>
    <w:semiHidden/>
    <w:qFormat/>
    <w:uiPriority w:val="99"/>
    <w:rPr>
      <w:rFonts w:ascii="Calibri" w:hAnsi="Calibri" w:eastAsia="宋体" w:cs="Times New Roman"/>
      <w:sz w:val="18"/>
      <w:szCs w:val="18"/>
    </w:rPr>
  </w:style>
  <w:style w:type="character" w:customStyle="1" w:styleId="97">
    <w:name w:val="明显引用 Char2"/>
    <w:qFormat/>
    <w:uiPriority w:val="99"/>
    <w:rPr>
      <w:b/>
      <w:bCs/>
      <w:i/>
      <w:iCs/>
      <w:color w:val="4F81BD"/>
      <w:kern w:val="2"/>
      <w:sz w:val="21"/>
      <w:szCs w:val="24"/>
    </w:rPr>
  </w:style>
  <w:style w:type="character" w:customStyle="1" w:styleId="98">
    <w:name w:val="引用 Char"/>
    <w:link w:val="99"/>
    <w:qFormat/>
    <w:uiPriority w:val="0"/>
    <w:rPr>
      <w:i/>
      <w:iCs/>
      <w:color w:val="000000"/>
    </w:rPr>
  </w:style>
  <w:style w:type="paragraph" w:customStyle="1" w:styleId="99">
    <w:name w:val="引用1"/>
    <w:basedOn w:val="1"/>
    <w:next w:val="1"/>
    <w:link w:val="98"/>
    <w:qFormat/>
    <w:uiPriority w:val="0"/>
    <w:rPr>
      <w:i/>
      <w:iCs/>
      <w:color w:val="000000"/>
      <w:kern w:val="0"/>
      <w:sz w:val="20"/>
      <w:szCs w:val="20"/>
    </w:rPr>
  </w:style>
  <w:style w:type="character" w:customStyle="1" w:styleId="100">
    <w:name w:val="标题 1 Char_0"/>
    <w:link w:val="101"/>
    <w:qFormat/>
    <w:uiPriority w:val="0"/>
    <w:rPr>
      <w:b/>
      <w:bCs/>
      <w:kern w:val="44"/>
      <w:sz w:val="44"/>
      <w:szCs w:val="44"/>
    </w:rPr>
  </w:style>
  <w:style w:type="paragraph" w:customStyle="1" w:styleId="101">
    <w:name w:val="标题 1_0"/>
    <w:basedOn w:val="94"/>
    <w:next w:val="94"/>
    <w:link w:val="100"/>
    <w:qFormat/>
    <w:uiPriority w:val="0"/>
    <w:pPr>
      <w:keepNext/>
      <w:keepLines/>
      <w:spacing w:before="340" w:after="330" w:line="578" w:lineRule="auto"/>
      <w:outlineLvl w:val="0"/>
    </w:pPr>
    <w:rPr>
      <w:b/>
      <w:bCs/>
      <w:kern w:val="44"/>
      <w:sz w:val="44"/>
      <w:szCs w:val="44"/>
    </w:rPr>
  </w:style>
  <w:style w:type="character" w:customStyle="1" w:styleId="102">
    <w:name w:val="正文文本缩进 3 Char1"/>
    <w:semiHidden/>
    <w:qFormat/>
    <w:uiPriority w:val="99"/>
    <w:rPr>
      <w:kern w:val="2"/>
      <w:sz w:val="16"/>
      <w:szCs w:val="16"/>
    </w:rPr>
  </w:style>
  <w:style w:type="character" w:customStyle="1" w:styleId="103">
    <w:name w:val="引用 Char1"/>
    <w:qFormat/>
    <w:uiPriority w:val="29"/>
    <w:rPr>
      <w:i/>
      <w:iCs/>
      <w:color w:val="000000"/>
      <w:kern w:val="2"/>
      <w:sz w:val="21"/>
    </w:rPr>
  </w:style>
  <w:style w:type="character" w:customStyle="1" w:styleId="104">
    <w:name w:val="font161"/>
    <w:basedOn w:val="48"/>
    <w:qFormat/>
    <w:uiPriority w:val="0"/>
    <w:rPr>
      <w:b/>
      <w:sz w:val="32"/>
    </w:rPr>
  </w:style>
  <w:style w:type="character" w:customStyle="1" w:styleId="105">
    <w:name w:val="标题 4 Char_0"/>
    <w:link w:val="106"/>
    <w:qFormat/>
    <w:uiPriority w:val="0"/>
    <w:rPr>
      <w:rFonts w:ascii="Arial" w:hAnsi="Arial" w:eastAsia="黑体"/>
      <w:b/>
      <w:bCs/>
      <w:sz w:val="28"/>
      <w:szCs w:val="28"/>
    </w:rPr>
  </w:style>
  <w:style w:type="paragraph" w:customStyle="1" w:styleId="106">
    <w:name w:val="标题 4_0"/>
    <w:basedOn w:val="94"/>
    <w:next w:val="94"/>
    <w:link w:val="105"/>
    <w:qFormat/>
    <w:uiPriority w:val="0"/>
    <w:pPr>
      <w:keepNext/>
      <w:keepLines/>
      <w:spacing w:before="280" w:after="290" w:line="376" w:lineRule="auto"/>
      <w:outlineLvl w:val="3"/>
    </w:pPr>
    <w:rPr>
      <w:rFonts w:ascii="Arial" w:hAnsi="Arial" w:eastAsia="黑体"/>
      <w:b/>
      <w:bCs/>
      <w:kern w:val="0"/>
      <w:sz w:val="28"/>
      <w:szCs w:val="28"/>
    </w:rPr>
  </w:style>
  <w:style w:type="character" w:customStyle="1" w:styleId="107">
    <w:name w:val="引用 Char2"/>
    <w:qFormat/>
    <w:uiPriority w:val="99"/>
    <w:rPr>
      <w:i/>
      <w:iCs/>
      <w:color w:val="000000"/>
      <w:kern w:val="2"/>
      <w:sz w:val="21"/>
      <w:szCs w:val="24"/>
    </w:rPr>
  </w:style>
  <w:style w:type="character" w:customStyle="1" w:styleId="108">
    <w:name w:val="rvts11"/>
    <w:qFormat/>
    <w:uiPriority w:val="0"/>
    <w:rPr>
      <w:rFonts w:hint="default" w:ascii="KNLe" w:hAnsi="KNLe"/>
      <w:sz w:val="24"/>
      <w:szCs w:val="24"/>
      <w:u w:val="single"/>
    </w:rPr>
  </w:style>
  <w:style w:type="character" w:customStyle="1" w:styleId="109">
    <w:name w:val="标题5 Char Char"/>
    <w:link w:val="110"/>
    <w:qFormat/>
    <w:uiPriority w:val="0"/>
    <w:rPr>
      <w:rFonts w:ascii="Arial" w:hAnsi="Arial"/>
      <w:b/>
      <w:bCs/>
      <w:sz w:val="24"/>
      <w:szCs w:val="32"/>
    </w:rPr>
  </w:style>
  <w:style w:type="paragraph" w:customStyle="1" w:styleId="110">
    <w:name w:val="标题5"/>
    <w:basedOn w:val="4"/>
    <w:link w:val="109"/>
    <w:qFormat/>
    <w:uiPriority w:val="0"/>
    <w:pPr>
      <w:numPr>
        <w:ilvl w:val="0"/>
        <w:numId w:val="0"/>
      </w:numPr>
      <w:spacing w:line="413" w:lineRule="auto"/>
    </w:pPr>
    <w:rPr>
      <w:rFonts w:ascii="Arial" w:hAnsi="Arial"/>
      <w:kern w:val="0"/>
      <w:sz w:val="24"/>
    </w:rPr>
  </w:style>
  <w:style w:type="character" w:customStyle="1" w:styleId="111">
    <w:name w:val="副标题 Char2"/>
    <w:qFormat/>
    <w:uiPriority w:val="11"/>
    <w:rPr>
      <w:rFonts w:ascii="Cambria" w:hAnsi="Cambria" w:cs="Times New Roman"/>
      <w:b/>
      <w:bCs/>
      <w:kern w:val="28"/>
      <w:sz w:val="32"/>
      <w:szCs w:val="32"/>
    </w:rPr>
  </w:style>
  <w:style w:type="character" w:customStyle="1" w:styleId="112">
    <w:name w:val="批注主题 Char1"/>
    <w:qFormat/>
    <w:uiPriority w:val="0"/>
    <w:rPr>
      <w:b/>
      <w:bCs/>
      <w:kern w:val="2"/>
      <w:sz w:val="21"/>
      <w:szCs w:val="22"/>
    </w:rPr>
  </w:style>
  <w:style w:type="character" w:customStyle="1" w:styleId="113">
    <w:name w:val="font31"/>
    <w:basedOn w:val="48"/>
    <w:qFormat/>
    <w:uiPriority w:val="0"/>
    <w:rPr>
      <w:rFonts w:hint="eastAsia" w:ascii="宋体" w:hAnsi="宋体" w:eastAsia="宋体" w:cs="宋体"/>
      <w:color w:val="000000"/>
      <w:sz w:val="20"/>
      <w:szCs w:val="20"/>
      <w:u w:val="none"/>
    </w:rPr>
  </w:style>
  <w:style w:type="character" w:customStyle="1" w:styleId="114">
    <w:name w:val="明显引用 Char"/>
    <w:link w:val="115"/>
    <w:qFormat/>
    <w:uiPriority w:val="0"/>
    <w:rPr>
      <w:b/>
      <w:bCs/>
      <w:i/>
      <w:iCs/>
      <w:color w:val="4F81BD"/>
    </w:rPr>
  </w:style>
  <w:style w:type="paragraph" w:customStyle="1" w:styleId="115">
    <w:name w:val="明显引用1"/>
    <w:basedOn w:val="1"/>
    <w:next w:val="1"/>
    <w:link w:val="114"/>
    <w:qFormat/>
    <w:uiPriority w:val="0"/>
    <w:pPr>
      <w:pBdr>
        <w:bottom w:val="single" w:color="4F81BD" w:sz="4" w:space="4"/>
      </w:pBdr>
      <w:spacing w:before="200" w:after="280"/>
      <w:ind w:left="936" w:right="936"/>
    </w:pPr>
    <w:rPr>
      <w:b/>
      <w:bCs/>
      <w:i/>
      <w:iCs/>
      <w:color w:val="4F81BD"/>
      <w:kern w:val="0"/>
      <w:sz w:val="20"/>
      <w:szCs w:val="20"/>
    </w:rPr>
  </w:style>
  <w:style w:type="character" w:customStyle="1" w:styleId="116">
    <w:name w:val="日期 Char1"/>
    <w:qFormat/>
    <w:uiPriority w:val="0"/>
    <w:rPr>
      <w:rFonts w:ascii="Calibri" w:hAnsi="Calibri" w:eastAsia="宋体" w:cs="Times New Roman"/>
    </w:rPr>
  </w:style>
  <w:style w:type="character" w:customStyle="1" w:styleId="117">
    <w:name w:val="批注框文本 Char1"/>
    <w:qFormat/>
    <w:uiPriority w:val="0"/>
    <w:rPr>
      <w:kern w:val="2"/>
      <w:sz w:val="18"/>
      <w:szCs w:val="18"/>
    </w:rPr>
  </w:style>
  <w:style w:type="character" w:customStyle="1" w:styleId="118">
    <w:name w:val="标题 Char1"/>
    <w:qFormat/>
    <w:uiPriority w:val="10"/>
    <w:rPr>
      <w:rFonts w:ascii="Cambria" w:hAnsi="Cambria" w:eastAsia="宋体" w:cs="Times New Roman"/>
      <w:b/>
      <w:bCs/>
      <w:sz w:val="32"/>
      <w:szCs w:val="32"/>
    </w:rPr>
  </w:style>
  <w:style w:type="character" w:customStyle="1" w:styleId="119">
    <w:name w:val="不明显参考1"/>
    <w:qFormat/>
    <w:uiPriority w:val="0"/>
    <w:rPr>
      <w:smallCaps/>
      <w:color w:val="C0504D"/>
      <w:u w:val="single"/>
    </w:rPr>
  </w:style>
  <w:style w:type="character" w:customStyle="1" w:styleId="120">
    <w:name w:val="批注文字 Char1"/>
    <w:qFormat/>
    <w:uiPriority w:val="0"/>
    <w:rPr>
      <w:rFonts w:ascii="Calibri" w:hAnsi="Calibri" w:eastAsia="宋体" w:cs="Times New Roman"/>
    </w:rPr>
  </w:style>
  <w:style w:type="character" w:customStyle="1" w:styleId="121">
    <w:name w:val="标题 Char2"/>
    <w:qFormat/>
    <w:uiPriority w:val="10"/>
    <w:rPr>
      <w:rFonts w:ascii="Cambria" w:hAnsi="Cambria" w:cs="Times New Roman"/>
      <w:b/>
      <w:bCs/>
      <w:kern w:val="2"/>
      <w:sz w:val="32"/>
      <w:szCs w:val="32"/>
    </w:rPr>
  </w:style>
  <w:style w:type="character" w:customStyle="1" w:styleId="122">
    <w:name w:val="正文文本 3 Char1"/>
    <w:semiHidden/>
    <w:qFormat/>
    <w:uiPriority w:val="99"/>
    <w:rPr>
      <w:kern w:val="2"/>
      <w:sz w:val="16"/>
      <w:szCs w:val="16"/>
    </w:rPr>
  </w:style>
  <w:style w:type="character" w:customStyle="1" w:styleId="123">
    <w:name w:val="批注主题 Char2"/>
    <w:qFormat/>
    <w:uiPriority w:val="0"/>
    <w:rPr>
      <w:b/>
      <w:bCs/>
      <w:kern w:val="2"/>
      <w:sz w:val="21"/>
    </w:rPr>
  </w:style>
  <w:style w:type="character" w:customStyle="1" w:styleId="124">
    <w:name w:val="正文文本 Char_0"/>
    <w:link w:val="125"/>
    <w:qFormat/>
    <w:uiPriority w:val="0"/>
    <w:rPr>
      <w:szCs w:val="24"/>
    </w:rPr>
  </w:style>
  <w:style w:type="paragraph" w:customStyle="1" w:styleId="125">
    <w:name w:val="正文文本_0"/>
    <w:basedOn w:val="94"/>
    <w:link w:val="124"/>
    <w:qFormat/>
    <w:uiPriority w:val="0"/>
    <w:pPr>
      <w:spacing w:after="120"/>
    </w:pPr>
    <w:rPr>
      <w:kern w:val="0"/>
      <w:sz w:val="20"/>
    </w:rPr>
  </w:style>
  <w:style w:type="character" w:customStyle="1" w:styleId="126">
    <w:name w:val="bookmark"/>
    <w:basedOn w:val="48"/>
    <w:qFormat/>
    <w:uiPriority w:val="0"/>
  </w:style>
  <w:style w:type="character" w:customStyle="1" w:styleId="127">
    <w:name w:val="标题 5 Char_0"/>
    <w:link w:val="128"/>
    <w:qFormat/>
    <w:uiPriority w:val="0"/>
    <w:rPr>
      <w:rFonts w:ascii="Calibri" w:hAnsi="Calibri"/>
      <w:b/>
      <w:bCs/>
      <w:sz w:val="28"/>
      <w:szCs w:val="28"/>
    </w:rPr>
  </w:style>
  <w:style w:type="paragraph" w:customStyle="1" w:styleId="128">
    <w:name w:val="标题 5_0"/>
    <w:basedOn w:val="94"/>
    <w:next w:val="94"/>
    <w:link w:val="127"/>
    <w:qFormat/>
    <w:uiPriority w:val="0"/>
    <w:pPr>
      <w:keepNext/>
      <w:keepLines/>
      <w:spacing w:before="280" w:after="290" w:line="372" w:lineRule="auto"/>
      <w:outlineLvl w:val="4"/>
    </w:pPr>
    <w:rPr>
      <w:rFonts w:ascii="Calibri" w:hAnsi="Calibri"/>
      <w:b/>
      <w:bCs/>
      <w:kern w:val="0"/>
      <w:sz w:val="28"/>
      <w:szCs w:val="28"/>
    </w:rPr>
  </w:style>
  <w:style w:type="character" w:customStyle="1" w:styleId="129">
    <w:name w:val="font11"/>
    <w:basedOn w:val="48"/>
    <w:qFormat/>
    <w:uiPriority w:val="0"/>
    <w:rPr>
      <w:rFonts w:hint="eastAsia" w:ascii="宋体" w:hAnsi="宋体" w:eastAsia="宋体" w:cs="宋体"/>
      <w:color w:val="000000"/>
      <w:sz w:val="20"/>
      <w:szCs w:val="20"/>
      <w:u w:val="none"/>
    </w:rPr>
  </w:style>
  <w:style w:type="character" w:customStyle="1" w:styleId="130">
    <w:name w:val="明显参考1"/>
    <w:qFormat/>
    <w:uiPriority w:val="0"/>
    <w:rPr>
      <w:b/>
      <w:bCs/>
      <w:smallCaps/>
      <w:color w:val="C0504D"/>
      <w:spacing w:val="5"/>
      <w:u w:val="single"/>
    </w:rPr>
  </w:style>
  <w:style w:type="character" w:customStyle="1" w:styleId="131">
    <w:name w:val="超链接_0"/>
    <w:qFormat/>
    <w:uiPriority w:val="99"/>
    <w:rPr>
      <w:rFonts w:ascii="Calibri" w:hAnsi="Calibri"/>
      <w:color w:val="0000FF"/>
      <w:u w:val="single"/>
    </w:rPr>
  </w:style>
  <w:style w:type="character" w:customStyle="1" w:styleId="132">
    <w:name w:val="文档结构图 Char2"/>
    <w:semiHidden/>
    <w:qFormat/>
    <w:uiPriority w:val="99"/>
    <w:rPr>
      <w:rFonts w:ascii="宋体" w:hAnsi="Calibri" w:eastAsia="宋体" w:cs="Times New Roman"/>
      <w:sz w:val="18"/>
      <w:szCs w:val="18"/>
    </w:rPr>
  </w:style>
  <w:style w:type="character" w:customStyle="1" w:styleId="133">
    <w:name w:val="textcontents"/>
    <w:qFormat/>
    <w:uiPriority w:val="0"/>
    <w:rPr>
      <w:rFonts w:cs="Times New Roman"/>
    </w:rPr>
  </w:style>
  <w:style w:type="character" w:customStyle="1" w:styleId="134">
    <w:name w:val="标题 1 Char"/>
    <w:qFormat/>
    <w:uiPriority w:val="0"/>
    <w:rPr>
      <w:b/>
      <w:bCs/>
      <w:kern w:val="44"/>
      <w:sz w:val="32"/>
      <w:szCs w:val="44"/>
    </w:rPr>
  </w:style>
  <w:style w:type="character" w:customStyle="1" w:styleId="135">
    <w:name w:val="副标题 Char1"/>
    <w:qFormat/>
    <w:uiPriority w:val="11"/>
    <w:rPr>
      <w:rFonts w:ascii="Cambria" w:hAnsi="Cambria" w:cs="Times New Roman"/>
      <w:b/>
      <w:bCs/>
      <w:kern w:val="28"/>
      <w:sz w:val="32"/>
      <w:szCs w:val="32"/>
    </w:rPr>
  </w:style>
  <w:style w:type="character" w:customStyle="1" w:styleId="136">
    <w:name w:val="书籍标题1"/>
    <w:qFormat/>
    <w:uiPriority w:val="0"/>
    <w:rPr>
      <w:b/>
      <w:bCs/>
      <w:smallCaps/>
      <w:spacing w:val="5"/>
    </w:rPr>
  </w:style>
  <w:style w:type="character" w:customStyle="1" w:styleId="137">
    <w:name w:val="标题4 Char Char"/>
    <w:link w:val="138"/>
    <w:qFormat/>
    <w:uiPriority w:val="0"/>
    <w:rPr>
      <w:rFonts w:ascii="Arial" w:hAnsi="Arial"/>
      <w:b/>
      <w:bCs/>
      <w:sz w:val="24"/>
      <w:szCs w:val="32"/>
    </w:rPr>
  </w:style>
  <w:style w:type="paragraph" w:customStyle="1" w:styleId="138">
    <w:name w:val="标题4"/>
    <w:basedOn w:val="3"/>
    <w:next w:val="21"/>
    <w:link w:val="137"/>
    <w:qFormat/>
    <w:uiPriority w:val="0"/>
    <w:pPr>
      <w:numPr>
        <w:ilvl w:val="0"/>
        <w:numId w:val="0"/>
      </w:numPr>
      <w:spacing w:line="413" w:lineRule="auto"/>
    </w:pPr>
    <w:rPr>
      <w:rFonts w:ascii="Arial" w:hAnsi="Arial"/>
      <w:kern w:val="0"/>
      <w:sz w:val="24"/>
    </w:rPr>
  </w:style>
  <w:style w:type="character" w:customStyle="1" w:styleId="139">
    <w:name w:val="正文文本 Char1"/>
    <w:qFormat/>
    <w:uiPriority w:val="0"/>
    <w:rPr>
      <w:rFonts w:ascii="Calibri" w:hAnsi="Calibri" w:eastAsia="宋体" w:cs="Times New Roman"/>
    </w:rPr>
  </w:style>
  <w:style w:type="character" w:customStyle="1" w:styleId="140">
    <w:name w:val="明显引用 Char1"/>
    <w:qFormat/>
    <w:uiPriority w:val="30"/>
    <w:rPr>
      <w:b/>
      <w:bCs/>
      <w:i/>
      <w:iCs/>
      <w:color w:val="4F81BD"/>
      <w:kern w:val="2"/>
      <w:sz w:val="21"/>
    </w:rPr>
  </w:style>
  <w:style w:type="character" w:customStyle="1" w:styleId="141">
    <w:name w:val="页眉 Char1"/>
    <w:semiHidden/>
    <w:qFormat/>
    <w:uiPriority w:val="99"/>
    <w:rPr>
      <w:rFonts w:ascii="Calibri" w:hAnsi="Calibri" w:eastAsia="宋体" w:cs="Times New Roman"/>
      <w:sz w:val="18"/>
      <w:szCs w:val="18"/>
    </w:rPr>
  </w:style>
  <w:style w:type="character" w:customStyle="1" w:styleId="142">
    <w:name w:val="不明显强调1"/>
    <w:qFormat/>
    <w:uiPriority w:val="0"/>
    <w:rPr>
      <w:i/>
      <w:iCs/>
      <w:color w:val="808080"/>
    </w:rPr>
  </w:style>
  <w:style w:type="character" w:customStyle="1" w:styleId="143">
    <w:name w:val="font21"/>
    <w:basedOn w:val="48"/>
    <w:qFormat/>
    <w:uiPriority w:val="0"/>
    <w:rPr>
      <w:rFonts w:hint="eastAsia" w:ascii="宋体" w:hAnsi="宋体" w:eastAsia="宋体" w:cs="宋体"/>
      <w:color w:val="000000"/>
      <w:sz w:val="20"/>
      <w:szCs w:val="20"/>
      <w:u w:val="none"/>
    </w:rPr>
  </w:style>
  <w:style w:type="character" w:customStyle="1" w:styleId="144">
    <w:name w:val="文档结构图 Char1"/>
    <w:qFormat/>
    <w:uiPriority w:val="0"/>
    <w:rPr>
      <w:rFonts w:ascii="宋体" w:hAnsi="Calibri" w:eastAsia="宋体" w:cs="Times New Roman"/>
      <w:sz w:val="18"/>
      <w:szCs w:val="18"/>
    </w:rPr>
  </w:style>
  <w:style w:type="character" w:customStyle="1" w:styleId="145">
    <w:name w:val="标题 2 Char_0"/>
    <w:link w:val="146"/>
    <w:qFormat/>
    <w:uiPriority w:val="0"/>
    <w:rPr>
      <w:rFonts w:ascii="Cambria" w:hAnsi="Cambria"/>
      <w:b/>
      <w:bCs/>
      <w:sz w:val="32"/>
      <w:szCs w:val="32"/>
    </w:rPr>
  </w:style>
  <w:style w:type="paragraph" w:customStyle="1" w:styleId="146">
    <w:name w:val="标题 2_0"/>
    <w:basedOn w:val="94"/>
    <w:next w:val="94"/>
    <w:link w:val="145"/>
    <w:unhideWhenUsed/>
    <w:qFormat/>
    <w:uiPriority w:val="0"/>
    <w:pPr>
      <w:keepNext/>
      <w:keepLines/>
      <w:spacing w:before="260" w:after="260" w:line="416" w:lineRule="auto"/>
      <w:outlineLvl w:val="1"/>
    </w:pPr>
    <w:rPr>
      <w:rFonts w:ascii="Cambria" w:hAnsi="Cambria"/>
      <w:b/>
      <w:bCs/>
      <w:kern w:val="0"/>
      <w:sz w:val="32"/>
      <w:szCs w:val="32"/>
    </w:rPr>
  </w:style>
  <w:style w:type="character" w:customStyle="1" w:styleId="147">
    <w:name w:val="日期 Char2"/>
    <w:semiHidden/>
    <w:qFormat/>
    <w:uiPriority w:val="99"/>
    <w:rPr>
      <w:rFonts w:ascii="Calibri" w:hAnsi="Calibri" w:eastAsia="宋体" w:cs="Times New Roman"/>
    </w:rPr>
  </w:style>
  <w:style w:type="character" w:customStyle="1" w:styleId="148">
    <w:name w:val="批注框文本 Char2"/>
    <w:semiHidden/>
    <w:qFormat/>
    <w:uiPriority w:val="99"/>
    <w:rPr>
      <w:rFonts w:ascii="Calibri" w:hAnsi="Calibri" w:eastAsia="宋体" w:cs="Times New Roman"/>
      <w:sz w:val="18"/>
      <w:szCs w:val="18"/>
    </w:rPr>
  </w:style>
  <w:style w:type="character" w:customStyle="1" w:styleId="149">
    <w:name w:val="列出段落 Char"/>
    <w:link w:val="150"/>
    <w:qFormat/>
    <w:locked/>
    <w:uiPriority w:val="99"/>
    <w:rPr>
      <w:kern w:val="2"/>
      <w:sz w:val="21"/>
      <w:szCs w:val="24"/>
    </w:rPr>
  </w:style>
  <w:style w:type="paragraph" w:customStyle="1" w:styleId="150">
    <w:name w:val="List Paragraph1"/>
    <w:basedOn w:val="1"/>
    <w:link w:val="149"/>
    <w:qFormat/>
    <w:uiPriority w:val="99"/>
    <w:pPr>
      <w:ind w:firstLine="420" w:firstLineChars="200"/>
    </w:pPr>
  </w:style>
  <w:style w:type="paragraph" w:customStyle="1" w:styleId="151">
    <w:name w:val="样式 标题 3 + (中文) 黑体 小四 非加粗 段前: 7.8 磅 段后: 0 磅 行距: 固定值 20 磅"/>
    <w:basedOn w:val="4"/>
    <w:next w:val="1"/>
    <w:qFormat/>
    <w:uiPriority w:val="0"/>
    <w:pPr>
      <w:spacing w:before="0" w:after="0" w:line="400" w:lineRule="exact"/>
    </w:pPr>
    <w:rPr>
      <w:rFonts w:eastAsia="黑体" w:cs="宋体"/>
      <w:b w:val="0"/>
      <w:bCs w:val="0"/>
      <w:sz w:val="24"/>
      <w:szCs w:val="20"/>
    </w:rPr>
  </w:style>
  <w:style w:type="paragraph" w:customStyle="1" w:styleId="152">
    <w:name w:val="_Style 34"/>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3">
    <w:name w:val="正文_3"/>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154">
    <w:name w:val="_Style 36"/>
    <w:next w:val="1"/>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155">
    <w:name w:val="空半行"/>
    <w:basedOn w:val="1"/>
    <w:qFormat/>
    <w:uiPriority w:val="0"/>
    <w:pPr>
      <w:adjustRightInd w:val="0"/>
      <w:spacing w:line="120" w:lineRule="exact"/>
      <w:textAlignment w:val="baseline"/>
    </w:pPr>
    <w:rPr>
      <w:rFonts w:ascii="Calibri" w:hAnsi="Calibri" w:eastAsia="仿宋_GB2312"/>
      <w:color w:val="FFFFFF"/>
      <w:kern w:val="0"/>
      <w:sz w:val="30"/>
      <w:szCs w:val="22"/>
    </w:rPr>
  </w:style>
  <w:style w:type="paragraph" w:customStyle="1" w:styleId="156">
    <w:name w:val="1方案格式1"/>
    <w:basedOn w:val="2"/>
    <w:qFormat/>
    <w:uiPriority w:val="0"/>
    <w:pPr>
      <w:numPr>
        <w:numId w:val="2"/>
      </w:numPr>
      <w:tabs>
        <w:tab w:val="left" w:pos="360"/>
      </w:tabs>
      <w:spacing w:beforeLines="50" w:afterLines="50" w:line="360" w:lineRule="auto"/>
      <w:ind w:left="0" w:firstLine="0"/>
    </w:pPr>
    <w:rPr>
      <w:rFonts w:eastAsia="微软雅黑"/>
      <w:bCs w:val="0"/>
      <w:sz w:val="48"/>
    </w:rPr>
  </w:style>
  <w:style w:type="paragraph" w:customStyle="1" w:styleId="157">
    <w:name w:val="格式３"/>
    <w:basedOn w:val="1"/>
    <w:qFormat/>
    <w:uiPriority w:val="0"/>
    <w:pPr>
      <w:spacing w:line="420" w:lineRule="exact"/>
      <w:ind w:left="600" w:hanging="600" w:hangingChars="250"/>
    </w:pPr>
    <w:rPr>
      <w:rFonts w:ascii="宋体" w:hAnsi="宋体"/>
      <w:color w:val="000000"/>
      <w:sz w:val="24"/>
      <w:szCs w:val="20"/>
    </w:rPr>
  </w:style>
  <w:style w:type="paragraph" w:customStyle="1" w:styleId="158">
    <w:name w:val="正文1"/>
    <w:qFormat/>
    <w:uiPriority w:val="0"/>
    <w:pPr>
      <w:widowControl w:val="0"/>
      <w:jc w:val="both"/>
    </w:pPr>
    <w:rPr>
      <w:rFonts w:ascii="Calibri" w:hAnsi="Calibri" w:eastAsia="宋体" w:cs="Times New Roman"/>
      <w:lang w:val="en-US" w:eastAsia="zh-CN" w:bidi="ar-SA"/>
    </w:rPr>
  </w:style>
  <w:style w:type="paragraph" w:customStyle="1" w:styleId="159">
    <w:name w:val="正文空2字"/>
    <w:basedOn w:val="1"/>
    <w:qFormat/>
    <w:locked/>
    <w:uiPriority w:val="0"/>
    <w:pPr>
      <w:spacing w:beforeLines="40" w:afterLines="40" w:line="360" w:lineRule="auto"/>
      <w:ind w:firstLine="200" w:firstLineChars="200"/>
    </w:pPr>
    <w:rPr>
      <w:kern w:val="0"/>
      <w:sz w:val="24"/>
      <w:lang w:bidi="en-US"/>
    </w:rPr>
  </w:style>
  <w:style w:type="paragraph" w:customStyle="1" w:styleId="160">
    <w:name w:val="正文_0_0_0"/>
    <w:qFormat/>
    <w:uiPriority w:val="0"/>
    <w:pPr>
      <w:widowControl w:val="0"/>
      <w:jc w:val="both"/>
    </w:pPr>
    <w:rPr>
      <w:rFonts w:ascii="Times New Roman" w:hAnsi="Times New Roman" w:eastAsia="宋体" w:cs="Times New Roman"/>
      <w:lang w:val="en-US" w:eastAsia="zh-CN" w:bidi="ar-SA"/>
    </w:rPr>
  </w:style>
  <w:style w:type="paragraph" w:customStyle="1" w:styleId="161">
    <w:name w:val="目录 5_0"/>
    <w:basedOn w:val="94"/>
    <w:next w:val="94"/>
    <w:qFormat/>
    <w:uiPriority w:val="39"/>
    <w:pPr>
      <w:ind w:left="1680" w:leftChars="800"/>
    </w:pPr>
    <w:rPr>
      <w:rFonts w:ascii="Calibri" w:hAnsi="Calibri"/>
    </w:rPr>
  </w:style>
  <w:style w:type="paragraph" w:customStyle="1" w:styleId="162">
    <w:name w:val="修订1"/>
    <w:qFormat/>
    <w:uiPriority w:val="0"/>
    <w:rPr>
      <w:rFonts w:ascii="Times New Roman" w:hAnsi="Times New Roman" w:eastAsia="宋体" w:cs="Times New Roman"/>
      <w:kern w:val="2"/>
      <w:sz w:val="21"/>
      <w:szCs w:val="24"/>
      <w:lang w:val="en-US" w:eastAsia="zh-CN" w:bidi="ar-SA"/>
    </w:rPr>
  </w:style>
  <w:style w:type="paragraph" w:customStyle="1" w:styleId="163">
    <w:name w:val="标题 11"/>
    <w:basedOn w:val="158"/>
    <w:next w:val="158"/>
    <w:qFormat/>
    <w:uiPriority w:val="0"/>
    <w:pPr>
      <w:keepNext/>
      <w:keepLines/>
      <w:spacing w:before="340" w:after="330" w:line="576" w:lineRule="auto"/>
      <w:outlineLvl w:val="0"/>
    </w:pPr>
    <w:rPr>
      <w:rFonts w:ascii="Times New Roman" w:hAnsi="Times New Roman" w:eastAsia="Times New Roman"/>
      <w:b/>
      <w:kern w:val="44"/>
      <w:sz w:val="44"/>
      <w:lang w:val="zh-CN"/>
    </w:rPr>
  </w:style>
  <w:style w:type="paragraph" w:customStyle="1" w:styleId="164">
    <w:name w:val="正文 + 行距: 固定值 20 磅"/>
    <w:basedOn w:val="1"/>
    <w:qFormat/>
    <w:uiPriority w:val="0"/>
    <w:pPr>
      <w:spacing w:line="400" w:lineRule="exact"/>
      <w:ind w:firstLine="716" w:firstLineChars="341"/>
    </w:pPr>
    <w:rPr>
      <w:rFonts w:ascii="Calibri" w:hAnsi="Calibri"/>
      <w:szCs w:val="22"/>
    </w:rPr>
  </w:style>
  <w:style w:type="paragraph" w:customStyle="1" w:styleId="165">
    <w:name w:val="TOC 标题1"/>
    <w:basedOn w:val="2"/>
    <w:next w:val="1"/>
    <w:qFormat/>
    <w:uiPriority w:val="0"/>
    <w:pPr>
      <w:widowControl/>
      <w:numPr>
        <w:ilvl w:val="0"/>
        <w:numId w:val="0"/>
      </w:numPr>
      <w:spacing w:before="480" w:after="0" w:line="276" w:lineRule="auto"/>
      <w:jc w:val="left"/>
      <w:outlineLvl w:val="9"/>
    </w:pPr>
    <w:rPr>
      <w:rFonts w:ascii="Cambria" w:hAnsi="Cambria"/>
      <w:color w:val="365F91"/>
      <w:kern w:val="0"/>
      <w:sz w:val="28"/>
      <w:szCs w:val="28"/>
    </w:rPr>
  </w:style>
  <w:style w:type="paragraph" w:customStyle="1" w:styleId="166">
    <w:name w:val="表格文字"/>
    <w:basedOn w:val="1"/>
    <w:link w:val="167"/>
    <w:qFormat/>
    <w:uiPriority w:val="0"/>
    <w:pPr>
      <w:adjustRightInd w:val="0"/>
      <w:spacing w:line="420" w:lineRule="atLeast"/>
      <w:jc w:val="left"/>
      <w:textAlignment w:val="baseline"/>
    </w:pPr>
    <w:rPr>
      <w:rFonts w:ascii="Calibri" w:hAnsi="Calibri"/>
      <w:kern w:val="0"/>
      <w:szCs w:val="22"/>
    </w:rPr>
  </w:style>
  <w:style w:type="character" w:customStyle="1" w:styleId="167">
    <w:name w:val="表格文字 字符"/>
    <w:link w:val="166"/>
    <w:qFormat/>
    <w:uiPriority w:val="0"/>
    <w:rPr>
      <w:rFonts w:ascii="Calibri" w:hAnsi="Calibri" w:eastAsia="宋体" w:cs="Times New Roman"/>
      <w:sz w:val="21"/>
      <w:szCs w:val="22"/>
    </w:rPr>
  </w:style>
  <w:style w:type="paragraph" w:customStyle="1" w:styleId="168">
    <w:name w:val="flNote"/>
    <w:basedOn w:val="1"/>
    <w:qFormat/>
    <w:uiPriority w:val="0"/>
    <w:pPr>
      <w:adjustRightInd w:val="0"/>
      <w:spacing w:before="320" w:after="160" w:line="360" w:lineRule="atLeast"/>
      <w:jc w:val="center"/>
      <w:textAlignment w:val="baseline"/>
    </w:pPr>
    <w:rPr>
      <w:rFonts w:ascii="Arial" w:hAnsi="Calibri" w:eastAsia="黑体"/>
      <w:kern w:val="0"/>
      <w:sz w:val="30"/>
      <w:szCs w:val="22"/>
    </w:rPr>
  </w:style>
  <w:style w:type="paragraph" w:customStyle="1" w:styleId="169">
    <w:name w:val="文章正文"/>
    <w:basedOn w:val="1"/>
    <w:qFormat/>
    <w:uiPriority w:val="99"/>
    <w:pPr>
      <w:adjustRightInd w:val="0"/>
      <w:snapToGrid w:val="0"/>
      <w:spacing w:line="360" w:lineRule="auto"/>
      <w:ind w:firstLine="480" w:firstLineChars="200"/>
    </w:pPr>
    <w:rPr>
      <w:rFonts w:ascii="仿宋_GB2312" w:hAnsi="宋体" w:eastAsia="仿宋_GB2312"/>
      <w:color w:val="FF0000"/>
      <w:sz w:val="24"/>
    </w:rPr>
  </w:style>
  <w:style w:type="paragraph" w:customStyle="1" w:styleId="170">
    <w:name w:val="表格"/>
    <w:basedOn w:val="1"/>
    <w:qFormat/>
    <w:uiPriority w:val="0"/>
    <w:pPr>
      <w:jc w:val="center"/>
      <w:textAlignment w:val="center"/>
    </w:pPr>
    <w:rPr>
      <w:rFonts w:ascii="华文细黑" w:hAnsi="华文细黑"/>
      <w:kern w:val="0"/>
      <w:szCs w:val="22"/>
    </w:rPr>
  </w:style>
  <w:style w:type="paragraph" w:customStyle="1" w:styleId="171">
    <w:name w:val="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72">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173">
    <w:name w:val="列出段落2"/>
    <w:basedOn w:val="1"/>
    <w:qFormat/>
    <w:uiPriority w:val="99"/>
    <w:pPr>
      <w:ind w:firstLine="420" w:firstLineChars="200"/>
    </w:pPr>
  </w:style>
  <w:style w:type="paragraph" w:customStyle="1" w:styleId="174">
    <w:name w:val="6'"/>
    <w:basedOn w:val="1"/>
    <w:qFormat/>
    <w:uiPriority w:val="0"/>
    <w:pPr>
      <w:autoSpaceDE w:val="0"/>
      <w:autoSpaceDN w:val="0"/>
      <w:adjustRightInd w:val="0"/>
      <w:snapToGrid w:val="0"/>
      <w:spacing w:line="320" w:lineRule="exact"/>
      <w:jc w:val="center"/>
      <w:textAlignment w:val="baseline"/>
    </w:pPr>
    <w:rPr>
      <w:rFonts w:ascii="Calibri" w:hAnsi="Calibri"/>
      <w:spacing w:val="20"/>
      <w:kern w:val="28"/>
      <w:szCs w:val="22"/>
    </w:rPr>
  </w:style>
  <w:style w:type="paragraph" w:customStyle="1" w:styleId="175">
    <w:name w:val="Char Char Char Char Char Char Char"/>
    <w:basedOn w:val="1"/>
    <w:qFormat/>
    <w:uiPriority w:val="0"/>
    <w:pPr>
      <w:adjustRightInd w:val="0"/>
      <w:spacing w:line="360" w:lineRule="auto"/>
    </w:pPr>
    <w:rPr>
      <w:kern w:val="0"/>
      <w:sz w:val="24"/>
      <w:szCs w:val="20"/>
    </w:rPr>
  </w:style>
  <w:style w:type="paragraph" w:customStyle="1" w:styleId="176">
    <w:name w:val="2方案格式2"/>
    <w:basedOn w:val="156"/>
    <w:qFormat/>
    <w:uiPriority w:val="0"/>
    <w:pPr>
      <w:numPr>
        <w:ilvl w:val="1"/>
      </w:numPr>
      <w:spacing w:before="50" w:after="50" w:line="240" w:lineRule="auto"/>
      <w:outlineLvl w:val="1"/>
    </w:pPr>
    <w:rPr>
      <w:sz w:val="44"/>
    </w:rPr>
  </w:style>
  <w:style w:type="paragraph" w:customStyle="1" w:styleId="177">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178">
    <w:name w:val="文档正文"/>
    <w:basedOn w:val="1"/>
    <w:qFormat/>
    <w:uiPriority w:val="0"/>
    <w:pPr>
      <w:adjustRightInd w:val="0"/>
      <w:spacing w:line="480" w:lineRule="atLeast"/>
      <w:ind w:firstLine="567"/>
      <w:textAlignment w:val="baseline"/>
    </w:pPr>
    <w:rPr>
      <w:rFonts w:ascii="Ari" w:eastAsia="Ari"/>
      <w:kern w:val="0"/>
      <w:sz w:val="28"/>
      <w:szCs w:val="20"/>
    </w:rPr>
  </w:style>
  <w:style w:type="paragraph" w:customStyle="1" w:styleId="179">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0">
    <w:name w:val="目录 4_0"/>
    <w:basedOn w:val="94"/>
    <w:next w:val="94"/>
    <w:qFormat/>
    <w:uiPriority w:val="39"/>
    <w:pPr>
      <w:ind w:left="1260" w:leftChars="600"/>
    </w:pPr>
    <w:rPr>
      <w:rFonts w:ascii="Calibri" w:hAnsi="Calibri"/>
    </w:rPr>
  </w:style>
  <w:style w:type="paragraph" w:customStyle="1" w:styleId="181">
    <w:name w:val="目录 3_0"/>
    <w:basedOn w:val="94"/>
    <w:next w:val="94"/>
    <w:qFormat/>
    <w:uiPriority w:val="39"/>
    <w:pPr>
      <w:ind w:left="840" w:leftChars="400"/>
    </w:pPr>
    <w:rPr>
      <w:rFonts w:ascii="Calibri" w:hAnsi="Calibri"/>
    </w:rPr>
  </w:style>
  <w:style w:type="paragraph" w:customStyle="1" w:styleId="182">
    <w:name w:val="样式 标题 1 + 黑体 三号 非加粗 居中 段前: 6 磅 段后: 6 磅 行距: 固定值 20 磅"/>
    <w:basedOn w:val="2"/>
    <w:qFormat/>
    <w:uiPriority w:val="0"/>
    <w:pPr>
      <w:numPr>
        <w:ilvl w:val="0"/>
        <w:numId w:val="0"/>
      </w:numPr>
      <w:spacing w:before="120" w:after="120" w:line="400" w:lineRule="exact"/>
    </w:pPr>
    <w:rPr>
      <w:rFonts w:ascii="黑体" w:hAnsi="黑体" w:eastAsia="黑体"/>
      <w:b w:val="0"/>
      <w:bCs w:val="0"/>
      <w:szCs w:val="20"/>
    </w:rPr>
  </w:style>
  <w:style w:type="paragraph" w:customStyle="1" w:styleId="183">
    <w:name w:val="1"/>
    <w:basedOn w:val="1"/>
    <w:next w:val="1"/>
    <w:qFormat/>
    <w:uiPriority w:val="0"/>
    <w:rPr>
      <w:rFonts w:ascii="Calibri" w:hAnsi="Calibri"/>
      <w:szCs w:val="22"/>
    </w:rPr>
  </w:style>
  <w:style w:type="paragraph" w:customStyle="1" w:styleId="184">
    <w:name w:val="Blockquote_0"/>
    <w:basedOn w:val="94"/>
    <w:qFormat/>
    <w:uiPriority w:val="0"/>
    <w:pPr>
      <w:autoSpaceDE w:val="0"/>
      <w:autoSpaceDN w:val="0"/>
      <w:adjustRightInd w:val="0"/>
      <w:spacing w:before="100" w:after="100"/>
      <w:ind w:left="360" w:right="360"/>
      <w:jc w:val="left"/>
    </w:pPr>
    <w:rPr>
      <w:rFonts w:ascii="Calibri" w:hAnsi="Calibri" w:eastAsia="Times New Roman"/>
      <w:kern w:val="0"/>
      <w:sz w:val="24"/>
      <w:szCs w:val="20"/>
    </w:rPr>
  </w:style>
  <w:style w:type="paragraph" w:customStyle="1" w:styleId="185">
    <w:name w:val="列出段落11"/>
    <w:basedOn w:val="1"/>
    <w:qFormat/>
    <w:uiPriority w:val="0"/>
    <w:pPr>
      <w:widowControl/>
      <w:ind w:left="720"/>
      <w:contextualSpacing/>
      <w:jc w:val="left"/>
    </w:pPr>
    <w:rPr>
      <w:rFonts w:ascii="Arial" w:hAnsi="Arial" w:eastAsia="黑体"/>
      <w:kern w:val="0"/>
      <w:sz w:val="24"/>
      <w:lang w:eastAsia="en-US"/>
    </w:rPr>
  </w:style>
  <w:style w:type="paragraph" w:customStyle="1" w:styleId="186">
    <w:name w:val="样式 标题 2 + Times New Roman 四号 非加粗 段前: 5 磅 段后: 0 磅 行距: 固定值 20..._0"/>
    <w:basedOn w:val="1"/>
    <w:qFormat/>
    <w:uiPriority w:val="0"/>
    <w:pPr>
      <w:keepNext/>
      <w:keepLines/>
      <w:spacing w:before="100" w:line="360" w:lineRule="auto"/>
      <w:outlineLvl w:val="1"/>
    </w:pPr>
    <w:rPr>
      <w:rFonts w:eastAsia="Times New Roman" w:cs="宋体"/>
      <w:kern w:val="0"/>
      <w:sz w:val="28"/>
      <w:szCs w:val="20"/>
    </w:rPr>
  </w:style>
  <w:style w:type="paragraph" w:customStyle="1" w:styleId="187">
    <w:name w:val="op_mapdots_lef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8">
    <w:name w:val="p0"/>
    <w:basedOn w:val="1"/>
    <w:qFormat/>
    <w:uiPriority w:val="0"/>
    <w:pPr>
      <w:widowControl/>
    </w:pPr>
    <w:rPr>
      <w:b/>
      <w:bCs/>
      <w:kern w:val="0"/>
      <w:sz w:val="24"/>
    </w:rPr>
  </w:style>
  <w:style w:type="paragraph" w:customStyle="1" w:styleId="189">
    <w:name w:val="Blockquote"/>
    <w:basedOn w:val="1"/>
    <w:qFormat/>
    <w:uiPriority w:val="0"/>
    <w:pPr>
      <w:autoSpaceDE w:val="0"/>
      <w:autoSpaceDN w:val="0"/>
      <w:adjustRightInd w:val="0"/>
      <w:spacing w:before="100" w:after="100"/>
      <w:ind w:left="360" w:right="360"/>
      <w:jc w:val="left"/>
    </w:pPr>
    <w:rPr>
      <w:rFonts w:ascii="Calibri" w:hAnsi="Calibri"/>
      <w:kern w:val="0"/>
      <w:sz w:val="24"/>
      <w:szCs w:val="22"/>
    </w:rPr>
  </w:style>
  <w:style w:type="paragraph" w:customStyle="1" w:styleId="190">
    <w:name w:val="3方案格式3"/>
    <w:basedOn w:val="176"/>
    <w:qFormat/>
    <w:uiPriority w:val="0"/>
    <w:pPr>
      <w:numPr>
        <w:ilvl w:val="2"/>
      </w:numPr>
      <w:outlineLvl w:val="2"/>
    </w:pPr>
    <w:rPr>
      <w:sz w:val="32"/>
    </w:rPr>
  </w:style>
  <w:style w:type="paragraph" w:customStyle="1" w:styleId="191">
    <w:name w:val="样式 标题 2 + Times New Roman 四号 非加粗 段前: 5 磅 段后: 0 磅 行距: 固定值 20..."/>
    <w:basedOn w:val="3"/>
    <w:qFormat/>
    <w:uiPriority w:val="0"/>
    <w:pPr>
      <w:numPr>
        <w:ilvl w:val="0"/>
        <w:numId w:val="0"/>
      </w:numPr>
      <w:spacing w:before="100" w:after="0" w:line="400" w:lineRule="exact"/>
    </w:pPr>
    <w:rPr>
      <w:rFonts w:ascii="Times New Roman" w:hAnsi="Times New Roman" w:eastAsia="黑体"/>
      <w:b w:val="0"/>
      <w:bCs w:val="0"/>
      <w:sz w:val="28"/>
      <w:szCs w:val="20"/>
    </w:rPr>
  </w:style>
  <w:style w:type="paragraph" w:customStyle="1" w:styleId="192">
    <w:name w:val="标题2"/>
    <w:basedOn w:val="3"/>
    <w:next w:val="18"/>
    <w:qFormat/>
    <w:uiPriority w:val="0"/>
    <w:pPr>
      <w:spacing w:before="156" w:after="156" w:line="360" w:lineRule="auto"/>
    </w:pPr>
    <w:rPr>
      <w:bCs w:val="0"/>
      <w:sz w:val="24"/>
    </w:rPr>
  </w:style>
  <w:style w:type="paragraph" w:customStyle="1" w:styleId="193">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194">
    <w:name w:val="正文11"/>
    <w:qFormat/>
    <w:uiPriority w:val="0"/>
    <w:rPr>
      <w:rFonts w:ascii="Calibri" w:hAnsi="Calibri" w:eastAsia="宋体" w:cs="Calibri"/>
      <w:sz w:val="24"/>
      <w:szCs w:val="24"/>
      <w:lang w:val="en-US" w:eastAsia="zh-CN" w:bidi="ar-SA"/>
    </w:rPr>
  </w:style>
  <w:style w:type="paragraph" w:customStyle="1" w:styleId="195">
    <w:name w:val="正文2"/>
    <w:qFormat/>
    <w:uiPriority w:val="0"/>
    <w:rPr>
      <w:rFonts w:ascii="Times New Roman" w:hAnsi="Times New Roman" w:eastAsia="微软雅黑" w:cs="Times New Roman"/>
      <w:sz w:val="24"/>
      <w:szCs w:val="24"/>
      <w:lang w:val="en-US" w:eastAsia="zh-CN" w:bidi="ar-SA"/>
    </w:rPr>
  </w:style>
  <w:style w:type="paragraph" w:customStyle="1" w:styleId="196">
    <w:name w:val="列出段落3"/>
    <w:basedOn w:val="1"/>
    <w:qFormat/>
    <w:uiPriority w:val="34"/>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197">
    <w:name w:val="纯文本2"/>
    <w:basedOn w:val="1"/>
    <w:qFormat/>
    <w:uiPriority w:val="0"/>
    <w:pPr>
      <w:jc w:val="left"/>
    </w:pPr>
    <w:rPr>
      <w:rFonts w:hint="eastAsia" w:ascii="宋体" w:hAnsi="宋体" w:cs="Courier New"/>
      <w:kern w:val="1"/>
      <w:sz w:val="24"/>
      <w:szCs w:val="20"/>
      <w:lang w:bidi="hi-IN"/>
    </w:rPr>
  </w:style>
  <w:style w:type="paragraph" w:customStyle="1" w:styleId="198">
    <w:name w:val="trs_editor"/>
    <w:basedOn w:val="1"/>
    <w:qFormat/>
    <w:uiPriority w:val="0"/>
    <w:pPr>
      <w:widowControl/>
      <w:spacing w:before="100" w:beforeAutospacing="1" w:after="100" w:afterAutospacing="1"/>
      <w:jc w:val="left"/>
    </w:pPr>
    <w:rPr>
      <w:rFonts w:ascii="宋体" w:hAnsi="宋体" w:cs="宋体"/>
      <w:kern w:val="0"/>
      <w:sz w:val="24"/>
    </w:rPr>
  </w:style>
  <w:style w:type="paragraph" w:customStyle="1" w:styleId="199">
    <w:name w:val="标题二级"/>
    <w:basedOn w:val="1"/>
    <w:qFormat/>
    <w:uiPriority w:val="0"/>
    <w:pPr>
      <w:ind w:firstLine="412" w:firstLineChars="196"/>
    </w:pPr>
    <w:rPr>
      <w:rFonts w:ascii="宋体" w:hAnsi="宋体"/>
      <w:szCs w:val="21"/>
    </w:rPr>
  </w:style>
  <w:style w:type="paragraph" w:customStyle="1" w:styleId="200">
    <w:name w:val="修订2"/>
    <w:semiHidden/>
    <w:qFormat/>
    <w:uiPriority w:val="99"/>
    <w:rPr>
      <w:rFonts w:ascii="Times New Roman" w:hAnsi="Times New Roman" w:eastAsia="宋体" w:cs="Times New Roman"/>
      <w:kern w:val="2"/>
      <w:sz w:val="21"/>
      <w:szCs w:val="24"/>
      <w:lang w:val="en-US" w:eastAsia="zh-CN" w:bidi="ar-SA"/>
    </w:rPr>
  </w:style>
  <w:style w:type="paragraph" w:customStyle="1" w:styleId="201">
    <w:name w:val="修订3"/>
    <w:semiHidden/>
    <w:qFormat/>
    <w:uiPriority w:val="99"/>
    <w:rPr>
      <w:rFonts w:ascii="Times New Roman" w:hAnsi="Times New Roman" w:eastAsia="宋体" w:cs="Times New Roman"/>
      <w:kern w:val="2"/>
      <w:sz w:val="21"/>
      <w:szCs w:val="24"/>
      <w:lang w:val="en-US" w:eastAsia="zh-CN" w:bidi="ar-SA"/>
    </w:rPr>
  </w:style>
  <w:style w:type="character" w:customStyle="1" w:styleId="202">
    <w:name w:val="无"/>
    <w:qFormat/>
    <w:uiPriority w:val="0"/>
  </w:style>
  <w:style w:type="paragraph" w:customStyle="1" w:styleId="203">
    <w:name w:val="Heading #2|1"/>
    <w:basedOn w:val="1"/>
    <w:qFormat/>
    <w:uiPriority w:val="0"/>
    <w:pPr>
      <w:spacing w:after="720" w:line="648" w:lineRule="exact"/>
      <w:ind w:firstLine="310"/>
      <w:jc w:val="center"/>
      <w:outlineLvl w:val="1"/>
    </w:pPr>
    <w:rPr>
      <w:rFonts w:ascii="宋体" w:hAnsi="宋体" w:cs="宋体"/>
      <w:sz w:val="42"/>
      <w:szCs w:val="42"/>
      <w:lang w:val="zh-TW" w:eastAsia="zh-TW" w:bidi="zh-TW"/>
    </w:rPr>
  </w:style>
  <w:style w:type="paragraph" w:customStyle="1" w:styleId="204">
    <w:name w:val="Body text|1"/>
    <w:basedOn w:val="1"/>
    <w:qFormat/>
    <w:uiPriority w:val="0"/>
    <w:pPr>
      <w:spacing w:line="401" w:lineRule="auto"/>
      <w:ind w:firstLine="400"/>
    </w:pPr>
    <w:rPr>
      <w:rFonts w:ascii="宋体" w:hAnsi="宋体" w:cs="宋体"/>
      <w:sz w:val="30"/>
      <w:szCs w:val="30"/>
      <w:lang w:val="zh-TW" w:eastAsia="zh-TW" w:bidi="zh-TW"/>
    </w:rPr>
  </w:style>
  <w:style w:type="paragraph" w:customStyle="1" w:styleId="205">
    <w:name w:val="_Style 1931"/>
    <w:basedOn w:val="1"/>
    <w:next w:val="58"/>
    <w:qFormat/>
    <w:uiPriority w:val="34"/>
    <w:pPr>
      <w:ind w:firstLine="420" w:firstLineChars="200"/>
    </w:pPr>
  </w:style>
  <w:style w:type="paragraph" w:customStyle="1" w:styleId="206">
    <w:name w:val="段落"/>
    <w:basedOn w:val="1"/>
    <w:qFormat/>
    <w:uiPriority w:val="0"/>
    <w:pPr>
      <w:spacing w:line="460" w:lineRule="exact"/>
      <w:ind w:firstLine="480"/>
    </w:pPr>
    <w:rPr>
      <w:rFonts w:ascii="Calibri" w:hAnsi="Calibri"/>
      <w:sz w:val="24"/>
      <w:szCs w:val="20"/>
    </w:rPr>
  </w:style>
  <w:style w:type="paragraph" w:customStyle="1" w:styleId="207">
    <w:name w:val="首行缩进"/>
    <w:basedOn w:val="1"/>
    <w:qFormat/>
    <w:uiPriority w:val="0"/>
    <w:pPr>
      <w:spacing w:line="360" w:lineRule="auto"/>
      <w:ind w:firstLine="480" w:firstLineChars="200"/>
    </w:pPr>
    <w:rPr>
      <w:rFonts w:ascii="宋体" w:hAnsi="宋体" w:cs="宋体"/>
      <w:kern w:val="0"/>
      <w:sz w:val="24"/>
    </w:rPr>
  </w:style>
  <w:style w:type="paragraph" w:customStyle="1" w:styleId="208">
    <w:name w:val="列出段落4"/>
    <w:basedOn w:val="1"/>
    <w:unhideWhenUsed/>
    <w:qFormat/>
    <w:uiPriority w:val="99"/>
    <w:pPr>
      <w:spacing w:line="360" w:lineRule="auto"/>
      <w:ind w:firstLine="420" w:firstLineChars="200"/>
    </w:pPr>
    <w:rPr>
      <w:rFonts w:ascii="Calibri" w:hAnsi="Calibri" w:eastAsia="仿宋_GB2312"/>
      <w:sz w:val="32"/>
      <w:szCs w:val="22"/>
    </w:rPr>
  </w:style>
  <w:style w:type="paragraph" w:customStyle="1" w:styleId="209">
    <w:name w:val="修订4"/>
    <w:semiHidden/>
    <w:qFormat/>
    <w:uiPriority w:val="99"/>
    <w:rPr>
      <w:rFonts w:ascii="Times New Roman" w:hAnsi="Times New Roman" w:eastAsia="宋体" w:cs="Times New Roman"/>
      <w:kern w:val="2"/>
      <w:sz w:val="21"/>
      <w:szCs w:val="24"/>
      <w:lang w:val="en-US" w:eastAsia="zh-CN" w:bidi="ar-SA"/>
    </w:rPr>
  </w:style>
  <w:style w:type="paragraph" w:customStyle="1" w:styleId="210">
    <w:name w:val="正文 A"/>
    <w:next w:val="18"/>
    <w:qFormat/>
    <w:uiPriority w:val="0"/>
    <w:pPr>
      <w:widowControl w:val="0"/>
      <w:jc w:val="both"/>
    </w:pPr>
    <w:rPr>
      <w:rFonts w:ascii="Times New Roman" w:hAnsi="Times New Roman" w:eastAsia="ヒラギノ角ゴ Pro W3" w:cs="Times New Roman"/>
      <w:color w:val="000000"/>
      <w:kern w:val="2"/>
      <w:sz w:val="21"/>
      <w:lang w:val="en-US" w:eastAsia="zh-CN" w:bidi="ar-SA"/>
    </w:rPr>
  </w:style>
  <w:style w:type="paragraph" w:customStyle="1" w:styleId="211">
    <w:name w:val="无间距"/>
    <w:qFormat/>
    <w:uiPriority w:val="0"/>
    <w:pPr>
      <w:widowControl w:val="0"/>
      <w:jc w:val="both"/>
    </w:pPr>
    <w:rPr>
      <w:rFonts w:ascii="Calibri" w:hAnsi="Calibri" w:eastAsia="宋体" w:cs="Times New Roman"/>
      <w:kern w:val="2"/>
      <w:sz w:val="21"/>
      <w:szCs w:val="22"/>
      <w:lang w:val="en-US" w:eastAsia="zh-CN" w:bidi="ar-SA"/>
    </w:rPr>
  </w:style>
  <w:style w:type="paragraph" w:customStyle="1" w:styleId="212">
    <w:name w:val="*正文"/>
    <w:basedOn w:val="1"/>
    <w:qFormat/>
    <w:uiPriority w:val="0"/>
    <w:pPr>
      <w:widowControl/>
      <w:spacing w:line="360" w:lineRule="auto"/>
    </w:pPr>
    <w:rPr>
      <w:rFonts w:ascii="仿宋_GB2312" w:eastAsia="仿宋_GB2312"/>
      <w:sz w:val="24"/>
      <w:szCs w:val="28"/>
    </w:rPr>
  </w:style>
  <w:style w:type="table" w:customStyle="1" w:styleId="213">
    <w:name w:val="Table Normal"/>
    <w:unhideWhenUsed/>
    <w:qFormat/>
    <w:uiPriority w:val="0"/>
    <w:tblPr>
      <w:tblCellMar>
        <w:top w:w="0" w:type="dxa"/>
        <w:left w:w="0" w:type="dxa"/>
        <w:bottom w:w="0" w:type="dxa"/>
        <w:right w:w="0" w:type="dxa"/>
      </w:tblCellMar>
    </w:tblPr>
  </w:style>
  <w:style w:type="character" w:customStyle="1" w:styleId="214">
    <w:name w:val="form-textarea-print1"/>
    <w:qFormat/>
    <w:uiPriority w:val="0"/>
    <w:rPr>
      <w:rFonts w:hint="default" w:ascii="微软雅黑" w:hAnsi="微软雅黑" w:eastAsia="宋体" w:cs="Times New Roman"/>
      <w:sz w:val="18"/>
      <w:szCs w:val="18"/>
    </w:rPr>
  </w:style>
  <w:style w:type="character" w:customStyle="1" w:styleId="215">
    <w:name w:val="cke_colorbox"/>
    <w:basedOn w:val="48"/>
    <w:qFormat/>
    <w:uiPriority w:val="0"/>
    <w:rPr>
      <w:bdr w:val="single" w:color="808080" w:sz="4" w:space="0"/>
    </w:rPr>
  </w:style>
  <w:style w:type="character" w:customStyle="1" w:styleId="216">
    <w:name w:val="cke_colorbox1"/>
    <w:basedOn w:val="48"/>
    <w:qFormat/>
    <w:uiPriority w:val="0"/>
  </w:style>
  <w:style w:type="character" w:customStyle="1" w:styleId="217">
    <w:name w:val="pwdtips_alert"/>
    <w:basedOn w:val="48"/>
    <w:qFormat/>
    <w:uiPriority w:val="0"/>
    <w:rPr>
      <w:bdr w:val="single" w:color="FFCB25" w:sz="4" w:space="0"/>
      <w:shd w:val="clear" w:color="auto" w:fill="FFEAA6"/>
    </w:rPr>
  </w:style>
  <w:style w:type="character" w:customStyle="1" w:styleId="218">
    <w:name w:val="l-btn-left"/>
    <w:basedOn w:val="48"/>
    <w:qFormat/>
    <w:uiPriority w:val="0"/>
  </w:style>
  <w:style w:type="character" w:customStyle="1" w:styleId="219">
    <w:name w:val="l-btn-left1"/>
    <w:basedOn w:val="48"/>
    <w:qFormat/>
    <w:uiPriority w:val="0"/>
  </w:style>
  <w:style w:type="character" w:customStyle="1" w:styleId="220">
    <w:name w:val="l-btn-left2"/>
    <w:basedOn w:val="48"/>
    <w:qFormat/>
    <w:uiPriority w:val="0"/>
  </w:style>
  <w:style w:type="character" w:customStyle="1" w:styleId="221">
    <w:name w:val="l-btn-left3"/>
    <w:basedOn w:val="48"/>
    <w:qFormat/>
    <w:uiPriority w:val="0"/>
  </w:style>
  <w:style w:type="character" w:customStyle="1" w:styleId="222">
    <w:name w:val="combo2"/>
    <w:basedOn w:val="48"/>
    <w:qFormat/>
    <w:uiPriority w:val="0"/>
  </w:style>
  <w:style w:type="character" w:customStyle="1" w:styleId="223">
    <w:name w:val="l-btn-empty"/>
    <w:basedOn w:val="48"/>
    <w:qFormat/>
    <w:uiPriority w:val="0"/>
  </w:style>
  <w:style w:type="character" w:customStyle="1" w:styleId="224">
    <w:name w:val="red"/>
    <w:basedOn w:val="48"/>
    <w:qFormat/>
    <w:uiPriority w:val="0"/>
    <w:rPr>
      <w:color w:val="FF0000"/>
    </w:rPr>
  </w:style>
  <w:style w:type="character" w:customStyle="1" w:styleId="225">
    <w:name w:val="l-btn-text"/>
    <w:basedOn w:val="48"/>
    <w:qFormat/>
    <w:uiPriority w:val="0"/>
    <w:rPr>
      <w:color w:val="1864AC"/>
      <w:sz w:val="14"/>
      <w:szCs w:val="14"/>
    </w:rPr>
  </w:style>
  <w:style w:type="character" w:customStyle="1" w:styleId="226">
    <w:name w:val="l-btn-text1"/>
    <w:basedOn w:val="48"/>
    <w:qFormat/>
    <w:uiPriority w:val="0"/>
  </w:style>
  <w:style w:type="character" w:customStyle="1" w:styleId="227">
    <w:name w:val="green"/>
    <w:basedOn w:val="48"/>
    <w:qFormat/>
    <w:uiPriority w:val="0"/>
    <w:rPr>
      <w:color w:val="00A521"/>
    </w:rPr>
  </w:style>
  <w:style w:type="character" w:customStyle="1" w:styleId="228">
    <w:name w:val="valueinfo"/>
    <w:basedOn w:val="48"/>
    <w:qFormat/>
    <w:uiPriority w:val="0"/>
    <w:rPr>
      <w:color w:val="666666"/>
    </w:rPr>
  </w:style>
  <w:style w:type="character" w:customStyle="1" w:styleId="229">
    <w:name w:val="tree-file2"/>
    <w:basedOn w:val="48"/>
    <w:qFormat/>
    <w:uiPriority w:val="0"/>
  </w:style>
  <w:style w:type="character" w:customStyle="1" w:styleId="230">
    <w:name w:val="vainfo"/>
    <w:basedOn w:val="48"/>
    <w:qFormat/>
    <w:uiPriority w:val="0"/>
    <w:rPr>
      <w:color w:val="FF0000"/>
      <w:bdr w:val="single" w:color="FCBCBC" w:sz="4" w:space="0"/>
      <w:shd w:val="clear" w:color="auto" w:fill="FFE4E4"/>
    </w:rPr>
  </w:style>
  <w:style w:type="character" w:customStyle="1" w:styleId="231">
    <w:name w:val="pwdtips_ok"/>
    <w:basedOn w:val="48"/>
    <w:qFormat/>
    <w:uiPriority w:val="0"/>
    <w:rPr>
      <w:bdr w:val="single" w:color="8EFF25" w:sz="4" w:space="0"/>
      <w:shd w:val="clear" w:color="auto" w:fill="B4FFA6"/>
    </w:rPr>
  </w:style>
  <w:style w:type="character" w:customStyle="1" w:styleId="232">
    <w:name w:val="pwdtips_error"/>
    <w:basedOn w:val="48"/>
    <w:qFormat/>
    <w:uiPriority w:val="0"/>
    <w:rPr>
      <w:bdr w:val="single" w:color="FF2525" w:sz="4" w:space="0"/>
      <w:shd w:val="clear" w:color="auto" w:fill="FFA6A6"/>
    </w:rPr>
  </w:style>
  <w:style w:type="character" w:customStyle="1" w:styleId="233">
    <w:name w:val="tree-title4"/>
    <w:basedOn w:val="48"/>
    <w:qFormat/>
    <w:uiPriority w:val="0"/>
    <w:rPr>
      <w:color w:val="1864AC"/>
    </w:rPr>
  </w:style>
  <w:style w:type="character" w:customStyle="1" w:styleId="234">
    <w:name w:val="tree-title5"/>
    <w:basedOn w:val="48"/>
    <w:qFormat/>
    <w:uiPriority w:val="0"/>
    <w:rPr>
      <w:color w:val="FFFFFF"/>
      <w:shd w:val="clear" w:color="auto" w:fill="3366CC"/>
    </w:rPr>
  </w:style>
  <w:style w:type="character" w:customStyle="1" w:styleId="235">
    <w:name w:val="info"/>
    <w:basedOn w:val="48"/>
    <w:qFormat/>
    <w:uiPriority w:val="0"/>
  </w:style>
  <w:style w:type="character" w:customStyle="1" w:styleId="236">
    <w:name w:val="topic"/>
    <w:basedOn w:val="48"/>
    <w:qFormat/>
    <w:uiPriority w:val="0"/>
    <w:rPr>
      <w:color w:val="FF0000"/>
    </w:rPr>
  </w:style>
  <w:style w:type="paragraph" w:customStyle="1" w:styleId="237">
    <w:name w:val="_Style 213"/>
    <w:basedOn w:val="1"/>
    <w:next w:val="58"/>
    <w:qFormat/>
    <w:uiPriority w:val="34"/>
    <w:pPr>
      <w:adjustRightInd w:val="0"/>
      <w:spacing w:line="360" w:lineRule="atLeast"/>
      <w:ind w:firstLine="420" w:firstLineChars="200"/>
      <w:jc w:val="left"/>
      <w:textAlignment w:val="baseline"/>
    </w:pPr>
    <w:rPr>
      <w:rFonts w:ascii="Arial" w:hAnsi="Arial"/>
      <w:kern w:val="0"/>
      <w:sz w:val="24"/>
    </w:rPr>
  </w:style>
  <w:style w:type="paragraph" w:customStyle="1" w:styleId="238">
    <w:name w:val="修订5"/>
    <w:semiHidden/>
    <w:qFormat/>
    <w:uiPriority w:val="99"/>
    <w:rPr>
      <w:rFonts w:ascii="Times New Roman" w:hAnsi="Times New Roman" w:eastAsia="宋体" w:cs="Times New Roman"/>
      <w:kern w:val="2"/>
      <w:sz w:val="21"/>
      <w:szCs w:val="24"/>
      <w:lang w:val="en-US" w:eastAsia="zh-CN" w:bidi="ar-SA"/>
    </w:rPr>
  </w:style>
  <w:style w:type="paragraph" w:customStyle="1" w:styleId="239">
    <w:name w:val="修订6"/>
    <w:semiHidden/>
    <w:qFormat/>
    <w:uiPriority w:val="99"/>
    <w:rPr>
      <w:rFonts w:ascii="Times New Roman" w:hAnsi="Times New Roman" w:eastAsia="宋体" w:cs="Times New Roman"/>
      <w:kern w:val="2"/>
      <w:sz w:val="21"/>
      <w:szCs w:val="24"/>
      <w:lang w:val="en-US" w:eastAsia="zh-CN" w:bidi="ar-SA"/>
    </w:rPr>
  </w:style>
  <w:style w:type="character" w:customStyle="1" w:styleId="240">
    <w:name w:val="NormalCharacter"/>
    <w:semiHidden/>
    <w:qFormat/>
    <w:uiPriority w:val="0"/>
    <w:rPr>
      <w:rFonts w:ascii="Calibri" w:hAnsi="Calibri" w:eastAsia="宋体"/>
      <w:kern w:val="2"/>
      <w:sz w:val="21"/>
      <w:szCs w:val="24"/>
      <w:lang w:val="en-US" w:eastAsia="zh-CN" w:bidi="ar-SA"/>
    </w:rPr>
  </w:style>
  <w:style w:type="paragraph" w:styleId="241">
    <w:name w:val="No Spacing"/>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242">
    <w:name w:val="列表段落2"/>
    <w:basedOn w:val="1"/>
    <w:qFormat/>
    <w:uiPriority w:val="0"/>
    <w:pPr>
      <w:ind w:firstLine="420"/>
    </w:pPr>
    <w:rPr>
      <w:szCs w:val="21"/>
    </w:rPr>
  </w:style>
  <w:style w:type="paragraph" w:customStyle="1" w:styleId="243">
    <w:name w:val="正文_9_0"/>
    <w:basedOn w:val="1"/>
    <w:qFormat/>
    <w:uiPriority w:val="0"/>
    <w:rPr>
      <w:szCs w:val="21"/>
    </w:rPr>
  </w:style>
  <w:style w:type="paragraph" w:customStyle="1" w:styleId="244">
    <w:name w:val="p15"/>
    <w:basedOn w:val="1"/>
    <w:qFormat/>
    <w:uiPriority w:val="0"/>
    <w:pPr>
      <w:widowControl/>
      <w:snapToGrid w:val="0"/>
      <w:jc w:val="left"/>
    </w:pPr>
    <w:rPr>
      <w:rFonts w:ascii="黑体" w:hAnsi="黑体" w:eastAsia="黑体" w:cs="宋体"/>
      <w:color w:val="000000"/>
      <w:kern w:val="0"/>
      <w:sz w:val="24"/>
    </w:rPr>
  </w:style>
  <w:style w:type="paragraph" w:customStyle="1" w:styleId="245">
    <w:name w:val="Table Text"/>
    <w:basedOn w:val="1"/>
    <w:semiHidden/>
    <w:qFormat/>
    <w:uiPriority w:val="0"/>
    <w:rPr>
      <w:rFonts w:ascii="宋体" w:hAnsi="宋体" w:eastAsia="宋体" w:cs="宋体"/>
      <w:sz w:val="21"/>
      <w:szCs w:val="21"/>
      <w:lang w:val="en-US" w:eastAsia="en-US" w:bidi="ar-SA"/>
    </w:rPr>
  </w:style>
  <w:style w:type="paragraph" w:customStyle="1" w:styleId="24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247">
    <w:name w:val="标题 5（有编号）（绿盟科技）"/>
    <w:next w:val="248"/>
    <w:qFormat/>
    <w:uiPriority w:val="0"/>
    <w:pPr>
      <w:keepNext/>
      <w:keepLines/>
      <w:widowControl w:val="0"/>
      <w:numPr>
        <w:ilvl w:val="4"/>
        <w:numId w:val="3"/>
      </w:numPr>
      <w:spacing w:before="280" w:after="156" w:line="377" w:lineRule="auto"/>
      <w:outlineLvl w:val="4"/>
    </w:pPr>
    <w:rPr>
      <w:rFonts w:hint="default" w:ascii="Arial" w:hAnsi="Arial" w:eastAsia="黑体" w:cs="Times New Roman"/>
      <w:b/>
      <w:sz w:val="24"/>
      <w:szCs w:val="28"/>
      <w:lang w:val="en-US" w:eastAsia="zh-CN" w:bidi="ar-SA"/>
    </w:rPr>
  </w:style>
  <w:style w:type="paragraph" w:customStyle="1" w:styleId="248">
    <w:name w:val="正文（绿盟科技）"/>
    <w:qFormat/>
    <w:uiPriority w:val="0"/>
    <w:pPr>
      <w:spacing w:line="300" w:lineRule="auto"/>
    </w:pPr>
    <w:rPr>
      <w:rFonts w:hint="default" w:ascii="Arial" w:hAnsi="Arial" w:eastAsia="宋体" w:cs="黑体"/>
      <w:sz w:val="21"/>
      <w:szCs w:val="21"/>
      <w:lang w:val="en-US" w:eastAsia="zh-CN" w:bidi="ar-SA"/>
    </w:rPr>
  </w:style>
  <w:style w:type="table" w:customStyle="1" w:styleId="249">
    <w:name w:val="Table Normal1"/>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character" w:customStyle="1" w:styleId="250">
    <w:name w:val="font131"/>
    <w:basedOn w:val="48"/>
    <w:qFormat/>
    <w:uiPriority w:val="0"/>
    <w:rPr>
      <w:rFonts w:hint="eastAsia" w:ascii="宋体" w:hAnsi="宋体" w:eastAsia="宋体" w:cs="宋体"/>
      <w:b/>
      <w:bCs/>
      <w:color w:val="000000"/>
      <w:sz w:val="18"/>
      <w:szCs w:val="18"/>
      <w:u w:val="none"/>
    </w:rPr>
  </w:style>
  <w:style w:type="character" w:customStyle="1" w:styleId="251">
    <w:name w:val="font01"/>
    <w:basedOn w:val="48"/>
    <w:qFormat/>
    <w:uiPriority w:val="0"/>
    <w:rPr>
      <w:rFonts w:hint="eastAsia" w:ascii="宋体" w:hAnsi="宋体" w:eastAsia="宋体" w:cs="宋体"/>
      <w:color w:val="000000"/>
      <w:sz w:val="22"/>
      <w:szCs w:val="22"/>
      <w:u w:val="none"/>
    </w:rPr>
  </w:style>
  <w:style w:type="character" w:customStyle="1" w:styleId="252">
    <w:name w:val="font141"/>
    <w:basedOn w:val="48"/>
    <w:qFormat/>
    <w:uiPriority w:val="0"/>
    <w:rPr>
      <w:rFonts w:hint="eastAsia" w:ascii="宋体" w:hAnsi="宋体" w:eastAsia="宋体" w:cs="宋体"/>
      <w:color w:val="000000"/>
      <w:sz w:val="21"/>
      <w:szCs w:val="21"/>
      <w:u w:val="none"/>
    </w:rPr>
  </w:style>
  <w:style w:type="character" w:customStyle="1" w:styleId="253">
    <w:name w:val="font151"/>
    <w:basedOn w:val="48"/>
    <w:qFormat/>
    <w:uiPriority w:val="0"/>
    <w:rPr>
      <w:rFonts w:hint="eastAsia" w:ascii="宋体" w:hAnsi="宋体" w:eastAsia="宋体" w:cs="宋体"/>
      <w:color w:val="FF0000"/>
      <w:sz w:val="22"/>
      <w:szCs w:val="22"/>
      <w:u w:val="none"/>
    </w:rPr>
  </w:style>
  <w:style w:type="character" w:customStyle="1" w:styleId="254">
    <w:name w:val="font51"/>
    <w:basedOn w:val="48"/>
    <w:qFormat/>
    <w:uiPriority w:val="0"/>
    <w:rPr>
      <w:rFonts w:hint="eastAsia" w:ascii="宋体" w:hAnsi="宋体" w:eastAsia="宋体" w:cs="宋体"/>
      <w:color w:val="000000"/>
      <w:sz w:val="22"/>
      <w:szCs w:val="22"/>
      <w:u w:val="none"/>
    </w:rPr>
  </w:style>
  <w:style w:type="character" w:customStyle="1" w:styleId="255">
    <w:name w:val="font171"/>
    <w:basedOn w:val="48"/>
    <w:qFormat/>
    <w:uiPriority w:val="0"/>
    <w:rPr>
      <w:rFonts w:hint="eastAsia" w:ascii="宋体" w:hAnsi="宋体" w:eastAsia="宋体" w:cs="宋体"/>
      <w:color w:val="000000"/>
      <w:sz w:val="24"/>
      <w:szCs w:val="24"/>
      <w:u w:val="none"/>
    </w:rPr>
  </w:style>
  <w:style w:type="character" w:customStyle="1" w:styleId="256">
    <w:name w:val="font41"/>
    <w:basedOn w:val="48"/>
    <w:qFormat/>
    <w:uiPriority w:val="0"/>
    <w:rPr>
      <w:rFonts w:hint="default" w:ascii="Times New Roman" w:hAnsi="Times New Roman" w:cs="Times New Roman"/>
      <w:color w:val="000000"/>
      <w:sz w:val="22"/>
      <w:szCs w:val="22"/>
      <w:u w:val="none"/>
    </w:rPr>
  </w:style>
  <w:style w:type="character" w:customStyle="1" w:styleId="257">
    <w:name w:val="font181"/>
    <w:basedOn w:val="48"/>
    <w:qFormat/>
    <w:uiPriority w:val="0"/>
    <w:rPr>
      <w:rFonts w:hint="eastAsia" w:ascii="宋体" w:hAnsi="宋体" w:eastAsia="宋体" w:cs="宋体"/>
      <w:color w:val="0D0D0D"/>
      <w:sz w:val="24"/>
      <w:szCs w:val="24"/>
      <w:u w:val="none"/>
    </w:rPr>
  </w:style>
  <w:style w:type="character" w:customStyle="1" w:styleId="258">
    <w:name w:val="font191"/>
    <w:basedOn w:val="48"/>
    <w:qFormat/>
    <w:uiPriority w:val="0"/>
    <w:rPr>
      <w:rFonts w:hint="eastAsia" w:ascii="宋体" w:hAnsi="宋体" w:eastAsia="宋体" w:cs="宋体"/>
      <w:color w:val="000000"/>
      <w:sz w:val="20"/>
      <w:szCs w:val="20"/>
      <w:u w:val="none"/>
    </w:rPr>
  </w:style>
  <w:style w:type="character" w:customStyle="1" w:styleId="259">
    <w:name w:val="font201"/>
    <w:basedOn w:val="48"/>
    <w:qFormat/>
    <w:uiPriority w:val="0"/>
    <w:rPr>
      <w:rFonts w:ascii="方正书宋_GBK" w:hAnsi="方正书宋_GBK" w:eastAsia="方正书宋_GBK" w:cs="方正书宋_GBK"/>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E:\2026\&#25307;&#26631;\&#39033;&#30446;\&#21335;&#20140;&#24066;&#38081;&#36335;&#21335;&#20140;&#21335;&#31449;&#22320;&#21306;&#32508;&#21512;&#31649;&#29702;&#21150;&#20844;&#23460;\&#33258;&#25311;&#25991;&#20214;\&#65288;&#26368;&#32456;&#21487;&#23450;&#65289;&#21335;&#20140;&#24066;&#21335;&#20140;&#21335;&#31449;&#22320;&#21306;&#31038;&#20250;&#27835;&#23433;&#21327;&#31649;&#26381;&#21153;&#39033;&#30446;&#25307;&#26631;&#25991;&#20214;.do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（最终可定）南京市南京南站地区社会治安协管服务项目招标文件.dot</Template>
  <Pages>71</Pages>
  <Words>80</Words>
  <Characters>118</Characters>
  <Lines>235</Lines>
  <Paragraphs>66</Paragraphs>
  <TotalTime>7</TotalTime>
  <ScaleCrop>false</ScaleCrop>
  <LinksUpToDate>false</LinksUpToDate>
  <CharactersWithSpaces>118</CharactersWithSpaces>
  <Application>WPS Office_12.1.0.29680_F1E327BC-269C-435d-A152-05C5408002CA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2026-06-26T10:22:00Z</dcterms:created>
  <dc:creator>sugussss</dc:creator>
  <cp:lastModifiedBy>鸭蛋超人</cp:lastModifiedBy>
  <dcterms:modified xsi:type="dcterms:W3CDTF">2026-11-03T03:02:39Z</dcterms:modified>
  <dc:title>公开招标文件</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2052-12.1.0.29680</vt:lpwstr>
  </property>
  <property fmtid="{D5CDD505-2E9C-101B-9397-08002B2CF9AE}" pid="3" name="ICV">
    <vt:lpwstr>C8B5C3A2B7994425AB46A3E1934AE434_13</vt:lpwstr>
  </property>
  <property fmtid="{D5CDD505-2E9C-101B-9397-08002B2CF9AE}" pid="4" name="KSOTemplateDocerSaveRecord">
    <vt:lpwstr>eyJoZGlkIjoiODYwODE4ZDllMDE3NWIzMGZhN2ZkM2M5ODJkOTViZGYiLCJ1c2VySWQiOiIyNjg1NjI2MTAifQ==</vt:lpwstr>
  </property>
</Properties>
</file>