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center"/>
        <w:spacing w:before="0" w:after="0"/>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lang w:eastAsia="zh-CN"/>
        </w:rPr>
        <w:t xml:space="preserve">南京医科大学超市货品及后勤物资采购</w:t>
      </w:r>
      <w:r>
        <w:rPr>
          <w:rFonts w:hint="eastAsia" w:ascii="宋体" w:hAnsi="宋体" w:eastAsia="宋体" w:cs="宋体"/>
          <w:b/>
          <w:color w:val="auto"/>
          <w:sz w:val="44"/>
          <w:highlight w:val="none"/>
          <w:lang w:eastAsia="zh-CN"/>
        </w:rPr>
        <w:t xml:space="preserve">（第三次）</w:t>
      </w:r>
      <w:r/>
    </w:p>
    <w:p>
      <w:pPr>
        <w:ind w:left="0" w:right="0" w:firstLine="0"/>
        <w:jc w:val="both"/>
        <w:spacing w:before="0" w:after="0"/>
        <w:tabs>
          <w:tab w:val="left" w:pos="873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ab/>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招 标 文 件</w:t>
      </w:r>
      <w:r/>
    </w:p>
    <w:p>
      <w:pPr>
        <w:ind w:left="0" w:right="0" w:firstLine="0"/>
        <w:jc w:val="center"/>
        <w:spacing w:before="0" w:after="0"/>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eastAsia="zh-CN"/>
        </w:rPr>
        <w:t xml:space="preserve">JSZC-320000-SNZX-G2026-0148</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1285"/>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采购人：南京医科大学</w:t>
      </w:r>
      <w:r/>
    </w:p>
    <w:p>
      <w:pPr>
        <w:ind w:left="0" w:right="0" w:firstLine="1285"/>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招标代理机构：南京苏宁工程咨询有限公司</w:t>
      </w:r>
      <w:r/>
    </w:p>
    <w:p>
      <w:pPr>
        <w:ind w:left="0" w:right="0" w:firstLine="1285"/>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日期：二〇二六年</w:t>
      </w:r>
      <w:r>
        <w:rPr>
          <w:rFonts w:hint="eastAsia" w:ascii="宋体" w:hAnsi="宋体" w:eastAsia="宋体" w:cs="宋体"/>
          <w:b/>
          <w:color w:val="auto"/>
          <w:sz w:val="32"/>
          <w:highlight w:val="none"/>
          <w:lang w:val="en-US" w:eastAsia="zh-CN"/>
        </w:rPr>
        <w:t xml:space="preserve">十</w:t>
      </w:r>
      <w:r>
        <w:rPr>
          <w:rFonts w:ascii="宋体" w:hAnsi="宋体" w:eastAsia="宋体" w:cs="宋体"/>
          <w:b/>
          <w:color w:val="auto"/>
          <w:sz w:val="32"/>
          <w:highlight w:val="none"/>
        </w:rPr>
        <w:t xml:space="preserve">月</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第一章 投标邀请</w:t>
      </w:r>
      <w:r/>
    </w:p>
    <w:p>
      <w:pPr>
        <w:ind w:left="0" w:right="0" w:firstLine="560"/>
        <w:jc w:val="both"/>
        <w:spacing w:before="0" w:after="0"/>
        <w:rPr>
          <w:color w:val="auto"/>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auto"/>
          <w:sz w:val="24"/>
          <w:highlight w:val="none"/>
        </w:rPr>
        <w:t xml:space="preserve">项目概况</w:t>
      </w:r>
      <w:r/>
    </w:p>
    <w:p>
      <w:pPr>
        <w:ind w:left="0" w:right="0" w:firstLine="560"/>
        <w:jc w:val="both"/>
        <w:spacing w:before="0" w:after="0"/>
        <w:rPr>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highlight w:val="none"/>
          <w:u w:val="single"/>
          <w:lang w:eastAsia="zh-CN"/>
        </w:rPr>
        <w:t xml:space="preserve">南京医科大学超市货品及后勤物资采购</w:t>
      </w:r>
      <w:r>
        <w:rPr>
          <w:rFonts w:hint="eastAsia" w:ascii="宋体" w:hAnsi="宋体" w:eastAsia="宋体" w:cs="宋体"/>
          <w:color w:val="auto"/>
          <w:sz w:val="24"/>
          <w:highlight w:val="none"/>
          <w:u w:val="single"/>
          <w:lang w:eastAsia="zh-CN"/>
        </w:rPr>
        <w:t xml:space="preserve">（第三次）</w:t>
      </w:r>
      <w:r>
        <w:rPr>
          <w:rFonts w:ascii="宋体" w:hAnsi="宋体" w:eastAsia="宋体" w:cs="宋体"/>
          <w:color w:val="auto"/>
          <w:sz w:val="24"/>
          <w:highlight w:val="none"/>
        </w:rPr>
        <w:t xml:space="preserve">项目的潜在投标人应在</w:t>
      </w:r>
      <w:r>
        <w:rPr>
          <w:rFonts w:ascii="宋体" w:hAnsi="宋体" w:eastAsia="宋体" w:cs="宋体"/>
          <w:color w:val="auto"/>
          <w:sz w:val="24"/>
          <w:highlight w:val="none"/>
          <w:u w:val="single"/>
        </w:rPr>
        <w:t xml:space="preserve">江苏政府采购网</w:t>
      </w:r>
      <w:r>
        <w:rPr>
          <w:rFonts w:ascii="宋体" w:hAnsi="宋体" w:eastAsia="宋体" w:cs="宋体"/>
          <w:color w:val="auto"/>
          <w:sz w:val="24"/>
          <w:highlight w:val="none"/>
        </w:rPr>
        <w:t xml:space="preserve">获取招标文件，并于</w:t>
      </w:r>
      <w:r>
        <w:rPr>
          <w:rFonts w:ascii="宋体" w:hAnsi="宋体" w:eastAsia="宋体" w:cs="宋体"/>
          <w:color w:val="auto"/>
          <w:sz w:val="24"/>
          <w:highlight w:val="none"/>
          <w:u w:val="single"/>
        </w:rPr>
        <w:t xml:space="preserve">2026年</w:t>
      </w:r>
      <w:r>
        <w:rPr>
          <w:rFonts w:hint="eastAsia" w:ascii="宋体" w:hAnsi="宋体" w:eastAsia="宋体" w:cs="宋体"/>
          <w:color w:val="auto"/>
          <w:sz w:val="24"/>
          <w:highlight w:val="none"/>
          <w:u w:val="single"/>
          <w:lang w:val="en-US" w:eastAsia="zh-CN"/>
        </w:rPr>
        <w:t xml:space="preserve">10</w:t>
      </w:r>
      <w:r>
        <w:rPr>
          <w:rFonts w:ascii="宋体" w:hAnsi="宋体" w:eastAsia="宋体" w:cs="宋体"/>
          <w:color w:val="auto"/>
          <w:sz w:val="24"/>
          <w:highlight w:val="none"/>
          <w:u w:val="single"/>
        </w:rPr>
        <w:t xml:space="preserve">月</w:t>
      </w:r>
      <w:r>
        <w:rPr>
          <w:rFonts w:hint="eastAsia" w:ascii="宋体" w:hAnsi="宋体" w:eastAsia="宋体" w:cs="宋体"/>
          <w:color w:val="auto"/>
          <w:sz w:val="24"/>
          <w:highlight w:val="none"/>
          <w:u w:val="single"/>
          <w:lang w:val="en-US" w:eastAsia="zh-CN"/>
        </w:rPr>
        <w:t xml:space="preserve">30</w:t>
      </w:r>
      <w:r>
        <w:rPr>
          <w:rFonts w:ascii="宋体" w:hAnsi="宋体" w:eastAsia="宋体" w:cs="宋体"/>
          <w:color w:val="auto"/>
          <w:sz w:val="24"/>
          <w:highlight w:val="none"/>
          <w:u w:val="single"/>
        </w:rPr>
        <w:t xml:space="preserve">日</w:t>
      </w:r>
      <w:r>
        <w:rPr>
          <w:rFonts w:hint="eastAsia" w:ascii="宋体" w:hAnsi="宋体" w:eastAsia="宋体" w:cs="宋体"/>
          <w:color w:val="auto"/>
          <w:sz w:val="24"/>
          <w:highlight w:val="none"/>
          <w:u w:val="single"/>
          <w:lang w:val="en-US" w:eastAsia="zh-CN"/>
        </w:rPr>
        <w:t xml:space="preserve">9</w:t>
      </w:r>
      <w:r>
        <w:rPr>
          <w:rFonts w:ascii="宋体" w:hAnsi="宋体" w:eastAsia="宋体" w:cs="宋体"/>
          <w:color w:val="auto"/>
          <w:sz w:val="24"/>
          <w:highlight w:val="none"/>
          <w:u w:val="single"/>
        </w:rPr>
        <w:t xml:space="preserve">点</w:t>
      </w:r>
      <w:r>
        <w:rPr>
          <w:rFonts w:hint="eastAsia" w:ascii="宋体" w:hAnsi="宋体" w:eastAsia="宋体" w:cs="宋体"/>
          <w:color w:val="auto"/>
          <w:sz w:val="24"/>
          <w:highlight w:val="none"/>
          <w:u w:val="single"/>
          <w:lang w:val="en-US" w:eastAsia="zh-CN"/>
        </w:rPr>
        <w:t xml:space="preserve">30</w:t>
      </w:r>
      <w:r>
        <w:rPr>
          <w:rFonts w:ascii="宋体" w:hAnsi="宋体" w:eastAsia="宋体" w:cs="宋体"/>
          <w:color w:val="auto"/>
          <w:sz w:val="24"/>
          <w:highlight w:val="none"/>
          <w:u w:val="single"/>
        </w:rPr>
        <w:t xml:space="preserve">分</w:t>
      </w:r>
      <w:r>
        <w:rPr>
          <w:rFonts w:ascii="宋体" w:hAnsi="宋体" w:eastAsia="宋体" w:cs="宋体"/>
          <w:color w:val="auto"/>
          <w:sz w:val="24"/>
          <w:highlight w:val="none"/>
        </w:rPr>
        <w:t xml:space="preserve">（北京时间）前递交投标文件。</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一、项目基本情况</w:t>
      </w:r>
      <w:r/>
    </w:p>
    <w:p>
      <w:pPr>
        <w:ind w:left="0" w:right="0" w:firstLine="560"/>
        <w:jc w:val="both"/>
        <w:spacing w:before="0" w:after="0"/>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w:t>
      </w:r>
      <w:r>
        <w:rPr>
          <w:rFonts w:ascii="宋体" w:hAnsi="宋体" w:eastAsia="宋体" w:cs="宋体"/>
          <w:color w:val="auto"/>
          <w:sz w:val="24"/>
          <w:highlight w:val="none"/>
        </w:rPr>
        <w:t xml:space="preserve">号：</w:t>
      </w:r>
      <w:r>
        <w:rPr>
          <w:rFonts w:hint="eastAsia" w:ascii="宋体" w:hAnsi="宋体" w:eastAsia="宋体" w:cs="宋体"/>
          <w:color w:val="auto"/>
          <w:sz w:val="24"/>
          <w:highlight w:val="none"/>
          <w:lang w:eastAsia="zh-CN"/>
        </w:rPr>
        <w:t xml:space="preserve">JSZC-320000-SNZX-G2026-0148</w:t>
      </w:r>
      <w:r/>
    </w:p>
    <w:p>
      <w:pPr>
        <w:ind w:left="0" w:right="0" w:firstLine="560"/>
        <w:jc w:val="both"/>
        <w:spacing w:before="0" w:after="0"/>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南京医科大学超市货品及后勤物资采购</w:t>
      </w:r>
      <w:r>
        <w:rPr>
          <w:rFonts w:hint="eastAsia" w:ascii="宋体" w:hAnsi="宋体" w:eastAsia="宋体" w:cs="宋体"/>
          <w:color w:val="auto"/>
          <w:sz w:val="24"/>
          <w:highlight w:val="none"/>
          <w:lang w:eastAsia="zh-CN"/>
        </w:rPr>
        <w:t xml:space="preserve">（第三次）</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预算金额：</w:t>
      </w:r>
      <w:r>
        <w:rPr>
          <w:rFonts w:hint="eastAsia" w:ascii="宋体" w:hAnsi="宋体" w:eastAsia="宋体" w:cs="宋体"/>
          <w:color w:val="auto"/>
          <w:sz w:val="24"/>
          <w:highlight w:val="none"/>
          <w:lang w:val="en-US" w:eastAsia="zh-CN"/>
        </w:rPr>
        <w:t xml:space="preserve">198</w:t>
      </w:r>
      <w:r>
        <w:rPr>
          <w:rFonts w:ascii="宋体" w:hAnsi="宋体" w:eastAsia="宋体" w:cs="宋体"/>
          <w:color w:val="auto"/>
          <w:sz w:val="24"/>
          <w:highlight w:val="none"/>
        </w:rPr>
        <w:t xml:space="preserve">万元【</w:t>
      </w:r>
      <w:r>
        <w:rPr>
          <w:rFonts w:ascii="宋体" w:hAnsi="宋体" w:eastAsia="宋体" w:cs="宋体"/>
          <w:color w:val="auto"/>
          <w:sz w:val="24"/>
          <w:highlight w:val="none"/>
        </w:rPr>
        <w:t xml:space="preserve">采购包3:113万元；采购包6:30万元；采购包7:25万元；采购包8:30万元</w:t>
      </w:r>
      <w:r>
        <w:rPr>
          <w:rFonts w:ascii="宋体" w:hAnsi="宋体" w:eastAsia="宋体" w:cs="宋体"/>
          <w:color w:val="auto"/>
          <w:sz w:val="24"/>
          <w:highlight w:val="none"/>
        </w:rPr>
        <w:t xml:space="preserve">。】</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最高限价：</w:t>
      </w:r>
      <w:r>
        <w:rPr>
          <w:rFonts w:hint="eastAsia" w:ascii="宋体" w:hAnsi="宋体" w:eastAsia="宋体" w:cs="宋体"/>
          <w:color w:val="auto"/>
          <w:sz w:val="24"/>
          <w:highlight w:val="none"/>
        </w:rPr>
        <w:t xml:space="preserve">195.151341</w:t>
      </w:r>
      <w:bookmarkStart w:id="0" w:name="_GoBack"/>
      <w:r/>
      <w:bookmarkEnd w:id="0"/>
      <w:r>
        <w:rPr>
          <w:rFonts w:ascii="宋体" w:hAnsi="宋体" w:eastAsia="宋体" w:cs="宋体"/>
          <w:color w:val="auto"/>
          <w:sz w:val="24"/>
          <w:highlight w:val="none"/>
        </w:rPr>
        <w:t xml:space="preserve">万元【</w:t>
      </w:r>
      <w:r>
        <w:rPr>
          <w:rFonts w:ascii="宋体" w:hAnsi="宋体" w:eastAsia="宋体" w:cs="宋体"/>
          <w:color w:val="auto"/>
          <w:sz w:val="24"/>
          <w:highlight w:val="none"/>
        </w:rPr>
        <w:t xml:space="preserve">采购包3:112.759359万元；采购包6:28.7851万元；采购包7:24.160882万元；采购包8:29.446万元</w:t>
      </w:r>
      <w:r>
        <w:rPr>
          <w:rFonts w:ascii="宋体" w:hAnsi="宋体" w:eastAsia="宋体" w:cs="宋体"/>
          <w:color w:val="auto"/>
          <w:sz w:val="24"/>
          <w:highlight w:val="none"/>
        </w:rPr>
        <w:t xml:space="preserve">。】投标报价高于最高限价的按无效投标文件处理，具体要求详见招标文件。</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采购需求：</w:t>
      </w:r>
      <w:r/>
    </w:p>
    <w:tbl>
      <w:tblPr>
        <w:tblStyle w:val="6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2686"/>
        <w:gridCol w:w="3250"/>
        <w:gridCol w:w="2018"/>
      </w:tblGrid>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采购品类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预算金额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选取家数</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采购包3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矿泉水、碳酸饮料系列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113万元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2家</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采购包6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冷饮、速冻食品系列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1家</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采购包7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短保面包系列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2家</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采购包8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即食鲜食系列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1家</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ascii="宋体" w:hAnsi="宋体" w:eastAsia="宋体" w:cs="宋体"/>
          <w:b/>
          <w:color w:val="auto"/>
          <w:sz w:val="24"/>
          <w:highlight w:val="none"/>
        </w:rPr>
        <w:t xml:space="preserve">备注：</w:t>
      </w:r>
      <w:r/>
    </w:p>
    <w:p>
      <w:pPr>
        <w:ind w:left="0" w:right="0" w:firstLine="562"/>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1.本次为原“南京医科大学超市货品及后勤物资采购”项目</w:t>
      </w:r>
      <w:r>
        <w:rPr>
          <w:rFonts w:ascii="宋体" w:hAnsi="宋体" w:eastAsia="宋体" w:cs="宋体"/>
          <w:b/>
          <w:color w:val="auto"/>
          <w:sz w:val="24"/>
          <w:highlight w:val="none"/>
        </w:rPr>
        <w:t xml:space="preserve">采购包3、6、7、8</w:t>
      </w:r>
      <w:r>
        <w:rPr>
          <w:rFonts w:ascii="宋体" w:hAnsi="宋体" w:eastAsia="宋体" w:cs="宋体"/>
          <w:b/>
          <w:color w:val="auto"/>
          <w:sz w:val="24"/>
          <w:highlight w:val="none"/>
        </w:rPr>
        <w:t xml:space="preserve">的重新招标，同一供应商可同时参加多个包投标，但最多兼中2个采购包。供应商如被推荐（</w:t>
      </w:r>
      <w:r>
        <w:rPr>
          <w:rFonts w:ascii="宋体" w:hAnsi="宋体" w:eastAsia="宋体" w:cs="宋体"/>
          <w:b/>
          <w:color w:val="auto"/>
          <w:sz w:val="24"/>
          <w:highlight w:val="none"/>
        </w:rPr>
        <w:t xml:space="preserve">或</w:t>
      </w:r>
      <w:r>
        <w:rPr>
          <w:rFonts w:hint="eastAsia" w:ascii="宋体" w:hAnsi="宋体" w:eastAsia="宋体" w:cs="宋体"/>
          <w:b/>
          <w:color w:val="auto"/>
          <w:sz w:val="24"/>
          <w:highlight w:val="none"/>
          <w:lang w:val="en-US" w:eastAsia="zh-CN"/>
        </w:rPr>
        <w:t xml:space="preserve">前两</w:t>
      </w:r>
      <w:r>
        <w:rPr>
          <w:rFonts w:ascii="宋体" w:hAnsi="宋体" w:eastAsia="宋体" w:cs="宋体"/>
          <w:b/>
          <w:color w:val="auto"/>
          <w:sz w:val="24"/>
          <w:highlight w:val="none"/>
        </w:rPr>
        <w:t xml:space="preserve">次招标采购时</w:t>
      </w:r>
      <w:r>
        <w:rPr>
          <w:rFonts w:ascii="宋体" w:hAnsi="宋体" w:eastAsia="宋体" w:cs="宋体"/>
          <w:b/>
          <w:color w:val="auto"/>
          <w:sz w:val="24"/>
          <w:highlight w:val="none"/>
        </w:rPr>
        <w:t xml:space="preserve">已被确定为入围供应商）达到两次，可以参加本次采购活动，但不再被推荐为后续采购包的入围供应商。</w:t>
      </w:r>
      <w:r/>
    </w:p>
    <w:p>
      <w:pPr>
        <w:ind w:left="0" w:right="0" w:firstLine="562"/>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2.因苏采云系统原因，本项目包号以采购公告中“采购需求”的“包号”为准。</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合同履行期限：自合同签订之日起至2027年8月31日。</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本项目（是/否）接受联合体投标：否</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二、申请人的资格要求：</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（一）满足《中华人民共和国政府采购法》第二十二条规定；</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1.具有独立承担民事责任的能力（提供法人或者其他组织的营业执照；供应商为自然人的提供其身份证，提供相关证明材料复印件并加盖公章）；</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具有良好的商业信誉和健全的财务会计制度（提供上一年度（或2024年度）审计报告，或投标截止时间前六个月内任意一个月的财务状况报告（至少包括资产负债表和利润表）或投标截止时间前六个月内银行出具的资信证明）；</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3.具有履行合同所必需的设备和专业技术能力（投标人根据履行采购项目合同需要，提供履行合同所必需的设备和专业技术能力的证明材料，提供相关证明材料复印件并加盖公章或承诺书原件）；</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有依法缴纳税收和社会保障资金的良好记录（提供投标截止时间前六个月内任意一个月的纳税证明文件（依法免缴的应提供相应文件说明）；并提供投标截止时间前六个月内任意一个月的依法为员工缴纳社会保障资金的证明材料（依法不需要缴纳社会保障资金的应提供相应文件说明））；</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5.参加政府采购活动前三年内，在经营活动中没有重大违法记录（提供承诺书原件）；</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6.法律、行政法规规定的其他条件，提供相关证明材料：无。</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7.注：①前款第5条所称重大违法记录，是指供应商因违法经营受到刑事处罚或者责令停产停业、吊销许可证或者执照、较大数额罚款等行政处罚。</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②供应商在参加政府采购活动前3年内因违法经营被禁止在一定期限内参加政府采购活动，期限届满的，可以参加政府采购活动。</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（二）落实政府采购政策需满足的资格要求：本项目不专门面向中小微型企业，如为中小微型企业、监狱企业、残疾人福利性单位，提供的产品为国家认定的节能产品和环保产品的须按要求提供相关材料。</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（三）本项目的特定资格要求：</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rPr>
        <w:t xml:space="preserve">投标人需提供有效的《食品经营许可证》或市场监督管理部门的备案证明。</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ascii="宋体" w:hAnsi="宋体" w:eastAsia="宋体" w:cs="宋体"/>
          <w:color w:val="auto"/>
          <w:sz w:val="24"/>
          <w:highlight w:val="none"/>
        </w:rPr>
        <w:t xml:space="preserve">如投标人为生产厂家需提供有效期内的《食品生产许可证》。</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（四）本项目不接受进口产品投标（注：本文件所称进口产品是指通过中国海关报关验放进入中国境内且产自关境外的产品）</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（五）拒绝下述供应商参加本次采购活动：</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1.供应商单位负责人为同一人或者存在直接控股、管理关系的不同供应商，不得参加同一合同项下的采购活动。</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2.凡为采购项目提供整体设计、规范编制或者项目管理、监理、检测等服务的供应商，不得再参加本项目的采购活动。</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拒绝列入失信被执行人、重大税收违法案件当事人名单、政府采购严重违法失信行为记录名单中的供应商参加本项目的采购活动。采购人或代理机构通过“信用中国”网站（www.creditchina.gov.cn）、“中国政府采购网”网站（www.ccgp.gov.cn）等渠道查询供应商在采购公告发布之日前的信用记录并保存。</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三、获取招标文件</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时间：自招标文件发布之日起5个工作日</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地点：江苏政府采购网</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方式：网上下载</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售价：0.00元。</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四、提交投标文件截止时间、开标时间和地点</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w:t>
      </w:r>
      <w:r>
        <w:rPr>
          <w:rFonts w:ascii="宋体" w:hAnsi="宋体" w:eastAsia="宋体" w:cs="宋体"/>
          <w:color w:val="auto"/>
          <w:sz w:val="24"/>
          <w:highlight w:val="none"/>
          <w:u w:val="single"/>
        </w:rPr>
        <w:t xml:space="preserve">2026年</w:t>
      </w:r>
      <w:r>
        <w:rPr>
          <w:rFonts w:hint="eastAsia" w:ascii="宋体" w:hAnsi="宋体" w:eastAsia="宋体" w:cs="宋体"/>
          <w:color w:val="auto"/>
          <w:sz w:val="24"/>
          <w:highlight w:val="none"/>
          <w:u w:val="single"/>
          <w:lang w:val="en-US" w:eastAsia="zh-CN"/>
        </w:rPr>
        <w:t xml:space="preserve">10</w:t>
      </w:r>
      <w:r>
        <w:rPr>
          <w:rFonts w:ascii="宋体" w:hAnsi="宋体" w:eastAsia="宋体" w:cs="宋体"/>
          <w:color w:val="auto"/>
          <w:sz w:val="24"/>
          <w:highlight w:val="none"/>
          <w:u w:val="single"/>
        </w:rPr>
        <w:t xml:space="preserve">月</w:t>
      </w:r>
      <w:r>
        <w:rPr>
          <w:rFonts w:hint="eastAsia" w:ascii="宋体" w:hAnsi="宋体" w:eastAsia="宋体" w:cs="宋体"/>
          <w:color w:val="auto"/>
          <w:sz w:val="24"/>
          <w:highlight w:val="none"/>
          <w:u w:val="single"/>
          <w:lang w:val="en-US" w:eastAsia="zh-CN"/>
        </w:rPr>
        <w:t xml:space="preserve">30</w:t>
      </w:r>
      <w:r>
        <w:rPr>
          <w:rFonts w:ascii="宋体" w:hAnsi="宋体" w:eastAsia="宋体" w:cs="宋体"/>
          <w:color w:val="auto"/>
          <w:sz w:val="24"/>
          <w:highlight w:val="none"/>
          <w:u w:val="single"/>
        </w:rPr>
        <w:t xml:space="preserve">日</w:t>
      </w:r>
      <w:r>
        <w:rPr>
          <w:rFonts w:hint="eastAsia" w:ascii="宋体" w:hAnsi="宋体" w:eastAsia="宋体" w:cs="宋体"/>
          <w:color w:val="auto"/>
          <w:sz w:val="24"/>
          <w:highlight w:val="none"/>
          <w:u w:val="single"/>
          <w:lang w:val="en-US" w:eastAsia="zh-CN"/>
        </w:rPr>
        <w:t xml:space="preserve">9</w:t>
      </w:r>
      <w:r>
        <w:rPr>
          <w:rFonts w:ascii="宋体" w:hAnsi="宋体" w:eastAsia="宋体" w:cs="宋体"/>
          <w:color w:val="auto"/>
          <w:sz w:val="24"/>
          <w:highlight w:val="none"/>
          <w:u w:val="single"/>
        </w:rPr>
        <w:t xml:space="preserve">点</w:t>
      </w:r>
      <w:r>
        <w:rPr>
          <w:rFonts w:hint="eastAsia" w:ascii="宋体" w:hAnsi="宋体" w:eastAsia="宋体" w:cs="宋体"/>
          <w:color w:val="auto"/>
          <w:sz w:val="24"/>
          <w:highlight w:val="none"/>
          <w:u w:val="single"/>
          <w:lang w:val="en-US" w:eastAsia="zh-CN"/>
        </w:rPr>
        <w:t xml:space="preserve">30</w:t>
      </w:r>
      <w:r>
        <w:rPr>
          <w:rFonts w:ascii="宋体" w:hAnsi="宋体" w:eastAsia="宋体" w:cs="宋体"/>
          <w:color w:val="auto"/>
          <w:sz w:val="24"/>
          <w:highlight w:val="none"/>
          <w:u w:val="single"/>
        </w:rPr>
        <w:t xml:space="preserve">分</w:t>
      </w:r>
      <w:r>
        <w:rPr>
          <w:rFonts w:ascii="宋体" w:hAnsi="宋体" w:eastAsia="宋体" w:cs="宋体"/>
          <w:color w:val="auto"/>
          <w:sz w:val="24"/>
          <w:highlight w:val="none"/>
        </w:rPr>
        <w:t xml:space="preserve">（北京时间）</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地点：“苏采云”网上开标大厅</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五、公告期限</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自本公告发布之日起5个工作日。</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六、其他补充事宜</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1.本项目所属行业为：工业</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2.集中考察或答疑：</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3.公告媒体</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（1）本公告在江苏政府采购网（http：//www.ccgp-jiangsu.gov.cn/）公示发布，敬请各投标人关注。</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（2）若有关本次采购存在变动或修改，敬请各投标人及时关注江苏政府采购网（http：//www.ccgp-jiangsu.gov.cn/）发布的关于本项目的信息更正公告。</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http://www.ccgp-jiangsu.gov.cn/jiangsu/zlxz/ee/ee3a4bc5a3454aa2b0d9312230633ce9.html</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5.潜在供应商访问电子招标响应交易平台的网络地址和方法：</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（2）潜在供应商访问“苏采云”系统的网络地址和方法：“苏采云”系统的网址：http://jszfcg.jsczt.cn/。</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（3）“CA数字证书”的获取：</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（4）采购文件（后缀名为“.kedt”）、供应商操作手册及政府采购客户端工具可通过“苏采云”系统--已报名项目--报名详情页面内相应链接进行下载。</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（5）招标代理机构（采购代理机构）将数据电文形式的采购文件加载至“苏采云”系统，供潜在供应商下载或者查阅。</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（6）请潜在投标单位提前安装相应的控件（详见《江苏省政府采购管理交易系统（苏采云）供应商操作手册》）并使用谷歌浏览器登录“苏采云”系统参与不见面开评标。</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七、对本次招标提出询问，请按以下方式联系。</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1.采购人信息</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名称：</w:t>
      </w:r>
      <w:r>
        <w:rPr>
          <w:rFonts w:ascii="宋体" w:hAnsi="宋体" w:eastAsia="宋体" w:cs="宋体"/>
          <w:color w:val="auto"/>
          <w:sz w:val="24"/>
          <w:highlight w:val="none"/>
          <w:u w:val="single"/>
        </w:rPr>
        <w:t xml:space="preserve">南京医科大学</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rPr>
          <w:rFonts w:ascii="宋体" w:hAnsi="宋体" w:eastAsia="宋体" w:cs="宋体"/>
          <w:color w:val="auto"/>
          <w:sz w:val="24"/>
          <w:highlight w:val="none"/>
          <w:u w:val="single"/>
        </w:rPr>
        <w:t xml:space="preserve">南京市江宁区龙眠大道101号</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w:t>
      </w:r>
      <w:r>
        <w:rPr>
          <w:rFonts w:ascii="宋体" w:hAnsi="宋体" w:eastAsia="宋体" w:cs="宋体"/>
          <w:color w:val="auto"/>
          <w:sz w:val="24"/>
          <w:highlight w:val="none"/>
          <w:u w:val="single"/>
        </w:rPr>
        <w:t xml:space="preserve">何老师、朱老师</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联系方式：</w:t>
      </w:r>
      <w:r>
        <w:rPr>
          <w:rFonts w:ascii="宋体" w:hAnsi="宋体" w:eastAsia="宋体" w:cs="宋体"/>
          <w:color w:val="auto"/>
          <w:sz w:val="24"/>
          <w:highlight w:val="none"/>
          <w:u w:val="single"/>
        </w:rPr>
        <w:t xml:space="preserve">025-86868369</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2.采购代理机构信息</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名称：</w:t>
      </w:r>
      <w:r>
        <w:rPr>
          <w:rFonts w:ascii="宋体" w:hAnsi="宋体" w:eastAsia="宋体" w:cs="宋体"/>
          <w:color w:val="auto"/>
          <w:sz w:val="24"/>
          <w:highlight w:val="none"/>
          <w:u w:val="single"/>
        </w:rPr>
        <w:t xml:space="preserve">南京苏宁工程咨询有限公司</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rPr>
          <w:rFonts w:ascii="宋体" w:hAnsi="宋体" w:eastAsia="宋体" w:cs="宋体"/>
          <w:color w:val="auto"/>
          <w:sz w:val="24"/>
          <w:highlight w:val="none"/>
          <w:u w:val="single"/>
        </w:rPr>
        <w:t xml:space="preserve">南京市鼓楼区中山路99号12楼1212室</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w:t>
      </w:r>
      <w:r>
        <w:rPr>
          <w:rFonts w:ascii="宋体" w:hAnsi="宋体" w:eastAsia="宋体" w:cs="宋体"/>
          <w:color w:val="auto"/>
          <w:sz w:val="24"/>
          <w:highlight w:val="none"/>
          <w:u w:val="single"/>
        </w:rPr>
        <w:t xml:space="preserve">李佳蓉</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联系方式：</w:t>
      </w:r>
      <w:r>
        <w:rPr>
          <w:rFonts w:ascii="宋体" w:hAnsi="宋体" w:eastAsia="宋体" w:cs="宋体"/>
          <w:color w:val="auto"/>
          <w:sz w:val="24"/>
          <w:highlight w:val="none"/>
          <w:u w:val="single"/>
        </w:rPr>
        <w:t xml:space="preserve">025-84200809</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3.项目联系方式</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项目联系人：</w:t>
      </w:r>
      <w:r>
        <w:rPr>
          <w:rFonts w:ascii="宋体" w:hAnsi="宋体" w:eastAsia="宋体" w:cs="宋体"/>
          <w:color w:val="auto"/>
          <w:sz w:val="24"/>
          <w:highlight w:val="none"/>
          <w:u w:val="single"/>
        </w:rPr>
        <w:t xml:space="preserve">李佳蓉</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rPr>
          <w:rFonts w:ascii="宋体" w:hAnsi="宋体" w:eastAsia="宋体" w:cs="宋体"/>
          <w:color w:val="auto"/>
          <w:sz w:val="24"/>
          <w:highlight w:val="none"/>
          <w:u w:val="single"/>
        </w:rPr>
        <w:t xml:space="preserve">025-84200809</w:t>
      </w:r>
      <w:r/>
    </w:p>
    <w:p>
      <w:pPr>
        <w:ind w:left="0" w:right="0" w:firstLine="5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请贵单位领取本次采购文件后，认真阅读各项内容，进行必要的投标准备，按文件的要求详细填写和编制响应文件，并按以上确定的时间、地点准时参加投标。</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第二章 供应商须知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一、总则</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1、适用法律</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 《中华人民共和国政府采购法》、《中华人民共和国政府采购法实施条例》、《政府采购货物和服务招标投标管理办法》等有关法律、规章和规定等。</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2、定义</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2.1 “</w:t>
      </w:r>
      <w:r>
        <w:rPr>
          <w:rFonts w:ascii="宋体" w:hAnsi="宋体" w:eastAsia="宋体" w:cs="宋体"/>
          <w:b/>
          <w:color w:val="auto"/>
          <w:sz w:val="22"/>
          <w:highlight w:val="none"/>
        </w:rPr>
        <w:t xml:space="preserve">供应商</w:t>
      </w:r>
      <w:r>
        <w:rPr>
          <w:rFonts w:ascii="宋体" w:hAnsi="宋体" w:eastAsia="宋体" w:cs="宋体"/>
          <w:color w:val="auto"/>
          <w:sz w:val="22"/>
          <w:highlight w:val="none"/>
        </w:rPr>
        <w:t xml:space="preserve">”是指参加投标竞争，并符合招标文件规定资格条件的法人、其他组织或者自然人。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2.2 “产品”指本招标文件中所述</w:t>
      </w:r>
      <w:r>
        <w:rPr>
          <w:rFonts w:ascii="宋体" w:hAnsi="宋体" w:eastAsia="宋体" w:cs="宋体"/>
          <w:b/>
          <w:color w:val="auto"/>
          <w:sz w:val="22"/>
          <w:highlight w:val="none"/>
        </w:rPr>
        <w:t xml:space="preserve">产品</w:t>
      </w:r>
      <w:r>
        <w:rPr>
          <w:rFonts w:ascii="宋体" w:hAnsi="宋体" w:eastAsia="宋体" w:cs="宋体"/>
          <w:color w:val="auto"/>
          <w:sz w:val="22"/>
          <w:highlight w:val="none"/>
        </w:rPr>
        <w:t xml:space="preserve">及相关服务。</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2.3 “用户或使用单位”是指使用货物、服务的单位。</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3、政策功能</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3.1中小供应商政策</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（2）政府采购支持监狱和戒毒供应商发展政策，监狱和戒毒供应商提供的产品和服务在评标时将获得优势，参加投标的监狱和戒毒供应商，应当 提供由省级以上监狱管理局、戒毒管理局（含新疆生产建设兵团）出具的属于监狱供应商的证明文件，监狱和戒毒供应商享受政府采购支持政策的要求详见财库〔2014〕68号。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（5）提供的产品属于信息安全产品的，供应商应当选择经国家认证的信息安全产品投标，并提供由中国信息安全认证中心按国家标准认证 颁发的有效认证证书复印件。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（6）提供的产品属于政府强制采购节能产品的，供应商应当选择经过认证的节能产品投标，并提供有效的节能产品认证证书复印件。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（7）提供的产品属于环境标志产品的，供应商应当选择经过认证的环境标志产品投标，并提供有效的环境标志产品认证证书复印件。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3.2</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政府采购中实施本国产品标准及相关政策</w:t>
      </w:r>
      <w:r>
        <w:rPr>
          <w:rFonts w:ascii="宋体" w:hAnsi="宋体" w:eastAsia="宋体" w:cs="宋体"/>
          <w:b/>
          <w:color w:val="auto"/>
          <w:sz w:val="22"/>
          <w:highlight w:val="none"/>
        </w:rPr>
        <w:t xml:space="preserve">（</w:t>
      </w:r>
      <w:r>
        <w:rPr>
          <w:rFonts w:hint="eastAsia" w:ascii="宋体" w:hAnsi="宋体" w:eastAsia="宋体" w:cs="宋体"/>
          <w:b/>
          <w:color w:val="auto"/>
          <w:sz w:val="22"/>
          <w:highlight w:val="none"/>
          <w:lang w:val="en-US" w:eastAsia="zh-CN"/>
        </w:rPr>
        <w:t xml:space="preserve">本次采购不适用</w:t>
      </w:r>
      <w:r>
        <w:rPr>
          <w:rFonts w:ascii="宋体" w:hAnsi="宋体" w:eastAsia="宋体" w:cs="宋体"/>
          <w:b/>
          <w:color w:val="auto"/>
          <w:sz w:val="22"/>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（1）本项目对采购本国产品给予政策支持，具体内容见招标文件“第三章</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评标标准”。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3.3 未按要求提供相关材料的，不享受相关政策。</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3.4</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进口产品政策</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（1）除在采购文件另有规定外，不允许进口产品参加。进口产品认定依照《财政部关于政府采购进口产品管理有关问题的通知》（财办库〔2008〕248 号）的规定。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（2）允许进口产品参加的，满足需求的国内产品可以参加。</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（3）允许进口产品参加的，优先采购向我国企业转让技术、与我国企业签订消化吸收再创新方案的供应商的进口产品。</w:t>
      </w:r>
      <w:r/>
    </w:p>
    <w:p>
      <w:pPr>
        <w:ind w:left="0" w:right="0" w:firstLine="413"/>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二、招标文件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4、招标文件组成</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4.2 招标的最小单位是包。招标服务数量及技术要求中未分包的，供应商对要求提供的服务不得部分投标；招标服务数量及技术要求中已经分包的，应当以包为单位投标。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4.3 招标文件如果要求供应商提交备选投标方案的，供应商可以提交备选方案；否则，备选方案将被拒绝。</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5、招标文件的澄清、修改</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5.1招标代理机构对已发出的招标文件进行必要澄清或者修改的，将在招标文件要求提交投标文件截止时间</w:t>
      </w:r>
      <w:r>
        <w:rPr>
          <w:rFonts w:ascii="宋体" w:hAnsi="宋体" w:eastAsia="宋体" w:cs="宋体"/>
          <w:b/>
          <w:color w:val="auto"/>
          <w:sz w:val="22"/>
          <w:highlight w:val="none"/>
          <w:u w:val="single"/>
        </w:rPr>
        <w:t xml:space="preserve">十五日</w:t>
      </w:r>
      <w:r>
        <w:rPr>
          <w:rFonts w:ascii="宋体" w:hAnsi="宋体" w:eastAsia="宋体" w:cs="宋体"/>
          <w:color w:val="auto"/>
          <w:sz w:val="22"/>
          <w:highlight w:val="none"/>
        </w:rPr>
        <w:t xml:space="preserve">前，在原招标公告媒体发布更正公告，该澄清或者修改的内容为招标文件的组成部分。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5.2 招标代理机构在招标文件要求提交投标文件截止时间前，有权决定延长投标截止时间和开标时间，并在原采购信息发布媒体上发布变更公告。</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5.3 供应商应在投标截止时间前关注原采购信息发布媒体上有关本招标项目有无变更公告。根据更正公告内容自行决定是否需要重新制作和提交投标文件，并承担由此产生的相应责任。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三、投标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6、投标文件的语言、计量单位、货币和编制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6.2 供应商所使用的计量单位应为国家法定计量单位。</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6.3 供应商应用人民币报价。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6.4 如标书制作工具中格式和内容与“江苏政府采购网”发布的招标文件不一致，以“江苏政府采购网”发布的招标文件为准。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6.5 供应商应在投标文件中写清相应的项目编号、项目名称、供应商全称、地址、电话、传真等。</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6.6 供应商所使用的技术标准应遵循国家最新标准及规范。</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7</w:t>
      </w:r>
      <w:r>
        <w:rPr>
          <w:rFonts w:ascii="宋体" w:hAnsi="宋体" w:eastAsia="宋体" w:cs="宋体"/>
          <w:b/>
          <w:color w:val="auto"/>
          <w:sz w:val="22"/>
          <w:highlight w:val="none"/>
        </w:rPr>
        <w:t xml:space="preserve">、联合投标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本次项目不接受联合体形式投标。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8、投标费用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8.1投标人应承担所有与准备和参加投标有关的费用，无论采购结果如何，代理机构和采购人在任何情况下均无义务和责任承担这些费用。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8.2本次招标，中标供应商根据各采购包年度预计支出按《招标代理服务费管理暂行办法》（国家发展计划委员会计价格【2002】1980号）代理服务招标收费标准48%计算，超过人民币</w:t>
      </w:r>
      <w:r>
        <w:rPr>
          <w:rFonts w:ascii="Times New Roman" w:hAnsi="Times New Roman" w:eastAsia="Times New Roman" w:cs="Times New Roman"/>
          <w:color w:val="auto"/>
          <w:sz w:val="22"/>
          <w:highlight w:val="none"/>
        </w:rPr>
        <w:t xml:space="preserve">18000</w:t>
      </w:r>
      <w:r>
        <w:rPr>
          <w:rFonts w:ascii="宋体" w:hAnsi="宋体" w:eastAsia="宋体" w:cs="宋体"/>
          <w:color w:val="auto"/>
          <w:sz w:val="22"/>
          <w:highlight w:val="none"/>
        </w:rPr>
        <w:t xml:space="preserve">元的按固定金额人民币</w:t>
      </w:r>
      <w:r>
        <w:rPr>
          <w:rFonts w:ascii="Times New Roman" w:hAnsi="Times New Roman" w:eastAsia="Times New Roman" w:cs="Times New Roman"/>
          <w:color w:val="auto"/>
          <w:sz w:val="22"/>
          <w:highlight w:val="none"/>
        </w:rPr>
        <w:t xml:space="preserve">18000</w:t>
      </w:r>
      <w:r>
        <w:rPr>
          <w:rFonts w:ascii="宋体" w:hAnsi="宋体" w:eastAsia="宋体" w:cs="宋体"/>
          <w:color w:val="auto"/>
          <w:sz w:val="22"/>
          <w:highlight w:val="none"/>
        </w:rPr>
        <w:t xml:space="preserve">元计算，向招标代理机构支付招标服务费。该项费用请投标人综合考虑在投标报价中，后期采购人不单独列支，必须在领取中标通知书前向招标代理机构支付招标服务费。最终费用由中标单位均摊。</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9、投标文件组成</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9.1供应商应当根据招标文件要求编制投标文件，投标文件应对招标文件提出的要求和条件作出实质性响应，并在《商务条款偏离表》和《技术条款偏离表》等处逐条标明满足与否。</w:t>
      </w:r>
      <w:r/>
    </w:p>
    <w:p>
      <w:pPr>
        <w:ind w:left="0" w:right="0" w:firstLine="411"/>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9.2 供应商根据招标文件载明的标的采购项目实际情况，拟在中标后将中标项目的非主体、非关键性工作交由他人完成的，应当在投标文件中载明。</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9.3 投标文件由商务部分、技术部分、价格部分，以及其他部分组成。</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10、投标文件的商务部分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10.1 商务部分是证明供应商有资格参加投标和中标后有能力履行合同的文件，这些文件应能满足招标的要求，包括但不限于下列文件，其中加“★”项目不得有缺失或无效。</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（1）★投标函（投标申请及声明）；</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（2）★法定代表人授权委托书及委托代理人的身份证复印件；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（3）★第一章投标邀请中二、申请人的资格要求：(一）《中华人民共和国政府采购法》规定的资格条件证明文件；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（4）★第一章投标邀请中二、申请人的资格要求：（二）本项目的特定资格要求证明文件；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（5）《商务条款偏离表》；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（6）合同条款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（7）供应商认为需要提供的其他资格证明文件和商务资料等。</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11、投标文件的技术部分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11.1 技术部分是证明供应商提供的产品和服务是合格的、并符合招标文件要求的证明文件，以及对投标报价表中的服务的详细说明，这些文件可以是文字资料、图纸和数据等。</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11.2 若技术性能无特殊说明，则按国家有关部门最新颁布的标准及规范为准；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11.3 提供的服务如与招标文件要求有不符之处，应说明其差别之所在，并在《技术条款偏离表》中逐条予以说明。</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11.4 投标文件应按照招标文件要求提供技术资料、文件和有关证明，包括但不限于</w:t>
      </w:r>
      <w:r>
        <w:rPr>
          <w:rFonts w:ascii="宋体" w:hAnsi="宋体" w:eastAsia="宋体" w:cs="宋体"/>
          <w:b/>
          <w:color w:val="auto"/>
          <w:sz w:val="22"/>
          <w:highlight w:val="none"/>
        </w:rPr>
        <w:t xml:space="preserve">其中加★项目不得有缺失或无效：</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（1）项目实施方案；</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（2）服务承诺（包含增值服务内容）；</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（3）企业概况（包括物流、仓储条件，其它特色服务）；</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（4）《技术条款偏离表》；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（5）供应商认为需要提供的其他技术资料。</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12、投标文件的价格部分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12.1 价格部分是对服务价格构成的说明，招标文件如没有特别说明的话，对每一项服务仅接受一个价格。投标人应按照招标文件规定格式填报投标分项报价表。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12.2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ascii="宋体" w:hAnsi="宋体" w:eastAsia="宋体" w:cs="宋体"/>
          <w:b/>
          <w:color w:val="auto"/>
          <w:sz w:val="22"/>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12.3 供应商的任何错漏、优惠、竞争性报价不得作为减轻责任、减少服务、增加收费、降低质量的理由。</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12.4 供应商应在《开标一览表》、《分项报价表》等标明提供货物和服务的</w:t>
      </w:r>
      <w:r>
        <w:rPr>
          <w:rFonts w:ascii="宋体" w:hAnsi="宋体" w:eastAsia="宋体" w:cs="宋体"/>
          <w:b/>
          <w:color w:val="auto"/>
          <w:sz w:val="22"/>
          <w:highlight w:val="none"/>
        </w:rPr>
        <w:t xml:space="preserve">单价、总价以及分项报价</w:t>
      </w:r>
      <w:r>
        <w:rPr>
          <w:rFonts w:ascii="宋体" w:hAnsi="宋体" w:eastAsia="宋体" w:cs="宋体"/>
          <w:color w:val="auto"/>
          <w:sz w:val="22"/>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12.5</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《开标一览表》须加盖电子公章。</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12.6 评审中出现下列情形之一的，评审委员会应当启动异常低价投标（响应）审查程序：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（1）投标（响应）报价低于全部通过符合性审查供应商投标（响应）报价平均值50%的，即投标（响应）报价&lt;全部通过符合性审查供应商投标（响应）报价平均值×50%；</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（2）投标（响应）报价低于通过符合性审查的次低报价供应商投标（响应）报价50%的，即投标（响应）报价&lt;通过符合性审查的次低报价供应商投标（响应）报价×50%；</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（3）投标（响应）报价低于采购项目最高限价45%的，即投标（响应）报价&lt;采购项目最高限价×45%；</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（4）评审委员会基于专业判断，认为供应商报价过低，有可能影响产品质量或者不能诚信履约的其他情形。</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相关法律法规对供应商报价有规定的，从其规定。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12.7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12.8启动异常低价投标（响应）审查程序后，评标委员会将通过“苏采云”系统要求供应商作出必要的说明，并规定回复时间。供应商说明应当采用通过“苏采云”系统（使用“CA数字证书”，加盖电子签章）形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12.9供应商的报价须能符合市场行情（如当地货品批发价、电商平台价、行业指导价等），不得恶意竞争。</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13、投标文件的其他部分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13.1 其他部分由供应商根据编制投标文件需要提供的其他相关文件。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14、投标有效期</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14.1 自开标之日起</w:t>
      </w:r>
      <w:r>
        <w:rPr>
          <w:rFonts w:ascii="宋体" w:hAnsi="宋体" w:eastAsia="宋体" w:cs="宋体"/>
          <w:b/>
          <w:color w:val="auto"/>
          <w:sz w:val="22"/>
          <w:highlight w:val="none"/>
        </w:rPr>
        <w:t xml:space="preserve">60天</w:t>
      </w:r>
      <w:r>
        <w:rPr>
          <w:rFonts w:ascii="宋体" w:hAnsi="宋体" w:eastAsia="宋体" w:cs="宋体"/>
          <w:color w:val="auto"/>
          <w:sz w:val="22"/>
          <w:highlight w:val="none"/>
        </w:rPr>
        <w:t xml:space="preserve">内投标有效。</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14.2 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15、投标文件的签署</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15.1投标文件应加盖响应供应商公章，招标文件中注明须签字的地方应由供应商的法定代表人或委托代理人签字。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15.2除供应商对错处做必要修改外，投标文件不得行间插字、涂改或增删。如有修改错漏处，必须由投标文件签署人签字或加盖电子公章。</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16、投标文件的递交</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16.1 投标人应当按照《操作手册》规定，在招标公告规定的投标截止时间前制作并上传电子投标文件。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16.2 投标人应当按照《操作手册》规定，在苏采云系统规定的时间内对投标文件进行解密。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16.3</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所有投标人使用</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CA 证书在递交响应文件截止后，解密各自响应文件，投标人不足3家的，不得评标。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16.4</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部分投标文件未解密的，其他投标文件的评标可以继续进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16.5</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代理机构有权通过修改招标文件酌情延长投标截止时间，在此情况下，投标人的所有权利和义务均以延长后新的截止时间为准。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17、有下列情形之一的投标文件将拒收：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17.1 在招标文件要求提交投标文件的截止时间之后上传的。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18、投标文件的修改和撤回</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18.1 投标文件的修改</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18.1.1 投标人可在投标截止时间前对其电子投标文件进行修改，具体操作方法见《操作手册》。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18.1.2 投标截止时间之后，投标人不得对其电子投标文件作任何修改。</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18.2 投标文件的撤回</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18.2.1 投标人可在投标截止时间前撤回其电子投标文件，具体操作方法见《操作手册》。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18.2.2 投标人撤回电子投标文件，则认为其不再参与本项目投标活动。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18.2.3 在投标截止时间至招标文件中规定的投标有效期满之间的这段时间内，投标人不得撤回其投标。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四、开标、评标与确定中标供应商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19、开标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19.1 代理机构将在招标文件确定的时间和地点进行公开开标。投标人按照《操作手册》规定参加开标活动，并在苏采云系统规定的时间内对投标文件进行解密。苏采云系统公布各投标人名称和投标价格。</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19.2 投标人在开标过程中涉及到的投标文件解密、开标结果确认等工作，应按照《操作手册》规定执行。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19.3 投标人如果对开标过程和开标结果有疑议，应当根据《操作手册》规定提出，苏采云系统中《开标记录表》公布后5分钟内未提出的，视同认可开标结果。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19.4 投标截止时间结束后参加投标的供应商不足三家的，除采购任务取消情形外，招标代理报经监管部门批准后，可变更为竞争性谈判、竞争性磋商或者单一来源方式采购。如果变更为竞争性谈判或竞争性磋商采购的，招标代理根据招标文件中的采购需求编制竞争性谈判文件或竞争性磋商文件，只与该两家供应商进行竞争性谈判采购或竞争性磋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20、评标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20.1</w:t>
      </w:r>
      <w:r>
        <w:rPr>
          <w:rFonts w:ascii="宋体" w:hAnsi="宋体" w:eastAsia="宋体" w:cs="宋体"/>
          <w:b/>
          <w:color w:val="auto"/>
          <w:sz w:val="22"/>
          <w:highlight w:val="none"/>
        </w:rPr>
        <w:t xml:space="preserve">评标组织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20.1.1评标工作由招标代理负责组织，具体评标事务由依法组建的评标委员会负责，并独立履行下列职责：</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（1）审查、评价投标文件是否符合招标文件的商务、技术等实质性要求；</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（2）要求投标人对投标文件有关事项作出澄清或者说明；</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（3）对投标文件进行比较和评价；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（4）推荐中标候选人或根据采购人委托协议直接确定中标供应商；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（5）向采购人、财政部门报告评标中发现的违法行为。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20.1.2 </w:t>
      </w:r>
      <w:r>
        <w:rPr>
          <w:rFonts w:ascii="宋体" w:hAnsi="宋体" w:eastAsia="宋体" w:cs="宋体"/>
          <w:color w:val="auto"/>
          <w:sz w:val="22"/>
          <w:highlight w:val="none"/>
        </w:rPr>
        <w:t xml:space="preserve">评标委员会由采购人代表和有关技术、经济等方面的专家组成，独立开展评审工作。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20.2 评标程序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20.2.1 投标文件的资格审查。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20.2.1.1采购人代表将依法对投标人的资格进行审查。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20.2.1.2资格性审查：依据法律法规和招标文件的规定，对投标文件中的资格证明文件等进行审查，以确定投标供应商是否具备投标资格。</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查询结果将以网页打印的形式留存并归档。</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20.2.1.4 投标文件有下列情况之一的，在资格性审查时按照无效投标处理：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（1）不具备招标文件中规定资格条件的；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20.2.2 投标文件的符合性审查。</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20.2.2.1</w:t>
      </w:r>
      <w:r>
        <w:rPr>
          <w:rFonts w:ascii="宋体" w:hAnsi="宋体" w:eastAsia="宋体" w:cs="宋体"/>
          <w:color w:val="auto"/>
          <w:sz w:val="22"/>
          <w:highlight w:val="none"/>
        </w:rPr>
        <w:t xml:space="preserve">评标委员会将依据法律法规和招标文件的规定，对投标文件的有效性、完整性和对招标文件的响应程度进行审查，以确定是否对招标文件的实质性要求作出响应。</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20.2.2.2 实质性要求是指本招标文件中带星号（“★”）的商务和技术要求。</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20.2.2.3 如果投标文件实质上没有响应招标文件的要求，评标委员会将予以拒绝，投标人不得通过修改或撤销不符合要求的偏离或保留而使其投标成为实质性响应的投标。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20.2.2.4 投标文件有下列情况之一的，在符合性审查时按照</w:t>
      </w:r>
      <w:r>
        <w:rPr>
          <w:rFonts w:ascii="宋体" w:hAnsi="宋体" w:eastAsia="宋体" w:cs="宋体"/>
          <w:b/>
          <w:color w:val="auto"/>
          <w:sz w:val="22"/>
          <w:highlight w:val="none"/>
        </w:rPr>
        <w:t xml:space="preserve">无效投标处理</w:t>
      </w:r>
      <w:r>
        <w:rPr>
          <w:rFonts w:ascii="宋体" w:hAnsi="宋体" w:eastAsia="宋体" w:cs="宋体"/>
          <w:color w:val="auto"/>
          <w:sz w:val="22"/>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（1）供应商在苏采云系统规定的时间内未成功解密电子投标文件的。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（2）供应商未按照采购文件要求上传电子投标文件的。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（3）供应商不具备采购文件中规定资格要求的；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（4）供应商在报价时采用选择性报价；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（5）报价超过采购文件中规定的预算金额或者最高限价或者最高单价限价的；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（6）投标文件含有采购人不能接受的附加条件的；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（7）不同供应商的投标文件由同一单位或者个人编制；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（8）不同供应商委托同一单位或者个人办理投标事宜；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（9）不同供应商的投标文件载明的项目管理成员或联系人员为同一人；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（10）不同供应商的投标文件异常一致或者报价呈规律性差异；</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（11）不同供应商的投标文件相互混装；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（12）不同供应商的负责人为同一人或者存在控股、管理关系的；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（13）未通过符合性检查的；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（15）未按文件要求签署、盖章的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（16）不符合采购文件中规定的其他实质性要求的；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17）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，以一个供应商的身份共同参加政府采购活动的，联合体成员存在不良信用记录的，视同联合体存在不良信用记录；</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（18）不符合法律、法规和磋商文件规定的其他实质性要求的。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20.2.2.5</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在评标期间，出现符合专业条件的供应商或者对招标文件作出实质性响应的供应商不足三家情形的，比照19.4款执行。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20.2.2.6</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有下列情形之一的予以</w:t>
      </w:r>
      <w:r>
        <w:rPr>
          <w:rFonts w:ascii="宋体" w:hAnsi="宋体" w:eastAsia="宋体" w:cs="宋体"/>
          <w:b/>
          <w:color w:val="auto"/>
          <w:sz w:val="22"/>
          <w:highlight w:val="none"/>
        </w:rPr>
        <w:t xml:space="preserve">废标</w:t>
      </w:r>
      <w:r>
        <w:rPr>
          <w:rFonts w:ascii="宋体" w:hAnsi="宋体" w:eastAsia="宋体" w:cs="宋体"/>
          <w:color w:val="auto"/>
          <w:sz w:val="22"/>
          <w:highlight w:val="none"/>
        </w:rPr>
        <w:t xml:space="preserve">，同时将废标理由通知所有供应商：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（1）符合资格条件的供应商或者对招标文件作实质响应的供应商不足三家；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（2）出现影响采购公正的违法、违规行为的；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（3）供应商的报价均超过了采购预算或最高限价的，采购人不能支付的；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（4）因重大变故，采购任务取消的；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（5）评委会认定招标文件存在歧义、重大缺陷导致评审工作无法进行。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（6）预留份额的采购项目或采购包，通过发布公告方式邀请供应商后，符合资格条件的中小企业数量不足3家的。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（7）因苏采云系统故障造成开标不成功。</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20.2.3 投标文件的进一步评审。</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20.2.3.1评标委员会将对确定为实质性响应的投标文件进行进一步评审，看其是否有计算上或累加上的算术错误，修正错误的原则如下：</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《开标一览表》（报价表）内容与投标文件中相应内容不一致的，以《开标一览表》（报价表）为准。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投标文件、《开标一览表》（报价表）中报价的大写金额与小写金额不一致的，以大写金额为准。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单价金额小数点或者百分比有明显错位的，以《开标一览表》（报价表）的总价为准，并修改单价；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总价金额与按单价汇总金额不一致的，以单价金额计算结果为准；只有在评委会认为单价有明显的小数点错误时，才能以标出的总价为准，并修改单价。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同时出现20.2.3.1中两种以上不一致的，按照（1）-（4）的顺序修正。修正后的报价由法定代表人或其授权的代表通过“苏采云”系统确认后产生约束力，投标人不确认的，投标无效。</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对不同文字文本投标文件的解释发生异议的，以中文文本为准。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20.2.3.2评标委员会将按上述修正错误的方法调整投标文件中的投标价，调整后的价格应对投标人具有约束力。如果投标人不接受修正后的价格，则其投标将被拒绝。</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20.2.3.3 评委会将允许修正投标文件中不构成重大偏离的、微小的、非正规的、不一致的或不规则的地方，但这些修改不能影响任何投标人相应的名次排列。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20.2.3.4 澄清有关问题</w:t>
      </w:r>
      <w:r>
        <w:rPr>
          <w:rFonts w:ascii="宋体" w:hAnsi="宋体" w:eastAsia="宋体" w:cs="宋体"/>
          <w:color w:val="auto"/>
          <w:sz w:val="22"/>
          <w:highlight w:val="none"/>
        </w:rPr>
        <w:t xml:space="preserve">。对投标文件中含义不明确、同类问题表述不一致或者明显文字错误的内容，评标委员会可以要求供应商作出必要的澄清、说明或者补正。供应商的澄清、说明或者补正不得超出响应文件的范围或者改变响应文件的实质性内容。</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20.2.3.5需要供应商进行澄清、说明和补正的，评标委员会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20.2.3.6接到评标委员会澄清、说明和补正要求的供应商如未按规定作出澄清、说明和补正，其风险由供应商自行承担。供应商拒不按照要求对响应件进行澄清、说明或者补正的，视其放弃该项权利。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20.2.3.7比较与评价。</w:t>
      </w:r>
      <w:r>
        <w:rPr>
          <w:rFonts w:ascii="宋体" w:hAnsi="宋体" w:eastAsia="宋体" w:cs="宋体"/>
          <w:color w:val="auto"/>
          <w:sz w:val="22"/>
          <w:highlight w:val="none"/>
        </w:rPr>
        <w:t xml:space="preserve">按照招标文件中规定的评标方法和标准，对资格性检查和符合性检查合格的投标文件进行商务和技术评估，综合比较与评价。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20.2.3.8 投标人在开、评标全过程中应保持通讯畅通，及时登录苏采云系统查阅、答复相关信息，并安排专人与代理机构及评委会联系。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20.2.3.9 如出现投标截止时间后参加投标的供应商或者对招标文件作出实质性响应的供应商不足三家的情况，按政府采购相关规定执行。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20.3 评标方法和标准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20.3.1 采用综合评分法。</w:t>
      </w:r>
      <w:r>
        <w:rPr>
          <w:rFonts w:ascii="宋体" w:hAnsi="宋体" w:eastAsia="宋体" w:cs="宋体"/>
          <w:color w:val="auto"/>
          <w:sz w:val="22"/>
          <w:highlight w:val="none"/>
        </w:rPr>
        <w:t xml:space="preserve">即在投标文件满足招标文件全部实质性要求前提下，且按照评审因素的量化指标评审得分最高的投标人为中标供应商的评标方法。</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20.3.2 综合评分的主要因素是：详见评分标准。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20.3.3</w:t>
      </w:r>
      <w:r>
        <w:rPr>
          <w:rFonts w:ascii="宋体" w:hAnsi="宋体" w:eastAsia="宋体" w:cs="宋体"/>
          <w:b/>
          <w:color w:val="auto"/>
          <w:sz w:val="22"/>
          <w:highlight w:val="none"/>
        </w:rPr>
        <w:t xml:space="preserve">评分标准详见文件第三章。</w:t>
      </w:r>
      <w:r>
        <w:rPr>
          <w:rFonts w:ascii="宋体" w:hAnsi="宋体" w:eastAsia="宋体" w:cs="宋体"/>
          <w:b/>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21、确定中标供应商</w:t>
      </w:r>
      <w:r/>
    </w:p>
    <w:p>
      <w:pPr>
        <w:ind w:left="0" w:right="0" w:firstLine="413"/>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21.1在综合比较与评价后按照得分由高到低顺序对供应商进行排序。评标委员会按综合得分排名推荐中标候选供应商，其中采购包3推荐4家、采购包6推荐3家、采购包7推荐4家、采购包8推荐3家。得分相同的，按投标报价由低到高顺序排列。得分且报价相同的，按技术指标（实施方案）优劣顺序排列。</w:t>
      </w:r>
      <w:r/>
    </w:p>
    <w:p>
      <w:pPr>
        <w:ind w:left="0" w:right="0" w:firstLine="413"/>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21.1.1本次为原“南京医科大学超市货品及后勤物资采购”项目</w:t>
      </w:r>
      <w:r>
        <w:rPr>
          <w:rFonts w:ascii="宋体" w:hAnsi="宋体" w:eastAsia="宋体" w:cs="宋体"/>
          <w:color w:val="auto"/>
          <w:sz w:val="22"/>
          <w:highlight w:val="none"/>
        </w:rPr>
        <w:t xml:space="preserve">采购包3、6、7、8</w:t>
      </w:r>
      <w:r>
        <w:rPr>
          <w:rFonts w:ascii="宋体" w:hAnsi="宋体" w:eastAsia="宋体" w:cs="宋体"/>
          <w:color w:val="auto"/>
          <w:sz w:val="22"/>
          <w:highlight w:val="none"/>
        </w:rPr>
        <w:t xml:space="preserve">的重新招标，同一供应商可同时参加多个包投标，但最多兼中2个采购包。供应商如被推荐（或</w:t>
      </w:r>
      <w:r>
        <w:rPr>
          <w:rFonts w:hint="eastAsia" w:ascii="宋体" w:hAnsi="宋体" w:eastAsia="宋体" w:cs="宋体"/>
          <w:color w:val="auto"/>
          <w:sz w:val="22"/>
          <w:highlight w:val="none"/>
          <w:lang w:val="en-US" w:eastAsia="zh-CN"/>
        </w:rPr>
        <w:t xml:space="preserve">前两次</w:t>
      </w:r>
      <w:r>
        <w:rPr>
          <w:rFonts w:ascii="宋体" w:hAnsi="宋体" w:eastAsia="宋体" w:cs="宋体"/>
          <w:color w:val="auto"/>
          <w:sz w:val="22"/>
          <w:highlight w:val="none"/>
        </w:rPr>
        <w:t xml:space="preserve">招标采购时已被确定为入围供应商）达到两次，可以参加本次采购活动，但不再被推荐为后续采购包的入围供应商。（如遇系统与文件不一致处，以文件为准）</w:t>
      </w:r>
      <w:r/>
    </w:p>
    <w:p>
      <w:pPr>
        <w:ind w:left="0" w:right="0" w:firstLine="413"/>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21.2 按以下第（2）种方式确定中标供应商</w:t>
      </w:r>
      <w:r/>
    </w:p>
    <w:p>
      <w:pPr>
        <w:ind w:left="0" w:right="0" w:firstLine="413"/>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（1）评标委员会直接确定</w:t>
      </w:r>
      <w:r>
        <w:rPr>
          <w:rFonts w:ascii="宋体" w:hAnsi="宋体" w:eastAsia="宋体" w:cs="宋体"/>
          <w:color w:val="auto"/>
          <w:sz w:val="22"/>
          <w:highlight w:val="none"/>
        </w:rPr>
        <w:t xml:space="preserve">采购包3排名前二、采购包6排名第一、采购包7排名前二、采购包8排名第一</w:t>
      </w:r>
      <w:r>
        <w:rPr>
          <w:rFonts w:ascii="宋体" w:hAnsi="宋体" w:eastAsia="宋体" w:cs="宋体"/>
          <w:color w:val="auto"/>
          <w:sz w:val="22"/>
          <w:highlight w:val="none"/>
        </w:rPr>
        <w:t xml:space="preserve">的中标候选人为中标供应商；</w:t>
      </w:r>
      <w:r/>
    </w:p>
    <w:p>
      <w:pPr>
        <w:ind w:left="0" w:right="0" w:firstLine="413"/>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（2）采购人在评标委员会推荐的中标候选人中按顺序确定中标供应商。</w:t>
      </w:r>
      <w:r/>
    </w:p>
    <w:p>
      <w:pPr>
        <w:ind w:left="0" w:right="0" w:firstLine="413"/>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left="0" w:right="0" w:firstLine="413"/>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21.3 中标供应商确定之日起两个工作日内，将在财政部门指定的政府采购信息发布媒体上公告。</w:t>
      </w:r>
      <w:r/>
    </w:p>
    <w:p>
      <w:pPr>
        <w:ind w:left="0" w:right="0" w:firstLine="413"/>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21.4 《中标通知书》对采购人和中标供应商具有同等法律效力。</w:t>
      </w:r>
      <w:r/>
    </w:p>
    <w:p>
      <w:pPr>
        <w:ind w:left="0" w:right="0" w:firstLine="413"/>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21.5 《中标通知书》发出后，中标供应商无正当理由不与采购人签订合同的，应当依法承担法律责任。</w:t>
      </w:r>
      <w:r/>
    </w:p>
    <w:p>
      <w:pPr>
        <w:ind w:left="0" w:right="0" w:firstLine="413"/>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21.6代理机构和评标委员会对未中标的供应商不作未中标原因的解释。</w:t>
      </w:r>
      <w:r/>
    </w:p>
    <w:p>
      <w:pPr>
        <w:ind w:left="0" w:right="0" w:firstLine="413"/>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22、编写评标报告</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22.1 评标委员会根据全体评标成员签字的原始评标记录和评标结果编写评标报告。</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23、评标过程的保密性</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23.1 招标代理将采取必要措施，保证评标在严格保密的情况下进行。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23.2 任何单位和个人不得非法干预、影响评标办法的确定，以及评标过程和结果。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23.3 凡是与审查、澄清、评价和比较投标的有关资料等，均不向供应商及与评标无关的其他人员透露。</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五、签订合同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24、签订合同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24.1 采购人应当自中标通知书发出之日起30日内，按照招标文件和中标供应商投标文件的规定与中标供应商签订书面合同。所签订的合同不得对招标文件确定事项和中标供应商投标文件作实质性修改。</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24.2采购人不得向中标供应商提出任何不合理的要求作为签订合同的条件，不得与中标供应商私下订立背离合同实质性内容的协议。</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24.3中标供应商拒绝与采购人签订合同，或因不可抗力或者自身原因不能履行政府采购合同的，采购人可以按照评审报告中的得分高低顺序，确定下一顺序投标人为中标供应商，也可以重新开展政府采购活动。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24.4 采购合同履行中，采购人需追加与合同标的相同货物的，在不改变合同其他条款的前提下，可以与供应商协商签订补充合同，但所有补充合同的采购金额不得超过原合同采购金额的百分之十。</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六、询问、质疑、投诉和诚实信用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25、询问</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25.1 供应商对招标活动事项有疑问的，可以向招标代理或采购人提出询问，招标代理或采购人将在两个工作日内作出答复，但答复的内容不涉及商业秘密</w:t>
      </w:r>
      <w:r>
        <w:rPr>
          <w:rFonts w:ascii="宋体" w:hAnsi="宋体" w:eastAsia="宋体" w:cs="宋体"/>
          <w:b/>
          <w:color w:val="auto"/>
          <w:sz w:val="22"/>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26、质疑</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26.1 供应商认为招标文件、采购过程和中标结果使自己的合法权益受到损害的，可以在知道或者应当知道其权益受到损害之日起七个工作日内一次性提出针对同一采购程序环节的质疑，质疑文件原件以书面形式送达招标代理。</w:t>
      </w:r>
      <w:r/>
    </w:p>
    <w:p>
      <w:pPr>
        <w:ind w:left="0" w:right="0" w:firstLine="409"/>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26.2 质疑供应商的质疑行为应符合财政部94号令相关规定，质疑供应商是指直接参加本次投标活动的供应商，未参加投标活动的供应商或在投标活动中自身权益未受到损害的供应商所提出的质疑不予受理。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26.3 质疑必须以参加投标供应商法定代表人或授权代表原件送达的方式提交，否则，招标代理有权不予受理。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26.4上述应知其权益受到损害之日是指：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（1）对招标文件提出质疑的，为招标文件公告期限届满之日起计算；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（2）对采购过程提出质疑的，自采购程序环节结束之日起计算；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（3）对中标结果提出质疑的，自中标结果公告期限届满之日起计算。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26.5 质疑文件应包括以下主要内容，并按照“谁主张、谁举证”的原则，附上相关证明材料。否则，招标代理或采购人不予受理：</w:t>
      </w:r>
      <w:r/>
    </w:p>
    <w:p>
      <w:pPr>
        <w:ind w:left="42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（1）质疑项目名称、项目编号、包号、招标公告发布时间、开标时间；</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（2）提起质疑的日期、具体的质疑事项及事实根据（具体条款）；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（3）认为自己合法权益受到损害或可能受到损害的相关证据材料；</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（4）质疑供应商名称、地址、邮编、联系人、联系电话（包括座机、手机、传真号码等）；</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（5）质疑文件应当署名，质疑人为自然人的，应当由本人签字并附有效身份证明；质疑人为法人或其他组织的，应当由法定代表人签字并加盖单位公章。</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（6）供应商委托代理质疑的，应当向被质疑人提交授权委托书，并载明委托代理的具体权限和事项。</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26.6 招标代理在收到供应商的书面质疑后将及时组织调查核实，在七个工作日内作出答复，并以书面或在网站公告形式通知质疑供应商和其他有关供应商，答复的内容不涉及商业秘密。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26.7招标代理遵循“谁过错谁负担”的原则，有过错的一方承担调查论证费用。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27、投诉</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27.1 质疑供应商对招标代理的答复不满意，或招标代理未在规定的时间内作出答复的，可以在答复期满后</w:t>
      </w:r>
      <w:r>
        <w:rPr>
          <w:rFonts w:ascii="宋体" w:hAnsi="宋体" w:eastAsia="宋体" w:cs="宋体"/>
          <w:b/>
          <w:color w:val="auto"/>
          <w:sz w:val="22"/>
          <w:highlight w:val="none"/>
        </w:rPr>
        <w:t xml:space="preserve">十五个工作日内</w:t>
      </w:r>
      <w:r>
        <w:rPr>
          <w:rFonts w:ascii="宋体" w:hAnsi="宋体" w:eastAsia="宋体" w:cs="宋体"/>
          <w:color w:val="auto"/>
          <w:sz w:val="22"/>
          <w:highlight w:val="none"/>
        </w:rPr>
        <w:t xml:space="preserve">向采购项目同级财政部门投诉。</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28、诚实信用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28.1 供应商之间不得相互串通投标报价，不得妨碍其他供应商的公平竞争，不得损害采购人和其他供应商的合法权益。</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28.2 供应商不得以向招标代理工作人员、评标委员会成员行贿或者采取其他不正当手段谋取中标。经查实供应商有此行为的，政府采购管理部门将供应商列入不良行为记录名单，按照《政府采购法》有关规定处理。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28.3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28.4 供应商不得虚假承诺，否则，按照提供虚假材料谋取中标成交处理。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28.5 供应商应自觉遵守开标、评标纪律，扰乱开标评标现场秩序的，属于失信行为，根据《江苏省政府采购供应商监督管理暂行办法》，失信行为将被记入供应商诚信档案。</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第三章 评标标准</w:t>
      </w:r>
      <w:r/>
    </w:p>
    <w:p>
      <w:pPr>
        <w:ind w:left="0" w:right="0" w:firstLine="480"/>
        <w:jc w:val="both"/>
        <w:spacing w:before="0" w:after="0"/>
        <w:tabs>
          <w:tab w:val="left" w:pos="895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本项目采用综合评分法确定中标候选人。评标委员会将按下列评分具体办法和标准进行打分，总分值为100分，小数点后保留两位。</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【采购包3：矿泉水、碳酸饮料系列】</w:t>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812"/>
        <w:gridCol w:w="7094"/>
        <w:gridCol w:w="668"/>
      </w:tblGrid>
      <w:tr>
        <w:trPr>
          <w:trHeight w:val="446"/>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序号</w:t>
            </w:r>
            <w:r/>
          </w:p>
        </w:tc>
        <w:tc>
          <w:tcPr>
            <w:gridSpan w:val="2"/>
            <w:tcMar>
              <w:left w:w="108" w:type="dxa"/>
              <w:top w:w="0" w:type="dxa"/>
              <w:right w:w="108" w:type="dxa"/>
              <w:bottom w:w="0" w:type="dxa"/>
            </w:tcMar>
            <w:tcW w:w="7906"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评审细则</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分值</w:t>
            </w:r>
            <w:r/>
          </w:p>
        </w:tc>
      </w:tr>
      <w:tr>
        <w:trPr>
          <w:trHeight w:val="1192"/>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w:t>
            </w:r>
            <w:r/>
          </w:p>
        </w:tc>
        <w:tc>
          <w:tcPr>
            <w:gridSpan w:val="2"/>
            <w:tcMar>
              <w:left w:w="108" w:type="dxa"/>
              <w:top w:w="0" w:type="dxa"/>
              <w:right w:w="108" w:type="dxa"/>
              <w:bottom w:w="0" w:type="dxa"/>
            </w:tcMar>
            <w:tcW w:w="7906"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采用低价优先法计算，即满足招标文件要求且投标总价最低的投标报价为评标基准价，其价格分为满分。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其他供应商的价格分统一按照下列公式计算：</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投标报价得分=（评标基准价/投标总价）×40（小数点保留两位）</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40</w:t>
            </w:r>
            <w:r/>
          </w:p>
        </w:tc>
      </w:tr>
      <w:tr>
        <w:trPr>
          <w:trHeight w:val="90"/>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配送车辆：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供应商具有自有或租赁专用配送车辆的，每提供一台车辆得2分，最多得4分。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①若为自有车辆：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1）需提供车辆照片；</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2）有效的行驶证复印件，行驶证上显示的所有人需与供应商名称一致。</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②若为租用车辆：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1）需提供车辆照片；</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3）有效的行驶证复印件，行驶证上显示的所有人需与出租方名称一致；</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813"/>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仓储能力：</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供应商具有自有仓库或租赁仓库证明。</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仓库面积≥3</w:t>
            </w:r>
            <w:r>
              <w:rPr>
                <w:rFonts w:ascii="宋体" w:hAnsi="宋体" w:eastAsia="宋体" w:cs="宋体"/>
                <w:color w:val="auto"/>
                <w:sz w:val="21"/>
                <w:highlight w:val="none"/>
              </w:rPr>
              <w:t xml:space="preserve">00㎡，得</w:t>
            </w:r>
            <w:r>
              <w:rPr>
                <w:rFonts w:ascii="宋体" w:hAnsi="宋体" w:eastAsia="宋体" w:cs="宋体"/>
                <w:color w:val="auto"/>
                <w:sz w:val="22"/>
                <w:highlight w:val="none"/>
              </w:rPr>
              <w:t xml:space="preserve">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面积＜3</w:t>
            </w:r>
            <w:r>
              <w:rPr>
                <w:rFonts w:ascii="宋体" w:hAnsi="宋体" w:eastAsia="宋体" w:cs="宋体"/>
                <w:color w:val="auto"/>
                <w:sz w:val="21"/>
                <w:highlight w:val="none"/>
              </w:rPr>
              <w:t xml:space="preserve">00㎡，得2分；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未提供不得分。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①若为自有仓库：</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1）需提供仓库的相关照片；</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2）仓库产权证明复印件。</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②若为租赁仓库：</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1）需提供仓库的相关照片；</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2）截至投标日仍在合同期内的租赁协议复印件；若现有合同租赁期未覆盖项目周期，供应商需额外承诺租用仓库的租赁期可完全覆盖本项目周期，提供承诺书，格式自拟；</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31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项目团队：</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需提供人员配置名单（需包含具体负责事项）、有效期内健康证、劳动合同以及投标截止时间前近半年（</w:t>
            </w:r>
            <w:r>
              <w:rPr>
                <w:rFonts w:hint="eastAsia" w:ascii="宋体" w:hAnsi="宋体" w:eastAsia="宋体" w:cs="宋体"/>
                <w:b/>
                <w:color w:val="auto"/>
                <w:sz w:val="22"/>
                <w:highlight w:val="none"/>
                <w:lang w:eastAsia="zh-CN"/>
              </w:rPr>
              <w:t xml:space="preserve">2026年1月-2026年6月</w:t>
            </w:r>
            <w:r>
              <w:rPr>
                <w:rFonts w:ascii="宋体" w:hAnsi="宋体" w:eastAsia="宋体" w:cs="宋体"/>
                <w:b/>
                <w:color w:val="auto"/>
                <w:sz w:val="22"/>
                <w:highlight w:val="none"/>
              </w:rPr>
              <w:t xml:space="preserve">）内任意一个月的社会保险证明。</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w:t>
            </w:r>
            <w:r/>
          </w:p>
        </w:tc>
      </w:tr>
      <w:tr>
        <w:trPr>
          <w:trHeight w:val="210"/>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企业业绩：</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供应商自2023年1月1日（含）以来：</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具有类似品类供货项目业绩的，每提供1个业绩得1分，最多得4分。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需提供合同复印件，时间以合同签订日期或合同期限起始时间为准，未提供不得分，同一采购单位不重复计分。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177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保险要求：</w:t>
            </w:r>
            <w:r>
              <w:rPr>
                <w:rFonts w:ascii="宋体" w:hAnsi="宋体" w:eastAsia="宋体" w:cs="宋体"/>
                <w:color w:val="auto"/>
                <w:sz w:val="22"/>
                <w:highlight w:val="none"/>
              </w:rPr>
              <w:t xml:space="preserve"> </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保险金额≥500万元的得4分；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500万元＞保险金额≥200万元的得2分；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其他不得分。</w:t>
            </w:r>
            <w:r>
              <w:rPr>
                <w:rFonts w:ascii="宋体" w:hAnsi="宋体" w:eastAsia="宋体" w:cs="宋体"/>
                <w:color w:val="auto"/>
                <w:sz w:val="21"/>
                <w:highlight w:val="none"/>
              </w:rPr>
              <w:t xml:space="preserve"> </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①若现已购买保险：</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②若承诺中标后（合同签订前）购买：</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提供承诺书。（承诺书格式详见招标文件第六章附件七），未提供或未按要求提供不得分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1879"/>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7</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承诺：</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供应商每提供一项以下服务承诺得1分，本项最多得4分，未提供或提供不全的不得分。</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宋体" w:hAnsi="宋体" w:eastAsia="宋体" w:cs="宋体"/>
                <w:b/>
                <w:color w:val="auto"/>
                <w:sz w:val="22"/>
                <w:highlight w:val="none"/>
              </w:rPr>
              <w:t xml:space="preserve">（提供承诺书并加盖投标单位公章，承诺书格式自拟）</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 </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宋体" w:hAnsi="宋体" w:eastAsia="宋体" w:cs="宋体"/>
                <w:b/>
                <w:color w:val="auto"/>
                <w:sz w:val="22"/>
                <w:highlight w:val="none"/>
              </w:rPr>
              <w:t xml:space="preserve">（提供承诺书并加盖投标单位公章，承诺书格式自拟）</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 </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宋体" w:hAnsi="宋体" w:eastAsia="宋体" w:cs="宋体"/>
                <w:b/>
                <w:color w:val="auto"/>
                <w:sz w:val="22"/>
                <w:highlight w:val="none"/>
              </w:rPr>
              <w:t xml:space="preserve">（提供承诺书并加盖投标单位公章，承诺书格式自拟）</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 </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④供应商承诺严格遵守采购人单位的各项规章制度，服从采购人管理，不与采购人单位或人员发生冲突或其他不文明行为。</w:t>
            </w:r>
            <w:r>
              <w:rPr>
                <w:rFonts w:ascii="宋体" w:hAnsi="宋体" w:eastAsia="宋体" w:cs="宋体"/>
                <w:b/>
                <w:color w:val="auto"/>
                <w:sz w:val="22"/>
                <w:highlight w:val="none"/>
              </w:rPr>
              <w:t xml:space="preserve">（提供承诺书并加盖投标单位公章，承诺书格式自拟）</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 </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31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8</w:t>
            </w:r>
            <w:r/>
          </w:p>
        </w:tc>
        <w:tc>
          <w:tcPr>
            <w:tcMar>
              <w:left w:w="108" w:type="dxa"/>
              <w:top w:w="0" w:type="dxa"/>
              <w:right w:w="108" w:type="dxa"/>
              <w:bottom w:w="0" w:type="dxa"/>
            </w:tcMar>
            <w:tcW w:w="812" w:type="dxa"/>
            <w:vAlign w:val="center"/>
            <w:vMerge w:val="restart"/>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实施方案</w:t>
            </w:r>
            <w:r/>
          </w:p>
        </w:tc>
        <w:tc>
          <w:tcPr>
            <w:tcMar>
              <w:left w:w="108" w:type="dxa"/>
              <w:top w:w="0" w:type="dxa"/>
              <w:right w:w="108" w:type="dxa"/>
              <w:bottom w:w="0" w:type="dxa"/>
            </w:tcMar>
            <w:tcW w:w="7094"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采购渠道方案：</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评委根据供应商提供的矿泉水、碳酸饮料系列货品供货渠道（可提供产品来源渠道说明或证明、产品品牌质量或经销资质、进货发票或合同等相关证明材料）进行综合评分：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①所供货品具有可追溯性供货渠道正规，质量符合采购要求得5分；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②供货渠道较正规，质量较符合采购要求得3分；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③供货渠道不清晰，质量基本符合采购要求得1分；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④未提供方案的不得分。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456"/>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9</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配送服务方案：</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评委根据供应商提供的矿泉水、碳酸饮料系列货品配送服务方案（包括但不限于配送能力、服务流程、库存不足解决方案以及配送过程中安全保障措施等）进行综合评分：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①方案全面合理、可操作性强且有不同于其他供应商特色举措的得5分；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②方案齐全、具有实际可操作性的得3分；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③方案一般、实际可操作性一般的得1分；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④未提供方案的不得分。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456"/>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10</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0" w:right="0" w:firstLine="0"/>
              <w:jc w:val="both"/>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货品退换方案：</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评委根据供应商提供的矿泉水、碳酸饮料系列货品退换方案进行综合评分：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①方案描述清晰、详细、保障措施健全、有针对性，得5分；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②方案描述清晰、保障措施得当，得3分；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③内容不全、有所欠缺，最多得1分。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90"/>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应急事件处理方案：</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评委根据投标人提供的矿泉水、碳酸饮料系列货品应急事件处理方案（包括但不限于恶劣天气供应、紧急补货处理、疫情防范措施、售后服务等）进行综合评分：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①方案全面合理、时效性强的得5分；</w:t>
            </w:r>
            <w:r>
              <w:rPr>
                <w:rFonts w:ascii="宋体" w:hAnsi="宋体" w:eastAsia="宋体" w:cs="宋体"/>
                <w:color w:val="auto"/>
                <w:sz w:val="21"/>
                <w:highlight w:val="none"/>
              </w:rPr>
              <w:t xml:space="preserve"> </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②方案较齐全、时效性较强的得3分； </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③方案一般、实际可操作性一般的得1分； </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④未提供方案的不得分。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1220"/>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12</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食品安全事故处置方案：</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评委根据投标人提供的因矿泉水、碳酸饮料系列货品质量原因发生食品安全事故的处置方案进行综合评分：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①方案描述清晰、详细、处置措施健全、应急反应速度快、安抚工作职责明确、善后措施完善、有针对性，得5分；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②方案描述清晰、处置措施得当、安抚工作职责明确、善后措施合理，得3分；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③内容不全、有所欠缺，最多得1分。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④未提供方案不得分。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31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13</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服从管理方案：</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评委根据供应商提供的矿泉水、碳酸饮料系列货品服从采购人管理方案（包括但不限于与采购人及各主管部门的日常沟通、配合验收，服从现场管理等）进行综合评分：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①方案描述清晰、详细、健全、有针对性，得</w:t>
            </w:r>
            <w:r>
              <w:rPr>
                <w:rFonts w:ascii="宋体" w:hAnsi="宋体" w:eastAsia="宋体" w:cs="宋体"/>
                <w:color w:val="auto"/>
                <w:sz w:val="21"/>
                <w:highlight w:val="none"/>
              </w:rPr>
              <w:t xml:space="preserve">5</w:t>
            </w:r>
            <w:r>
              <w:rPr>
                <w:rFonts w:ascii="宋体" w:hAnsi="宋体" w:eastAsia="宋体" w:cs="宋体"/>
                <w:color w:val="auto"/>
                <w:sz w:val="22"/>
                <w:highlight w:val="none"/>
              </w:rPr>
              <w:t xml:space="preserve">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②方案描述清晰、内容较为完善，得</w:t>
            </w:r>
            <w:r>
              <w:rPr>
                <w:rFonts w:ascii="宋体" w:hAnsi="宋体" w:eastAsia="宋体" w:cs="宋体"/>
                <w:color w:val="auto"/>
                <w:sz w:val="21"/>
                <w:highlight w:val="none"/>
              </w:rPr>
              <w:t xml:space="preserve">3</w:t>
            </w:r>
            <w:r>
              <w:rPr>
                <w:rFonts w:ascii="宋体" w:hAnsi="宋体" w:eastAsia="宋体" w:cs="宋体"/>
                <w:color w:val="auto"/>
                <w:sz w:val="22"/>
                <w:highlight w:val="none"/>
              </w:rPr>
              <w:t xml:space="preserve">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③内容不全、有所欠缺，最多得1分。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w:t>
            </w:r>
            <w:r/>
          </w:p>
        </w:tc>
      </w:tr>
      <w:tr>
        <w:trPr>
          <w:trHeight w:val="31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14</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供应商优势和特色服务：</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评委根据供应商提供矿泉水、碳酸饮料系列货品服务所具备的优势以及供应商为采购人提供特色服务（包括但不限于活动促销、各类活动支持等）进行综合评分：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①</w:t>
            </w:r>
            <w:r>
              <w:rPr>
                <w:rFonts w:ascii="宋体" w:hAnsi="宋体" w:eastAsia="宋体" w:cs="宋体"/>
                <w:color w:val="auto"/>
                <w:sz w:val="22"/>
                <w:highlight w:val="none"/>
              </w:rPr>
              <w:t xml:space="preserve">优势突出，提供特色服务内容完善合理、科学性及可实施性强得4分。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②</w:t>
            </w:r>
            <w:r>
              <w:rPr>
                <w:rFonts w:ascii="宋体" w:hAnsi="宋体" w:eastAsia="宋体" w:cs="宋体"/>
                <w:color w:val="auto"/>
                <w:sz w:val="22"/>
                <w:highlight w:val="none"/>
              </w:rPr>
              <w:t xml:space="preserve">优势较为突出，提供特色服务内容较为合理，科学性及可实施性较强，得</w:t>
            </w:r>
            <w:r>
              <w:rPr>
                <w:rFonts w:ascii="Times New Roman" w:hAnsi="Times New Roman" w:eastAsia="Times New Roman" w:cs="Times New Roman"/>
                <w:color w:val="auto"/>
                <w:sz w:val="22"/>
                <w:highlight w:val="none"/>
              </w:rPr>
              <w:t xml:space="preserve">2</w:t>
            </w:r>
            <w:r>
              <w:rPr>
                <w:rFonts w:ascii="宋体" w:hAnsi="宋体" w:eastAsia="宋体" w:cs="宋体"/>
                <w:color w:val="auto"/>
                <w:sz w:val="22"/>
                <w:highlight w:val="none"/>
              </w:rPr>
              <w:t xml:space="preserve">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③</w:t>
            </w:r>
            <w:r>
              <w:rPr>
                <w:rFonts w:ascii="宋体" w:hAnsi="宋体" w:eastAsia="宋体" w:cs="宋体"/>
                <w:color w:val="auto"/>
                <w:sz w:val="22"/>
                <w:highlight w:val="none"/>
              </w:rPr>
              <w:t xml:space="preserve">优势一般，提供特色服务内容基本合理，科学性及可实施性一般的，最多得</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2"/>
                <w:highlight w:val="none"/>
              </w:rPr>
              <w:t xml:space="preserve">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④</w:t>
            </w:r>
            <w:r>
              <w:rPr>
                <w:rFonts w:ascii="宋体" w:hAnsi="宋体" w:eastAsia="宋体" w:cs="宋体"/>
                <w:color w:val="auto"/>
                <w:sz w:val="22"/>
                <w:highlight w:val="none"/>
              </w:rPr>
              <w:t xml:space="preserve">未提供不得分。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【采购包6：冷饮、速冻食品系列】</w:t>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812"/>
        <w:gridCol w:w="7094"/>
        <w:gridCol w:w="668"/>
      </w:tblGrid>
      <w:tr>
        <w:trPr>
          <w:trHeight w:val="446"/>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序号</w:t>
            </w:r>
            <w:r/>
          </w:p>
        </w:tc>
        <w:tc>
          <w:tcPr>
            <w:gridSpan w:val="2"/>
            <w:tcMar>
              <w:left w:w="108" w:type="dxa"/>
              <w:top w:w="0" w:type="dxa"/>
              <w:right w:w="108" w:type="dxa"/>
              <w:bottom w:w="0" w:type="dxa"/>
            </w:tcMar>
            <w:tcW w:w="7906"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评审细则</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分值</w:t>
            </w:r>
            <w:r/>
          </w:p>
        </w:tc>
      </w:tr>
      <w:tr>
        <w:trPr>
          <w:trHeight w:val="1192"/>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w:t>
            </w:r>
            <w:r/>
          </w:p>
        </w:tc>
        <w:tc>
          <w:tcPr>
            <w:gridSpan w:val="2"/>
            <w:tcMar>
              <w:left w:w="108" w:type="dxa"/>
              <w:top w:w="0" w:type="dxa"/>
              <w:right w:w="108" w:type="dxa"/>
              <w:bottom w:w="0" w:type="dxa"/>
            </w:tcMar>
            <w:tcW w:w="7906"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采用低价优先法计算，即满足招标文件要求且投标总价最低的投标报价为评标基准价，其价格分为满分。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其他供应商的价格分统一按照下列公式计算：</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投标报价得分=（评标基准价/投标总价）×40（小数点保留两位）</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40</w:t>
            </w:r>
            <w:r/>
          </w:p>
        </w:tc>
      </w:tr>
      <w:tr>
        <w:trPr>
          <w:trHeight w:val="90"/>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配送车辆：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供应商具有自有或租赁专用配送冷链车的，每提供一台车辆得2分，最多得4分。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①若为自有车辆：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1）需提供车辆照片；</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2）有效的行驶证复印件，行驶证上显示的所有人需与供应商名称一致。</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②若为租用车辆：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1）需提供车辆照片；</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3）有效的行驶证复印件，行驶证上显示的所有人需与出租方名称一致；</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813"/>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仓储能力：</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供应商具有自有冷冻仓库或租赁冷冻仓库证明。</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仓库面积≥2</w:t>
            </w:r>
            <w:r>
              <w:rPr>
                <w:rFonts w:ascii="宋体" w:hAnsi="宋体" w:eastAsia="宋体" w:cs="宋体"/>
                <w:color w:val="auto"/>
                <w:sz w:val="21"/>
                <w:highlight w:val="none"/>
              </w:rPr>
              <w:t xml:space="preserve">00㎡，得</w:t>
            </w:r>
            <w:r>
              <w:rPr>
                <w:rFonts w:ascii="宋体" w:hAnsi="宋体" w:eastAsia="宋体" w:cs="宋体"/>
                <w:color w:val="auto"/>
                <w:sz w:val="22"/>
                <w:highlight w:val="none"/>
              </w:rPr>
              <w:t xml:space="preserve">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面积＜2</w:t>
            </w:r>
            <w:r>
              <w:rPr>
                <w:rFonts w:ascii="宋体" w:hAnsi="宋体" w:eastAsia="宋体" w:cs="宋体"/>
                <w:color w:val="auto"/>
                <w:sz w:val="21"/>
                <w:highlight w:val="none"/>
              </w:rPr>
              <w:t xml:space="preserve">00㎡，得2分；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未提供不得分。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①若为自有仓库：</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1）需提供仓库的相关照片；</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2）仓库产权证明复印件。</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②若为租赁仓库：</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1）需提供仓库的相关照片；</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2）截至投标日仍在合同期内的租赁协议复印件；若现有合同租赁期未覆盖项目周期，供应商需额外承诺租用仓库的租赁期可完全覆盖本项目周期，提供承诺书，格式自拟；</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31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项目团队：</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需提供人员配置名单（需包含具体负责事项）、有效期内健康证、劳动合同以及投标截止时间前近半年（</w:t>
            </w:r>
            <w:r>
              <w:rPr>
                <w:rFonts w:hint="eastAsia" w:ascii="宋体" w:hAnsi="宋体" w:eastAsia="宋体" w:cs="宋体"/>
                <w:b/>
                <w:color w:val="auto"/>
                <w:sz w:val="22"/>
                <w:highlight w:val="none"/>
                <w:lang w:eastAsia="zh-CN"/>
              </w:rPr>
              <w:t xml:space="preserve">2026年1月-2026年6月</w:t>
            </w:r>
            <w:r>
              <w:rPr>
                <w:rFonts w:ascii="宋体" w:hAnsi="宋体" w:eastAsia="宋体" w:cs="宋体"/>
                <w:b/>
                <w:color w:val="auto"/>
                <w:sz w:val="22"/>
                <w:highlight w:val="none"/>
              </w:rPr>
              <w:t xml:space="preserve">）内任意一个月的社会保险证明。</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w:t>
            </w:r>
            <w:r/>
          </w:p>
        </w:tc>
      </w:tr>
      <w:tr>
        <w:trPr>
          <w:trHeight w:val="210"/>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企业业绩：</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供应商自2023年1月1日（含）以来：</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具有类似品类供货项目业绩的，每提供1个业绩得1分，最多得4分。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需提供合同复印件，时间以合同签订日期或合同期限起始时间为准，未提供不得分，同一采购单位不重复计分。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74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保险要求：</w:t>
            </w:r>
            <w:r>
              <w:rPr>
                <w:rFonts w:ascii="宋体" w:hAnsi="宋体" w:eastAsia="宋体" w:cs="宋体"/>
                <w:color w:val="auto"/>
                <w:sz w:val="22"/>
                <w:highlight w:val="none"/>
              </w:rPr>
              <w:t xml:space="preserve"> </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保险金额≥500万元的得4分；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500万元＞保险金额≥200万元的得2分；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其他不得分。</w:t>
            </w:r>
            <w:r>
              <w:rPr>
                <w:rFonts w:ascii="宋体" w:hAnsi="宋体" w:eastAsia="宋体" w:cs="宋体"/>
                <w:color w:val="auto"/>
                <w:sz w:val="21"/>
                <w:highlight w:val="none"/>
              </w:rPr>
              <w:t xml:space="preserve"> </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①若现已购买保险：</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②若承诺中标后（合同签订前）购买：</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提供承诺书。（承诺书格式详见招标文件第六章附件七），未提供或未按要求提供不得分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31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7</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承诺：</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供应商每提供一项以下服务承诺得1分，本项最多得4分，未提供或提供不全的不得分。</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宋体" w:hAnsi="宋体" w:eastAsia="宋体" w:cs="宋体"/>
                <w:b/>
                <w:color w:val="auto"/>
                <w:sz w:val="22"/>
                <w:highlight w:val="none"/>
              </w:rPr>
              <w:t xml:space="preserve">（提供承诺书并加盖投标单位公章，承诺书格式自拟）</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 </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宋体" w:hAnsi="宋体" w:eastAsia="宋体" w:cs="宋体"/>
                <w:b/>
                <w:color w:val="auto"/>
                <w:sz w:val="22"/>
                <w:highlight w:val="none"/>
              </w:rPr>
              <w:t xml:space="preserve">（提供承诺书并加盖投标单位公章，承诺书格式自拟）</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 </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宋体" w:hAnsi="宋体" w:eastAsia="宋体" w:cs="宋体"/>
                <w:b/>
                <w:color w:val="auto"/>
                <w:sz w:val="22"/>
                <w:highlight w:val="none"/>
              </w:rPr>
              <w:t xml:space="preserve">（提供承诺书并加盖投标单位公章，承诺书格式自拟）</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 </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④供应商承诺严格遵守采购人单位的各项规章制度，服从采购人管理，不与采购人单位或人员发生冲突或其他不文明行为。</w:t>
            </w:r>
            <w:r>
              <w:rPr>
                <w:rFonts w:ascii="宋体" w:hAnsi="宋体" w:eastAsia="宋体" w:cs="宋体"/>
                <w:b/>
                <w:color w:val="auto"/>
                <w:sz w:val="22"/>
                <w:highlight w:val="none"/>
              </w:rPr>
              <w:t xml:space="preserve">（提供承诺书并加盖投标单位公章，承诺书格式自拟）</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 </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31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8</w:t>
            </w:r>
            <w:r/>
          </w:p>
        </w:tc>
        <w:tc>
          <w:tcPr>
            <w:tcMar>
              <w:left w:w="108" w:type="dxa"/>
              <w:top w:w="0" w:type="dxa"/>
              <w:right w:w="108" w:type="dxa"/>
              <w:bottom w:w="0" w:type="dxa"/>
            </w:tcMar>
            <w:tcW w:w="812" w:type="dxa"/>
            <w:vAlign w:val="center"/>
            <w:vMerge w:val="restart"/>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实施方案</w:t>
            </w:r>
            <w:r/>
          </w:p>
        </w:tc>
        <w:tc>
          <w:tcPr>
            <w:tcMar>
              <w:left w:w="108" w:type="dxa"/>
              <w:top w:w="0" w:type="dxa"/>
              <w:right w:w="108" w:type="dxa"/>
              <w:bottom w:w="0" w:type="dxa"/>
            </w:tcMar>
            <w:tcW w:w="7094"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采购渠道方案：</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评委根据供应商提供的冷饮类、速冻食品系列货品供货渠道（可提供产品来源渠道说明或证明、产品品牌质量或经销资质、进货发票或合同等相关证明材料）进行综合评分：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①所供货品具有可追溯性供货渠道正规，质量符合采购要求得5分；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②供货渠道较正规，质量较符合采购要求得3分；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③供货渠道不清晰，质量基本符合采购要求得1分；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④未提供方案的不得分。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456"/>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9</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配送服务方案：</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评委根据供应商提供的冷饮类、速冻食品系列货品配送服务方案（包括但不限于配送能力、服务流程、库存不足解决方案以及配送过程中安全保障措施等）进行综合评分：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①方案全面合理、可操作性强且有不同于其他供应商特色举措的得5分；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②方案齐全、具有实际可操作性的得3分；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③方案一般、实际可操作性一般的得1分；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④未提供方案的不得分。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2237"/>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10</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0" w:right="0" w:firstLine="0"/>
              <w:jc w:val="both"/>
              <w:spacing w:before="0" w:after="0" w:line="240" w:lineRule="auto"/>
              <w:rPr>
                <w:rFonts w:ascii="宋体" w:hAnsi="宋体" w:eastAsia="宋体" w:cs="宋体"/>
                <w:b/>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货品退换方案：</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评委根据供应商提供的冷饮类、速冻食品系列货品退换方案进行综合评分：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①方案描述清晰、详细、保障措施健全、有针对性，得5分；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②方案描述清晰、保障措施得当，得3分；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③内容不全、有所欠缺，最多得1分。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1220"/>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应急事件处理方案：</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评委根据投标人提供的冷饮类、速冻食品系列货品应急事件处理方案（包括但不限于恶劣天气供应、紧急补货处理、疫情防范措施、售后服务等）进行综合评分：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①方案全面合理、时效性强的得5分；</w:t>
            </w:r>
            <w:r>
              <w:rPr>
                <w:rFonts w:ascii="宋体" w:hAnsi="宋体" w:eastAsia="宋体" w:cs="宋体"/>
                <w:color w:val="auto"/>
                <w:sz w:val="21"/>
                <w:highlight w:val="none"/>
              </w:rPr>
              <w:t xml:space="preserve"> </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②方案较齐全、时效性较强的得3分； </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③方案一般、实际可操作性一般的得1分； </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④未提供方案的不得分。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1220"/>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12</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食品安全事故处置方案：</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评委根据投标人提供的因冷饮类、速冻食品系列货品质量原因发生食品安全事故的处置方案进行综合评分：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①方案描述清晰、详细、处置措施健全、应急反应速度快、安抚工作职责明确、善后措施完善、有针对性，得5分；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②方案描述清晰、处置措施得当、安抚工作职责明确、善后措施合理，得3分；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③内容不全、有所欠缺，最多得1分。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④未提供方案不得分。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31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13</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服从管理方案：</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评委根据供应商提供的冷饮类、速冻食品系列货品服从采购人管理方案（包括但不限于与采购人及各主管部门的日常沟通、配合验收，服从现场管理等）进行综合评分：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①方案描述清晰、详细、健全、有针对性，得</w:t>
            </w:r>
            <w:r>
              <w:rPr>
                <w:rFonts w:ascii="宋体" w:hAnsi="宋体" w:eastAsia="宋体" w:cs="宋体"/>
                <w:color w:val="auto"/>
                <w:sz w:val="21"/>
                <w:highlight w:val="none"/>
              </w:rPr>
              <w:t xml:space="preserve">5</w:t>
            </w:r>
            <w:r>
              <w:rPr>
                <w:rFonts w:ascii="宋体" w:hAnsi="宋体" w:eastAsia="宋体" w:cs="宋体"/>
                <w:color w:val="auto"/>
                <w:sz w:val="22"/>
                <w:highlight w:val="none"/>
              </w:rPr>
              <w:t xml:space="preserve">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②方案描述清晰、内容较为完善，得</w:t>
            </w:r>
            <w:r>
              <w:rPr>
                <w:rFonts w:ascii="宋体" w:hAnsi="宋体" w:eastAsia="宋体" w:cs="宋体"/>
                <w:color w:val="auto"/>
                <w:sz w:val="21"/>
                <w:highlight w:val="none"/>
              </w:rPr>
              <w:t xml:space="preserve">3</w:t>
            </w:r>
            <w:r>
              <w:rPr>
                <w:rFonts w:ascii="宋体" w:hAnsi="宋体" w:eastAsia="宋体" w:cs="宋体"/>
                <w:color w:val="auto"/>
                <w:sz w:val="22"/>
                <w:highlight w:val="none"/>
              </w:rPr>
              <w:t xml:space="preserve">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③内容不全、有所欠缺，最多得1分。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w:t>
            </w:r>
            <w:r/>
          </w:p>
        </w:tc>
      </w:tr>
      <w:tr>
        <w:trPr>
          <w:trHeight w:val="31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14</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供应商优势和特色服务：</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评委根据供应商提供冷饮类、速冻食品系列货品服务所具备的优势以及供应商为采购人提供特色服务（包括但不限于活动促销、各类活动支持等）进行综合评分：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①</w:t>
            </w:r>
            <w:r>
              <w:rPr>
                <w:rFonts w:ascii="宋体" w:hAnsi="宋体" w:eastAsia="宋体" w:cs="宋体"/>
                <w:color w:val="auto"/>
                <w:sz w:val="22"/>
                <w:highlight w:val="none"/>
              </w:rPr>
              <w:t xml:space="preserve">优势突出，提供特色服务内容完善合理、科学性及可实施性强得4分。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②</w:t>
            </w:r>
            <w:r>
              <w:rPr>
                <w:rFonts w:ascii="宋体" w:hAnsi="宋体" w:eastAsia="宋体" w:cs="宋体"/>
                <w:color w:val="auto"/>
                <w:sz w:val="22"/>
                <w:highlight w:val="none"/>
              </w:rPr>
              <w:t xml:space="preserve">优势较为突出，提供特色服务内容较为合理，科学性及可实施性较强，得</w:t>
            </w:r>
            <w:r>
              <w:rPr>
                <w:rFonts w:ascii="Times New Roman" w:hAnsi="Times New Roman" w:eastAsia="Times New Roman" w:cs="Times New Roman"/>
                <w:color w:val="auto"/>
                <w:sz w:val="22"/>
                <w:highlight w:val="none"/>
              </w:rPr>
              <w:t xml:space="preserve">2</w:t>
            </w:r>
            <w:r>
              <w:rPr>
                <w:rFonts w:ascii="宋体" w:hAnsi="宋体" w:eastAsia="宋体" w:cs="宋体"/>
                <w:color w:val="auto"/>
                <w:sz w:val="22"/>
                <w:highlight w:val="none"/>
              </w:rPr>
              <w:t xml:space="preserve">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③</w:t>
            </w:r>
            <w:r>
              <w:rPr>
                <w:rFonts w:ascii="宋体" w:hAnsi="宋体" w:eastAsia="宋体" w:cs="宋体"/>
                <w:color w:val="auto"/>
                <w:sz w:val="22"/>
                <w:highlight w:val="none"/>
              </w:rPr>
              <w:t xml:space="preserve">优势一般，提供特色服务内容基本合理，科学性及可实施性一般的，最多得</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2"/>
                <w:highlight w:val="none"/>
              </w:rPr>
              <w:t xml:space="preserve">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④</w:t>
            </w:r>
            <w:r>
              <w:rPr>
                <w:rFonts w:ascii="宋体" w:hAnsi="宋体" w:eastAsia="宋体" w:cs="宋体"/>
                <w:color w:val="auto"/>
                <w:sz w:val="22"/>
                <w:highlight w:val="none"/>
              </w:rPr>
              <w:t xml:space="preserve">未提供不得分。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rPr>
          <w:color w:val="auto"/>
          <w:highlight w:val="none"/>
        </w:rPr>
        <w:br w:type="page" w:clear="all"/>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【采购包7：短保面包系列】</w:t>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812"/>
        <w:gridCol w:w="7094"/>
        <w:gridCol w:w="668"/>
      </w:tblGrid>
      <w:tr>
        <w:trPr>
          <w:trHeight w:val="446"/>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序号</w:t>
            </w:r>
            <w:r/>
          </w:p>
        </w:tc>
        <w:tc>
          <w:tcPr>
            <w:gridSpan w:val="2"/>
            <w:tcMar>
              <w:left w:w="108" w:type="dxa"/>
              <w:top w:w="0" w:type="dxa"/>
              <w:right w:w="108" w:type="dxa"/>
              <w:bottom w:w="0" w:type="dxa"/>
            </w:tcMar>
            <w:tcW w:w="7906"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评审细则</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分值</w:t>
            </w:r>
            <w:r/>
          </w:p>
        </w:tc>
      </w:tr>
      <w:tr>
        <w:trPr>
          <w:trHeight w:val="1192"/>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w:t>
            </w:r>
            <w:r/>
          </w:p>
        </w:tc>
        <w:tc>
          <w:tcPr>
            <w:gridSpan w:val="2"/>
            <w:tcMar>
              <w:left w:w="108" w:type="dxa"/>
              <w:top w:w="0" w:type="dxa"/>
              <w:right w:w="108" w:type="dxa"/>
              <w:bottom w:w="0" w:type="dxa"/>
            </w:tcMar>
            <w:tcW w:w="7906"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采用低价优先法计算，即满足招标文件要求且投标总价最低的投标报价为评标基准价，其价格分为满分。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其他供应商的价格分统一按照下列公式计算：</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投标报价得分=（评标基准价/投标总价）×40（小数点保留两位）</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40</w:t>
            </w:r>
            <w:r/>
          </w:p>
        </w:tc>
      </w:tr>
      <w:tr>
        <w:trPr>
          <w:trHeight w:val="90"/>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配送车辆：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供应商具有自有或租赁专用配送车辆的，每提供一台车辆得2分，最多得4分。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①若为自有车辆：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1）需提供车辆照片；</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2）有效的行驶证复印件，行驶证上显示的所有人需与供应商名称一致。</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②若为租用车辆：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1）需提供车辆照片；</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3）有效的行驶证复印件，行驶证上显示的所有人需与出租方名称一致</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90"/>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仓储能力：</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供应商具有自有仓库或租赁仓库证明。</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仓库面积≥2</w:t>
            </w:r>
            <w:r>
              <w:rPr>
                <w:rFonts w:ascii="宋体" w:hAnsi="宋体" w:eastAsia="宋体" w:cs="宋体"/>
                <w:color w:val="auto"/>
                <w:sz w:val="21"/>
                <w:highlight w:val="none"/>
              </w:rPr>
              <w:t xml:space="preserve">00㎡，得</w:t>
            </w:r>
            <w:r>
              <w:rPr>
                <w:rFonts w:ascii="宋体" w:hAnsi="宋体" w:eastAsia="宋体" w:cs="宋体"/>
                <w:color w:val="auto"/>
                <w:sz w:val="22"/>
                <w:highlight w:val="none"/>
              </w:rPr>
              <w:t xml:space="preserve">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面积＜2</w:t>
            </w:r>
            <w:r>
              <w:rPr>
                <w:rFonts w:ascii="宋体" w:hAnsi="宋体" w:eastAsia="宋体" w:cs="宋体"/>
                <w:color w:val="auto"/>
                <w:sz w:val="21"/>
                <w:highlight w:val="none"/>
              </w:rPr>
              <w:t xml:space="preserve">00㎡，得2分；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未提供不得分。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①若为自有仓库：</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1）需提供仓库的相关照片；</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2）仓库产权证明复印件。</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②若为租赁仓库：</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1）需提供仓库的相关照片；</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2）截至投标日仍在合同期内的租赁协议复印件；若现有合同租赁期未覆盖项目周期，供应商需额外承诺租用仓库的租赁期可完全覆盖本项目周期，提供承诺书，格式自拟；</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31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项目团队：</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需提供人员配置名单（需包含具体负责事项）、有效期内健康证、劳动合同以及投标截止时间前近半年（</w:t>
            </w:r>
            <w:r>
              <w:rPr>
                <w:rFonts w:hint="eastAsia" w:ascii="宋体" w:hAnsi="宋体" w:eastAsia="宋体" w:cs="宋体"/>
                <w:b/>
                <w:color w:val="auto"/>
                <w:sz w:val="22"/>
                <w:highlight w:val="none"/>
                <w:lang w:eastAsia="zh-CN"/>
              </w:rPr>
              <w:t xml:space="preserve">2026年1月-2026年6月</w:t>
            </w:r>
            <w:r>
              <w:rPr>
                <w:rFonts w:ascii="宋体" w:hAnsi="宋体" w:eastAsia="宋体" w:cs="宋体"/>
                <w:b/>
                <w:color w:val="auto"/>
                <w:sz w:val="22"/>
                <w:highlight w:val="none"/>
              </w:rPr>
              <w:t xml:space="preserve">）内任意一个月的社会保险证明。</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w:t>
            </w:r>
            <w:r/>
          </w:p>
        </w:tc>
      </w:tr>
      <w:tr>
        <w:trPr>
          <w:trHeight w:val="210"/>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企业业绩：</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供应商自2023年1月1日（含）以来：</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具有类似品类供货项目业绩的，每提供1个业绩得1分，最多得4分。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需提供合同复印件，时间以合同签订日期或合同期限起始时间为准，未提供不得分，同一采购单位不重复计分。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77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保险要求：</w:t>
            </w:r>
            <w:r>
              <w:rPr>
                <w:rFonts w:ascii="宋体" w:hAnsi="宋体" w:eastAsia="宋体" w:cs="宋体"/>
                <w:color w:val="auto"/>
                <w:sz w:val="22"/>
                <w:highlight w:val="none"/>
              </w:rPr>
              <w:t xml:space="preserve"> </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保险金额≥500万元的得4分；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500万元＞保险金额≥200万元的得2分；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其他不得分。</w:t>
            </w:r>
            <w:r>
              <w:rPr>
                <w:rFonts w:ascii="宋体" w:hAnsi="宋体" w:eastAsia="宋体" w:cs="宋体"/>
                <w:color w:val="auto"/>
                <w:sz w:val="21"/>
                <w:highlight w:val="none"/>
              </w:rPr>
              <w:t xml:space="preserve"> </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①若现已购买保险：</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②若承诺中标后（合同签订前）购买：</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提供承诺书。（承诺书格式详见招标文件第六章附件七），未提供或未按要求提供不得分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31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7</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承诺：</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供应商每提供一项以下服务承诺得1分，本项最多得4分，未提供或提供不全的不得分。</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宋体" w:hAnsi="宋体" w:eastAsia="宋体" w:cs="宋体"/>
                <w:b/>
                <w:color w:val="auto"/>
                <w:sz w:val="22"/>
                <w:highlight w:val="none"/>
              </w:rPr>
              <w:t xml:space="preserve">（提供承诺书并加盖投标单位公章，承诺书格式自拟）</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 </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宋体" w:hAnsi="宋体" w:eastAsia="宋体" w:cs="宋体"/>
                <w:b/>
                <w:color w:val="auto"/>
                <w:sz w:val="22"/>
                <w:highlight w:val="none"/>
              </w:rPr>
              <w:t xml:space="preserve">（提供承诺书并加盖投标单位公章，承诺书格式自拟）</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 </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宋体" w:hAnsi="宋体" w:eastAsia="宋体" w:cs="宋体"/>
                <w:b/>
                <w:color w:val="auto"/>
                <w:sz w:val="22"/>
                <w:highlight w:val="none"/>
              </w:rPr>
              <w:t xml:space="preserve">（提供承诺书并加盖投标单位公章，承诺书格式自拟）</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 </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④供应商承诺严格遵守采购人单位的各项规章制度，服从采购人管理，不与采购人单位或人员发生冲突或其他不文明行为。</w:t>
            </w:r>
            <w:r>
              <w:rPr>
                <w:rFonts w:ascii="宋体" w:hAnsi="宋体" w:eastAsia="宋体" w:cs="宋体"/>
                <w:b/>
                <w:color w:val="auto"/>
                <w:sz w:val="22"/>
                <w:highlight w:val="none"/>
              </w:rPr>
              <w:t xml:space="preserve">（提供承诺书并加盖投标单位公章，承诺书格式自拟）</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 </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31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8</w:t>
            </w:r>
            <w:r/>
          </w:p>
        </w:tc>
        <w:tc>
          <w:tcPr>
            <w:tcMar>
              <w:left w:w="108" w:type="dxa"/>
              <w:top w:w="0" w:type="dxa"/>
              <w:right w:w="108" w:type="dxa"/>
              <w:bottom w:w="0" w:type="dxa"/>
            </w:tcMar>
            <w:tcW w:w="812" w:type="dxa"/>
            <w:vAlign w:val="center"/>
            <w:vMerge w:val="restart"/>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实施方案</w:t>
            </w:r>
            <w:r/>
          </w:p>
        </w:tc>
        <w:tc>
          <w:tcPr>
            <w:tcMar>
              <w:left w:w="108" w:type="dxa"/>
              <w:top w:w="0" w:type="dxa"/>
              <w:right w:w="108" w:type="dxa"/>
              <w:bottom w:w="0" w:type="dxa"/>
            </w:tcMar>
            <w:tcW w:w="7094"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采购渠道方案：</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评委根据供应商提供的短保面包系列货品供货渠道（可提供产品来源渠道说明或证明、产品品牌质量或经销资质、进货发票或合同等相关证明材料）进行综合评分：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①所供货品具有可追溯性供货渠道正规，质量符合采购要求得5分；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②供货渠道较正规，质量较符合采购要求得3分；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③供货渠道不清晰，质量基本符合采购要求得1分；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④未提供方案的不得分。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456"/>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9</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配送服务方案：</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评委根据供应商提供的短保面包系列货品配送服务方案（包括但不限于配送能力、服务流程、库存不足解决方案以及配送过程中安全保障措施等）进行综合评分：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①方案全面合理、可操作性强且有不同于其他供应商特色举措的得5分；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②方案齐全、具有实际可操作性的得3分；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③方案一般、实际可操作性一般的得1分；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④未提供方案的不得分。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456"/>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10</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0" w:right="0" w:firstLine="0"/>
              <w:jc w:val="both"/>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货品退换方案：</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评委根据供应商提供的短保面包系列货品退换方案进行综合评分：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①方案描述清晰、详细、保障措施健全、有针对性，得5分；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②方案描述清晰、保障措施得当，得3分；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③内容不全、有所欠缺，最多得1分。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1220"/>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应急事件处理方案：</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评委根据投标人提供的短保面包货品应急事件处理方案（包括但不限于恶劣天气供应、紧急补货处理、疫情防范措施、售后服务等）进行综合评分：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①方案全面合理、时效性强的得5分；</w:t>
            </w:r>
            <w:r>
              <w:rPr>
                <w:rFonts w:ascii="宋体" w:hAnsi="宋体" w:eastAsia="宋体" w:cs="宋体"/>
                <w:color w:val="auto"/>
                <w:sz w:val="21"/>
                <w:highlight w:val="none"/>
              </w:rPr>
              <w:t xml:space="preserve"> </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②方案较齐全、时效性较强的得3分； </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③方案一般、实际可操作性一般的得1分； </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④未提供方案的不得分。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1220"/>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12</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食品安全事故处置方案：</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评委根据投标人提供的因短保面包系列货品质量原因发生食品安全事故的处置方案进行综合评分：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①方案描述清晰、详细、处置措施健全、应急反应速度快、安抚工作职责明确、善后措施完善、有针对性，得5分；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②方案描述清晰、处置措施得当、安抚工作职责明确、善后措施合理，得3分；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③内容不全、有所欠缺，最多得1分。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④未提供方案不得分。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31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13</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服从管理方案：</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评委根据供应商提供的短保面包系列货品服从采购人管理方案（包括但不限于与采购人及各主管部门的日常沟通、配合验收，服从现场管理等）进行综合评分：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①方案描述清晰、详细、健全、有针对性，得</w:t>
            </w:r>
            <w:r>
              <w:rPr>
                <w:rFonts w:ascii="宋体" w:hAnsi="宋体" w:eastAsia="宋体" w:cs="宋体"/>
                <w:color w:val="auto"/>
                <w:sz w:val="21"/>
                <w:highlight w:val="none"/>
              </w:rPr>
              <w:t xml:space="preserve">5</w:t>
            </w:r>
            <w:r>
              <w:rPr>
                <w:rFonts w:ascii="宋体" w:hAnsi="宋体" w:eastAsia="宋体" w:cs="宋体"/>
                <w:color w:val="auto"/>
                <w:sz w:val="22"/>
                <w:highlight w:val="none"/>
              </w:rPr>
              <w:t xml:space="preserve">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②方案描述清晰、内容较为完善，得</w:t>
            </w:r>
            <w:r>
              <w:rPr>
                <w:rFonts w:ascii="宋体" w:hAnsi="宋体" w:eastAsia="宋体" w:cs="宋体"/>
                <w:color w:val="auto"/>
                <w:sz w:val="21"/>
                <w:highlight w:val="none"/>
              </w:rPr>
              <w:t xml:space="preserve">3</w:t>
            </w:r>
            <w:r>
              <w:rPr>
                <w:rFonts w:ascii="宋体" w:hAnsi="宋体" w:eastAsia="宋体" w:cs="宋体"/>
                <w:color w:val="auto"/>
                <w:sz w:val="22"/>
                <w:highlight w:val="none"/>
              </w:rPr>
              <w:t xml:space="preserve">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③内容不全、有所欠缺，最多得1分。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w:t>
            </w:r>
            <w:r/>
          </w:p>
        </w:tc>
      </w:tr>
      <w:tr>
        <w:trPr>
          <w:trHeight w:val="31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14</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供应商优势和特色服务：</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评委根据供应商提供短保面包系列货品服务所具备的优势以及供应商为采购人提供特色服务（包括但不限于活动促销、各类活动支持等）进行综合评分：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①</w:t>
            </w:r>
            <w:r>
              <w:rPr>
                <w:rFonts w:ascii="宋体" w:hAnsi="宋体" w:eastAsia="宋体" w:cs="宋体"/>
                <w:color w:val="auto"/>
                <w:sz w:val="22"/>
                <w:highlight w:val="none"/>
              </w:rPr>
              <w:t xml:space="preserve">优势突出，提供特色服务内容完善合理、科学性及可实施性强得4分。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②</w:t>
            </w:r>
            <w:r>
              <w:rPr>
                <w:rFonts w:ascii="宋体" w:hAnsi="宋体" w:eastAsia="宋体" w:cs="宋体"/>
                <w:color w:val="auto"/>
                <w:sz w:val="22"/>
                <w:highlight w:val="none"/>
              </w:rPr>
              <w:t xml:space="preserve">优势较为突出，提供特色服务内容较为合理，科学性及可实施性较强，得</w:t>
            </w:r>
            <w:r>
              <w:rPr>
                <w:rFonts w:ascii="Times New Roman" w:hAnsi="Times New Roman" w:eastAsia="Times New Roman" w:cs="Times New Roman"/>
                <w:color w:val="auto"/>
                <w:sz w:val="22"/>
                <w:highlight w:val="none"/>
              </w:rPr>
              <w:t xml:space="preserve">2</w:t>
            </w:r>
            <w:r>
              <w:rPr>
                <w:rFonts w:ascii="宋体" w:hAnsi="宋体" w:eastAsia="宋体" w:cs="宋体"/>
                <w:color w:val="auto"/>
                <w:sz w:val="22"/>
                <w:highlight w:val="none"/>
              </w:rPr>
              <w:t xml:space="preserve">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③</w:t>
            </w:r>
            <w:r>
              <w:rPr>
                <w:rFonts w:ascii="宋体" w:hAnsi="宋体" w:eastAsia="宋体" w:cs="宋体"/>
                <w:color w:val="auto"/>
                <w:sz w:val="22"/>
                <w:highlight w:val="none"/>
              </w:rPr>
              <w:t xml:space="preserve">优势一般，提供特色服务内容基本合理，科学性及可实施性一般的，最多得</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2"/>
                <w:highlight w:val="none"/>
              </w:rPr>
              <w:t xml:space="preserve">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④</w:t>
            </w:r>
            <w:r>
              <w:rPr>
                <w:rFonts w:ascii="宋体" w:hAnsi="宋体" w:eastAsia="宋体" w:cs="宋体"/>
                <w:color w:val="auto"/>
                <w:sz w:val="22"/>
                <w:highlight w:val="none"/>
              </w:rPr>
              <w:t xml:space="preserve">未提供不得分。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【采购包8：即食鲜食系列】</w:t>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812"/>
        <w:gridCol w:w="7094"/>
        <w:gridCol w:w="668"/>
      </w:tblGrid>
      <w:tr>
        <w:trPr>
          <w:trHeight w:val="446"/>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序号</w:t>
            </w:r>
            <w:r/>
          </w:p>
        </w:tc>
        <w:tc>
          <w:tcPr>
            <w:gridSpan w:val="2"/>
            <w:tcMar>
              <w:left w:w="108" w:type="dxa"/>
              <w:top w:w="0" w:type="dxa"/>
              <w:right w:w="108" w:type="dxa"/>
              <w:bottom w:w="0" w:type="dxa"/>
            </w:tcMar>
            <w:tcW w:w="7906"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评审细则</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分值</w:t>
            </w:r>
            <w:r/>
          </w:p>
        </w:tc>
      </w:tr>
      <w:tr>
        <w:trPr>
          <w:trHeight w:val="1192"/>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w:t>
            </w:r>
            <w:r/>
          </w:p>
        </w:tc>
        <w:tc>
          <w:tcPr>
            <w:gridSpan w:val="2"/>
            <w:tcMar>
              <w:left w:w="108" w:type="dxa"/>
              <w:top w:w="0" w:type="dxa"/>
              <w:right w:w="108" w:type="dxa"/>
              <w:bottom w:w="0" w:type="dxa"/>
            </w:tcMar>
            <w:tcW w:w="7906"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采用低价优先法计算，即满足招标文件要求且投标总价最低的投标报价为评标基准价，其价格分为满分。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其他供应商的价格分统一按照下列公式计算：</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投标报价得分=（评标基准价/投标总价）×40（小数点保留两位）</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40</w:t>
            </w:r>
            <w:r/>
          </w:p>
        </w:tc>
      </w:tr>
      <w:tr>
        <w:trPr>
          <w:trHeight w:val="90"/>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配送车辆：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供应商具有自有或租赁专用配送冷链车的，每提供一台车辆得2分，最多得4分。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①若为自有车辆：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1）需提供车辆照片；</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2）有效的行驶证复印件，行驶证上显示的所有人需与供应商名称一致。</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②若为租用车辆：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1）需提供车辆照片；</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3）有效的行驶证复印件，行驶证上显示的所有人需与出租方名称一致</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813"/>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仓储能力：</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供应商具有自有冷鲜仓库或租赁冷鲜仓库证明。</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仓库面积≥2</w:t>
            </w:r>
            <w:r>
              <w:rPr>
                <w:rFonts w:ascii="宋体" w:hAnsi="宋体" w:eastAsia="宋体" w:cs="宋体"/>
                <w:color w:val="auto"/>
                <w:sz w:val="21"/>
                <w:highlight w:val="none"/>
              </w:rPr>
              <w:t xml:space="preserve">00㎡，得</w:t>
            </w:r>
            <w:r>
              <w:rPr>
                <w:rFonts w:ascii="宋体" w:hAnsi="宋体" w:eastAsia="宋体" w:cs="宋体"/>
                <w:color w:val="auto"/>
                <w:sz w:val="22"/>
                <w:highlight w:val="none"/>
              </w:rPr>
              <w:t xml:space="preserve">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面积＜2</w:t>
            </w:r>
            <w:r>
              <w:rPr>
                <w:rFonts w:ascii="宋体" w:hAnsi="宋体" w:eastAsia="宋体" w:cs="宋体"/>
                <w:color w:val="auto"/>
                <w:sz w:val="21"/>
                <w:highlight w:val="none"/>
              </w:rPr>
              <w:t xml:space="preserve">00㎡，得2分；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未提供不得分。 </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①若为自有仓库：</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1）需提供仓库的相关照片；</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2）仓库产权证明复印件。</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②若为租赁仓库：</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1）需提供仓库的相关照片；</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2）截至投标日仍在合同期内的租赁协议复印件；若现有合同租赁期未覆盖项目周期，供应商需额外承诺租用仓库的租赁期可完全覆盖本项目周期，提供承诺书，格式自拟；</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31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项目团队：</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需提供人员配置名单（需包含具体负责事项）、有效期内健康证、劳动合同以及投标截止时间前近半年（</w:t>
            </w:r>
            <w:r>
              <w:rPr>
                <w:rFonts w:hint="eastAsia" w:ascii="宋体" w:hAnsi="宋体" w:eastAsia="宋体" w:cs="宋体"/>
                <w:b/>
                <w:color w:val="auto"/>
                <w:sz w:val="22"/>
                <w:highlight w:val="none"/>
                <w:lang w:eastAsia="zh-CN"/>
              </w:rPr>
              <w:t xml:space="preserve">2026年1月-2026年6月</w:t>
            </w:r>
            <w:r>
              <w:rPr>
                <w:rFonts w:ascii="宋体" w:hAnsi="宋体" w:eastAsia="宋体" w:cs="宋体"/>
                <w:b/>
                <w:color w:val="auto"/>
                <w:sz w:val="22"/>
                <w:highlight w:val="none"/>
              </w:rPr>
              <w:t xml:space="preserve">）内任意一个月的社会保险证明。</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w:t>
            </w:r>
            <w:r/>
          </w:p>
        </w:tc>
      </w:tr>
      <w:tr>
        <w:trPr>
          <w:trHeight w:val="210"/>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企业业绩：</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供应商自2023年1月1日（含）以来：</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具有类似品类供货项目业绩的，每提供1个业绩得1分，最多得4分。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需提供合同复印件，时间以合同签订日期或合同期限起始时间为准，未提供不得分，同一采购单位不重复计分。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699"/>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保险要求：</w:t>
            </w:r>
            <w:r>
              <w:rPr>
                <w:rFonts w:ascii="宋体" w:hAnsi="宋体" w:eastAsia="宋体" w:cs="宋体"/>
                <w:color w:val="auto"/>
                <w:sz w:val="22"/>
                <w:highlight w:val="none"/>
              </w:rPr>
              <w:t xml:space="preserve"> </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保险金额≥500万元的得4分；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500万元＞保险金额≥200万元的得2分；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其他不得分。</w:t>
            </w:r>
            <w:r>
              <w:rPr>
                <w:rFonts w:ascii="宋体" w:hAnsi="宋体" w:eastAsia="宋体" w:cs="宋体"/>
                <w:color w:val="auto"/>
                <w:sz w:val="21"/>
                <w:highlight w:val="none"/>
              </w:rPr>
              <w:t xml:space="preserve"> </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注：需提供以下证明材料并加盖投标单位公章：</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①若现已购买保险：</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②若承诺中标后（合同签订前）购买：</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提供承诺书。（承诺书格式详见招标文件第六章附件七），未提供或未按要求提供不得分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31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7</w:t>
            </w:r>
            <w:r/>
          </w:p>
        </w:tc>
        <w:tc>
          <w:tcPr>
            <w:gridSpan w:val="2"/>
            <w:tcMar>
              <w:left w:w="108" w:type="dxa"/>
              <w:top w:w="0" w:type="dxa"/>
              <w:right w:w="108" w:type="dxa"/>
              <w:bottom w:w="0" w:type="dxa"/>
            </w:tcMar>
            <w:tcW w:w="7906"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承诺：</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供应商每提供一项以下服务承诺得1分，本项最多得4分，未提供或提供不全的不得分。</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宋体" w:hAnsi="宋体" w:eastAsia="宋体" w:cs="宋体"/>
                <w:b/>
                <w:color w:val="auto"/>
                <w:sz w:val="22"/>
                <w:highlight w:val="none"/>
              </w:rPr>
              <w:t xml:space="preserve">（提供承诺书并加盖投标单位公章，承诺书格式自拟）</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 </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宋体" w:hAnsi="宋体" w:eastAsia="宋体" w:cs="宋体"/>
                <w:b/>
                <w:color w:val="auto"/>
                <w:sz w:val="22"/>
                <w:highlight w:val="none"/>
              </w:rPr>
              <w:t xml:space="preserve">（提供承诺书并加盖投标单位公章，承诺书格式自拟）</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 </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宋体" w:hAnsi="宋体" w:eastAsia="宋体" w:cs="宋体"/>
                <w:b/>
                <w:color w:val="auto"/>
                <w:sz w:val="22"/>
                <w:highlight w:val="none"/>
              </w:rPr>
              <w:t xml:space="preserve">（提供承诺书并加盖投标单位公章，承诺书格式自拟）</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 </w:t>
            </w:r>
            <w:r/>
          </w:p>
          <w:p>
            <w:pPr>
              <w:ind w:left="252" w:right="0" w:hanging="21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④供应商承诺严格遵守采购人单位的各项规章制度，服从采购人管理，不与采购人单位或人员发生冲突或其他不文明行为。</w:t>
            </w:r>
            <w:r>
              <w:rPr>
                <w:rFonts w:ascii="宋体" w:hAnsi="宋体" w:eastAsia="宋体" w:cs="宋体"/>
                <w:b/>
                <w:color w:val="auto"/>
                <w:sz w:val="22"/>
                <w:highlight w:val="none"/>
              </w:rPr>
              <w:t xml:space="preserve">（提供承诺书并加盖投标单位公章，承诺书格式自拟）</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 </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r>
        <w:trPr>
          <w:trHeight w:val="31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8</w:t>
            </w:r>
            <w:r/>
          </w:p>
        </w:tc>
        <w:tc>
          <w:tcPr>
            <w:tcMar>
              <w:left w:w="108" w:type="dxa"/>
              <w:top w:w="0" w:type="dxa"/>
              <w:right w:w="108" w:type="dxa"/>
              <w:bottom w:w="0" w:type="dxa"/>
            </w:tcMar>
            <w:tcW w:w="812" w:type="dxa"/>
            <w:vAlign w:val="center"/>
            <w:vMerge w:val="restart"/>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实施方案</w:t>
            </w:r>
            <w:r/>
          </w:p>
        </w:tc>
        <w:tc>
          <w:tcPr>
            <w:tcMar>
              <w:left w:w="108" w:type="dxa"/>
              <w:top w:w="0" w:type="dxa"/>
              <w:right w:w="108" w:type="dxa"/>
              <w:bottom w:w="0" w:type="dxa"/>
            </w:tcMar>
            <w:tcW w:w="7094"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采购渠道方案：</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评委根据供应商提供的即食鲜食系列货品供货渠道（可提供产品来源渠道说明或证明、产品品牌质量或经销资质、进货发票或合同等相关证明材料）进行综合评分：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①所供货品具有可追溯性供货渠道正规，质量符合采购要求得5分；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②供货渠道较正规，质量较符合采购要求得3分；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③供货渠道不清晰，质量基本符合采购要求得1分；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④未提供方案的不得分。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456"/>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9</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配送服务方案：</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评委根据供应商提供的即食鲜食系列货品配送服务方案（包括但不限于配送能力、服务流程、库存不足解决方案以及配送过程中安全保障措施等）进行综合评分：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①方案全面合理、可操作性强且有不同于其他供应商特色举措的得5分；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②方案齐全、具有实际可操作性的得3分；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③方案一般、实际可操作性一般的得1分；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④未提供方案的不得分。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456"/>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10</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0" w:right="0" w:firstLine="0"/>
              <w:jc w:val="both"/>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货品退换方案：</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评委根据供应商提供的即食鲜食系列货品退换方案进行综合评分：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①方案描述清晰、详细、保障措施健全、有针对性，得5分；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②方案描述清晰、保障措施得当，得3分；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③内容不全、有所欠缺，最多得1分。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1220"/>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应急事件处理方案：</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评委根据投标人提供的即食鲜食系列货品应急事件处理方案（包括但不限于恶劣天气供应、紧急补货处理、疫情防范措施、售后服务等）进行综合评分：</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①方案全面合理、时效性强的得5分；</w:t>
            </w:r>
            <w:r>
              <w:rPr>
                <w:rFonts w:ascii="宋体" w:hAnsi="宋体" w:eastAsia="宋体" w:cs="宋体"/>
                <w:color w:val="auto"/>
                <w:sz w:val="21"/>
                <w:highlight w:val="none"/>
              </w:rPr>
              <w:t xml:space="preserve"> </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②方案较齐全、时效性较强的得3分； </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③方案一般、实际可操作性一般的得1分； </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④未提供方案的不得分。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1220"/>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12</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食品安全事故处置方案：</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评委根据投标人提供的因即食鲜食系列货品质量原因发生食品安全事故的处置方案进行综合评分：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①方案描述清晰、详细、处置措施健全、应急反应速度快、安抚工作职责明确、善后措施完善、有针对性，得5分；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②方案描述清晰、处置措施得当、安抚工作职责明确、善后措施合理，得3分；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③内容不全、有所欠缺，最多得1分。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④未提供方案不得分。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w:t>
            </w:r>
            <w:r/>
          </w:p>
        </w:tc>
      </w:tr>
      <w:tr>
        <w:trPr>
          <w:trHeight w:val="31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13</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服从管理方案：</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评委根据供应商提供的即食鲜食系列货品服从采购人管理方案（包括但不限于与采购人及各主管部门的日常沟通、配合验收，服从现场管理等）进行综合评分：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①方案描述清晰、详细、健全、有针对性，得</w:t>
            </w:r>
            <w:r>
              <w:rPr>
                <w:rFonts w:ascii="宋体" w:hAnsi="宋体" w:eastAsia="宋体" w:cs="宋体"/>
                <w:color w:val="auto"/>
                <w:sz w:val="21"/>
                <w:highlight w:val="none"/>
              </w:rPr>
              <w:t xml:space="preserve">5</w:t>
            </w:r>
            <w:r>
              <w:rPr>
                <w:rFonts w:ascii="宋体" w:hAnsi="宋体" w:eastAsia="宋体" w:cs="宋体"/>
                <w:color w:val="auto"/>
                <w:sz w:val="22"/>
                <w:highlight w:val="none"/>
              </w:rPr>
              <w:t xml:space="preserve">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②方案描述清晰、内容较为完善，得</w:t>
            </w:r>
            <w:r>
              <w:rPr>
                <w:rFonts w:ascii="宋体" w:hAnsi="宋体" w:eastAsia="宋体" w:cs="宋体"/>
                <w:color w:val="auto"/>
                <w:sz w:val="21"/>
                <w:highlight w:val="none"/>
              </w:rPr>
              <w:t xml:space="preserve">3</w:t>
            </w:r>
            <w:r>
              <w:rPr>
                <w:rFonts w:ascii="宋体" w:hAnsi="宋体" w:eastAsia="宋体" w:cs="宋体"/>
                <w:color w:val="auto"/>
                <w:sz w:val="22"/>
                <w:highlight w:val="none"/>
              </w:rPr>
              <w:t xml:space="preserve">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③内容不全、有所欠缺，最多得1分。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④未提供不得分。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w:t>
            </w:r>
            <w:r/>
          </w:p>
        </w:tc>
      </w:tr>
      <w:tr>
        <w:trPr>
          <w:trHeight w:val="314"/>
        </w:trPr>
        <w:tc>
          <w:tcPr>
            <w:tcMar>
              <w:left w:w="108" w:type="dxa"/>
              <w:top w:w="0" w:type="dxa"/>
              <w:right w:w="108" w:type="dxa"/>
              <w:bottom w:w="0" w:type="dxa"/>
            </w:tcMar>
            <w:tcW w:w="780"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14</w:t>
            </w:r>
            <w:r/>
          </w:p>
        </w:tc>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7094" w:type="dxa"/>
            <w:vAlign w:val="center"/>
            <w:textDirection w:val="lrTb"/>
            <w:noWrap w:val="false"/>
          </w:tcPr>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供应商优势和特色服务：</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评委根据供应商提供即食鲜食系列货品服务所具备的优势以及供应商为采购人提供特色服务（包括但不限于活动促销、各类活动支持等）进行综合评分：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①</w:t>
            </w:r>
            <w:r>
              <w:rPr>
                <w:rFonts w:ascii="宋体" w:hAnsi="宋体" w:eastAsia="宋体" w:cs="宋体"/>
                <w:color w:val="auto"/>
                <w:sz w:val="22"/>
                <w:highlight w:val="none"/>
              </w:rPr>
              <w:t xml:space="preserve">优势突出，提供特色服务内容完善合理、科学性及可实施性强得4分。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②</w:t>
            </w:r>
            <w:r>
              <w:rPr>
                <w:rFonts w:ascii="宋体" w:hAnsi="宋体" w:eastAsia="宋体" w:cs="宋体"/>
                <w:color w:val="auto"/>
                <w:sz w:val="22"/>
                <w:highlight w:val="none"/>
              </w:rPr>
              <w:t xml:space="preserve">优势较为突出，提供特色服务内容较为合理，科学性及可实施性较强，得</w:t>
            </w:r>
            <w:r>
              <w:rPr>
                <w:rFonts w:ascii="Times New Roman" w:hAnsi="Times New Roman" w:eastAsia="Times New Roman" w:cs="Times New Roman"/>
                <w:color w:val="auto"/>
                <w:sz w:val="22"/>
                <w:highlight w:val="none"/>
              </w:rPr>
              <w:t xml:space="preserve">2</w:t>
            </w:r>
            <w:r>
              <w:rPr>
                <w:rFonts w:ascii="宋体" w:hAnsi="宋体" w:eastAsia="宋体" w:cs="宋体"/>
                <w:color w:val="auto"/>
                <w:sz w:val="22"/>
                <w:highlight w:val="none"/>
              </w:rPr>
              <w:t xml:space="preserve">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③</w:t>
            </w:r>
            <w:r>
              <w:rPr>
                <w:rFonts w:ascii="宋体" w:hAnsi="宋体" w:eastAsia="宋体" w:cs="宋体"/>
                <w:color w:val="auto"/>
                <w:sz w:val="22"/>
                <w:highlight w:val="none"/>
              </w:rPr>
              <w:t xml:space="preserve">优势一般，提供特色服务内容基本合理，科学性及可实施性一般的，最多得</w:t>
            </w:r>
            <w:r>
              <w:rPr>
                <w:rFonts w:ascii="Times New Roman" w:hAnsi="Times New Roman" w:eastAsia="Times New Roman" w:cs="Times New Roman"/>
                <w:color w:val="auto"/>
                <w:sz w:val="21"/>
                <w:highlight w:val="none"/>
              </w:rPr>
              <w:t xml:space="preserve">1</w:t>
            </w:r>
            <w:r>
              <w:rPr>
                <w:rFonts w:ascii="宋体" w:hAnsi="宋体" w:eastAsia="宋体" w:cs="宋体"/>
                <w:color w:val="auto"/>
                <w:sz w:val="22"/>
                <w:highlight w:val="none"/>
              </w:rPr>
              <w:t xml:space="preserve">分。</w:t>
            </w:r>
            <w:r/>
          </w:p>
          <w:p>
            <w:pPr>
              <w:ind w:left="42"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④</w:t>
            </w:r>
            <w:r>
              <w:rPr>
                <w:rFonts w:ascii="宋体" w:hAnsi="宋体" w:eastAsia="宋体" w:cs="宋体"/>
                <w:color w:val="auto"/>
                <w:sz w:val="22"/>
                <w:highlight w:val="none"/>
              </w:rPr>
              <w:t xml:space="preserve">未提供不得分。</w:t>
            </w:r>
            <w:r/>
          </w:p>
        </w:tc>
        <w:tc>
          <w:tcPr>
            <w:tcMar>
              <w:left w:w="108" w:type="dxa"/>
              <w:top w:w="0" w:type="dxa"/>
              <w:right w:w="108" w:type="dxa"/>
              <w:bottom w:w="0" w:type="dxa"/>
            </w:tcMar>
            <w:tcW w:w="668" w:type="dxa"/>
            <w:vAlign w:val="center"/>
            <w:textDirection w:val="lrTb"/>
            <w:noWrap w:val="false"/>
          </w:tcPr>
          <w:p>
            <w:pPr>
              <w:ind w:left="42"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说明：</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一、小微企业的价格扣除</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2.价格扣除比例或者价格分加分比例对小型企业和微型企业同等对待，不作区分。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二、监狱和戒毒企业的价格扣除</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1.本项目对监狱和戒毒企业（简称监狱企业）视同小型、微型企业，享受相同的价格扣除优惠政策。</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2.监狱企业需提供由省级以上监狱管理局、戒毒管理局（含新疆生产建设兵团）出具的属于监狱企业的证明文件。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3.监狱企业标准请参照《关于政府采购支持监狱企业发展有关问题的通知》（财库〔2014〕68号）。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三、残疾人福利性单位的价格扣除</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1.本项目对残疾人福利性单位视同小型、微型企业，享受相同的价格扣除优惠政策。</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2.残疾人福利性单位需按照招标文件的要求提供《残疾人福利性单位声明函》。</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3.残疾人福利性单位标准请参照《关于促进残疾人就业政府采购政策的通知》（财库〔2017〕141号）。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四、监狱企业、残疾人福利性单位属于小型、微型企业的，不重复享受政策。</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五、采购本国产品的支持政策</w:t>
      </w:r>
      <w:r>
        <w:rPr>
          <w:rFonts w:ascii="宋体" w:hAnsi="宋体" w:eastAsia="宋体" w:cs="宋体"/>
          <w:b/>
          <w:color w:val="auto"/>
          <w:sz w:val="22"/>
          <w:highlight w:val="none"/>
        </w:rPr>
        <w:t xml:space="preserve">（</w:t>
      </w:r>
      <w:r>
        <w:rPr>
          <w:rFonts w:hint="eastAsia" w:ascii="宋体" w:hAnsi="宋体" w:eastAsia="宋体" w:cs="宋体"/>
          <w:b/>
          <w:color w:val="auto"/>
          <w:sz w:val="22"/>
          <w:highlight w:val="none"/>
          <w:lang w:val="en-US" w:eastAsia="zh-CN"/>
        </w:rPr>
        <w:t xml:space="preserve">本次采购不适用</w:t>
      </w:r>
      <w:r>
        <w:rPr>
          <w:rFonts w:ascii="宋体" w:hAnsi="宋体" w:eastAsia="宋体" w:cs="宋体"/>
          <w:b/>
          <w:color w:val="auto"/>
          <w:sz w:val="22"/>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及附件”中的“目录四、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3、供应商需按照招标文件的要求提供《关于符合本国产品标准的声明函》（以下简称《声明函》），如不提供将不享受本国产品价格评审优惠。</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eastAsia="宋体" w:cs="宋体"/>
          <w:b/>
          <w:color w:val="auto"/>
          <w:sz w:val="22"/>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第四章 招标项目的技术规格</w:t>
      </w:r>
      <w:r>
        <w:rPr>
          <w:rFonts w:ascii="宋体" w:hAnsi="宋体" w:eastAsia="宋体" w:cs="宋体"/>
          <w:color w:val="auto"/>
          <w:sz w:val="22"/>
          <w:highlight w:val="none"/>
        </w:rPr>
        <w:t xml:space="preserve">、</w:t>
      </w:r>
      <w:r>
        <w:rPr>
          <w:rFonts w:ascii="宋体" w:hAnsi="宋体" w:eastAsia="宋体" w:cs="宋体"/>
          <w:b/>
          <w:color w:val="auto"/>
          <w:sz w:val="36"/>
          <w:highlight w:val="none"/>
        </w:rPr>
        <w:t xml:space="preserve">要求和数量等</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注：本章节需在《技术条款偏离表》或《商务条款偏离表》中进行响应，其中加“★”内容为实质性要求，投标人未对实质性要求明确响应或有负偏离的，按无效投标处理。</w:t>
      </w:r>
      <w:r/>
    </w:p>
    <w:p>
      <w:pPr>
        <w:pStyle w:val="643"/>
        <w:ind w:left="0" w:right="0" w:firstLine="0"/>
        <w:jc w:val="center"/>
        <w:spacing w:before="260" w:after="260" w:line="55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（第一部分 项目总则）</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一、项目简介：</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为规范南京医科大学超市货品及后勤物资的采购，确保货品采购公平、公正、公开及采购价格合理，质量符合食品卫生安全及相关质量要求。现拟通过公开招标的方式确定所需家数供应及配送下列货品的供应商。</w:t>
      </w:r>
      <w:r/>
    </w:p>
    <w:p>
      <w:pPr>
        <w:pStyle w:val="643"/>
        <w:ind w:left="0" w:right="0" w:firstLine="0"/>
        <w:jc w:val="center"/>
        <w:spacing w:before="260" w:after="260" w:line="55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★（第二部分 技术部分）</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二、采购需求清单及质量标准：</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采购包3：矿泉水、碳酸饮料系列。选取2家供应商</w:t>
      </w:r>
      <w:r/>
    </w:p>
    <w:p>
      <w:pPr>
        <w:ind w:left="0" w:right="0" w:firstLine="482"/>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（一）货品标准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1.质量标准：符合 GB 7101、GB/T 10792 等国家标准。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2.剩余保质期不得低于货品标示总保质期的三分之二。</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（二）配送要求</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1、中标供应商必须严格按照采购人规定的时间送至指定地点，并安排专人做好入库、上架等工作。</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2、采购人发现质量等问题，中标供应商必须按要求及时予以解决；</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3、运输工具、配送人员、包装材料和货品运输途中的防护措施必须符合相关规定和要求；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4、每次供货时，中标供应商须向采购人提供当批次符合国家及行业标准的有效检测或检验报告、产品合格证及供货清单，且所有资料必须加盖供应商公章，采购人将对货物标签完整性及新鲜度进行核查。</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5、配送车辆和人员进入学校，必须遵守学校有关交通、安全等方面的要求。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6、货品的标签标识内容必须真实，符合国家法律法规的规定，并符合相应产品（标签）标准的要求，外包装上必须明确标注规格、型号、生产日期、保质期、生产商等信息。</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7、采购人如有特殊需求等情况，供应商必须积极配合。</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（三）验收要求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4、所有因货物质量问题导致的食品安全或食物中毒责任，由该供应商承担全部法律责任与经济损失；采购人有权立即终止合同并追责；</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5、中标供应商应完全尊重采购人的行业惯例和要求，确保所供应食品中不出现违禁添加剂。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（四）包装和运输要求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1、包装要求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1.1包装应符合相应卫生标准的包装材料，包装材料应密封、防潮；且满足标准中关于丙烯腈、苯乙烯、氯乙烯等特异性指标的限量要求，避免有害物质迁移至食品中；</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1.2若采用包装袋，则包装袋应坚固结实，封口应严密；</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1.3包装箱完整无损，箱体上有明确的品牌、生产厂家、厂址、生产日期、产品规格等。</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2.储存和运输要求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2.1应储存在卫生、阴凉、干燥、避光的地方、不得与有害、有毒物品一同存放。</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2.2运输中应注意安全，防止日晒、雨淋、渗漏、污染和标签脱落。保持车辆内外的清洁、卫生。不得使用装运过有毒、有害物质的车辆。</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2.3必须全程使用清洁卫生的专用运输车辆配送，并采取防晒、防雨措施，保证货品的卫生与安全。</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（五）服务要求</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4、中标供应商所送货品不符合相关质量标准，或使用方发现所送货品有明显质量问题，供应商需无条件退货，并及时补货，保证不影响超市供应，情节严重的采购人有权单方终止合同。</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5、配送企业必须按所填订单配送，按规定时间送达指定地点，确保货品新鲜、优质、安全、可靠。</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11、采购人根据实际需求向供应商下达订单，供应商须严格按照采购人要求的品种、数量及时间进行轮换送货。</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13、采购人有权在供应商中标后对其进行实地考察。</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采购包6：冷饮、速冻食品系列。选取1家供应商</w:t>
      </w:r>
      <w:r/>
    </w:p>
    <w:p>
      <w:pPr>
        <w:ind w:left="0" w:right="0" w:firstLine="482"/>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（一）货品标准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1、符合 GB 2759 等国家标准。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2、剩余保质期不得低于货品标示总保质期的三分之二。</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（二）配送要求</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1、中标供应商必须严格按照采购人规定的时间送至指定地点，并安排专人做好入库、上架等工作。</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2、采购人发现质量等问题，中标供应商必须按要求及时予以解决；</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3、运输工具、配送人员、包装材料和货品运输途中的防护措施必须符合相关规定和要求；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每次供货时，中标供应商须向采购人提供当批次符合国家及行业标准的有效检测或检验报告、冷链运输记录、产品合格证及供货清单，且所有资料必须加盖供应商公章，采购人将对货物标签完整性及新鲜度进行核查。</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5、配送车辆和人员进入学校，必须遵守学校有关交通、安全等方面的要求。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6、货品的标签标识内容必须真实，符合国家法律法规的规定，并符合相应产品（标签）标准的要求，外包装上必须明确标注规格、型号、生产日期、保质期、生产商等信息。</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7、采购人如有特殊需求等情况，供应商必须积极配合。</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（三）验收要求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4、所有因货物质量问题导致的食品安全或食物中毒责任，由该供应商承担全部法律责任与经济损失；采购人有权立即终止合同并追责；</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5、中标供应商应完全尊重采购人的行业惯例和要求，确保所供应食品中不出现违禁添加剂。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（四）包装和运输要求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1、包装要求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1.1包装应符合相应卫生标准的包装材料，包装材料应密封、防潮；</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1.2若采用包装袋，则包装袋应坚固结实，封口应严密；</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1.3包装箱完整无损，箱体上有明确的品牌、生产厂家、厂址、生产日期、产品规格等。</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2.储存和运输要求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2.1应储存在卫生、阴凉、干燥、避光的地方、不得与有害、有毒物品一同存放。</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2.2运输中应注意安全，防止日晒、雨淋、渗漏、污染和标签脱落。保持车辆内外的清洁、卫生。不得使用装运过有毒、有害物质的车辆。</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2.3必须全程使用清洁卫生的专用冷链运输车辆配送，并采取防晒、防雨措施，保证货品的卫生与安全。</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（五）服务要求</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4、中标供应商所送货品不符合相关质量标准，或使用方发现所送货品有明显质量问题，供应商需无条件退货，并及时补货，保证不影响超市供应，情节严重的采购人有权单方终止合同。</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5、配送企业必须按所填订单配送，按规定时间送达指定地点，确保货品新鲜、优质、安全、可靠。</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11、采购人根据实际需求向供应商下达订单，供应商须严格按照采购人要求的品种、数量及时间进行轮换送货。</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13、采购人有权在供应商中标后对其进行实地考察。</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采购包7：短保面包系列。选取2家供应商</w:t>
      </w:r>
      <w:r/>
    </w:p>
    <w:p>
      <w:pPr>
        <w:ind w:left="0" w:right="0" w:firstLine="482"/>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（一）货品标准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1、符合 GB 7099 等国家标准。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2、剩余保质期不得低于总保质期的80%。</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（二）配送要求</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1、中标供应商必须严格按照采购人规定的时间送至指定地点，并安排专人做好入库、上架等工作。</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2、采购人发现质量等问题，中标供应商必须按要求及时予以解决；</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3、运输工具、配送人员、包装材料和货品运输途中的防护措施必须符合相关规定和要求；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4、每次供货时，中标供应商须向采购人提供当批次符合国家及行业标准的有效检测或检验报告、产品合格证及供货清单，且所有资料必须加盖供应商公章，采购人将对货物标签完整性及新鲜度进行核查。</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5、配送车辆和人员进入学校，必须遵守学校有关交通、安全等方面的要求。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6、货品的标签标识内容必须真实，符合国家法律法规的规定，并符合相应产品（标签）标准的要求，外包装上必须明确标注规格、型号、生产日期、保质期、生产商等信息。</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7、采购人如有特殊需求等情况，供应商必须积极配合。</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（三）验收要求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4、所有因货物质量问题导致的食品安全或食物中毒责任，由该供应商承担全部法律责任与经济损失；采购人有权立即终止合同并追责；</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5、中标供应商应完全尊重采购人的行业惯例和要求，确保所供应食品中不出现违禁添加剂。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（四）包装和运输要求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1、包装要求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1.1包装应符合相应卫生标准的包装材料，包装材料应密封、防潮；并且满足标准中关于丙烯腈、苯乙烯、氯乙烯等特异性指标的限量要求，避免有害物质迁移至食品中；</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1.2若采用包装袋，则包装袋应坚固结实，封口应严密；</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1.3包装箱完整无损，箱体上有明确的品牌、生产厂家、厂址、生产日期、产品规格等。</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2.储存和运输要求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2.1应储存在卫生、阴凉、干燥、避光的地方、不得与有害、有毒物品一同存放。</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2.2运输中应注意安全，防止日晒、雨淋、渗漏、污染和标签脱落。保持车辆内外的清洁、卫生。不得使用装运过有毒、有害物质的车辆。</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2.3必须全程使用清洁卫生的专用运输车辆配送，并采取防晒、防雨措施，保证货物的卫生与安全。</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（五）服务要求</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4、中标供应商所送货物不符合相关质量标准，或使用方发现所送货物有明显质量问题，供应商需无条件退货，并及时补货，保证不影响超市供应，情节严重的采购人有权单方终止合同。</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5、配送企业必须按所填订单配送，按规定时间送达指定地点，确保食品新鲜、优质、安全、可靠。</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11、采购人根据实际需求向供应商下达订单，供应商须严格按照采购人要求的品种、数量及时间进行轮换送货。</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13、采购人有权在供应商中标后对其进行实地考察。</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采购包8：即食鲜食系列。选取1家供应商</w:t>
      </w:r>
      <w:r/>
    </w:p>
    <w:p>
      <w:pPr>
        <w:ind w:left="0" w:right="0" w:firstLine="482"/>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（一）货品标准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1、符合 GB 2760、GB 29921 等食品安全国家标准。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2、剩余保质期不得低于总保质期的80%。</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（二）配送要求</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1、中标供应商必须严格按照采购人规定的时间送至指定地点，并安排专人做好入库、上架等工作。</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2、采购人发现质量等问题，中标供应商必须按要求及时予以解决；</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3、运输工具、配送人员、包装材料和货物运输途中的防护措施必须符合相关规定和要求；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每次供货时，中标供应商须向采购人提供当批次符合国家及行业标准的有效检测或检验报告、冷链运输记录、产品合格证及供货清单，且所有资料必须加盖供应商公章，采购人将对货物标签完整性及新鲜度进行核查。</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5、配送车辆和人员进入学校，必须遵守学校有关交通、安全等方面的要求。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6、货物的标签标识内容必须真实，符合国家法律法规的规定，并符合相应产品（标签）标准的要求，外包装上必须明确标注规格、型号、生产日期、保质期、生产商等信息。</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7、采购人如有特殊需求等情况，供应商必须积极配合。</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（三）验收要求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4、所有因货物质量问题导致的食品安全或食物中毒责任，由该供应商承担全部法律责任与经济损失；采购人有权立即终止合同并追责；</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5、中标供应商应完全尊重采购人的行业惯例和要求，确保所供应食品中不出现违禁添加剂。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（四）包装和运输要求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1、包装要求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1.1包装应符合相应卫生标准的包装材料，包装材料应密封、防潮；并且满足标准中关于丙烯腈、苯乙烯、氯乙烯等特异性指标的限量要求，避免有害物质迁移至食品中；</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1.2若采用包装袋，则包装袋应坚固结实，封口应严密；</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1.3包装箱完整无损，箱体上有明确的品牌、生产厂家、厂址、生产日期、产品规格等。</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2.储存和运输要求</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2.1应储存在卫生、阴凉、干燥、避光的地方、不得与有害、有毒物品一同存放。</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2.2运输中应注意安全，防止日晒、雨淋、渗漏、污染和标签脱落。保持车辆内外的清洁、卫生。不得使用装运过有毒、有害物质的车辆。</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2.3必须全程使用清洁卫生的专用冷链运输车辆配送，并采取防晒、防雨措施，保证货物的卫生与安全。</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（五）服务要求</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4、中标供应商所送货物不符合相关质量标准，或使用方发现所送货物有明显质量问题，供应商需无条件退货，并及时补货，保证不影响超市供应，情节严重的采购人有权单方终止合同。</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5、配送企业必须按所填订单配送，按规定时间送达指定地点，确保食品新鲜、优质、安全、可靠。</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11、采购人根据实际需求向供应商下达订单，供应商须严格按照采购人要求的品种、数量及时间进行轮换送货。</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13、采购人有权在供应商中标后对其进行实地考察。</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43"/>
        <w:ind w:left="0" w:right="0" w:firstLine="0"/>
        <w:jc w:val="center"/>
        <w:spacing w:before="0" w:after="0" w:line="55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★（第三部分 商务部分）</w:t>
      </w:r>
      <w:r/>
    </w:p>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三、商务要求</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1、合同履行期：自合同签订之日起至2027年8月31日。</w:t>
      </w:r>
      <w:r/>
    </w:p>
    <w:p>
      <w:pPr>
        <w:ind w:left="0" w:right="0" w:firstLine="480"/>
        <w:jc w:val="both"/>
        <w:spacing w:before="24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2、送货地点：具体送货地址以采购人通知为准，包括但不限于江宁校区、五台校区及采购人指定的其他地点（具体以采购人通知为准）。</w:t>
      </w:r>
      <w:r/>
    </w:p>
    <w:p>
      <w:pPr>
        <w:ind w:left="0" w:right="0" w:firstLine="480"/>
        <w:jc w:val="both"/>
        <w:spacing w:before="210" w:after="21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3、送货时间：所有货物必须严格按照采购人规定的时间运送。</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4、报价说明：</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投标人投标报价，应考虑到采购配送的成本、人员成本及合理的利润，不得以不合理低价恶意竞争，中标后不得以任何理由降低供货品质和服务质量，不得以任何理由拒绝供货或减少供货，否则需承担相应违约责任。</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（2）投标报价应包含货物采购、检验、仓储、分装、运输、装卸、管理、税金等一切全部费用，采购人不再另行支付任何费用。</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5、履约保证金：</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（1）合同签订前，本项目中标供应商需向采购人缴纳履约保证金人民币</w:t>
      </w:r>
      <w:r>
        <w:rPr>
          <w:rFonts w:ascii="宋体" w:hAnsi="宋体" w:eastAsia="宋体" w:cs="宋体"/>
          <w:color w:val="auto"/>
          <w:sz w:val="24"/>
          <w:highlight w:val="none"/>
          <w:u w:val="single"/>
        </w:rPr>
        <w:t xml:space="preserve"> 贰 </w:t>
      </w:r>
      <w:r>
        <w:rPr>
          <w:rFonts w:ascii="宋体" w:hAnsi="宋体" w:eastAsia="宋体" w:cs="宋体"/>
          <w:color w:val="auto"/>
          <w:sz w:val="24"/>
          <w:highlight w:val="none"/>
        </w:rPr>
        <w:t xml:space="preserve">万元整。</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中标供应商在合同履行期内存在违法违规、违约行为需支付违约金的，采购人有权直接从履约保证金中扣除，若保证金不足以抵扣违约金的，采购人可从待付货款中直接扣除，不足部分中标供应商应在采购人通知后 3 个工作日内补足。</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（3）合同履行完毕后，中标供应商无任何服务质量、食品安全纠纷及其他法律纠纷的，采购人在 2 个月内无息返还全部履约保证金。</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6、调价流程及定价周期：</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合同期内原则上价格不进行调整，若市场行情发生重大变化，采购人有权根据市场行情组织市场询价，并有权结合相关市场行情提出调价，调价经协商一致执行。</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7、结帐及付款：</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（1）中标供应商所供货物经采购人验收合格、确认无质量问题后，中标供应商须凭供货明细单及合法合规的发票，向采购人申请结算。</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（2）双方实行按月结算，次月支付，如遇寒暑假、法定节假日付款时间顺延。</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（3）若中标供应商提供的发票信息（户名、开户行、账号等）与供货单位主体不一致，采购人有权不予付款；中标供应商延期提供发票的，采购人不承担延期付款的责任。</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（4）本项目采购人以指定账户向供应商付款，供应商收到汇款后即视为采购人已履行合同约定付款义务，并且同意向采购人指定账户开具相应货款金额的增值税发票。</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8、退换货机制：</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（1）临期货品退换：供应商所提供的货品，距保质期截止日不足整个保质期三分之一的，视为临期货品。采购人有权无条件要求供应商退货或换货，供应商不得拒绝。</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（2）滞销货品退换：对于因市场需求变化等原因造成的滞销货品，采购人有权根据超市实际运营情况与供应商退换货。</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（3）退换货过程中产生的所有费用，包括但不限于运输、装卸等，均由供应商承担。</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9、退出机制</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（1）供应商因自身原因需提前终止供货的，须提前 90日向采购人提交书面退出申请，经采购人书面同意后，按程序办理退出手续；未经采购人同意，供应商不得擅自停止供货，否则按第五章合同第九条违约责任相关约定处理。</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（2）供应商发生食品安全事故或其他安全事故、被监管部门行政处罚、列入严重违法失信名单、相关资质证件被吊销等情形的，采购人可单方解除合同。</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（3）供应商在合同期内擅自断供、迟供、减量供应，严重影响采购人正常供餐秩序，经采购人催告后仍未改正的，采购人有权终止合同、扣除相应履约保证金，并追究供应商赔偿责任。</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（4）供应商在采购人日常考核中不合格，且在采购人指定的整改期限内仍未达标者，采购人有权单方终止本合同。</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10、促销要求</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1</w:t>
      </w:r>
      <w:r>
        <w:rPr>
          <w:rFonts w:ascii="宋体" w:hAnsi="宋体" w:eastAsia="宋体" w:cs="宋体"/>
          <w:color w:val="auto"/>
          <w:sz w:val="24"/>
          <w:highlight w:val="none"/>
        </w:rPr>
        <w:t xml:space="preserve">）采购人可提供相关场地以便于供应商开展促销活动，但供应商需将相关费用支付至采购人指定账户。</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2</w:t>
      </w:r>
      <w:r>
        <w:rPr>
          <w:rFonts w:ascii="宋体" w:hAnsi="宋体" w:eastAsia="宋体" w:cs="宋体"/>
          <w:color w:val="auto"/>
          <w:sz w:val="24"/>
          <w:highlight w:val="none"/>
        </w:rPr>
        <w:t xml:space="preserve">）相关费用标准：</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①冰箱、冷饮柜费用：</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1)采购人提供双门或三门冰箱，单台冰箱划分为两个或三个独立使用区域，采购包1、2、3、4的中标人按每区域300元/月的标准向采购人支付综合使用费。</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2)冷饮柜由中标人投放，按300元/月/台向采购人支付综合使用费；</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3)即食食品冷藏柜由采购人提供，按300元/月/台向采购人支付综合使用费。</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②货架端头：面包区陈列位</w:t>
      </w:r>
      <w:r>
        <w:rPr>
          <w:rFonts w:ascii="Times New Roman" w:hAnsi="Times New Roman" w:eastAsia="Times New Roman" w:cs="Times New Roman"/>
          <w:color w:val="auto"/>
          <w:sz w:val="24"/>
          <w:highlight w:val="none"/>
        </w:rPr>
        <w:t xml:space="preserve">200</w:t>
      </w:r>
      <w:r>
        <w:rPr>
          <w:rFonts w:ascii="宋体" w:hAnsi="宋体" w:eastAsia="宋体" w:cs="宋体"/>
          <w:color w:val="auto"/>
          <w:sz w:val="24"/>
          <w:highlight w:val="none"/>
        </w:rPr>
        <w:t xml:space="preserve">元</w:t>
      </w:r>
      <w:r>
        <w:rPr>
          <w:rFonts w:ascii="Times New Roman" w:hAnsi="Times New Roman" w:eastAsia="Times New Roman" w:cs="Times New Roman"/>
          <w:color w:val="auto"/>
          <w:sz w:val="24"/>
          <w:highlight w:val="none"/>
        </w:rPr>
        <w:t xml:space="preserve">/</w:t>
      </w:r>
      <w:r>
        <w:rPr>
          <w:rFonts w:ascii="宋体" w:hAnsi="宋体" w:eastAsia="宋体" w:cs="宋体"/>
          <w:color w:val="auto"/>
          <w:sz w:val="24"/>
          <w:highlight w:val="none"/>
        </w:rPr>
        <w:t xml:space="preserve">月</w:t>
      </w:r>
      <w:r>
        <w:rPr>
          <w:rFonts w:ascii="Times New Roman" w:hAnsi="Times New Roman" w:eastAsia="Times New Roman" w:cs="Times New Roman"/>
          <w:color w:val="auto"/>
          <w:sz w:val="24"/>
          <w:highlight w:val="none"/>
        </w:rPr>
        <w:t xml:space="preserve">/</w:t>
      </w:r>
      <w:r>
        <w:rPr>
          <w:rFonts w:ascii="宋体" w:hAnsi="宋体" w:eastAsia="宋体" w:cs="宋体"/>
          <w:color w:val="auto"/>
          <w:sz w:val="24"/>
          <w:highlight w:val="none"/>
        </w:rPr>
        <w:t xml:space="preserve">组。</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③促销堆头：设置于超市大门入口处，专门用于供货商开展促销活动，每组每次收取</w:t>
      </w:r>
      <w:r>
        <w:rPr>
          <w:rFonts w:ascii="Times New Roman" w:hAnsi="Times New Roman" w:eastAsia="Times New Roman" w:cs="Times New Roman"/>
          <w:color w:val="auto"/>
          <w:sz w:val="24"/>
          <w:highlight w:val="none"/>
        </w:rPr>
        <w:t xml:space="preserve">200</w:t>
      </w:r>
      <w:r>
        <w:rPr>
          <w:rFonts w:ascii="宋体" w:hAnsi="宋体" w:eastAsia="宋体" w:cs="宋体"/>
          <w:color w:val="auto"/>
          <w:sz w:val="24"/>
          <w:highlight w:val="none"/>
        </w:rPr>
        <w:t xml:space="preserve">元（</w:t>
      </w:r>
      <w:r>
        <w:rPr>
          <w:rFonts w:ascii="Times New Roman" w:hAnsi="Times New Roman" w:eastAsia="Times New Roman" w:cs="Times New Roman"/>
          <w:color w:val="auto"/>
          <w:sz w:val="24"/>
          <w:highlight w:val="none"/>
        </w:rPr>
        <w:t xml:space="preserve">5</w:t>
      </w:r>
      <w:r>
        <w:rPr>
          <w:rFonts w:ascii="宋体" w:hAnsi="宋体" w:eastAsia="宋体" w:cs="宋体"/>
          <w:color w:val="auto"/>
          <w:sz w:val="24"/>
          <w:highlight w:val="none"/>
        </w:rPr>
        <w:t xml:space="preserve">天内）。</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3</w:t>
      </w:r>
      <w:r>
        <w:rPr>
          <w:rFonts w:ascii="宋体" w:hAnsi="宋体" w:eastAsia="宋体" w:cs="宋体"/>
          <w:color w:val="auto"/>
          <w:sz w:val="24"/>
          <w:highlight w:val="none"/>
        </w:rPr>
        <w:t xml:space="preserve">）供应商如需开展促销活动，须提前向采购人申请，并经采购人同意后方可开展。</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11</w:t>
      </w:r>
      <w:r>
        <w:rPr>
          <w:rFonts w:ascii="宋体" w:hAnsi="宋体" w:eastAsia="宋体" w:cs="宋体"/>
          <w:color w:val="auto"/>
          <w:sz w:val="24"/>
          <w:highlight w:val="none"/>
        </w:rPr>
        <w:t xml:space="preserve">、中标供应商应配合采购人建立电子化订货、对账系统，按要求使用采购人指定的信息化管理平台进行订单接收、发货确认、库存查询及结算对账。供应商应指定专人负责系统操作，确保信息及时准确。</w:t>
      </w:r>
      <w:r/>
    </w:p>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四、采购清单</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下表中所提供的货品预估用量仅为一年配送参考量，不作为结算依据。采购人对中标的供应商能够承揽的业务数量不作任何承诺。采购人如需采购供应清单以外的品种，由中标供应商先行报价，双方根据市场行情协商确认最终价格后，按合同约定权责履行手续。</w:t>
      </w:r>
      <w:r/>
    </w:p>
    <w:p>
      <w:pPr>
        <w:ind w:left="0" w:right="0" w:firstLine="0"/>
        <w:jc w:val="both"/>
        <w:spacing w:before="240" w:after="12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附件1： 年度预计支出（年度预计支出仅供参考，并非采购人对采购金额的承诺）</w:t>
      </w:r>
      <w:r/>
    </w:p>
    <w:tbl>
      <w:tblPr>
        <w:tblStyle w:val="6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9"/>
        <w:gridCol w:w="5452"/>
        <w:gridCol w:w="2452"/>
      </w:tblGrid>
      <w:tr>
        <w:trPr>
          <w:trHeight w:val="5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采购品类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预算金额</w:t>
            </w:r>
            <w:r>
              <w:rPr>
                <w:rFonts w:ascii="宋体" w:hAnsi="宋体" w:eastAsia="宋体" w:cs="宋体"/>
                <w:color w:val="auto"/>
                <w:sz w:val="24"/>
                <w:highlight w:val="none"/>
              </w:rPr>
              <w:br/>
            </w:r>
            <w:r>
              <w:rPr>
                <w:rFonts w:ascii="宋体" w:hAnsi="宋体" w:eastAsia="宋体" w:cs="宋体"/>
                <w:color w:val="auto"/>
                <w:sz w:val="24"/>
                <w:highlight w:val="none"/>
              </w:rPr>
              <w:t xml:space="preserve">（万元）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采购包3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矿泉水、碳酸饮料系列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113万元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采购包6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冷饮、速冻食品系列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30万元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采购包7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短保面包系列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25万元</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采购包8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即食鲜食系列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30万元</w:t>
            </w:r>
            <w:r/>
          </w:p>
        </w:tc>
      </w:tr>
    </w:tbl>
    <w:p>
      <w:pPr>
        <w:ind w:left="0" w:right="0" w:firstLine="0"/>
        <w:jc w:val="both"/>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0"/>
          <w:highlight w:val="none"/>
        </w:rPr>
        <w:t xml:space="preserve">附件2：采购清单</w:t>
      </w:r>
      <w:r/>
    </w:p>
    <w:p>
      <w:pPr>
        <w:ind w:left="0" w:right="0" w:firstLine="0"/>
        <w:jc w:val="both"/>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ascii="宋体" w:hAnsi="宋体" w:eastAsia="宋体" w:cs="宋体"/>
          <w:b/>
          <w:color w:val="auto"/>
          <w:sz w:val="40"/>
          <w:highlight w:val="none"/>
        </w:rPr>
        <w:t xml:space="preserve">详见采购公告附件</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第五章  合同主要条款及格式</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ind w:left="0" w:right="0" w:firstLine="0"/>
        <w:jc w:val="both"/>
        <w:spacing w:before="240" w:after="12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（参考格式，本合同内容条款在正式签署前可具体补充细化，仅作参考，最终合同以采购人法务审查通过的版本为准）</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南京医科大学超市货品及后勤物资采购</w:t>
      </w:r>
      <w:r>
        <w:rPr>
          <w:rFonts w:ascii="Arial" w:hAnsi="Arial" w:eastAsia="Arial" w:cs="Arial"/>
          <w:color w:val="auto"/>
          <w:sz w:val="36"/>
          <w:highlight w:val="none"/>
        </w:rPr>
        <w:t xml:space="preserve">项目</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36"/>
          <w:highlight w:val="none"/>
        </w:rPr>
        <w:t xml:space="preserve">采购合同</w:t>
      </w:r>
      <w:r/>
    </w:p>
    <w:p>
      <w:pPr>
        <w:ind w:left="0" w:right="0" w:firstLine="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pacing w:val="400"/>
          <w:sz w:val="24"/>
          <w:highlight w:val="none"/>
        </w:rPr>
        <w:t xml:space="preserve"> </w:t>
      </w:r>
      <w:r/>
    </w:p>
    <w:p>
      <w:pPr>
        <w:ind w:left="0" w:right="0" w:firstLine="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甲方：南京医科大学</w:t>
      </w:r>
      <w:r/>
    </w:p>
    <w:p>
      <w:pPr>
        <w:ind w:left="0" w:right="0" w:firstLine="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乙方：</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为切实保障在校师生购物的品质与安全，规范学校超市货品及后勤物资的采购与供货服务流程，维护师生合法权益，甲乙双方本着安全至上、平等互利、真诚合作的原则，经充分协商，达成如下协议，共同遵照执行。</w:t>
      </w:r>
      <w:r/>
    </w:p>
    <w:p>
      <w:pPr>
        <w:pStyle w:val="643"/>
        <w:ind w:left="0" w:right="0" w:firstLine="643"/>
        <w:jc w:val="both"/>
        <w:spacing w:before="260" w:after="26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一、合同期限</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合同期限：</w:t>
      </w:r>
      <w:r>
        <w:rPr>
          <w:rFonts w:ascii="仿宋" w:hAnsi="仿宋" w:eastAsia="仿宋" w:cs="仿宋"/>
          <w:color w:val="auto"/>
          <w:sz w:val="32"/>
          <w:highlight w:val="none"/>
          <w:u w:val="single"/>
        </w:rPr>
        <w:t xml:space="preserve">    </w:t>
      </w:r>
      <w:r>
        <w:rPr>
          <w:rFonts w:ascii="仿宋" w:hAnsi="仿宋" w:eastAsia="仿宋" w:cs="仿宋"/>
          <w:color w:val="auto"/>
          <w:sz w:val="32"/>
          <w:highlight w:val="none"/>
        </w:rPr>
        <w:t xml:space="preserve">年</w:t>
      </w:r>
      <w:r>
        <w:rPr>
          <w:rFonts w:ascii="仿宋" w:hAnsi="仿宋" w:eastAsia="仿宋" w:cs="仿宋"/>
          <w:color w:val="auto"/>
          <w:sz w:val="32"/>
          <w:highlight w:val="none"/>
          <w:u w:val="single"/>
        </w:rPr>
        <w:t xml:space="preserve">   </w:t>
      </w:r>
      <w:r>
        <w:rPr>
          <w:rFonts w:ascii="仿宋" w:hAnsi="仿宋" w:eastAsia="仿宋" w:cs="仿宋"/>
          <w:color w:val="auto"/>
          <w:sz w:val="32"/>
          <w:highlight w:val="none"/>
        </w:rPr>
        <w:t xml:space="preserve">月</w:t>
      </w:r>
      <w:r>
        <w:rPr>
          <w:rFonts w:ascii="仿宋" w:hAnsi="仿宋" w:eastAsia="仿宋" w:cs="仿宋"/>
          <w:color w:val="auto"/>
          <w:sz w:val="32"/>
          <w:highlight w:val="none"/>
          <w:u w:val="single"/>
        </w:rPr>
        <w:t xml:space="preserve">   </w:t>
      </w:r>
      <w:r>
        <w:rPr>
          <w:rFonts w:ascii="仿宋" w:hAnsi="仿宋" w:eastAsia="仿宋" w:cs="仿宋"/>
          <w:color w:val="auto"/>
          <w:sz w:val="32"/>
          <w:highlight w:val="none"/>
        </w:rPr>
        <w:t xml:space="preserve">日起至</w:t>
      </w:r>
      <w:r>
        <w:rPr>
          <w:rFonts w:ascii="仿宋" w:hAnsi="仿宋" w:eastAsia="仿宋" w:cs="仿宋"/>
          <w:color w:val="auto"/>
          <w:sz w:val="32"/>
          <w:highlight w:val="none"/>
          <w:u w:val="single"/>
        </w:rPr>
        <w:t xml:space="preserve">    </w:t>
      </w:r>
      <w:r>
        <w:rPr>
          <w:rFonts w:ascii="仿宋" w:hAnsi="仿宋" w:eastAsia="仿宋" w:cs="仿宋"/>
          <w:color w:val="auto"/>
          <w:sz w:val="32"/>
          <w:highlight w:val="none"/>
        </w:rPr>
        <w:t xml:space="preserve">年</w:t>
      </w:r>
      <w:r>
        <w:rPr>
          <w:rFonts w:ascii="仿宋" w:hAnsi="仿宋" w:eastAsia="仿宋" w:cs="仿宋"/>
          <w:color w:val="auto"/>
          <w:sz w:val="32"/>
          <w:highlight w:val="none"/>
          <w:u w:val="single"/>
        </w:rPr>
        <w:t xml:space="preserve">   </w:t>
      </w:r>
      <w:r>
        <w:rPr>
          <w:rFonts w:ascii="仿宋" w:hAnsi="仿宋" w:eastAsia="仿宋" w:cs="仿宋"/>
          <w:color w:val="auto"/>
          <w:sz w:val="32"/>
          <w:highlight w:val="none"/>
        </w:rPr>
        <w:t xml:space="preserve">月</w:t>
      </w:r>
      <w:r>
        <w:rPr>
          <w:rFonts w:ascii="仿宋" w:hAnsi="仿宋" w:eastAsia="仿宋" w:cs="仿宋"/>
          <w:color w:val="auto"/>
          <w:sz w:val="32"/>
          <w:highlight w:val="none"/>
          <w:u w:val="single"/>
        </w:rPr>
        <w:t xml:space="preserve">   </w:t>
      </w:r>
      <w:r>
        <w:rPr>
          <w:rFonts w:ascii="仿宋" w:hAnsi="仿宋" w:eastAsia="仿宋" w:cs="仿宋"/>
          <w:color w:val="auto"/>
          <w:sz w:val="32"/>
          <w:highlight w:val="none"/>
        </w:rPr>
        <w:t xml:space="preserve">日。</w:t>
      </w:r>
      <w:r/>
    </w:p>
    <w:p>
      <w:pPr>
        <w:pStyle w:val="643"/>
        <w:ind w:left="0" w:right="0" w:firstLine="643"/>
        <w:jc w:val="both"/>
        <w:spacing w:before="260" w:after="26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二、供应品类范围</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乙方须严格按照甲方要求，为甲方供应</w:t>
      </w:r>
      <w:r>
        <w:rPr>
          <w:rFonts w:ascii="仿宋" w:hAnsi="仿宋" w:eastAsia="仿宋" w:cs="仿宋"/>
          <w:b/>
          <w:color w:val="auto"/>
          <w:sz w:val="32"/>
          <w:highlight w:val="none"/>
          <w:u w:val="single"/>
        </w:rPr>
        <w:t xml:space="preserve">     </w:t>
      </w:r>
      <w:r>
        <w:rPr>
          <w:rFonts w:ascii="仿宋" w:hAnsi="仿宋" w:eastAsia="仿宋" w:cs="仿宋"/>
          <w:color w:val="auto"/>
          <w:sz w:val="32"/>
          <w:highlight w:val="none"/>
        </w:rPr>
        <w:t xml:space="preserve">等货品。（供货品种、价格及规格参照附件）</w:t>
      </w:r>
      <w:r/>
    </w:p>
    <w:p>
      <w:pPr>
        <w:pStyle w:val="643"/>
        <w:ind w:left="0" w:right="0" w:firstLine="643"/>
        <w:jc w:val="both"/>
        <w:spacing w:before="260" w:after="26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三、履约保证金</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1.合同签订前，乙方向甲方缴纳履约保证金人民币贰万元整（¥20000）。</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若乙方在合同履行期内存在违法违规或违约行为，需向甲方支付违约金的，甲方有权直接从履约保证金中予以扣除；若履约保证金不足以抵扣违约金，甲方可从待付货款中直接扣除，不足部分乙方应在收到甲方通知后3个工作日内补足差额。</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3.合同履行完毕后，若乙方无任何服务质量问题、食品安全纠纷及其他法律纠纷，甲方将在合同履行完毕之日起2个月内无息返还全部履约保证金。</w:t>
      </w:r>
      <w:r/>
    </w:p>
    <w:p>
      <w:pPr>
        <w:pStyle w:val="643"/>
        <w:ind w:left="0" w:right="0" w:firstLine="643"/>
        <w:jc w:val="both"/>
        <w:spacing w:before="260" w:after="26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四、货品质量及价格要求</w:t>
      </w:r>
      <w:r/>
    </w:p>
    <w:p>
      <w:pPr>
        <w:pStyle w:val="644"/>
        <w:ind w:left="0" w:right="0" w:firstLine="643"/>
        <w:jc w:val="both"/>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（一）质量要求</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乙方所供食品类货品须符合《中华人民共和国食品安全法》及国家、南京市相关食品质量标准与卫生要求；非食品类货品须符合国家、江苏省、南京市及甲方所在地的相关法律法规要求。送货时，乙方应按招标文件及行业主管部门规定，提供与所供货品对应的质检报告、检验合格证、溯源凭证等合格证明材料。</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2.乙方严格按照甲方订单要求供应及配送产品，不得擅自变更品</w:t>
      </w:r>
      <w:r>
        <w:rPr>
          <w:rFonts w:ascii="仿宋" w:hAnsi="仿宋" w:eastAsia="仿宋" w:cs="仿宋"/>
          <w:color w:val="auto"/>
          <w:spacing w:val="-3"/>
          <w:sz w:val="32"/>
          <w:highlight w:val="none"/>
        </w:rPr>
        <w:t xml:space="preserve">种</w:t>
      </w:r>
      <w:r>
        <w:rPr>
          <w:rFonts w:ascii="仿宋" w:hAnsi="仿宋" w:eastAsia="仿宋" w:cs="仿宋"/>
          <w:color w:val="auto"/>
          <w:spacing w:val="-2"/>
          <w:sz w:val="32"/>
          <w:highlight w:val="none"/>
        </w:rPr>
        <w:t xml:space="preserve">、</w:t>
      </w:r>
      <w:r>
        <w:rPr>
          <w:rFonts w:ascii="仿宋" w:hAnsi="仿宋" w:eastAsia="仿宋" w:cs="仿宋"/>
          <w:color w:val="auto"/>
          <w:spacing w:val="-3"/>
          <w:sz w:val="32"/>
          <w:highlight w:val="none"/>
        </w:rPr>
        <w:t xml:space="preserve">规</w:t>
      </w:r>
      <w:r>
        <w:rPr>
          <w:rFonts w:ascii="仿宋" w:hAnsi="仿宋" w:eastAsia="仿宋" w:cs="仿宋"/>
          <w:color w:val="auto"/>
          <w:spacing w:val="-2"/>
          <w:sz w:val="32"/>
          <w:highlight w:val="none"/>
        </w:rPr>
        <w:t xml:space="preserve">格</w:t>
      </w:r>
      <w:r>
        <w:rPr>
          <w:rFonts w:ascii="仿宋" w:hAnsi="仿宋" w:eastAsia="仿宋" w:cs="仿宋"/>
          <w:color w:val="auto"/>
          <w:spacing w:val="-3"/>
          <w:sz w:val="32"/>
          <w:highlight w:val="none"/>
        </w:rPr>
        <w:t xml:space="preserve">、</w:t>
      </w:r>
      <w:r>
        <w:rPr>
          <w:rFonts w:ascii="仿宋" w:hAnsi="仿宋" w:eastAsia="仿宋" w:cs="仿宋"/>
          <w:color w:val="auto"/>
          <w:spacing w:val="-2"/>
          <w:sz w:val="32"/>
          <w:highlight w:val="none"/>
        </w:rPr>
        <w:t xml:space="preserve">数</w:t>
      </w:r>
      <w:r>
        <w:rPr>
          <w:rFonts w:ascii="仿宋" w:hAnsi="仿宋" w:eastAsia="仿宋" w:cs="仿宋"/>
          <w:color w:val="auto"/>
          <w:spacing w:val="-3"/>
          <w:sz w:val="32"/>
          <w:highlight w:val="none"/>
        </w:rPr>
        <w:t xml:space="preserve">量；</w:t>
      </w:r>
      <w:r>
        <w:rPr>
          <w:rFonts w:ascii="仿宋" w:hAnsi="仿宋" w:eastAsia="仿宋" w:cs="仿宋"/>
          <w:color w:val="auto"/>
          <w:spacing w:val="-2"/>
          <w:sz w:val="32"/>
          <w:highlight w:val="none"/>
        </w:rPr>
        <w:t xml:space="preserve">若甲方提出新的供货要求</w:t>
      </w:r>
      <w:r>
        <w:rPr>
          <w:rFonts w:ascii="仿宋" w:hAnsi="仿宋" w:eastAsia="仿宋" w:cs="仿宋"/>
          <w:color w:val="auto"/>
          <w:spacing w:val="-3"/>
          <w:sz w:val="32"/>
          <w:highlight w:val="none"/>
        </w:rPr>
        <w:t xml:space="preserve">，</w:t>
      </w:r>
      <w:r>
        <w:rPr>
          <w:rFonts w:ascii="仿宋" w:hAnsi="仿宋" w:eastAsia="仿宋" w:cs="仿宋"/>
          <w:color w:val="auto"/>
          <w:spacing w:val="-2"/>
          <w:sz w:val="32"/>
          <w:highlight w:val="none"/>
        </w:rPr>
        <w:t xml:space="preserve">乙方应无条件配</w:t>
      </w:r>
      <w:r>
        <w:rPr>
          <w:rFonts w:ascii="仿宋" w:hAnsi="仿宋" w:eastAsia="仿宋" w:cs="仿宋"/>
          <w:color w:val="auto"/>
          <w:spacing w:val="-6"/>
          <w:sz w:val="32"/>
          <w:highlight w:val="none"/>
        </w:rPr>
        <w:t xml:space="preserve">合</w:t>
      </w:r>
      <w:r>
        <w:rPr>
          <w:rFonts w:ascii="仿宋" w:hAnsi="仿宋" w:eastAsia="仿宋" w:cs="仿宋"/>
          <w:color w:val="auto"/>
          <w:sz w:val="32"/>
          <w:highlight w:val="none"/>
        </w:rPr>
        <w:t xml:space="preserve">执行。</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乙方对所供货品的保鲜、保质承担全部责任，并对所有货品的配送过程负责，配送过程中须采取有效保护措施，严禁喷洒有毒有害物质；货品在质保期内出现质量问题的或食品类货品在质保期内出现变质的，乙方须在甲方通知后立即处理并免费更换同等数量的合格货品。</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4.因乙方供货质量问题引发食品安全事故及其他安全事故的，乙方主要负责人及相关主管人员须在 30 分钟内响应处理，全面承担事故安抚、善后及全部法律责任、经济赔偿责任。</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5.乙方所供货品必须全程可溯源：相应品类按照要求提供检验检测报告。</w:t>
      </w:r>
      <w:r/>
    </w:p>
    <w:p>
      <w:pPr>
        <w:ind w:left="0" w:right="0" w:firstLine="6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6.乙方严禁供应过期、临期的货品，甲方验收发现临期货品有权无条件退货，乙方承担违约责任。</w:t>
      </w:r>
      <w:r/>
    </w:p>
    <w:p>
      <w:pPr>
        <w:pStyle w:val="644"/>
        <w:ind w:left="0" w:right="0" w:firstLine="643"/>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（二）价格及调价规则</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1.供货价格包含货物采购、检验、仓储、分装、运输、装卸、管理、税金等全部费用，甲方不再另行支付任何费用。</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32"/>
          <w:highlight w:val="none"/>
        </w:rPr>
        <w:t xml:space="preserve">2</w:t>
      </w:r>
      <w:r>
        <w:rPr>
          <w:rFonts w:ascii="仿宋" w:hAnsi="仿宋" w:eastAsia="仿宋" w:cs="仿宋"/>
          <w:color w:val="auto"/>
          <w:spacing w:val="-1"/>
          <w:sz w:val="32"/>
          <w:highlight w:val="none"/>
        </w:rPr>
        <w:t xml:space="preserve">.</w:t>
      </w:r>
      <w:r>
        <w:rPr>
          <w:rFonts w:ascii="仿宋" w:hAnsi="仿宋" w:eastAsia="仿宋" w:cs="仿宋"/>
          <w:color w:val="auto"/>
          <w:sz w:val="32"/>
          <w:highlight w:val="none"/>
        </w:rPr>
        <w:t xml:space="preserve">合同期内原则上价格不进行调整，但甲方有权根据市场行情组织市场询价，并有权结合相关市场行情对价格提出调整，经协商一致执行。</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3.合同期内，乙方保质保量按时供货，自负盈亏。乙方不得以任何理由降低供货品质和服务质量，不得以任何理由拒绝供货或减少供货，否则甲方有权全额没收履约保证金并追究违约责任。</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4.乙方需要使用甲方提供的冰箱、冷饮柜、货架端头或促销堆头进行商品陈列或促销活动，相关费用标准按招标文件商务要求第10条执行，具体费用由双方另行签署确认单。</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5.如遇其他情况，双方协商决定。</w:t>
      </w:r>
      <w:r/>
    </w:p>
    <w:p>
      <w:pPr>
        <w:pStyle w:val="643"/>
        <w:ind w:left="0" w:right="0" w:firstLine="643"/>
        <w:jc w:val="both"/>
        <w:spacing w:before="260" w:after="26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五、供货能力及配送要求</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1.乙方须具备配送能力，能同时满足甲方江宁校区、五台校区的配送需求，严格按照甲方订单约定的时间、地点将货物送达，并安排专人做好入库、上架等工作。否则甲方有权解除合同并追究乙方的违约责任。</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乙方不得将配送项目以任何形式转包、分包，须自行完成全部配送服务；配送车辆须符合《食品安全法》及相关食品卫生法规要求，每日对车辆内壁、货架、门把手等接触食品部位进行清洗、消毒，使用合适的清洁剂和消毒剂按照 正确操作步骤执行，并留存完整消毒记录，确保车辆无异味、无污渍和细菌滋生的环境。</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货品的配送人员须持有自体检合格之日起有效期为一年的人员健康证明，无特殊情况保持固定；若确需更换管理层人员以及配送人员，须提前向甲方申请，经甲方书面同意并备案后方可更换，擅自更换的，甲方有权视情节轻重提出警告，情节严重的终止本合同并追究乙方责任。</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4.乙方须根据甲方实际订货明细，在配送前完成货品预先分装作业，并清晰标注货品品类，确保所有货品新鲜、优质、安全、可靠。</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5.乙方须建立固定配送网点，具备调运、分拣、包装、二次搬运能力，提供专业化售后服务；同时做好全程配送台账，留存相关记录备查，接受甲方不定期第三方检验。</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6.因乙方配送运输环节引发的安全事故，由乙方承担全部法律责任及所有经济损失；乙方须随时为甲方提供补货、调换货服务，确保不影响甲方正常供应货品。</w:t>
      </w:r>
      <w:r/>
    </w:p>
    <w:p>
      <w:pPr>
        <w:ind w:left="0" w:right="0" w:firstLine="6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7.</w:t>
      </w:r>
      <w:r>
        <w:rPr>
          <w:rFonts w:ascii="仿宋" w:hAnsi="仿宋" w:eastAsia="仿宋" w:cs="仿宋"/>
          <w:color w:val="auto"/>
          <w:spacing w:val="-6"/>
          <w:sz w:val="32"/>
          <w:highlight w:val="none"/>
        </w:rPr>
        <w:t xml:space="preserve">甲方有权对乙方的配送网点、作业流程、服务能力等进行实地考察。</w:t>
      </w:r>
      <w:r/>
    </w:p>
    <w:p>
      <w:pPr>
        <w:pStyle w:val="643"/>
        <w:ind w:left="0" w:right="0" w:firstLine="640"/>
        <w:jc w:val="both"/>
        <w:spacing w:before="260" w:after="26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六、交货及验收</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1.乙方按甲方要求对货品分装打包后，在订单约定的交货时间内将货物送至指定地点，等待甲方验收，不得无故拖延。</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2.甲方验收人员须依据招标文件、本合同及附件约定的质量标准、数量要求，及时对货物进行全面验收，确保验收结果客观公正。</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验收过程中发现货品质量、数量、规格不符合约定要求的，乙方须立即响应，无条件采取退货、补货、更换等整改处理措施；批量货物虽已入库，在使用过程中发现质量或数量问题的，乙方亦须在甲方通知后24小时内及时补救工作，满足甲方正常运营需要，并承担由此引发的全部责任及经济损失。</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4.若乙方对验收问题未及时处理，造成甲方运营受到影响、产生经济损失的，甲方有权解除合同，同时追究乙方违约责任，包括但不限于暂停结算货款、退货、要求乙方支付合同总金额 30％ 的违约金等。</w:t>
      </w:r>
      <w:r/>
    </w:p>
    <w:p>
      <w:pPr>
        <w:pStyle w:val="643"/>
        <w:ind w:left="0" w:right="0" w:firstLine="643"/>
        <w:jc w:val="both"/>
        <w:spacing w:before="260" w:after="26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七、结账及付款</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1.乙方所供货物经甲方验收合格、确认无质量问题后，乙方须凭供货明细单及合法合规的发票，向甲方申请结算。</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2.双方实行按月结算，次月支付，寒暑假、法定节假日付款时间顺延。</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3.若乙方提供的发票信息（户名、开户行、账号等）与供货单位主体不一致，甲方有权不予付款；乙方延期提供发票的，甲方不承担延期付款责任。</w:t>
      </w:r>
      <w:r/>
    </w:p>
    <w:p>
      <w:pPr>
        <w:ind w:left="0" w:right="0" w:firstLine="616"/>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4.本合同款项由甲方指定账户支付至乙方账户，乙方收到甲方指定账户的汇款后，即视为甲方已完全履行本合同项下的付款义务；乙方同意向甲方指定的付款主体开具等额增值税发票，具体账户及开票信息以甲方通知为准。</w:t>
      </w:r>
      <w:r/>
    </w:p>
    <w:p>
      <w:pPr>
        <w:ind w:left="0" w:right="0" w:firstLine="616"/>
        <w:jc w:val="both"/>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八、退换货机制</w:t>
      </w:r>
      <w:r/>
    </w:p>
    <w:p>
      <w:pPr>
        <w:ind w:left="0" w:right="0" w:firstLine="640"/>
        <w:jc w:val="both"/>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 </w:t>
      </w:r>
      <w:r>
        <w:rPr>
          <w:rFonts w:ascii="仿宋" w:hAnsi="仿宋" w:eastAsia="仿宋" w:cs="仿宋"/>
          <w:b/>
          <w:color w:val="auto"/>
          <w:sz w:val="32"/>
          <w:highlight w:val="none"/>
        </w:rPr>
        <w:t xml:space="preserve">临期货品退换</w:t>
      </w:r>
      <w:r>
        <w:rPr>
          <w:rFonts w:ascii="仿宋" w:hAnsi="仿宋" w:eastAsia="仿宋" w:cs="仿宋"/>
          <w:color w:val="auto"/>
          <w:sz w:val="32"/>
          <w:highlight w:val="none"/>
        </w:rPr>
        <w:t xml:space="preserve">：乙方供应货品剩余保质期不足总保质期</w:t>
      </w:r>
      <w:r>
        <w:rPr>
          <w:rFonts w:ascii="仿宋" w:hAnsi="仿宋" w:eastAsia="仿宋" w:cs="仿宋"/>
          <w:color w:val="auto"/>
          <w:sz w:val="32"/>
          <w:highlight w:val="none"/>
          <w:u w:val="single"/>
        </w:rPr>
        <w:t xml:space="preserve">1/3 </w:t>
      </w:r>
      <w:r>
        <w:rPr>
          <w:rFonts w:ascii="仿宋" w:hAnsi="仿宋" w:eastAsia="仿宋" w:cs="仿宋"/>
          <w:color w:val="auto"/>
          <w:sz w:val="32"/>
          <w:highlight w:val="none"/>
        </w:rPr>
        <w:t xml:space="preserve">的，视为临期货品。甲方有权无条件要求乙方退货或换货，乙方不得拒绝并承担违约责任。</w:t>
      </w:r>
      <w:r/>
    </w:p>
    <w:p>
      <w:pPr>
        <w:ind w:left="0" w:right="0" w:firstLine="643"/>
        <w:jc w:val="both"/>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2. 滞销货品退换</w:t>
      </w:r>
      <w:r>
        <w:rPr>
          <w:rFonts w:ascii="仿宋" w:hAnsi="仿宋" w:eastAsia="仿宋" w:cs="仿宋"/>
          <w:color w:val="auto"/>
          <w:sz w:val="32"/>
          <w:highlight w:val="none"/>
        </w:rPr>
        <w:t xml:space="preserve">：对于因市场需求变化等原因造成的滞销货品，甲方有权根据超市实际运营情况与乙方退换货，乙方应予配合。</w:t>
      </w:r>
      <w:r/>
    </w:p>
    <w:p>
      <w:pPr>
        <w:ind w:left="0" w:right="0" w:firstLine="640"/>
        <w:jc w:val="both"/>
        <w:spacing w:before="12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 退换货过程中产生的所有费用，包括但不限于运输、装卸等，均由乙方承担。</w:t>
      </w:r>
      <w:r/>
    </w:p>
    <w:p>
      <w:pPr>
        <w:pStyle w:val="643"/>
        <w:ind w:left="0" w:right="0" w:firstLine="643"/>
        <w:jc w:val="both"/>
        <w:spacing w:before="260" w:after="26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九、合同双方权利与义务：</w:t>
      </w:r>
      <w:r/>
    </w:p>
    <w:p>
      <w:pPr>
        <w:pStyle w:val="644"/>
        <w:ind w:left="0" w:right="0" w:firstLine="6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（一）甲方权利与义务</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1.安排工作人员对乙方供货进行严格、客观公正的验收，保障供货服务有序开展。</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2.有权随机抽检质量，抽检不合格的，该批次全部退货，乙方承担检测费用及违约责任。</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3.为乙方送货入校办理相关进校手续，配合乙方完成货物收货、验货工作。</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4.在乙方履约的前提下，甲方按照本合同约定，及时向乙方支付验收合格货物的货款。</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5.对乙方所承揽业务的供货数量等不作任何承诺，有权对乙方履约情况进行考核，并依据考核结果调整乙方的配送量、配送区域等，乙方必须无条件执行。</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6.有权对乙方的生产、仓储、配送等环节进行实地考察，乙方须积极配合，不得拒绝、阻挠。</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7.若乙方存在违约行为，甲方有权根据本合同约定提出警告、扣除违约金、没收履约保证金、解除合同并追究乙方全部赔偿责任。</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8.若按上级政府部门要求开展农校对接、帮扶项目等，甲方有权对供货分配进行调整，乙方须无条件服从。</w:t>
      </w:r>
      <w:r/>
    </w:p>
    <w:p>
      <w:pPr>
        <w:pStyle w:val="644"/>
        <w:ind w:left="0" w:right="0" w:firstLine="6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（二）乙方权利与义务</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严格执行《中华人民共和国食品安全法》等相关法律法规，依据法律规定建立并执行从业人员健康管理制度、食品安全自查制度等食品卫生安全和质量保障机制，定期对食品安全状况进行检查评价，确保供货安全。</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向甲方提供营业执照、《食品生产许可证》、《食品经营许可证》、市场监督管理部门的备案证明（如涉及食品）、产品质检报告、税务登记证、法人身份证原件供甲方审验，并留存复印件存档；每次供货须提供货品的检测、检验报告、合格证、供货清单等合格证明材料。</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3.按照甲方要求，积极配合甲方及相关监管部门的监督检查工作。</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4.严格执行《中华人民共和国食品安全法》、《中华人民共和国产品质量法》等相关法律法规，建立并履行食品卫生安全和质量保障机制，确保供货安全。</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5.严格遵守甲方单位的各项规章制度，服从甲方管理，按时、按要求、保质保量完成承接的供货服务工作；遇纠纷时与甲方友好协商解决，不得与甲方工作人员发生不文明行为。</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6.乙方进入校园的车辆及人员须严格遵守学校的各项管理规定，服从学校管理。</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7.严格按照甲方招标文件及本合同约定，确保配送食材完全符合要求，并按照甲方分配的配送量及配送区域等提供优质服务。</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8.按照甲方要求定期提供产品报价，积极配合甲方及相关监管部门的监督检查工作。</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9.按照本合同约定收取经甲方验收合格后的货款。</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10.积极配合甲方建立的日常管理考核机制与定期回访制度，接受甲方的优胜劣汰管理。</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11.乙方应配合甲方建立电子化订货、对账系统，按要求使用甲方指定的信息化管理平台进行订单接收、发货确认、库存查询及结算对账。乙方应指定专人负责系统操作，确保信息及时准确。</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12.甲方有特殊需求等情况，乙方必须全力积极配合。</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13.乙方如需开展促销活动，须提前向甲方申请，并经甲方同意后方可开展。</w:t>
      </w:r>
      <w:r/>
    </w:p>
    <w:p>
      <w:pPr>
        <w:pStyle w:val="643"/>
        <w:ind w:left="0" w:right="0" w:firstLine="643"/>
        <w:jc w:val="both"/>
        <w:spacing w:before="260" w:after="26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十、违约责任</w:t>
      </w:r>
      <w:r/>
    </w:p>
    <w:p>
      <w:pPr>
        <w:pStyle w:val="644"/>
        <w:ind w:left="0" w:right="0" w:firstLine="6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（一）质量违约</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乙方所供货品存在下列情形之一的，甲方有权按同批次货款的50%向乙方收取违约金（每次违约金最低为500元，最高为2000元）；甲方可视情节严重程度，全部或部分没收履约保证金，并有权暂停结算货款、解除合同，乙方同时承担全部赔偿责任，履约保证金不足以赔偿的，乙方须补足差额：</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（1）预包装货品无品名、产地、厂名、生产日期、保质期、中文标识及原材料说明的；</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（2）预包装货品标签不醒目、不清晰、不持久，未执行《预包装食品标签规则》（GB7718—2011）的；</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（3）货品腐败变质、油脂酸败、霉变、生虫、污秽不洁、混有异物或感官性状异常，含有毒、有害物质或被污染的；</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（4）其他不符合食品卫生标准和质量要求的情形。</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乙方所供货品存在不新鲜、残次等任何质量问题的，甲方有权拒收；每发生一次拒收，乙方须按该次拒收物资总价的20%支付违约金（每次最低200元、最高1000元）。并及时补足合格货品；若乙方未及时补足，甲方可自行组织采购，相关费用由乙方承担，甲方从货款中直接扣除。合同有效期内累计拒收超过5次，视为乙方无法履行合</w:t>
      </w:r>
      <w:r>
        <w:rPr>
          <w:rFonts w:ascii="仿宋" w:hAnsi="仿宋" w:eastAsia="仿宋" w:cs="仿宋"/>
          <w:color w:val="auto"/>
          <w:spacing w:val="-3"/>
          <w:sz w:val="32"/>
          <w:highlight w:val="none"/>
        </w:rPr>
        <w:t xml:space="preserve">同</w:t>
      </w:r>
      <w:r>
        <w:rPr>
          <w:rFonts w:ascii="仿宋" w:hAnsi="仿宋" w:eastAsia="仿宋" w:cs="仿宋"/>
          <w:color w:val="auto"/>
          <w:spacing w:val="-2"/>
          <w:sz w:val="32"/>
          <w:highlight w:val="none"/>
        </w:rPr>
        <w:t xml:space="preserve">，</w:t>
      </w:r>
      <w:r>
        <w:rPr>
          <w:rFonts w:ascii="仿宋" w:hAnsi="仿宋" w:eastAsia="仿宋" w:cs="仿宋"/>
          <w:color w:val="auto"/>
          <w:spacing w:val="-3"/>
          <w:sz w:val="32"/>
          <w:highlight w:val="none"/>
        </w:rPr>
        <w:t xml:space="preserve">甲方有权解除合同</w:t>
      </w:r>
      <w:r>
        <w:rPr>
          <w:rFonts w:ascii="仿宋" w:hAnsi="仿宋" w:eastAsia="仿宋" w:cs="仿宋"/>
          <w:color w:val="auto"/>
          <w:spacing w:val="-2"/>
          <w:sz w:val="32"/>
          <w:highlight w:val="none"/>
        </w:rPr>
        <w:t xml:space="preserve">、</w:t>
      </w:r>
      <w:r>
        <w:rPr>
          <w:rFonts w:ascii="仿宋" w:hAnsi="仿宋" w:eastAsia="仿宋" w:cs="仿宋"/>
          <w:color w:val="auto"/>
          <w:spacing w:val="-3"/>
          <w:sz w:val="32"/>
          <w:highlight w:val="none"/>
        </w:rPr>
        <w:t xml:space="preserve">没收履约保证金并追究乙方全部违</w:t>
      </w:r>
      <w:r>
        <w:rPr>
          <w:rFonts w:ascii="仿宋" w:hAnsi="仿宋" w:eastAsia="仿宋" w:cs="仿宋"/>
          <w:color w:val="auto"/>
          <w:spacing w:val="-6"/>
          <w:sz w:val="32"/>
          <w:highlight w:val="none"/>
        </w:rPr>
        <w:t xml:space="preserve">约</w:t>
      </w:r>
      <w:r>
        <w:rPr>
          <w:rFonts w:ascii="仿宋" w:hAnsi="仿宋" w:eastAsia="仿宋" w:cs="仿宋"/>
          <w:color w:val="auto"/>
          <w:sz w:val="32"/>
          <w:highlight w:val="none"/>
        </w:rPr>
        <w:t xml:space="preserve">责任。</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3.乙方所供视频出现腐败变质、违禁添加剂、无溯源标识等严重质量问题的，除处同批次货款50％违约金（最低1000-2000元／次）外，甲方可没收履约保证金、解除合同，乙方需承担全部赔偿责任。</w:t>
      </w:r>
      <w:r/>
    </w:p>
    <w:p>
      <w:pPr>
        <w:pStyle w:val="644"/>
        <w:ind w:left="0" w:right="0" w:firstLine="6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（二）交货期限违约</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1.乙方未按甲方订单约定时间将货品送至指定地点的，除不可抗力（按《中华人民共和国民法典》相关规定界定）外，交通拥堵、事故、限行、雨雪天气等均不得作为延时理由，乙方须承担以下违约责任：</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（1）按逾期送达货品总价的日千分之三支付滞纳金；</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逾期未满1小时的，处违约金1000-3000元/次；逾期超过1小时的，处违约金3000-5000元/次；配送地点有误且未在约定时间内调整送达的，按延时处理。合同有效期内累计超过3次，视为乙方无法履行合同，甲方有权解除合同、没收履约保证金并追究乙方全部违约责任。</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乙方配送人员与甲方超市工作人员发生口角或不服从管理未配合相关工作的，每次对乙方处以500-1000元违约金；合同有效期内累计发生超过3次的，视为乙方无法履行合同，甲方有权解除合同、没收履约保证金并追究乙方全部违约责任。发生殴斗的，相关人员移送公安机关处理，乙方被永久性取缔供货资格，甲方解除合同、没收履约保证金，并追索由此造成的全部损失。</w:t>
      </w:r>
      <w:r/>
    </w:p>
    <w:p>
      <w:pPr>
        <w:pStyle w:val="644"/>
        <w:ind w:left="0" w:right="0" w:firstLine="6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（三）其他行为违约</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1.乙方相关人员送货后在超市内停留、乱窜、抽烟、随意食用超市食物的，每发现 1 次处以 500 -1000元违约金。</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2.乙方相关人员在装卸、运输过程中，造成甲方超市物品损坏、丢失的，须按物品实际采购价值全额赔偿。</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3.乙方未经甲方许可，擅自向甲方所属超市供货的，甲方予以全部退货，同时对乙方处以 3000-5000元违约金。</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4.乙方须在甲方通知后 3 个工作日内缴纳违约金，未按规定及时缴纳的，甲方直接从货款中扣除。</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5.乙方无故停止供货，或未经甲方书面同意将本合同的权利、义务转让给第三方的，甲方有权不予结算未结货款、没收履约保证金，并立即解除合同。</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6.乙方存在本条款未列明的其他违反合同约定、规章制度及法律法规规定的行为，或因乙方及其工作人员过错、管理不善等其他不当行为，给甲方造成人身损害、财产损失、名誉损失、经营损失及其他全部损失的，乙方应全额承担赔偿责任；同时甲方有权视情节轻重要求乙方承担相应违约责任，情节严重的，甲方有权单方解除本合同。</w:t>
      </w:r>
      <w:r/>
    </w:p>
    <w:p>
      <w:pPr>
        <w:pStyle w:val="643"/>
        <w:ind w:left="0" w:right="0" w:firstLine="643"/>
        <w:jc w:val="both"/>
        <w:spacing w:before="260" w:after="26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十一、退出机制</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1.乙方因自身原因需提前终止供货的，须</w:t>
      </w:r>
      <w:r>
        <w:rPr>
          <w:rFonts w:ascii="仿宋" w:hAnsi="仿宋" w:eastAsia="仿宋" w:cs="仿宋"/>
          <w:b/>
          <w:color w:val="auto"/>
          <w:sz w:val="32"/>
          <w:highlight w:val="none"/>
        </w:rPr>
        <w:t xml:space="preserve">提前90日</w:t>
      </w:r>
      <w:r>
        <w:rPr>
          <w:rFonts w:ascii="仿宋" w:hAnsi="仿宋" w:eastAsia="仿宋" w:cs="仿宋"/>
          <w:color w:val="auto"/>
          <w:sz w:val="32"/>
          <w:highlight w:val="none"/>
        </w:rPr>
        <w:t xml:space="preserve">向甲方提交书面退出申请，经甲方书面同意后，按甲方规定程序办理退出手续；未经甲方同意，乙方不得擅自停止供货，否则按本合同第九条违约责任相关约定处理。</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2.乙方发生食品安全事故或其他安全事故、被监管部门行政处罚、列入严重违法失信名单、相关资质证件被吊销等情形的，甲方可单方解除合同，乙方永久不得参与甲方任何采购项目。</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3.乙方在合同期内擅自断供、迟供、减量供应，严重影响甲方正常经营秩序，经甲方催告后仍未改正的，甲方有权终止合同、扣除相应履约保证金，并追究乙方赔偿责任。</w:t>
      </w:r>
      <w:r/>
    </w:p>
    <w:p>
      <w:pPr>
        <w:ind w:left="0" w:right="0" w:firstLine="640"/>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4.乙方在甲方日常考核中不合格，且在甲方指定的整改期限内仍未达标者，甲方有权单方终止本合同。</w:t>
      </w:r>
      <w:r/>
    </w:p>
    <w:p>
      <w:pPr>
        <w:pStyle w:val="643"/>
        <w:ind w:left="0" w:right="0" w:firstLine="643"/>
        <w:jc w:val="both"/>
        <w:spacing w:before="260" w:after="26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十二、其他约定事项</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（一）招标文件和中标单位的投标文件作为双方签订合同的依据，并作为正式合同的附件，具有法律效力。各类文件的具体效力顺序为：供货合同、招标文件、投标文件。</w:t>
      </w:r>
      <w:r/>
    </w:p>
    <w:p>
      <w:pPr>
        <w:ind w:left="0" w:right="0" w:firstLine="616"/>
        <w:jc w:val="both"/>
        <w:spacing w:before="24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二）本合同在履行过程中发生的争议，由双方当事人协商解决；协商不成的，依法向甲方所在人民法院提起诉讼。因诉讼产生的相关费用及开支（包括但不限于公证费、诉讼费、保全费、保全担保费、鉴定费、律师费、交通费用等）均由败诉方承担。</w:t>
      </w:r>
      <w:r/>
    </w:p>
    <w:p>
      <w:pPr>
        <w:ind w:left="0" w:right="0" w:firstLine="616"/>
        <w:jc w:val="both"/>
        <w:spacing w:before="240" w:after="0" w:line="558"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（三）本合同一式肆份，甲方叁份，乙方壹份。</w:t>
      </w:r>
      <w:r/>
    </w:p>
    <w:p>
      <w:pPr>
        <w:ind w:left="0" w:right="0" w:firstLine="0"/>
        <w:jc w:val="both"/>
        <w:spacing w:before="0" w:after="0" w:line="558"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32"/>
          <w:highlight w:val="none"/>
        </w:rPr>
        <w:t xml:space="preserve">甲方：南京医科大学 </w:t>
      </w:r>
      <w:r>
        <w:rPr>
          <w:rFonts w:ascii="仿宋" w:hAnsi="仿宋" w:eastAsia="仿宋" w:cs="仿宋"/>
          <w:color w:val="auto"/>
          <w:sz w:val="32"/>
          <w:highlight w:val="none"/>
        </w:rPr>
        <w:t xml:space="preserve">        </w:t>
      </w:r>
      <w:r>
        <w:rPr>
          <w:rFonts w:ascii="仿宋" w:hAnsi="仿宋" w:eastAsia="仿宋" w:cs="仿宋"/>
          <w:color w:val="auto"/>
          <w:spacing w:val="-6"/>
          <w:sz w:val="32"/>
          <w:highlight w:val="none"/>
        </w:rPr>
        <w:t xml:space="preserve">             乙方：</w:t>
      </w:r>
      <w:r/>
    </w:p>
    <w:p>
      <w:pPr>
        <w:ind w:left="0" w:right="0" w:firstLine="0"/>
        <w:jc w:val="both"/>
        <w:spacing w:before="240" w:after="0" w:line="558"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单位地址：</w:t>
      </w:r>
      <w:r>
        <w:rPr>
          <w:rFonts w:ascii="仿宋" w:hAnsi="仿宋" w:eastAsia="仿宋" w:cs="仿宋"/>
          <w:color w:val="auto"/>
          <w:sz w:val="28"/>
          <w:highlight w:val="none"/>
        </w:rPr>
        <w:t xml:space="preserve">江苏省南京市江宁区龙眠大道101号</w:t>
      </w:r>
      <w:r>
        <w:rPr>
          <w:rFonts w:ascii="仿宋" w:hAnsi="仿宋" w:eastAsia="仿宋" w:cs="仿宋"/>
          <w:color w:val="auto"/>
          <w:sz w:val="32"/>
          <w:highlight w:val="none"/>
        </w:rPr>
        <w:t xml:space="preserve">单位地址：</w:t>
      </w:r>
      <w:r/>
    </w:p>
    <w:p>
      <w:pPr>
        <w:ind w:left="0" w:right="0" w:firstLine="0"/>
        <w:jc w:val="both"/>
        <w:spacing w:before="0" w:after="0" w:line="558"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32"/>
          <w:highlight w:val="none"/>
        </w:rPr>
        <w:t xml:space="preserve">代表人：</w:t>
      </w:r>
      <w:r>
        <w:rPr>
          <w:rFonts w:ascii="仿宋" w:hAnsi="仿宋" w:eastAsia="仿宋" w:cs="仿宋"/>
          <w:color w:val="auto"/>
          <w:sz w:val="32"/>
          <w:highlight w:val="none"/>
        </w:rPr>
        <w:t xml:space="preserve">                         </w:t>
      </w:r>
      <w:r>
        <w:rPr>
          <w:rFonts w:ascii="仿宋" w:hAnsi="仿宋" w:eastAsia="仿宋" w:cs="仿宋"/>
          <w:color w:val="auto"/>
          <w:spacing w:val="-6"/>
          <w:sz w:val="32"/>
          <w:highlight w:val="none"/>
        </w:rPr>
        <w:t xml:space="preserve">    代表人：</w:t>
      </w:r>
      <w:r/>
    </w:p>
    <w:p>
      <w:pPr>
        <w:ind w:left="0" w:right="0" w:firstLine="0"/>
        <w:jc w:val="both"/>
        <w:spacing w:before="0" w:after="0" w:line="558"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32"/>
          <w:highlight w:val="none"/>
        </w:rPr>
        <w:t xml:space="preserve">联系电话：</w:t>
      </w:r>
      <w:r>
        <w:rPr>
          <w:rFonts w:ascii="仿宋" w:hAnsi="仿宋" w:eastAsia="仿宋" w:cs="仿宋"/>
          <w:color w:val="auto"/>
          <w:sz w:val="32"/>
          <w:highlight w:val="none"/>
        </w:rPr>
        <w:t xml:space="preserve">                           </w:t>
      </w:r>
      <w:r>
        <w:rPr>
          <w:rFonts w:ascii="仿宋" w:hAnsi="仿宋" w:eastAsia="仿宋" w:cs="仿宋"/>
          <w:color w:val="auto"/>
          <w:spacing w:val="-6"/>
          <w:sz w:val="32"/>
          <w:highlight w:val="none"/>
        </w:rPr>
        <w:t xml:space="preserve">联系电话：</w:t>
      </w:r>
      <w:r/>
    </w:p>
    <w:p>
      <w:pPr>
        <w:ind w:left="0" w:right="0" w:firstLine="0"/>
        <w:jc w:val="both"/>
        <w:spacing w:before="0" w:after="0" w:line="558"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32"/>
          <w:highlight w:val="none"/>
        </w:rPr>
        <w:t xml:space="preserve">签字时间：</w:t>
      </w:r>
      <w:r>
        <w:rPr>
          <w:rFonts w:ascii="仿宋" w:hAnsi="仿宋" w:eastAsia="仿宋" w:cs="仿宋"/>
          <w:color w:val="auto"/>
          <w:sz w:val="32"/>
          <w:highlight w:val="none"/>
        </w:rPr>
        <w:t xml:space="preserve">                           </w:t>
      </w:r>
      <w:r>
        <w:rPr>
          <w:rFonts w:ascii="仿宋" w:hAnsi="仿宋" w:eastAsia="仿宋" w:cs="仿宋"/>
          <w:color w:val="auto"/>
          <w:spacing w:val="-6"/>
          <w:sz w:val="32"/>
          <w:highlight w:val="none"/>
        </w:rPr>
        <w:t xml:space="preserve">签字时间：</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附件：《分项报价表》</w:t>
      </w:r>
      <w:r/>
    </w:p>
    <w:tbl>
      <w:tblPr>
        <w:tblStyle w:val="6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7"/>
        <w:gridCol w:w="3990"/>
        <w:gridCol w:w="1509"/>
        <w:gridCol w:w="1214"/>
        <w:gridCol w:w="1544"/>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90"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4"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单价</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（元）</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0"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 </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rPr>
          <w:rFonts w:ascii="宋体" w:hAnsi="宋体" w:eastAsia="宋体" w:cs="宋体"/>
          <w:color w:val="auto"/>
          <w:sz w:val="36"/>
          <w:highlight w:val="none"/>
        </w:rPr>
      </w:pPr>
      <w:r>
        <w:rPr>
          <w:rFonts w:ascii="宋体" w:hAnsi="宋体" w:eastAsia="宋体" w:cs="宋体"/>
          <w:color w:val="auto"/>
          <w:sz w:val="36"/>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第六章 投标文件格式及附件</w:t>
      </w:r>
      <w:r/>
    </w:p>
    <w:p>
      <w:pPr>
        <w:ind w:left="56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投标文件</w:t>
      </w:r>
      <w:r/>
    </w:p>
    <w:p>
      <w:pPr>
        <w:ind w:left="0" w:right="0" w:firstLine="3708"/>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 目 编 号：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 目 名 称：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采 购 包 号：</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both"/>
        <w:spacing w:before="24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both"/>
        <w:spacing w:before="24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投标人名称 ：（加盖CA电子公章）</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日期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投标文件主要目录及相关证明材料格式、附件</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一、投标申请及声明</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二、法定代表人授权书</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三、开标一览表</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四、分项报价表</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五、技术条款偏离表</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六、商务条款偏离表</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七、投标需要的其他证明文件及材料（若有）</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附件一、无重大违法记录声明格式</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附件二、具备履行合同所必需的设备和专业技术能力的声明格式及证明材料</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附件三、业绩一览表</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附件四、中小企业声明函格式</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附件五、残疾人福利性单位声明函格式</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附件六、属于监狱企业的证明文件</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附件七、食品安全责任险承诺书</w:t>
      </w:r>
      <w:r>
        <w:rPr>
          <w:color w:val="auto"/>
          <w:highlight w:val="none"/>
        </w:rPr>
        <w:br w:type="page" w:clear="all"/>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目录一、投标申请及声明格式</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投标申请及声明</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致：南京医科大学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根据贵方（项目名称）（项目编号）（采购包号）投标邀请，正式授权下述签字人（姓名和职务）代表投标人（投标人名称），提交投标文件。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据此函，签字人兹宣布声明和承诺如下：</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w:t>
      </w:r>
      <w:r>
        <w:rPr>
          <w:rFonts w:ascii="宋体" w:hAnsi="宋体" w:eastAsia="宋体" w:cs="宋体"/>
          <w:b/>
          <w:color w:val="auto"/>
          <w:sz w:val="22"/>
          <w:highlight w:val="none"/>
        </w:rPr>
        <w:t xml:space="preserve">我们的资格条件完全符合政府采购法和本次招标要求</w:t>
      </w:r>
      <w:r>
        <w:rPr>
          <w:rFonts w:ascii="宋体" w:hAnsi="宋体" w:eastAsia="宋体" w:cs="宋体"/>
          <w:color w:val="auto"/>
          <w:sz w:val="22"/>
          <w:highlight w:val="none"/>
        </w:rPr>
        <w:t xml:space="preserve">，我们同意并向贵方提供了与投标有关的所有证据和资料。</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2、按招标要求，我们的投标报价：人民币（大写）</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元，人民币（小写）</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元。</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3、我们已详细审核全部招标文件及其有效补充文件，我们放弃对招标文件任何误解的权利，提交投标文件后，</w:t>
      </w:r>
      <w:r>
        <w:rPr>
          <w:rFonts w:ascii="宋体" w:hAnsi="宋体" w:eastAsia="宋体" w:cs="宋体"/>
          <w:b/>
          <w:color w:val="auto"/>
          <w:sz w:val="22"/>
          <w:highlight w:val="none"/>
        </w:rPr>
        <w:t xml:space="preserve">不对招标文件本身提出质疑</w:t>
      </w:r>
      <w:r>
        <w:rPr>
          <w:rFonts w:ascii="宋体" w:hAnsi="宋体" w:eastAsia="宋体" w:cs="宋体"/>
          <w:color w:val="auto"/>
          <w:sz w:val="22"/>
          <w:highlight w:val="none"/>
        </w:rPr>
        <w:t xml:space="preserve">。否则，属于不诚信和故意扰乱政府采购活动行为，我们将无条件接受处罚。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4、我们同意从规定的开标日期起遵循本投标文件，并在规定的投标有效期期满之前均具有约束力。</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5、一旦我方中标，我方将根据招标文件的规定严格履行合同，并保证于承诺的时间完成服务的启动/集成、调试等服务，交付采购人验收、使用。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7、与本投标有关的正式联系方式为：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地址：</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电话：</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传真：</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开户银行：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银行账号：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供应商授权代表姓名（签字）：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供应商名称（加盖CA电子公章）：</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日期：年月日</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目录二、法定代表人授权书格式</w:t>
      </w:r>
      <w:r/>
    </w:p>
    <w:p>
      <w:pPr>
        <w:ind w:left="0" w:right="0" w:firstLine="72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法定代表人授权委托书</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南京医科大学：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授权书声明：注册于（投标人住址）的（投标人名称）法定代表人（法定代表人姓名、职务）代表本公司授权在下面签字的（投标人代表姓名、职务）为本公司的合法代理人，就贵方组织的（项目名称），（项目编号），（采购包号）投标，以本公司名义处理一切与之有关的事务。</w:t>
      </w:r>
      <w:r/>
    </w:p>
    <w:p>
      <w:pPr>
        <w:ind w:left="0" w:right="0" w:firstLine="408"/>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本授权书于年月日签字生效，特此声明。</w:t>
      </w:r>
      <w:r/>
    </w:p>
    <w:p>
      <w:pPr>
        <w:ind w:left="0" w:right="0" w:firstLine="408"/>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法定代表人（签字或盖章）：</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授权委托人（签字）：</w:t>
      </w:r>
      <w:r/>
    </w:p>
    <w:p>
      <w:pPr>
        <w:ind w:left="0" w:right="0" w:firstLine="420"/>
        <w:jc w:val="both"/>
        <w:spacing w:before="0" w:after="0"/>
        <w:tabs>
          <w:tab w:val="left" w:pos="14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供应商名称（加盖CA电子公章）：</w:t>
      </w:r>
      <w:r/>
    </w:p>
    <w:p>
      <w:pPr>
        <w:ind w:left="0" w:right="0" w:firstLine="420"/>
        <w:jc w:val="both"/>
        <w:spacing w:before="0" w:after="0"/>
        <w:tabs>
          <w:tab w:val="left" w:pos="14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日期：年月日</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法定代表人或被授权人身份证复印件：</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供应商为被授权人缴纳社保证明：</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目录三、开标一览表格式</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开标一览表</w:t>
      </w:r>
      <w:r/>
    </w:p>
    <w:p>
      <w:pPr>
        <w:ind w:left="0" w:right="0" w:firstLine="0"/>
        <w:jc w:val="both"/>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投标人全称（加盖CA电子签章）：</w:t>
      </w:r>
      <w:r/>
    </w:p>
    <w:p>
      <w:pPr>
        <w:ind w:left="0" w:right="0" w:firstLine="480"/>
        <w:jc w:val="both"/>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 </w:t>
      </w:r>
      <w:r/>
    </w:p>
    <w:p>
      <w:pPr>
        <w:ind w:left="0" w:right="0" w:firstLine="480"/>
        <w:jc w:val="both"/>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 </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分包号：</w:t>
      </w:r>
      <w:r/>
    </w:p>
    <w:p>
      <w:pPr>
        <w:ind w:left="0" w:right="0" w:firstLine="482"/>
        <w:jc w:val="right"/>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bl>
      <w:tblPr>
        <w:tblStyle w:val="6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8066"/>
      </w:tblGrid>
      <w:tr>
        <w:trPr>
          <w:trHeight w:val="6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6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总报价</w:t>
            </w:r>
            <w:r/>
          </w:p>
        </w:tc>
      </w:tr>
      <w:tr>
        <w:trPr>
          <w:trHeight w:val="1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66"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小写：</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w:t>
            </w:r>
            <w:r/>
          </w:p>
        </w:tc>
      </w:tr>
    </w:tbl>
    <w:p>
      <w:pPr>
        <w:ind w:left="0" w:right="0" w:firstLine="0"/>
        <w:jc w:val="right"/>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年 月 日</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ind w:left="0" w:right="0" w:firstLine="0"/>
        <w:jc w:val="both"/>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420"/>
        <w:jc w:val="both"/>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填写说明：</w:t>
      </w:r>
      <w:r/>
    </w:p>
    <w:p>
      <w:pPr>
        <w:ind w:left="0" w:right="0" w:firstLine="420"/>
        <w:jc w:val="both"/>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420"/>
        <w:jc w:val="both"/>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1、开标一览表必须加盖投标人CA电子公章。</w:t>
      </w:r>
      <w:r/>
    </w:p>
    <w:p>
      <w:pPr>
        <w:ind w:left="0" w:right="0" w:firstLine="420"/>
        <w:jc w:val="both"/>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2、投标总报价为：各项投标单价*预估用量的合计。本次“投标总报价”仅做为报价评审依据。</w:t>
      </w:r>
      <w:r/>
    </w:p>
    <w:p>
      <w:pPr>
        <w:ind w:left="0" w:right="0" w:firstLine="420"/>
        <w:jc w:val="both"/>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ind w:left="0" w:right="0" w:firstLine="0"/>
        <w:jc w:val="both"/>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ind w:left="0" w:right="0" w:firstLine="0"/>
        <w:jc w:val="both"/>
        <w:spacing w:before="21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both"/>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rPr>
          <w:rFonts w:ascii="宋体" w:hAnsi="宋体" w:eastAsia="宋体" w:cs="宋体"/>
          <w:b/>
          <w:color w:val="auto"/>
          <w:sz w:val="22"/>
          <w:highlight w:val="none"/>
        </w:rPr>
      </w:pPr>
      <w:r>
        <w:rPr>
          <w:rFonts w:ascii="宋体" w:hAnsi="宋体" w:eastAsia="宋体" w:cs="宋体"/>
          <w:b/>
          <w:color w:val="auto"/>
          <w:sz w:val="22"/>
          <w:highlight w:val="none"/>
        </w:rPr>
        <w:br w:type="page" w:clear="all"/>
      </w:r>
      <w:r/>
    </w:p>
    <w:p>
      <w:pPr>
        <w:ind w:left="0" w:right="0" w:firstLine="0"/>
        <w:jc w:val="both"/>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目录四、分项报价表</w:t>
      </w:r>
      <w:r/>
    </w:p>
    <w:p>
      <w:pPr>
        <w:ind w:left="0" w:right="0" w:firstLine="0"/>
        <w:jc w:val="both"/>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详见采购公告附件</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目录五、技术条款偏离表格式</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技术条款偏离表</w:t>
      </w:r>
      <w:r/>
    </w:p>
    <w:tbl>
      <w:tblPr>
        <w:tblStyle w:val="6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949"/>
        <w:gridCol w:w="2710"/>
        <w:gridCol w:w="2456"/>
        <w:gridCol w:w="1423"/>
      </w:tblGrid>
      <w:tr>
        <w:trPr>
          <w:trHeight w:val="284"/>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354"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项目名称：          项目编号：            采购包号：</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1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4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1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招标文件要求的技术条款</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5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2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17"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49"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10"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56"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23"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17"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49"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10"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56"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23"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17"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49"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10"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56"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23"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供应商名称：</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（加盖CA电子公章）</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说明：1、如果行数不够，请自行增加。</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2、供应商需在上表中对第四章“★（第二部分 技术部分）”中的相关内容进行响应。</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600" w:right="0" w:firstLine="0"/>
        <w:jc w:val="both"/>
        <w:spacing w:before="210" w:after="210"/>
        <w:rPr>
          <w:rFonts w:ascii="宋体" w:hAnsi="宋体" w:eastAsia="宋体" w:cs="宋体"/>
          <w:b/>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ind w:left="600" w:right="0" w:firstLine="0"/>
        <w:jc w:val="both"/>
        <w:spacing w:before="210" w:after="210"/>
        <w:rPr>
          <w:rFonts w:ascii="宋体" w:hAnsi="宋体" w:eastAsia="宋体" w:cs="宋体"/>
          <w:b/>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r>
      <w:r/>
    </w:p>
    <w:p>
      <w:pPr>
        <w:ind w:left="600" w:right="0" w:firstLine="0"/>
        <w:jc w:val="both"/>
        <w:spacing w:before="210" w:after="210"/>
        <w:rPr>
          <w:rFonts w:ascii="宋体" w:hAnsi="宋体" w:eastAsia="宋体" w:cs="宋体"/>
          <w:b/>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目录六、商务条款偏离表格式</w:t>
      </w:r>
      <w:r/>
    </w:p>
    <w:p>
      <w:pPr>
        <w:ind w:left="42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商务条款偏离表</w:t>
      </w:r>
      <w:r/>
    </w:p>
    <w:tbl>
      <w:tblPr>
        <w:tblStyle w:val="6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949"/>
        <w:gridCol w:w="2710"/>
        <w:gridCol w:w="2456"/>
        <w:gridCol w:w="1423"/>
      </w:tblGrid>
      <w:tr>
        <w:trPr>
          <w:trHeight w:val="284"/>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354"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项目名称：          项目编号：            采购包号：</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1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4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1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招标文件要求的商务条款</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5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2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17"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49"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10"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56"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23"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17"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49"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10"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56"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23"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17"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49"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10"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56"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23"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供应商名称：</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（加盖CA电子公章）</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日期：年月日</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说明：</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1、如果行、列数不够，请自行增加。</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2、供应商需在上表中对第四章“★（第三部分 商务部分）”中的相关内容进行响应。</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目录七、投标需要的其他证明文件及材料</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投标需要的其他证明文件及材料（若有）</w:t>
      </w:r>
      <w:r/>
    </w:p>
    <w:p>
      <w:pPr>
        <w:ind w:left="0" w:right="0" w:firstLine="0"/>
        <w:jc w:val="both"/>
        <w:spacing w:before="50" w:after="50"/>
        <w:rPr>
          <w:rFonts w:ascii="宋体" w:hAnsi="宋体" w:eastAsia="宋体" w:cs="宋体"/>
          <w:b/>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rPr>
          <w:rFonts w:ascii="宋体" w:hAnsi="宋体" w:eastAsia="宋体" w:cs="宋体"/>
          <w:b/>
          <w:color w:val="auto"/>
          <w:sz w:val="22"/>
          <w:highlight w:val="none"/>
        </w:rPr>
        <w:br w:type="page" w:clear="all"/>
      </w:r>
      <w:r/>
    </w:p>
    <w:p>
      <w:pPr>
        <w:ind w:left="0" w:right="0" w:firstLine="0"/>
        <w:jc w:val="both"/>
        <w:spacing w:before="50" w:after="5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附件一、无重大违法记录声明格式</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无重大违法记录声明</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南京医科大学：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我单位</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（供应商名称）郑重声明：</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参加政府采购活动前3年内在经营活动中</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（在下划线上如实填写：有或没有）重大违法记录。</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46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声明人（加盖CA电子公章）：</w:t>
      </w:r>
      <w:r/>
    </w:p>
    <w:p>
      <w:pPr>
        <w:ind w:left="0" w:right="0" w:firstLine="46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日　　　　期：年月日</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附件二、具备履行合同所必需的设备和专业技术能力的声明格式及证明材料</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具备履行合同所必需的设备和专业技术能力的声明</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南京医科大学：</w:t>
      </w:r>
      <w:r/>
    </w:p>
    <w:p>
      <w:pPr>
        <w:ind w:left="0" w:right="0" w:firstLine="49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我单位</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主要设备有：</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w:t>
      </w:r>
      <w:r/>
    </w:p>
    <w:p>
      <w:pPr>
        <w:ind w:left="0" w:right="0" w:firstLine="49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主要专业技术能力有：</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声明人：（加盖CA电子公章）</w:t>
      </w:r>
      <w:r/>
    </w:p>
    <w:p>
      <w:pPr>
        <w:ind w:left="0" w:right="0" w:firstLine="63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日期：______年</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月</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日</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492"/>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其他证明材料及文件：（如果投标人认为需要提供的话）</w:t>
      </w:r>
      <w:r/>
    </w:p>
    <w:p>
      <w:pPr>
        <w:ind w:left="0" w:right="0" w:firstLine="0"/>
        <w:jc w:val="both"/>
        <w:spacing w:before="2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ind w:left="0" w:right="0" w:firstLine="0"/>
        <w:jc w:val="both"/>
        <w:spacing w:before="24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ind w:left="0" w:right="0" w:firstLine="0"/>
        <w:jc w:val="both"/>
        <w:spacing w:before="24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附件三、业绩一览表</w:t>
      </w:r>
      <w:r/>
    </w:p>
    <w:tbl>
      <w:tblPr>
        <w:tblStyle w:val="6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0"/>
        <w:gridCol w:w="1871"/>
        <w:gridCol w:w="1871"/>
        <w:gridCol w:w="2430"/>
        <w:gridCol w:w="13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合同时间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合同名称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签订单位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合同履行联系人及电话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40" w:after="12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24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附件四、中小企业声明函格式</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中小企业声明函（货物）</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本公司（联合体）郑重声明，根据《政府采购促进中小企业发展管理办法》（财库﹝2020﹞46 号）的规定，本公司（联合体）参加</w:t>
      </w:r>
      <w:r>
        <w:rPr>
          <w:rFonts w:ascii="宋体" w:hAnsi="宋体" w:eastAsia="宋体" w:cs="宋体"/>
          <w:color w:val="auto"/>
          <w:sz w:val="22"/>
          <w:highlight w:val="none"/>
          <w:u w:val="single"/>
        </w:rPr>
        <w:t xml:space="preserve">（单位名称）</w:t>
      </w:r>
      <w:r>
        <w:rPr>
          <w:rFonts w:ascii="宋体" w:hAnsi="宋体" w:eastAsia="宋体" w:cs="宋体"/>
          <w:color w:val="auto"/>
          <w:sz w:val="22"/>
          <w:highlight w:val="none"/>
        </w:rPr>
        <w:t xml:space="preserve">的</w:t>
      </w:r>
      <w:r>
        <w:rPr>
          <w:rFonts w:ascii="宋体" w:hAnsi="宋体" w:eastAsia="宋体" w:cs="宋体"/>
          <w:color w:val="auto"/>
          <w:sz w:val="22"/>
          <w:highlight w:val="none"/>
          <w:u w:val="single"/>
        </w:rPr>
        <w:t xml:space="preserve">（项目名称）</w:t>
      </w:r>
      <w:r>
        <w:rPr>
          <w:rFonts w:ascii="宋体" w:hAnsi="宋体" w:eastAsia="宋体" w:cs="宋体"/>
          <w:color w:val="auto"/>
          <w:sz w:val="22"/>
          <w:highlight w:val="none"/>
        </w:rPr>
        <w:t xml:space="preserve">采购活动，提供的货物全部由符合政策要求的中小企业制造。相关企业（含联合体中的中小企业、签订分包意向协议的中小企业）</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的具体情况如下：</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（标的名称），属于</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u w:val="single"/>
        </w:rPr>
        <w:t xml:space="preserve">工业</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（采购文件中明确的所属行业）行业；制造商为</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（企业名称），从业人员</w:t>
      </w:r>
      <w:r>
        <w:rPr>
          <w:rFonts w:ascii="宋体" w:hAnsi="宋体" w:eastAsia="宋体" w:cs="宋体"/>
          <w:color w:val="auto"/>
          <w:sz w:val="22"/>
          <w:highlight w:val="none"/>
          <w:u w:val="single"/>
        </w:rPr>
        <w:tab/>
      </w:r>
      <w:r>
        <w:rPr>
          <w:rFonts w:ascii="宋体" w:hAnsi="宋体" w:eastAsia="宋体" w:cs="宋体"/>
          <w:color w:val="auto"/>
          <w:sz w:val="22"/>
          <w:highlight w:val="none"/>
        </w:rPr>
        <w:t xml:space="preserve">人，营业收入为</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u w:val="single"/>
        </w:rPr>
        <w:tab/>
      </w:r>
      <w:r>
        <w:rPr>
          <w:rFonts w:ascii="宋体" w:hAnsi="宋体" w:eastAsia="宋体" w:cs="宋体"/>
          <w:color w:val="auto"/>
          <w:sz w:val="22"/>
          <w:highlight w:val="none"/>
        </w:rPr>
        <w:t xml:space="preserve">万元，资产总额为</w:t>
      </w:r>
      <w:r>
        <w:rPr>
          <w:rFonts w:ascii="宋体" w:hAnsi="宋体" w:eastAsia="宋体" w:cs="宋体"/>
          <w:color w:val="auto"/>
          <w:sz w:val="22"/>
          <w:highlight w:val="none"/>
          <w:u w:val="single"/>
        </w:rPr>
        <w:tab/>
      </w:r>
      <w:r>
        <w:rPr>
          <w:rFonts w:ascii="宋体" w:hAnsi="宋体" w:eastAsia="宋体" w:cs="宋体"/>
          <w:color w:val="auto"/>
          <w:sz w:val="22"/>
          <w:highlight w:val="none"/>
        </w:rPr>
        <w:t xml:space="preserve">万元，属于</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（中型企业、小型企业、微型企业）；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（标的名称），属于</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u w:val="single"/>
        </w:rPr>
        <w:t xml:space="preserve">工业</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（采购文件中明确的所属行业）行业；制造商为</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（企业名称），从业人员</w:t>
      </w:r>
      <w:r>
        <w:rPr>
          <w:rFonts w:ascii="宋体" w:hAnsi="宋体" w:eastAsia="宋体" w:cs="宋体"/>
          <w:color w:val="auto"/>
          <w:sz w:val="22"/>
          <w:highlight w:val="none"/>
          <w:u w:val="single"/>
        </w:rPr>
        <w:tab/>
      </w:r>
      <w:r>
        <w:rPr>
          <w:rFonts w:ascii="宋体" w:hAnsi="宋体" w:eastAsia="宋体" w:cs="宋体"/>
          <w:color w:val="auto"/>
          <w:sz w:val="22"/>
          <w:highlight w:val="none"/>
        </w:rPr>
        <w:t xml:space="preserve">人，营业收入为</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u w:val="single"/>
        </w:rPr>
        <w:tab/>
      </w:r>
      <w:r>
        <w:rPr>
          <w:rFonts w:ascii="宋体" w:hAnsi="宋体" w:eastAsia="宋体" w:cs="宋体"/>
          <w:color w:val="auto"/>
          <w:sz w:val="22"/>
          <w:highlight w:val="none"/>
        </w:rPr>
        <w:t xml:space="preserve">万元，资产总额为</w:t>
      </w:r>
      <w:r>
        <w:rPr>
          <w:rFonts w:ascii="宋体" w:hAnsi="宋体" w:eastAsia="宋体" w:cs="宋体"/>
          <w:color w:val="auto"/>
          <w:sz w:val="22"/>
          <w:highlight w:val="none"/>
          <w:u w:val="single"/>
        </w:rPr>
        <w:tab/>
      </w:r>
      <w:r>
        <w:rPr>
          <w:rFonts w:ascii="宋体" w:hAnsi="宋体" w:eastAsia="宋体" w:cs="宋体"/>
          <w:color w:val="auto"/>
          <w:sz w:val="22"/>
          <w:highlight w:val="none"/>
        </w:rPr>
        <w:t xml:space="preserve">万元，属于</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（中型企业、小型企业、微型企业）；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以上企业，不属于大企业的分支机构，不存在控股股东为大企业的情形，也不存在与大企业的负责人为同一人的情形。</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本企业对上述声明内容的真实性负责。如有虚假，将依法承担相应责任。</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企业名称（加盖CA电子公章）：</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日期：</w:t>
      </w:r>
      <w:r/>
    </w:p>
    <w:p>
      <w:pPr>
        <w:ind w:left="0" w:right="0" w:firstLine="0"/>
        <w:jc w:val="both"/>
        <w:spacing w:before="0" w:after="0" w:line="438"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2"/>
          <w:highlight w:val="none"/>
        </w:rPr>
        <w:t xml:space="preserve"> </w:t>
      </w:r>
      <w:r/>
    </w:p>
    <w:p>
      <w:pPr>
        <w:ind w:left="0" w:right="0" w:firstLine="0"/>
        <w:jc w:val="both"/>
        <w:spacing w:before="0" w:after="0" w:line="43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备注</w:t>
      </w:r>
      <w:r>
        <w:rPr>
          <w:rFonts w:ascii="Times New Roman" w:hAnsi="Times New Roman" w:eastAsia="Times New Roman" w:cs="Times New Roman"/>
          <w:b/>
          <w:color w:val="auto"/>
          <w:sz w:val="22"/>
          <w:highlight w:val="none"/>
        </w:rPr>
        <w:t xml:space="preserve">1</w:t>
      </w:r>
      <w:r>
        <w:rPr>
          <w:rFonts w:ascii="宋体" w:hAnsi="宋体" w:eastAsia="宋体" w:cs="宋体"/>
          <w:b/>
          <w:color w:val="auto"/>
          <w:sz w:val="22"/>
          <w:highlight w:val="none"/>
        </w:rPr>
        <w:t xml:space="preserve">：</w:t>
      </w:r>
      <w:r>
        <w:rPr>
          <w:rFonts w:ascii="宋体" w:hAnsi="宋体" w:eastAsia="宋体" w:cs="宋体"/>
          <w:color w:val="auto"/>
          <w:sz w:val="22"/>
          <w:highlight w:val="none"/>
        </w:rPr>
        <w:t xml:space="preserve">从业人员、营业收入、资产总额填报上一年度数据，无上一年度数据的新成立企业可不填报。</w:t>
      </w:r>
      <w:r/>
    </w:p>
    <w:p>
      <w:pPr>
        <w:ind w:left="0" w:right="0" w:firstLine="0"/>
        <w:jc w:val="both"/>
        <w:spacing w:before="0" w:after="0" w:line="43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备注</w:t>
      </w:r>
      <w:r>
        <w:rPr>
          <w:rFonts w:ascii="Times New Roman" w:hAnsi="Times New Roman" w:eastAsia="Times New Roman" w:cs="Times New Roman"/>
          <w:b/>
          <w:color w:val="auto"/>
          <w:sz w:val="22"/>
          <w:highlight w:val="none"/>
        </w:rPr>
        <w:t xml:space="preserve">2</w:t>
      </w:r>
      <w:r>
        <w:rPr>
          <w:rFonts w:ascii="宋体" w:hAnsi="宋体" w:eastAsia="宋体" w:cs="宋体"/>
          <w:b/>
          <w:color w:val="auto"/>
          <w:sz w:val="22"/>
          <w:highlight w:val="none"/>
        </w:rPr>
        <w:t xml:space="preserve">：</w:t>
      </w:r>
      <w:r>
        <w:rPr>
          <w:rFonts w:ascii="宋体" w:hAnsi="宋体" w:eastAsia="宋体" w:cs="宋体"/>
          <w:color w:val="auto"/>
          <w:sz w:val="22"/>
          <w:highlight w:val="none"/>
        </w:rPr>
        <w:t xml:space="preserve">投标人对以上数据的真实性负责，中标人如享受本项目小微企业扶持政策的，其《中小企业声明函》将随本项目的中标结果同时公告，接受社会监督。</w:t>
      </w:r>
      <w:r/>
    </w:p>
    <w:p>
      <w:pPr>
        <w:ind w:left="0" w:right="0" w:firstLine="0"/>
        <w:jc w:val="both"/>
        <w:spacing w:before="0" w:after="0" w:line="43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备注</w:t>
      </w:r>
      <w:r>
        <w:rPr>
          <w:rFonts w:ascii="Times New Roman" w:hAnsi="Times New Roman" w:eastAsia="Times New Roman" w:cs="Times New Roman"/>
          <w:b/>
          <w:color w:val="auto"/>
          <w:sz w:val="22"/>
          <w:highlight w:val="none"/>
        </w:rPr>
        <w:t xml:space="preserve">3</w:t>
      </w:r>
      <w:r>
        <w:rPr>
          <w:rFonts w:ascii="宋体" w:hAnsi="宋体" w:eastAsia="宋体" w:cs="宋体"/>
          <w:b/>
          <w:color w:val="auto"/>
          <w:sz w:val="22"/>
          <w:highlight w:val="none"/>
        </w:rPr>
        <w:t xml:space="preserve">：</w:t>
      </w:r>
      <w:r>
        <w:rPr>
          <w:rFonts w:ascii="宋体" w:hAnsi="宋体" w:eastAsia="宋体" w:cs="宋体"/>
          <w:color w:val="auto"/>
          <w:sz w:val="22"/>
          <w:highlight w:val="none"/>
        </w:rPr>
        <w:t xml:space="preserve">本项目为货物采购，供应商提供的货物全部由小微企业制造，才能享受小微企业扶持价格扣除政策。填报《中小企业声明函》时不能填写批发商，要对货物的制造商进行溯源。</w:t>
      </w:r>
      <w:r/>
    </w:p>
    <w:p>
      <w:pPr>
        <w:ind w:left="0" w:right="0" w:firstLine="0"/>
        <w:jc w:val="both"/>
        <w:spacing w:before="0" w:after="0" w:line="43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附件</w:t>
      </w:r>
      <w:r>
        <w:rPr>
          <w:rFonts w:ascii="Times New Roman" w:hAnsi="Times New Roman" w:eastAsia="Times New Roman" w:cs="Times New Roman"/>
          <w:b/>
          <w:color w:val="auto"/>
          <w:sz w:val="22"/>
          <w:highlight w:val="none"/>
        </w:rPr>
        <w:t xml:space="preserve">4</w:t>
      </w:r>
      <w:r>
        <w:rPr>
          <w:rFonts w:ascii="宋体" w:hAnsi="宋体" w:eastAsia="宋体" w:cs="宋体"/>
          <w:b/>
          <w:color w:val="auto"/>
          <w:sz w:val="22"/>
          <w:highlight w:val="none"/>
        </w:rPr>
        <w:t xml:space="preserve">：</w:t>
      </w:r>
      <w:r>
        <w:rPr>
          <w:rFonts w:ascii="宋体" w:hAnsi="宋体" w:eastAsia="宋体" w:cs="宋体"/>
          <w:color w:val="auto"/>
          <w:sz w:val="22"/>
          <w:highlight w:val="none"/>
        </w:rPr>
        <w:t xml:space="preserve">如可以享受中小企业政策的投标人，按照如上声明函的格式如实填写，对照采购需求中所提供的《采购清单》的每一项和采购文件明确的采购标的所属行业逐项填报每一种货物的制造商信息。如缺任意一项报价将不参与优惠。</w:t>
      </w:r>
      <w:r/>
    </w:p>
    <w:p>
      <w:pPr>
        <w:ind w:left="0" w:right="0" w:firstLine="0"/>
        <w:jc w:val="both"/>
        <w:spacing w:before="0" w:after="0" w:line="43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备注</w:t>
      </w:r>
      <w:r>
        <w:rPr>
          <w:rFonts w:ascii="Times New Roman" w:hAnsi="Times New Roman" w:eastAsia="Times New Roman" w:cs="Times New Roman"/>
          <w:b/>
          <w:color w:val="auto"/>
          <w:sz w:val="22"/>
          <w:highlight w:val="none"/>
        </w:rPr>
        <w:t xml:space="preserve">5</w:t>
      </w:r>
      <w:r>
        <w:rPr>
          <w:rFonts w:ascii="宋体" w:hAnsi="宋体" w:eastAsia="宋体" w:cs="宋体"/>
          <w:b/>
          <w:color w:val="auto"/>
          <w:sz w:val="22"/>
          <w:highlight w:val="none"/>
        </w:rPr>
        <w:t xml:space="preserve">：</w:t>
      </w:r>
      <w:r>
        <w:rPr>
          <w:rFonts w:ascii="宋体" w:hAnsi="宋体" w:eastAsia="宋体" w:cs="宋体"/>
          <w:color w:val="auto"/>
          <w:sz w:val="22"/>
          <w:highlight w:val="none"/>
        </w:rPr>
        <w:t xml:space="preserve">依据《关于印发中小企业划型标准规定的通知》（工信部联企业〔</w:t>
      </w:r>
      <w:r>
        <w:rPr>
          <w:rFonts w:ascii="Times New Roman" w:hAnsi="Times New Roman" w:eastAsia="Times New Roman" w:cs="Times New Roman"/>
          <w:color w:val="auto"/>
          <w:sz w:val="22"/>
          <w:highlight w:val="none"/>
        </w:rPr>
        <w:t xml:space="preserve">2011</w:t>
      </w:r>
      <w:r>
        <w:rPr>
          <w:rFonts w:ascii="宋体" w:hAnsi="宋体" w:eastAsia="宋体" w:cs="宋体"/>
          <w:color w:val="auto"/>
          <w:sz w:val="22"/>
          <w:highlight w:val="none"/>
        </w:rPr>
        <w:t xml:space="preserve">〕</w:t>
      </w:r>
      <w:r>
        <w:rPr>
          <w:rFonts w:ascii="Times New Roman" w:hAnsi="Times New Roman" w:eastAsia="Times New Roman" w:cs="Times New Roman"/>
          <w:color w:val="auto"/>
          <w:sz w:val="22"/>
          <w:highlight w:val="none"/>
        </w:rPr>
        <w:t xml:space="preserve">300</w:t>
      </w:r>
      <w:r>
        <w:rPr>
          <w:rFonts w:ascii="宋体" w:hAnsi="宋体" w:eastAsia="宋体" w:cs="宋体"/>
          <w:color w:val="auto"/>
          <w:sz w:val="22"/>
          <w:highlight w:val="none"/>
        </w:rPr>
        <w:t xml:space="preserve">号 ）：</w:t>
      </w:r>
      <w:r/>
    </w:p>
    <w:p>
      <w:pPr>
        <w:ind w:left="0" w:right="0" w:firstLine="0"/>
        <w:jc w:val="both"/>
        <w:spacing w:before="0" w:after="0" w:line="43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工业。从业人员</w:t>
      </w:r>
      <w:r>
        <w:rPr>
          <w:rFonts w:ascii="Times New Roman" w:hAnsi="Times New Roman" w:eastAsia="Times New Roman" w:cs="Times New Roman"/>
          <w:color w:val="auto"/>
          <w:sz w:val="22"/>
          <w:highlight w:val="none"/>
        </w:rPr>
        <w:t xml:space="preserve">1000</w:t>
      </w:r>
      <w:r>
        <w:rPr>
          <w:rFonts w:ascii="宋体" w:hAnsi="宋体" w:eastAsia="宋体" w:cs="宋体"/>
          <w:color w:val="auto"/>
          <w:sz w:val="22"/>
          <w:highlight w:val="none"/>
        </w:rPr>
        <w:t xml:space="preserve">人以下或营业收入</w:t>
      </w:r>
      <w:r>
        <w:rPr>
          <w:rFonts w:ascii="Times New Roman" w:hAnsi="Times New Roman" w:eastAsia="Times New Roman" w:cs="Times New Roman"/>
          <w:color w:val="auto"/>
          <w:sz w:val="22"/>
          <w:highlight w:val="none"/>
        </w:rPr>
        <w:t xml:space="preserve">40000</w:t>
      </w:r>
      <w:r>
        <w:rPr>
          <w:rFonts w:ascii="宋体" w:hAnsi="宋体" w:eastAsia="宋体" w:cs="宋体"/>
          <w:color w:val="auto"/>
          <w:sz w:val="22"/>
          <w:highlight w:val="none"/>
        </w:rPr>
        <w:t xml:space="preserve">万元以下的为中小微型企业。其中，从业人员</w:t>
      </w:r>
      <w:r>
        <w:rPr>
          <w:rFonts w:ascii="Times New Roman" w:hAnsi="Times New Roman" w:eastAsia="Times New Roman" w:cs="Times New Roman"/>
          <w:color w:val="auto"/>
          <w:sz w:val="22"/>
          <w:highlight w:val="none"/>
        </w:rPr>
        <w:t xml:space="preserve">300</w:t>
      </w:r>
      <w:r>
        <w:rPr>
          <w:rFonts w:ascii="宋体" w:hAnsi="宋体" w:eastAsia="宋体" w:cs="宋体"/>
          <w:color w:val="auto"/>
          <w:sz w:val="22"/>
          <w:highlight w:val="none"/>
        </w:rPr>
        <w:t xml:space="preserve">人及以上，且营业收入</w:t>
      </w:r>
      <w:r>
        <w:rPr>
          <w:rFonts w:ascii="Times New Roman" w:hAnsi="Times New Roman" w:eastAsia="Times New Roman" w:cs="Times New Roman"/>
          <w:color w:val="auto"/>
          <w:sz w:val="22"/>
          <w:highlight w:val="none"/>
        </w:rPr>
        <w:t xml:space="preserve">2000</w:t>
      </w:r>
      <w:r>
        <w:rPr>
          <w:rFonts w:ascii="宋体" w:hAnsi="宋体" w:eastAsia="宋体" w:cs="宋体"/>
          <w:color w:val="auto"/>
          <w:sz w:val="22"/>
          <w:highlight w:val="none"/>
        </w:rPr>
        <w:t xml:space="preserve">万元及以上的为中型企业；从业人员</w:t>
      </w:r>
      <w:r>
        <w:rPr>
          <w:rFonts w:ascii="Times New Roman" w:hAnsi="Times New Roman" w:eastAsia="Times New Roman" w:cs="Times New Roman"/>
          <w:color w:val="auto"/>
          <w:sz w:val="22"/>
          <w:highlight w:val="none"/>
        </w:rPr>
        <w:t xml:space="preserve">20</w:t>
      </w:r>
      <w:r>
        <w:rPr>
          <w:rFonts w:ascii="宋体" w:hAnsi="宋体" w:eastAsia="宋体" w:cs="宋体"/>
          <w:color w:val="auto"/>
          <w:sz w:val="22"/>
          <w:highlight w:val="none"/>
        </w:rPr>
        <w:t xml:space="preserve">人及以上，且营业收入</w:t>
      </w:r>
      <w:r>
        <w:rPr>
          <w:rFonts w:ascii="Times New Roman" w:hAnsi="Times New Roman" w:eastAsia="Times New Roman" w:cs="Times New Roman"/>
          <w:color w:val="auto"/>
          <w:sz w:val="22"/>
          <w:highlight w:val="none"/>
        </w:rPr>
        <w:t xml:space="preserve">300</w:t>
      </w:r>
      <w:r>
        <w:rPr>
          <w:rFonts w:ascii="宋体" w:hAnsi="宋体" w:eastAsia="宋体" w:cs="宋体"/>
          <w:color w:val="auto"/>
          <w:sz w:val="22"/>
          <w:highlight w:val="none"/>
        </w:rPr>
        <w:t xml:space="preserve">万元及以上的为小型企业；从业人员</w:t>
      </w:r>
      <w:r>
        <w:rPr>
          <w:rFonts w:ascii="Times New Roman" w:hAnsi="Times New Roman" w:eastAsia="Times New Roman" w:cs="Times New Roman"/>
          <w:color w:val="auto"/>
          <w:sz w:val="22"/>
          <w:highlight w:val="none"/>
        </w:rPr>
        <w:t xml:space="preserve">20</w:t>
      </w:r>
      <w:r>
        <w:rPr>
          <w:rFonts w:ascii="宋体" w:hAnsi="宋体" w:eastAsia="宋体" w:cs="宋体"/>
          <w:color w:val="auto"/>
          <w:sz w:val="22"/>
          <w:highlight w:val="none"/>
        </w:rPr>
        <w:t xml:space="preserve">人以下或营业收入</w:t>
      </w:r>
      <w:r>
        <w:rPr>
          <w:rFonts w:ascii="Times New Roman" w:hAnsi="Times New Roman" w:eastAsia="Times New Roman" w:cs="Times New Roman"/>
          <w:color w:val="auto"/>
          <w:sz w:val="22"/>
          <w:highlight w:val="none"/>
        </w:rPr>
        <w:t xml:space="preserve">300</w:t>
      </w:r>
      <w:r>
        <w:rPr>
          <w:rFonts w:ascii="宋体" w:hAnsi="宋体" w:eastAsia="宋体" w:cs="宋体"/>
          <w:color w:val="auto"/>
          <w:sz w:val="22"/>
          <w:highlight w:val="none"/>
        </w:rPr>
        <w:t xml:space="preserve">万元以下的为微型企业。</w:t>
      </w:r>
      <w:r>
        <w:rPr>
          <w:rFonts w:ascii="宋体" w:hAnsi="宋体" w:eastAsia="宋体" w:cs="宋体"/>
          <w:color w:val="auto"/>
          <w:sz w:val="22"/>
          <w:highlight w:val="none"/>
        </w:rPr>
        <w:br w:type="page" w:clear="all"/>
      </w:r>
      <w:r/>
    </w:p>
    <w:p>
      <w:pPr>
        <w:ind w:left="0" w:right="0" w:firstLine="0"/>
        <w:jc w:val="both"/>
        <w:spacing w:before="2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附件五、残疾人福利性单位声明函格式</w:t>
      </w:r>
      <w:r/>
    </w:p>
    <w:p>
      <w:pPr>
        <w:ind w:left="0" w:right="0" w:firstLine="0"/>
        <w:jc w:val="both"/>
        <w:spacing w:before="24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ind w:left="0" w:right="0" w:firstLine="0"/>
        <w:jc w:val="center"/>
        <w:spacing w:before="167"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残疾人福利性单位声明函</w:t>
      </w:r>
      <w:r/>
    </w:p>
    <w:p>
      <w:pPr>
        <w:ind w:left="0" w:right="0" w:firstLine="0"/>
        <w:jc w:val="both"/>
        <w:spacing w:before="7"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ind w:left="0" w:right="0" w:firstLine="420"/>
        <w:jc w:val="both"/>
        <w:spacing w:before="240" w:after="0"/>
        <w:tabs>
          <w:tab w:val="left" w:pos="3711" w:leader="none"/>
          <w:tab w:val="left" w:pos="5151"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本单位郑重声明</w:t>
      </w:r>
      <w:r>
        <w:rPr>
          <w:rFonts w:ascii="宋体" w:hAnsi="宋体" w:eastAsia="宋体" w:cs="宋体"/>
          <w:color w:val="auto"/>
          <w:spacing w:val="-27"/>
          <w:sz w:val="22"/>
          <w:highlight w:val="none"/>
        </w:rPr>
        <w:t xml:space="preserve">，</w:t>
      </w:r>
      <w:r>
        <w:rPr>
          <w:rFonts w:ascii="宋体" w:hAnsi="宋体" w:eastAsia="宋体" w:cs="宋体"/>
          <w:color w:val="auto"/>
          <w:sz w:val="22"/>
          <w:highlight w:val="none"/>
        </w:rPr>
        <w:t xml:space="preserve">根</w:t>
      </w:r>
      <w:r>
        <w:rPr>
          <w:rFonts w:ascii="宋体" w:hAnsi="宋体" w:eastAsia="宋体" w:cs="宋体"/>
          <w:color w:val="auto"/>
          <w:spacing w:val="-24"/>
          <w:sz w:val="22"/>
          <w:highlight w:val="none"/>
        </w:rPr>
        <w:t xml:space="preserve">据</w:t>
      </w:r>
      <w:r>
        <w:rPr>
          <w:rFonts w:ascii="宋体" w:hAnsi="宋体" w:eastAsia="宋体" w:cs="宋体"/>
          <w:color w:val="auto"/>
          <w:sz w:val="22"/>
          <w:highlight w:val="none"/>
        </w:rPr>
        <w:t xml:space="preserve">《财政部</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民政部</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中国残疾人联合会关于促进残疾人就业</w:t>
      </w:r>
      <w:r>
        <w:rPr>
          <w:rFonts w:ascii="宋体" w:hAnsi="宋体" w:eastAsia="宋体" w:cs="宋体"/>
          <w:color w:val="auto"/>
          <w:spacing w:val="-18"/>
          <w:sz w:val="22"/>
          <w:highlight w:val="none"/>
        </w:rPr>
        <w:t xml:space="preserve">政</w:t>
      </w:r>
      <w:r>
        <w:rPr>
          <w:rFonts w:ascii="宋体" w:hAnsi="宋体" w:eastAsia="宋体" w:cs="宋体"/>
          <w:color w:val="auto"/>
          <w:sz w:val="22"/>
          <w:highlight w:val="none"/>
        </w:rPr>
        <w:t xml:space="preserve">府采购政策的通知</w:t>
      </w:r>
      <w:r>
        <w:rPr>
          <w:rFonts w:ascii="宋体" w:hAnsi="宋体" w:eastAsia="宋体" w:cs="宋体"/>
          <w:color w:val="auto"/>
          <w:spacing w:val="-39"/>
          <w:sz w:val="22"/>
          <w:highlight w:val="none"/>
        </w:rPr>
        <w:t xml:space="preserve">》</w:t>
      </w:r>
      <w:r>
        <w:rPr>
          <w:rFonts w:ascii="宋体" w:hAnsi="宋体" w:eastAsia="宋体" w:cs="宋体"/>
          <w:color w:val="auto"/>
          <w:sz w:val="22"/>
          <w:highlight w:val="none"/>
        </w:rPr>
        <w:t xml:space="preserve">（财</w:t>
      </w:r>
      <w:r>
        <w:rPr>
          <w:rFonts w:ascii="宋体" w:hAnsi="宋体" w:eastAsia="宋体" w:cs="宋体"/>
          <w:color w:val="auto"/>
          <w:spacing w:val="-17"/>
          <w:sz w:val="22"/>
          <w:highlight w:val="none"/>
        </w:rPr>
        <w:t xml:space="preserve">库</w:t>
      </w:r>
      <w:r>
        <w:rPr>
          <w:rFonts w:ascii="宋体" w:hAnsi="宋体" w:eastAsia="宋体" w:cs="宋体"/>
          <w:color w:val="auto"/>
          <w:sz w:val="22"/>
          <w:highlight w:val="none"/>
        </w:rPr>
        <w:t xml:space="preserve">〔2017〕141号</w:t>
      </w:r>
      <w:r>
        <w:rPr>
          <w:rFonts w:ascii="宋体" w:hAnsi="宋体" w:eastAsia="宋体" w:cs="宋体"/>
          <w:color w:val="auto"/>
          <w:spacing w:val="-20"/>
          <w:sz w:val="22"/>
          <w:highlight w:val="none"/>
        </w:rPr>
        <w:t xml:space="preserve">）</w:t>
      </w:r>
      <w:r>
        <w:rPr>
          <w:rFonts w:ascii="宋体" w:hAnsi="宋体" w:eastAsia="宋体" w:cs="宋体"/>
          <w:color w:val="auto"/>
          <w:sz w:val="22"/>
          <w:highlight w:val="none"/>
        </w:rPr>
        <w:t xml:space="preserve">的规定</w:t>
      </w:r>
      <w:r>
        <w:rPr>
          <w:rFonts w:ascii="宋体" w:hAnsi="宋体" w:eastAsia="宋体" w:cs="宋体"/>
          <w:color w:val="auto"/>
          <w:spacing w:val="-17"/>
          <w:sz w:val="22"/>
          <w:highlight w:val="none"/>
        </w:rPr>
        <w:t xml:space="preserve">，</w:t>
      </w:r>
      <w:r>
        <w:rPr>
          <w:rFonts w:ascii="宋体" w:hAnsi="宋体" w:eastAsia="宋体" w:cs="宋体"/>
          <w:color w:val="auto"/>
          <w:sz w:val="22"/>
          <w:highlight w:val="none"/>
        </w:rPr>
        <w:t xml:space="preserve">本单位为符合条件的残疾人福</w:t>
      </w:r>
      <w:r>
        <w:rPr>
          <w:rFonts w:ascii="宋体" w:hAnsi="宋体" w:eastAsia="宋体" w:cs="宋体"/>
          <w:color w:val="auto"/>
          <w:spacing w:val="-16"/>
          <w:sz w:val="22"/>
          <w:highlight w:val="none"/>
        </w:rPr>
        <w:t xml:space="preserve">利</w:t>
      </w:r>
      <w:r>
        <w:rPr>
          <w:rFonts w:ascii="宋体" w:hAnsi="宋体" w:eastAsia="宋体" w:cs="宋体"/>
          <w:color w:val="auto"/>
          <w:sz w:val="22"/>
          <w:highlight w:val="none"/>
        </w:rPr>
        <w:t xml:space="preserve">性单位</w:t>
      </w:r>
      <w:r>
        <w:rPr>
          <w:rFonts w:ascii="宋体" w:hAnsi="宋体" w:eastAsia="宋体" w:cs="宋体"/>
          <w:color w:val="auto"/>
          <w:spacing w:val="-27"/>
          <w:sz w:val="22"/>
          <w:highlight w:val="none"/>
        </w:rPr>
        <w:t xml:space="preserve">，</w:t>
      </w:r>
      <w:r>
        <w:rPr>
          <w:rFonts w:ascii="宋体" w:hAnsi="宋体" w:eastAsia="宋体" w:cs="宋体"/>
          <w:color w:val="auto"/>
          <w:sz w:val="22"/>
          <w:highlight w:val="none"/>
        </w:rPr>
        <w:t xml:space="preserve">且本单位参加</w:t>
      </w:r>
      <w:r>
        <w:rPr>
          <w:rFonts w:ascii="宋体" w:hAnsi="宋体" w:eastAsia="宋体" w:cs="宋体"/>
          <w:color w:val="auto"/>
          <w:sz w:val="22"/>
          <w:highlight w:val="none"/>
          <w:u w:val="single"/>
        </w:rPr>
        <w:tab/>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单位的</w:t>
      </w:r>
      <w:r>
        <w:rPr>
          <w:rFonts w:ascii="宋体" w:hAnsi="宋体" w:eastAsia="宋体" w:cs="宋体"/>
          <w:color w:val="auto"/>
          <w:sz w:val="22"/>
          <w:highlight w:val="none"/>
          <w:u w:val="single"/>
        </w:rPr>
        <w:tab/>
      </w:r>
      <w:r>
        <w:rPr>
          <w:rFonts w:ascii="宋体" w:hAnsi="宋体" w:eastAsia="宋体" w:cs="宋体"/>
          <w:color w:val="auto"/>
          <w:sz w:val="22"/>
          <w:highlight w:val="none"/>
        </w:rPr>
        <w:t xml:space="preserve">项目采购活动提供本单位制造的货</w:t>
      </w:r>
      <w:r>
        <w:rPr>
          <w:rFonts w:ascii="宋体" w:hAnsi="宋体" w:eastAsia="宋体" w:cs="宋体"/>
          <w:color w:val="auto"/>
          <w:spacing w:val="-24"/>
          <w:sz w:val="22"/>
          <w:highlight w:val="none"/>
        </w:rPr>
        <w:t xml:space="preserve">物</w:t>
      </w:r>
      <w:r>
        <w:rPr>
          <w:rFonts w:ascii="宋体" w:hAnsi="宋体" w:eastAsia="宋体" w:cs="宋体"/>
          <w:color w:val="auto"/>
          <w:sz w:val="22"/>
          <w:highlight w:val="none"/>
        </w:rPr>
        <w:t xml:space="preserve">（由</w:t>
      </w:r>
      <w:r>
        <w:rPr>
          <w:rFonts w:ascii="宋体" w:hAnsi="宋体" w:eastAsia="宋体" w:cs="宋体"/>
          <w:color w:val="auto"/>
          <w:spacing w:val="-18"/>
          <w:sz w:val="22"/>
          <w:highlight w:val="none"/>
        </w:rPr>
        <w:t xml:space="preserve">本</w:t>
      </w:r>
      <w:r>
        <w:rPr>
          <w:rFonts w:ascii="宋体" w:hAnsi="宋体" w:eastAsia="宋体" w:cs="宋体"/>
          <w:color w:val="auto"/>
          <w:sz w:val="22"/>
          <w:highlight w:val="none"/>
        </w:rPr>
        <w:t xml:space="preserve">单位承担工程/提供服务），或者提供其他残疾人福利性单位制造的货物（不包括使用非残疾人福利性单位注册商标的货物）。</w:t>
      </w:r>
      <w:r/>
    </w:p>
    <w:p>
      <w:pPr>
        <w:ind w:left="1098" w:right="0" w:firstLine="0"/>
        <w:jc w:val="both"/>
        <w:spacing w:before="3"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本单位对上述声明的真实性负责。如有虚假，将依法承担相应责任。</w:t>
      </w:r>
      <w:r/>
    </w:p>
    <w:p>
      <w:pPr>
        <w:ind w:left="0" w:right="2725" w:firstLine="0"/>
        <w:jc w:val="both"/>
        <w:spacing w:before="240" w:after="120"/>
        <w:tabs>
          <w:tab w:val="left" w:pos="709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单位名称（加盖CA电子公章</w:t>
      </w:r>
      <w:r>
        <w:rPr>
          <w:rFonts w:ascii="宋体" w:hAnsi="宋体" w:eastAsia="宋体" w:cs="宋体"/>
          <w:color w:val="auto"/>
          <w:spacing w:val="-9"/>
          <w:sz w:val="22"/>
          <w:highlight w:val="none"/>
        </w:rPr>
        <w:t xml:space="preserve">）：</w:t>
      </w:r>
      <w:r/>
    </w:p>
    <w:p>
      <w:pPr>
        <w:ind w:left="0" w:right="2725" w:firstLine="0"/>
        <w:jc w:val="both"/>
        <w:spacing w:before="240" w:after="120"/>
        <w:tabs>
          <w:tab w:val="left" w:pos="709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9"/>
          <w:sz w:val="22"/>
          <w:highlight w:val="none"/>
        </w:rPr>
        <w:t xml:space="preserve">日</w:t>
      </w:r>
      <w:r>
        <w:rPr>
          <w:rFonts w:ascii="宋体" w:hAnsi="宋体" w:eastAsia="宋体" w:cs="宋体"/>
          <w:color w:val="auto"/>
          <w:sz w:val="22"/>
          <w:highlight w:val="none"/>
        </w:rPr>
        <w:t xml:space="preserve">期</w:t>
      </w:r>
      <w:r>
        <w:rPr>
          <w:rFonts w:ascii="宋体" w:hAnsi="宋体" w:eastAsia="宋体" w:cs="宋体"/>
          <w:color w:val="auto"/>
          <w:spacing w:val="-17"/>
          <w:sz w:val="22"/>
          <w:highlight w:val="none"/>
        </w:rPr>
        <w:t xml:space="preserve">：</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7"/>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7"/>
          <w:sz w:val="22"/>
          <w:highlight w:val="none"/>
        </w:rPr>
        <w:t xml:space="preserve"> </w:t>
      </w:r>
      <w:r/>
    </w:p>
    <w:p>
      <w:pPr>
        <w:ind w:left="0" w:right="0" w:firstLine="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附件六、属于监狱企业的证明文件</w:t>
      </w:r>
      <w:r/>
    </w:p>
    <w:p>
      <w:pPr>
        <w:ind w:left="0" w:right="554" w:firstLine="480"/>
        <w:jc w:val="both"/>
        <w:spacing w:before="165"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提供由省级以上监狱管理局、戒毒管理局（含新疆生产建设兵团）出具的属于监狱企业的证明文件。</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附件七、食品安全责任险承诺书</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食品安全责任险承诺书</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南京医科大学：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我司承诺，中标后（合同签订前）为本分包产品</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投保食品安全责任险，保险有效期覆盖本项目完整周期，保险金额</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420"/>
        <w:jc w:val="both"/>
        <w:spacing w:before="0" w:after="0"/>
        <w:tabs>
          <w:tab w:val="left" w:pos="14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供应商名称（加盖CA电子公章）：</w:t>
      </w:r>
      <w:r/>
    </w:p>
    <w:p>
      <w:pPr>
        <w:ind w:left="0" w:right="0" w:firstLine="420"/>
        <w:jc w:val="both"/>
        <w:spacing w:before="0" w:after="0"/>
        <w:tabs>
          <w:tab w:val="left" w:pos="14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日期：</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年</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月</w:t>
      </w:r>
      <w:r>
        <w:rPr>
          <w:rFonts w:ascii="宋体" w:hAnsi="宋体" w:eastAsia="宋体" w:cs="宋体"/>
          <w:color w:val="auto"/>
          <w:sz w:val="21"/>
          <w:highlight w:val="none"/>
          <w:u w:val="single"/>
        </w:rPr>
        <w:t xml:space="preserve">    </w:t>
      </w:r>
      <w:r>
        <w:rPr>
          <w:rFonts w:ascii="宋体" w:hAnsi="宋体" w:eastAsia="宋体" w:cs="宋体"/>
          <w:color w:val="auto"/>
          <w:sz w:val="22"/>
          <w:highlight w:val="none"/>
        </w:rPr>
        <w:t xml:space="preserve">日</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rPr>
          <w:color w:val="auto"/>
          <w:highlight w:val="none"/>
        </w:rPr>
      </w:pPr>
      <w:r>
        <w:rPr>
          <w:color w:val="auto"/>
          <w:highlight w:val="none"/>
        </w:rPr>
      </w:r>
      <w:r/>
    </w:p>
    <w:sectPr>
      <w:footerReference w:type="default" r:id="rId8"/>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Times New Roman">
    <w:panose1 w:val="02020603050405020304"/>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36561" cy="153339"/>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036561"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1.6pt;height:12.1pt;mso-wrap-distance-left:9.0pt;mso-wrap-distance-top:0.0pt;mso-wrap-distance-right:9.0pt;mso-wrap-distance-bottom:0.0pt;v-text-anchor:top;visibility:visible;" filled="f" stroked="f" strokeweight="0.50pt">
              <v:textbox inset="0,0,0,0">
                <w:txbxContent>
                  <w:p>
                    <w:pPr>
                      <w:pStyle w:val="6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1" w:default="1">
    <w:name w:val="Normal"/>
    <w:uiPriority w:val="0"/>
    <w:qFormat/>
    <w:rPr>
      <w:rFonts w:asciiTheme="minorHAnsi" w:hAnsiTheme="minorHAnsi" w:eastAsiaTheme="minorEastAsia" w:cstheme="minorBidi"/>
      <w:sz w:val="21"/>
      <w:szCs w:val="22"/>
    </w:rPr>
  </w:style>
  <w:style w:type="paragraph" w:styleId="642">
    <w:name w:val="Heading 1"/>
    <w:next w:val="641"/>
    <w:link w:val="675"/>
    <w:uiPriority w:val="9"/>
    <w:qFormat/>
    <w:pPr>
      <w:keepLines/>
      <w:keepNext/>
      <w:spacing w:before="480" w:after="200"/>
      <w:outlineLvl w:val="0"/>
    </w:pPr>
    <w:rPr>
      <w:rFonts w:ascii="Arial" w:hAnsi="Arial" w:eastAsia="Arial" w:cs="Arial"/>
      <w:sz w:val="40"/>
      <w:szCs w:val="40"/>
    </w:rPr>
  </w:style>
  <w:style w:type="paragraph" w:styleId="643">
    <w:name w:val="Heading 2"/>
    <w:next w:val="641"/>
    <w:link w:val="676"/>
    <w:uiPriority w:val="9"/>
    <w:unhideWhenUsed/>
    <w:qFormat/>
    <w:pPr>
      <w:keepLines/>
      <w:keepNext/>
      <w:spacing w:before="360" w:after="200"/>
      <w:outlineLvl w:val="1"/>
    </w:pPr>
    <w:rPr>
      <w:rFonts w:ascii="Arial" w:hAnsi="Arial" w:eastAsia="Arial" w:cs="Arial"/>
      <w:sz w:val="34"/>
      <w:szCs w:val="22"/>
    </w:rPr>
  </w:style>
  <w:style w:type="paragraph" w:styleId="644">
    <w:name w:val="Heading 3"/>
    <w:next w:val="641"/>
    <w:link w:val="677"/>
    <w:uiPriority w:val="9"/>
    <w:unhideWhenUsed/>
    <w:qFormat/>
    <w:pPr>
      <w:keepLines/>
      <w:keepNext/>
      <w:spacing w:before="320" w:after="200"/>
      <w:outlineLvl w:val="2"/>
    </w:pPr>
    <w:rPr>
      <w:rFonts w:ascii="Arial" w:hAnsi="Arial" w:eastAsia="Arial" w:cs="Arial"/>
      <w:sz w:val="30"/>
      <w:szCs w:val="30"/>
    </w:rPr>
  </w:style>
  <w:style w:type="paragraph" w:styleId="645">
    <w:name w:val="Heading 4"/>
    <w:next w:val="641"/>
    <w:link w:val="678"/>
    <w:uiPriority w:val="9"/>
    <w:unhideWhenUsed/>
    <w:qFormat/>
    <w:pPr>
      <w:keepLines/>
      <w:keepNext/>
      <w:spacing w:before="320" w:after="200"/>
      <w:outlineLvl w:val="3"/>
    </w:pPr>
    <w:rPr>
      <w:rFonts w:ascii="Arial" w:hAnsi="Arial" w:eastAsia="Arial" w:cs="Arial"/>
      <w:b/>
      <w:bCs/>
      <w:sz w:val="26"/>
      <w:szCs w:val="26"/>
    </w:rPr>
  </w:style>
  <w:style w:type="paragraph" w:styleId="646">
    <w:name w:val="Heading 5"/>
    <w:next w:val="641"/>
    <w:link w:val="679"/>
    <w:uiPriority w:val="9"/>
    <w:unhideWhenUsed/>
    <w:qFormat/>
    <w:pPr>
      <w:keepLines/>
      <w:keepNext/>
      <w:spacing w:before="320" w:after="200"/>
      <w:outlineLvl w:val="4"/>
    </w:pPr>
    <w:rPr>
      <w:rFonts w:ascii="Arial" w:hAnsi="Arial" w:eastAsia="Arial" w:cs="Arial"/>
      <w:b/>
      <w:bCs/>
      <w:sz w:val="24"/>
      <w:szCs w:val="24"/>
    </w:rPr>
  </w:style>
  <w:style w:type="paragraph" w:styleId="647">
    <w:name w:val="Heading 6"/>
    <w:next w:val="641"/>
    <w:link w:val="680"/>
    <w:uiPriority w:val="9"/>
    <w:unhideWhenUsed/>
    <w:qFormat/>
    <w:pPr>
      <w:keepLines/>
      <w:keepNext/>
      <w:spacing w:before="320" w:after="200"/>
      <w:outlineLvl w:val="5"/>
    </w:pPr>
    <w:rPr>
      <w:rFonts w:ascii="Arial" w:hAnsi="Arial" w:eastAsia="Arial" w:cs="Arial"/>
      <w:b/>
      <w:bCs/>
      <w:sz w:val="22"/>
      <w:szCs w:val="22"/>
    </w:rPr>
  </w:style>
  <w:style w:type="paragraph" w:styleId="648">
    <w:name w:val="Heading 7"/>
    <w:next w:val="641"/>
    <w:link w:val="681"/>
    <w:uiPriority w:val="9"/>
    <w:unhideWhenUsed/>
    <w:qFormat/>
    <w:pPr>
      <w:keepLines/>
      <w:keepNext/>
      <w:spacing w:before="320" w:after="200"/>
      <w:outlineLvl w:val="6"/>
    </w:pPr>
    <w:rPr>
      <w:rFonts w:ascii="Arial" w:hAnsi="Arial" w:eastAsia="Arial" w:cs="Arial"/>
      <w:b/>
      <w:bCs/>
      <w:i/>
      <w:iCs/>
      <w:sz w:val="22"/>
      <w:szCs w:val="22"/>
    </w:rPr>
  </w:style>
  <w:style w:type="paragraph" w:styleId="649">
    <w:name w:val="Heading 8"/>
    <w:next w:val="641"/>
    <w:link w:val="682"/>
    <w:uiPriority w:val="9"/>
    <w:unhideWhenUsed/>
    <w:qFormat/>
    <w:pPr>
      <w:keepLines/>
      <w:keepNext/>
      <w:spacing w:before="320" w:after="200"/>
      <w:outlineLvl w:val="7"/>
    </w:pPr>
    <w:rPr>
      <w:rFonts w:ascii="Arial" w:hAnsi="Arial" w:eastAsia="Arial" w:cs="Arial"/>
      <w:i/>
      <w:iCs/>
      <w:sz w:val="22"/>
      <w:szCs w:val="22"/>
    </w:rPr>
  </w:style>
  <w:style w:type="paragraph" w:styleId="650">
    <w:name w:val="Heading 9"/>
    <w:next w:val="641"/>
    <w:link w:val="683"/>
    <w:uiPriority w:val="9"/>
    <w:unhideWhenUsed/>
    <w:qFormat/>
    <w:pPr>
      <w:keepLines/>
      <w:keepNext/>
      <w:spacing w:before="320" w:after="200"/>
      <w:outlineLvl w:val="8"/>
    </w:pPr>
    <w:rPr>
      <w:rFonts w:ascii="Arial" w:hAnsi="Arial" w:eastAsia="Arial" w:cs="Arial"/>
      <w:i/>
      <w:iCs/>
      <w:sz w:val="21"/>
      <w:szCs w:val="21"/>
    </w:rPr>
  </w:style>
  <w:style w:type="character" w:styleId="651" w:default="1">
    <w:name w:val="Default Paragraph Font"/>
    <w:uiPriority w:val="1"/>
    <w:semiHidden/>
    <w:unhideWhenUsed/>
    <w:qFormat/>
  </w:style>
  <w:style w:type="table" w:styleId="652" w:default="1">
    <w:name w:val="Normal Table"/>
    <w:uiPriority w:val="99"/>
    <w:semiHidden/>
    <w:unhideWhenUsed/>
    <w:qFormat/>
    <w:tblPr>
      <w:tblCellMar>
        <w:left w:w="108" w:type="dxa"/>
        <w:top w:w="0" w:type="dxa"/>
        <w:right w:w="108" w:type="dxa"/>
        <w:bottom w:w="0" w:type="dxa"/>
      </w:tblCellMar>
    </w:tblPr>
  </w:style>
  <w:style w:type="paragraph" w:styleId="653">
    <w:name w:val="toc 7"/>
    <w:next w:val="641"/>
    <w:uiPriority w:val="39"/>
    <w:unhideWhenUsed/>
    <w:qFormat/>
    <w:pPr>
      <w:ind w:left="1701" w:right="0" w:firstLine="0"/>
      <w:spacing w:after="57"/>
    </w:pPr>
    <w:rPr>
      <w:rFonts w:asciiTheme="minorHAnsi" w:hAnsiTheme="minorHAnsi" w:eastAsiaTheme="minorEastAsia" w:cstheme="minorBidi"/>
      <w:sz w:val="21"/>
      <w:szCs w:val="22"/>
    </w:rPr>
  </w:style>
  <w:style w:type="paragraph" w:styleId="654">
    <w:name w:val="Caption"/>
    <w:next w:val="641"/>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55">
    <w:name w:val="annotation text"/>
    <w:basedOn w:val="641"/>
    <w:uiPriority w:val="99"/>
    <w:semiHidden/>
    <w:unhideWhenUsed/>
    <w:pPr>
      <w:jc w:val="left"/>
    </w:pPr>
  </w:style>
  <w:style w:type="paragraph" w:styleId="656">
    <w:name w:val="toc 5"/>
    <w:next w:val="641"/>
    <w:uiPriority w:val="39"/>
    <w:unhideWhenUsed/>
    <w:qFormat/>
    <w:pPr>
      <w:ind w:left="1134" w:right="0" w:firstLine="0"/>
      <w:spacing w:after="57"/>
    </w:pPr>
    <w:rPr>
      <w:rFonts w:asciiTheme="minorHAnsi" w:hAnsiTheme="minorHAnsi" w:eastAsiaTheme="minorEastAsia" w:cstheme="minorBidi"/>
      <w:sz w:val="21"/>
      <w:szCs w:val="22"/>
    </w:rPr>
  </w:style>
  <w:style w:type="paragraph" w:styleId="657">
    <w:name w:val="toc 3"/>
    <w:next w:val="641"/>
    <w:uiPriority w:val="39"/>
    <w:unhideWhenUsed/>
    <w:qFormat/>
    <w:pPr>
      <w:ind w:left="567" w:right="0" w:firstLine="0"/>
      <w:spacing w:after="57"/>
    </w:pPr>
    <w:rPr>
      <w:rFonts w:asciiTheme="minorHAnsi" w:hAnsiTheme="minorHAnsi" w:eastAsiaTheme="minorEastAsia" w:cstheme="minorBidi"/>
      <w:sz w:val="21"/>
      <w:szCs w:val="22"/>
    </w:rPr>
  </w:style>
  <w:style w:type="paragraph" w:styleId="658">
    <w:name w:val="toc 8"/>
    <w:next w:val="641"/>
    <w:uiPriority w:val="39"/>
    <w:unhideWhenUsed/>
    <w:qFormat/>
    <w:pPr>
      <w:ind w:left="1984" w:right="0" w:firstLine="0"/>
      <w:spacing w:after="57"/>
    </w:pPr>
    <w:rPr>
      <w:rFonts w:asciiTheme="minorHAnsi" w:hAnsiTheme="minorHAnsi" w:eastAsiaTheme="minorEastAsia" w:cstheme="minorBidi"/>
      <w:sz w:val="21"/>
      <w:szCs w:val="22"/>
    </w:rPr>
  </w:style>
  <w:style w:type="paragraph" w:styleId="659">
    <w:name w:val="endnote text"/>
    <w:link w:val="821"/>
    <w:uiPriority w:val="99"/>
    <w:semiHidden/>
    <w:unhideWhenUsed/>
    <w:qFormat/>
    <w:pPr>
      <w:spacing w:after="0" w:line="240" w:lineRule="auto"/>
    </w:pPr>
    <w:rPr>
      <w:rFonts w:asciiTheme="minorHAnsi" w:hAnsiTheme="minorHAnsi" w:eastAsiaTheme="minorEastAsia" w:cstheme="minorBidi"/>
      <w:sz w:val="20"/>
      <w:szCs w:val="22"/>
    </w:rPr>
  </w:style>
  <w:style w:type="paragraph" w:styleId="660">
    <w:name w:val="Footer"/>
    <w:link w:val="694"/>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61">
    <w:name w:val="Header"/>
    <w:link w:val="692"/>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62">
    <w:name w:val="toc 1"/>
    <w:next w:val="641"/>
    <w:uiPriority w:val="39"/>
    <w:unhideWhenUsed/>
    <w:qFormat/>
    <w:pPr>
      <w:ind w:left="0" w:right="0" w:firstLine="0"/>
      <w:spacing w:after="57"/>
    </w:pPr>
    <w:rPr>
      <w:rFonts w:asciiTheme="minorHAnsi" w:hAnsiTheme="minorHAnsi" w:eastAsiaTheme="minorEastAsia" w:cstheme="minorBidi"/>
      <w:sz w:val="21"/>
      <w:szCs w:val="22"/>
    </w:rPr>
  </w:style>
  <w:style w:type="paragraph" w:styleId="663">
    <w:name w:val="toc 4"/>
    <w:next w:val="641"/>
    <w:uiPriority w:val="39"/>
    <w:unhideWhenUsed/>
    <w:qFormat/>
    <w:pPr>
      <w:ind w:left="850" w:right="0" w:firstLine="0"/>
      <w:spacing w:after="57"/>
    </w:pPr>
    <w:rPr>
      <w:rFonts w:asciiTheme="minorHAnsi" w:hAnsiTheme="minorHAnsi" w:eastAsiaTheme="minorEastAsia" w:cstheme="minorBidi"/>
      <w:sz w:val="21"/>
      <w:szCs w:val="22"/>
    </w:rPr>
  </w:style>
  <w:style w:type="paragraph" w:styleId="664">
    <w:name w:val="Subtitle"/>
    <w:link w:val="687"/>
    <w:uiPriority w:val="11"/>
    <w:qFormat/>
    <w:pPr>
      <w:spacing w:before="200" w:after="200"/>
    </w:pPr>
    <w:rPr>
      <w:rFonts w:asciiTheme="minorHAnsi" w:hAnsiTheme="minorHAnsi" w:eastAsiaTheme="minorEastAsia" w:cstheme="minorBidi"/>
      <w:sz w:val="24"/>
      <w:szCs w:val="24"/>
    </w:rPr>
  </w:style>
  <w:style w:type="paragraph" w:styleId="665">
    <w:name w:val="footnote text"/>
    <w:link w:val="820"/>
    <w:uiPriority w:val="99"/>
    <w:semiHidden/>
    <w:unhideWhenUsed/>
    <w:qFormat/>
    <w:pPr>
      <w:spacing w:after="40" w:line="240" w:lineRule="auto"/>
    </w:pPr>
    <w:rPr>
      <w:rFonts w:asciiTheme="minorHAnsi" w:hAnsiTheme="minorHAnsi" w:eastAsiaTheme="minorEastAsia" w:cstheme="minorBidi"/>
      <w:sz w:val="18"/>
      <w:szCs w:val="22"/>
    </w:rPr>
  </w:style>
  <w:style w:type="paragraph" w:styleId="666">
    <w:name w:val="toc 6"/>
    <w:next w:val="641"/>
    <w:uiPriority w:val="39"/>
    <w:unhideWhenUsed/>
    <w:qFormat/>
    <w:pPr>
      <w:ind w:left="1417" w:right="0" w:firstLine="0"/>
      <w:spacing w:after="57"/>
    </w:pPr>
    <w:rPr>
      <w:rFonts w:asciiTheme="minorHAnsi" w:hAnsiTheme="minorHAnsi" w:eastAsiaTheme="minorEastAsia" w:cstheme="minorBidi"/>
      <w:sz w:val="21"/>
      <w:szCs w:val="22"/>
    </w:rPr>
  </w:style>
  <w:style w:type="paragraph" w:styleId="667">
    <w:name w:val="table of figures"/>
    <w:next w:val="641"/>
    <w:uiPriority w:val="99"/>
    <w:unhideWhenUsed/>
    <w:qFormat/>
    <w:pPr>
      <w:spacing w:after="0" w:afterAutospacing="0"/>
    </w:pPr>
    <w:rPr>
      <w:rFonts w:asciiTheme="minorHAnsi" w:hAnsiTheme="minorHAnsi" w:eastAsiaTheme="minorEastAsia" w:cstheme="minorBidi"/>
      <w:sz w:val="21"/>
      <w:szCs w:val="22"/>
    </w:rPr>
  </w:style>
  <w:style w:type="paragraph" w:styleId="668">
    <w:name w:val="toc 2"/>
    <w:next w:val="641"/>
    <w:uiPriority w:val="39"/>
    <w:unhideWhenUsed/>
    <w:qFormat/>
    <w:pPr>
      <w:ind w:left="283" w:right="0" w:firstLine="0"/>
      <w:spacing w:after="57"/>
    </w:pPr>
    <w:rPr>
      <w:rFonts w:asciiTheme="minorHAnsi" w:hAnsiTheme="minorHAnsi" w:eastAsiaTheme="minorEastAsia" w:cstheme="minorBidi"/>
      <w:sz w:val="21"/>
      <w:szCs w:val="22"/>
    </w:rPr>
  </w:style>
  <w:style w:type="paragraph" w:styleId="669">
    <w:name w:val="toc 9"/>
    <w:next w:val="641"/>
    <w:uiPriority w:val="39"/>
    <w:unhideWhenUsed/>
    <w:qFormat/>
    <w:pPr>
      <w:ind w:left="2268" w:right="0" w:firstLine="0"/>
      <w:spacing w:after="57"/>
    </w:pPr>
    <w:rPr>
      <w:rFonts w:asciiTheme="minorHAnsi" w:hAnsiTheme="minorHAnsi" w:eastAsiaTheme="minorEastAsia" w:cstheme="minorBidi"/>
      <w:sz w:val="21"/>
      <w:szCs w:val="22"/>
    </w:rPr>
  </w:style>
  <w:style w:type="paragraph" w:styleId="670">
    <w:name w:val="Title"/>
    <w:link w:val="686"/>
    <w:uiPriority w:val="10"/>
    <w:qFormat/>
    <w:pPr>
      <w:contextualSpacing/>
      <w:spacing w:before="300" w:after="200"/>
    </w:pPr>
    <w:rPr>
      <w:rFonts w:asciiTheme="minorHAnsi" w:hAnsiTheme="minorHAnsi" w:eastAsiaTheme="minorEastAsia" w:cstheme="minorBidi"/>
      <w:sz w:val="48"/>
      <w:szCs w:val="48"/>
    </w:rPr>
  </w:style>
  <w:style w:type="table" w:styleId="6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2">
    <w:name w:val="endnote reference"/>
    <w:uiPriority w:val="99"/>
    <w:semiHidden/>
    <w:unhideWhenUsed/>
    <w:qFormat/>
    <w:rPr>
      <w:vertAlign w:val="superscript"/>
    </w:rPr>
  </w:style>
  <w:style w:type="character" w:styleId="673">
    <w:name w:val="Hyperlink"/>
    <w:uiPriority w:val="99"/>
    <w:unhideWhenUsed/>
    <w:qFormat/>
    <w:rPr>
      <w:color w:val="0000ff" w:themeColor="hyperlink"/>
      <w:u w:val="single"/>
      <w14:textFill>
        <w14:solidFill>
          <w14:schemeClr w14:val="hlink"/>
        </w14:solidFill>
      </w14:textFill>
    </w:rPr>
  </w:style>
  <w:style w:type="character" w:styleId="674">
    <w:name w:val="footnote reference"/>
    <w:uiPriority w:val="99"/>
    <w:unhideWhenUsed/>
    <w:qFormat/>
    <w:rPr>
      <w:vertAlign w:val="superscript"/>
    </w:rPr>
  </w:style>
  <w:style w:type="character" w:styleId="675" w:customStyle="1">
    <w:name w:val="Heading 1 Char"/>
    <w:link w:val="642"/>
    <w:uiPriority w:val="9"/>
    <w:qFormat/>
    <w:rPr>
      <w:rFonts w:ascii="Arial" w:hAnsi="Arial" w:eastAsia="Arial" w:cs="Arial"/>
      <w:sz w:val="40"/>
      <w:szCs w:val="40"/>
    </w:rPr>
  </w:style>
  <w:style w:type="character" w:styleId="676" w:customStyle="1">
    <w:name w:val="Heading 2 Char"/>
    <w:link w:val="643"/>
    <w:uiPriority w:val="9"/>
    <w:qFormat/>
    <w:rPr>
      <w:rFonts w:ascii="Arial" w:hAnsi="Arial" w:eastAsia="Arial" w:cs="Arial"/>
      <w:sz w:val="34"/>
    </w:rPr>
  </w:style>
  <w:style w:type="character" w:styleId="677" w:customStyle="1">
    <w:name w:val="Heading 3 Char"/>
    <w:link w:val="644"/>
    <w:uiPriority w:val="9"/>
    <w:qFormat/>
    <w:rPr>
      <w:rFonts w:ascii="Arial" w:hAnsi="Arial" w:eastAsia="Arial" w:cs="Arial"/>
      <w:sz w:val="30"/>
      <w:szCs w:val="30"/>
    </w:rPr>
  </w:style>
  <w:style w:type="character" w:styleId="678" w:customStyle="1">
    <w:name w:val="Heading 4 Char"/>
    <w:link w:val="645"/>
    <w:uiPriority w:val="9"/>
    <w:qFormat/>
    <w:rPr>
      <w:rFonts w:ascii="Arial" w:hAnsi="Arial" w:eastAsia="Arial" w:cs="Arial"/>
      <w:b/>
      <w:bCs/>
      <w:sz w:val="26"/>
      <w:szCs w:val="26"/>
    </w:rPr>
  </w:style>
  <w:style w:type="character" w:styleId="679" w:customStyle="1">
    <w:name w:val="Heading 5 Char"/>
    <w:link w:val="646"/>
    <w:uiPriority w:val="9"/>
    <w:qFormat/>
    <w:rPr>
      <w:rFonts w:ascii="Arial" w:hAnsi="Arial" w:eastAsia="Arial" w:cs="Arial"/>
      <w:b/>
      <w:bCs/>
      <w:sz w:val="24"/>
      <w:szCs w:val="24"/>
    </w:rPr>
  </w:style>
  <w:style w:type="character" w:styleId="680" w:customStyle="1">
    <w:name w:val="Heading 6 Char"/>
    <w:link w:val="647"/>
    <w:uiPriority w:val="9"/>
    <w:qFormat/>
    <w:rPr>
      <w:rFonts w:ascii="Arial" w:hAnsi="Arial" w:eastAsia="Arial" w:cs="Arial"/>
      <w:b/>
      <w:bCs/>
      <w:sz w:val="22"/>
      <w:szCs w:val="22"/>
    </w:rPr>
  </w:style>
  <w:style w:type="character" w:styleId="681" w:customStyle="1">
    <w:name w:val="Heading 7 Char"/>
    <w:link w:val="648"/>
    <w:uiPriority w:val="9"/>
    <w:qFormat/>
    <w:rPr>
      <w:rFonts w:ascii="Arial" w:hAnsi="Arial" w:eastAsia="Arial" w:cs="Arial"/>
      <w:b/>
      <w:bCs/>
      <w:i/>
      <w:iCs/>
      <w:sz w:val="22"/>
      <w:szCs w:val="22"/>
    </w:rPr>
  </w:style>
  <w:style w:type="character" w:styleId="682" w:customStyle="1">
    <w:name w:val="Heading 8 Char"/>
    <w:link w:val="649"/>
    <w:uiPriority w:val="9"/>
    <w:qFormat/>
    <w:rPr>
      <w:rFonts w:ascii="Arial" w:hAnsi="Arial" w:eastAsia="Arial" w:cs="Arial"/>
      <w:i/>
      <w:iCs/>
      <w:sz w:val="22"/>
      <w:szCs w:val="22"/>
    </w:rPr>
  </w:style>
  <w:style w:type="character" w:styleId="683" w:customStyle="1">
    <w:name w:val="Heading 9 Char"/>
    <w:link w:val="650"/>
    <w:uiPriority w:val="9"/>
    <w:qFormat/>
    <w:rPr>
      <w:rFonts w:ascii="Arial" w:hAnsi="Arial" w:eastAsia="Arial" w:cs="Arial"/>
      <w:i/>
      <w:iCs/>
      <w:sz w:val="21"/>
      <w:szCs w:val="21"/>
    </w:rPr>
  </w:style>
  <w:style w:type="paragraph" w:styleId="684">
    <w:name w:val="List Paragraph"/>
    <w:uiPriority w:val="34"/>
    <w:qFormat/>
    <w:pPr>
      <w:contextualSpacing/>
      <w:ind w:left="720"/>
    </w:pPr>
    <w:rPr>
      <w:rFonts w:asciiTheme="minorHAnsi" w:hAnsiTheme="minorHAnsi" w:eastAsiaTheme="minorEastAsia" w:cstheme="minorBidi"/>
      <w:sz w:val="21"/>
      <w:szCs w:val="22"/>
    </w:rPr>
  </w:style>
  <w:style w:type="paragraph" w:styleId="685">
    <w:name w:val="No Spacing"/>
    <w:uiPriority w:val="1"/>
    <w:qFormat/>
    <w:pPr>
      <w:spacing w:before="0" w:after="0" w:line="240" w:lineRule="auto"/>
    </w:pPr>
    <w:rPr>
      <w:rFonts w:asciiTheme="minorHAnsi" w:hAnsiTheme="minorHAnsi" w:eastAsiaTheme="minorEastAsia" w:cstheme="minorBidi"/>
      <w:sz w:val="21"/>
      <w:szCs w:val="22"/>
    </w:rPr>
  </w:style>
  <w:style w:type="character" w:styleId="686" w:customStyle="1">
    <w:name w:val="Title Char"/>
    <w:link w:val="670"/>
    <w:uiPriority w:val="10"/>
    <w:qFormat/>
    <w:rPr>
      <w:sz w:val="48"/>
      <w:szCs w:val="48"/>
    </w:rPr>
  </w:style>
  <w:style w:type="character" w:styleId="687" w:customStyle="1">
    <w:name w:val="Subtitle Char"/>
    <w:link w:val="664"/>
    <w:uiPriority w:val="11"/>
    <w:qFormat/>
    <w:rPr>
      <w:sz w:val="24"/>
      <w:szCs w:val="24"/>
    </w:rPr>
  </w:style>
  <w:style w:type="paragraph" w:styleId="688">
    <w:name w:val="Quote"/>
    <w:link w:val="689"/>
    <w:uiPriority w:val="29"/>
    <w:qFormat/>
    <w:pPr>
      <w:ind w:left="720" w:right="720"/>
    </w:pPr>
    <w:rPr>
      <w:rFonts w:asciiTheme="minorHAnsi" w:hAnsiTheme="minorHAnsi" w:eastAsiaTheme="minorEastAsia" w:cstheme="minorBidi"/>
      <w:i/>
      <w:sz w:val="21"/>
      <w:szCs w:val="22"/>
    </w:rPr>
  </w:style>
  <w:style w:type="character" w:styleId="689" w:customStyle="1">
    <w:name w:val="Quote Char"/>
    <w:link w:val="688"/>
    <w:uiPriority w:val="29"/>
    <w:qFormat/>
    <w:rPr>
      <w:i/>
    </w:rPr>
  </w:style>
  <w:style w:type="paragraph" w:styleId="690">
    <w:name w:val="Intense Quote"/>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691" w:customStyle="1">
    <w:name w:val="Intense Quote Char"/>
    <w:link w:val="690"/>
    <w:uiPriority w:val="30"/>
    <w:qFormat/>
    <w:rPr>
      <w:i/>
    </w:rPr>
  </w:style>
  <w:style w:type="character" w:styleId="692" w:customStyle="1">
    <w:name w:val="Header Char"/>
    <w:link w:val="661"/>
    <w:uiPriority w:val="99"/>
    <w:qFormat/>
  </w:style>
  <w:style w:type="character" w:styleId="693" w:customStyle="1">
    <w:name w:val="Footer Char"/>
    <w:link w:val="660"/>
    <w:uiPriority w:val="99"/>
    <w:qFormat/>
  </w:style>
  <w:style w:type="character" w:styleId="694" w:customStyle="1">
    <w:name w:val="Caption Char"/>
    <w:link w:val="660"/>
    <w:uiPriority w:val="99"/>
    <w:qFormat/>
  </w:style>
  <w:style w:type="table" w:styleId="6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0" w:customStyle="1">
    <w:name w:val="Footnote Text Char"/>
    <w:link w:val="665"/>
    <w:uiPriority w:val="99"/>
    <w:qFormat/>
    <w:rPr>
      <w:sz w:val="18"/>
    </w:rPr>
  </w:style>
  <w:style w:type="character" w:styleId="821" w:customStyle="1">
    <w:name w:val="Endnote Text Char"/>
    <w:link w:val="659"/>
    <w:uiPriority w:val="99"/>
    <w:qFormat/>
    <w:rPr>
      <w:sz w:val="20"/>
    </w:rPr>
  </w:style>
  <w:style w:type="paragraph" w:styleId="822" w:customStyle="1">
    <w:name w:val="TOC Heading"/>
    <w:uiPriority w:val="39"/>
    <w:unhideWhenUsed/>
    <w:qFormat/>
    <w:rPr>
      <w:rFonts w:asciiTheme="minorHAnsi" w:hAnsiTheme="minorHAnsi" w:eastAsiaTheme="minorEastAsia" w:cstheme="minorBidi"/>
      <w:sz w:val="21"/>
      <w:szCs w:val="22"/>
    </w:rPr>
  </w:style>
  <w:style w:type="numbering" w:styleId="95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李佳蓉</cp:lastModifiedBy>
  <cp:revision>2</cp:revision>
  <dcterms:created xsi:type="dcterms:W3CDTF">2026-08-26T03:45:00Z</dcterms:created>
  <dcterms:modified xsi:type="dcterms:W3CDTF">2026-09-30T01:07:02Z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F398AEEBED1A4F4899EB399F92C55B3B_13</vt:lpwstr>
  </property>
  <property fmtid="{D5CDD505-2E9C-101B-9397-08002B2CF9AE}" pid="4" name="KSOTemplateDocerSaveRecord">
    <vt:lpwstr>eyJoZGlkIjoiMzYwM2E0OTM1MTNmYjdhZDYzZTk0ZmY4ODg5YjlmZWEiLCJ1c2VySWQiOiI0MzkyODMxNDkifQ==</vt:lpwstr>
  </property>
</Properties>
</file>