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西夏墅镇水稻秸秆离田项目</w:t>
      </w:r>
      <w:bookmarkEnd w:id="0"/>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JSZC-320411005-CZJC-G2026-0077</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人：常州市新北区西夏墅镇人民政府</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741"/>
          <w:rFonts w:hint="eastAsia" w:ascii="宋体" w:hAnsi="宋体" w:eastAsia="宋体" w:cs="宋体"/>
          <w:sz w:val="30"/>
          <w:szCs w:val="30"/>
        </w:rPr>
        <w:t xml:space="preserve">常州金诚招投标有限公司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723"/>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723"/>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723"/>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723"/>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723"/>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723"/>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723"/>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705"/>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729"/>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41"/>
                <w:rFonts w:hint="eastAsia" w:ascii="宋体" w:hAnsi="宋体" w:eastAsia="宋体" w:cs="宋体"/>
                <w:bCs/>
                <w:spacing w:val="2"/>
                <w:sz w:val="24"/>
              </w:rPr>
            </w:pPr>
            <w:r>
              <w:rPr>
                <w:rStyle w:val="741"/>
                <w:rFonts w:hint="eastAsia" w:ascii="宋体" w:hAnsi="宋体" w:eastAsia="宋体" w:cs="宋体"/>
                <w:bCs/>
                <w:spacing w:val="2"/>
                <w:sz w:val="24"/>
              </w:rPr>
              <w:t xml:space="preserve">项目概况</w:t>
            </w:r>
            <w:r/>
          </w:p>
          <w:p>
            <w:pPr>
              <w:ind w:firstLine="480"/>
              <w:spacing w:line="360" w:lineRule="auto"/>
              <w:rPr>
                <w:rStyle w:val="741"/>
                <w:rFonts w:hint="eastAsia" w:ascii="宋体" w:hAnsi="宋体" w:eastAsia="宋体" w:cs="宋体"/>
                <w:sz w:val="24"/>
                <w:szCs w:val="24"/>
              </w:rPr>
            </w:pPr>
            <w:r>
              <w:rPr>
                <w:rFonts w:hint="eastAsia" w:ascii="宋体" w:hAnsi="宋体" w:eastAsia="宋体" w:cs="宋体"/>
                <w:sz w:val="24"/>
                <w:szCs w:val="24"/>
              </w:rPr>
              <w:t xml:space="preserve">西夏墅镇水稻秸秆离田项目的潜在投标人应在“苏采云”系统获取招标文件，并于2026年</w:t>
            </w: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24</w:t>
            </w:r>
            <w:r>
              <w:rPr>
                <w:rFonts w:hint="eastAsia" w:ascii="宋体" w:hAnsi="宋体" w:eastAsia="宋体" w:cs="宋体"/>
                <w:sz w:val="24"/>
                <w:szCs w:val="24"/>
              </w:rPr>
              <w:t xml:space="preserve">日14点00分（北京时间）前提交投标文件。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JSZC-320411005-CZJC-G2026-0077</w:t>
      </w:r>
      <w:r/>
    </w:p>
    <w:p>
      <w:pPr>
        <w:ind w:firstLine="480"/>
        <w:spacing w:line="360" w:lineRule="auto"/>
        <w:rPr>
          <w:rStyle w:val="741"/>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741"/>
          <w:rFonts w:hint="eastAsia" w:ascii="宋体" w:hAnsi="宋体" w:eastAsia="宋体" w:cs="宋体"/>
          <w:bCs/>
          <w:sz w:val="24"/>
        </w:rPr>
        <w:t xml:space="preserve">西夏墅镇水稻秸秆离田项目</w:t>
      </w:r>
      <w:bookmarkEnd w:id="2"/>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4.预算金额：120万元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ascii="宋体" w:hAnsi="宋体" w:eastAsia="宋体" w:cs="宋体"/>
          <w:sz w:val="24"/>
          <w:szCs w:val="24"/>
        </w:rPr>
        <w:t xml:space="preserve">秸秆离田作业服务费 360元/吨（按实际离田秸秆重量结算）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ascii="宋体" w:hAnsi="宋体" w:eastAsia="宋体" w:cs="宋体"/>
          <w:sz w:val="24"/>
          <w:szCs w:val="24"/>
        </w:rPr>
        <w:t xml:space="preserve">为深入贯彻《省委办公厅省政府办公厅关于印发推进新一轮太湖综合治理行动方案的通知》(苏办发〔2023〕17号</w:t>
      </w:r>
      <w:r>
        <w:rPr>
          <w:rFonts w:hint="eastAsia" w:ascii="宋体" w:hAnsi="宋体" w:eastAsia="宋体" w:cs="宋体"/>
          <w:sz w:val="24"/>
          <w:szCs w:val="24"/>
        </w:rPr>
        <w:t xml:space="preserve">)</w:t>
      </w:r>
      <w:r>
        <w:rPr>
          <w:rFonts w:ascii="宋体" w:hAnsi="宋体" w:eastAsia="宋体" w:cs="宋体"/>
          <w:sz w:val="24"/>
          <w:szCs w:val="24"/>
        </w:rPr>
        <w:t xml:space="preserve">的要求，结合我区实际，决定在区内开展秸秆离田利用工作。具体要求详见</w:t>
      </w:r>
      <w:r>
        <w:rPr>
          <w:rFonts w:hint="eastAsia" w:ascii="宋体" w:hAnsi="宋体" w:eastAsia="宋体" w:cs="宋体"/>
          <w:sz w:val="24"/>
          <w:szCs w:val="24"/>
        </w:rPr>
        <w:t xml:space="preserve">采购</w:t>
      </w:r>
      <w:r>
        <w:rPr>
          <w:rFonts w:ascii="宋体" w:hAnsi="宋体" w:eastAsia="宋体" w:cs="宋体"/>
          <w:sz w:val="24"/>
          <w:szCs w:val="24"/>
        </w:rPr>
        <w:t xml:space="preserve">文件</w:t>
      </w:r>
      <w:r>
        <w:rPr>
          <w:rFonts w:hint="eastAsia" w:ascii="宋体" w:hAnsi="宋体" w:eastAsia="宋体" w:cs="宋体"/>
          <w:sz w:val="24"/>
          <w:szCs w:val="24"/>
        </w:rPr>
        <w:t xml:space="preserve">。</w:t>
      </w:r>
      <w:bookmarkEnd w:id="3"/>
      <w:r/>
    </w:p>
    <w:p>
      <w:pPr>
        <w:ind w:firstLine="480"/>
        <w:jc w:val="left"/>
        <w:spacing w:line="360" w:lineRule="auto"/>
        <w:rPr>
          <w:sz w:val="24"/>
        </w:rPr>
      </w:pPr>
      <w:r>
        <w:rPr>
          <w:rFonts w:hint="eastAsia" w:ascii="宋体" w:hAnsi="宋体" w:eastAsia="宋体" w:cs="宋体"/>
          <w:sz w:val="24"/>
          <w:szCs w:val="24"/>
        </w:rPr>
        <w:t xml:space="preserve">7.合同履行期限：</w:t>
      </w:r>
      <w:r>
        <w:rPr>
          <w:rFonts w:hint="eastAsia" w:ascii="宋体" w:hAnsi="宋体" w:eastAsia="宋体"/>
          <w:sz w:val="24"/>
        </w:rPr>
        <w:t xml:space="preserve">自合同签订之日起至2026年12月</w:t>
      </w:r>
      <w:r>
        <w:rPr>
          <w:rFonts w:hint="eastAsia" w:ascii="宋体" w:hAnsi="宋体" w:eastAsia="宋体"/>
          <w:sz w:val="24"/>
        </w:rPr>
        <w:t xml:space="preserve">1</w:t>
      </w:r>
      <w:r>
        <w:rPr>
          <w:rFonts w:hint="eastAsia" w:ascii="宋体" w:hAnsi="宋体" w:eastAsia="宋体"/>
          <w:sz w:val="24"/>
        </w:rPr>
        <w:t xml:space="preserve">0日止，具体以采购单位时间安排为准。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sz w:val="24"/>
        </w:rPr>
      </w:pPr>
      <w:r>
        <w:rPr>
          <w:rFonts w:hint="eastAsia" w:ascii="宋体" w:hAnsi="宋体" w:eastAsia="宋体" w:cs="宋体"/>
          <w:sz w:val="24"/>
          <w:szCs w:val="24"/>
        </w:rPr>
        <w:t xml:space="preserve">3.3其他特定资格要求：</w:t>
      </w:r>
      <w:r>
        <w:rPr>
          <w:rFonts w:ascii="宋体" w:hAnsi="宋体" w:eastAsia="宋体" w:cs="宋体"/>
          <w:sz w:val="24"/>
          <w:szCs w:val="24"/>
        </w:rPr>
        <w:t xml:space="preserve">/</w:t>
      </w:r>
      <w:bookmarkEnd w:id="5"/>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3.方式：供应商持CA数字认证证书登录“苏采云”系统获取电子版招标文件。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sz w:val="24"/>
        </w:rPr>
        <w:t xml:space="preserve">投标截止时间、开标时间：</w:t>
      </w:r>
      <w:r>
        <w:rPr>
          <w:rFonts w:hint="eastAsia" w:ascii="宋体" w:hAnsi="宋体" w:eastAsia="宋体" w:cs="宋体"/>
          <w:sz w:val="24"/>
          <w:szCs w:val="24"/>
        </w:rPr>
        <w:t xml:space="preserve">2026年</w:t>
      </w: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2</w:t>
      </w:r>
      <w:r>
        <w:rPr>
          <w:rFonts w:hint="eastAsia" w:ascii="宋体" w:hAnsi="宋体" w:eastAsia="宋体" w:cs="宋体"/>
          <w:sz w:val="24"/>
          <w:szCs w:val="24"/>
        </w:rPr>
        <w:t xml:space="preserve">4</w:t>
      </w:r>
      <w:r>
        <w:rPr>
          <w:rFonts w:hint="eastAsia" w:ascii="宋体" w:hAnsi="宋体" w:eastAsia="宋体" w:cs="宋体"/>
          <w:sz w:val="24"/>
          <w:szCs w:val="24"/>
        </w:rPr>
        <w:t xml:space="preserve">日14点00分（北京时间）。</w:t>
      </w:r>
      <w:bookmarkEnd w:id="6"/>
      <w:r/>
      <w:r/>
    </w:p>
    <w:p>
      <w:pPr>
        <w:ind w:firstLine="480"/>
        <w:spacing w:line="360" w:lineRule="auto"/>
        <w:rPr>
          <w:rFonts w:hint="eastAsia" w:ascii="宋体" w:hAnsi="宋体" w:eastAsia="宋体" w:cs="宋体"/>
          <w:sz w:val="24"/>
        </w:rPr>
      </w:pPr>
      <w:r/>
      <w:bookmarkStart w:id="7" w:name="_Toc28359007"/>
      <w:r/>
      <w:bookmarkStart w:id="8" w:name="_Toc28359084"/>
      <w:r/>
      <w:bookmarkStart w:id="9" w:name="_Toc35393794"/>
      <w:r/>
      <w:bookmarkStart w:id="10" w:name="_Toc35393625"/>
      <w:r>
        <w:rPr>
          <w:rFonts w:hint="eastAsia" w:ascii="宋体" w:hAnsi="宋体" w:eastAsia="宋体" w:cs="宋体"/>
          <w:sz w:val="24"/>
        </w:rPr>
        <w:t xml:space="preserve">地点：“苏采云”系统“开标大厅”。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ind w:left="229" w:hanging="229"/>
        <w:spacing w:line="360" w:lineRule="auto"/>
        <w:rPr>
          <w:rFonts w:hint="eastAsia" w:ascii="宋体" w:hAnsi="宋体" w:eastAsia="宋体" w:cs="宋体"/>
          <w:b/>
          <w:sz w:val="24"/>
          <w:szCs w:val="24"/>
        </w:rPr>
      </w:pPr>
      <w:r/>
      <w:bookmarkStart w:id="11" w:name="_Toc35393626"/>
      <w:r/>
      <w:bookmarkStart w:id="12" w:name="_Toc35393795"/>
      <w:r>
        <w:rPr>
          <w:rFonts w:hint="eastAsia" w:ascii="宋体" w:hAnsi="宋体" w:eastAsia="宋体" w:cs="宋体"/>
          <w:b/>
          <w:sz w:val="24"/>
          <w:szCs w:val="24"/>
        </w:rPr>
        <w:t xml:space="preserve">其他补充事宜</w:t>
      </w:r>
      <w:bookmarkEnd w:id="11"/>
      <w:r/>
      <w:bookmarkEnd w:id="12"/>
      <w:r/>
      <w:r/>
    </w:p>
    <w:p>
      <w:pPr>
        <w:ind w:firstLine="480"/>
        <w:spacing w:line="360" w:lineRule="auto"/>
        <w:rPr>
          <w:rFonts w:hint="eastAsia" w:ascii="宋体" w:hAnsi="宋体" w:eastAsia="宋体" w:cs="宋体"/>
          <w:sz w:val="24"/>
        </w:rPr>
      </w:pPr>
      <w:r/>
      <w:bookmarkStart w:id="13" w:name="_Toc28359085"/>
      <w:r/>
      <w:bookmarkStart w:id="14" w:name="_Toc35393627"/>
      <w:r/>
      <w:bookmarkStart w:id="15" w:name="_Toc35393796"/>
      <w:r/>
      <w:bookmarkStart w:id="16" w:name="_Toc28359008"/>
      <w:r>
        <w:rPr>
          <w:rFonts w:hint="eastAsia" w:ascii="宋体" w:hAnsi="宋体" w:eastAsia="宋体" w:cs="宋体"/>
          <w:sz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领取CA和办理电子签章（技术支持服务热线：0519-85588210）、进行注册并按《操作手册》要求制作、上传电子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有关本次招标的事项若存在变动或修改，敬请及时关注“江苏政府采购网”、“常州市政府采购网”发布的公告。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4.关于常州市中小企业政府采购信用融资：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七、对本项目提出询问，请按以下方式联系。</w:t>
      </w:r>
      <w:bookmarkEnd w:id="13"/>
      <w:r/>
      <w:bookmarkEnd w:id="14"/>
      <w:r/>
      <w:bookmarkEnd w:id="15"/>
      <w:r/>
      <w:bookmarkEnd w:id="1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7" w:name="_Toc28359009"/>
      <w:r/>
      <w:bookmarkStart w:id="18" w:name="_Toc28359086"/>
      <w:r>
        <w:rPr>
          <w:rFonts w:hint="eastAsia" w:ascii="宋体" w:hAnsi="宋体" w:eastAsia="宋体" w:cs="宋体"/>
          <w:sz w:val="24"/>
          <w:szCs w:val="24"/>
        </w:rPr>
        <w:t xml:space="preserve">单位名称：常州市新北区西夏墅镇人民政府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常州市新北区西夏墅镇阳澄湖路231号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19" w:name="OLE_LINK7"/>
      <w:r>
        <w:rPr>
          <w:rFonts w:hint="eastAsia" w:ascii="宋体" w:hAnsi="宋体" w:eastAsia="宋体" w:cs="宋体"/>
          <w:sz w:val="24"/>
          <w:szCs w:val="24"/>
        </w:rPr>
        <w:t xml:space="preserve">张</w:t>
      </w:r>
      <w:r>
        <w:rPr>
          <w:rFonts w:hint="eastAsia" w:ascii="宋体" w:hAnsi="宋体" w:eastAsia="宋体" w:cs="宋体"/>
          <w:sz w:val="24"/>
          <w:szCs w:val="24"/>
        </w:rPr>
        <w:t xml:space="preserve">先生</w:t>
      </w:r>
      <w:bookmarkEnd w:id="19"/>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w:t>
      </w:r>
      <w:r>
        <w:t xml:space="preserve"> </w:t>
      </w:r>
      <w:r>
        <w:rPr>
          <w:rFonts w:ascii="宋体" w:hAnsi="宋体" w:eastAsia="宋体" w:cs="宋体"/>
          <w:sz w:val="24"/>
          <w:szCs w:val="24"/>
        </w:rPr>
        <w:t xml:space="preserve">83438352</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7"/>
      <w:r/>
      <w:bookmarkEnd w:id="18"/>
      <w:r/>
      <w:r/>
    </w:p>
    <w:p>
      <w:pPr>
        <w:ind w:firstLine="480"/>
        <w:spacing w:line="360" w:lineRule="auto"/>
        <w:rPr>
          <w:rFonts w:hint="eastAsia" w:ascii="宋体" w:hAnsi="宋体" w:eastAsia="宋体" w:cs="宋体"/>
          <w:sz w:val="24"/>
          <w:szCs w:val="24"/>
        </w:rPr>
      </w:pPr>
      <w:r/>
      <w:bookmarkStart w:id="20" w:name="_Toc28359087"/>
      <w:r/>
      <w:bookmarkStart w:id="21" w:name="_Toc28359010"/>
      <w:r>
        <w:rPr>
          <w:rFonts w:hint="eastAsia" w:ascii="宋体" w:hAnsi="宋体" w:eastAsia="宋体" w:cs="宋体"/>
          <w:sz w:val="24"/>
          <w:szCs w:val="24"/>
        </w:rPr>
        <w:t xml:space="preserve">单位名称：常州金诚招投标有限公司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705"/>
        <w:ind w:left="343" w:hanging="343"/>
        <w:rPr>
          <w:rFonts w:hint="eastAsia" w:ascii="宋体" w:hAnsi="宋体" w:eastAsia="宋体" w:cs="宋体"/>
        </w:rPr>
      </w:pPr>
      <w:r/>
      <w:bookmarkStart w:id="22" w:name="_Toc23148"/>
      <w:r>
        <w:rPr>
          <w:rFonts w:hint="eastAsia" w:ascii="宋体" w:hAnsi="宋体" w:eastAsia="宋体" w:cs="宋体"/>
        </w:rPr>
        <w:t xml:space="preserve">第二章 投标人须知</w:t>
      </w:r>
      <w:bookmarkEnd w:id="22"/>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ascii="宋体" w:hAnsi="宋体"/>
                <w:sz w:val="24"/>
                <w:u w:val="single"/>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联系部门：常州金诚招投标有限公司；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w:t>
            </w:r>
            <w:r>
              <w:rPr>
                <w:rFonts w:hint="eastAsia" w:ascii="宋体" w:hAnsi="宋体" w:eastAsia="宋体" w:cs="宋体"/>
                <w:sz w:val="24"/>
                <w:szCs w:val="24"/>
              </w:rPr>
              <w:t xml:space="preserve">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jc w:val="left"/>
              <w:spacing w:before="109" w:after="109"/>
              <w:rPr>
                <w:rFonts w:hint="eastAsia" w:ascii="宋体" w:hAnsi="宋体" w:eastAsia="宋体"/>
                <w:sz w:val="24"/>
                <w:szCs w:val="24"/>
              </w:rPr>
            </w:pPr>
            <w:r>
              <w:rPr>
                <w:rFonts w:hint="eastAsia" w:ascii="宋体" w:hAnsi="宋体" w:eastAsia="宋体"/>
                <w:sz w:val="24"/>
                <w:szCs w:val="24"/>
              </w:rPr>
              <w:t xml:space="preserve">代理服务费按照下列标准收取，中标服务收费按此计算方法不足人民币3000元的，按人民币3000元收取。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预算金额（万元）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服务</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0.8</w:t>
                  </w:r>
                  <w:r>
                    <w:rPr>
                      <w:rFonts w:hint="eastAsia" w:ascii="宋体" w:hAnsi="宋体" w:eastAsia="宋体" w:cs="宋体"/>
                      <w:szCs w:val="21"/>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ind w:left="228" w:hanging="228"/>
              <w:spacing w:line="276" w:lineRule="auto"/>
              <w:rPr>
                <w:rFonts w:hint="eastAsia" w:ascii="宋体" w:hAnsi="宋体" w:eastAsia="宋体" w:cs="宋体"/>
                <w:sz w:val="24"/>
                <w:szCs w:val="24"/>
              </w:rPr>
            </w:pPr>
            <w:r>
              <w:rPr>
                <w:rFonts w:ascii="宋体" w:hAnsi="宋体" w:eastAsia="宋体"/>
                <w:b/>
                <w:bCs/>
                <w:sz w:val="24"/>
                <w:szCs w:val="24"/>
              </w:rPr>
              <w:t xml:space="preserve">缴纳时间：</w:t>
            </w:r>
            <w:r>
              <w:rPr>
                <w:rFonts w:hint="eastAsia" w:ascii="宋体" w:hAnsi="宋体" w:eastAsia="宋体"/>
                <w:sz w:val="24"/>
              </w:rPr>
              <w:t xml:space="preserve">成交后，领取中标(成交)通知书前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3" w:name="_Toc151193906"/>
      <w:r/>
      <w:bookmarkStart w:id="24" w:name="_Toc151193760"/>
      <w:r/>
      <w:bookmarkStart w:id="25" w:name="_Toc264969208"/>
      <w:r/>
      <w:bookmarkStart w:id="26" w:name="_Toc226965791"/>
      <w:r/>
      <w:bookmarkStart w:id="27" w:name="_Toc305158860"/>
      <w:r/>
      <w:bookmarkStart w:id="28" w:name="_Toc150480756"/>
      <w:r/>
      <w:bookmarkStart w:id="29" w:name="_Toc151193688"/>
      <w:r/>
      <w:bookmarkStart w:id="30" w:name="_Toc226337214"/>
      <w:r/>
      <w:bookmarkStart w:id="31" w:name="_Toc142311020"/>
      <w:r/>
      <w:bookmarkStart w:id="32" w:name="_Toc195842883"/>
      <w:r/>
      <w:bookmarkStart w:id="33" w:name="_Toc265228356"/>
      <w:r/>
      <w:bookmarkStart w:id="34" w:name="_Toc226965708"/>
      <w:r/>
      <w:bookmarkStart w:id="35" w:name="_Toc150509269"/>
      <w:r/>
      <w:bookmarkStart w:id="36" w:name="_Toc226309762"/>
      <w:r/>
      <w:bookmarkStart w:id="37" w:name="_Toc151193616"/>
      <w:r/>
      <w:bookmarkStart w:id="38" w:name="_Toc151193832"/>
      <w:r/>
      <w:bookmarkStart w:id="39" w:name="_Toc305158786"/>
      <w:r/>
      <w:bookmarkStart w:id="40" w:name="_Toc150774618"/>
      <w:r/>
      <w:bookmarkStart w:id="41" w:name="_Toc150774723"/>
      <w:r/>
      <w:bookmarkStart w:id="42" w:name="_Toc151190145"/>
      <w:r>
        <w:rPr>
          <w:rFonts w:hint="eastAsia" w:ascii="宋体" w:hAnsi="宋体" w:eastAsia="宋体" w:cs="宋体"/>
          <w:b/>
          <w:sz w:val="28"/>
          <w:szCs w:val="28"/>
        </w:rPr>
        <w:t xml:space="preserve">一、说  明</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pStyle w:val="745"/>
        <w:numPr>
          <w:ilvl w:val="0"/>
          <w:numId w:val="3"/>
        </w:numPr>
        <w:jc w:val="left"/>
        <w:spacing w:line="360" w:lineRule="auto"/>
        <w:rPr>
          <w:rFonts w:hint="eastAsia" w:ascii="宋体" w:hAnsi="宋体" w:eastAsia="宋体" w:cs="宋体"/>
          <w:sz w:val="24"/>
          <w:szCs w:val="24"/>
        </w:rPr>
      </w:pPr>
      <w:r/>
      <w:bookmarkStart w:id="43" w:name="_Toc305158861"/>
      <w:r/>
      <w:bookmarkStart w:id="44" w:name="_Toc264969209"/>
      <w:r/>
      <w:bookmarkStart w:id="45" w:name="_Toc305158787"/>
      <w:r/>
      <w:bookmarkStart w:id="46" w:name="_Toc265228357"/>
      <w:r/>
      <w:bookmarkStart w:id="47" w:name="_Toc265228360"/>
      <w:r/>
      <w:bookmarkStart w:id="48" w:name="_Toc151193836"/>
      <w:r/>
      <w:bookmarkStart w:id="49" w:name="_Toc305158790"/>
      <w:r/>
      <w:bookmarkStart w:id="50" w:name="_Toc195842887"/>
      <w:r/>
      <w:bookmarkStart w:id="51" w:name="_Toc226965712"/>
      <w:r/>
      <w:bookmarkStart w:id="52" w:name="_Toc151193910"/>
      <w:r/>
      <w:bookmarkStart w:id="53" w:name="_Toc150509273"/>
      <w:r/>
      <w:bookmarkStart w:id="54" w:name="_Toc226965795"/>
      <w:r/>
      <w:bookmarkStart w:id="55" w:name="_Toc150480760"/>
      <w:r/>
      <w:bookmarkStart w:id="56" w:name="_Toc520356146"/>
      <w:r/>
      <w:bookmarkStart w:id="57" w:name="_Toc226309766"/>
      <w:r/>
      <w:bookmarkStart w:id="58" w:name="_Toc151193620"/>
      <w:r/>
      <w:bookmarkStart w:id="59" w:name="_Toc150774622"/>
      <w:r/>
      <w:bookmarkStart w:id="60" w:name="_Toc150774727"/>
      <w:r/>
      <w:bookmarkStart w:id="61" w:name="_Toc264969212"/>
      <w:r/>
      <w:bookmarkStart w:id="62" w:name="_Toc226337218"/>
      <w:r/>
      <w:bookmarkStart w:id="63" w:name="_Toc305158864"/>
      <w:r/>
      <w:bookmarkStart w:id="64" w:name="_Toc151193764"/>
      <w:r/>
      <w:bookmarkStart w:id="65" w:name="_Toc151193692"/>
      <w:r/>
      <w:bookmarkStart w:id="66" w:name="_Toc127151522"/>
      <w:r/>
      <w:bookmarkStart w:id="67" w:name="_Toc151190149"/>
      <w:r/>
      <w:bookmarkStart w:id="68" w:name="_Toc142311024"/>
      <w:r>
        <w:rPr>
          <w:rFonts w:hint="eastAsia" w:ascii="宋体" w:hAnsi="宋体" w:eastAsia="宋体" w:cs="宋体"/>
          <w:sz w:val="24"/>
        </w:rPr>
        <w:t xml:space="preserve">采购人、采购代理机构、投标人</w:t>
      </w:r>
      <w:bookmarkEnd w:id="43"/>
      <w:r/>
      <w:bookmarkEnd w:id="44"/>
      <w:r/>
      <w:bookmarkEnd w:id="45"/>
      <w:r/>
      <w:bookmarkEnd w:id="46"/>
      <w:r>
        <w:rPr>
          <w:rFonts w:hint="eastAsia" w:ascii="宋体" w:hAnsi="宋体" w:eastAsia="宋体" w:cs="宋体"/>
          <w:sz w:val="24"/>
        </w:rPr>
        <w:t xml:space="preserve">、联合体</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745"/>
        <w:numPr>
          <w:ilvl w:val="0"/>
          <w:numId w:val="4"/>
        </w:numPr>
        <w:jc w:val="left"/>
        <w:spacing w:line="360" w:lineRule="auto"/>
        <w:rPr>
          <w:rFonts w:hint="eastAsia" w:ascii="宋体" w:hAnsi="宋体" w:eastAsia="宋体" w:cs="宋体"/>
          <w:sz w:val="24"/>
          <w:szCs w:val="24"/>
        </w:rPr>
      </w:pPr>
      <w:r/>
      <w:bookmarkStart w:id="69" w:name="_Toc150509271"/>
      <w:r/>
      <w:bookmarkStart w:id="70" w:name="_Toc127161434"/>
      <w:r/>
      <w:bookmarkStart w:id="71" w:name="_Toc164229361"/>
      <w:r/>
      <w:bookmarkStart w:id="72" w:name="_Toc151190147"/>
      <w:r/>
      <w:bookmarkStart w:id="73" w:name="_Toc150774725"/>
      <w:r/>
      <w:bookmarkStart w:id="74" w:name="_Toc127151520"/>
      <w:r/>
      <w:bookmarkStart w:id="75" w:name="_Toc164608789"/>
      <w:r/>
      <w:bookmarkStart w:id="76" w:name="_Toc264969210"/>
      <w:r/>
      <w:bookmarkStart w:id="77" w:name="_Toc164351614"/>
      <w:r/>
      <w:bookmarkStart w:id="78" w:name="_Toc151193762"/>
      <w:r/>
      <w:bookmarkStart w:id="79" w:name="_Toc151193908"/>
      <w:r/>
      <w:bookmarkStart w:id="80" w:name="_Toc127151721"/>
      <w:r/>
      <w:bookmarkStart w:id="81" w:name="_Toc150480758"/>
      <w:r/>
      <w:bookmarkStart w:id="82" w:name="_Toc164229215"/>
      <w:r/>
      <w:bookmarkStart w:id="83" w:name="_Toc151193834"/>
      <w:r/>
      <w:bookmarkStart w:id="84" w:name="_Toc142311022"/>
      <w:r/>
      <w:bookmarkStart w:id="85" w:name="_Toc151193618"/>
      <w:r/>
      <w:bookmarkStart w:id="86" w:name="_Toc195842885"/>
      <w:r/>
      <w:bookmarkStart w:id="87" w:name="_Toc305158788"/>
      <w:r/>
      <w:bookmarkStart w:id="88" w:name="_Toc226337216"/>
      <w:r/>
      <w:bookmarkStart w:id="89" w:name="_Toc265228358"/>
      <w:r/>
      <w:bookmarkStart w:id="90" w:name="_Toc226965710"/>
      <w:r/>
      <w:bookmarkStart w:id="91" w:name="_Toc150774620"/>
      <w:r/>
      <w:bookmarkStart w:id="92" w:name="_Toc149720813"/>
      <w:r/>
      <w:bookmarkStart w:id="93" w:name="_Toc226309764"/>
      <w:r/>
      <w:bookmarkStart w:id="94" w:name="_Toc164608634"/>
      <w:r/>
      <w:bookmarkStart w:id="95" w:name="_Toc305158862"/>
      <w:r/>
      <w:bookmarkStart w:id="96" w:name="_Toc226965793"/>
      <w:r/>
      <w:bookmarkStart w:id="97" w:name="_Toc151193690"/>
      <w:r>
        <w:rPr>
          <w:rFonts w:hint="eastAsia" w:ascii="宋体" w:hAnsi="宋体" w:eastAsia="宋体" w:cs="宋体"/>
          <w:sz w:val="24"/>
        </w:rPr>
        <w:t xml:space="preserve">资金来源</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4"/>
        </w:rPr>
        <w:t xml:space="preserve">、项目属性、科研仪器设备采购、核心产品</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745"/>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745"/>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745"/>
        <w:numPr>
          <w:ilvl w:val="3"/>
          <w:numId w:val="4"/>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以联合体形式参加政府采购活动，联合体各方均为中小企业</w:t>
      </w:r>
      <w:r>
        <w:rPr>
          <w:rFonts w:hint="eastAsia" w:ascii="宋体" w:hAnsi="宋体" w:eastAsia="宋体" w:cs="宋体"/>
          <w:sz w:val="24"/>
        </w:rPr>
        <w:t xml:space="preserve">的，联合体视同中小企业。其中，联合体各方均为小微企业的，联合体视同小微企业。</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小微企业价格评审优惠的政策调整：见第三章《评标方法和评标标准》。</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品、创新服务、首台套、首购首用等《目录》的创新产品，上述《目录》内创新产品，自认定之日起2年内视同已具备相应销售业绩，参加政府采购活动时业绩分值为满分。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745"/>
        <w:numPr>
          <w:ilvl w:val="2"/>
          <w:numId w:val="4"/>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45"/>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745"/>
        <w:numPr>
          <w:ilvl w:val="0"/>
          <w:numId w:val="4"/>
        </w:numPr>
        <w:jc w:val="left"/>
        <w:spacing w:line="360" w:lineRule="auto"/>
        <w:rPr>
          <w:rFonts w:hint="eastAsia" w:ascii="宋体" w:hAnsi="宋体" w:eastAsia="宋体" w:cs="宋体"/>
          <w:sz w:val="24"/>
          <w:szCs w:val="24"/>
        </w:rPr>
      </w:pPr>
      <w:r/>
      <w:bookmarkStart w:id="98" w:name="_Toc305158865"/>
      <w:r/>
      <w:bookmarkStart w:id="99" w:name="_Toc150480761"/>
      <w:r/>
      <w:bookmarkStart w:id="100" w:name="_Toc151193765"/>
      <w:r/>
      <w:bookmarkStart w:id="101" w:name="_Toc226309767"/>
      <w:r/>
      <w:bookmarkStart w:id="102" w:name="_Toc164351617"/>
      <w:r/>
      <w:bookmarkStart w:id="103" w:name="_Toc226965796"/>
      <w:r/>
      <w:bookmarkStart w:id="104" w:name="_Toc150774728"/>
      <w:r/>
      <w:bookmarkStart w:id="105" w:name="_Toc164608792"/>
      <w:r/>
      <w:bookmarkStart w:id="106" w:name="_Toc265228361"/>
      <w:r/>
      <w:bookmarkStart w:id="107" w:name="_Toc151193693"/>
      <w:r/>
      <w:bookmarkStart w:id="108" w:name="_Toc305158791"/>
      <w:r/>
      <w:bookmarkStart w:id="109" w:name="_Toc150509274"/>
      <w:r/>
      <w:bookmarkStart w:id="110" w:name="_Toc195842888"/>
      <w:r/>
      <w:bookmarkStart w:id="111" w:name="_Toc226337219"/>
      <w:r/>
      <w:bookmarkStart w:id="112" w:name="_Toc151193621"/>
      <w:r/>
      <w:bookmarkStart w:id="113" w:name="_Toc127151724"/>
      <w:r/>
      <w:bookmarkStart w:id="114" w:name="_Toc164229364"/>
      <w:r/>
      <w:bookmarkStart w:id="115" w:name="_Toc127151523"/>
      <w:r/>
      <w:bookmarkStart w:id="116" w:name="_Toc151190150"/>
      <w:r/>
      <w:bookmarkStart w:id="117" w:name="_Toc264969213"/>
      <w:r/>
      <w:bookmarkStart w:id="118" w:name="_Toc151193837"/>
      <w:r/>
      <w:bookmarkStart w:id="119" w:name="_Toc164608637"/>
      <w:r/>
      <w:bookmarkStart w:id="120" w:name="_Toc127161437"/>
      <w:r/>
      <w:bookmarkStart w:id="121" w:name="_Toc142311025"/>
      <w:r/>
      <w:bookmarkStart w:id="122" w:name="_Toc164229218"/>
      <w:r/>
      <w:bookmarkStart w:id="123" w:name="_Toc520356147"/>
      <w:r/>
      <w:bookmarkStart w:id="124" w:name="_Toc149720816"/>
      <w:r/>
      <w:bookmarkStart w:id="125" w:name="_Toc151193911"/>
      <w:r/>
      <w:bookmarkStart w:id="126" w:name="_Toc150774623"/>
      <w:r/>
      <w:bookmarkStart w:id="127" w:name="_Toc226965713"/>
      <w:r>
        <w:rPr>
          <w:rFonts w:hint="eastAsia" w:ascii="宋体" w:hAnsi="宋体" w:eastAsia="宋体" w:cs="宋体"/>
          <w:sz w:val="24"/>
        </w:rPr>
        <w:t xml:space="preserve">招标文件构</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cs="宋体"/>
          <w:sz w:val="24"/>
        </w:rPr>
        <w:t xml:space="preserve">成</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拟签订的合同文本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745"/>
        <w:numPr>
          <w:ilvl w:val="0"/>
          <w:numId w:val="4"/>
        </w:numPr>
        <w:jc w:val="left"/>
        <w:spacing w:line="360" w:lineRule="auto"/>
        <w:rPr>
          <w:rFonts w:hint="eastAsia" w:ascii="宋体" w:hAnsi="宋体" w:eastAsia="宋体" w:cs="宋体"/>
          <w:sz w:val="24"/>
        </w:rPr>
      </w:pPr>
      <w:r/>
      <w:bookmarkStart w:id="128" w:name="_Toc151193841"/>
      <w:r/>
      <w:bookmarkStart w:id="129" w:name="_Toc150480765"/>
      <w:r/>
      <w:bookmarkStart w:id="130" w:name="_Toc164229368"/>
      <w:r/>
      <w:bookmarkStart w:id="131" w:name="_Toc195842892"/>
      <w:r/>
      <w:bookmarkStart w:id="132" w:name="_Toc127151527"/>
      <w:r/>
      <w:bookmarkStart w:id="133" w:name="_Toc226965800"/>
      <w:r/>
      <w:bookmarkStart w:id="134" w:name="_Toc164608796"/>
      <w:r/>
      <w:bookmarkStart w:id="135" w:name="_Toc151193697"/>
      <w:r/>
      <w:bookmarkStart w:id="136" w:name="_Toc150509278"/>
      <w:r/>
      <w:bookmarkStart w:id="137" w:name="_Toc305158795"/>
      <w:r/>
      <w:bookmarkStart w:id="138" w:name="_Toc150774732"/>
      <w:r/>
      <w:bookmarkStart w:id="139" w:name="_Toc264969217"/>
      <w:r/>
      <w:bookmarkStart w:id="140" w:name="_Toc127151728"/>
      <w:r/>
      <w:bookmarkStart w:id="141" w:name="_Toc226965717"/>
      <w:r/>
      <w:bookmarkStart w:id="142" w:name="_Toc164608641"/>
      <w:r/>
      <w:bookmarkStart w:id="143" w:name="_Toc149720820"/>
      <w:r/>
      <w:bookmarkStart w:id="144" w:name="_Toc305158869"/>
      <w:r/>
      <w:bookmarkStart w:id="145" w:name="_Toc142311029"/>
      <w:r/>
      <w:bookmarkStart w:id="146" w:name="_Toc151193625"/>
      <w:r/>
      <w:bookmarkStart w:id="147" w:name="_Toc516367021"/>
      <w:r/>
      <w:bookmarkStart w:id="148" w:name="_Toc164229222"/>
      <w:r/>
      <w:bookmarkStart w:id="149" w:name="_Toc151193915"/>
      <w:r/>
      <w:bookmarkStart w:id="150" w:name="_Toc127161441"/>
      <w:r/>
      <w:bookmarkStart w:id="151" w:name="_Toc265228365"/>
      <w:r/>
      <w:bookmarkStart w:id="152" w:name="_Toc151193769"/>
      <w:r/>
      <w:bookmarkStart w:id="153" w:name="_Toc151190154"/>
      <w:r/>
      <w:bookmarkStart w:id="154" w:name="_Toc164351621"/>
      <w:r/>
      <w:bookmarkStart w:id="155" w:name="_Toc226309771"/>
      <w:r/>
      <w:bookmarkStart w:id="156" w:name="_Toc226337223"/>
      <w:r/>
      <w:bookmarkStart w:id="157" w:name="_Toc150774627"/>
      <w:r/>
      <w:bookmarkStart w:id="158" w:name="_Toc520356151"/>
      <w:r>
        <w:rPr>
          <w:rFonts w:hint="eastAsia" w:ascii="宋体" w:hAnsi="宋体" w:eastAsia="宋体" w:cs="宋体"/>
          <w:sz w:val="24"/>
        </w:rPr>
        <w:t xml:space="preserve">投标范围、投标文件中计量单位的使用</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sz w:val="24"/>
        </w:rPr>
        <w:t xml:space="preserve">及投标语言</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745"/>
        <w:numPr>
          <w:ilvl w:val="0"/>
          <w:numId w:val="4"/>
        </w:numPr>
        <w:jc w:val="left"/>
        <w:spacing w:line="360" w:lineRule="auto"/>
        <w:rPr>
          <w:rFonts w:hint="eastAsia" w:ascii="宋体" w:hAnsi="宋体" w:eastAsia="宋体" w:cs="宋体"/>
          <w:sz w:val="24"/>
        </w:rPr>
      </w:pPr>
      <w:r/>
      <w:bookmarkStart w:id="159" w:name="_Toc516367022"/>
      <w:r/>
      <w:bookmarkStart w:id="160" w:name="_Ref467306676"/>
      <w:r/>
      <w:bookmarkStart w:id="161" w:name="_Ref467306195"/>
      <w:r/>
      <w:bookmarkStart w:id="162" w:name="_Toc127151729"/>
      <w:r/>
      <w:bookmarkStart w:id="163" w:name="_Toc305158796"/>
      <w:r/>
      <w:bookmarkStart w:id="164" w:name="_Toc151193698"/>
      <w:r/>
      <w:bookmarkStart w:id="165" w:name="_Toc127161442"/>
      <w:r/>
      <w:bookmarkStart w:id="166" w:name="_Toc226309772"/>
      <w:r/>
      <w:bookmarkStart w:id="167" w:name="_Toc151193842"/>
      <w:r/>
      <w:bookmarkStart w:id="168" w:name="_Toc226965801"/>
      <w:r/>
      <w:bookmarkStart w:id="169" w:name="_Toc149720821"/>
      <w:r/>
      <w:bookmarkStart w:id="170" w:name="_Toc226337224"/>
      <w:r/>
      <w:bookmarkStart w:id="171" w:name="_Toc305158870"/>
      <w:r/>
      <w:bookmarkStart w:id="172" w:name="_Toc264969218"/>
      <w:r/>
      <w:bookmarkStart w:id="173" w:name="_Toc142311030"/>
      <w:r/>
      <w:bookmarkStart w:id="174" w:name="_Toc520356152"/>
      <w:r/>
      <w:bookmarkStart w:id="175" w:name="_Toc151193626"/>
      <w:r/>
      <w:bookmarkStart w:id="176" w:name="_Toc265228366"/>
      <w:r/>
      <w:bookmarkStart w:id="177" w:name="_Toc226965718"/>
      <w:r/>
      <w:bookmarkStart w:id="178" w:name="_Toc150480766"/>
      <w:r/>
      <w:bookmarkStart w:id="179" w:name="_Toc150774628"/>
      <w:r/>
      <w:bookmarkStart w:id="180" w:name="_Toc164351622"/>
      <w:r/>
      <w:bookmarkStart w:id="181" w:name="_Toc164229369"/>
      <w:r/>
      <w:bookmarkStart w:id="182" w:name="_Toc150509279"/>
      <w:r/>
      <w:bookmarkStart w:id="183" w:name="_Toc164608642"/>
      <w:r/>
      <w:bookmarkStart w:id="184" w:name="_Toc164608797"/>
      <w:r/>
      <w:bookmarkStart w:id="185" w:name="_Toc151190155"/>
      <w:r/>
      <w:bookmarkStart w:id="186" w:name="_Toc127151528"/>
      <w:r/>
      <w:bookmarkStart w:id="187" w:name="_Toc151193770"/>
      <w:r/>
      <w:bookmarkStart w:id="188" w:name="_Toc195842893"/>
      <w:r/>
      <w:bookmarkStart w:id="189" w:name="_Toc150774733"/>
      <w:r/>
      <w:bookmarkStart w:id="190" w:name="_Toc164229223"/>
      <w:r/>
      <w:bookmarkStart w:id="191" w:name="_Toc151193916"/>
      <w:r>
        <w:rPr>
          <w:rFonts w:hint="eastAsia" w:ascii="宋体" w:hAnsi="宋体" w:eastAsia="宋体" w:cs="宋体"/>
          <w:sz w:val="24"/>
        </w:rPr>
        <w:t xml:space="preserve">投标文件</w:t>
      </w:r>
      <w:bookmarkEnd w:id="159"/>
      <w:r/>
      <w:bookmarkEnd w:id="160"/>
      <w:r/>
      <w:bookmarkEnd w:id="161"/>
      <w:r>
        <w:rPr>
          <w:rFonts w:hint="eastAsia" w:ascii="宋体" w:hAnsi="宋体" w:eastAsia="宋体" w:cs="宋体"/>
          <w:sz w:val="24"/>
        </w:rPr>
        <w:t xml:space="preserve">构成</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745"/>
        <w:numPr>
          <w:ilvl w:val="0"/>
          <w:numId w:val="4"/>
        </w:numPr>
        <w:jc w:val="left"/>
        <w:spacing w:line="360" w:lineRule="auto"/>
        <w:rPr>
          <w:rFonts w:hint="eastAsia" w:ascii="宋体" w:hAnsi="宋体" w:eastAsia="宋体" w:cs="宋体"/>
          <w:sz w:val="24"/>
        </w:rPr>
      </w:pPr>
      <w:r/>
      <w:bookmarkStart w:id="192" w:name="_Toc150480771"/>
      <w:r/>
      <w:bookmarkStart w:id="193" w:name="_Toc264969223"/>
      <w:r/>
      <w:bookmarkStart w:id="194" w:name="_Toc151193847"/>
      <w:r/>
      <w:bookmarkStart w:id="195" w:name="_Toc226965806"/>
      <w:r/>
      <w:bookmarkStart w:id="196" w:name="_Toc150509284"/>
      <w:r/>
      <w:bookmarkStart w:id="197" w:name="_Toc265228371"/>
      <w:r/>
      <w:bookmarkStart w:id="198" w:name="_Toc164229374"/>
      <w:r/>
      <w:bookmarkStart w:id="199" w:name="_Toc164229228"/>
      <w:r/>
      <w:bookmarkStart w:id="200" w:name="_Toc142311035"/>
      <w:r/>
      <w:bookmarkStart w:id="201" w:name="_Toc305158875"/>
      <w:r/>
      <w:bookmarkStart w:id="202" w:name="_Toc164351627"/>
      <w:r/>
      <w:bookmarkStart w:id="203" w:name="_Toc151193775"/>
      <w:r/>
      <w:bookmarkStart w:id="204" w:name="_Toc151193703"/>
      <w:r/>
      <w:bookmarkStart w:id="205" w:name="_Toc164608647"/>
      <w:r/>
      <w:bookmarkStart w:id="206" w:name="_Toc127151734"/>
      <w:r/>
      <w:bookmarkStart w:id="207" w:name="_Toc305158801"/>
      <w:r/>
      <w:bookmarkStart w:id="208" w:name="_Toc150774633"/>
      <w:r/>
      <w:bookmarkStart w:id="209" w:name="_Toc151190160"/>
      <w:r/>
      <w:bookmarkStart w:id="210" w:name="_Toc164608802"/>
      <w:r/>
      <w:bookmarkStart w:id="211" w:name="_Toc127161447"/>
      <w:r/>
      <w:bookmarkStart w:id="212" w:name="_Toc127151533"/>
      <w:r/>
      <w:bookmarkStart w:id="213" w:name="_Toc151193921"/>
      <w:r/>
      <w:bookmarkStart w:id="214" w:name="_Toc149720826"/>
      <w:r/>
      <w:bookmarkStart w:id="215" w:name="_Toc226309777"/>
      <w:r/>
      <w:bookmarkStart w:id="216" w:name="_Toc520356158"/>
      <w:r/>
      <w:bookmarkStart w:id="217" w:name="_Toc226337229"/>
      <w:r/>
      <w:bookmarkStart w:id="218" w:name="_Toc226965723"/>
      <w:r/>
      <w:bookmarkStart w:id="219" w:name="_Toc195842898"/>
      <w:r/>
      <w:bookmarkStart w:id="220" w:name="_Toc150774738"/>
      <w:r/>
      <w:bookmarkStart w:id="221" w:name="_Toc151193631"/>
      <w:r>
        <w:rPr>
          <w:rFonts w:hint="eastAsia" w:ascii="宋体" w:hAnsi="宋体" w:eastAsia="宋体" w:cs="宋体"/>
          <w:sz w:val="24"/>
        </w:rPr>
        <w:t xml:space="preserve">投标文件的</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sz w:val="24"/>
        </w:rPr>
        <w:t xml:space="preserve">制作、密封与盖章</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招标文件要求签字的内容，可以使用电子签章或使用原件的电子件（电</w:t>
      </w:r>
      <w:r>
        <w:rPr>
          <w:rFonts w:hint="eastAsia" w:ascii="宋体" w:hAnsi="宋体" w:eastAsia="宋体" w:cs="宋体"/>
          <w:sz w:val="24"/>
        </w:rPr>
        <w:t xml:space="preserve">子件指扫描件、照片等形式电子文件）；要求第三方出具的加盖公章原件（如联合协议、分包意向协议、制造商授权书等），投标文件中应使用原件的电子件。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2" w:name="_Toc151193922"/>
      <w:r/>
      <w:bookmarkStart w:id="223" w:name="_Toc226965724"/>
      <w:r/>
      <w:bookmarkStart w:id="224" w:name="_Toc151193848"/>
      <w:r/>
      <w:bookmarkStart w:id="225" w:name="_Toc305158802"/>
      <w:r/>
      <w:bookmarkStart w:id="226" w:name="_Toc305158876"/>
      <w:r/>
      <w:bookmarkStart w:id="227" w:name="_Toc151193632"/>
      <w:r/>
      <w:bookmarkStart w:id="228" w:name="_Toc150480772"/>
      <w:r/>
      <w:bookmarkStart w:id="229" w:name="_Toc150774634"/>
      <w:r/>
      <w:bookmarkStart w:id="230" w:name="_Toc150774739"/>
      <w:r/>
      <w:bookmarkStart w:id="231" w:name="_Toc265228372"/>
      <w:r/>
      <w:bookmarkStart w:id="232" w:name="_Toc195842899"/>
      <w:r/>
      <w:bookmarkStart w:id="233" w:name="_Toc264969224"/>
      <w:r/>
      <w:bookmarkStart w:id="234" w:name="_Toc127151534"/>
      <w:r/>
      <w:bookmarkStart w:id="235" w:name="_Toc226309778"/>
      <w:r/>
      <w:bookmarkStart w:id="236" w:name="_Toc151190161"/>
      <w:r/>
      <w:bookmarkStart w:id="237" w:name="_Toc142311036"/>
      <w:r/>
      <w:bookmarkStart w:id="238" w:name="_Toc520356159"/>
      <w:r/>
      <w:bookmarkStart w:id="239" w:name="_Toc150509285"/>
      <w:r/>
      <w:bookmarkStart w:id="240" w:name="_Toc226337230"/>
      <w:r/>
      <w:bookmarkStart w:id="241" w:name="_Toc151193704"/>
      <w:r/>
      <w:bookmarkStart w:id="242" w:name="_Toc226965807"/>
      <w:r/>
      <w:bookmarkStart w:id="243" w:name="_Toc151193776"/>
      <w:r>
        <w:rPr>
          <w:rFonts w:hint="eastAsia" w:ascii="宋体" w:hAnsi="宋体" w:eastAsia="宋体" w:cs="宋体"/>
          <w:b/>
          <w:sz w:val="28"/>
          <w:szCs w:val="28"/>
        </w:rPr>
        <w:t xml:space="preserve">四、投标文件的提交</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pStyle w:val="745"/>
        <w:numPr>
          <w:ilvl w:val="0"/>
          <w:numId w:val="4"/>
        </w:numPr>
        <w:jc w:val="left"/>
        <w:spacing w:line="360" w:lineRule="auto"/>
        <w:rPr>
          <w:rFonts w:hint="eastAsia" w:ascii="宋体" w:hAnsi="宋体" w:eastAsia="宋体" w:cs="宋体"/>
          <w:sz w:val="24"/>
        </w:rPr>
      </w:pPr>
      <w:r/>
      <w:bookmarkStart w:id="244" w:name="_Toc265228373"/>
      <w:r/>
      <w:bookmarkStart w:id="245" w:name="_Toc164351629"/>
      <w:r/>
      <w:bookmarkStart w:id="246" w:name="_Toc142311037"/>
      <w:r/>
      <w:bookmarkStart w:id="247" w:name="_Toc151193777"/>
      <w:r/>
      <w:bookmarkStart w:id="248" w:name="_Toc151193705"/>
      <w:r/>
      <w:bookmarkStart w:id="249" w:name="_Toc264969225"/>
      <w:r/>
      <w:bookmarkStart w:id="250" w:name="_Toc150509286"/>
      <w:r/>
      <w:bookmarkStart w:id="251" w:name="_Toc226309779"/>
      <w:r/>
      <w:bookmarkStart w:id="252" w:name="_Toc150774635"/>
      <w:r/>
      <w:bookmarkStart w:id="253" w:name="_Toc520356160"/>
      <w:r/>
      <w:bookmarkStart w:id="254" w:name="_Toc305158803"/>
      <w:r/>
      <w:bookmarkStart w:id="255" w:name="_Toc226337231"/>
      <w:r/>
      <w:bookmarkStart w:id="256" w:name="_Toc150774740"/>
      <w:r/>
      <w:bookmarkStart w:id="257" w:name="_Toc164608804"/>
      <w:r/>
      <w:bookmarkStart w:id="258" w:name="_Toc127151736"/>
      <w:r/>
      <w:bookmarkStart w:id="259" w:name="_Toc226965725"/>
      <w:r/>
      <w:bookmarkStart w:id="260" w:name="_Toc164229376"/>
      <w:r/>
      <w:bookmarkStart w:id="261" w:name="_Toc151190162"/>
      <w:r/>
      <w:bookmarkStart w:id="262" w:name="_Toc195842900"/>
      <w:r/>
      <w:bookmarkStart w:id="263" w:name="_Toc164608649"/>
      <w:r/>
      <w:bookmarkStart w:id="264" w:name="_Toc150480773"/>
      <w:r/>
      <w:bookmarkStart w:id="265" w:name="_Toc151193849"/>
      <w:r/>
      <w:bookmarkStart w:id="266" w:name="_Toc226965808"/>
      <w:r/>
      <w:bookmarkStart w:id="267" w:name="_Toc127161449"/>
      <w:r/>
      <w:bookmarkStart w:id="268" w:name="_Toc164229230"/>
      <w:r/>
      <w:bookmarkStart w:id="269" w:name="_Toc149720828"/>
      <w:r/>
      <w:bookmarkStart w:id="270" w:name="_Toc127151535"/>
      <w:r/>
      <w:bookmarkStart w:id="271" w:name="_Toc151193923"/>
      <w:r/>
      <w:bookmarkStart w:id="272" w:name="_Toc151193633"/>
      <w:r/>
      <w:bookmarkStart w:id="273" w:name="_Toc305158877"/>
      <w:r>
        <w:rPr>
          <w:rFonts w:hint="eastAsia" w:ascii="宋体" w:hAnsi="宋体" w:eastAsia="宋体" w:cs="宋体"/>
          <w:sz w:val="24"/>
        </w:rPr>
        <w:t xml:space="preserve">投标文件的</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rFonts w:hint="eastAsia" w:ascii="宋体" w:hAnsi="宋体" w:eastAsia="宋体" w:cs="宋体"/>
          <w:sz w:val="24"/>
        </w:rPr>
        <w:t xml:space="preserve">提交</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本项目使用“苏采云”系统。投标人根据招标文件及“苏采云”系统供应商操作手册要求编制、生成并提交电子投标文件。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采购人及采购代理机构拒绝接受通过“苏采云”系统以外任何形式提交的投标文件。</w:t>
      </w:r>
      <w:r/>
    </w:p>
    <w:p>
      <w:pPr>
        <w:pStyle w:val="745"/>
        <w:numPr>
          <w:ilvl w:val="0"/>
          <w:numId w:val="4"/>
        </w:numPr>
        <w:jc w:val="left"/>
        <w:spacing w:line="360" w:lineRule="auto"/>
        <w:rPr>
          <w:rFonts w:hint="eastAsia" w:ascii="宋体" w:hAnsi="宋体" w:eastAsia="宋体" w:cs="宋体"/>
          <w:sz w:val="24"/>
        </w:rPr>
      </w:pPr>
      <w:r/>
      <w:bookmarkStart w:id="274" w:name="_Toc164608805"/>
      <w:r/>
      <w:bookmarkStart w:id="275" w:name="_Toc151190163"/>
      <w:r/>
      <w:bookmarkStart w:id="276" w:name="_Toc226337232"/>
      <w:r/>
      <w:bookmarkStart w:id="277" w:name="_Toc226309780"/>
      <w:r/>
      <w:bookmarkStart w:id="278" w:name="_Toc151193924"/>
      <w:r/>
      <w:bookmarkStart w:id="279" w:name="_Toc164351630"/>
      <w:r/>
      <w:bookmarkStart w:id="280" w:name="_Toc164229231"/>
      <w:r/>
      <w:bookmarkStart w:id="281" w:name="_Toc150480774"/>
      <w:r/>
      <w:bookmarkStart w:id="282" w:name="_Toc151193706"/>
      <w:r/>
      <w:bookmarkStart w:id="283" w:name="_Toc520356161"/>
      <w:r/>
      <w:bookmarkStart w:id="284" w:name="_Toc127151536"/>
      <w:r/>
      <w:bookmarkStart w:id="285" w:name="_Toc150774741"/>
      <w:r/>
      <w:bookmarkStart w:id="286" w:name="_Toc151193634"/>
      <w:r/>
      <w:bookmarkStart w:id="287" w:name="_Toc195842901"/>
      <w:r/>
      <w:bookmarkStart w:id="288" w:name="_Toc265228374"/>
      <w:r/>
      <w:bookmarkStart w:id="289" w:name="_Toc164608650"/>
      <w:r/>
      <w:bookmarkStart w:id="290" w:name="_Toc226965726"/>
      <w:r/>
      <w:bookmarkStart w:id="291" w:name="_Toc305158804"/>
      <w:r/>
      <w:bookmarkStart w:id="292" w:name="_Toc151193850"/>
      <w:r/>
      <w:bookmarkStart w:id="293" w:name="_Toc127161450"/>
      <w:r/>
      <w:bookmarkStart w:id="294" w:name="_Toc226965809"/>
      <w:r/>
      <w:bookmarkStart w:id="295" w:name="_Toc142311038"/>
      <w:r/>
      <w:bookmarkStart w:id="296" w:name="_Toc151193778"/>
      <w:r/>
      <w:bookmarkStart w:id="297" w:name="_Toc150509287"/>
      <w:r/>
      <w:bookmarkStart w:id="298" w:name="_Toc127151737"/>
      <w:r/>
      <w:bookmarkStart w:id="299" w:name="_Toc305158878"/>
      <w:r/>
      <w:bookmarkStart w:id="300" w:name="_Toc150774636"/>
      <w:r/>
      <w:bookmarkStart w:id="301" w:name="_Toc149720829"/>
      <w:r/>
      <w:bookmarkStart w:id="302" w:name="_Toc164229377"/>
      <w:r/>
      <w:bookmarkStart w:id="303" w:name="_Toc264969226"/>
      <w:r>
        <w:rPr>
          <w:rFonts w:hint="eastAsia" w:ascii="宋体" w:hAnsi="宋体" w:eastAsia="宋体" w:cs="宋体"/>
          <w:sz w:val="24"/>
        </w:rPr>
        <w:t xml:space="preserve">投标截止</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sz w:val="24"/>
        </w:rPr>
        <w:t xml:space="preserve">时间</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投标人应在招标文件要求提交投标文件截止时间前，将电子投标文件提交至“苏采云”系统。</w:t>
      </w:r>
      <w:r/>
    </w:p>
    <w:p>
      <w:pPr>
        <w:pStyle w:val="745"/>
        <w:numPr>
          <w:ilvl w:val="0"/>
          <w:numId w:val="4"/>
        </w:numPr>
        <w:jc w:val="left"/>
        <w:spacing w:line="360" w:lineRule="auto"/>
        <w:rPr>
          <w:rFonts w:hint="eastAsia" w:ascii="宋体" w:hAnsi="宋体" w:eastAsia="宋体" w:cs="宋体"/>
          <w:sz w:val="24"/>
        </w:rPr>
      </w:pPr>
      <w:r/>
      <w:bookmarkStart w:id="304" w:name="_Toc164351631"/>
      <w:r/>
      <w:bookmarkStart w:id="305" w:name="_Toc142311039"/>
      <w:r/>
      <w:bookmarkStart w:id="306" w:name="_Toc164608806"/>
      <w:r/>
      <w:bookmarkStart w:id="307" w:name="_Toc127161451"/>
      <w:r/>
      <w:bookmarkStart w:id="308" w:name="_Toc305158805"/>
      <w:r/>
      <w:bookmarkStart w:id="309" w:name="_Toc149720830"/>
      <w:r/>
      <w:bookmarkStart w:id="310" w:name="_Toc150480775"/>
      <w:r/>
      <w:bookmarkStart w:id="311" w:name="_Toc164229232"/>
      <w:r/>
      <w:bookmarkStart w:id="312" w:name="_Toc127151738"/>
      <w:r/>
      <w:bookmarkStart w:id="313" w:name="_Toc226965810"/>
      <w:r/>
      <w:bookmarkStart w:id="314" w:name="_Toc151193779"/>
      <w:r/>
      <w:bookmarkStart w:id="315" w:name="_Toc226337233"/>
      <w:r/>
      <w:bookmarkStart w:id="316" w:name="_Toc520356162"/>
      <w:r/>
      <w:bookmarkStart w:id="317" w:name="_Toc264969227"/>
      <w:r/>
      <w:bookmarkStart w:id="318" w:name="_Toc265228375"/>
      <w:r/>
      <w:bookmarkStart w:id="319" w:name="_Toc151193635"/>
      <w:r/>
      <w:bookmarkStart w:id="320" w:name="_Toc195842902"/>
      <w:r/>
      <w:bookmarkStart w:id="321" w:name="_Toc164229378"/>
      <w:r/>
      <w:bookmarkStart w:id="322" w:name="_Toc226965727"/>
      <w:r/>
      <w:bookmarkStart w:id="323" w:name="_Toc151190164"/>
      <w:r/>
      <w:bookmarkStart w:id="324" w:name="_Toc305158879"/>
      <w:r/>
      <w:bookmarkStart w:id="325" w:name="_Toc226309781"/>
      <w:r/>
      <w:bookmarkStart w:id="326" w:name="_Toc164608651"/>
      <w:r/>
      <w:bookmarkStart w:id="327" w:name="_Toc150509288"/>
      <w:r/>
      <w:bookmarkStart w:id="328" w:name="_Toc150774637"/>
      <w:r/>
      <w:bookmarkStart w:id="329" w:name="_Toc150774742"/>
      <w:r/>
      <w:bookmarkStart w:id="330" w:name="_Toc151193707"/>
      <w:r/>
      <w:bookmarkStart w:id="331" w:name="_Toc127151537"/>
      <w:r/>
      <w:bookmarkStart w:id="332" w:name="_Toc151193851"/>
      <w:r/>
      <w:bookmarkStart w:id="333" w:name="_Toc151193925"/>
      <w:r>
        <w:rPr>
          <w:rFonts w:hint="eastAsia" w:ascii="宋体" w:hAnsi="宋体" w:eastAsia="宋体" w:cs="宋体"/>
          <w:sz w:val="24"/>
        </w:rPr>
        <w:t xml:space="preserve">投标文件的修改与撤回</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投标截止时间前，投标人可以通过“苏采云”系统对所提交的投标文件进行补充、修改或者撤回。具体操作方法见《操作手册》。</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4" w:name="_Toc151190165"/>
      <w:r/>
      <w:bookmarkStart w:id="335" w:name="_Toc127151538"/>
      <w:r/>
      <w:bookmarkStart w:id="336" w:name="_Toc150774743"/>
      <w:r/>
      <w:bookmarkStart w:id="337" w:name="_Toc305158806"/>
      <w:r/>
      <w:bookmarkStart w:id="338" w:name="_Toc264969228"/>
      <w:r/>
      <w:bookmarkStart w:id="339" w:name="_Toc151193708"/>
      <w:r/>
      <w:bookmarkStart w:id="340" w:name="_Toc151193852"/>
      <w:r/>
      <w:bookmarkStart w:id="341" w:name="_Toc305158880"/>
      <w:r/>
      <w:bookmarkStart w:id="342" w:name="_Toc226309782"/>
      <w:r/>
      <w:bookmarkStart w:id="343" w:name="_Toc151193636"/>
      <w:r/>
      <w:bookmarkStart w:id="344" w:name="_Toc151193780"/>
      <w:r/>
      <w:bookmarkStart w:id="345" w:name="_Toc150509289"/>
      <w:r/>
      <w:bookmarkStart w:id="346" w:name="_Toc226965811"/>
      <w:r/>
      <w:bookmarkStart w:id="347" w:name="_Toc265228376"/>
      <w:r/>
      <w:bookmarkStart w:id="348" w:name="_Toc142311040"/>
      <w:r/>
      <w:bookmarkStart w:id="349" w:name="_Toc151193926"/>
      <w:r/>
      <w:bookmarkStart w:id="350" w:name="_Toc226337234"/>
      <w:r/>
      <w:bookmarkStart w:id="351" w:name="_Toc195842903"/>
      <w:r/>
      <w:bookmarkStart w:id="352" w:name="_Toc226965728"/>
      <w:r/>
      <w:bookmarkStart w:id="353" w:name="_Toc150774638"/>
      <w:r/>
      <w:bookmarkStart w:id="354" w:name="_Toc150480776"/>
      <w:r/>
      <w:bookmarkStart w:id="355" w:name="_Toc520356163"/>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cs="宋体"/>
          <w:b/>
          <w:sz w:val="28"/>
          <w:szCs w:val="28"/>
        </w:rPr>
        <w:t xml:space="preserve">五</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eastAsia="宋体" w:cs="宋体"/>
          <w:b/>
          <w:sz w:val="28"/>
          <w:szCs w:val="28"/>
        </w:rPr>
        <w:t xml:space="preserve">、开标、资格审查及评标</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开标过程将使用“苏采云”系统公布投标人名称、投标价格和招标文件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投标人如果对开标过程和开标记录有疑义，应当根据《操作手册》规定提出，如“苏采云”系统中《开标记录表》宣布后5分钟内未提出的，视同认可开标结果。</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如果在采购活动过程中出现以下情形，导致““苏采云”系统”系统无法正常运行，或者无法保证本项目采购活动的公平、公正和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745"/>
        <w:numPr>
          <w:ilvl w:val="0"/>
          <w:numId w:val="4"/>
        </w:numPr>
        <w:jc w:val="left"/>
        <w:spacing w:line="360" w:lineRule="auto"/>
        <w:rPr>
          <w:rFonts w:hint="eastAsia" w:ascii="宋体" w:hAnsi="宋体" w:eastAsia="宋体" w:cs="宋体"/>
          <w:sz w:val="24"/>
        </w:rPr>
      </w:pPr>
      <w:r/>
      <w:bookmarkStart w:id="356" w:name="_Toc305158808"/>
      <w:r/>
      <w:bookmarkStart w:id="357" w:name="_Toc226309784"/>
      <w:r/>
      <w:bookmarkStart w:id="358" w:name="_Toc164608654"/>
      <w:r/>
      <w:bookmarkStart w:id="359" w:name="_Toc264969230"/>
      <w:r/>
      <w:bookmarkStart w:id="360" w:name="_Toc127151741"/>
      <w:r/>
      <w:bookmarkStart w:id="361" w:name="_Toc151193854"/>
      <w:r/>
      <w:bookmarkStart w:id="362" w:name="_Toc150509291"/>
      <w:r/>
      <w:bookmarkStart w:id="363" w:name="_Toc151193710"/>
      <w:r/>
      <w:bookmarkStart w:id="364" w:name="_Toc164608809"/>
      <w:r/>
      <w:bookmarkStart w:id="365" w:name="_Toc226337236"/>
      <w:r/>
      <w:bookmarkStart w:id="366" w:name="_Toc151193782"/>
      <w:r/>
      <w:bookmarkStart w:id="367" w:name="_Toc195842905"/>
      <w:r/>
      <w:bookmarkStart w:id="368" w:name="_Toc226965813"/>
      <w:r/>
      <w:bookmarkStart w:id="369" w:name="_Toc150774640"/>
      <w:r/>
      <w:bookmarkStart w:id="370" w:name="_Toc226965730"/>
      <w:r/>
      <w:bookmarkStart w:id="371" w:name="_Toc151193638"/>
      <w:r/>
      <w:bookmarkStart w:id="372" w:name="_Toc150480778"/>
      <w:r/>
      <w:bookmarkStart w:id="373" w:name="_Toc265228378"/>
      <w:r/>
      <w:bookmarkStart w:id="374" w:name="_Toc305158882"/>
      <w:r/>
      <w:bookmarkStart w:id="375" w:name="_Toc151193928"/>
      <w:r/>
      <w:bookmarkStart w:id="376" w:name="_Toc164351634"/>
      <w:r/>
      <w:bookmarkStart w:id="377" w:name="_Toc151190167"/>
      <w:r/>
      <w:bookmarkStart w:id="378" w:name="_Toc164229235"/>
      <w:r/>
      <w:bookmarkStart w:id="379" w:name="_Toc164229381"/>
      <w:r/>
      <w:bookmarkStart w:id="380" w:name="_Toc150774745"/>
      <w:r/>
      <w:bookmarkStart w:id="381" w:name="_Toc127151540"/>
      <w:r/>
      <w:bookmarkStart w:id="382" w:name="_Toc127161454"/>
      <w:r/>
      <w:bookmarkStart w:id="383" w:name="_Toc149720833"/>
      <w:r/>
      <w:bookmarkStart w:id="384" w:name="_Toc142311042"/>
      <w:r>
        <w:rPr>
          <w:rFonts w:hint="eastAsia" w:ascii="宋体" w:hAnsi="宋体" w:eastAsia="宋体" w:cs="宋体"/>
          <w:sz w:val="24"/>
        </w:rPr>
        <w:t xml:space="preserve">评标委员会</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5" w:name="_Toc520356169"/>
      <w:r/>
      <w:bookmarkStart w:id="386" w:name="_Toc305158813"/>
      <w:r/>
      <w:bookmarkStart w:id="387" w:name="_Toc150509296"/>
      <w:r/>
      <w:bookmarkStart w:id="388" w:name="_Toc151193715"/>
      <w:r/>
      <w:bookmarkStart w:id="389" w:name="_Toc226309789"/>
      <w:r/>
      <w:bookmarkStart w:id="390" w:name="_Toc151193643"/>
      <w:r/>
      <w:bookmarkStart w:id="391" w:name="_Toc150480783"/>
      <w:r/>
      <w:bookmarkStart w:id="392" w:name="_Toc127151545"/>
      <w:r/>
      <w:bookmarkStart w:id="393" w:name="_Toc142311047"/>
      <w:r/>
      <w:bookmarkStart w:id="394" w:name="_Toc195842910"/>
      <w:r/>
      <w:bookmarkStart w:id="395" w:name="_Toc226337241"/>
      <w:r/>
      <w:bookmarkStart w:id="396" w:name="_Toc150774750"/>
      <w:r/>
      <w:bookmarkStart w:id="397" w:name="_Toc226965818"/>
      <w:r/>
      <w:bookmarkStart w:id="398" w:name="_Toc151193787"/>
      <w:r/>
      <w:bookmarkStart w:id="399" w:name="_Toc151193859"/>
      <w:r/>
      <w:bookmarkStart w:id="400" w:name="_Toc264969235"/>
      <w:r/>
      <w:bookmarkStart w:id="401" w:name="_Toc226965735"/>
      <w:r/>
      <w:bookmarkStart w:id="402" w:name="_Toc265228383"/>
      <w:r/>
      <w:bookmarkStart w:id="403" w:name="_Toc151193933"/>
      <w:r/>
      <w:bookmarkStart w:id="404" w:name="_Toc151190172"/>
      <w:r/>
      <w:bookmarkStart w:id="405" w:name="_Toc150774645"/>
      <w:r/>
      <w:bookmarkStart w:id="406" w:name="_Toc305158887"/>
      <w:r>
        <w:rPr>
          <w:rFonts w:hint="eastAsia" w:ascii="宋体" w:hAnsi="宋体" w:eastAsia="宋体" w:cs="宋体"/>
          <w:b/>
          <w:sz w:val="28"/>
          <w:szCs w:val="28"/>
        </w:rPr>
        <w:t xml:space="preserve">六</w:t>
      </w:r>
      <w:bookmarkEnd w:id="385"/>
      <w:r>
        <w:rPr>
          <w:rFonts w:hint="eastAsia" w:ascii="宋体" w:hAnsi="宋体" w:eastAsia="宋体" w:cs="宋体"/>
          <w:b/>
          <w:sz w:val="28"/>
          <w:szCs w:val="28"/>
        </w:rPr>
        <w:t xml:space="preserve">、确定</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b/>
          <w:sz w:val="28"/>
          <w:szCs w:val="28"/>
        </w:rPr>
        <w:t xml:space="preserve">中标</w:t>
      </w:r>
      <w:r/>
    </w:p>
    <w:p>
      <w:pPr>
        <w:pStyle w:val="745"/>
        <w:numPr>
          <w:ilvl w:val="0"/>
          <w:numId w:val="4"/>
        </w:numPr>
        <w:jc w:val="left"/>
        <w:spacing w:line="360" w:lineRule="auto"/>
        <w:rPr>
          <w:rFonts w:hint="eastAsia" w:ascii="宋体" w:hAnsi="宋体" w:eastAsia="宋体" w:cs="宋体"/>
          <w:sz w:val="24"/>
        </w:rPr>
      </w:pPr>
      <w:r/>
      <w:bookmarkStart w:id="407" w:name="_Toc264969237"/>
      <w:r/>
      <w:bookmarkStart w:id="408" w:name="_Toc226337243"/>
      <w:r/>
      <w:bookmarkStart w:id="409" w:name="_Toc142311049"/>
      <w:r/>
      <w:bookmarkStart w:id="410" w:name="_Toc226965737"/>
      <w:r/>
      <w:bookmarkStart w:id="411" w:name="_Toc151193645"/>
      <w:r/>
      <w:bookmarkStart w:id="412" w:name="_Toc164229388"/>
      <w:r/>
      <w:bookmarkStart w:id="413" w:name="_Toc305158815"/>
      <w:r/>
      <w:bookmarkStart w:id="414" w:name="_Toc151190174"/>
      <w:r/>
      <w:bookmarkStart w:id="415" w:name="_Toc127151547"/>
      <w:r/>
      <w:bookmarkStart w:id="416" w:name="_Toc195842912"/>
      <w:r/>
      <w:bookmarkStart w:id="417" w:name="_Toc127151748"/>
      <w:r/>
      <w:bookmarkStart w:id="418" w:name="_Toc226309791"/>
      <w:r/>
      <w:bookmarkStart w:id="419" w:name="_Toc151193935"/>
      <w:r/>
      <w:bookmarkStart w:id="420" w:name="_Toc164608816"/>
      <w:r/>
      <w:bookmarkStart w:id="421" w:name="_Toc226965820"/>
      <w:r/>
      <w:bookmarkStart w:id="422" w:name="_Toc164351641"/>
      <w:r/>
      <w:bookmarkStart w:id="423" w:name="_Toc151193717"/>
      <w:r/>
      <w:bookmarkStart w:id="424" w:name="_Toc127161461"/>
      <w:r/>
      <w:bookmarkStart w:id="425" w:name="_Toc305158889"/>
      <w:r/>
      <w:bookmarkStart w:id="426" w:name="_Toc150774647"/>
      <w:r/>
      <w:bookmarkStart w:id="427" w:name="_Toc151193789"/>
      <w:r/>
      <w:bookmarkStart w:id="428" w:name="_Toc150774752"/>
      <w:r/>
      <w:bookmarkStart w:id="429" w:name="_Toc149720840"/>
      <w:r/>
      <w:bookmarkStart w:id="430" w:name="_Toc265228385"/>
      <w:r/>
      <w:bookmarkStart w:id="431" w:name="_Toc151193861"/>
      <w:r/>
      <w:bookmarkStart w:id="432" w:name="_Toc150509298"/>
      <w:r/>
      <w:bookmarkStart w:id="433" w:name="_Toc150480785"/>
      <w:r/>
      <w:bookmarkStart w:id="434" w:name="_Toc164229242"/>
      <w:r/>
      <w:bookmarkStart w:id="435" w:name="_Toc164608661"/>
      <w:r>
        <w:rPr>
          <w:rFonts w:hint="eastAsia" w:ascii="宋体" w:hAnsi="宋体" w:eastAsia="宋体" w:cs="宋体"/>
          <w:sz w:val="24"/>
        </w:rPr>
        <w:t xml:space="preserve">确定</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eastAsia="宋体" w:cs="宋体"/>
          <w:sz w:val="24"/>
        </w:rPr>
        <w:t xml:space="preserve">中标人</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745"/>
        <w:numPr>
          <w:ilvl w:val="0"/>
          <w:numId w:val="4"/>
        </w:numPr>
        <w:jc w:val="left"/>
        <w:spacing w:line="360" w:lineRule="auto"/>
        <w:rPr>
          <w:rFonts w:hint="eastAsia" w:ascii="宋体" w:hAnsi="宋体" w:eastAsia="宋体" w:cs="宋体"/>
          <w:sz w:val="24"/>
        </w:rPr>
      </w:pPr>
      <w:r/>
      <w:bookmarkStart w:id="436" w:name="_Toc305158817"/>
      <w:r/>
      <w:bookmarkStart w:id="437" w:name="_Toc305158891"/>
      <w:r>
        <w:rPr>
          <w:rFonts w:hint="eastAsia" w:ascii="宋体" w:hAnsi="宋体" w:eastAsia="宋体" w:cs="宋体"/>
          <w:sz w:val="24"/>
        </w:rPr>
        <w:t xml:space="preserve">中标公告与中标通知书</w:t>
      </w:r>
      <w:bookmarkEnd w:id="436"/>
      <w:r/>
      <w:bookmarkEnd w:id="437"/>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745"/>
        <w:numPr>
          <w:ilvl w:val="0"/>
          <w:numId w:val="4"/>
        </w:numPr>
        <w:jc w:val="left"/>
        <w:spacing w:line="360" w:lineRule="auto"/>
        <w:rPr>
          <w:rFonts w:hint="eastAsia" w:ascii="宋体" w:hAnsi="宋体" w:eastAsia="宋体" w:cs="宋体"/>
          <w:sz w:val="24"/>
        </w:rPr>
      </w:pPr>
      <w:r/>
      <w:bookmarkStart w:id="438" w:name="_Toc164351644"/>
      <w:r/>
      <w:bookmarkStart w:id="439" w:name="_Toc226965740"/>
      <w:r/>
      <w:bookmarkStart w:id="440" w:name="_Toc150480788"/>
      <w:r/>
      <w:bookmarkStart w:id="441" w:name="_Toc164229391"/>
      <w:r/>
      <w:bookmarkStart w:id="442" w:name="_Toc149720843"/>
      <w:r/>
      <w:bookmarkStart w:id="443" w:name="_Toc305158892"/>
      <w:r/>
      <w:bookmarkStart w:id="444" w:name="_Toc150774650"/>
      <w:r/>
      <w:bookmarkStart w:id="445" w:name="_Ref467307062"/>
      <w:r/>
      <w:bookmarkStart w:id="446" w:name="_Ref467306377"/>
      <w:r/>
      <w:bookmarkStart w:id="447" w:name="_Toc127151550"/>
      <w:r/>
      <w:bookmarkStart w:id="448" w:name="_Toc164229245"/>
      <w:r/>
      <w:bookmarkStart w:id="449" w:name="_Toc151193792"/>
      <w:r/>
      <w:bookmarkStart w:id="450" w:name="_Ref467306978"/>
      <w:r/>
      <w:bookmarkStart w:id="451" w:name="_Ref467307204"/>
      <w:r/>
      <w:bookmarkStart w:id="452" w:name="_Toc305158818"/>
      <w:r/>
      <w:bookmarkStart w:id="453" w:name="_Toc150774755"/>
      <w:r/>
      <w:bookmarkStart w:id="454" w:name="_Toc142311052"/>
      <w:r/>
      <w:bookmarkStart w:id="455" w:name="_Toc195842915"/>
      <w:r/>
      <w:bookmarkStart w:id="456" w:name="_Toc226337246"/>
      <w:r/>
      <w:bookmarkStart w:id="457" w:name="_Toc151193720"/>
      <w:r/>
      <w:bookmarkStart w:id="458" w:name="_Toc226309794"/>
      <w:r/>
      <w:bookmarkStart w:id="459" w:name="_Toc265228388"/>
      <w:r/>
      <w:bookmarkStart w:id="460" w:name="_Toc151193938"/>
      <w:r/>
      <w:bookmarkStart w:id="461" w:name="_Toc164608819"/>
      <w:r/>
      <w:bookmarkStart w:id="462" w:name="_Toc264969240"/>
      <w:r/>
      <w:bookmarkStart w:id="463" w:name="_Toc127151751"/>
      <w:r/>
      <w:bookmarkStart w:id="464" w:name="_Toc151190177"/>
      <w:r/>
      <w:bookmarkStart w:id="465" w:name="_Toc151193864"/>
      <w:r/>
      <w:bookmarkStart w:id="466" w:name="_Toc150509301"/>
      <w:r/>
      <w:bookmarkStart w:id="467" w:name="_Toc127161464"/>
      <w:r/>
      <w:bookmarkStart w:id="468" w:name="_Toc164608664"/>
      <w:r/>
      <w:bookmarkStart w:id="469" w:name="_Toc226965823"/>
      <w:r/>
      <w:bookmarkStart w:id="470" w:name="_Toc151193648"/>
      <w:r/>
      <w:bookmarkStart w:id="471" w:name="_Toc520356175"/>
      <w:r>
        <w:rPr>
          <w:rFonts w:hint="eastAsia" w:ascii="宋体" w:hAnsi="宋体" w:eastAsia="宋体" w:cs="宋体"/>
          <w:sz w:val="24"/>
        </w:rPr>
        <w:t xml:space="preserve">签订合同</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hyperlink r:id="rId15" w:tooltip="http://gks.mof.gov.cn/ztztz/zhengfucaigouguanli/201802/t20180201_2804589.htm" w:history="1">
        <w:r>
          <w:rPr>
            <w:rFonts w:hint="eastAsia" w:ascii="宋体" w:hAnsi="宋体" w:eastAsia="宋体" w:cs="宋体"/>
            <w:sz w:val="24"/>
          </w:rPr>
          <w:t xml:space="preserve">http://gk</w:t>
        </w:r>
        <w:bookmarkStart w:id="472" w:name="_Hlt100654014"/>
        <w:r>
          <w:rPr>
            <w:rFonts w:hint="eastAsia" w:ascii="宋体" w:hAnsi="宋体" w:eastAsia="宋体" w:cs="宋体"/>
            <w:sz w:val="24"/>
          </w:rPr>
          <w:t xml:space="preserve">s</w:t>
        </w:r>
        <w:bookmarkEnd w:id="472"/>
        <w:r>
          <w:rPr>
            <w:rFonts w:hint="eastAsia" w:ascii="宋体" w:hAnsi="宋体" w:eastAsia="宋体" w:cs="宋体"/>
            <w:sz w:val="24"/>
          </w:rPr>
          <w:t xml:space="preserve">.m</w:t>
        </w:r>
        <w:bookmarkStart w:id="473" w:name="_Hlt100653993"/>
        <w:bookmarkStart w:id="474" w:name="_Hlt100653994"/>
        <w:r>
          <w:rPr>
            <w:rFonts w:hint="eastAsia" w:ascii="宋体" w:hAnsi="宋体" w:eastAsia="宋体" w:cs="宋体"/>
            <w:sz w:val="24"/>
          </w:rPr>
          <w:t xml:space="preserve">o</w:t>
        </w:r>
        <w:bookmarkStart w:id="475" w:name="_Hlt101169156"/>
        <w:bookmarkEnd w:id="473"/>
        <w:bookmarkEnd w:id="474"/>
        <w:r>
          <w:rPr>
            <w:rFonts w:hint="eastAsia" w:ascii="宋体" w:hAnsi="宋体" w:eastAsia="宋体" w:cs="宋体"/>
            <w:sz w:val="24"/>
          </w:rPr>
          <w:t xml:space="preserve">f</w:t>
        </w:r>
        <w:bookmarkEnd w:id="475"/>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745"/>
        <w:ind w:left="284" w:firstLine="0"/>
        <w:jc w:val="left"/>
        <w:spacing w:line="360" w:lineRule="auto"/>
        <w:rPr>
          <w:rFonts w:hint="eastAsia" w:ascii="宋体" w:hAnsi="宋体" w:eastAsia="宋体" w:cs="宋体"/>
          <w:sz w:val="24"/>
        </w:rPr>
      </w:pPr>
      <w:r>
        <w:rPr>
          <w:rFonts w:hint="eastAsia" w:ascii="宋体" w:hAnsi="宋体" w:eastAsia="宋体" w:cs="宋体"/>
          <w:sz w:val="24"/>
        </w:rPr>
        <w:t xml:space="preserve">28.1</w:t>
      </w:r>
      <w:r>
        <w:rPr>
          <w:rFonts w:hAnsi="宋体"/>
          <w:sz w:val="24"/>
          <w:szCs w:val="24"/>
        </w:rPr>
        <w:t xml:space="preserve">本项目免收履约保证金。</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05"/>
        <w:ind w:left="343" w:hanging="343"/>
        <w:rPr>
          <w:rFonts w:hint="eastAsia" w:ascii="宋体" w:hAnsi="宋体" w:eastAsia="宋体" w:cs="宋体"/>
        </w:rPr>
      </w:pPr>
      <w:r/>
      <w:bookmarkStart w:id="476" w:name="_Toc29623"/>
      <w:r/>
      <w:bookmarkStart w:id="477" w:name="_Toc104818927"/>
      <w:r>
        <w:rPr>
          <w:rFonts w:hint="eastAsia" w:ascii="宋体" w:hAnsi="宋体" w:eastAsia="宋体" w:cs="宋体"/>
        </w:rPr>
        <w:t xml:space="preserve">第三章 资格审查</w:t>
      </w:r>
      <w:bookmarkEnd w:id="476"/>
      <w:r/>
      <w:r/>
    </w:p>
    <w:p>
      <w:pPr>
        <w:ind w:left="229" w:hanging="229"/>
        <w:jc w:val="center"/>
        <w:spacing w:line="360" w:lineRule="auto"/>
        <w:rPr>
          <w:rFonts w:hint="eastAsia" w:ascii="宋体" w:hAnsi="宋体" w:eastAsia="宋体" w:cs="宋体"/>
          <w:b/>
          <w:sz w:val="24"/>
          <w:szCs w:val="24"/>
        </w:rPr>
      </w:pPr>
      <w:r/>
      <w:bookmarkStart w:id="478" w:name="_Toc99301422"/>
      <w:r>
        <w:rPr>
          <w:rFonts w:hint="eastAsia" w:ascii="宋体" w:hAnsi="宋体" w:eastAsia="宋体" w:cs="宋体"/>
          <w:b/>
          <w:sz w:val="24"/>
          <w:szCs w:val="24"/>
        </w:rPr>
        <w:t xml:space="preserve">一、资格审查程序</w:t>
      </w:r>
      <w:bookmarkEnd w:id="478"/>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ind w:left="343" w:hanging="343"/>
        <w:rPr>
          <w:rFonts w:hint="eastAsia" w:ascii="宋体" w:hAnsi="宋体" w:eastAsia="宋体" w:cs="宋体"/>
        </w:rPr>
      </w:pPr>
      <w:r/>
      <w:bookmarkStart w:id="479" w:name="_Toc861"/>
      <w:r>
        <w:rPr>
          <w:rFonts w:hint="eastAsia" w:ascii="宋体" w:hAnsi="宋体" w:eastAsia="宋体" w:cs="宋体"/>
        </w:rPr>
        <w:t xml:space="preserve">第四章 评标程序、评标方法和评标标准</w:t>
      </w:r>
      <w:bookmarkEnd w:id="477"/>
      <w:r/>
      <w:bookmarkEnd w:id="479"/>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745"/>
        <w:numPr>
          <w:ilvl w:val="0"/>
          <w:numId w:val="6"/>
        </w:numPr>
        <w:jc w:val="left"/>
        <w:spacing w:line="360" w:lineRule="auto"/>
        <w:rPr>
          <w:rFonts w:hint="eastAsia" w:ascii="宋体" w:hAnsi="宋体" w:eastAsia="宋体" w:cs="宋体"/>
          <w:sz w:val="24"/>
        </w:rPr>
      </w:pPr>
      <w:r/>
      <w:bookmarkStart w:id="480" w:name="_Toc127151742"/>
      <w:r/>
      <w:bookmarkStart w:id="481" w:name="_Toc265228379"/>
      <w:r/>
      <w:bookmarkStart w:id="482" w:name="_Toc151190168"/>
      <w:r/>
      <w:bookmarkStart w:id="483" w:name="_Toc127151541"/>
      <w:r/>
      <w:bookmarkStart w:id="484" w:name="_Toc195842906"/>
      <w:r/>
      <w:bookmarkStart w:id="485" w:name="_Toc150774641"/>
      <w:r/>
      <w:bookmarkStart w:id="486" w:name="_Toc150480779"/>
      <w:r/>
      <w:bookmarkStart w:id="487" w:name="_Toc151193783"/>
      <w:r/>
      <w:bookmarkStart w:id="488" w:name="_Toc151193929"/>
      <w:r/>
      <w:bookmarkStart w:id="489" w:name="_Toc151193711"/>
      <w:r/>
      <w:bookmarkStart w:id="490" w:name="_Toc305158809"/>
      <w:r/>
      <w:bookmarkStart w:id="491" w:name="_Toc164229236"/>
      <w:r/>
      <w:bookmarkStart w:id="492" w:name="_Toc151193639"/>
      <w:r/>
      <w:bookmarkStart w:id="493" w:name="_Toc127161455"/>
      <w:r/>
      <w:bookmarkStart w:id="494" w:name="_Toc305158883"/>
      <w:r/>
      <w:bookmarkStart w:id="495" w:name="_Toc164608810"/>
      <w:r/>
      <w:bookmarkStart w:id="496" w:name="_Toc226309785"/>
      <w:r/>
      <w:bookmarkStart w:id="497" w:name="_Toc164351635"/>
      <w:r/>
      <w:bookmarkStart w:id="498" w:name="_Toc226965731"/>
      <w:r/>
      <w:bookmarkStart w:id="499" w:name="_Toc164229382"/>
      <w:r/>
      <w:bookmarkStart w:id="500" w:name="_Toc226965814"/>
      <w:r/>
      <w:bookmarkStart w:id="501" w:name="_Toc264969231"/>
      <w:r/>
      <w:bookmarkStart w:id="502" w:name="_Toc164608655"/>
      <w:r/>
      <w:bookmarkStart w:id="503" w:name="_Toc142311043"/>
      <w:r/>
      <w:bookmarkStart w:id="504" w:name="_Toc150774746"/>
      <w:r/>
      <w:bookmarkStart w:id="505" w:name="_Toc151193855"/>
      <w:r/>
      <w:bookmarkStart w:id="506" w:name="_Toc226337237"/>
      <w:r/>
      <w:bookmarkStart w:id="507" w:name="_Toc149720834"/>
      <w:r/>
      <w:bookmarkStart w:id="508" w:name="_Toc150509292"/>
      <w:r>
        <w:rPr>
          <w:rFonts w:hint="eastAsia" w:ascii="宋体" w:hAnsi="宋体" w:eastAsia="宋体" w:cs="宋体"/>
          <w:sz w:val="24"/>
        </w:rPr>
        <w:t xml:space="preserve">投标文件的符合性审查</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超过招标文件中规定的项目/采购包预算金额或者项目/采购包最高限价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招标文件不接受进口产品投标的内容时，投标人所投产品非进口产品的；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745"/>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745"/>
        <w:numPr>
          <w:ilvl w:val="2"/>
          <w:numId w:val="6"/>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苏采云”系统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745"/>
        <w:numPr>
          <w:ilvl w:val="0"/>
          <w:numId w:val="6"/>
        </w:numPr>
        <w:jc w:val="left"/>
        <w:spacing w:line="360" w:lineRule="auto"/>
        <w:rPr>
          <w:rFonts w:hint="eastAsia" w:ascii="宋体" w:hAnsi="宋体" w:eastAsia="宋体" w:cs="宋体"/>
          <w:sz w:val="24"/>
        </w:rPr>
      </w:pPr>
      <w:r/>
      <w:bookmarkStart w:id="509" w:name="_Hlk159067375"/>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bookmarkEnd w:id="509"/>
      <w:r/>
      <w:r/>
    </w:p>
    <w:p>
      <w:pPr>
        <w:pStyle w:val="745"/>
        <w:numPr>
          <w:ilvl w:val="0"/>
          <w:numId w:val="6"/>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45"/>
        <w:numPr>
          <w:ilvl w:val="0"/>
          <w:numId w:val="7"/>
        </w:numPr>
        <w:ind w:firstLine="0"/>
        <w:jc w:val="left"/>
        <w:spacing w:line="360" w:lineRule="auto"/>
        <w:rPr>
          <w:rFonts w:hint="eastAsia" w:ascii="宋体" w:hAnsi="宋体" w:eastAsia="宋体" w:cs="宋体"/>
          <w:b/>
          <w:sz w:val="28"/>
          <w:szCs w:val="28"/>
        </w:rPr>
      </w:pPr>
      <w:r/>
      <w:bookmarkStart w:id="510" w:name="_Toc104818929"/>
      <w:r>
        <w:rPr>
          <w:rFonts w:hint="eastAsia" w:ascii="宋体" w:hAnsi="宋体" w:eastAsia="宋体" w:cs="宋体"/>
          <w:b/>
          <w:sz w:val="28"/>
          <w:szCs w:val="28"/>
        </w:rPr>
        <w:t xml:space="preserve">评标标准</w:t>
      </w:r>
      <w:r/>
    </w:p>
    <w:tbl>
      <w:tblPr>
        <w:tblW w:w="5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418"/>
        <w:gridCol w:w="849"/>
        <w:gridCol w:w="3403"/>
        <w:gridCol w:w="2918"/>
      </w:tblGrid>
      <w:tr>
        <w:trPr>
          <w:jc w:val="center"/>
        </w:trPr>
        <w:tc>
          <w:tcPr>
            <w:tcW w:w="379"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763"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457"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W w:w="1831"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W w:w="1570" w:type="pct"/>
            <w:vAlign w:val="center"/>
            <w:textDirection w:val="lrTb"/>
            <w:noWrap w:val="false"/>
          </w:tcPr>
          <w:p>
            <w:pPr>
              <w:pStyle w:val="749"/>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631"/>
        </w:trPr>
        <w:tc>
          <w:tcPr>
            <w:tcW w:w="379"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Cs/>
                <w:sz w:val="24"/>
                <w:szCs w:val="24"/>
              </w:rPr>
              <w:t xml:space="preserve">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投标报价得分＝（评标基准价/投标报价）×20。</w:t>
            </w:r>
            <w:r/>
          </w:p>
          <w:p>
            <w:pPr>
              <w:pStyle w:val="737"/>
              <w:rPr>
                <w:rFonts w:hint="eastAsia" w:hAnsi="宋体"/>
                <w:color w:val="auto"/>
              </w:rPr>
            </w:pPr>
            <w:r>
              <w:rPr>
                <w:rFonts w:hAnsi="宋体"/>
                <w:b/>
                <w:bCs/>
                <w:color w:val="auto"/>
              </w:rPr>
              <w:t xml:space="preserve">注：此处最终报价指经过报价修正后的最终报价。</w:t>
            </w:r>
            <w:r/>
          </w:p>
        </w:tc>
        <w:tc>
          <w:tcPr>
            <w:tcW w:w="1570" w:type="pct"/>
            <w:vAlign w:val="center"/>
            <w:textDirection w:val="lrTb"/>
            <w:noWrap w:val="false"/>
          </w:tcPr>
          <w:p>
            <w:pPr>
              <w:ind w:left="-38"/>
              <w:jc w:val="center"/>
              <w:rPr>
                <w:rFonts w:hint="eastAsia" w:ascii="宋体" w:hAnsi="宋体" w:eastAsia="宋体" w:cs="宋体"/>
                <w:sz w:val="24"/>
                <w:szCs w:val="24"/>
              </w:rPr>
            </w:pPr>
            <w:r>
              <w:rPr>
                <w:rFonts w:hint="eastAsia" w:ascii="宋体" w:hAnsi="宋体" w:eastAsia="宋体" w:cs="宋体"/>
                <w:b/>
                <w:bCs/>
                <w:sz w:val="24"/>
                <w:szCs w:val="24"/>
              </w:rPr>
              <w:t xml:space="preserve">/</w:t>
            </w:r>
            <w:r/>
          </w:p>
        </w:tc>
      </w:tr>
      <w:tr>
        <w:trPr>
          <w:jc w:val="center"/>
          <w:trHeight w:val="569"/>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40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70" w:type="pct"/>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431"/>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spacing w:val="-15"/>
                <w:sz w:val="24"/>
                <w:szCs w:val="24"/>
              </w:rPr>
              <w:t xml:space="preserve">实施方案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831" w:type="pct"/>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根据投标人提供的实施方案是否全面完善、科学合理、详尽、具有可操作性，进行综合评审：</w:t>
            </w:r>
            <w:r/>
          </w:p>
          <w:p>
            <w:pPr>
              <w:rPr>
                <w:rFonts w:hint="eastAsia" w:ascii="宋体" w:hAnsi="宋体" w:eastAsia="宋体" w:cs="宋体"/>
                <w:sz w:val="24"/>
                <w:szCs w:val="24"/>
              </w:rPr>
            </w:pPr>
            <w:r>
              <w:rPr>
                <w:rFonts w:hint="eastAsia" w:ascii="宋体" w:hAnsi="宋体" w:eastAsia="宋体" w:cs="宋体"/>
                <w:sz w:val="24"/>
                <w:szCs w:val="24"/>
              </w:rPr>
              <w:t xml:space="preserve">1.方案</w:t>
            </w:r>
            <w:r>
              <w:rPr>
                <w:rFonts w:hint="eastAsia" w:ascii="宋体" w:hAnsi="宋体" w:eastAsia="宋体" w:cs="宋体"/>
                <w:bCs/>
                <w:sz w:val="24"/>
                <w:szCs w:val="24"/>
              </w:rPr>
              <w:t xml:space="preserve">全面完善、科学合理、可操作性</w:t>
            </w:r>
            <w:r>
              <w:rPr>
                <w:rFonts w:hint="eastAsia" w:ascii="宋体" w:hAnsi="宋体" w:eastAsia="宋体" w:cs="宋体"/>
                <w:sz w:val="24"/>
                <w:szCs w:val="24"/>
              </w:rPr>
              <w:t xml:space="preserve">强，完全符合招标文件要求的得8分；</w:t>
            </w:r>
            <w:r/>
          </w:p>
          <w:p>
            <w:pPr>
              <w:rPr>
                <w:rFonts w:hint="eastAsia" w:ascii="宋体" w:hAnsi="宋体" w:eastAsia="宋体" w:cs="宋体"/>
                <w:sz w:val="24"/>
                <w:szCs w:val="24"/>
              </w:rPr>
            </w:pPr>
            <w:r>
              <w:rPr>
                <w:rFonts w:hint="eastAsia" w:ascii="宋体" w:hAnsi="宋体" w:eastAsia="宋体" w:cs="宋体"/>
                <w:sz w:val="24"/>
                <w:szCs w:val="24"/>
              </w:rPr>
              <w:t xml:space="preserve">2.方案</w:t>
            </w:r>
            <w:r>
              <w:rPr>
                <w:rFonts w:hint="eastAsia" w:ascii="宋体" w:hAnsi="宋体" w:eastAsia="宋体" w:cs="宋体"/>
                <w:bCs/>
                <w:sz w:val="24"/>
                <w:szCs w:val="24"/>
              </w:rPr>
              <w:t xml:space="preserve">较完善、较科学合理、可操作性较强</w:t>
            </w:r>
            <w:r>
              <w:rPr>
                <w:rFonts w:hint="eastAsia" w:ascii="宋体" w:hAnsi="宋体" w:eastAsia="宋体" w:cs="宋体"/>
                <w:sz w:val="24"/>
                <w:szCs w:val="24"/>
              </w:rPr>
              <w:t xml:space="preserve">，比较符合招标文件要求的得5分；</w:t>
            </w:r>
            <w:r/>
          </w:p>
          <w:p>
            <w:pPr>
              <w:rPr>
                <w:rFonts w:hint="eastAsia" w:ascii="宋体" w:hAnsi="宋体" w:eastAsia="宋体" w:cs="宋体"/>
                <w:sz w:val="24"/>
                <w:szCs w:val="24"/>
              </w:rPr>
            </w:pPr>
            <w:r>
              <w:rPr>
                <w:rFonts w:hint="eastAsia" w:ascii="宋体" w:hAnsi="宋体" w:eastAsia="宋体" w:cs="宋体"/>
                <w:sz w:val="24"/>
                <w:szCs w:val="24"/>
              </w:rPr>
              <w:t xml:space="preserve">3.方案</w:t>
            </w:r>
            <w:r>
              <w:rPr>
                <w:rFonts w:hint="eastAsia" w:ascii="宋体" w:hAnsi="宋体" w:eastAsia="宋体" w:cs="宋体"/>
                <w:bCs/>
                <w:sz w:val="24"/>
                <w:szCs w:val="24"/>
              </w:rPr>
              <w:t xml:space="preserve">内容一般、合理性及可操作性</w:t>
            </w:r>
            <w:r>
              <w:rPr>
                <w:rFonts w:hint="eastAsia" w:ascii="宋体" w:hAnsi="宋体" w:eastAsia="宋体" w:cs="宋体"/>
                <w:sz w:val="24"/>
                <w:szCs w:val="24"/>
              </w:rPr>
              <w:t xml:space="preserve">一般，基本符合招标文件要求的得3分；</w:t>
            </w:r>
            <w:r/>
          </w:p>
          <w:p>
            <w:pPr>
              <w:rPr>
                <w:rFonts w:hint="eastAsia" w:ascii="宋体" w:hAnsi="宋体" w:eastAsia="宋体" w:cs="宋体"/>
                <w:sz w:val="24"/>
                <w:szCs w:val="24"/>
              </w:rPr>
            </w:pPr>
            <w:r>
              <w:rPr>
                <w:rFonts w:hint="eastAsia" w:ascii="宋体" w:hAnsi="宋体" w:eastAsia="宋体" w:cs="宋体"/>
                <w:sz w:val="24"/>
                <w:szCs w:val="24"/>
              </w:rPr>
              <w:t xml:space="preserve">4.方案</w:t>
            </w:r>
            <w:r>
              <w:rPr>
                <w:rFonts w:hint="eastAsia" w:ascii="宋体" w:hAnsi="宋体" w:eastAsia="宋体" w:cs="宋体"/>
                <w:bCs/>
                <w:sz w:val="24"/>
                <w:szCs w:val="24"/>
              </w:rPr>
              <w:t xml:space="preserve">内容片面、可操作性</w:t>
            </w:r>
            <w:r>
              <w:rPr>
                <w:rFonts w:hint="eastAsia" w:ascii="宋体" w:hAnsi="宋体" w:eastAsia="宋体" w:cs="宋体"/>
                <w:sz w:val="24"/>
                <w:szCs w:val="24"/>
              </w:rPr>
              <w:t xml:space="preserve">较差的得1分；</w:t>
            </w:r>
            <w:r/>
          </w:p>
          <w:p>
            <w:pPr>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266"/>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63" w:type="pct"/>
            <w:vAlign w:val="center"/>
            <w:textDirection w:val="lrTb"/>
            <w:noWrap w:val="false"/>
          </w:tcPr>
          <w:p>
            <w:pPr>
              <w:jc w:val="center"/>
              <w:rPr>
                <w:rFonts w:hint="eastAsia" w:ascii="宋体" w:hAnsi="宋体" w:eastAsia="宋体"/>
                <w:spacing w:val="-15"/>
                <w:sz w:val="24"/>
                <w:szCs w:val="24"/>
              </w:rPr>
            </w:pPr>
            <w:r>
              <w:rPr>
                <w:rFonts w:ascii="宋体" w:hAnsi="宋体" w:eastAsia="宋体" w:cs="宋体"/>
                <w:sz w:val="24"/>
                <w:szCs w:val="24"/>
              </w:rPr>
              <w:t xml:space="preserve">组织机构</w:t>
            </w:r>
            <w:r>
              <w:rPr>
                <w:rFonts w:hint="eastAsia" w:ascii="宋体" w:hAnsi="宋体" w:eastAsia="宋体" w:cs="宋体"/>
                <w:sz w:val="24"/>
                <w:szCs w:val="24"/>
              </w:rPr>
              <w:t xml:space="preserve">及管理制度</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根据投标人针对本项目提供的组织结构</w:t>
            </w:r>
            <w:r>
              <w:rPr>
                <w:rFonts w:hint="eastAsia" w:ascii="宋体" w:hAnsi="宋体" w:eastAsia="宋体" w:cs="宋体"/>
                <w:bCs/>
                <w:sz w:val="24"/>
                <w:szCs w:val="24"/>
              </w:rPr>
              <w:t xml:space="preserve">及管理制度</w:t>
            </w:r>
            <w:r>
              <w:rPr>
                <w:rFonts w:hint="eastAsia" w:ascii="宋体" w:hAnsi="宋体" w:eastAsia="宋体" w:cs="宋体"/>
                <w:sz w:val="24"/>
                <w:szCs w:val="24"/>
              </w:rPr>
              <w:t xml:space="preserve">（包括但不限于项目组人员岗位职责、与各方的交接、协调沟通方案等）进行综合评审：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1.组织架构科学合理、</w:t>
            </w:r>
            <w:r>
              <w:rPr>
                <w:rFonts w:hint="eastAsia" w:ascii="宋体" w:hAnsi="宋体" w:eastAsia="宋体" w:cs="宋体"/>
                <w:bCs/>
                <w:sz w:val="24"/>
                <w:szCs w:val="24"/>
              </w:rPr>
              <w:t xml:space="preserve">各项管理规章制定完善、岗位职责明确的</w:t>
            </w:r>
            <w:r>
              <w:rPr>
                <w:rFonts w:hint="eastAsia" w:ascii="宋体" w:hAnsi="宋体" w:eastAsia="宋体" w:cs="宋体"/>
                <w:sz w:val="24"/>
                <w:szCs w:val="24"/>
              </w:rPr>
              <w:t xml:space="preserve">得8分；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2.组织架构较科学合理、</w:t>
            </w:r>
            <w:r>
              <w:rPr>
                <w:rFonts w:hint="eastAsia" w:ascii="宋体" w:hAnsi="宋体" w:eastAsia="宋体" w:cs="宋体"/>
                <w:bCs/>
                <w:sz w:val="24"/>
                <w:szCs w:val="24"/>
              </w:rPr>
              <w:t xml:space="preserve">各项管理规章制定较完善、岗位职责较明确的</w:t>
            </w:r>
            <w:r>
              <w:rPr>
                <w:rFonts w:hint="eastAsia" w:ascii="宋体" w:hAnsi="宋体" w:eastAsia="宋体" w:cs="宋体"/>
                <w:sz w:val="24"/>
                <w:szCs w:val="24"/>
              </w:rPr>
              <w:t xml:space="preserve">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3.组织架构合理性一般、</w:t>
            </w:r>
            <w:r>
              <w:rPr>
                <w:rFonts w:hint="eastAsia" w:ascii="宋体" w:hAnsi="宋体" w:eastAsia="宋体" w:cs="宋体"/>
                <w:bCs/>
                <w:sz w:val="24"/>
                <w:szCs w:val="24"/>
              </w:rPr>
              <w:t xml:space="preserve">各项管理规章制定基本能满足项目实施需要、岗位职责不够明确</w:t>
            </w:r>
            <w:r>
              <w:rPr>
                <w:rFonts w:hint="eastAsia" w:ascii="宋体" w:hAnsi="宋体" w:eastAsia="宋体" w:cs="宋体"/>
                <w:sz w:val="24"/>
                <w:szCs w:val="24"/>
              </w:rPr>
              <w:t xml:space="preserve">的得3分；</w:t>
            </w:r>
            <w:r/>
          </w:p>
          <w:p>
            <w:pPr>
              <w:tabs>
                <w:tab w:val="left" w:pos="869" w:leader="none"/>
              </w:tabs>
              <w:rPr>
                <w:rFonts w:hint="eastAsia" w:ascii="宋体" w:hAnsi="宋体" w:eastAsia="宋体"/>
                <w:sz w:val="24"/>
                <w:szCs w:val="24"/>
              </w:rPr>
            </w:pPr>
            <w:r>
              <w:rPr>
                <w:rFonts w:hint="eastAsia" w:ascii="宋体" w:hAnsi="宋体" w:eastAsia="宋体" w:cs="宋体"/>
                <w:sz w:val="24"/>
                <w:szCs w:val="24"/>
              </w:rPr>
              <w:t xml:space="preserve">4.组织架构不够合理、</w:t>
            </w:r>
            <w:r>
              <w:rPr>
                <w:rFonts w:hint="eastAsia" w:ascii="宋体" w:hAnsi="宋体" w:eastAsia="宋体" w:cs="宋体"/>
                <w:bCs/>
                <w:sz w:val="24"/>
                <w:szCs w:val="24"/>
              </w:rPr>
              <w:t xml:space="preserve">规章制度简单、岗位职责较差的</w:t>
            </w:r>
            <w:r>
              <w:rPr>
                <w:rFonts w:hint="eastAsia" w:ascii="宋体" w:hAnsi="宋体" w:eastAsia="宋体" w:cs="宋体"/>
                <w:sz w:val="24"/>
                <w:szCs w:val="24"/>
              </w:rPr>
              <w:t xml:space="preserve">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3431"/>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人员配置及进度计划安排</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根据投标人针对本项目拟定的人员配置及进度计划安排等进行综合评审：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1.人员配置充足、岗位职责明确，拟投入的农机驾驶操作人员具备安全操作所投农机设备的专业能力，进度计划安排合理、可操作性强的得8分；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2.人员配置较充足、岗位职责较明确，驾驶操作人员具备安全操作能力，进度计划安排较合理、可操作性较强的得5分；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3.人员配置及进度计划安排合理性一般、可操作性一般的得3分；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4.人员配置及进度计划安排不合理、可操作性较差的得1分；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2.4</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设备配备</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根据投标人针对本项目提供的拟投入本项目的相关设备等进行综合评审：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1.设备适配性强、技术性能先进、作业能力强的得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2.设备适配性较强、技术性能较好、作业能力基本满足要求的得</w:t>
            </w:r>
            <w:r>
              <w:rPr>
                <w:rFonts w:hint="eastAsia" w:ascii="宋体" w:hAnsi="宋体" w:eastAsia="宋体" w:cs="宋体"/>
                <w:sz w:val="24"/>
                <w:szCs w:val="24"/>
              </w:rPr>
              <w:t xml:space="preserve">4</w:t>
            </w:r>
            <w:r>
              <w:rPr>
                <w:rFonts w:hint="eastAsia" w:ascii="宋体" w:hAnsi="宋体" w:eastAsia="宋体" w:cs="宋体"/>
                <w:sz w:val="24"/>
                <w:szCs w:val="24"/>
              </w:rPr>
              <w:t xml:space="preserve">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3.设备适配性、技术性能、作业能力一般的得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4.设备适配性、技术性能有所欠缺，作业能力不足的得1分；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2.5</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应急预案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根据投标人针对本项目紧急情况制定的应急预案（包括但不限于纠纷、特殊事故（情况）预案等）是否切实可行进行综合评审：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1.应急预案全面完整、针对性及可行性强的得5分；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2.应急预案较完整，针对性及</w:t>
            </w:r>
            <w:r>
              <w:rPr>
                <w:rFonts w:hint="eastAsia" w:ascii="宋体" w:hAnsi="宋体" w:eastAsia="宋体" w:cs="宋体"/>
                <w:sz w:val="24"/>
                <w:szCs w:val="24"/>
              </w:rPr>
              <w:t xml:space="preserve">可行性较强的得4分；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3.应急预案基本完整、针对性及可行性一般的得2分；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4.应急预案简单片面、针对性及可行性差的得1分；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2.6</w:t>
            </w:r>
            <w:r/>
          </w:p>
        </w:tc>
        <w:tc>
          <w:tcPr>
            <w:tcW w:w="763"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服务承诺及</w:t>
            </w:r>
            <w:r>
              <w:rPr>
                <w:rFonts w:hint="eastAsia" w:ascii="宋体" w:hAnsi="宋体" w:eastAsia="宋体" w:cs="宋体"/>
                <w:sz w:val="24"/>
                <w:szCs w:val="24"/>
              </w:rPr>
              <w:t xml:space="preserve">快速响应</w:t>
            </w:r>
            <w:r>
              <w:rPr>
                <w:rFonts w:ascii="宋体" w:hAnsi="宋体" w:eastAsia="宋体" w:cs="宋体"/>
                <w:sz w:val="24"/>
                <w:szCs w:val="24"/>
              </w:rPr>
              <w:t xml:space="preserve">保障措施</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根据投标人针对本项目提供的服务承诺及快速响应保障措施等内容进行综合评审：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1.措施内容详细、可行性强的得5分；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2.措施内容较详细、可行性较强的得4分；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3.措施内容基本完整、可行性一般的得2分；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4.措施内容简单、可行性差的得1分；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422"/>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商务分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70" w:type="pct"/>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投标人自2023年1月1日至今（以合同签订日期为准）承接过类似项目业绩的，每提供一份得</w:t>
            </w:r>
            <w:r>
              <w:rPr>
                <w:rFonts w:hint="eastAsia" w:ascii="宋体" w:hAnsi="宋体" w:eastAsia="宋体" w:cs="宋体"/>
                <w:sz w:val="24"/>
                <w:szCs w:val="24"/>
              </w:rPr>
              <w:t xml:space="preserve">4</w:t>
            </w:r>
            <w:r>
              <w:rPr>
                <w:rFonts w:hint="eastAsia" w:ascii="宋体" w:hAnsi="宋体" w:eastAsia="宋体" w:cs="宋体"/>
                <w:sz w:val="24"/>
                <w:szCs w:val="24"/>
              </w:rPr>
              <w:t xml:space="preserve">分，本项最高20分。</w:t>
            </w:r>
            <w:r/>
          </w:p>
        </w:tc>
        <w:tc>
          <w:tcPr>
            <w:tcW w:w="1570" w:type="pct"/>
            <w:vAlign w:val="center"/>
            <w:textDirection w:val="lrTb"/>
            <w:noWrap w:val="false"/>
          </w:tcPr>
          <w:p>
            <w:pPr>
              <w:ind w:left="-38"/>
              <w:rPr>
                <w:rFonts w:hint="eastAsia" w:ascii="宋体" w:hAnsi="宋体" w:eastAsia="宋体" w:cs="宋体"/>
                <w:b/>
                <w:bCs/>
                <w:sz w:val="24"/>
                <w:szCs w:val="24"/>
              </w:rPr>
            </w:pPr>
            <w:r>
              <w:rPr>
                <w:rFonts w:ascii="宋体" w:hAnsi="宋体" w:eastAsia="宋体" w:cs="宋体"/>
                <w:b/>
                <w:bCs/>
                <w:sz w:val="24"/>
                <w:szCs w:val="24"/>
              </w:rPr>
              <w:t xml:space="preserve">提供</w:t>
            </w:r>
            <w:r>
              <w:rPr>
                <w:rFonts w:hint="eastAsia" w:ascii="宋体" w:hAnsi="宋体" w:eastAsia="宋体" w:cs="宋体"/>
                <w:b/>
                <w:bCs/>
                <w:sz w:val="24"/>
                <w:szCs w:val="24"/>
              </w:rPr>
              <w:t xml:space="preserve">业绩合同</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并加盖投标人公章，否则不得分。</w:t>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设备配置</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18</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（1）搂草机，每有一台得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分，最高得4分。</w:t>
            </w:r>
            <w:r/>
          </w:p>
          <w:p>
            <w:pPr>
              <w:rPr>
                <w:rFonts w:hint="eastAsia" w:ascii="宋体" w:hAnsi="宋体" w:eastAsia="宋体" w:cs="宋体"/>
                <w:sz w:val="24"/>
                <w:szCs w:val="24"/>
              </w:rPr>
            </w:pPr>
            <w:r>
              <w:rPr>
                <w:rFonts w:hint="eastAsia" w:ascii="宋体" w:hAnsi="宋体" w:eastAsia="宋体" w:cs="宋体"/>
                <w:sz w:val="24"/>
                <w:szCs w:val="24"/>
              </w:rPr>
              <w:t xml:space="preserve">（2）秸秆打捆机，每有一台得2分，最高得4分。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（3）抓草机，每有一台得2分，最高得4分。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（4）拖拉机，每有一台得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分，最高得4分。</w:t>
            </w:r>
            <w:r>
              <w:rPr>
                <w:rFonts w:hint="eastAsia" w:ascii="宋体" w:hAnsi="宋体" w:eastAsia="宋体" w:cs="宋体"/>
                <w:sz w:val="24"/>
                <w:szCs w:val="24"/>
              </w:rPr>
              <w:t xml:space="preserve">（每台拖拉机需同时提供保险及行驶证</w:t>
            </w:r>
            <w:r>
              <w:rPr>
                <w:rFonts w:hint="eastAsia" w:ascii="宋体" w:hAnsi="宋体" w:eastAsia="宋体" w:cs="宋体"/>
                <w:sz w:val="24"/>
                <w:szCs w:val="24"/>
              </w:rPr>
              <w:t xml:space="preserve">，不提供不得分</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（5）地磅，每有一台得2分，最高得2分。</w:t>
            </w:r>
            <w:r/>
          </w:p>
        </w:tc>
        <w:tc>
          <w:tcPr>
            <w:tcW w:w="1570" w:type="pct"/>
            <w:vAlign w:val="center"/>
            <w:textDirection w:val="lrTb"/>
            <w:noWrap w:val="false"/>
          </w:tcPr>
          <w:p>
            <w:pPr>
              <w:ind w:left="-38"/>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ascii="宋体" w:hAnsi="宋体" w:eastAsia="宋体" w:cs="宋体"/>
                <w:b/>
                <w:bCs/>
                <w:sz w:val="24"/>
                <w:szCs w:val="24"/>
              </w:rPr>
              <w:t xml:space="preserve">上述设备为自有的，投标文件中需提供设备购置发票</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w:t>
            </w:r>
            <w:r/>
          </w:p>
          <w:p>
            <w:pPr>
              <w:ind w:left="-38"/>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设备为租赁的，投标文件中需提供设备租赁合同等</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w:t>
            </w:r>
            <w:r>
              <w:rPr>
                <w:rFonts w:hint="eastAsia" w:ascii="宋体" w:hAnsi="宋体" w:eastAsia="宋体" w:cs="宋体"/>
                <w:b/>
                <w:bCs/>
                <w:sz w:val="24"/>
                <w:szCs w:val="24"/>
              </w:rPr>
              <w:t xml:space="preserve">。</w:t>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3.3</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场地要求</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投标人提供不少于20亩的</w:t>
            </w:r>
            <w:r>
              <w:rPr>
                <w:rFonts w:ascii="宋体" w:hAnsi="宋体" w:eastAsia="宋体" w:cs="宋体"/>
                <w:sz w:val="24"/>
                <w:szCs w:val="24"/>
              </w:rPr>
              <w:t xml:space="preserve">秸秆收储场地</w:t>
            </w:r>
            <w:r>
              <w:rPr>
                <w:rFonts w:hint="eastAsia" w:ascii="宋体" w:hAnsi="宋体" w:eastAsia="宋体" w:cs="宋体"/>
                <w:sz w:val="24"/>
                <w:szCs w:val="24"/>
              </w:rPr>
              <w:t xml:space="preserve">。</w:t>
            </w:r>
            <w:r/>
          </w:p>
        </w:tc>
        <w:tc>
          <w:tcPr>
            <w:tcW w:w="1570" w:type="pct"/>
            <w:vAlign w:val="center"/>
            <w:textDirection w:val="lrTb"/>
            <w:noWrap w:val="false"/>
          </w:tcPr>
          <w:p>
            <w:pPr>
              <w:ind w:left="-38"/>
              <w:rPr>
                <w:rFonts w:hint="eastAsia" w:ascii="宋体" w:hAnsi="宋体" w:eastAsia="宋体" w:cs="宋体"/>
                <w:b/>
                <w:bCs/>
                <w:sz w:val="24"/>
                <w:szCs w:val="24"/>
              </w:rPr>
            </w:pPr>
            <w:r>
              <w:rPr>
                <w:rFonts w:hint="eastAsia" w:ascii="宋体" w:hAnsi="宋体" w:eastAsia="宋体" w:cs="宋体"/>
                <w:b/>
                <w:bCs/>
                <w:sz w:val="24"/>
                <w:szCs w:val="24"/>
              </w:rPr>
              <w:t xml:space="preserve">提供场地租赁协议扫描件加盖公章，租赁期限需包含本项目服务期限。</w:t>
            </w:r>
            <w:r/>
          </w:p>
        </w:tc>
      </w:tr>
      <w:tr>
        <w:trPr>
          <w:jc w:val="center"/>
          <w:trHeight w:val="565"/>
        </w:trPr>
        <w:tc>
          <w:tcPr>
            <w:gridSpan w:val="2"/>
            <w:tcW w:w="1142"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340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705"/>
      </w:pPr>
      <w:r/>
      <w:bookmarkStart w:id="511" w:name="_Toc19013"/>
      <w:r/>
      <w:bookmarkStart w:id="512" w:name="OLE_LINK6"/>
      <w:r>
        <w:rPr>
          <w:rFonts w:hint="eastAsia"/>
        </w:rPr>
        <w:t xml:space="preserve">第五章</w:t>
      </w:r>
      <w:r>
        <w:rPr>
          <w:rFonts w:hint="eastAsia"/>
        </w:rPr>
        <w:t xml:space="preserve"> </w:t>
      </w:r>
      <w:r>
        <w:rPr>
          <w:rFonts w:hint="eastAsia"/>
        </w:rPr>
        <w:t xml:space="preserve">采购需求</w:t>
      </w:r>
      <w:bookmarkEnd w:id="511"/>
      <w:r/>
      <w:r/>
    </w:p>
    <w:p>
      <w:pPr>
        <w:pStyle w:val="737"/>
        <w:spacing w:line="360" w:lineRule="auto"/>
        <w:rPr>
          <w:rFonts w:hint="eastAsia" w:hAnsi="宋体"/>
          <w:b/>
          <w:color w:val="auto"/>
        </w:rPr>
      </w:pPr>
      <w:r>
        <w:rPr>
          <w:rFonts w:hAnsi="宋体"/>
          <w:b/>
          <w:color w:val="auto"/>
        </w:rPr>
        <w:t xml:space="preserve">一、采购标的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项目名称：西夏墅镇水稻秸秆离田项目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预算金额：</w:t>
      </w:r>
      <w:r>
        <w:rPr>
          <w:rFonts w:hint="eastAsia" w:ascii="宋体" w:hAnsi="宋体" w:eastAsia="宋体" w:cs="宋体"/>
          <w:sz w:val="24"/>
          <w:szCs w:val="24"/>
        </w:rPr>
        <w:t xml:space="preserve">120</w:t>
      </w:r>
      <w:r>
        <w:rPr>
          <w:rFonts w:ascii="宋体" w:hAnsi="宋体" w:eastAsia="宋体" w:cs="宋体"/>
          <w:sz w:val="24"/>
          <w:szCs w:val="24"/>
        </w:rPr>
        <w:t xml:space="preserve">万元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.最高限价：秸秆离田作业服务费 360元/吨（按实际离田秸秆重量结算）</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采购项目概况（简介）</w:t>
      </w:r>
      <w:r>
        <w:rPr>
          <w:rFonts w:hint="eastAsia" w:ascii="宋体" w:hAnsi="宋体" w:eastAsia="宋体" w:cs="宋体"/>
          <w:sz w:val="24"/>
          <w:szCs w:val="24"/>
        </w:rPr>
        <w:t xml:space="preserve">：</w:t>
      </w:r>
      <w:r>
        <w:rPr>
          <w:rFonts w:ascii="宋体" w:hAnsi="宋体" w:eastAsia="宋体" w:cs="宋体"/>
          <w:sz w:val="24"/>
          <w:szCs w:val="24"/>
        </w:rPr>
        <w:t xml:space="preserve">为深入贯彻《省委办公厅省政府办公厅关于印发推进新一轮太湖综合治理行动方案的通知》(苏办发〔2023]17号)的要求，结合我区实际，决定在区内开展秸秆离田利用工作。西夏墅镇范围内水稻田秸秆离田及资源化利用作业面积约7200亩，重量约3300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合同履行期限：</w:t>
      </w:r>
      <w:r>
        <w:rPr>
          <w:rFonts w:ascii="宋体" w:hAnsi="宋体" w:eastAsia="宋体" w:cs="宋体"/>
          <w:sz w:val="24"/>
          <w:szCs w:val="24"/>
        </w:rPr>
        <w:t xml:space="preserve">自合同签订之日起至2026年12月</w:t>
      </w:r>
      <w:r>
        <w:rPr>
          <w:rFonts w:hint="eastAsia" w:ascii="宋体" w:hAnsi="宋体" w:eastAsia="宋体" w:cs="宋体"/>
          <w:sz w:val="24"/>
          <w:szCs w:val="24"/>
        </w:rPr>
        <w:t xml:space="preserve">1</w:t>
      </w:r>
      <w:r>
        <w:rPr>
          <w:rFonts w:ascii="宋体" w:hAnsi="宋体" w:eastAsia="宋体" w:cs="宋体"/>
          <w:sz w:val="24"/>
          <w:szCs w:val="24"/>
        </w:rPr>
        <w:t xml:space="preserve">0日止，具体以采购单位时间安排为准。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是/否接受联合体投标：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是/否接受分支机构参与响应：</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是/否属于政府购买服务：</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是/否接受进口产品投标：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是/否专门面向中小企业预留采购份额：</w:t>
      </w:r>
      <w:r>
        <w:rPr>
          <w:rFonts w:hint="eastAsia" w:ascii="宋体" w:hAnsi="宋体" w:eastAsia="宋体" w:cs="宋体"/>
          <w:sz w:val="24"/>
          <w:szCs w:val="24"/>
        </w:rPr>
        <w:t xml:space="preserve">否 （</w:t>
      </w:r>
      <w:r>
        <w:rPr>
          <w:rFonts w:hint="eastAsia" w:ascii="宋体" w:cs="宋体"/>
          <w:sz w:val="24"/>
          <w:szCs w:val="24"/>
          <w:lang w:val="zh-CN"/>
        </w:rPr>
        <w:t xml:space="preserve">对应中小企业划分标准所属行业：</w:t>
      </w:r>
      <w:r>
        <w:rPr>
          <w:rFonts w:hint="eastAsia" w:ascii="宋体" w:cs="宋体"/>
          <w:sz w:val="24"/>
          <w:szCs w:val="24"/>
        </w:rPr>
        <w:t xml:space="preserve">其他未列明行业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w:t>
      </w:r>
      <w:r>
        <w:rPr>
          <w:rFonts w:ascii="宋体" w:hAnsi="宋体" w:eastAsia="宋体" w:cs="宋体"/>
          <w:sz w:val="24"/>
          <w:szCs w:val="24"/>
        </w:rPr>
        <w:t xml:space="preserve">本项目的特定资格要求：</w:t>
      </w:r>
      <w:r>
        <w:rPr>
          <w:rFonts w:hint="eastAsia" w:ascii="宋体" w:hAnsi="宋体" w:eastAsia="宋体" w:cs="宋体"/>
          <w:sz w:val="24"/>
          <w:szCs w:val="24"/>
        </w:rPr>
        <w:t xml:space="preserve">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项目类别：</w:t>
      </w:r>
      <w:r>
        <w:rPr>
          <w:rFonts w:hint="eastAsia" w:ascii="宋体" w:hAnsi="宋体" w:eastAsia="宋体" w:cs="宋体"/>
          <w:sz w:val="24"/>
          <w:szCs w:val="24"/>
        </w:rPr>
        <w:t xml:space="preserve">服务</w:t>
      </w:r>
      <w:r>
        <w:rPr>
          <w:rFonts w:ascii="宋体" w:hAnsi="宋体" w:eastAsia="宋体" w:cs="宋体"/>
          <w:sz w:val="24"/>
          <w:szCs w:val="24"/>
        </w:rPr>
        <w:t xml:space="preserve">类</w:t>
      </w:r>
      <w:r/>
    </w:p>
    <w:p>
      <w:pPr>
        <w:pStyle w:val="737"/>
        <w:ind w:firstLine="241"/>
        <w:spacing w:line="360" w:lineRule="auto"/>
        <w:rPr>
          <w:rFonts w:hint="eastAsia" w:hAnsi="宋体"/>
          <w:b/>
          <w:color w:val="auto"/>
        </w:rPr>
      </w:pPr>
      <w:r>
        <w:rPr>
          <w:rFonts w:hint="eastAsia" w:hAnsi="宋体"/>
          <w:b/>
          <w:color w:val="auto"/>
        </w:rPr>
        <w:t xml:space="preserve">二、商务要求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1.采购人按结算价向中标单位支付合同款项。结算价=实际离田秸秆重量结算*秸秆离田作业服务费中标单价（元/吨），本项目按实际离田秸秆重量结算，结算总价不超过预算金额120万元。</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2.付款方式</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合同签订生效后，在完成项目秸秆离田、利用项目后，经采购人验收合格后，中标单位向采购人出具合法有效的发票，采购人收到发票后向中标单位支付结算价的100%。若未提供合法有效的发票则采购人有权拒绝付款，且不就此承担逾期付款的违约责任。</w:t>
      </w:r>
      <w:r/>
    </w:p>
    <w:p>
      <w:pPr>
        <w:ind w:firstLine="480"/>
        <w:spacing w:line="490" w:lineRule="exact"/>
        <w:rPr>
          <w:rFonts w:hint="eastAsia" w:asciiTheme="minorEastAsia" w:hAnsiTheme="minorEastAsia"/>
          <w:b/>
          <w:bCs/>
          <w:sz w:val="24"/>
        </w:rPr>
      </w:pPr>
      <w:r>
        <w:rPr>
          <w:rFonts w:hint="eastAsia" w:asciiTheme="minorEastAsia" w:hAnsiTheme="minorEastAsia"/>
          <w:b/>
          <w:bCs/>
          <w:sz w:val="24"/>
        </w:rPr>
        <w:t xml:space="preserve">三、项目实施内容</w:t>
      </w:r>
      <w:r/>
    </w:p>
    <w:p>
      <w:pPr>
        <w:ind w:firstLine="480"/>
        <w:spacing w:line="360" w:lineRule="auto"/>
        <w:rPr>
          <w:rFonts w:hint="eastAsia" w:ascii="宋体" w:hAnsi="宋体" w:cs="宋体"/>
          <w:sz w:val="24"/>
        </w:rPr>
      </w:pPr>
      <w:r>
        <w:rPr>
          <w:rFonts w:hint="eastAsia" w:ascii="宋体" w:hAnsi="宋体" w:cs="宋体"/>
          <w:sz w:val="24"/>
        </w:rPr>
        <w:t xml:space="preserve">包括秸秆离田主体在新北区域内开展的2026年水稻秸秆离田规模作业及临时存储；秸秆利用主体对秸秆的资源化利用或转运至区外进行秸秆资源化利用。</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四</w:t>
      </w:r>
      <w:r>
        <w:rPr>
          <w:rFonts w:asciiTheme="minorEastAsia" w:hAnsiTheme="minorEastAsia"/>
          <w:b/>
          <w:bCs/>
          <w:sz w:val="24"/>
        </w:rPr>
        <w:t xml:space="preserve">、</w:t>
      </w:r>
      <w:r>
        <w:rPr>
          <w:rFonts w:hint="eastAsia" w:asciiTheme="minorEastAsia" w:hAnsiTheme="minorEastAsia"/>
          <w:b/>
          <w:bCs/>
          <w:sz w:val="24"/>
        </w:rPr>
        <w:t xml:space="preserve">服务要求</w:t>
      </w:r>
      <w:r/>
    </w:p>
    <w:p>
      <w:pPr>
        <w:pStyle w:val="712"/>
        <w:ind w:firstLine="567"/>
        <w:spacing w:line="360" w:lineRule="auto"/>
        <w:rPr>
          <w:rFonts w:hint="eastAsia" w:hAnsi="宋体" w:cs="宋体"/>
          <w:sz w:val="24"/>
          <w:szCs w:val="24"/>
        </w:rPr>
      </w:pPr>
      <w:r>
        <w:rPr>
          <w:rFonts w:hint="eastAsia" w:hAnsi="宋体" w:cs="宋体"/>
          <w:sz w:val="24"/>
          <w:szCs w:val="24"/>
        </w:rPr>
        <w:t xml:space="preserve">1.本项目要求在农户收割后两天内进行秸秆离田，投标人应为本项目组织配备可完成服务全环节作业的相应人员、设备及车辆，确保服务质量。</w:t>
      </w:r>
      <w:r/>
    </w:p>
    <w:p>
      <w:pPr>
        <w:pStyle w:val="712"/>
        <w:ind w:firstLine="567"/>
        <w:spacing w:line="360" w:lineRule="auto"/>
        <w:rPr>
          <w:rFonts w:hint="eastAsia" w:hAnsi="宋体" w:cs="宋体"/>
          <w:sz w:val="24"/>
          <w:szCs w:val="24"/>
        </w:rPr>
      </w:pPr>
      <w:r>
        <w:rPr>
          <w:rFonts w:hint="eastAsia" w:hAnsi="宋体" w:cs="宋体"/>
          <w:sz w:val="24"/>
          <w:szCs w:val="24"/>
        </w:rPr>
        <w:t xml:space="preserve">2.秸秆收集打捆作业质量要求：</w:t>
      </w:r>
      <w:r/>
    </w:p>
    <w:p>
      <w:pPr>
        <w:pStyle w:val="712"/>
        <w:ind w:firstLine="567"/>
        <w:spacing w:line="360" w:lineRule="auto"/>
        <w:rPr>
          <w:rFonts w:hint="eastAsia" w:hAnsi="宋体" w:cs="宋体"/>
          <w:sz w:val="24"/>
          <w:szCs w:val="24"/>
        </w:rPr>
      </w:pPr>
      <w:r>
        <w:rPr>
          <w:rFonts w:hint="eastAsia" w:hAnsi="宋体" w:cs="宋体"/>
          <w:sz w:val="24"/>
          <w:szCs w:val="24"/>
        </w:rPr>
        <w:t xml:space="preserve">（1）打捆完成的秸秆需从农田中搬运至配备的秸秆收储场地，并进行称重过磅，完成作业单打印。</w:t>
      </w:r>
      <w:r/>
    </w:p>
    <w:p>
      <w:pPr>
        <w:pStyle w:val="712"/>
        <w:ind w:firstLine="567"/>
        <w:spacing w:line="360" w:lineRule="auto"/>
        <w:rPr>
          <w:rFonts w:hint="eastAsia" w:hAnsi="宋体" w:cs="宋体"/>
          <w:sz w:val="24"/>
          <w:szCs w:val="24"/>
        </w:rPr>
      </w:pPr>
      <w:r>
        <w:rPr>
          <w:rFonts w:hint="eastAsia" w:hAnsi="宋体" w:cs="宋体"/>
          <w:sz w:val="24"/>
          <w:szCs w:val="24"/>
        </w:rPr>
        <w:t xml:space="preserve">（2）捡拾净度在90%以上。</w:t>
      </w:r>
      <w:r/>
    </w:p>
    <w:p>
      <w:pPr>
        <w:pStyle w:val="712"/>
        <w:ind w:firstLine="567"/>
        <w:spacing w:line="360" w:lineRule="auto"/>
        <w:rPr>
          <w:rFonts w:hint="eastAsia" w:hAnsi="宋体" w:cs="宋体"/>
          <w:sz w:val="24"/>
          <w:szCs w:val="24"/>
        </w:rPr>
      </w:pPr>
      <w:r>
        <w:rPr>
          <w:rFonts w:hint="eastAsia" w:hAnsi="宋体" w:cs="宋体"/>
          <w:sz w:val="24"/>
          <w:szCs w:val="24"/>
        </w:rPr>
        <w:t xml:space="preserve">（3）作业完成后须向采购人提供打捆作业单与过磅照片（前中后各一张）。</w:t>
      </w:r>
      <w:r/>
    </w:p>
    <w:p>
      <w:pPr>
        <w:pStyle w:val="712"/>
        <w:ind w:firstLine="567"/>
        <w:spacing w:line="360" w:lineRule="auto"/>
        <w:rPr>
          <w:rFonts w:hint="eastAsia" w:hAnsi="宋体" w:cs="宋体"/>
          <w:sz w:val="24"/>
          <w:szCs w:val="24"/>
        </w:rPr>
      </w:pPr>
      <w:r>
        <w:rPr>
          <w:rFonts w:hint="eastAsia" w:hAnsi="宋体" w:cs="宋体"/>
          <w:sz w:val="24"/>
          <w:szCs w:val="24"/>
        </w:rPr>
        <w:t xml:space="preserve">3.秸秆离田运输处理作业质量要求：</w:t>
      </w:r>
      <w:r/>
    </w:p>
    <w:p>
      <w:pPr>
        <w:pStyle w:val="712"/>
        <w:ind w:firstLine="567"/>
        <w:spacing w:line="360" w:lineRule="auto"/>
        <w:rPr>
          <w:rFonts w:hint="eastAsia" w:hAnsi="宋体" w:cs="宋体"/>
          <w:sz w:val="24"/>
          <w:szCs w:val="24"/>
        </w:rPr>
      </w:pPr>
      <w:r>
        <w:rPr>
          <w:rFonts w:hint="eastAsia" w:hAnsi="宋体" w:cs="宋体"/>
          <w:sz w:val="24"/>
          <w:szCs w:val="24"/>
        </w:rPr>
        <w:t xml:space="preserve">（1）投标人应将所有打捆完成的秸秆从秸秆收储场地运输到秸秆利用处理点（投标人应自行与秸秆利用处理点联系），并完成处理。</w:t>
      </w:r>
      <w:r/>
    </w:p>
    <w:p>
      <w:pPr>
        <w:pStyle w:val="712"/>
        <w:ind w:firstLine="567"/>
        <w:spacing w:line="360" w:lineRule="auto"/>
        <w:rPr>
          <w:rFonts w:hint="eastAsia" w:hAnsi="宋体" w:cs="宋体"/>
          <w:sz w:val="24"/>
          <w:szCs w:val="24"/>
        </w:rPr>
      </w:pPr>
      <w:r>
        <w:rPr>
          <w:rFonts w:hint="eastAsia" w:hAnsi="宋体" w:cs="宋体"/>
          <w:sz w:val="24"/>
          <w:szCs w:val="24"/>
        </w:rPr>
        <w:t xml:space="preserve">（2）投标人应对秸秆进行妥善处理，处理过程中不得对环境造成二次污染。</w:t>
      </w:r>
      <w:r/>
    </w:p>
    <w:p>
      <w:pPr>
        <w:pStyle w:val="712"/>
        <w:ind w:firstLine="567"/>
        <w:spacing w:line="360" w:lineRule="auto"/>
        <w:rPr>
          <w:rFonts w:hint="eastAsia" w:hAnsi="宋体" w:cs="宋体"/>
          <w:sz w:val="24"/>
          <w:szCs w:val="24"/>
        </w:rPr>
      </w:pPr>
      <w:r>
        <w:rPr>
          <w:rFonts w:hint="eastAsia" w:hAnsi="宋体" w:cs="宋体"/>
          <w:sz w:val="24"/>
          <w:szCs w:val="24"/>
        </w:rPr>
        <w:t xml:space="preserve">4.投标人对作业安全承担主体责任，必须保证所有参与服务的操作人员及设备工具证照齐全，且在有效期内。在作业过程中不得对环境、水体等造成污染，不得向服务对象收取作业服务费用。</w:t>
      </w:r>
      <w:r/>
    </w:p>
    <w:p>
      <w:pPr>
        <w:pStyle w:val="712"/>
        <w:ind w:firstLine="567"/>
        <w:spacing w:line="360" w:lineRule="auto"/>
        <w:rPr>
          <w:rFonts w:hint="eastAsia" w:hAnsi="宋体" w:cs="宋体"/>
          <w:sz w:val="24"/>
          <w:szCs w:val="24"/>
        </w:rPr>
      </w:pPr>
      <w:r>
        <w:rPr>
          <w:rFonts w:hint="eastAsia" w:hAnsi="宋体" w:cs="宋体"/>
          <w:sz w:val="24"/>
          <w:szCs w:val="24"/>
        </w:rPr>
        <w:t xml:space="preserve">5.采购人将组织对作业情况进行抽查，核实作业面积。投标人如出现虚假申报打捆数量及作业面积、与服务对象恶意串通弄虚作假等情况，采购人将取消与中标单位的合同，严肃处理，并采取相关法律手段。</w:t>
      </w:r>
      <w:r/>
    </w:p>
    <w:p>
      <w:pPr>
        <w:pStyle w:val="712"/>
        <w:ind w:firstLine="567"/>
        <w:spacing w:line="360" w:lineRule="auto"/>
        <w:rPr>
          <w:rFonts w:hint="eastAsia" w:hAnsi="宋体" w:cs="宋体"/>
          <w:sz w:val="24"/>
          <w:szCs w:val="24"/>
        </w:rPr>
      </w:pPr>
      <w:r>
        <w:rPr>
          <w:rFonts w:hint="eastAsia" w:hAnsi="宋体" w:cs="宋体"/>
          <w:sz w:val="24"/>
          <w:szCs w:val="24"/>
        </w:rPr>
        <w:t xml:space="preserve">6.投标人如需要办理货车通行证的，请自行办理。</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★五</w:t>
      </w:r>
      <w:r>
        <w:rPr>
          <w:rFonts w:asciiTheme="minorEastAsia" w:hAnsiTheme="minorEastAsia"/>
          <w:b/>
          <w:bCs/>
          <w:sz w:val="24"/>
        </w:rPr>
        <w:t xml:space="preserve">、</w:t>
      </w:r>
      <w:r>
        <w:rPr>
          <w:rFonts w:hint="eastAsia" w:asciiTheme="minorEastAsia" w:hAnsiTheme="minorEastAsia"/>
          <w:b/>
          <w:bCs/>
          <w:sz w:val="24"/>
        </w:rPr>
        <w:t xml:space="preserve">人员要求（</w:t>
      </w:r>
      <w:r>
        <w:rPr>
          <w:rFonts w:asciiTheme="minorEastAsia" w:hAnsiTheme="minorEastAsia"/>
          <w:b/>
          <w:bCs/>
          <w:sz w:val="24"/>
        </w:rPr>
        <w:t xml:space="preserve">本项为实质性响应条款，投标文件中须提供承诺书并加盖投标人公章，不提供视为无效投标</w:t>
      </w:r>
      <w:r>
        <w:rPr>
          <w:rFonts w:hint="eastAsia" w:asciiTheme="minorEastAsia" w:hAnsiTheme="minorEastAsia"/>
          <w:b/>
          <w:bCs/>
          <w:sz w:val="24"/>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投标人针对本项目应配备专业的项目服务团队，其中项目负责人1人，其他项目组人员不少于5人。项目实施过程中，项目负责人应与项目组人员及时沟通并解决所发现的问题，且应无条件接受采购人的安排与监督管理。项目组人员在服务期间内出现的工伤及其他人身意外事故，均由投标人自行负责，采购人不承担任何责任。</w:t>
      </w:r>
      <w:r/>
    </w:p>
    <w:p>
      <w:pPr>
        <w:spacing w:line="360" w:lineRule="auto"/>
        <w:rPr>
          <w:rFonts w:hint="eastAsia" w:asciiTheme="minorEastAsia" w:hAnsiTheme="minorEastAsia"/>
          <w:b/>
          <w:bCs/>
          <w:sz w:val="24"/>
        </w:rPr>
      </w:pPr>
      <w:r>
        <w:rPr>
          <w:rFonts w:hint="eastAsia" w:asciiTheme="minorEastAsia" w:hAnsiTheme="minorEastAsia"/>
          <w:b/>
          <w:bCs/>
          <w:sz w:val="24"/>
          <w:highlight w:val="lightGray"/>
        </w:rPr>
        <w:t xml:space="preserve">六、</w:t>
      </w:r>
      <w:r>
        <w:rPr>
          <w:rFonts w:hint="eastAsia" w:asciiTheme="minorEastAsia" w:hAnsiTheme="minorEastAsia"/>
          <w:b/>
          <w:bCs/>
          <w:sz w:val="24"/>
        </w:rPr>
        <w:t xml:space="preserve">设备配备</w:t>
      </w:r>
      <w:r>
        <w:rPr>
          <w:rFonts w:asciiTheme="minorEastAsia" w:hAnsiTheme="minorEastAsia"/>
          <w:b/>
          <w:bCs/>
          <w:sz w:val="24"/>
        </w:rPr>
        <w:t xml:space="preserve">配置</w:t>
      </w:r>
      <w:r>
        <w:rPr>
          <w:rFonts w:hint="eastAsia" w:asciiTheme="minorEastAsia" w:hAnsiTheme="minorEastAsia"/>
          <w:b/>
          <w:bCs/>
          <w:sz w:val="24"/>
        </w:rPr>
        <w:t xml:space="preserve">要求</w:t>
      </w:r>
      <w:r/>
    </w:p>
    <w:p>
      <w:pPr>
        <w:pStyle w:val="712"/>
        <w:ind w:firstLine="0"/>
      </w:pPr>
      <w:r>
        <w:rPr>
          <w:rFonts w:hint="eastAsia" w:hAnsi="宋体" w:cs="宋体"/>
          <w:b/>
          <w:sz w:val="24"/>
        </w:rPr>
        <w:t xml:space="preserve">    1.根据2026年新北区秸秆离田利用工作实施方案有关要求，并按照本项目实际情况，供应商须配置以下服务设备：</w:t>
      </w:r>
      <w:r/>
    </w:p>
    <w:tbl>
      <w:tblPr>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
        <w:gridCol w:w="3593"/>
        <w:gridCol w:w="1520"/>
        <w:gridCol w:w="1520"/>
        <w:gridCol w:w="1520"/>
      </w:tblGrid>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b/>
                <w:bCs/>
                <w:szCs w:val="21"/>
              </w:rPr>
            </w:pPr>
            <w:r>
              <w:rPr>
                <w:rFonts w:hint="eastAsia" w:ascii="宋体" w:hAnsi="宋体" w:cs="宋体"/>
                <w:b/>
                <w:bCs/>
                <w:szCs w:val="21"/>
              </w:rPr>
              <w:t xml:space="preserve">设备名称</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b/>
                <w:bCs/>
                <w:szCs w:val="21"/>
              </w:rPr>
            </w:pPr>
            <w:r>
              <w:rPr>
                <w:rFonts w:hint="eastAsia" w:ascii="宋体" w:hAnsi="宋体" w:cs="宋体"/>
                <w:b/>
                <w:bCs/>
                <w:szCs w:val="21"/>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right="-86"/>
              <w:jc w:val="center"/>
              <w:spacing w:line="440" w:lineRule="exact"/>
              <w:widowControl/>
              <w:rPr>
                <w:rFonts w:hint="eastAsia"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right="-86"/>
              <w:jc w:val="center"/>
              <w:spacing w:line="440" w:lineRule="exact"/>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拖拉机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20" w:type="dxa"/>
            <w:textDirection w:val="lrTb"/>
            <w:noWrap w:val="false"/>
          </w:tcPr>
          <w:p>
            <w:pPr>
              <w:jc w:val="left"/>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搂草机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秸秆打捆机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20" w:type="dxa"/>
            <w:textDirection w:val="lrTb"/>
            <w:noWrap w:val="false"/>
          </w:tcPr>
          <w:p>
            <w:pPr>
              <w:jc w:val="left"/>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抓草机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地磅</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电脑</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摄像头</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打印机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bl>
    <w:p>
      <w:pPr>
        <w:ind w:firstLine="482"/>
        <w:spacing w:line="360" w:lineRule="auto"/>
        <w:rPr>
          <w:rFonts w:hint="eastAsia" w:ascii="宋体" w:hAnsi="宋体" w:cs="宋体"/>
          <w:bCs/>
          <w:sz w:val="24"/>
        </w:rPr>
      </w:pPr>
      <w:r>
        <w:rPr>
          <w:rFonts w:hint="eastAsia" w:ascii="宋体" w:hAnsi="宋体" w:cs="宋体"/>
          <w:b/>
          <w:sz w:val="24"/>
        </w:rPr>
        <w:t xml:space="preserve">2.中标单位须在</w:t>
      </w:r>
      <w:r>
        <w:rPr>
          <w:rFonts w:ascii="宋体" w:hAnsi="宋体" w:cs="宋体"/>
          <w:b/>
          <w:sz w:val="24"/>
        </w:rPr>
        <w:t xml:space="preserve">合同签订后</w:t>
      </w:r>
      <w:r>
        <w:rPr>
          <w:rFonts w:hint="eastAsia" w:ascii="宋体" w:hAnsi="宋体" w:cs="宋体"/>
          <w:b/>
          <w:sz w:val="24"/>
        </w:rPr>
        <w:t xml:space="preserve">5</w:t>
      </w:r>
      <w:r>
        <w:rPr>
          <w:rFonts w:ascii="宋体" w:hAnsi="宋体" w:cs="宋体"/>
          <w:b/>
          <w:sz w:val="24"/>
        </w:rPr>
        <w:t xml:space="preserve">日内</w:t>
      </w:r>
      <w:r>
        <w:rPr>
          <w:rFonts w:hint="eastAsia" w:ascii="宋体" w:hAnsi="宋体" w:cs="宋体"/>
          <w:b/>
          <w:sz w:val="24"/>
        </w:rPr>
        <w:t xml:space="preserve">配置所有设备，否则采购人有权取消其成交资格。</w:t>
      </w:r>
      <w:r/>
    </w:p>
    <w:p>
      <w:pPr>
        <w:ind w:firstLine="482"/>
        <w:spacing w:line="360" w:lineRule="auto"/>
        <w:rPr>
          <w:rFonts w:hint="eastAsia" w:ascii="宋体" w:hAnsi="宋体" w:cs="宋体"/>
          <w:sz w:val="24"/>
        </w:rPr>
      </w:pPr>
      <w:r>
        <w:rPr>
          <w:rFonts w:hint="eastAsia" w:asciiTheme="minorEastAsia" w:hAnsiTheme="minorEastAsia"/>
          <w:b/>
          <w:bCs/>
          <w:sz w:val="24"/>
        </w:rPr>
        <w:t xml:space="preserve">七</w:t>
      </w:r>
      <w:r>
        <w:rPr>
          <w:rFonts w:hint="eastAsia" w:ascii="宋体" w:hAnsi="宋体" w:cs="宋体"/>
          <w:b/>
          <w:bCs/>
          <w:sz w:val="24"/>
        </w:rPr>
        <w:t xml:space="preserve">、其他要求</w:t>
      </w:r>
      <w:r/>
    </w:p>
    <w:p>
      <w:pPr>
        <w:ind w:firstLine="480"/>
        <w:spacing w:line="360" w:lineRule="auto"/>
        <w:rPr>
          <w:rFonts w:hint="eastAsia" w:ascii="宋体" w:hAnsi="宋体" w:cs="宋体"/>
          <w:sz w:val="24"/>
        </w:rPr>
      </w:pPr>
      <w:r>
        <w:rPr>
          <w:rFonts w:hint="eastAsia" w:ascii="宋体" w:hAnsi="宋体" w:cs="宋体"/>
          <w:sz w:val="24"/>
        </w:rPr>
        <w:t xml:space="preserve">1.验收标准：根据招标文件、投标文件、合同及国家行业相关标准由采购人验收。</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ascii="Segoe UI" w:hAnsi="Segoe UI" w:cs="Segoe UI"/>
          <w:sz w:val="24"/>
          <w:szCs w:val="24"/>
          <w:shd w:val="clear" w:color="auto" w:fill="ffffff"/>
        </w:rPr>
        <w:t xml:space="preserve">投标人应在项目所在地具备秸秆收储场地，配备地磅进行称重和作业单打印，采购人有权查看现场。</w:t>
      </w:r>
      <w:r/>
    </w:p>
    <w:p>
      <w:pPr>
        <w:ind w:firstLine="480"/>
        <w:spacing w:line="360" w:lineRule="auto"/>
        <w:rPr>
          <w:rFonts w:hint="eastAsia" w:ascii="宋体" w:hAnsi="宋体" w:cs="宋体"/>
          <w:bCs/>
          <w:sz w:val="24"/>
        </w:rPr>
      </w:pPr>
      <w:r>
        <w:rPr>
          <w:rFonts w:hint="eastAsia" w:ascii="宋体" w:hAnsi="宋体" w:cs="宋体"/>
          <w:bCs/>
          <w:sz w:val="24"/>
        </w:rPr>
        <w:t xml:space="preserve">3.中标单位有责任配合采购人接受上级领导部门的监督、检查。</w:t>
      </w:r>
      <w:r/>
    </w:p>
    <w:p>
      <w:pPr>
        <w:ind w:firstLine="482"/>
        <w:spacing w:line="440" w:lineRule="exact"/>
        <w:rPr>
          <w:rFonts w:hint="eastAsia" w:ascii="宋体" w:hAnsi="宋体" w:cs="宋体"/>
          <w:b/>
          <w:bCs/>
          <w:sz w:val="24"/>
        </w:rPr>
      </w:pPr>
      <w:r>
        <w:rPr>
          <w:rFonts w:hint="eastAsia" w:asciiTheme="minorEastAsia" w:hAnsiTheme="minorEastAsia"/>
          <w:b/>
          <w:bCs/>
          <w:sz w:val="24"/>
        </w:rPr>
        <w:t xml:space="preserve">★</w:t>
      </w:r>
      <w:r>
        <w:rPr>
          <w:rFonts w:ascii="宋体" w:hAnsi="宋体" w:cs="宋体"/>
          <w:b/>
          <w:bCs/>
          <w:sz w:val="24"/>
        </w:rPr>
        <w:t xml:space="preserve">4</w:t>
      </w:r>
      <w:r>
        <w:rPr>
          <w:rFonts w:hint="eastAsia" w:ascii="宋体" w:hAnsi="宋体" w:cs="宋体"/>
          <w:b/>
          <w:bCs/>
          <w:sz w:val="24"/>
        </w:rPr>
        <w:t xml:space="preserve">.投标人必须保证全部响应资料的真实性，在成交结果公示期间，中标单位须提供相关投标原件资料以供与复印件资料核对。如有虚假或对采购文件所要求说明的情况故意隐瞒或虚报，取消其成交的资格，并将按照《中华人民共和国政府采购法》相关条款给予处罚。投标文件中提供承诺书并加盖投标人公章，否则视为未实质性响应招标文件要求，为无效投标。</w:t>
      </w:r>
      <w:r/>
    </w:p>
    <w:p>
      <w:pPr>
        <w:ind w:firstLine="482"/>
        <w:spacing w:line="360" w:lineRule="auto"/>
        <w:rPr>
          <w:rFonts w:hint="eastAsia" w:ascii="宋体" w:hAnsi="宋体" w:cs="宋体"/>
          <w:sz w:val="24"/>
        </w:rPr>
      </w:pPr>
      <w:r>
        <w:rPr>
          <w:rFonts w:hint="eastAsia" w:ascii="宋体" w:hAnsi="宋体" w:cs="宋体"/>
          <w:b/>
          <w:bCs/>
          <w:sz w:val="24"/>
        </w:rPr>
        <w:t xml:space="preserve">八、报价方式</w:t>
      </w:r>
      <w:r/>
    </w:p>
    <w:p>
      <w:pPr>
        <w:ind w:firstLine="480"/>
        <w:spacing w:line="360" w:lineRule="auto"/>
        <w:rPr>
          <w:rFonts w:hint="eastAsia" w:ascii="宋体" w:hAnsi="宋体" w:cs="宋体"/>
          <w:sz w:val="24"/>
        </w:rPr>
      </w:pPr>
      <w:r>
        <w:rPr>
          <w:rFonts w:ascii="宋体" w:hAnsi="宋体" w:cs="宋体"/>
          <w:bCs/>
          <w:sz w:val="24"/>
        </w:rPr>
        <w:t xml:space="preserve">本项目报价为</w:t>
      </w:r>
      <w:r>
        <w:rPr>
          <w:rFonts w:ascii="宋体" w:hAnsi="宋体" w:cs="宋体"/>
          <w:b/>
          <w:sz w:val="24"/>
        </w:rPr>
        <w:t xml:space="preserve">固定</w:t>
      </w:r>
      <w:r>
        <w:rPr>
          <w:rFonts w:hint="eastAsia" w:ascii="宋体" w:hAnsi="宋体" w:cs="宋体"/>
          <w:b/>
          <w:sz w:val="24"/>
        </w:rPr>
        <w:t xml:space="preserve">单价</w:t>
      </w:r>
      <w:r>
        <w:rPr>
          <w:rFonts w:ascii="宋体" w:hAnsi="宋体" w:cs="宋体"/>
          <w:bCs/>
          <w:sz w:val="24"/>
        </w:rPr>
        <w:t xml:space="preserve">，</w:t>
      </w:r>
      <w:r>
        <w:rPr>
          <w:rFonts w:hint="eastAsia" w:ascii="宋体" w:hAnsi="宋体" w:cs="宋体"/>
          <w:bCs/>
          <w:sz w:val="24"/>
        </w:rPr>
        <w:t xml:space="preserve">投标</w:t>
      </w:r>
      <w:r>
        <w:rPr>
          <w:rFonts w:ascii="宋体" w:hAnsi="宋体" w:cs="宋体"/>
          <w:bCs/>
          <w:sz w:val="24"/>
        </w:rPr>
        <w:t xml:space="preserve">报价应包括</w:t>
      </w:r>
      <w:r>
        <w:rPr>
          <w:rFonts w:hint="eastAsia" w:ascii="宋体" w:hAnsi="宋体" w:cs="宋体"/>
          <w:bCs/>
          <w:sz w:val="24"/>
        </w:rPr>
        <w:t xml:space="preserve">招标文件</w:t>
      </w:r>
      <w:r>
        <w:rPr>
          <w:rFonts w:ascii="宋体" w:hAnsi="宋体" w:cs="宋体"/>
          <w:bCs/>
          <w:sz w:val="24"/>
        </w:rPr>
        <w:t xml:space="preserve">所确定的采购范围相应服务的</w:t>
      </w:r>
      <w:r>
        <w:rPr>
          <w:rFonts w:hint="eastAsia" w:ascii="宋体" w:hAnsi="宋体" w:cs="宋体"/>
          <w:bCs/>
          <w:sz w:val="24"/>
        </w:rPr>
        <w:t xml:space="preserve">人工费、设备使用费（含油料费等）、</w:t>
      </w:r>
      <w:r>
        <w:rPr>
          <w:rFonts w:ascii="宋体" w:hAnsi="宋体" w:cs="宋体"/>
          <w:bCs/>
          <w:sz w:val="24"/>
        </w:rPr>
        <w:t xml:space="preserve">离田作业、打捆、搬运、运输至堆场、过磅称重、资源化利用</w:t>
      </w:r>
      <w:r>
        <w:rPr>
          <w:rFonts w:hint="eastAsia" w:ascii="宋体" w:hAnsi="宋体" w:cs="宋体"/>
          <w:bCs/>
          <w:sz w:val="24"/>
        </w:rPr>
        <w:t xml:space="preserve">、风险费、</w:t>
      </w:r>
      <w:r>
        <w:rPr>
          <w:rFonts w:ascii="宋体" w:hAnsi="宋体" w:cs="宋体"/>
          <w:bCs/>
          <w:sz w:val="24"/>
        </w:rPr>
        <w:t xml:space="preserve">各种税费、利润、税金、政策性文件规定及合同包含的所有风险、责任等各项应有费用，以及为完成该项服务项目所涉及到的一切相关费用，采购人不再支付其他任何费用。采购人不接受供应商任何因遗漏</w:t>
      </w:r>
      <w:r>
        <w:rPr>
          <w:rFonts w:ascii="宋体" w:hAnsi="宋体" w:cs="宋体"/>
          <w:bCs/>
          <w:sz w:val="24"/>
        </w:rPr>
        <w:t xml:space="preserve">报价而发生的费用追加，因供应商违反《中华人民共和国民法典》等法律法规而造成采购人的连带责任和损失全部由供应商承担。</w:t>
      </w:r>
      <w:r/>
    </w:p>
    <w:p>
      <w:pPr>
        <w:ind w:firstLine="480"/>
        <w:spacing w:line="360" w:lineRule="auto"/>
        <w:rPr>
          <w:rFonts w:hint="eastAsia" w:ascii="宋体" w:hAnsi="宋体" w:cs="宋体"/>
          <w:sz w:val="24"/>
        </w:rPr>
      </w:pPr>
      <w:r>
        <w:rPr>
          <w:rFonts w:hint="eastAsia" w:ascii="宋体" w:hAnsi="宋体" w:cs="宋体"/>
          <w:sz w:val="24"/>
        </w:rPr>
        <w:t xml:space="preserve">报价货币为人民币，评审时以人民币为准。</w:t>
      </w:r>
      <w:r/>
    </w:p>
    <w:p>
      <w:pPr>
        <w:ind w:firstLine="482"/>
        <w:spacing w:line="360" w:lineRule="auto"/>
        <w:rPr>
          <w:rFonts w:hint="eastAsia" w:ascii="宋体" w:hAnsi="宋体" w:cs="宋体"/>
          <w:sz w:val="24"/>
        </w:rPr>
      </w:pPr>
      <w:r>
        <w:rPr>
          <w:rFonts w:hint="eastAsia" w:ascii="宋体" w:hAnsi="宋体" w:cs="宋体"/>
          <w:b/>
          <w:bCs/>
          <w:sz w:val="24"/>
        </w:rPr>
        <w:t xml:space="preserve">九</w:t>
      </w:r>
      <w:r>
        <w:rPr>
          <w:rFonts w:hint="eastAsia" w:ascii="宋体" w:hAnsi="宋体" w:cs="宋体"/>
          <w:b/>
          <w:bCs/>
          <w:sz w:val="24"/>
        </w:rPr>
        <w:t xml:space="preserve">、知识产权</w:t>
      </w:r>
      <w:r/>
    </w:p>
    <w:p>
      <w:pPr>
        <w:ind w:firstLine="480"/>
        <w:spacing w:line="360" w:lineRule="auto"/>
        <w:rPr>
          <w:rFonts w:hint="eastAsia" w:ascii="宋体" w:hAnsi="宋体" w:cs="宋体"/>
          <w:bCs/>
          <w:sz w:val="24"/>
        </w:rPr>
      </w:pPr>
      <w:r>
        <w:rPr>
          <w:rFonts w:hint="eastAsia" w:ascii="宋体" w:hAnsi="宋体" w:cs="宋体"/>
          <w:bCs/>
          <w:sz w:val="24"/>
        </w:rPr>
        <w:t xml:space="preserve">投标人应能保证所提供服务涉及到的知识产权是合法取得，并享有完整的知识产权，不会因为需方的使用而被责令停止使用、追偿或要求赔偿损失，如出现</w:t>
      </w:r>
      <w:r/>
    </w:p>
    <w:p>
      <w:pPr>
        <w:ind w:firstLine="480"/>
        <w:spacing w:line="360" w:lineRule="auto"/>
        <w:rPr>
          <w:rFonts w:hint="eastAsia" w:ascii="宋体" w:hAnsi="宋体" w:cs="宋体"/>
          <w:bCs/>
          <w:sz w:val="24"/>
        </w:rPr>
      </w:pPr>
      <w:r>
        <w:rPr>
          <w:rFonts w:hint="eastAsia" w:ascii="宋体" w:hAnsi="宋体" w:cs="宋体"/>
          <w:bCs/>
          <w:sz w:val="24"/>
        </w:rPr>
        <w:t xml:space="preserve">此情况，一切经济和法律责任均由供方承担。</w:t>
      </w:r>
      <w:r>
        <w:rPr>
          <w:rFonts w:ascii="Segoe UI" w:hAnsi="Segoe UI" w:cs="Segoe UI"/>
          <w:sz w:val="24"/>
          <w:szCs w:val="24"/>
          <w:shd w:val="clear" w:color="auto" w:fill="ffffff"/>
        </w:rPr>
        <w:t xml:space="preserve">投标人提交的作业清单、过磅记录、照片等成果资料，</w:t>
      </w:r>
      <w:r>
        <w:rPr>
          <w:rFonts w:ascii="Segoe UI" w:hAnsi="Segoe UI" w:cs="Segoe UI"/>
          <w:sz w:val="24"/>
          <w:szCs w:val="28"/>
          <w:shd w:val="clear" w:color="auto" w:fill="ffffff"/>
        </w:rPr>
        <w:t xml:space="preserve">其所有权归采购人所有</w:t>
      </w:r>
      <w:r>
        <w:rPr>
          <w:rFonts w:ascii="Segoe UI" w:hAnsi="Segoe UI" w:cs="Segoe UI"/>
          <w:sz w:val="24"/>
          <w:szCs w:val="24"/>
          <w:shd w:val="clear" w:color="auto" w:fill="ffffff"/>
        </w:rPr>
        <w:t xml:space="preserve">，采购人有权在本项目及相关工作中使用。</w:t>
      </w:r>
      <w:r>
        <w:rPr>
          <w:rFonts w:ascii="宋体" w:hAnsi="宋体" w:cs="宋体"/>
          <w:bCs/>
          <w:sz w:val="24"/>
        </w:rPr>
        <w:br w:type="page" w:clear="all"/>
      </w:r>
      <w:r/>
    </w:p>
    <w:p>
      <w:pPr>
        <w:pStyle w:val="705"/>
      </w:pPr>
      <w:r/>
      <w:bookmarkStart w:id="513" w:name="_Toc8588"/>
      <w:r/>
      <w:bookmarkStart w:id="514" w:name="_Toc15023"/>
      <w:r>
        <w:rPr>
          <w:rFonts w:hint="eastAsia"/>
        </w:rPr>
        <w:t xml:space="preserve">第六章</w:t>
      </w:r>
      <w:r>
        <w:rPr>
          <w:rFonts w:hint="eastAsia"/>
        </w:rPr>
        <w:t xml:space="preserve"> </w:t>
      </w:r>
      <w:bookmarkEnd w:id="513"/>
      <w:r>
        <w:rPr>
          <w:rFonts w:hint="eastAsia" w:ascii="宋体" w:hAnsi="宋体" w:eastAsia="宋体" w:cs="宋体"/>
        </w:rPr>
        <w:t xml:space="preserve">拟签订的合同文本</w:t>
      </w:r>
      <w:bookmarkEnd w:id="514"/>
      <w:r/>
      <w:r/>
    </w:p>
    <w:p>
      <w:pPr>
        <w:spacing w:line="360" w:lineRule="auto"/>
        <w:rPr>
          <w:rFonts w:hint="eastAsia" w:ascii="宋体" w:hAnsi="宋体" w:eastAsia="宋体" w:cs="Times New Roman"/>
          <w:sz w:val="24"/>
          <w:szCs w:val="24"/>
        </w:rPr>
      </w:pPr>
      <w:r/>
      <w:bookmarkStart w:id="515" w:name="_Toc104818930"/>
      <w:r/>
      <w:bookmarkStart w:id="516" w:name="_Toc26106"/>
      <w:r/>
      <w:bookmarkEnd w:id="510"/>
      <w:r/>
      <w:bookmarkEnd w:id="512"/>
      <w:r>
        <w:rPr>
          <w:rFonts w:ascii="宋体" w:hAnsi="宋体" w:eastAsia="宋体" w:cs="Times New Roman"/>
          <w:sz w:val="24"/>
          <w:szCs w:val="24"/>
        </w:rPr>
        <w:t xml:space="preserve">甲方：                                   合同编号</w:t>
      </w:r>
      <w:r>
        <w:rPr>
          <w:rFonts w:ascii="宋体" w:hAnsi="宋体" w:eastAsia="宋体" w:cs="Times New Roman"/>
          <w:b/>
          <w:sz w:val="24"/>
          <w:szCs w:val="24"/>
        </w:rPr>
        <w:t xml:space="preserve">：</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乙方：                                   签订地点：</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招标代理机构：常州金诚招投标有限公司     项目编号：     号</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合同时间：2026年    月    日</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根据常州金诚招投标有限公司2026年   月   日进行的</w:t>
      </w:r>
      <w:r>
        <w:rPr>
          <w:rFonts w:ascii="宋体" w:hAnsi="宋体" w:eastAsia="宋体" w:cs="Times New Roman"/>
          <w:sz w:val="24"/>
          <w:szCs w:val="24"/>
        </w:rPr>
        <w:t xml:space="preserve">JSZC-320411005-CZJC-G2026-0077</w:t>
      </w:r>
      <w:r>
        <w:rPr>
          <w:rFonts w:hint="eastAsia" w:ascii="宋体" w:hAnsi="宋体" w:eastAsia="宋体" w:cs="Times New Roman"/>
          <w:sz w:val="24"/>
          <w:szCs w:val="24"/>
        </w:rPr>
        <w:t xml:space="preserve">号公开招标</w:t>
      </w:r>
      <w:r>
        <w:rPr>
          <w:rFonts w:ascii="宋体" w:hAnsi="宋体" w:eastAsia="宋体" w:cs="Times New Roman"/>
          <w:sz w:val="24"/>
          <w:szCs w:val="24"/>
        </w:rPr>
        <w:t xml:space="preserve">，甲、乙二方就乙方成交的西夏墅镇水稻秸秆离田项目，本着平等互利的原则，通过共同协商，根据《中华人民共和国民法典》及有关法律法规，就相关事宜达成如下合同。</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一、合同内容</w:t>
      </w:r>
      <w:r/>
    </w:p>
    <w:p>
      <w:pPr>
        <w:jc w:val="left"/>
        <w:spacing w:line="360" w:lineRule="auto"/>
        <w:shd w:val="clear" w:color="auto" w:fill="ffffff"/>
        <w:rPr>
          <w:rFonts w:hint="eastAsia" w:ascii="宋体" w:hAnsi="宋体" w:eastAsia="宋体"/>
          <w:b/>
          <w:bCs/>
          <w:sz w:val="24"/>
          <w:szCs w:val="24"/>
        </w:rPr>
      </w:pPr>
      <w:r>
        <w:rPr>
          <w:rFonts w:ascii="宋体" w:hAnsi="宋体" w:eastAsia="宋体"/>
          <w:b/>
          <w:bCs/>
          <w:sz w:val="24"/>
          <w:szCs w:val="24"/>
        </w:rPr>
        <w:t xml:space="preserve">二、服务期限：</w:t>
      </w:r>
      <w:r/>
    </w:p>
    <w:p>
      <w:pP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三、合同文件构成</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通知书；</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（2）乙方的</w:t>
      </w:r>
      <w:r>
        <w:rPr>
          <w:rFonts w:hint="eastAsia" w:ascii="宋体" w:hAnsi="宋体" w:eastAsia="宋体" w:cs="Times New Roman"/>
          <w:sz w:val="24"/>
          <w:szCs w:val="24"/>
        </w:rPr>
        <w:t xml:space="preserve">投标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（3）乙方提交的其他资料及承诺；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公开招标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（5）最终报价及分项报价表；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（6）合同附件。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以上与本合同具有同等法律效力。</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四、项目经理</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指派       为乙方项目负责人，负责合同履行。按要求组织项目的运营，解决由乙方负责的各项事宜。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五、合同价格及费用结算</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1、合同价格：</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2、费用结算：</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六、主要成果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七、本合同生效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1、本合同经双方签字盖章，经代理机构鉴证盖章后生效。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2、合同在执行过程中出现的未尽事宜，双方在不违背本合同和采购文件的</w:t>
      </w:r>
      <w:r>
        <w:rPr>
          <w:rFonts w:ascii="宋体" w:hAnsi="宋体" w:eastAsia="宋体" w:cs="Times New Roman"/>
          <w:sz w:val="24"/>
          <w:szCs w:val="24"/>
        </w:rPr>
        <w:t xml:space="preserve">原则下协商解决，协商结果以书面形式盖章记录在案，作为本合同的附件，与本合同具有同等效力，但需向采购方提交二份备存。</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八、合同的解除和转让</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1、甲方和乙方协商一致，可以解除合同。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2、有下列情形之一，合同一方可以解除合同：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（1）因疫情等不可抗力因素致使活动取消的，不能实现合同目的，甲方有权解除合同，并不承担任何费用；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（2）因合同一方违约导致合同不能履行，另一方有权解除合同。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4、合同的部分和全部都不得转让。</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九、其它</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本合同未尽之处双方协商解决；如协商不成，双方同意由一方向合同履行地人民法院提起诉讼。</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十、附则</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1、合同份数：</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本合同一式五份，甲方两份，乙方两份，招标代理机构一份。</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2、未尽事宜：</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本合同未尽事宜应按《中华人民共和国民法典》以及其同相关法律、法规之规定解释。</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甲方：单位名称（章）：               乙方：单位名称（章）：</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                           单位地址：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法定代表人：                         法定代表人：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委托代理人：                         委托代理人：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                             经办人：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电  话：                             电  话：</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开户银行：</w:t>
      </w:r>
      <w:r>
        <w:rPr>
          <w:rFonts w:ascii="宋体" w:hAnsi="宋体" w:eastAsia="宋体" w:cs="Times New Roman"/>
          <w:sz w:val="24"/>
          <w:szCs w:val="24"/>
        </w:rPr>
        <w:tab/>
        <w:t xml:space="preserve">                       开户银行：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银行账号：                           银行账号：</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招标代理机构（见证方）（章）：常州金诚招投标有限公司</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单位地址：常州市新北区汉江路368号金城大厦1910室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spacing w:line="360" w:lineRule="auto"/>
        <w:rPr>
          <w:rFonts w:hint="eastAsia" w:ascii="宋体" w:hAnsi="宋体" w:eastAsia="宋体" w:cs="Times New Roman"/>
          <w:sz w:val="24"/>
          <w:szCs w:val="24"/>
        </w:rPr>
      </w:pPr>
      <w:r>
        <w:rPr>
          <w:rFonts w:ascii="宋体" w:hAnsi="宋体" w:eastAsia="宋体" w:cs="宋体"/>
          <w:b/>
          <w:bCs/>
          <w:sz w:val="24"/>
          <w:szCs w:val="20"/>
        </w:rPr>
        <w:t xml:space="preserve">注：上述格式及内容仅供参考，具体以甲方签订合同时内容为准</w:t>
      </w:r>
      <w:r/>
    </w:p>
    <w:p>
      <w:pPr>
        <w:pStyle w:val="705"/>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t xml:space="preserve">第七章 投标文件格式</w:t>
      </w:r>
      <w:bookmarkEnd w:id="515"/>
      <w:r/>
      <w:bookmarkEnd w:id="516"/>
      <w:r/>
      <w:r/>
    </w:p>
    <w:p>
      <w:pPr>
        <w:pStyle w:val="757"/>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757"/>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7"/>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57"/>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757"/>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九、我单位无以下不良信用记录情形：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吨）</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sz w:val="24"/>
              </w:rPr>
            </w:r>
            <w:r/>
          </w:p>
        </w:tc>
        <w:tc>
          <w:tcPr>
            <w:tcW w:w="1184"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jc w:val="left"/>
        <w:spacing w:line="360" w:lineRule="auto"/>
        <w:rPr>
          <w:b/>
          <w:bCs/>
          <w:sz w:val="24"/>
        </w:rPr>
      </w:pPr>
      <w:r>
        <w:rPr>
          <w:b/>
          <w:bCs/>
          <w:sz w:val="24"/>
        </w:rPr>
        <w:t xml:space="preserve">注：</w:t>
      </w:r>
      <w:r/>
    </w:p>
    <w:p>
      <w:pPr>
        <w:jc w:val="left"/>
        <w:spacing w:line="360" w:lineRule="auto"/>
        <w:rPr>
          <w:b/>
          <w:bCs/>
          <w:sz w:val="24"/>
          <w:szCs w:val="20"/>
        </w:rPr>
      </w:pPr>
      <w:r>
        <w:rPr>
          <w:b/>
          <w:bCs/>
          <w:sz w:val="24"/>
        </w:rPr>
        <w:t xml:space="preserve">1</w:t>
      </w:r>
      <w:r>
        <w:rPr>
          <w:b/>
          <w:bCs/>
          <w:sz w:val="24"/>
          <w:szCs w:val="20"/>
        </w:rPr>
        <w:t xml:space="preserve">.</w:t>
      </w:r>
      <w:r>
        <w:rPr>
          <w:b/>
          <w:bCs/>
          <w:sz w:val="24"/>
          <w:szCs w:val="20"/>
        </w:rPr>
        <w:t xml:space="preserve">本项目按单价结算，最高单价</w:t>
      </w:r>
      <w:r>
        <w:rPr>
          <w:rFonts w:hint="eastAsia"/>
          <w:b/>
          <w:bCs/>
          <w:sz w:val="24"/>
          <w:szCs w:val="20"/>
        </w:rPr>
        <w:t xml:space="preserve">限价</w:t>
      </w:r>
      <w:r>
        <w:rPr>
          <w:b/>
          <w:bCs/>
          <w:sz w:val="24"/>
          <w:szCs w:val="20"/>
        </w:rPr>
        <w:t xml:space="preserve">秸秆离田作业服务费不得高于</w:t>
      </w:r>
      <w:r>
        <w:rPr>
          <w:b/>
          <w:bCs/>
          <w:sz w:val="24"/>
          <w:szCs w:val="20"/>
        </w:rPr>
        <w:t xml:space="preserve"> 360</w:t>
      </w:r>
      <w:r>
        <w:rPr>
          <w:b/>
          <w:bCs/>
          <w:sz w:val="24"/>
          <w:szCs w:val="20"/>
        </w:rPr>
        <w:t xml:space="preserve">元</w:t>
      </w:r>
      <w:r>
        <w:rPr>
          <w:b/>
          <w:bCs/>
          <w:sz w:val="24"/>
          <w:szCs w:val="20"/>
        </w:rPr>
        <w:t xml:space="preserve">/</w:t>
      </w:r>
      <w:r>
        <w:rPr>
          <w:b/>
          <w:bCs/>
          <w:sz w:val="24"/>
          <w:szCs w:val="20"/>
        </w:rPr>
        <w:t xml:space="preserve">吨，否则视为无效投标。</w:t>
      </w:r>
      <w:r/>
    </w:p>
    <w:p>
      <w:pPr>
        <w:jc w:val="left"/>
        <w:spacing w:line="360" w:lineRule="auto"/>
        <w:rPr>
          <w:b/>
          <w:bCs/>
          <w:sz w:val="24"/>
          <w:szCs w:val="20"/>
        </w:rPr>
      </w:pPr>
      <w:r>
        <w:rPr>
          <w:rFonts w:hint="eastAsia"/>
          <w:b/>
          <w:bCs/>
          <w:sz w:val="24"/>
          <w:szCs w:val="20"/>
        </w:rPr>
        <w:t xml:space="preserve">2.</w:t>
      </w:r>
      <w:r>
        <w:rPr>
          <w:rFonts w:hint="eastAsia"/>
        </w:rPr>
        <w:t xml:space="preserve"> </w:t>
      </w:r>
      <w:r>
        <w:rPr>
          <w:b/>
          <w:bCs/>
          <w:sz w:val="24"/>
          <w:szCs w:val="20"/>
        </w:rPr>
        <w:t xml:space="preserve">采购人按结算价向中标单位支付合同款项。结算价</w:t>
      </w:r>
      <w:r>
        <w:rPr>
          <w:b/>
          <w:bCs/>
          <w:sz w:val="24"/>
          <w:szCs w:val="20"/>
        </w:rPr>
        <w:t xml:space="preserve">=</w:t>
      </w:r>
      <w:r>
        <w:rPr>
          <w:b/>
          <w:bCs/>
          <w:sz w:val="24"/>
          <w:szCs w:val="20"/>
        </w:rPr>
        <w:t xml:space="preserve">实际离田秸秆重量结算</w:t>
      </w:r>
      <w:r>
        <w:rPr>
          <w:b/>
          <w:bCs/>
          <w:sz w:val="24"/>
          <w:szCs w:val="20"/>
        </w:rPr>
        <w:t xml:space="preserve">*</w:t>
      </w:r>
      <w:r>
        <w:rPr>
          <w:b/>
          <w:bCs/>
          <w:sz w:val="24"/>
          <w:szCs w:val="20"/>
        </w:rPr>
        <w:t xml:space="preserve">秸秆离田作业服务费中标单价（元</w:t>
      </w:r>
      <w:r>
        <w:rPr>
          <w:b/>
          <w:bCs/>
          <w:sz w:val="24"/>
          <w:szCs w:val="20"/>
        </w:rPr>
        <w:t xml:space="preserve">/</w:t>
      </w:r>
      <w:r>
        <w:rPr>
          <w:b/>
          <w:bCs/>
          <w:sz w:val="24"/>
          <w:szCs w:val="20"/>
        </w:rPr>
        <w:t xml:space="preserve">吨），本项目按实际离田秸秆重量结算，结算总价不超过预算金额</w:t>
      </w:r>
      <w:r>
        <w:rPr>
          <w:b/>
          <w:bCs/>
          <w:sz w:val="24"/>
          <w:szCs w:val="20"/>
        </w:rPr>
        <w:t xml:space="preserve">120</w:t>
      </w:r>
      <w:r>
        <w:rPr>
          <w:b/>
          <w:bCs/>
          <w:sz w:val="24"/>
          <w:szCs w:val="20"/>
        </w:rPr>
        <w:t xml:space="preserve">万元。</w:t>
      </w:r>
      <w:r/>
    </w:p>
    <w:p>
      <w:pPr>
        <w:jc w:val="left"/>
        <w:spacing w:line="360" w:lineRule="auto"/>
        <w:rPr>
          <w:b/>
          <w:bCs/>
          <w:sz w:val="24"/>
          <w:szCs w:val="20"/>
        </w:rPr>
      </w:pPr>
      <w:r>
        <w:rPr>
          <w:b/>
          <w:bCs/>
          <w:sz w:val="24"/>
          <w:szCs w:val="20"/>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□无偏离（如无偏离，仅勾选无偏离即可）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“偏离情况”列应据实填写“正偏离”或“负偏离”。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 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无偏离（如无偏离，仅勾选无偏离即可）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716"/>
        <w:rPr>
          <w:rFonts w:hint="eastAsia"/>
        </w:rPr>
      </w:pPr>
      <w:r>
        <w:rPr>
          <w:rFonts w:hint="eastAsia"/>
        </w:rPr>
      </w:r>
      <w:r/>
    </w:p>
    <w:p>
      <w:pPr>
        <w:rPr>
          <w:sz w:val="24"/>
        </w:rPr>
      </w:pPr>
      <w:r>
        <w:rPr>
          <w:sz w:val="24"/>
        </w:rPr>
      </w:r>
      <w:r/>
    </w:p>
    <w:p>
      <w:pPr>
        <w:pStyle w:val="716"/>
        <w:rPr>
          <w:rFonts w:hint="eastAsia"/>
        </w:rPr>
      </w:pPr>
      <w:r>
        <w:rPr>
          <w:rFonts w:hint="eastAsia"/>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“偏离情况”列应据实填写“正偏离”、“负偏离”或“无偏离”。</w:t>
      </w:r>
      <w:r/>
    </w:p>
    <w:p>
      <w:pPr>
        <w:pStyle w:val="715"/>
      </w:pPr>
      <w:r/>
      <w:r/>
    </w:p>
    <w:p>
      <w:pPr>
        <w:pStyle w:val="716"/>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6）在货物采购项目中，投标人提供的货物既有中型企业制造货物，也有小微企业制造货物的，不享受小微企业扶持政策，不予价格扣除。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7）小微企业未提供声明函的，价格分评审将不予价格扣除。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1从业人员、营业收入、资产总额填报上一年度数据，无上一年度数据的新成立企业可不填报。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r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8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9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17" w:name="_Toc288738839"/>
      <w:r/>
      <w:bookmarkStart w:id="518"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10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17"/>
      <w:r/>
      <w:bookmarkEnd w:id="518"/>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11 招标文件要求提供或</w:t>
      </w:r>
      <w:bookmarkStart w:id="519" w:name="OLE_LINK3"/>
      <w:r>
        <w:rPr>
          <w:rFonts w:hint="eastAsia" w:ascii="宋体" w:hAnsi="宋体" w:eastAsia="宋体" w:cs="宋体"/>
          <w:sz w:val="24"/>
        </w:rPr>
        <w:t xml:space="preserve">投标人认为应附的其他材料</w:t>
      </w:r>
      <w:bookmarkEnd w:id="519"/>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20"/>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2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japaneseCounting"/>
      <w:pStyle w:val="787"/>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2"/>
    <w:uiPriority w:val="99"/>
  </w:style>
  <w:style w:type="character" w:styleId="44">
    <w:name w:val="Footer Char"/>
    <w:basedOn w:val="709"/>
    <w:link w:val="720"/>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20"/>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2">
    <w:name w:val="toc 3"/>
    <w:basedOn w:val="704"/>
    <w:next w:val="704"/>
    <w:uiPriority w:val="39"/>
    <w:unhideWhenUsed/>
    <w:pPr>
      <w:ind w:left="567"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12"/>
    <w:qFormat/>
    <w:pPr>
      <w:jc w:val="both"/>
      <w:widowControl w:val="off"/>
    </w:pPr>
    <w:rPr>
      <w:rFonts w:asciiTheme="minorHAnsi" w:hAnsiTheme="minorHAnsi" w:eastAsiaTheme="minorEastAsia" w:cstheme="minorBidi"/>
      <w:sz w:val="21"/>
      <w:szCs w:val="22"/>
    </w:rPr>
  </w:style>
  <w:style w:type="paragraph" w:styleId="705">
    <w:name w:val="Heading 1"/>
    <w:basedOn w:val="704"/>
    <w:next w:val="704"/>
    <w:link w:val="740"/>
    <w:uiPriority w:val="9"/>
    <w:qFormat/>
    <w:pPr>
      <w:jc w:val="center"/>
      <w:spacing w:line="360" w:lineRule="auto"/>
      <w:outlineLvl w:val="0"/>
    </w:pPr>
    <w:rPr>
      <w:b/>
      <w:sz w:val="36"/>
      <w:szCs w:val="36"/>
    </w:rPr>
  </w:style>
  <w:style w:type="paragraph" w:styleId="706">
    <w:name w:val="Heading 2"/>
    <w:basedOn w:val="704"/>
    <w:next w:val="704"/>
    <w:link w:val="74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751"/>
    <w:uiPriority w:val="9"/>
    <w:semiHidden/>
    <w:unhideWhenUsed/>
    <w:qFormat/>
    <w:pPr>
      <w:keepLines/>
      <w:keepNext/>
      <w:spacing w:before="260" w:after="260" w:line="416" w:lineRule="auto"/>
      <w:outlineLvl w:val="2"/>
    </w:pPr>
    <w:rPr>
      <w:b/>
      <w:bCs/>
      <w:sz w:val="32"/>
      <w:szCs w:val="32"/>
    </w:rPr>
  </w:style>
  <w:style w:type="paragraph" w:styleId="708">
    <w:name w:val="Heading 4"/>
    <w:basedOn w:val="704"/>
    <w:next w:val="704"/>
    <w:link w:val="78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customStyle="1">
    <w:name w:val="段"/>
    <w:next w:val="704"/>
    <w:qFormat/>
    <w:pPr>
      <w:ind w:firstLine="200"/>
      <w:jc w:val="both"/>
    </w:pPr>
    <w:rPr>
      <w:rFonts w:ascii="宋体" w:hAnsi="Calibri"/>
      <w:sz w:val="21"/>
      <w:szCs w:val="22"/>
    </w:rPr>
  </w:style>
  <w:style w:type="paragraph" w:styleId="713">
    <w:name w:val="Normal Indent"/>
    <w:basedOn w:val="704"/>
    <w:next w:val="704"/>
    <w:link w:val="752"/>
    <w:uiPriority w:val="99"/>
    <w:qFormat/>
    <w:pPr>
      <w:ind w:firstLine="420"/>
      <w:jc w:val="left"/>
    </w:pPr>
    <w:rPr>
      <w:rFonts w:ascii="宋体" w:hAnsi="Times New Roman" w:eastAsia="宋体" w:cs="Times New Roman"/>
      <w:sz w:val="24"/>
      <w:szCs w:val="24"/>
    </w:rPr>
  </w:style>
  <w:style w:type="paragraph" w:styleId="714">
    <w:name w:val="Document Map"/>
    <w:basedOn w:val="704"/>
    <w:link w:val="759"/>
    <w:uiPriority w:val="99"/>
    <w:semiHidden/>
    <w:unhideWhenUsed/>
    <w:qFormat/>
    <w:rPr>
      <w:rFonts w:ascii="宋体" w:eastAsia="宋体"/>
      <w:sz w:val="18"/>
      <w:szCs w:val="18"/>
    </w:rPr>
  </w:style>
  <w:style w:type="paragraph" w:styleId="715">
    <w:name w:val="annotation text"/>
    <w:basedOn w:val="704"/>
    <w:link w:val="747"/>
    <w:qFormat/>
    <w:pPr>
      <w:jc w:val="left"/>
    </w:pPr>
    <w:rPr>
      <w:rFonts w:ascii="Times New Roman" w:hAnsi="Times New Roman" w:eastAsia="宋体" w:cs="Times New Roman"/>
      <w:szCs w:val="24"/>
    </w:rPr>
  </w:style>
  <w:style w:type="paragraph" w:styleId="716">
    <w:name w:val="Body Text"/>
    <w:basedOn w:val="704"/>
    <w:next w:val="704"/>
    <w:link w:val="742"/>
    <w:qFormat/>
    <w:pPr>
      <w:spacing w:before="120" w:line="22" w:lineRule="atLeast"/>
      <w:tabs>
        <w:tab w:val="left" w:pos="567" w:leader="none"/>
      </w:tabs>
    </w:pPr>
    <w:rPr>
      <w:rFonts w:ascii="宋体" w:hAnsi="宋体" w:eastAsia="宋体" w:cs="Times New Roman"/>
      <w:sz w:val="24"/>
      <w:szCs w:val="24"/>
    </w:rPr>
  </w:style>
  <w:style w:type="paragraph" w:styleId="717">
    <w:name w:val="Body Text Indent"/>
    <w:basedOn w:val="704"/>
    <w:unhideWhenUsed/>
    <w:qFormat/>
    <w:pPr>
      <w:ind w:left="420"/>
      <w:spacing w:after="120"/>
    </w:pPr>
    <w:rPr>
      <w:rFonts w:eastAsia="Calibri"/>
      <w:sz w:val="20"/>
      <w:szCs w:val="20"/>
      <w:lang w:val="zh-CN"/>
    </w:rPr>
  </w:style>
  <w:style w:type="paragraph" w:styleId="718">
    <w:name w:val="Plain Text"/>
    <w:basedOn w:val="704"/>
    <w:link w:val="744"/>
    <w:qFormat/>
    <w:rPr>
      <w:rFonts w:hint="eastAsia" w:ascii="宋体" w:hAnsi="Courier New" w:eastAsia="宋体" w:cs="Times New Roman"/>
      <w:szCs w:val="20"/>
    </w:rPr>
  </w:style>
  <w:style w:type="paragraph" w:styleId="719">
    <w:name w:val="Balloon Text"/>
    <w:basedOn w:val="704"/>
    <w:link w:val="748"/>
    <w:uiPriority w:val="99"/>
    <w:semiHidden/>
    <w:unhideWhenUsed/>
    <w:qFormat/>
    <w:rPr>
      <w:sz w:val="18"/>
      <w:szCs w:val="18"/>
    </w:rPr>
  </w:style>
  <w:style w:type="paragraph" w:styleId="720">
    <w:name w:val="Footer"/>
    <w:basedOn w:val="704"/>
    <w:link w:val="739"/>
    <w:uiPriority w:val="99"/>
    <w:unhideWhenUsed/>
    <w:qFormat/>
    <w:pPr>
      <w:jc w:val="left"/>
      <w:tabs>
        <w:tab w:val="center" w:pos="4153" w:leader="none"/>
        <w:tab w:val="right" w:pos="8306" w:leader="none"/>
      </w:tabs>
    </w:pPr>
    <w:rPr>
      <w:sz w:val="18"/>
      <w:szCs w:val="18"/>
    </w:rPr>
  </w:style>
  <w:style w:type="paragraph" w:styleId="721">
    <w:name w:val="envelope return"/>
    <w:basedOn w:val="704"/>
    <w:qFormat/>
    <w:rPr>
      <w:rFonts w:ascii="Arial" w:hAnsi="Arial"/>
      <w:szCs w:val="24"/>
    </w:rPr>
  </w:style>
  <w:style w:type="paragraph" w:styleId="722">
    <w:name w:val="Header"/>
    <w:basedOn w:val="704"/>
    <w:link w:val="7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4"/>
    <w:next w:val="704"/>
    <w:uiPriority w:val="39"/>
    <w:unhideWhenUsed/>
    <w:qFormat/>
    <w:rPr>
      <w:rFonts w:ascii="宋体" w:hAnsi="宋体" w:eastAsia="宋体" w:cs="宋体"/>
      <w:b/>
      <w:sz w:val="32"/>
    </w:rPr>
  </w:style>
  <w:style w:type="paragraph" w:styleId="724">
    <w:name w:val="toc 4"/>
    <w:basedOn w:val="704"/>
    <w:next w:val="704"/>
    <w:uiPriority w:val="39"/>
    <w:semiHidden/>
    <w:unhideWhenUsed/>
    <w:qFormat/>
    <w:pPr>
      <w:ind w:left="1260"/>
    </w:pPr>
  </w:style>
  <w:style w:type="paragraph" w:styleId="725">
    <w:name w:val="toc 2"/>
    <w:basedOn w:val="704"/>
    <w:next w:val="704"/>
    <w:uiPriority w:val="39"/>
    <w:qFormat/>
    <w:pPr>
      <w:ind w:left="420"/>
    </w:pPr>
  </w:style>
  <w:style w:type="paragraph" w:styleId="726">
    <w:name w:val="Normal (Web)"/>
    <w:basedOn w:val="704"/>
    <w:link w:val="758"/>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7">
    <w:name w:val="annotation subject"/>
    <w:basedOn w:val="715"/>
    <w:next w:val="715"/>
    <w:link w:val="760"/>
    <w:uiPriority w:val="99"/>
    <w:unhideWhenUsed/>
    <w:qFormat/>
    <w:rPr>
      <w:rFonts w:asciiTheme="minorHAnsi" w:hAnsiTheme="minorHAnsi" w:eastAsiaTheme="minorEastAsia" w:cstheme="minorBidi"/>
      <w:b/>
      <w:bCs/>
      <w:szCs w:val="22"/>
    </w:rPr>
  </w:style>
  <w:style w:type="paragraph" w:styleId="728">
    <w:name w:val="Body Text First Indent 2"/>
    <w:basedOn w:val="717"/>
    <w:next w:val="704"/>
    <w:uiPriority w:val="99"/>
    <w:qFormat/>
    <w:pPr>
      <w:ind w:firstLine="420"/>
    </w:pPr>
    <w:rPr>
      <w:sz w:val="24"/>
    </w:rPr>
  </w:style>
  <w:style w:type="table" w:styleId="729">
    <w:name w:val="Table Grid"/>
    <w:basedOn w:val="71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0">
    <w:name w:val="Strong"/>
    <w:basedOn w:val="709"/>
    <w:uiPriority w:val="22"/>
    <w:qFormat/>
    <w:rPr>
      <w:rFonts w:ascii="Times New Roman" w:hAnsi="Times New Roman" w:eastAsia="宋体" w:cs="Times New Roman"/>
      <w:b/>
    </w:rPr>
  </w:style>
  <w:style w:type="character" w:styleId="731">
    <w:name w:val="FollowedHyperlink"/>
    <w:basedOn w:val="709"/>
    <w:qFormat/>
    <w:rPr>
      <w:color w:val="800080"/>
      <w:u w:val="single"/>
    </w:rPr>
  </w:style>
  <w:style w:type="character" w:styleId="732">
    <w:name w:val="Emphasis"/>
    <w:basedOn w:val="709"/>
    <w:uiPriority w:val="20"/>
    <w:qFormat/>
    <w:rPr>
      <w:i/>
      <w:iCs/>
    </w:rPr>
  </w:style>
  <w:style w:type="character" w:styleId="733">
    <w:name w:val="Hyperlink"/>
    <w:uiPriority w:val="99"/>
    <w:qFormat/>
    <w:rPr>
      <w:color w:val="0000ff"/>
      <w:u w:val="single"/>
    </w:rPr>
  </w:style>
  <w:style w:type="character" w:styleId="734">
    <w:name w:val="annotation reference"/>
    <w:basedOn w:val="709"/>
    <w:uiPriority w:val="99"/>
    <w:qFormat/>
    <w:rPr>
      <w:sz w:val="21"/>
      <w:szCs w:val="21"/>
    </w:rPr>
  </w:style>
  <w:style w:type="paragraph" w:styleId="735" w:customStyle="1">
    <w:name w:val="正文首行缩进 21"/>
    <w:basedOn w:val="736"/>
    <w:qFormat/>
    <w:pPr>
      <w:ind w:left="420" w:firstLine="420"/>
      <w:spacing w:after="120" w:line="480" w:lineRule="exact"/>
    </w:pPr>
    <w:rPr>
      <w:szCs w:val="20"/>
    </w:rPr>
  </w:style>
  <w:style w:type="paragraph" w:styleId="736" w:customStyle="1">
    <w:name w:val="正文文本缩进11"/>
    <w:basedOn w:val="704"/>
    <w:next w:val="704"/>
    <w:qFormat/>
    <w:pPr>
      <w:ind w:firstLine="570"/>
      <w:spacing w:line="360" w:lineRule="auto"/>
    </w:pPr>
    <w:rPr>
      <w:sz w:val="24"/>
    </w:rPr>
  </w:style>
  <w:style w:type="paragraph" w:styleId="737" w:customStyle="1">
    <w:name w:val="Default"/>
    <w:qFormat/>
    <w:pPr>
      <w:widowControl w:val="off"/>
    </w:pPr>
    <w:rPr>
      <w:rFonts w:ascii="宋体" w:cs="宋体" w:hAnsiTheme="minorHAnsi"/>
      <w:color w:val="000000"/>
      <w:sz w:val="24"/>
      <w:szCs w:val="24"/>
    </w:rPr>
  </w:style>
  <w:style w:type="character" w:styleId="738" w:customStyle="1">
    <w:name w:val="页眉 字符"/>
    <w:basedOn w:val="709"/>
    <w:link w:val="722"/>
    <w:uiPriority w:val="99"/>
    <w:qFormat/>
    <w:rPr>
      <w:sz w:val="18"/>
      <w:szCs w:val="18"/>
    </w:rPr>
  </w:style>
  <w:style w:type="character" w:styleId="739" w:customStyle="1">
    <w:name w:val="页脚 字符"/>
    <w:basedOn w:val="709"/>
    <w:link w:val="720"/>
    <w:uiPriority w:val="99"/>
    <w:qFormat/>
    <w:rPr>
      <w:sz w:val="18"/>
      <w:szCs w:val="18"/>
    </w:rPr>
  </w:style>
  <w:style w:type="character" w:styleId="740" w:customStyle="1">
    <w:name w:val="标题 1 字符1"/>
    <w:basedOn w:val="709"/>
    <w:link w:val="705"/>
    <w:uiPriority w:val="9"/>
    <w:qFormat/>
    <w:rPr>
      <w:b/>
      <w:sz w:val="36"/>
      <w:szCs w:val="36"/>
    </w:rPr>
  </w:style>
  <w:style w:type="character" w:styleId="741" w:customStyle="1">
    <w:name w:val="NormalCharacter"/>
    <w:basedOn w:val="709"/>
    <w:qFormat/>
  </w:style>
  <w:style w:type="character" w:styleId="742" w:customStyle="1">
    <w:name w:val="正文文本 字符"/>
    <w:basedOn w:val="709"/>
    <w:link w:val="716"/>
    <w:qFormat/>
    <w:rPr>
      <w:rFonts w:ascii="宋体" w:hAnsi="宋体" w:eastAsia="宋体" w:cs="Times New Roman"/>
      <w:sz w:val="24"/>
      <w:szCs w:val="24"/>
    </w:rPr>
  </w:style>
  <w:style w:type="character" w:styleId="743" w:customStyle="1">
    <w:name w:val="标题 2 字符1"/>
    <w:basedOn w:val="709"/>
    <w:link w:val="706"/>
    <w:uiPriority w:val="9"/>
    <w:semiHidden/>
    <w:qFormat/>
    <w:rPr>
      <w:rFonts w:asciiTheme="majorHAnsi" w:hAnsiTheme="majorHAnsi" w:eastAsiaTheme="majorEastAsia" w:cstheme="majorBidi"/>
      <w:b/>
      <w:bCs/>
      <w:sz w:val="32"/>
      <w:szCs w:val="32"/>
    </w:rPr>
  </w:style>
  <w:style w:type="character" w:styleId="744" w:customStyle="1">
    <w:name w:val="纯文本 字符"/>
    <w:basedOn w:val="709"/>
    <w:link w:val="718"/>
    <w:qFormat/>
    <w:rPr>
      <w:rFonts w:ascii="宋体" w:hAnsi="Courier New" w:eastAsia="宋体" w:cs="Times New Roman"/>
      <w:szCs w:val="20"/>
    </w:rPr>
  </w:style>
  <w:style w:type="paragraph" w:styleId="745">
    <w:name w:val="List Paragraph"/>
    <w:basedOn w:val="704"/>
    <w:link w:val="750"/>
    <w:uiPriority w:val="99"/>
    <w:qFormat/>
    <w:pPr>
      <w:ind w:firstLine="420"/>
    </w:pPr>
  </w:style>
  <w:style w:type="character" w:styleId="746" w:customStyle="1">
    <w:name w:val="批注文字 Char"/>
    <w:basedOn w:val="709"/>
    <w:uiPriority w:val="99"/>
    <w:qFormat/>
  </w:style>
  <w:style w:type="character" w:styleId="747" w:customStyle="1">
    <w:name w:val="批注文字 字符"/>
    <w:link w:val="715"/>
    <w:qFormat/>
    <w:rPr>
      <w:rFonts w:ascii="Times New Roman" w:hAnsi="Times New Roman" w:eastAsia="宋体" w:cs="Times New Roman"/>
      <w:szCs w:val="24"/>
    </w:rPr>
  </w:style>
  <w:style w:type="character" w:styleId="748" w:customStyle="1">
    <w:name w:val="批注框文本 字符"/>
    <w:basedOn w:val="709"/>
    <w:link w:val="719"/>
    <w:uiPriority w:val="99"/>
    <w:semiHidden/>
    <w:qFormat/>
    <w:rPr>
      <w:sz w:val="18"/>
      <w:szCs w:val="18"/>
    </w:rPr>
  </w:style>
  <w:style w:type="paragraph" w:styleId="749" w:customStyle="1">
    <w:name w:val="图例"/>
    <w:basedOn w:val="704"/>
    <w:qFormat/>
    <w:pPr>
      <w:jc w:val="center"/>
      <w:spacing w:before="120" w:after="120" w:line="360" w:lineRule="auto"/>
    </w:pPr>
    <w:rPr>
      <w:rFonts w:ascii="Times New Roman" w:hAnsi="Times New Roman" w:eastAsia="仿宋_GB2312" w:cs="Times New Roman"/>
      <w:b/>
      <w:sz w:val="24"/>
      <w:szCs w:val="20"/>
    </w:rPr>
  </w:style>
  <w:style w:type="character" w:styleId="750" w:customStyle="1">
    <w:name w:val="列表段落 字符1"/>
    <w:link w:val="745"/>
    <w:uiPriority w:val="34"/>
    <w:qFormat/>
  </w:style>
  <w:style w:type="character" w:styleId="751" w:customStyle="1">
    <w:name w:val="标题 3 字符"/>
    <w:basedOn w:val="709"/>
    <w:link w:val="707"/>
    <w:uiPriority w:val="9"/>
    <w:semiHidden/>
    <w:qFormat/>
    <w:rPr>
      <w:b/>
      <w:bCs/>
      <w:sz w:val="32"/>
      <w:szCs w:val="32"/>
    </w:rPr>
  </w:style>
  <w:style w:type="character" w:styleId="752" w:customStyle="1">
    <w:name w:val="正文缩进 字符"/>
    <w:link w:val="713"/>
    <w:uiPriority w:val="99"/>
    <w:qFormat/>
    <w:rPr>
      <w:rFonts w:ascii="宋体" w:hAnsi="Times New Roman" w:eastAsia="宋体" w:cs="Times New Roman"/>
      <w:sz w:val="24"/>
      <w:szCs w:val="24"/>
    </w:rPr>
  </w:style>
  <w:style w:type="paragraph" w:styleId="753" w:customStyle="1">
    <w:name w:val="Table Paragraph"/>
    <w:basedOn w:val="704"/>
    <w:uiPriority w:val="1"/>
    <w:qFormat/>
    <w:pPr>
      <w:jc w:val="left"/>
    </w:pPr>
    <w:rPr>
      <w:rFonts w:ascii="宋体" w:hAnsi="宋体" w:eastAsia="宋体" w:cs="宋体"/>
      <w:sz w:val="22"/>
      <w:lang w:eastAsia="en-US"/>
    </w:rPr>
  </w:style>
  <w:style w:type="paragraph" w:styleId="754" w:customStyle="1">
    <w:name w:val="179"/>
    <w:basedOn w:val="704"/>
    <w:qFormat/>
    <w:pPr>
      <w:ind w:firstLine="420"/>
    </w:pPr>
    <w:rPr>
      <w:rFonts w:ascii="Calibri" w:hAnsi="Calibri" w:eastAsia="宋体" w:cs="Times New Roman"/>
    </w:rPr>
  </w:style>
  <w:style w:type="paragraph" w:styleId="755" w:customStyle="1">
    <w:name w:val="成文日期"/>
    <w:basedOn w:val="704"/>
    <w:link w:val="756"/>
    <w:qFormat/>
    <w:pPr>
      <w:ind w:right="400" w:firstLine="200"/>
      <w:jc w:val="right"/>
      <w:spacing w:line="570" w:lineRule="exact"/>
    </w:pPr>
    <w:rPr>
      <w:rFonts w:ascii="仿宋_GB2312" w:hAnsi="Times New Roman" w:eastAsia="仿宋_GB2312" w:cs="Times New Roman"/>
      <w:sz w:val="32"/>
      <w:szCs w:val="20"/>
    </w:rPr>
  </w:style>
  <w:style w:type="character" w:styleId="756" w:customStyle="1">
    <w:name w:val="成文日期 Char"/>
    <w:link w:val="755"/>
    <w:qFormat/>
    <w:rPr>
      <w:rFonts w:ascii="仿宋_GB2312" w:hAnsi="Times New Roman" w:eastAsia="仿宋_GB2312" w:cs="Times New Roman"/>
      <w:sz w:val="32"/>
      <w:szCs w:val="20"/>
    </w:rPr>
  </w:style>
  <w:style w:type="paragraph" w:styleId="757" w:customStyle="1">
    <w:name w:val="Plain Text1"/>
    <w:next w:val="724"/>
    <w:qFormat/>
    <w:pPr>
      <w:jc w:val="both"/>
      <w:widowControl w:val="off"/>
    </w:pPr>
    <w:rPr>
      <w:rFonts w:ascii="宋体" w:hAnsi="宋体" w:eastAsia="楷体_GB2312"/>
      <w:sz w:val="26"/>
      <w:szCs w:val="22"/>
    </w:rPr>
  </w:style>
  <w:style w:type="character" w:styleId="758" w:customStyle="1">
    <w:name w:val="普通(网站) 字符1"/>
    <w:link w:val="726"/>
    <w:qFormat/>
    <w:rPr>
      <w:rFonts w:ascii="Arial Unicode MS" w:hAnsi="Arial Unicode MS" w:eastAsia="Arial Unicode MS" w:cs="Arial Unicode MS"/>
      <w:sz w:val="24"/>
      <w:szCs w:val="24"/>
    </w:rPr>
  </w:style>
  <w:style w:type="character" w:styleId="759" w:customStyle="1">
    <w:name w:val="文档结构图 字符"/>
    <w:basedOn w:val="709"/>
    <w:link w:val="714"/>
    <w:uiPriority w:val="99"/>
    <w:semiHidden/>
    <w:qFormat/>
    <w:rPr>
      <w:rFonts w:ascii="宋体" w:eastAsia="宋体"/>
      <w:sz w:val="18"/>
      <w:szCs w:val="18"/>
    </w:rPr>
  </w:style>
  <w:style w:type="character" w:styleId="760" w:customStyle="1">
    <w:name w:val="批注主题 字符"/>
    <w:basedOn w:val="747"/>
    <w:link w:val="727"/>
    <w:uiPriority w:val="99"/>
    <w:semiHidden/>
    <w:qFormat/>
    <w:rPr>
      <w:rFonts w:ascii="Times New Roman" w:hAnsi="Times New Roman" w:eastAsia="宋体" w:cs="Times New Roman"/>
      <w:b/>
      <w:bCs/>
      <w:szCs w:val="24"/>
    </w:rPr>
  </w:style>
  <w:style w:type="character" w:styleId="761" w:customStyle="1">
    <w:name w:val="正文缩进 Char1"/>
    <w:uiPriority w:val="99"/>
    <w:qFormat/>
    <w:rPr>
      <w:rFonts w:ascii="宋体" w:eastAsia="宋体"/>
      <w:sz w:val="24"/>
      <w:szCs w:val="24"/>
      <w:lang w:val="en-US" w:eastAsia="zh-CN" w:bidi="ar-SA"/>
    </w:rPr>
  </w:style>
  <w:style w:type="paragraph" w:styleId="762" w:customStyle="1">
    <w:name w:val="列表段落1"/>
    <w:basedOn w:val="704"/>
    <w:qFormat/>
    <w:pPr>
      <w:ind w:firstLine="420"/>
      <w:jc w:val="left"/>
    </w:pPr>
    <w:rPr>
      <w:rFonts w:ascii="Calibri" w:hAnsi="Calibri" w:eastAsia="宋体" w:cs="Times New Roman"/>
      <w:sz w:val="20"/>
      <w:szCs w:val="20"/>
    </w:rPr>
  </w:style>
  <w:style w:type="paragraph" w:styleId="763" w:customStyle="1">
    <w:name w:val="p0"/>
    <w:basedOn w:val="704"/>
    <w:qFormat/>
    <w:pPr>
      <w:widowControl/>
    </w:pPr>
    <w:rPr>
      <w:rFonts w:ascii="Calibri" w:hAnsi="Calibri" w:eastAsia="宋体" w:cs="Times New Roman"/>
      <w:szCs w:val="24"/>
    </w:rPr>
  </w:style>
  <w:style w:type="character" w:styleId="764" w:customStyle="1">
    <w:name w:val="标题 2 字符"/>
    <w:qFormat/>
    <w:rPr>
      <w:rFonts w:ascii="Arial" w:hAnsi="Arial" w:eastAsia="黑体"/>
      <w:b/>
      <w:sz w:val="30"/>
      <w:lang w:val="en-US" w:eastAsia="zh-CN" w:bidi="ar-SA"/>
    </w:rPr>
  </w:style>
  <w:style w:type="character" w:styleId="765" w:customStyle="1">
    <w:name w:val="列表段落 字符"/>
    <w:link w:val="766"/>
    <w:uiPriority w:val="34"/>
    <w:qFormat/>
    <w:rPr>
      <w:rFonts w:ascii="Calibri" w:hAnsi="Calibri" w:eastAsia="宋体"/>
      <w:sz w:val="21"/>
      <w:szCs w:val="22"/>
      <w:lang w:val="en-US" w:eastAsia="zh-CN" w:bidi="ar-SA"/>
    </w:rPr>
  </w:style>
  <w:style w:type="paragraph" w:styleId="766" w:customStyle="1">
    <w:name w:val="_Style 50"/>
    <w:basedOn w:val="704"/>
    <w:next w:val="745"/>
    <w:link w:val="765"/>
    <w:uiPriority w:val="34"/>
    <w:qFormat/>
    <w:pPr>
      <w:ind w:firstLine="420"/>
    </w:pPr>
    <w:rPr>
      <w:rFonts w:ascii="Calibri" w:hAnsi="Calibri" w:eastAsia="宋体"/>
    </w:rPr>
  </w:style>
  <w:style w:type="character" w:styleId="767" w:customStyle="1">
    <w:name w:val="批注主题 Char1"/>
    <w:uiPriority w:val="99"/>
    <w:semiHidden/>
    <w:qFormat/>
    <w:rPr>
      <w:b/>
      <w:bCs/>
      <w:sz w:val="21"/>
      <w:szCs w:val="24"/>
    </w:rPr>
  </w:style>
  <w:style w:type="character" w:styleId="768" w:customStyle="1">
    <w:name w:val="纯文本 字符2"/>
    <w:qFormat/>
    <w:rPr>
      <w:rFonts w:hint="eastAsia" w:ascii="宋体" w:hAnsi="Courier New" w:eastAsia="宋体" w:cs="宋体"/>
      <w:sz w:val="21"/>
    </w:rPr>
  </w:style>
  <w:style w:type="character" w:styleId="769" w:customStyle="1">
    <w:name w:val="普通(网站) 字符"/>
    <w:uiPriority w:val="99"/>
    <w:qFormat/>
    <w:rPr>
      <w:rFonts w:ascii="宋体" w:hAnsi="宋体" w:cs="宋体"/>
      <w:sz w:val="24"/>
      <w:szCs w:val="24"/>
    </w:rPr>
  </w:style>
  <w:style w:type="character" w:styleId="770" w:customStyle="1">
    <w:name w:val="标题 1 字符"/>
    <w:qFormat/>
    <w:rPr>
      <w:rFonts w:ascii="宋体"/>
      <w:b/>
      <w:sz w:val="32"/>
    </w:rPr>
  </w:style>
  <w:style w:type="paragraph" w:styleId="771" w:customStyle="1">
    <w:name w:val="修订1"/>
    <w:hidden/>
    <w:uiPriority w:val="99"/>
    <w:unhideWhenUsed/>
    <w:qFormat/>
    <w:rPr>
      <w:rFonts w:asciiTheme="minorHAnsi" w:hAnsiTheme="minorHAnsi" w:eastAsiaTheme="minorEastAsia" w:cstheme="minorBidi"/>
      <w:sz w:val="21"/>
      <w:szCs w:val="22"/>
    </w:rPr>
  </w:style>
  <w:style w:type="paragraph" w:styleId="772" w:customStyle="1">
    <w:name w:val="标题 21"/>
    <w:basedOn w:val="704"/>
    <w:next w:val="704"/>
    <w:qFormat/>
    <w:pPr>
      <w:jc w:val="center"/>
      <w:keepLines/>
      <w:keepNext/>
      <w:spacing w:before="260" w:after="260" w:line="416" w:lineRule="auto"/>
      <w:outlineLvl w:val="1"/>
    </w:pPr>
    <w:rPr>
      <w:rFonts w:ascii="幼圆" w:hAnsi="Arial" w:eastAsia="楷体_GB2312"/>
      <w:b/>
      <w:sz w:val="44"/>
      <w:szCs w:val="20"/>
    </w:rPr>
  </w:style>
  <w:style w:type="paragraph" w:styleId="773" w:customStyle="1">
    <w:name w:val="UserStyle_80"/>
    <w:basedOn w:val="704"/>
    <w:next w:val="704"/>
    <w:qFormat/>
    <w:pPr>
      <w:ind w:firstLine="420"/>
      <w:widowControl/>
    </w:pPr>
    <w:rPr>
      <w:rFonts w:ascii="Times New Roman" w:hAnsi="Times New Roman" w:eastAsia="宋体" w:cs="Times New Roman"/>
      <w:sz w:val="24"/>
      <w:szCs w:val="20"/>
    </w:rPr>
  </w:style>
  <w:style w:type="character" w:styleId="774" w:customStyle="1">
    <w:name w:val="Heading 3 Char"/>
    <w:basedOn w:val="709"/>
    <w:uiPriority w:val="9"/>
    <w:qFormat/>
    <w:rPr>
      <w:rFonts w:ascii="Arial" w:hAnsi="Arial" w:eastAsia="Arial" w:cs="Arial"/>
      <w:sz w:val="30"/>
      <w:szCs w:val="30"/>
    </w:rPr>
  </w:style>
  <w:style w:type="paragraph" w:styleId="775" w:customStyle="1">
    <w:name w:val="**"/>
    <w:basedOn w:val="706"/>
    <w:qFormat/>
    <w:pPr>
      <w:spacing w:before="120" w:after="120" w:line="320" w:lineRule="exact"/>
      <w:tabs>
        <w:tab w:val="left" w:pos="900" w:leader="none"/>
      </w:tabs>
    </w:pPr>
    <w:rPr>
      <w:rFonts w:ascii="Arial" w:hAnsi="Arial" w:eastAsia="黑体"/>
      <w:sz w:val="28"/>
      <w:szCs w:val="28"/>
      <w:lang w:val="en-GB"/>
    </w:rPr>
  </w:style>
  <w:style w:type="paragraph" w:styleId="776" w:customStyle="1">
    <w:name w:val="表格"/>
    <w:basedOn w:val="704"/>
    <w:qFormat/>
    <w:pPr>
      <w:jc w:val="center"/>
    </w:pPr>
    <w:rPr>
      <w:rFonts w:ascii="Times New Roman" w:hAnsi="Times New Roman" w:cs="Times New Roman"/>
      <w:szCs w:val="24"/>
    </w:rPr>
  </w:style>
  <w:style w:type="paragraph" w:styleId="777" w:customStyle="1">
    <w:name w:val="文档结构图1"/>
    <w:qFormat/>
    <w:pPr>
      <w:jc w:val="both"/>
      <w:shd w:val="clear" w:color="auto" w:fill="000080"/>
      <w:widowControl w:val="off"/>
    </w:pPr>
    <w:rPr>
      <w:sz w:val="21"/>
    </w:rPr>
  </w:style>
  <w:style w:type="paragraph" w:styleId="778" w:customStyle="1">
    <w:name w:val="正文文本1"/>
    <w:basedOn w:val="704"/>
    <w:qFormat/>
    <w:pPr>
      <w:spacing w:after="120"/>
    </w:pPr>
  </w:style>
  <w:style w:type="paragraph" w:styleId="779" w:customStyle="1">
    <w:name w:val="pt-ad"/>
    <w:basedOn w:val="704"/>
    <w:qFormat/>
    <w:pPr>
      <w:jc w:val="left"/>
      <w:spacing w:before="100" w:beforeAutospacing="1" w:after="100" w:afterAutospacing="1"/>
      <w:widowControl/>
    </w:pPr>
    <w:rPr>
      <w:rFonts w:ascii="宋体" w:hAnsi="宋体" w:eastAsia="宋体" w:cs="宋体"/>
      <w:sz w:val="24"/>
    </w:rPr>
  </w:style>
  <w:style w:type="character" w:styleId="780" w:customStyle="1">
    <w:name w:val="pt-a0-000020"/>
    <w:basedOn w:val="709"/>
    <w:qFormat/>
  </w:style>
  <w:style w:type="paragraph" w:styleId="781" w:customStyle="1">
    <w:name w:val="pt-a-000025"/>
    <w:basedOn w:val="704"/>
    <w:qFormat/>
    <w:pPr>
      <w:jc w:val="left"/>
      <w:spacing w:before="100" w:beforeAutospacing="1" w:after="100" w:afterAutospacing="1"/>
      <w:widowControl/>
    </w:pPr>
    <w:rPr>
      <w:rFonts w:ascii="宋体" w:hAnsi="宋体" w:eastAsia="宋体" w:cs="宋体"/>
      <w:sz w:val="24"/>
    </w:rPr>
  </w:style>
  <w:style w:type="character" w:styleId="782" w:customStyle="1">
    <w:name w:val="pt-a0-000004"/>
    <w:basedOn w:val="709"/>
    <w:qFormat/>
  </w:style>
  <w:style w:type="character" w:styleId="783" w:customStyle="1">
    <w:name w:val="pt-a0-000005"/>
    <w:basedOn w:val="709"/>
    <w:qFormat/>
  </w:style>
  <w:style w:type="paragraph" w:styleId="784" w:customStyle="1">
    <w:name w:val="Table Text"/>
    <w:basedOn w:val="704"/>
    <w:qFormat/>
    <w:pPr>
      <w:jc w:val="left"/>
    </w:pPr>
    <w:rPr>
      <w:rFonts w:hint="eastAsia" w:ascii="宋体" w:hAnsi="宋体" w:eastAsia="宋体" w:cs="Times New Roman"/>
      <w:color w:val="000000"/>
      <w:sz w:val="26"/>
      <w:szCs w:val="26"/>
    </w:rPr>
  </w:style>
  <w:style w:type="paragraph" w:styleId="785" w:customStyle="1">
    <w:name w:val="列出段落"/>
    <w:basedOn w:val="704"/>
    <w:uiPriority w:val="34"/>
    <w:qFormat/>
    <w:pPr>
      <w:ind w:firstLine="420"/>
    </w:pPr>
    <w:rPr>
      <w:rFonts w:ascii="Calibri" w:hAnsi="Calibri" w:eastAsia="宋体" w:cs="Times New Roman"/>
    </w:rPr>
  </w:style>
  <w:style w:type="character" w:styleId="786" w:customStyle="1">
    <w:name w:val="标题 4 字符"/>
    <w:basedOn w:val="709"/>
    <w:link w:val="708"/>
    <w:uiPriority w:val="9"/>
    <w:semiHidden/>
    <w:qFormat/>
    <w:rPr>
      <w:rFonts w:asciiTheme="majorHAnsi" w:hAnsiTheme="majorHAnsi" w:eastAsiaTheme="majorEastAsia" w:cstheme="majorBidi"/>
      <w:b/>
      <w:bCs/>
      <w:sz w:val="28"/>
      <w:szCs w:val="28"/>
    </w:rPr>
  </w:style>
  <w:style w:type="paragraph" w:styleId="787" w:customStyle="1">
    <w:name w:val="二级目录"/>
    <w:basedOn w:val="704"/>
    <w:next w:val="704"/>
    <w:qFormat/>
    <w:pPr>
      <w:numPr>
        <w:numId w:val="1"/>
      </w:numPr>
      <w:jc w:val="left"/>
      <w:widowControl/>
      <w:tabs>
        <w:tab w:val="left" w:pos="720" w:leader="none"/>
      </w:tabs>
      <w:outlineLvl w:val="1"/>
    </w:pPr>
    <w:rPr>
      <w:rFonts w:ascii="Calibri" w:hAnsi="Calibri" w:eastAsia="宋体" w:cs="Times New Roman"/>
      <w:b/>
      <w:bCs/>
      <w:sz w:val="28"/>
      <w:szCs w:val="28"/>
    </w:rPr>
  </w:style>
  <w:style w:type="paragraph" w:styleId="788" w:customStyle="1">
    <w:name w:val="修订2"/>
    <w:hidden/>
    <w:uiPriority w:val="99"/>
    <w:unhideWhenUsed/>
    <w:qFormat/>
    <w:rPr>
      <w:rFonts w:asciiTheme="minorHAnsi" w:hAnsiTheme="minorHAnsi" w:eastAsiaTheme="minorEastAsia" w:cstheme="minorBidi"/>
      <w:sz w:val="21"/>
      <w:szCs w:val="22"/>
    </w:rPr>
  </w:style>
  <w:style w:type="paragraph" w:styleId="789">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1321</cp:revision>
  <dcterms:created xsi:type="dcterms:W3CDTF">2024-01-01T02:41:00Z</dcterms:created>
  <dcterms:modified xsi:type="dcterms:W3CDTF">2026-11-03T08:25:01Z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E87508ACAB5747ECB2CE65351C808C55_13</vt:lpwstr>
  </property>
  <property fmtid="{D5CDD505-2E9C-101B-9397-08002B2CF9AE}" pid="4" name="KSOTemplateDocerSaveRecord">
    <vt:lpwstr>eyJoZGlkIjoiNTBmZTYyOGQzNjUzMjQxYzA1ZDM1ZjVmNjgxYzM3ZDYiLCJ1c2VySWQiOiI0ODM3NjMzNzYifQ==</vt:lpwstr>
  </property>
</Properties>
</file>