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6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竞争性磋商文件</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6"/>
          <w:sz w:val="30"/>
        </w:rPr>
        <w:t xml:space="preserve">项目名称：江苏省</w:t>
      </w:r>
      <w:r>
        <w:rPr>
          <w:rFonts w:ascii="Times New Roman" w:hAnsi="Times New Roman" w:eastAsia="Times New Roman" w:cs="Times New Roman"/>
          <w:color w:val="000000"/>
          <w:spacing w:val="-6"/>
          <w:sz w:val="30"/>
        </w:rPr>
        <w:t xml:space="preserve">“</w:t>
      </w:r>
      <w:r>
        <w:rPr>
          <w:rFonts w:ascii="SimHei" w:hAnsi="SimHei" w:eastAsia="SimHei" w:cs="SimHei"/>
          <w:color w:val="000000"/>
          <w:spacing w:val="-6"/>
          <w:sz w:val="30"/>
        </w:rPr>
        <w:t xml:space="preserve">智慧残联</w:t>
      </w:r>
      <w:r>
        <w:rPr>
          <w:rFonts w:ascii="Times New Roman" w:hAnsi="Times New Roman" w:eastAsia="Times New Roman" w:cs="Times New Roman"/>
          <w:color w:val="000000"/>
          <w:spacing w:val="-6"/>
          <w:sz w:val="30"/>
        </w:rPr>
        <w:t xml:space="preserve">”</w:t>
      </w:r>
      <w:r>
        <w:rPr>
          <w:rFonts w:ascii="SimHei" w:hAnsi="SimHei" w:eastAsia="SimHei" w:cs="SimHei"/>
          <w:color w:val="000000"/>
          <w:spacing w:val="-6"/>
          <w:sz w:val="30"/>
        </w:rPr>
        <w:t xml:space="preserve">信息化平台国产化适配改造项目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项目编号：</w:t>
      </w:r>
      <w:r>
        <w:rPr>
          <w:rFonts w:ascii="Times New Roman" w:hAnsi="Times New Roman" w:eastAsia="Times New Roman" w:cs="Times New Roman"/>
          <w:color w:val="000000"/>
          <w:sz w:val="30"/>
        </w:rPr>
        <w:t xml:space="preserve">JSZC-320000-SCZX-C2026-0520              </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line="6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line="6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line="6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江苏省政府采购中心</w:t>
      </w:r>
      <w:r/>
    </w:p>
    <w:p>
      <w:pPr>
        <w:ind w:left="0" w:right="0" w:firstLine="0"/>
        <w:jc w:val="center"/>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2026</w:t>
      </w:r>
      <w:r>
        <w:rPr>
          <w:rFonts w:ascii="SimHei" w:hAnsi="SimHei" w:eastAsia="SimHei" w:cs="SimHei"/>
          <w:color w:val="000000"/>
          <w:sz w:val="28"/>
        </w:rPr>
        <w:t xml:space="preserve">年</w:t>
      </w: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7202" w:history="1">
        <w:r>
          <w:rPr>
            <w:rStyle w:val="782"/>
            <w:rFonts w:ascii="SimHei" w:hAnsi="SimHei" w:eastAsia="SimHei" w:cs="SimHei"/>
            <w:color w:val="0000ee"/>
            <w:sz w:val="28"/>
            <w:u w:val="single"/>
          </w:rPr>
          <w:t xml:space="preserve">第一章磋商邀请</w:t>
        </w:r>
        <w:r>
          <w:rPr>
            <w:rStyle w:val="782"/>
            <w:rFonts w:ascii="Times New Roman" w:hAnsi="Times New Roman" w:eastAsia="Times New Roman" w:cs="Times New Roman"/>
            <w:color w:val="0000ee"/>
            <w:sz w:val="28"/>
            <w:u w:val="none"/>
          </w:rPr>
          <w:t xml:space="preserve">3</w:t>
        </w:r>
      </w:hyperlink>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0008" w:history="1">
        <w:r>
          <w:rPr>
            <w:rStyle w:val="782"/>
            <w:rFonts w:ascii="SimHei" w:hAnsi="SimHei" w:eastAsia="SimHei" w:cs="SimHei"/>
            <w:color w:val="0000ee"/>
            <w:sz w:val="28"/>
            <w:u w:val="single"/>
          </w:rPr>
          <w:t xml:space="preserve">第二章供应商须知</w:t>
        </w:r>
        <w:r>
          <w:rPr>
            <w:rStyle w:val="782"/>
            <w:rFonts w:ascii="Times New Roman" w:hAnsi="Times New Roman" w:eastAsia="Times New Roman" w:cs="Times New Roman"/>
            <w:color w:val="0000ee"/>
            <w:sz w:val="28"/>
            <w:u w:val="none"/>
          </w:rPr>
          <w:t xml:space="preserve">6</w:t>
        </w:r>
      </w:hyperlink>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0632" w:history="1">
        <w:r>
          <w:rPr>
            <w:rStyle w:val="782"/>
            <w:rFonts w:ascii="SimHei" w:hAnsi="SimHei" w:eastAsia="SimHei" w:cs="SimHei"/>
            <w:color w:val="0000ee"/>
            <w:sz w:val="28"/>
            <w:u w:val="single"/>
          </w:rPr>
          <w:t xml:space="preserve">第三章合同文本</w:t>
        </w:r>
        <w:r>
          <w:rPr>
            <w:rStyle w:val="782"/>
            <w:rFonts w:ascii="Times New Roman" w:hAnsi="Times New Roman" w:eastAsia="Times New Roman" w:cs="Times New Roman"/>
            <w:color w:val="0000ee"/>
            <w:sz w:val="28"/>
            <w:u w:val="none"/>
          </w:rPr>
          <w:t xml:space="preserve">18</w:t>
        </w:r>
      </w:hyperlink>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3346" w:history="1">
        <w:r>
          <w:rPr>
            <w:rStyle w:val="782"/>
            <w:rFonts w:ascii="SimHei" w:hAnsi="SimHei" w:eastAsia="SimHei" w:cs="SimHei"/>
            <w:color w:val="0000ee"/>
            <w:sz w:val="28"/>
            <w:u w:val="single"/>
          </w:rPr>
          <w:t xml:space="preserve">第四章采购需求</w:t>
        </w:r>
        <w:r>
          <w:rPr>
            <w:rStyle w:val="782"/>
            <w:rFonts w:ascii="Times New Roman" w:hAnsi="Times New Roman" w:eastAsia="Times New Roman" w:cs="Times New Roman"/>
            <w:color w:val="0000ee"/>
            <w:sz w:val="28"/>
            <w:u w:val="none"/>
          </w:rPr>
          <w:t xml:space="preserve">22</w:t>
        </w:r>
      </w:hyperlink>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0998" w:history="1">
        <w:r>
          <w:rPr>
            <w:rStyle w:val="782"/>
            <w:rFonts w:ascii="SimHei" w:hAnsi="SimHei" w:eastAsia="SimHei" w:cs="SimHei"/>
            <w:color w:val="0000ee"/>
            <w:sz w:val="28"/>
            <w:u w:val="single"/>
          </w:rPr>
          <w:t xml:space="preserve">第五章评审方法与评审标准</w:t>
        </w:r>
        <w:r>
          <w:rPr>
            <w:rStyle w:val="782"/>
            <w:rFonts w:ascii="Times New Roman" w:hAnsi="Times New Roman" w:eastAsia="Times New Roman" w:cs="Times New Roman"/>
            <w:color w:val="0000ee"/>
            <w:sz w:val="28"/>
            <w:u w:val="none"/>
          </w:rPr>
          <w:t xml:space="preserve">60</w:t>
        </w:r>
      </w:hyperlink>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6070" w:history="1">
        <w:r>
          <w:rPr>
            <w:rStyle w:val="782"/>
            <w:rFonts w:ascii="SimHei" w:hAnsi="SimHei" w:eastAsia="SimHei" w:cs="SimHei"/>
            <w:color w:val="0000ee"/>
            <w:sz w:val="28"/>
            <w:u w:val="single"/>
          </w:rPr>
          <w:t xml:space="preserve">第六章响应文件格式</w:t>
        </w:r>
        <w:r>
          <w:rPr>
            <w:rStyle w:val="782"/>
            <w:rFonts w:ascii="Times New Roman" w:hAnsi="Times New Roman" w:eastAsia="Times New Roman" w:cs="Times New Roman"/>
            <w:color w:val="0000ee"/>
            <w:sz w:val="28"/>
            <w:u w:val="none"/>
          </w:rPr>
          <w:t xml:space="preserve">68</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第一章磋商邀请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受江苏省残疾人联合会的委托，江苏省政府采购中心就江苏省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智慧残联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信息化平台国产化适配改造</w:t>
      </w:r>
      <w:r>
        <w:rPr>
          <w:rFonts w:ascii="Times New Roman" w:hAnsi="Times New Roman" w:eastAsia="Times New Roman" w:cs="Times New Roman"/>
          <w:color w:val="000000"/>
          <w:sz w:val="28"/>
        </w:rPr>
        <w:t xml:space="preserve">(JSZC-320000-SCZX-C2026-0520)</w:t>
      </w:r>
      <w:r>
        <w:rPr>
          <w:rFonts w:ascii="FangSong" w:hAnsi="FangSong" w:eastAsia="FangSong" w:cs="FangSong"/>
          <w:color w:val="000000"/>
          <w:sz w:val="28"/>
        </w:rPr>
        <w:t xml:space="preserve">项目进行竞争性磋商采购，欢迎符合条件的供应商参加磋商。</w:t>
      </w:r>
      <w:r/>
    </w:p>
    <w:p>
      <w:pPr>
        <w:ind w:left="0" w:right="0" w:firstLine="56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江苏省</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智慧残联</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信息化平台国产化适配改造</w:t>
      </w:r>
      <w:r>
        <w:rPr>
          <w:rFonts w:ascii="FangSong" w:hAnsi="FangSong" w:eastAsia="FangSong" w:cs="FangSong"/>
          <w:color w:val="000000"/>
          <w:sz w:val="28"/>
        </w:rPr>
        <w:t xml:space="preserve">竞争性磋商项目的潜在供应商可在</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江苏政府采购网</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自行免费下载</w:t>
      </w:r>
      <w:r>
        <w:rPr>
          <w:rFonts w:ascii="FangSong" w:hAnsi="FangSong" w:eastAsia="FangSong" w:cs="FangSong"/>
          <w:color w:val="000000"/>
          <w:sz w:val="28"/>
        </w:rPr>
        <w:t xml:space="preserve">磋商文件，并于</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月13</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09</w:t>
      </w:r>
      <w:r>
        <w:rPr>
          <w:rFonts w:ascii="FangSong" w:hAnsi="FangSong" w:eastAsia="FangSong" w:cs="FangSong"/>
          <w:color w:val="000000"/>
          <w:sz w:val="28"/>
        </w:rPr>
        <w:t xml:space="preserve">时</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分（北京时间）前递交响应文件。</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一、项目基本情况</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采购编号：</w:t>
      </w:r>
      <w:r>
        <w:rPr>
          <w:rFonts w:ascii="Times New Roman" w:hAnsi="Times New Roman" w:eastAsia="Times New Roman" w:cs="Times New Roman"/>
          <w:color w:val="000000"/>
          <w:sz w:val="28"/>
        </w:rPr>
        <w:t xml:space="preserve">JSZC-320000-SCZX-C2026-0520</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项目名称：江苏省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智慧残联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信息化平台国产化适配改造</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预算金额</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2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采购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预算金额</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5" w:type="dxa"/>
            <w:vAlign w:val="top"/>
            <w:textDirection w:val="lrTb"/>
            <w:noWrap w:val="false"/>
          </w:tcPr>
          <w:p>
            <w:pPr>
              <w:ind w:left="0" w:right="0" w:firstLine="1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w:t>
            </w:r>
            <w:r/>
          </w:p>
        </w:tc>
      </w:tr>
    </w:tbl>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最高限价</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8"/>
        <w:gridCol w:w="2934"/>
        <w:gridCol w:w="29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采购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是否设定最高限价（是/</w:t>
            </w:r>
            <w:r>
              <w:rPr>
                <w:rFonts w:ascii="FangSong" w:hAnsi="FangSong" w:eastAsia="FangSong" w:cs="FangSong"/>
                <w:color w:val="000000"/>
                <w:sz w:val="28"/>
              </w:rPr>
              <w:t xml:space="preserve">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最高限价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w:t>
            </w:r>
            <w:r/>
          </w:p>
        </w:tc>
      </w:tr>
    </w:tbl>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采购需求（简介）：对江苏省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智慧残联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信息化平台进行全栈国产化适配改造，主要包括：对现有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一中心四平台</w:t>
      </w: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个业务子系统进行源代码级适配，确保在国产操作系统、数据库、中间件及浏览器环境下功能完整、性能达标；完成国密算法应用适配，确保满足等保三级及密评三级合规要求；完成历史数据全面平稳迁移。（详细内容见本采购文件第四章）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合同履行期限：自合同签订之日起十个月</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二、申请人的资格要求：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u w:val="none"/>
        </w:rPr>
        <w:t xml:space="preserve">（一）通用资格要求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满足《中华人民共和国政府采购法》第二十二条规定，并提供下列材料：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 </w:t>
      </w:r>
      <w:r>
        <w:rPr>
          <w:rFonts w:ascii="FangSong" w:hAnsi="FangSong" w:eastAsia="FangSong" w:cs="FangSong"/>
          <w:color w:val="000000"/>
          <w:sz w:val="28"/>
        </w:rPr>
        <w:t xml:space="preserve">法人或者其他组织的营业执照等证明文件，自然人的身份证明；</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上一年度的财务状况报告（成立不满一年无需提供）；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具备履行合同所必需的设备和专业技术能力的书面声明；</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参加政府采购活动前</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年内在经营活动中没有重大违法记录的书面声明。</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落实政府采购政策需满足的资格要求：无</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本项目不接受联合体参与磋商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（二）本项目的特定资格要求：无</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三、获取磋商文件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时间：自磋商文件公告发布之日起</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方式：在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自行免费下载磋商文件。</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四、提交响应文件截止时间、开启时间及地点</w:t>
      </w:r>
      <w:r/>
    </w:p>
    <w:p>
      <w:pPr>
        <w:ind w:left="0" w:right="0" w:firstLine="5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8"/>
        </w:rPr>
        <w:t xml:space="preserve">1. 2026</w:t>
      </w:r>
      <w:r>
        <w:rPr>
          <w:rFonts w:ascii="FangSong" w:hAnsi="FangSong" w:eastAsia="FangSong" w:cs="FangSong"/>
          <w:color w:val="000000" w:themeColor="text1"/>
          <w:sz w:val="28"/>
        </w:rPr>
        <w:t xml:space="preserve">年11月</w:t>
      </w:r>
      <w:r>
        <w:rPr>
          <w:rFonts w:ascii="Times New Roman" w:hAnsi="Times New Roman" w:eastAsia="Times New Roman" w:cs="Times New Roman"/>
          <w:color w:val="000000" w:themeColor="text1"/>
          <w:sz w:val="28"/>
        </w:rPr>
        <w:t xml:space="preserve">13</w:t>
      </w:r>
      <w:r>
        <w:rPr>
          <w:rFonts w:ascii="FangSong" w:hAnsi="FangSong" w:eastAsia="FangSong" w:cs="FangSong"/>
          <w:color w:val="000000" w:themeColor="text1"/>
          <w:sz w:val="28"/>
        </w:rPr>
        <w:t xml:space="preserve">日</w:t>
      </w:r>
      <w:r>
        <w:rPr>
          <w:rFonts w:ascii="Times New Roman" w:hAnsi="Times New Roman" w:eastAsia="Times New Roman" w:cs="Times New Roman"/>
          <w:color w:val="000000" w:themeColor="text1"/>
          <w:sz w:val="28"/>
        </w:rPr>
        <w:t xml:space="preserve">09</w:t>
      </w:r>
      <w:r>
        <w:rPr>
          <w:rFonts w:ascii="FangSong" w:hAnsi="FangSong" w:eastAsia="FangSong" w:cs="FangSong"/>
          <w:color w:val="000000" w:themeColor="text1"/>
          <w:sz w:val="28"/>
        </w:rPr>
        <w:t xml:space="preserve">时</w:t>
      </w:r>
      <w:r>
        <w:rPr>
          <w:rFonts w:ascii="Times New Roman" w:hAnsi="Times New Roman" w:eastAsia="Times New Roman" w:cs="Times New Roman"/>
          <w:color w:val="000000" w:themeColor="text1"/>
          <w:sz w:val="28"/>
        </w:rPr>
        <w:t xml:space="preserve">30</w:t>
      </w:r>
      <w:r>
        <w:rPr>
          <w:rFonts w:ascii="FangSong" w:hAnsi="FangSong" w:eastAsia="FangSong" w:cs="FangSong"/>
          <w:color w:val="000000" w:themeColor="text1"/>
          <w:sz w:val="28"/>
        </w:rPr>
        <w:t xml:space="preserve">分（北京时间）。</w:t>
      </w:r>
      <w:r>
        <w:rPr>
          <w:color w:val="000000" w:themeColor="text1"/>
        </w:rP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地点：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政府采购交易系统。</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五、公告期限</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磋商公告期限为自本公告发布之日起</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个工作日，磋商文件公告期限为自本公告发布之日起</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六、其他补充事宜</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七、本次磋商联系方式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采购人信息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称：</w:t>
      </w:r>
      <w:r>
        <w:rPr>
          <w:rFonts w:ascii="FangSong" w:hAnsi="FangSong" w:eastAsia="FangSong" w:cs="FangSong"/>
          <w:color w:val="000000"/>
          <w:sz w:val="28"/>
          <w:u w:val="single"/>
        </w:rPr>
        <w:t xml:space="preserve">江苏省残疾人联合会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址：</w:t>
      </w:r>
      <w:r>
        <w:rPr>
          <w:rFonts w:ascii="FangSong" w:hAnsi="FangSong" w:eastAsia="FangSong" w:cs="FangSong"/>
          <w:color w:val="000000"/>
          <w:sz w:val="28"/>
          <w:u w:val="single"/>
        </w:rPr>
        <w:t xml:space="preserve">南京市秦淮区仓巷</w:t>
      </w:r>
      <w:r>
        <w:rPr>
          <w:rFonts w:ascii="Times New Roman" w:hAnsi="Times New Roman" w:eastAsia="Times New Roman" w:cs="Times New Roman"/>
          <w:color w:val="000000"/>
          <w:sz w:val="28"/>
          <w:u w:val="single"/>
        </w:rPr>
        <w:t xml:space="preserve">120</w:t>
      </w:r>
      <w:r>
        <w:rPr>
          <w:rFonts w:ascii="FangSong" w:hAnsi="FangSong" w:eastAsia="FangSong" w:cs="FangSong"/>
          <w:color w:val="000000"/>
          <w:sz w:val="28"/>
          <w:u w:val="single"/>
        </w:rPr>
        <w:t xml:space="preserve">号南通大楼</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陈老师</w:t>
      </w:r>
      <w:r>
        <w:rPr>
          <w:rFonts w:ascii="Times New Roman" w:hAnsi="Times New Roman" w:eastAsia="Times New Roman" w:cs="Times New Roman"/>
          <w:color w:val="000000"/>
          <w:sz w:val="28"/>
          <w:u w:val="single"/>
        </w:rPr>
        <w:t xml:space="preserve">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u w:val="single"/>
        </w:rPr>
        <w:t xml:space="preserve"> 025-89661632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江苏省政府采购中心信息</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w:t>
      </w:r>
      <w:r>
        <w:rPr>
          <w:rFonts w:ascii="FangSong" w:hAnsi="FangSong" w:eastAsia="FangSong" w:cs="FangSong"/>
          <w:color w:val="000000"/>
          <w:sz w:val="28"/>
          <w:u w:val="single"/>
        </w:rPr>
        <w:t xml:space="preserve">南京市汉中门大街</w:t>
      </w:r>
      <w:r>
        <w:rPr>
          <w:rFonts w:ascii="Times New Roman" w:hAnsi="Times New Roman" w:eastAsia="Times New Roman" w:cs="Times New Roman"/>
          <w:color w:val="000000"/>
          <w:sz w:val="28"/>
          <w:u w:val="single"/>
        </w:rPr>
        <w:t xml:space="preserve">145</w:t>
      </w:r>
      <w:r>
        <w:rPr>
          <w:rFonts w:ascii="FangSong" w:hAnsi="FangSong" w:eastAsia="FangSong" w:cs="FangSong"/>
          <w:color w:val="000000"/>
          <w:sz w:val="28"/>
          <w:u w:val="single"/>
        </w:rPr>
        <w:t xml:space="preserve">号省政务中心二期</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楼南区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程施雪、许滢</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u w:val="single"/>
        </w:rPr>
        <w:t xml:space="preserve"> 025-83668556</w:t>
      </w:r>
      <w:r/>
    </w:p>
    <w:p>
      <w:pPr>
        <w:ind w:left="0" w:right="0" w:firstLine="560"/>
        <w:jc w:val="both"/>
        <w:spacing w:before="156" w:after="156"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八、其他</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根据省财政厅《关于更换全省政府采购交易系统</w:t>
      </w:r>
      <w:r>
        <w:rPr>
          <w:rFonts w:ascii="Times New Roman" w:hAnsi="Times New Roman" w:eastAsia="Times New Roman" w:cs="Times New Roman"/>
          <w:color w:val="000000"/>
          <w:sz w:val="28"/>
        </w:rPr>
        <w:t xml:space="preserve">C A</w:t>
      </w:r>
      <w:r>
        <w:rPr>
          <w:rFonts w:ascii="FangSong" w:hAnsi="FangSong" w:eastAsia="FangSong" w:cs="FangSong"/>
          <w:color w:val="000000"/>
          <w:sz w:val="28"/>
        </w:rPr>
        <w:t xml:space="preserve">数字证书和电子签章的通知》（苏财购〔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101</w:t>
      </w:r>
      <w:r>
        <w:rPr>
          <w:rFonts w:ascii="FangSong" w:hAnsi="FangSong" w:eastAsia="FangSong" w:cs="FangSong"/>
          <w:color w:val="000000"/>
          <w:sz w:val="28"/>
        </w:rPr>
        <w:t xml:space="preserve">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政府采购交易系统（以下简称苏采云系统）的</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数字证书、电子签章已更换为江苏省电子政务证书认证中心</w:t>
      </w:r>
      <w:r>
        <w:rPr>
          <w:rFonts w:ascii="Times New Roman" w:hAnsi="Times New Roman" w:eastAsia="Times New Roman" w:cs="Times New Roman"/>
          <w:color w:val="000000"/>
          <w:sz w:val="28"/>
        </w:rPr>
        <w:t xml:space="preserve">C A</w:t>
      </w:r>
      <w:r>
        <w:rPr>
          <w:rFonts w:ascii="FangSong" w:hAnsi="FangSong" w:eastAsia="FangSong" w:cs="FangSong"/>
          <w:color w:val="000000"/>
          <w:sz w:val="28"/>
        </w:rPr>
        <w:t xml:space="preserve">和方正国际软件（北京）有限公司电子签章。具体办理指南和操作手册见链接：</w:t>
      </w:r>
      <w:r>
        <w:rPr>
          <w:rFonts w:ascii="Times New Roman" w:hAnsi="Times New Roman" w:eastAsia="Times New Roman" w:cs="Times New Roman"/>
          <w:color w:val="000000"/>
          <w:spacing w:val="-6"/>
          <w:sz w:val="28"/>
        </w:rPr>
        <w:t xml:space="preserve">http://www.ccgp-jiangsu.gov.cn/jiangsu/zlxz/ee/ee3a4bc5a3454aa2b0d9312230633ce9.html</w:t>
      </w:r>
      <w:r>
        <w:rPr>
          <w:rFonts w:ascii="FangSong" w:hAnsi="FangSong" w:eastAsia="FangSong" w:cs="FangSong"/>
          <w:color w:val="000000"/>
          <w:spacing w:val="-6"/>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和办理电子签章（请至南京汉中门大街</w:t>
      </w:r>
      <w:r>
        <w:rPr>
          <w:rFonts w:ascii="Times New Roman" w:hAnsi="Times New Roman" w:eastAsia="Times New Roman" w:cs="Times New Roman"/>
          <w:color w:val="000000"/>
          <w:sz w:val="28"/>
        </w:rPr>
        <w:t xml:space="preserve">145</w:t>
      </w:r>
      <w:r>
        <w:rPr>
          <w:rFonts w:ascii="FangSong" w:hAnsi="FangSong" w:eastAsia="FangSong" w:cs="FangSong"/>
          <w:color w:val="000000"/>
          <w:sz w:val="28"/>
        </w:rPr>
        <w:t xml:space="preserve">号江苏省政务服务中心二期三楼大厅</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办理窗口办理，具体联系方式见《苏采云系统供应商操作手册》（以下简称《操作手册》））、进行注册并按《操作手册》要求制作、上传电子响应文件。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有关本次磋商的事项若存在变动或修改，敬请及时关注江苏省政府采购中心在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发布的更正公告。</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本次磋商不收取磋商保证金。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第二章</w:t>
      </w:r>
      <w:r>
        <w:rPr>
          <w:rFonts w:ascii="SimHei" w:hAnsi="SimHei" w:eastAsia="SimHei" w:cs="SimHei"/>
          <w:color w:val="000000"/>
          <w:sz w:val="32"/>
        </w:rPr>
        <w:t xml:space="preserve">供应商须知</w:t>
      </w:r>
      <w:r/>
    </w:p>
    <w:p>
      <w:pPr>
        <w:ind w:left="0" w:right="0" w:firstLine="560"/>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一、总则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采购方式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 </w:t>
      </w:r>
      <w:r>
        <w:rPr>
          <w:rFonts w:ascii="FangSong" w:hAnsi="FangSong" w:eastAsia="FangSong" w:cs="FangSong"/>
          <w:color w:val="000000"/>
          <w:sz w:val="28"/>
        </w:rPr>
        <w:t xml:space="preserve">本次政府采购活动采取竞争性磋商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以下简称磋商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方式，本磋商文件仅适用于磋商公告中所述项目。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合格的</w:t>
      </w:r>
      <w:r>
        <w:rPr>
          <w:rFonts w:ascii="FangSong" w:hAnsi="FangSong" w:eastAsia="FangSong" w:cs="FangSong"/>
          <w:color w:val="000000"/>
          <w:sz w:val="28"/>
        </w:rPr>
        <w:t xml:space="preserve">供应商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满足磋商公告中供应商资格要求的规定。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 </w:t>
      </w:r>
      <w:r>
        <w:rPr>
          <w:rFonts w:ascii="FangSong" w:hAnsi="FangSong" w:eastAsia="FangSong" w:cs="FangSong"/>
          <w:color w:val="000000"/>
          <w:sz w:val="28"/>
        </w:rPr>
        <w:t xml:space="preserve">满足本磋商文件实质性要求的规定。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适用法律</w:t>
      </w:r>
      <w:r>
        <w:rPr>
          <w:rFonts w:ascii="FangSong" w:hAnsi="FangSong" w:eastAsia="FangSong" w:cs="FangSong"/>
          <w:color w:val="000000"/>
          <w:sz w:val="28"/>
        </w:rPr>
        <w:t xml:space="preserve">和标准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本次磋商及由此产生的合同受中华人民共和国有关的法律法规制约和保护。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在本项目政府采购活动过程中，如果所执行的标准有更新的，按照最新标准执行。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磋商费用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供应商应自行承担所有与参加本次磋商有关的费用，无论磋商过程中的做法和结果如何，江苏省政府采购中心（以下简称采购中心）在任何情况下均无义务和责任承担这些费用。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本次磋商采购中心和采购人不收取标书工本费与成交服务费。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磋商文件的约束力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供应商一旦参加本项目采购活动，即被认为接受了本磋商文件的规定和约束。</w:t>
      </w:r>
      <w:r/>
    </w:p>
    <w:p>
      <w:pPr>
        <w:ind w:left="0" w:right="0" w:firstLine="560"/>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二、磋商文件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u w:val="none"/>
        </w:rPr>
        <w:t xml:space="preserve">磋商文件构成</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磋商文件由以下部分组成：</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）磋商邀请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）供应商须知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）合同文本</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）采购需求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）评审方法与评审标准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）响应文件格式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请仔细检查磋商文件是否齐全，如有缺漏请立即与采购中心联系解决。</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u w:val="none"/>
        </w:rPr>
        <w:t xml:space="preserve">磋商文件的澄清和修改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w:t>
      </w:r>
      <w:r>
        <w:rPr>
          <w:rFonts w:ascii="FangSong" w:hAnsi="FangSong" w:eastAsia="FangSong" w:cs="FangSong"/>
          <w:color w:val="000000"/>
          <w:sz w:val="28"/>
        </w:rPr>
        <w:t xml:space="preserve">在响应文件提交截止时间前，采购中心可以对磋商文件进行澄清和修改</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澄清或者修改的内容作为磋商文件的组成部分。澄清或者修改的内容可能影响响应文件编制的，采购中心将在提交首次响应文件截止时间至少</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日前，在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上发布书面更正公告形式通知所有获取磋商文件的供应商</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更正公告内容将作为磋商文件的组成部分，并对供应商具有约束力。不足</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日的，采购中心将顺延提交首次响应文件截止时间。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w:t>
      </w:r>
      <w:r>
        <w:rPr>
          <w:rFonts w:ascii="FangSong" w:hAnsi="FangSong" w:eastAsia="FangSong" w:cs="FangSong"/>
          <w:color w:val="000000"/>
          <w:sz w:val="28"/>
        </w:rPr>
        <w:t xml:space="preserve">采购中心可以视采购项目的具体情况，组织供应商进行现场考察或召开磋商前答疑会，但不单独或分别组织只有一个供应商参加的现场考察和答疑会。</w:t>
      </w:r>
      <w:r/>
    </w:p>
    <w:p>
      <w:pPr>
        <w:ind w:left="0" w:right="0" w:firstLine="560"/>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三、响应文件的编制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响应文件的语言及度量衡单位</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w:t>
      </w:r>
      <w:r>
        <w:rPr>
          <w:rFonts w:ascii="FangSong" w:hAnsi="FangSong" w:eastAsia="FangSong" w:cs="FangSong"/>
          <w:color w:val="000000"/>
          <w:sz w:val="28"/>
        </w:rPr>
        <w:t xml:space="preserve">供应商提交的响应文件以及供应商与采购中心就有关磋商的所有来往通知、函件和文件均应使用简体中文。</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 </w:t>
      </w:r>
      <w:r>
        <w:rPr>
          <w:rFonts w:ascii="FangSong" w:hAnsi="FangSong" w:eastAsia="FangSong" w:cs="FangSong"/>
          <w:color w:val="000000"/>
          <w:sz w:val="28"/>
        </w:rPr>
        <w:t xml:space="preserve">除技术性能另有规定外，响应文件所使用的度量衡单位，均须采用国家法定计量单位。</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u w:val="none"/>
        </w:rPr>
        <w:t xml:space="preserve">响应文件构成</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w:t>
      </w:r>
      <w:r>
        <w:rPr>
          <w:rFonts w:ascii="FangSong" w:hAnsi="FangSong" w:eastAsia="FangSong" w:cs="FangSong"/>
          <w:color w:val="000000"/>
          <w:sz w:val="28"/>
        </w:rPr>
        <w:t xml:space="preserve">供应商编写的响应文件应包括资格证明文件、实质性要求响应及偏离表、分项报价表、技术要求响应及偏离表、商务要求响应及偏离表、其他证明文件、磋商响应函等部分。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9.2 </w:t>
      </w:r>
      <w:r>
        <w:rPr>
          <w:rFonts w:ascii="FangSong" w:hAnsi="FangSong" w:eastAsia="FangSong" w:cs="FangSong"/>
          <w:color w:val="000000"/>
          <w:sz w:val="28"/>
        </w:rPr>
        <w:t xml:space="preserve">如标书制作工具中格式和内容与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发布的磋商文件不一致，请以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发布的磋商文件为准。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u w:val="none"/>
        </w:rPr>
        <w:t xml:space="preserve">证明磋商响应标的符合磋商文件规定的文件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w:t>
      </w:r>
      <w:r>
        <w:rPr>
          <w:rFonts w:ascii="FangSong" w:hAnsi="FangSong" w:eastAsia="FangSong" w:cs="FangSong"/>
          <w:color w:val="000000"/>
          <w:sz w:val="28"/>
        </w:rPr>
        <w:t xml:space="preserve">供应商应按照磋商文件要求提交证明文件，证明其及磋商响应标的符合磋商文件规定。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w:t>
      </w:r>
      <w:r>
        <w:rPr>
          <w:rFonts w:ascii="FangSong" w:hAnsi="FangSong" w:eastAsia="FangSong" w:cs="FangSong"/>
          <w:color w:val="000000"/>
          <w:sz w:val="28"/>
        </w:rPr>
        <w:t xml:space="preserve">磋商文件对证明文件无明确形式要求的，证明文件可以以文字资料、图纸和数据等形式提交。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分项报价表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w:t>
      </w:r>
      <w:r>
        <w:rPr>
          <w:rFonts w:ascii="FangSong" w:hAnsi="FangSong" w:eastAsia="FangSong" w:cs="FangSong"/>
          <w:color w:val="000000"/>
          <w:sz w:val="28"/>
        </w:rPr>
        <w:t xml:space="preserve">供应商应按照磋商文件规定格式填报分项报价表。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w:t>
      </w:r>
      <w:r>
        <w:rPr>
          <w:rFonts w:ascii="FangSong" w:hAnsi="FangSong" w:eastAsia="FangSong" w:cs="FangSong"/>
          <w:color w:val="000000"/>
          <w:sz w:val="28"/>
        </w:rPr>
        <w:t xml:space="preserve">磋商货币。响应文件中的单价和总价无特殊规定的采用人民币报价，以元为单位标注。磋商文件中另有规定的按规定执行。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技术要求响应及偏离表、商务要求响应及偏离表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w:t>
      </w:r>
      <w:r>
        <w:rPr>
          <w:rFonts w:ascii="FangSong" w:hAnsi="FangSong" w:eastAsia="FangSong" w:cs="FangSong"/>
          <w:color w:val="000000"/>
          <w:sz w:val="28"/>
        </w:rPr>
        <w:t xml:space="preserve">供应商需对磋商文件中的技术要求与商务要求逐项作出响应或偏离，并说明原因。</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w:t>
      </w:r>
      <w:r>
        <w:rPr>
          <w:rFonts w:ascii="FangSong" w:hAnsi="FangSong" w:eastAsia="FangSong" w:cs="FangSong"/>
          <w:color w:val="000000"/>
          <w:sz w:val="28"/>
        </w:rPr>
        <w:t xml:space="preserve">供应商需按照磋商文件要求，在响应文件中提供与技术要求和商务要求相关的证明材料。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服务承诺、培训计划、人员安排及其他</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w:t>
      </w:r>
      <w:r>
        <w:rPr>
          <w:rFonts w:ascii="FangSong" w:hAnsi="FangSong" w:eastAsia="FangSong" w:cs="FangSong"/>
          <w:color w:val="000000"/>
          <w:sz w:val="28"/>
        </w:rPr>
        <w:t xml:space="preserve">供应商需根据磋商文件要求提供有关售后服务的管理制度，售后服务机构的分布情况，售后服务人员的数量、素质、技术水平及售后服务的反应能力等。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w:t>
      </w:r>
      <w:r>
        <w:rPr>
          <w:rFonts w:ascii="FangSong" w:hAnsi="FangSong" w:eastAsia="FangSong" w:cs="FangSong"/>
          <w:color w:val="000000"/>
          <w:sz w:val="28"/>
        </w:rPr>
        <w:t xml:space="preserve">供应商需根据磋商文件要求提供培训计划。</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w:t>
      </w:r>
      <w:r>
        <w:rPr>
          <w:rFonts w:ascii="FangSong" w:hAnsi="FangSong" w:eastAsia="FangSong" w:cs="FangSong"/>
          <w:color w:val="000000"/>
          <w:sz w:val="28"/>
        </w:rPr>
        <w:t xml:space="preserve">供应商需根据磋商文件要求提供磋商响应标的的主要组成部分、功能设计、实现思路及关键技术等。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u w:val="none"/>
        </w:rPr>
        <w:t xml:space="preserve">磋商响应函</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供应商应按照磋商文件中提供的格式完整、正确填写磋商响应函。</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磋商有效期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磋商有效期为采购中心规定的提交响应文件截止之日后六十（</w:t>
      </w:r>
      <w:r>
        <w:rPr>
          <w:rFonts w:ascii="Times New Roman" w:hAnsi="Times New Roman" w:eastAsia="Times New Roman" w:cs="Times New Roman"/>
          <w:color w:val="000000"/>
          <w:sz w:val="28"/>
        </w:rPr>
        <w:t xml:space="preserve">60</w:t>
      </w:r>
      <w:r>
        <w:rPr>
          <w:rFonts w:ascii="FangSong" w:hAnsi="FangSong" w:eastAsia="FangSong" w:cs="FangSong"/>
          <w:color w:val="000000"/>
          <w:sz w:val="28"/>
        </w:rPr>
        <w:t xml:space="preserve">）天。磋商有效期比规定短的将被视为非实质性响应磋商文件而予以拒绝。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FangSong" w:hAnsi="FangSong" w:eastAsia="FangSong" w:cs="FangSong"/>
          <w:color w:val="000000"/>
          <w:sz w:val="28"/>
        </w:rPr>
        <w:t xml:space="preserve">磋商有效期的延长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w:t>
      </w:r>
      <w:r>
        <w:rPr>
          <w:rFonts w:ascii="FangSong" w:hAnsi="FangSong" w:eastAsia="FangSong" w:cs="FangSong"/>
          <w:color w:val="000000"/>
          <w:sz w:val="28"/>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left="0" w:right="0" w:firstLine="560"/>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四、响应文件的递交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FangSong" w:hAnsi="FangSong" w:eastAsia="FangSong" w:cs="FangSong"/>
          <w:color w:val="000000"/>
          <w:sz w:val="28"/>
          <w:u w:val="none"/>
        </w:rPr>
        <w:t xml:space="preserve">电子磋商</w:t>
      </w:r>
      <w:r>
        <w:rPr>
          <w:rFonts w:ascii="FangSong" w:hAnsi="FangSong" w:eastAsia="FangSong" w:cs="FangSong"/>
          <w:color w:val="000000"/>
          <w:sz w:val="28"/>
        </w:rPr>
        <w:t xml:space="preserve">响应文件的递交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17.1</w:t>
      </w:r>
      <w:r>
        <w:rPr>
          <w:rFonts w:ascii="FangSong" w:hAnsi="FangSong" w:eastAsia="FangSong" w:cs="FangSong"/>
          <w:color w:val="000000"/>
          <w:sz w:val="28"/>
        </w:rPr>
        <w:t xml:space="preserve">供应商应当按照《操作手册》规定，在提交响应文件截止时间前制作并上传电子响应文件。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提交响应文件截止时间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18.1</w:t>
      </w:r>
      <w:r>
        <w:rPr>
          <w:rFonts w:ascii="FangSong" w:hAnsi="FangSong" w:eastAsia="FangSong" w:cs="FangSong"/>
          <w:color w:val="000000"/>
          <w:sz w:val="28"/>
        </w:rPr>
        <w:t xml:space="preserve">供应商上传电子响应文件的时间不得迟于磋商公告中规定的提交响应文件截止时间。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供应商应充分考虑到网络环境、网络带宽等风险因素，如因供应商自身原因造成的电子响应文件上传不成功的按照本磋商文件第二章第</w:t>
      </w:r>
      <w:r>
        <w:rPr>
          <w:rFonts w:ascii="Times New Roman" w:hAnsi="Times New Roman" w:eastAsia="Times New Roman" w:cs="Times New Roman"/>
          <w:color w:val="000000"/>
          <w:sz w:val="28"/>
        </w:rPr>
        <w:t xml:space="preserve">25.3.2</w:t>
      </w:r>
      <w:r>
        <w:rPr>
          <w:rFonts w:ascii="FangSong" w:hAnsi="FangSong" w:eastAsia="FangSong" w:cs="FangSong"/>
          <w:color w:val="000000"/>
          <w:sz w:val="28"/>
        </w:rPr>
        <w:t xml:space="preserve">条规定作无效响应处理。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18.2 </w:t>
      </w:r>
      <w:r>
        <w:rPr>
          <w:rFonts w:ascii="FangSong" w:hAnsi="FangSong" w:eastAsia="FangSong" w:cs="FangSong"/>
          <w:color w:val="000000"/>
          <w:sz w:val="28"/>
        </w:rPr>
        <w:t xml:space="preserve">采购中心可以按照规定，通过修改磋商文件酌情延长提交响应文件截止日期，在此情况下，供应商的所有权利和义务以及供应商受制的截止日期均应以延长后新的截止日期为准。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FangSong" w:hAnsi="FangSong" w:eastAsia="FangSong" w:cs="FangSong"/>
          <w:color w:val="000000"/>
          <w:sz w:val="28"/>
          <w:u w:val="none"/>
        </w:rPr>
        <w:t xml:space="preserve">响应文件</w:t>
      </w:r>
      <w:r>
        <w:rPr>
          <w:rFonts w:ascii="FangSong" w:hAnsi="FangSong" w:eastAsia="FangSong" w:cs="FangSong"/>
          <w:color w:val="000000"/>
          <w:sz w:val="28"/>
        </w:rPr>
        <w:t xml:space="preserve">的拒收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19.1 </w:t>
      </w:r>
      <w:r>
        <w:rPr>
          <w:rFonts w:ascii="FangSong" w:hAnsi="FangSong" w:eastAsia="FangSong" w:cs="FangSong"/>
          <w:color w:val="000000"/>
          <w:sz w:val="28"/>
        </w:rPr>
        <w:t xml:space="preserve">采购中心拒绝接收在其规定的提交响应文件截止时间后上传的任何电子响应文件。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FangSong" w:hAnsi="FangSong" w:eastAsia="FangSong" w:cs="FangSong"/>
          <w:color w:val="000000"/>
          <w:sz w:val="28"/>
          <w:u w:val="none"/>
        </w:rPr>
        <w:t xml:space="preserve">响应文件的撤回和修改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20.1</w:t>
      </w:r>
      <w:r>
        <w:rPr>
          <w:rFonts w:ascii="FangSong" w:hAnsi="FangSong" w:eastAsia="FangSong" w:cs="FangSong"/>
          <w:color w:val="000000"/>
          <w:sz w:val="28"/>
        </w:rPr>
        <w:t xml:space="preserve">响应文件的撤回</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20.1.1 </w:t>
      </w:r>
      <w:r>
        <w:rPr>
          <w:rFonts w:ascii="FangSong" w:hAnsi="FangSong" w:eastAsia="FangSong" w:cs="FangSong"/>
          <w:color w:val="000000"/>
          <w:sz w:val="28"/>
        </w:rPr>
        <w:t xml:space="preserve">电子响应文件的撤回</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供应商可在提交响应文件截止时间前，撤回其电子响应文件，具体操作方法见《操作手册》。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20.1.2</w:t>
      </w:r>
      <w:r>
        <w:rPr>
          <w:rFonts w:ascii="FangSong" w:hAnsi="FangSong" w:eastAsia="FangSong" w:cs="FangSong"/>
          <w:color w:val="000000"/>
          <w:sz w:val="28"/>
        </w:rPr>
        <w:t xml:space="preserve">供应商撤回电子响应文件，则认为其不再参与本项目磋商活动。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w:t>
      </w:r>
      <w:r>
        <w:rPr>
          <w:rFonts w:ascii="FangSong" w:hAnsi="FangSong" w:eastAsia="FangSong" w:cs="FangSong"/>
          <w:color w:val="000000"/>
          <w:sz w:val="28"/>
        </w:rPr>
        <w:t xml:space="preserve">响应文件的修改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供应商可在提交响应文件截止时间前，对其电子响应文件进行修改，具体操作方法见《操作手册》。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20.3 </w:t>
      </w:r>
      <w:r>
        <w:rPr>
          <w:rFonts w:ascii="FangSong" w:hAnsi="FangSong" w:eastAsia="FangSong" w:cs="FangSong"/>
          <w:color w:val="000000"/>
          <w:sz w:val="28"/>
        </w:rPr>
        <w:t xml:space="preserve">在提交响应文件截止时间之后，供应商不得对其电子响应文件作任何修改。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20.4 </w:t>
      </w:r>
      <w:r>
        <w:rPr>
          <w:rFonts w:ascii="FangSong" w:hAnsi="FangSong" w:eastAsia="FangSong" w:cs="FangSong"/>
          <w:color w:val="000000"/>
          <w:sz w:val="28"/>
        </w:rPr>
        <w:t xml:space="preserve">在提交响应文件截止时间至磋商文件中规定的磋商有效期满之间的这段时间内，供应商不得撤回其响应文件。</w:t>
      </w:r>
      <w:r/>
    </w:p>
    <w:p>
      <w:pPr>
        <w:ind w:left="0" w:right="0" w:firstLine="560"/>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五、响应文件的解密与评审</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响应文件解密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21.1</w:t>
      </w:r>
      <w:r>
        <w:rPr>
          <w:rFonts w:ascii="FangSong" w:hAnsi="FangSong" w:eastAsia="FangSong" w:cs="FangSong"/>
          <w:color w:val="000000"/>
          <w:sz w:val="28"/>
        </w:rPr>
        <w:t xml:space="preserve">供应商应当按照《操作手册》规定，在苏采云系统规定的时间内对磋商响应文件进行解密。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u w:val="none"/>
        </w:rPr>
        <w:t xml:space="preserve">磋商小组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采购中心将组织磋商小组对响应文件进行评审。磋商小组由采购人代表和有关技术、经济等方面的专家组成，且人员构成符合政府采购有关规定。</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磋商小组独立工作，负责评审所有响应文件并确定成交侯选人。</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评审过程的保密与公正</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23.1</w:t>
      </w:r>
      <w:r>
        <w:rPr>
          <w:rFonts w:ascii="FangSong" w:hAnsi="FangSong" w:eastAsia="FangSong" w:cs="FangSong"/>
          <w:color w:val="000000"/>
          <w:sz w:val="28"/>
        </w:rPr>
        <w:t xml:space="preserve">磋商小组、采购人和采购中心工作人员、相关监督人员等与评审工作有关的人员，对评审情况以及在评审过程中获悉的国家秘密、商业秘密负有保密责任。</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w:t>
      </w:r>
      <w:r>
        <w:rPr>
          <w:rFonts w:ascii="FangSong" w:hAnsi="FangSong" w:eastAsia="FangSong" w:cs="FangSong"/>
          <w:color w:val="000000"/>
          <w:sz w:val="28"/>
        </w:rPr>
        <w:t xml:space="preserve">在评审过程中，供应商不得以任何行为影响磋商评审过程，否则其响应文件将被作为无效响应文件。</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23.3</w:t>
      </w:r>
      <w:r>
        <w:rPr>
          <w:rFonts w:ascii="FangSong" w:hAnsi="FangSong" w:eastAsia="FangSong" w:cs="FangSong"/>
          <w:color w:val="000000"/>
          <w:sz w:val="28"/>
        </w:rPr>
        <w:t xml:space="preserve">在项目评审期间，采购中心将设专门人员与供应商联系。</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23.4 </w:t>
      </w:r>
      <w:r>
        <w:rPr>
          <w:rFonts w:ascii="FangSong" w:hAnsi="FangSong" w:eastAsia="FangSong" w:cs="FangSong"/>
          <w:color w:val="000000"/>
          <w:sz w:val="28"/>
        </w:rPr>
        <w:t xml:space="preserve">采购中心和磋商小组不向未成交的供应商解释未成交原因，也不公布评审过程中的相关细节。</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评审过程中的的澄清</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24.1</w:t>
      </w:r>
      <w:r>
        <w:rPr>
          <w:rFonts w:ascii="FangSong" w:hAnsi="FangSong" w:eastAsia="FangSong" w:cs="FangSong"/>
          <w:color w:val="000000"/>
          <w:sz w:val="28"/>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磋商小组并非对每个供应商都作澄清要求。</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24.2</w:t>
      </w:r>
      <w:r>
        <w:rPr>
          <w:rFonts w:ascii="FangSong" w:hAnsi="FangSong" w:eastAsia="FangSong" w:cs="FangSong"/>
          <w:color w:val="000000"/>
          <w:sz w:val="28"/>
        </w:rPr>
        <w:t xml:space="preserve">需要供应商进行澄清、说明和更正的，磋商小组将通过苏采云系统向供应商发布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澄清要求函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，接到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澄清要求函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的供应商应当按照要求在苏采云系统中提交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澄清响应函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并加盖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电子公章。澄清、说明和更正的内容作为响应文件的补充部分，具体操作方式见《操作手册》。</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24.3 </w:t>
      </w:r>
      <w:r>
        <w:rPr>
          <w:rFonts w:ascii="FangSong" w:hAnsi="FangSong" w:eastAsia="FangSong" w:cs="FangSong"/>
          <w:color w:val="000000"/>
          <w:sz w:val="28"/>
        </w:rPr>
        <w:t xml:space="preserve">接到磋商小组澄清、说明和更正要求的供应商如未按规定做出澄清、说明和 更正，其风险由供应商自行承担。</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对响应文件的审查</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FangSong" w:hAnsi="FangSong" w:eastAsia="FangSong" w:cs="FangSong"/>
          <w:color w:val="000000"/>
          <w:sz w:val="28"/>
        </w:rPr>
        <w:t xml:space="preserve">响应文件审查分为资格审查和符合性审查。</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25.1.1 </w:t>
      </w:r>
      <w:r>
        <w:rPr>
          <w:rFonts w:ascii="FangSong" w:hAnsi="FangSong" w:eastAsia="FangSong" w:cs="FangSong"/>
          <w:color w:val="000000"/>
          <w:sz w:val="28"/>
        </w:rPr>
        <w:t xml:space="preserve">资格审查：由磋商小组依据法律法规和磋商文件的规定，对响应文件中的资格证明文件进行审查，以确定供应商是否具备参加磋商的资格。</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磋商小组在进行资格审查的同时，将在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）查询供应商的信用记录，以确定供应商是否具备磋商资格</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查询结果留存并归档。</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联合体成员中任何一方存在不良信用记录的，视同联合体存在不良信用记录。</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25.1.2 </w:t>
      </w:r>
      <w:r>
        <w:rPr>
          <w:rFonts w:ascii="FangSong" w:hAnsi="FangSong" w:eastAsia="FangSong" w:cs="FangSong"/>
          <w:color w:val="000000"/>
          <w:sz w:val="28"/>
        </w:rPr>
        <w:t xml:space="preserve">符合性审查：依据磋商文件的规定，由磋商小组从响应文件的有效性、完整性和对磋商文件的响应程度进行审查，以确定是否对磋商文件的实质性要求作出响应。</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25.1.3 </w:t>
      </w:r>
      <w:r>
        <w:rPr>
          <w:rFonts w:ascii="FangSong" w:hAnsi="FangSong" w:eastAsia="FangSong" w:cs="FangSong"/>
          <w:color w:val="000000"/>
          <w:sz w:val="28"/>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FangSong" w:hAnsi="FangSong" w:eastAsia="FangSong" w:cs="FangSong"/>
          <w:color w:val="000000"/>
          <w:sz w:val="28"/>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FangSong" w:hAnsi="FangSong" w:eastAsia="FangSong" w:cs="FangSong"/>
          <w:color w:val="000000"/>
          <w:sz w:val="28"/>
        </w:rPr>
        <w:t xml:space="preserve">未实质性响应磋商文件的情形</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25.3.1</w:t>
      </w:r>
      <w:r>
        <w:rPr>
          <w:rFonts w:ascii="FangSong" w:hAnsi="FangSong" w:eastAsia="FangSong" w:cs="FangSong"/>
          <w:color w:val="000000"/>
          <w:sz w:val="28"/>
        </w:rPr>
        <w:t xml:space="preserve">供应商在苏采云系统规定的时间内未成功解密电子响应文件的。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25.3.2</w:t>
      </w:r>
      <w:r>
        <w:rPr>
          <w:rFonts w:ascii="FangSong" w:hAnsi="FangSong" w:eastAsia="FangSong" w:cs="FangSong"/>
          <w:color w:val="000000"/>
          <w:sz w:val="28"/>
        </w:rPr>
        <w:t xml:space="preserve">供应商未按照磋商文件要求上传电子响应文件的。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25.3.3</w:t>
      </w:r>
      <w:r>
        <w:rPr>
          <w:rFonts w:ascii="FangSong" w:hAnsi="FangSong" w:eastAsia="FangSong" w:cs="FangSong"/>
          <w:color w:val="000000"/>
          <w:sz w:val="28"/>
        </w:rPr>
        <w:t xml:space="preserve">供应商同一采购包提交两个（含两个）以上不同的响应文件或者最后报价的。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25.3.4</w:t>
      </w:r>
      <w:r>
        <w:rPr>
          <w:rFonts w:ascii="FangSong" w:hAnsi="FangSong" w:eastAsia="FangSong" w:cs="FangSong"/>
          <w:color w:val="000000"/>
          <w:sz w:val="28"/>
        </w:rPr>
        <w:t xml:space="preserve">供应商不具备磋商文件中规定资格要求的。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25.3.5</w:t>
      </w:r>
      <w:r>
        <w:rPr>
          <w:rFonts w:ascii="FangSong" w:hAnsi="FangSong" w:eastAsia="FangSong" w:cs="FangSong"/>
          <w:color w:val="000000"/>
          <w:sz w:val="28"/>
        </w:rPr>
        <w:t xml:space="preserve">供应商的最后报价超过了采购预算。</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25.3.6</w:t>
      </w:r>
      <w:r>
        <w:rPr>
          <w:rFonts w:ascii="FangSong" w:hAnsi="FangSong" w:eastAsia="FangSong" w:cs="FangSong"/>
          <w:color w:val="000000"/>
          <w:sz w:val="28"/>
        </w:rPr>
        <w:t xml:space="preserve">不符合磋商文件中规定的实质性要求的</w:t>
      </w:r>
      <w:r>
        <w:rPr>
          <w:rFonts w:ascii="FangSong" w:hAnsi="FangSong" w:eastAsia="FangSong" w:cs="FangSong"/>
          <w:b/>
          <w:color w:val="000000"/>
          <w:sz w:val="28"/>
        </w:rPr>
        <w:t xml:space="preserve">（本磋商文件中</w:t>
      </w:r>
      <w:r>
        <w:rPr>
          <w:rFonts w:ascii="FangSong" w:hAnsi="FangSong" w:eastAsia="FangSong" w:cs="FangSong"/>
          <w:b/>
          <w:i/>
          <w:color w:val="000000"/>
          <w:sz w:val="28"/>
          <w:u w:val="single"/>
        </w:rPr>
        <w:t xml:space="preserve">斜体且有下划线部分</w:t>
      </w:r>
      <w:r>
        <w:rPr>
          <w:rFonts w:ascii="FangSong" w:hAnsi="FangSong" w:eastAsia="FangSong" w:cs="FangSong"/>
          <w:b/>
          <w:color w:val="000000"/>
          <w:sz w:val="28"/>
        </w:rPr>
        <w:t xml:space="preserve">或加</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号条款为实质性要求）。</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25.3.7</w:t>
      </w:r>
      <w:r>
        <w:rPr>
          <w:rFonts w:ascii="FangSong" w:hAnsi="FangSong" w:eastAsia="FangSong" w:cs="FangSong"/>
          <w:color w:val="000000"/>
          <w:sz w:val="28"/>
        </w:rPr>
        <w:t xml:space="preserve">供应商被 </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网站后发现供应商存在其他不符合《中华人民共和国政府采购法》第二十二条规定条件的信用记录。</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25.3.8 </w:t>
      </w:r>
      <w:r>
        <w:rPr>
          <w:rFonts w:ascii="FangSong" w:hAnsi="FangSong" w:eastAsia="FangSong" w:cs="FangSong"/>
          <w:color w:val="000000"/>
          <w:sz w:val="28"/>
        </w:rPr>
        <w:t xml:space="preserve">响应文件含有采购人不能接受的附加条件的。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25.3.9</w:t>
      </w:r>
      <w:r>
        <w:rPr>
          <w:rFonts w:ascii="FangSong" w:hAnsi="FangSong" w:eastAsia="FangSong" w:cs="FangSong"/>
          <w:color w:val="000000"/>
          <w:sz w:val="28"/>
        </w:rPr>
        <w:t xml:space="preserve">响应文件未按照磋商文件要求加盖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25.3.10 </w:t>
      </w:r>
      <w:r>
        <w:rPr>
          <w:rFonts w:ascii="FangSong" w:hAnsi="FangSong" w:eastAsia="FangSong" w:cs="FangSong"/>
          <w:color w:val="000000"/>
          <w:sz w:val="28"/>
        </w:rPr>
        <w:t xml:space="preserve">供应商所提供的服务不符合磋商文件中所列国家强制性标准的。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25.3.11</w:t>
      </w:r>
      <w:r>
        <w:rPr>
          <w:rFonts w:ascii="FangSong" w:hAnsi="FangSong" w:eastAsia="FangSong" w:cs="FangSong"/>
          <w:color w:val="000000"/>
          <w:sz w:val="28"/>
        </w:rPr>
        <w:t xml:space="preserve">专门面向中小微型企业采购的采购项目采购包，供应商未提供本项目所投采购包提供服务的人员均为依照《中华人民共和国劳动合同法》订立劳动合同的从业人员的书面声明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书面声明格式见竞争性磋商文件第六章附件</w:t>
      </w: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FangSong" w:hAnsi="FangSong" w:eastAsia="FangSong" w:cs="FangSong"/>
          <w:color w:val="000000"/>
          <w:sz w:val="28"/>
        </w:rPr>
        <w:t xml:space="preserve">未实质性响应磋商文件的响应文件按无效响应处理。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25.5</w:t>
      </w:r>
      <w:r>
        <w:rPr>
          <w:rFonts w:ascii="FangSong" w:hAnsi="FangSong" w:eastAsia="FangSong" w:cs="FangSong"/>
          <w:color w:val="000000"/>
          <w:sz w:val="28"/>
        </w:rPr>
        <w:t xml:space="preserve">如果响应文件实质上没有响应磋商文件的要求，磋商小组将予以拒绝，供应商不得通过修改或撤销不符合要求的偏离或保留而使其成为实质性响应的文件。</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25.6</w:t>
      </w:r>
      <w:r>
        <w:rPr>
          <w:rFonts w:ascii="FangSong" w:hAnsi="FangSong" w:eastAsia="FangSong" w:cs="FangSong"/>
          <w:color w:val="000000"/>
          <w:sz w:val="28"/>
          <w:u w:val="none"/>
        </w:rPr>
        <w:t xml:space="preserve">供应商在项目评审全过程中应保持通讯畅通，并安排专人与采购中心及磋商小组联系。</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FangSong" w:hAnsi="FangSong" w:eastAsia="FangSong" w:cs="FangSong"/>
          <w:color w:val="000000"/>
          <w:sz w:val="28"/>
        </w:rPr>
        <w:t xml:space="preserve">磋商程序及评审方法与评审标准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w:t>
      </w:r>
      <w:r>
        <w:rPr>
          <w:rFonts w:ascii="FangSong" w:hAnsi="FangSong" w:eastAsia="FangSong" w:cs="FangSong"/>
          <w:color w:val="000000"/>
          <w:sz w:val="28"/>
        </w:rPr>
        <w:t xml:space="preserve">磋商程序</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w:t>
      </w:r>
      <w:r>
        <w:rPr>
          <w:rFonts w:ascii="FangSong" w:hAnsi="FangSong" w:eastAsia="FangSong" w:cs="FangSong"/>
          <w:color w:val="000000"/>
          <w:sz w:val="28"/>
        </w:rPr>
        <w:t xml:space="preserve">对于通过资格审查和符合性审查的供应商，磋商小组将集中与单一供应商分别进行磋商。磋商小组通过苏采云系统向供应商发布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磋商函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，供应商应当按照要求在苏采云系统提交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磋商响应函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并加盖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26.1.2</w:t>
      </w:r>
      <w:r>
        <w:rPr>
          <w:rFonts w:ascii="FangSong" w:hAnsi="FangSong" w:eastAsia="FangSong" w:cs="FangSong"/>
          <w:color w:val="000000"/>
          <w:sz w:val="28"/>
        </w:rPr>
        <w:t xml:space="preserve">磋商文件能够详细列明采购标的的技术、服务要求的，磋商结束后，磋商小组将在苏采云系统向所有实质性响应的供应商发布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最后报价要求函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及最后报价格式表，要求所有实质性响应的供应商在规定时间内提交最后报价。</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家以上供应商的设计方案或者解决方案，在苏采云系统中向其发布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最后报价要求函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及最后报价格式表，要求其在规定时间内提交最后报价。</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ascii="Times New Roman" w:hAnsi="Times New Roman" w:eastAsia="Times New Roman" w:cs="Times New Roman"/>
          <w:color w:val="000000"/>
          <w:sz w:val="28"/>
        </w:rPr>
        <w:t xml:space="preserve">2015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124</w:t>
      </w:r>
      <w:r>
        <w:rPr>
          <w:rFonts w:ascii="FangSong" w:hAnsi="FangSong" w:eastAsia="FangSong" w:cs="FangSong"/>
          <w:color w:val="000000"/>
          <w:sz w:val="28"/>
        </w:rPr>
        <w:t xml:space="preserve">号）规定情形的，提交最后报价的供应商可以为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26.1.3</w:t>
      </w:r>
      <w:r>
        <w:rPr>
          <w:rFonts w:ascii="FangSong" w:hAnsi="FangSong" w:eastAsia="FangSong" w:cs="FangSong"/>
          <w:color w:val="000000"/>
          <w:sz w:val="28"/>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否则视为未提交最后报价。已提交响应文件的供应商，在提交最后报价之前，可以根据磋商情况退出磋商，并在苏采云系统中提交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退出磋商函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并加盖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26.1.4 </w:t>
      </w:r>
      <w:r>
        <w:rPr>
          <w:rFonts w:ascii="FangSong" w:hAnsi="FangSong" w:eastAsia="FangSong" w:cs="FangSong"/>
          <w:color w:val="000000"/>
          <w:sz w:val="28"/>
        </w:rPr>
        <w:t xml:space="preserve">异常低价响应审查</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26.1.4.1 </w:t>
      </w:r>
      <w:r>
        <w:rPr>
          <w:rFonts w:ascii="FangSong" w:hAnsi="FangSong" w:eastAsia="FangSong" w:cs="FangSong"/>
          <w:color w:val="000000"/>
          <w:sz w:val="28"/>
        </w:rPr>
        <w:t xml:space="preserve">评审过程中出现下列情形之一的，磋商小组应当启动异常低价响应审查程序：</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）响应报价低于全部通过符合性审查供应商响应报价平均值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全部通过符合性审查供应商响应报价平均值</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）响应报价低于通过符合性审查的次低报价供应商响应报价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的，即响应报价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通过符合性审查的次低报价供应商响应报价</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）响应报价低于采购项目最高限价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的，即响应报价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采购项目最高限价</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）磋商小组基于专业判断，认为供应商报价过低，有可能影响产品质量或者不能诚信履约的其他情形。</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26.1.4.2 </w:t>
      </w:r>
      <w:r>
        <w:rPr>
          <w:rFonts w:ascii="FangSong" w:hAnsi="FangSong" w:eastAsia="FangSong" w:cs="FangSong"/>
          <w:color w:val="000000"/>
          <w:sz w:val="28"/>
        </w:rPr>
        <w:t xml:space="preserve">磋商小组启动异常低价响应审查后，属于前述第（</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）项至第（</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分钟。其中，属于第（</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）项情形，供应商已随响应文件一并提交相关书面说明及必要的证明材料的，在评审现场可不再重复提交。</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 </w:t>
      </w:r>
      <w:r>
        <w:rPr>
          <w:rFonts w:ascii="FangSong" w:hAnsi="FangSong" w:eastAsia="FangSong" w:cs="FangSong"/>
          <w:color w:val="000000"/>
          <w:sz w:val="28"/>
        </w:rPr>
        <w:t xml:space="preserve">评审方法与评审标准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26.2.1</w:t>
      </w:r>
      <w:r>
        <w:rPr>
          <w:rFonts w:ascii="FangSong" w:hAnsi="FangSong" w:eastAsia="FangSong" w:cs="FangSong"/>
          <w:color w:val="000000"/>
          <w:sz w:val="28"/>
        </w:rPr>
        <w:t xml:space="preserve">评审方法。经磋商确定最终采购需求和提交最后报价的供应商后，由磋商小组采用综合评分法对提交最后报价的供应商的响应文件和最后报价进行综合评分。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26.2.2</w:t>
      </w:r>
      <w:r>
        <w:rPr>
          <w:rFonts w:ascii="FangSong" w:hAnsi="FangSong" w:eastAsia="FangSong" w:cs="FangSong"/>
          <w:color w:val="000000"/>
          <w:sz w:val="28"/>
        </w:rPr>
        <w:t xml:space="preserve">评审标准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见本磋商文件第五章规定。</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w:t>
      </w:r>
      <w:r>
        <w:rPr>
          <w:rFonts w:ascii="FangSong" w:hAnsi="FangSong" w:eastAsia="FangSong" w:cs="FangSong"/>
          <w:color w:val="000000"/>
          <w:sz w:val="28"/>
        </w:rPr>
        <w:t xml:space="preserve">采购活动终止的情况</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出现下列情形之一的，本次竞争性磋商采购活动将被终止：</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26.3.1</w:t>
      </w:r>
      <w:r>
        <w:rPr>
          <w:rFonts w:ascii="FangSong" w:hAnsi="FangSong" w:eastAsia="FangSong" w:cs="FangSong"/>
          <w:color w:val="000000"/>
          <w:sz w:val="28"/>
        </w:rPr>
        <w:t xml:space="preserve">因情况变化，不再符合规定的竞争性磋商采购方式适用情形的。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26.3.2</w:t>
      </w:r>
      <w:r>
        <w:rPr>
          <w:rFonts w:ascii="FangSong" w:hAnsi="FangSong" w:eastAsia="FangSong" w:cs="FangSong"/>
          <w:color w:val="000000"/>
          <w:sz w:val="28"/>
        </w:rPr>
        <w:t xml:space="preserve">出现影响采购公正的违法、违规行为的。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26.3.3</w:t>
      </w:r>
      <w:r>
        <w:rPr>
          <w:rFonts w:ascii="FangSong" w:hAnsi="FangSong" w:eastAsia="FangSong" w:cs="FangSong"/>
          <w:color w:val="000000"/>
          <w:sz w:val="28"/>
        </w:rPr>
        <w:t xml:space="preserve">除本磋商文件第二章第</w:t>
      </w:r>
      <w:r>
        <w:rPr>
          <w:rFonts w:ascii="Times New Roman" w:hAnsi="Times New Roman" w:eastAsia="Times New Roman" w:cs="Times New Roman"/>
          <w:color w:val="000000"/>
          <w:sz w:val="28"/>
        </w:rPr>
        <w:t xml:space="preserve">26.1.2</w:t>
      </w:r>
      <w:r>
        <w:rPr>
          <w:rFonts w:ascii="FangSong" w:hAnsi="FangSong" w:eastAsia="FangSong" w:cs="FangSong"/>
          <w:color w:val="000000"/>
          <w:sz w:val="28"/>
        </w:rPr>
        <w:t xml:space="preserve">条第三款规定的情形外，在采购过程中符合要求的供应商或者最后报价未超过采购预算的供应商不足</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26.3.4</w:t>
      </w:r>
      <w:r>
        <w:rPr>
          <w:rFonts w:ascii="FangSong" w:hAnsi="FangSong" w:eastAsia="FangSong" w:cs="FangSong"/>
          <w:color w:val="000000"/>
          <w:sz w:val="28"/>
        </w:rPr>
        <w:t xml:space="preserve">在苏采云系统规定时间内成功解密电子响应文件的供应商不足</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家的。</w:t>
      </w:r>
      <w:r/>
    </w:p>
    <w:p>
      <w:pPr>
        <w:ind w:left="0" w:right="0" w:firstLine="560"/>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六、</w:t>
      </w:r>
      <w:r>
        <w:rPr>
          <w:rFonts w:ascii="SimHei" w:hAnsi="SimHei" w:eastAsia="SimHei" w:cs="SimHei"/>
          <w:color w:val="000000"/>
          <w:sz w:val="28"/>
        </w:rPr>
        <w:t xml:space="preserve">成交</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FangSong" w:hAnsi="FangSong" w:eastAsia="FangSong" w:cs="FangSong"/>
          <w:color w:val="000000"/>
          <w:sz w:val="28"/>
        </w:rPr>
        <w:t xml:space="preserve">确定成交单位</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27.1</w:t>
      </w:r>
      <w:r>
        <w:rPr>
          <w:rFonts w:ascii="FangSong" w:hAnsi="FangSong" w:eastAsia="FangSong" w:cs="FangSong"/>
          <w:color w:val="000000"/>
          <w:sz w:val="28"/>
        </w:rPr>
        <w:t xml:space="preserve">磋商小组根据综合评分情况，按照评审得分由高到低顺序推荐</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名成交候选供应商，并编写评审报告。符合本磋商文件第二章第</w:t>
      </w:r>
      <w:r>
        <w:rPr>
          <w:rFonts w:ascii="Times New Roman" w:hAnsi="Times New Roman" w:eastAsia="Times New Roman" w:cs="Times New Roman"/>
          <w:color w:val="000000"/>
          <w:sz w:val="28"/>
        </w:rPr>
        <w:t xml:space="preserve">26.1.2</w:t>
      </w:r>
      <w:r>
        <w:rPr>
          <w:rFonts w:ascii="FangSong" w:hAnsi="FangSong" w:eastAsia="FangSong" w:cs="FangSong"/>
          <w:color w:val="000000"/>
          <w:sz w:val="28"/>
        </w:rPr>
        <w:t xml:space="preserve">条情形的，可以推荐</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名成交候选供应商。评审得分相同的，按照最后报价由低到高的顺序推荐。评审得分且最后报价相同的，按照技术指标优劣顺序推荐。</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27.2</w:t>
      </w:r>
      <w:r>
        <w:rPr>
          <w:rFonts w:ascii="FangSong" w:hAnsi="FangSong" w:eastAsia="FangSong" w:cs="FangSong"/>
          <w:color w:val="000000"/>
          <w:sz w:val="28"/>
        </w:rPr>
        <w:t xml:space="preserve">采购人从评审报告提出的成交候选供应商中，按照排序由高到低的原则确定成交供应商。采购人确定成交供应商后，采购中心将在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发布成交结果公告，公告期限为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w:t>
      </w:r>
      <w:r>
        <w:rPr>
          <w:rFonts w:ascii="FangSong" w:hAnsi="FangSong" w:eastAsia="FangSong" w:cs="FangSong"/>
          <w:color w:val="000000"/>
          <w:sz w:val="28"/>
        </w:rPr>
        <w:t xml:space="preserve">若有充分证据证明，成交供应商出现下列情况之一的，一经查实，将被取消成交资格：</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27.3.1</w:t>
      </w:r>
      <w:r>
        <w:rPr>
          <w:rFonts w:ascii="FangSong" w:hAnsi="FangSong" w:eastAsia="FangSong" w:cs="FangSong"/>
          <w:color w:val="000000"/>
          <w:sz w:val="28"/>
        </w:rPr>
        <w:t xml:space="preserve">提供虚假材料谋取成交的。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27.3.2</w:t>
      </w:r>
      <w:r>
        <w:rPr>
          <w:rFonts w:ascii="FangSong" w:hAnsi="FangSong" w:eastAsia="FangSong" w:cs="FangSong"/>
          <w:color w:val="000000"/>
          <w:sz w:val="28"/>
        </w:rPr>
        <w:t xml:space="preserve">与评审专家、采购人、其他供应商或者采购中心工作人员恶意串通的。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27.3.3</w:t>
      </w:r>
      <w:r>
        <w:rPr>
          <w:rFonts w:ascii="FangSong" w:hAnsi="FangSong" w:eastAsia="FangSong" w:cs="FangSong"/>
          <w:color w:val="000000"/>
          <w:sz w:val="28"/>
        </w:rPr>
        <w:t xml:space="preserve">向评审专家、采购人或采购中心工作人员行贿或者提供其他不正当利益的。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27.3.4</w:t>
      </w:r>
      <w:r>
        <w:rPr>
          <w:rFonts w:ascii="FangSong" w:hAnsi="FangSong" w:eastAsia="FangSong" w:cs="FangSong"/>
          <w:color w:val="000000"/>
          <w:sz w:val="28"/>
        </w:rPr>
        <w:t xml:space="preserve">恶意竞争，最后报价明显低于其自身合理成本且又无法提供证明的。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27.3.5</w:t>
      </w:r>
      <w:r>
        <w:rPr>
          <w:rFonts w:ascii="FangSong" w:hAnsi="FangSong" w:eastAsia="FangSong" w:cs="FangSong"/>
          <w:color w:val="000000"/>
          <w:sz w:val="28"/>
        </w:rPr>
        <w:t xml:space="preserve">不满足本磋商文件规定的实质性要求，但在评审过程中又未被磋商小组发现的。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27.3.6</w:t>
      </w:r>
      <w:r>
        <w:rPr>
          <w:rFonts w:ascii="FangSong" w:hAnsi="FangSong" w:eastAsia="FangSong" w:cs="FangSong"/>
          <w:color w:val="000000"/>
          <w:sz w:val="28"/>
        </w:rPr>
        <w:t xml:space="preserve">成交后无正当理由拒不与采购人签订政府采购合同或者未按照磋商文件确定的事项签订政府采购合同的。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27.3.7</w:t>
      </w:r>
      <w:r>
        <w:rPr>
          <w:rFonts w:ascii="FangSong" w:hAnsi="FangSong" w:eastAsia="FangSong" w:cs="FangSong"/>
          <w:color w:val="000000"/>
          <w:sz w:val="28"/>
        </w:rPr>
        <w:t xml:space="preserve">将政府采购合同转包的。</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w:t>
      </w:r>
      <w:r>
        <w:rPr>
          <w:rFonts w:ascii="FangSong" w:hAnsi="FangSong" w:eastAsia="FangSong" w:cs="FangSong"/>
          <w:color w:val="000000"/>
          <w:sz w:val="28"/>
        </w:rPr>
        <w:t xml:space="preserve">质疑处理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28.1 </w:t>
      </w:r>
      <w:r>
        <w:rPr>
          <w:rFonts w:ascii="FangSong" w:hAnsi="FangSong" w:eastAsia="FangSong" w:cs="FangSong"/>
          <w:color w:val="000000"/>
          <w:sz w:val="28"/>
        </w:rPr>
        <w:t xml:space="preserve">提出质疑的供应商应当是参与所质疑项目采购活动的供应商。潜在供应商依法获取其可质疑的采购文件的，可以对采购文件提出质疑。</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28.2</w:t>
      </w:r>
      <w:r>
        <w:rPr>
          <w:rFonts w:ascii="FangSong" w:hAnsi="FangSong" w:eastAsia="FangSong" w:cs="FangSong"/>
          <w:color w:val="000000"/>
          <w:sz w:val="28"/>
        </w:rPr>
        <w:t xml:space="preserve">供应商认为采购文件、采购过程和采购结果使自己的权益受到损害的，可以在知道或应知其权益受到损害之日起七个工作日内，以书面形式根据下述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8"/>
        </w:rPr>
        <w:t xml:space="preserve">28.4</w:t>
      </w:r>
      <w:r>
        <w:rPr>
          <w:rFonts w:ascii="FangSong" w:hAnsi="FangSong" w:eastAsia="FangSong" w:cs="FangSong"/>
          <w:color w:val="000000"/>
          <w:sz w:val="28"/>
        </w:rPr>
        <w:t xml:space="preserve">条款的规定向采购中心或采购人提出质疑。上述应知其权益受到损害之日，是指：</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28.2.1</w:t>
      </w:r>
      <w:r>
        <w:rPr>
          <w:rFonts w:ascii="FangSong" w:hAnsi="FangSong" w:eastAsia="FangSong" w:cs="FangSong"/>
          <w:color w:val="000000"/>
          <w:sz w:val="28"/>
        </w:rPr>
        <w:t xml:space="preserve">对可以质疑的采购文件提出质疑的，为收到采购文件之日或者采购文件公告期限届满之日。</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28.2.2</w:t>
      </w:r>
      <w:r>
        <w:rPr>
          <w:rFonts w:ascii="FangSong" w:hAnsi="FangSong" w:eastAsia="FangSong" w:cs="FangSong"/>
          <w:color w:val="000000"/>
          <w:sz w:val="28"/>
        </w:rPr>
        <w:t xml:space="preserve">对采购过程提出质疑的，为各采购程序环节结束之日。</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28.2.3</w:t>
      </w:r>
      <w:r>
        <w:rPr>
          <w:rFonts w:ascii="FangSong" w:hAnsi="FangSong" w:eastAsia="FangSong" w:cs="FangSong"/>
          <w:color w:val="000000"/>
          <w:sz w:val="28"/>
        </w:rPr>
        <w:t xml:space="preserve">对成交结果提出质疑的，为成交结果公告期限届满之日。</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28.3</w:t>
      </w:r>
      <w:r>
        <w:rPr>
          <w:rFonts w:ascii="FangSong" w:hAnsi="FangSong" w:eastAsia="FangSong" w:cs="FangSong"/>
          <w:color w:val="000000"/>
          <w:sz w:val="28"/>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28.4 </w:t>
      </w:r>
      <w:r>
        <w:rPr>
          <w:rFonts w:ascii="FangSong" w:hAnsi="FangSong" w:eastAsia="FangSong" w:cs="FangSong"/>
          <w:color w:val="000000"/>
          <w:sz w:val="28"/>
        </w:rPr>
        <w:t xml:space="preserve">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采购人及采购中心只接收以纸质原件形式送达的质疑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建议供应商尽量通过邮寄方式提交质疑（采购人和采购中心不接受无快递运单号的快递）。</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采购中心质疑接收部门为质疑处理科（快递运单上的收件人填写</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质疑处理科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即可），联系地址：南京市汉中门大街</w:t>
      </w:r>
      <w:r>
        <w:rPr>
          <w:rFonts w:ascii="Times New Roman" w:hAnsi="Times New Roman" w:eastAsia="Times New Roman" w:cs="Times New Roman"/>
          <w:color w:val="000000"/>
          <w:sz w:val="28"/>
        </w:rPr>
        <w:t xml:space="preserve">145</w:t>
      </w:r>
      <w:r>
        <w:rPr>
          <w:rFonts w:ascii="FangSong" w:hAnsi="FangSong" w:eastAsia="FangSong" w:cs="FangSong"/>
          <w:color w:val="000000"/>
          <w:sz w:val="28"/>
        </w:rPr>
        <w:t xml:space="preserve">号省政务中心二期</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楼南区</w:t>
      </w:r>
      <w:r>
        <w:rPr>
          <w:rFonts w:ascii="Times New Roman" w:hAnsi="Times New Roman" w:eastAsia="Times New Roman" w:cs="Times New Roman"/>
          <w:color w:val="000000"/>
          <w:sz w:val="28"/>
        </w:rPr>
        <w:t xml:space="preserve">3029</w:t>
      </w:r>
      <w:r>
        <w:rPr>
          <w:rFonts w:ascii="FangSong" w:hAnsi="FangSong" w:eastAsia="FangSong" w:cs="FangSong"/>
          <w:color w:val="000000"/>
          <w:sz w:val="28"/>
        </w:rPr>
        <w:t xml:space="preserve">室，联系电话：</w:t>
      </w:r>
      <w:r>
        <w:rPr>
          <w:rFonts w:ascii="Times New Roman" w:hAnsi="Times New Roman" w:eastAsia="Times New Roman" w:cs="Times New Roman"/>
          <w:color w:val="000000"/>
          <w:sz w:val="28"/>
        </w:rPr>
        <w:t xml:space="preserve">025-83668531</w:t>
      </w:r>
      <w:r>
        <w:rPr>
          <w:rFonts w:ascii="FangSong" w:hAnsi="FangSong" w:eastAsia="FangSong" w:cs="FangSong"/>
          <w:color w:val="000000"/>
          <w:sz w:val="28"/>
        </w:rPr>
        <w:t xml:space="preserve">。</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采购人质疑接收人及联系方式见磋商文件第一章。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w:t>
      </w:r>
      <w:r>
        <w:rPr>
          <w:rFonts w:ascii="FangSong" w:hAnsi="FangSong" w:eastAsia="FangSong" w:cs="FangSong"/>
          <w:color w:val="000000"/>
          <w:sz w:val="28"/>
        </w:rPr>
        <w:t xml:space="preserve">以下情形的质疑不予受理</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28.5.1</w:t>
      </w:r>
      <w:r>
        <w:rPr>
          <w:rFonts w:ascii="FangSong" w:hAnsi="FangSong" w:eastAsia="FangSong" w:cs="FangSong"/>
          <w:color w:val="000000"/>
          <w:sz w:val="28"/>
        </w:rPr>
        <w:t xml:space="preserve">内容不符合《政府采购质疑和投诉办法》第十二条规定的质疑。</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28.5.2</w:t>
      </w:r>
      <w:r>
        <w:rPr>
          <w:rFonts w:ascii="FangSong" w:hAnsi="FangSong" w:eastAsia="FangSong" w:cs="FangSong"/>
          <w:color w:val="000000"/>
          <w:sz w:val="28"/>
        </w:rPr>
        <w:t xml:space="preserve">超出政府采购法定期限的质疑。</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28.5.3</w:t>
      </w:r>
      <w:r>
        <w:rPr>
          <w:rFonts w:ascii="FangSong" w:hAnsi="FangSong" w:eastAsia="FangSong" w:cs="FangSong"/>
          <w:color w:val="000000"/>
          <w:sz w:val="28"/>
        </w:rPr>
        <w:t xml:space="preserve">以传真、电子邮件等方式递交的非原件形式的质疑。</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28.5.4</w:t>
      </w:r>
      <w:r>
        <w:rPr>
          <w:rFonts w:ascii="FangSong" w:hAnsi="FangSong" w:eastAsia="FangSong" w:cs="FangSong"/>
          <w:color w:val="000000"/>
          <w:sz w:val="28"/>
        </w:rPr>
        <w:t xml:space="preserve">未参加磋商活动的供应商或在磋商活动中自身权益未受到损害的供应商所提出的质疑。</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28.5.5</w:t>
      </w:r>
      <w:r>
        <w:rPr>
          <w:rFonts w:ascii="FangSong" w:hAnsi="FangSong" w:eastAsia="FangSong" w:cs="FangSong"/>
          <w:color w:val="000000"/>
          <w:sz w:val="28"/>
        </w:rPr>
        <w:t xml:space="preserve">供应商组成联合体参加磋商，联合体中任何一方或多方未按要求签字、盖章、加盖公章的质疑。</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28.6</w:t>
      </w:r>
      <w:r>
        <w:rPr>
          <w:rFonts w:ascii="FangSong" w:hAnsi="FangSong" w:eastAsia="FangSong" w:cs="FangSong"/>
          <w:color w:val="000000"/>
          <w:sz w:val="28"/>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w:t>
      </w:r>
      <w:r>
        <w:rPr>
          <w:rFonts w:ascii="FangSong" w:hAnsi="FangSong" w:eastAsia="FangSong" w:cs="FangSong"/>
          <w:color w:val="000000"/>
          <w:sz w:val="28"/>
          <w:u w:val="none"/>
        </w:rPr>
        <w:t xml:space="preserve">成交通知书</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29.1</w:t>
      </w:r>
      <w:r>
        <w:rPr>
          <w:rFonts w:ascii="FangSong" w:hAnsi="FangSong" w:eastAsia="FangSong" w:cs="FangSong"/>
          <w:color w:val="000000"/>
          <w:sz w:val="28"/>
        </w:rPr>
        <w:t xml:space="preserve">成交结果确定后，采购中心将向成交供应商发出成交通知书。请成交供应商在成交结果公告届满之日起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使用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数字证书登录苏采云系统及时下载成交通知书。因系统存储空间有限，自成交结果公告届满之日起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日后，苏采云系统不再保证提供下载成交通知书服务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因未及时下载而造成的不利后果由成交供应商自行承担。</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29.2</w:t>
      </w:r>
      <w:r>
        <w:rPr>
          <w:rFonts w:ascii="FangSong" w:hAnsi="FangSong" w:eastAsia="FangSong" w:cs="FangSong"/>
          <w:color w:val="000000"/>
          <w:sz w:val="28"/>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560"/>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七、授予合同</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w:t>
      </w:r>
      <w:r>
        <w:rPr>
          <w:rFonts w:ascii="FangSong" w:hAnsi="FangSong" w:eastAsia="FangSong" w:cs="FangSong"/>
          <w:color w:val="000000"/>
          <w:sz w:val="28"/>
          <w:u w:val="none"/>
        </w:rPr>
        <w:t xml:space="preserve">签订合同</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30.l</w:t>
      </w:r>
      <w:r>
        <w:rPr>
          <w:rFonts w:ascii="FangSong" w:hAnsi="FangSong" w:eastAsia="FangSong" w:cs="FangSong"/>
          <w:color w:val="000000"/>
          <w:sz w:val="28"/>
        </w:rPr>
        <w:t xml:space="preserve">成交供应商应当在成交通知书发出之日起三十日内，按照磋商文件确定的事项与采购人签订政府采购合同。</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30.2</w:t>
      </w:r>
      <w:r>
        <w:rPr>
          <w:rFonts w:ascii="FangSong" w:hAnsi="FangSong" w:eastAsia="FangSong" w:cs="FangSong"/>
          <w:color w:val="000000"/>
          <w:sz w:val="28"/>
        </w:rPr>
        <w:t xml:space="preserve">磋商文件、成交供应商的响应文件及磋商过程中有关澄清、承诺文件均应作为合同附件。</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30.3</w:t>
      </w:r>
      <w:r>
        <w:rPr>
          <w:rFonts w:ascii="FangSong" w:hAnsi="FangSong" w:eastAsia="FangSong" w:cs="FangSong"/>
          <w:color w:val="000000"/>
          <w:sz w:val="28"/>
        </w:rPr>
        <w:t xml:space="preserve">签订合同后，成交供应商不得将合同标的进行转包。未经采购人同意，成交供应商也不得采用分包形式履行合同，否则采购人有权终止合同；成交供应商不得将本项目主体、关键性工作进行分包。转包或分包造成采购人损失的，成交供应商应承担相应赔偿责任。</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标的物的追加</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31.1</w:t>
      </w:r>
      <w:r>
        <w:rPr>
          <w:rFonts w:ascii="FangSong" w:hAnsi="FangSong" w:eastAsia="FangSong" w:cs="FangSong"/>
          <w:color w:val="000000"/>
          <w:sz w:val="28"/>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政府采购履约资金扶持政策</w:t>
      </w:r>
      <w:r/>
    </w:p>
    <w:p>
      <w:pPr>
        <w:ind w:left="0" w:right="0" w:firstLine="56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成交供应商可凭政府采购合同办理融资贷款，详情请见江苏政府采购网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专栏。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第三章合同</w:t>
      </w:r>
      <w:r>
        <w:rPr>
          <w:rFonts w:ascii="SimHei" w:hAnsi="SimHei" w:eastAsia="SimHei" w:cs="SimHei"/>
          <w:color w:val="000000"/>
          <w:sz w:val="32"/>
        </w:rPr>
        <w:t xml:space="preserve">文本</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江苏省政府采购合同（服务）（合同编号）</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rPr>
          <w:rFonts w:ascii="Times New Roman" w:hAnsi="Times New Roman" w:eastAsia="Times New Roman" w:cs="Times New Roman"/>
          <w:color w:val="000000"/>
          <w:sz w:val="28"/>
        </w:rPr>
        <w:t xml:space="preserve">XXXX                                    </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采购编号：</w:t>
      </w:r>
      <w:r>
        <w:rPr>
          <w:rFonts w:ascii="Times New Roman" w:hAnsi="Times New Roman" w:eastAsia="Times New Roman" w:cs="Times New Roman"/>
          <w:color w:val="000000"/>
          <w:sz w:val="28"/>
        </w:rPr>
        <w:t xml:space="preserve">JSZC-320000-SCZX-C20XX-XXXX  </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采购包号：</w:t>
      </w:r>
      <w:r>
        <w:rPr>
          <w:rFonts w:ascii="Times New Roman" w:hAnsi="Times New Roman" w:eastAsia="Times New Roman" w:cs="Times New Roman"/>
          <w:color w:val="000000"/>
          <w:sz w:val="28"/>
        </w:rPr>
        <w:t xml:space="preserve">XX</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甲方：（买方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采购人）</w:t>
      </w:r>
      <w:r>
        <w:rPr>
          <w:rFonts w:ascii="Times New Roman" w:hAnsi="Times New Roman" w:eastAsia="Times New Roman" w:cs="Times New Roman"/>
          <w:color w:val="000000"/>
          <w:sz w:val="28"/>
        </w:rPr>
        <w:t xml:space="preserve">_________</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乙方：（卖方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成交供应商）</w:t>
      </w:r>
      <w:r>
        <w:rPr>
          <w:rFonts w:ascii="Times New Roman" w:hAnsi="Times New Roman" w:eastAsia="Times New Roman" w:cs="Times New Roman"/>
          <w:color w:val="000000"/>
          <w:sz w:val="28"/>
        </w:rPr>
        <w:t xml:space="preserve">_________</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甲、乙双方根据江苏省政府采购中心</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项目竞争性磋商的结果，签署本合同。</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一、合同内容</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 </w:t>
      </w:r>
      <w:r>
        <w:rPr>
          <w:rFonts w:ascii="FangSong" w:hAnsi="FangSong" w:eastAsia="FangSong" w:cs="FangSong"/>
          <w:color w:val="000000"/>
          <w:sz w:val="28"/>
        </w:rPr>
        <w:t xml:space="preserve">标的名称：</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 </w:t>
      </w:r>
      <w:r>
        <w:rPr>
          <w:rFonts w:ascii="FangSong" w:hAnsi="FangSong" w:eastAsia="FangSong" w:cs="FangSong"/>
          <w:color w:val="000000"/>
          <w:sz w:val="28"/>
        </w:rPr>
        <w:t xml:space="preserve">标的质量：</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 </w:t>
      </w:r>
      <w:r>
        <w:rPr>
          <w:rFonts w:ascii="FangSong" w:hAnsi="FangSong" w:eastAsia="FangSong" w:cs="FangSong"/>
          <w:color w:val="000000"/>
          <w:sz w:val="28"/>
        </w:rPr>
        <w:t xml:space="preserve">标的数量（规模）：</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 </w:t>
      </w:r>
      <w:r>
        <w:rPr>
          <w:rFonts w:ascii="FangSong" w:hAnsi="FangSong" w:eastAsia="FangSong" w:cs="FangSong"/>
          <w:color w:val="000000"/>
          <w:sz w:val="28"/>
        </w:rPr>
        <w:t xml:space="preserve">履行时间（期限）：</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 </w:t>
      </w:r>
      <w:r>
        <w:rPr>
          <w:rFonts w:ascii="FangSong" w:hAnsi="FangSong" w:eastAsia="FangSong" w:cs="FangSong"/>
          <w:color w:val="000000"/>
          <w:sz w:val="28"/>
        </w:rPr>
        <w:t xml:space="preserve">履行地点：</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 </w:t>
      </w:r>
      <w:r>
        <w:rPr>
          <w:rFonts w:ascii="FangSong" w:hAnsi="FangSong" w:eastAsia="FangSong" w:cs="FangSong"/>
          <w:color w:val="000000"/>
          <w:sz w:val="28"/>
        </w:rPr>
        <w:t xml:space="preserve">履行方式：</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二、合同金额</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 </w:t>
      </w:r>
      <w:r>
        <w:rPr>
          <w:rFonts w:ascii="FangSong" w:hAnsi="FangSong" w:eastAsia="FangSong" w:cs="FangSong"/>
          <w:color w:val="000000"/>
          <w:sz w:val="28"/>
        </w:rPr>
        <w:t xml:space="preserve">本合同金额为（大写）：</w:t>
      </w:r>
      <w:r>
        <w:rPr>
          <w:rFonts w:ascii="Times New Roman" w:hAnsi="Times New Roman" w:eastAsia="Times New Roman" w:cs="Times New Roman"/>
          <w:color w:val="000000"/>
          <w:sz w:val="28"/>
        </w:rPr>
        <w:t xml:space="preserve">______</w:t>
      </w:r>
      <w:r>
        <w:rPr>
          <w:rFonts w:ascii="FangSong" w:hAnsi="FangSong" w:eastAsia="FangSong" w:cs="FangSong"/>
          <w:color w:val="000000"/>
          <w:sz w:val="28"/>
        </w:rPr>
        <w:t xml:space="preserve">圆（</w:t>
      </w:r>
      <w:r>
        <w:rPr>
          <w:rFonts w:ascii="Times New Roman" w:hAnsi="Times New Roman" w:eastAsia="Times New Roman" w:cs="Times New Roman"/>
          <w:color w:val="000000"/>
          <w:sz w:val="28"/>
        </w:rPr>
        <w:t xml:space="preserve">_____</w:t>
      </w:r>
      <w:r>
        <w:rPr>
          <w:rFonts w:ascii="FangSong" w:hAnsi="FangSong" w:eastAsia="FangSong" w:cs="FangSong"/>
          <w:color w:val="000000"/>
          <w:sz w:val="28"/>
        </w:rPr>
        <w:t xml:space="preserve">元）人民币或其他币种。</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三、技术资料</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乙方应按磋商文件规定的时间向甲方提供与合同标的有关的技术资料。</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 </w:t>
      </w:r>
      <w:r>
        <w:rPr>
          <w:rFonts w:ascii="FangSong" w:hAnsi="FangSong" w:eastAsia="FangSong" w:cs="FangSong"/>
          <w:color w:val="000000"/>
          <w:sz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四、知识产权</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乙方应保证甲方在使用、接受本合同标的（包含与服务相关的货物）或其任何一部分时不受第三方提出侵犯其专利权、版权、商标权和工业设计权等知识产权的起诉。一旦出现侵权，由乙方负全部责任。</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本项目中产生的所有资料，知识产权归属于甲方。项目结束时，本项目所涉及的所有程序源代码、脚本及参数、系统设计文档等所有文档必须全部提交给甲方，乙方不得在其他场合、项目中使用。</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五、产权担保</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 </w:t>
      </w:r>
      <w:r>
        <w:rPr>
          <w:rFonts w:ascii="FangSong" w:hAnsi="FangSong" w:eastAsia="FangSong" w:cs="FangSong"/>
          <w:color w:val="000000"/>
          <w:sz w:val="28"/>
        </w:rPr>
        <w:t xml:space="preserve">乙方保证所交付的合同标的（包含与服务相关的货物）的所有权完全属于乙方且无任何抵押、查封等产权瑕疵。</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六、履约保证金</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 </w:t>
      </w:r>
      <w:r>
        <w:rPr>
          <w:rFonts w:ascii="FangSong" w:hAnsi="FangSong" w:eastAsia="FangSong" w:cs="FangSong"/>
          <w:color w:val="000000"/>
          <w:sz w:val="28"/>
        </w:rPr>
        <w:t xml:space="preserve">乙方交纳人民币</w:t>
      </w:r>
      <w:r>
        <w:rPr>
          <w:rFonts w:ascii="Times New Roman" w:hAnsi="Times New Roman" w:eastAsia="Times New Roman" w:cs="Times New Roman"/>
          <w:color w:val="000000"/>
          <w:sz w:val="28"/>
        </w:rPr>
        <w:t xml:space="preserve">____/_____</w:t>
      </w:r>
      <w:r>
        <w:rPr>
          <w:rFonts w:ascii="FangSong" w:hAnsi="FangSong" w:eastAsia="FangSong" w:cs="FangSong"/>
          <w:color w:val="000000"/>
          <w:sz w:val="28"/>
        </w:rPr>
        <w:t xml:space="preserve">元作为本合同的履约保证金。（不得超过合同金额的</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合同履行结束后，甲方应及时退还交纳的履约保证金。</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6.2.1</w:t>
      </w:r>
      <w:r>
        <w:rPr>
          <w:rFonts w:ascii="FangSong" w:hAnsi="FangSong" w:eastAsia="FangSong" w:cs="FangSong"/>
          <w:color w:val="000000"/>
          <w:sz w:val="28"/>
        </w:rPr>
        <w:t xml:space="preserve">履约保证金退还方式：</w:t>
      </w:r>
      <w:r>
        <w:rPr>
          <w:rFonts w:ascii="Times New Roman" w:hAnsi="Times New Roman" w:eastAsia="Times New Roman" w:cs="Times New Roman"/>
          <w:color w:val="000000"/>
          <w:sz w:val="28"/>
        </w:rPr>
        <w:t xml:space="preserve">XXXX</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6.2.2</w:t>
      </w:r>
      <w:r>
        <w:rPr>
          <w:rFonts w:ascii="FangSong" w:hAnsi="FangSong" w:eastAsia="FangSong" w:cs="FangSong"/>
          <w:color w:val="000000"/>
          <w:sz w:val="28"/>
        </w:rPr>
        <w:t xml:space="preserve">履约保证金退还时间：</w:t>
      </w:r>
      <w:r>
        <w:rPr>
          <w:rFonts w:ascii="Times New Roman" w:hAnsi="Times New Roman" w:eastAsia="Times New Roman" w:cs="Times New Roman"/>
          <w:color w:val="000000"/>
          <w:sz w:val="28"/>
        </w:rPr>
        <w:t xml:space="preserve">XXXX</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6.2.3</w:t>
      </w:r>
      <w:r>
        <w:rPr>
          <w:rFonts w:ascii="FangSong" w:hAnsi="FangSong" w:eastAsia="FangSong" w:cs="FangSong"/>
          <w:color w:val="000000"/>
          <w:sz w:val="28"/>
        </w:rPr>
        <w:t xml:space="preserve">履约保证金退还条件：</w:t>
      </w:r>
      <w:r>
        <w:rPr>
          <w:rFonts w:ascii="Times New Roman" w:hAnsi="Times New Roman" w:eastAsia="Times New Roman" w:cs="Times New Roman"/>
          <w:color w:val="000000"/>
          <w:sz w:val="28"/>
        </w:rPr>
        <w:t xml:space="preserve">XXXX</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6.2.4</w:t>
      </w:r>
      <w:r>
        <w:rPr>
          <w:rFonts w:ascii="FangSong" w:hAnsi="FangSong" w:eastAsia="FangSong" w:cs="FangSong"/>
          <w:color w:val="000000"/>
          <w:sz w:val="28"/>
        </w:rPr>
        <w:t xml:space="preserve">履约保证金不予退还的情形：</w:t>
      </w:r>
      <w:r>
        <w:rPr>
          <w:rFonts w:ascii="Times New Roman" w:hAnsi="Times New Roman" w:eastAsia="Times New Roman" w:cs="Times New Roman"/>
          <w:color w:val="000000"/>
          <w:sz w:val="28"/>
        </w:rPr>
        <w:t xml:space="preserve">XXXX</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七、合同转包或分包</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w:t>
      </w:r>
      <w:r>
        <w:rPr>
          <w:rFonts w:ascii="FangSong" w:hAnsi="FangSong" w:eastAsia="FangSong" w:cs="FangSong"/>
          <w:color w:val="000000"/>
          <w:sz w:val="28"/>
        </w:rPr>
        <w:t xml:space="preserve">乙方不得将合同标的转包给他人履行。</w:t>
      </w:r>
      <w:r/>
    </w:p>
    <w:p>
      <w:pPr>
        <w:ind w:left="0" w:right="0" w:firstLine="560"/>
        <w:jc w:val="both"/>
        <w:spacing w:before="120" w:after="12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8"/>
        </w:rPr>
        <w:t xml:space="preserve">7.2</w:t>
      </w:r>
      <w:r>
        <w:rPr>
          <w:rFonts w:ascii="FangSong" w:hAnsi="FangSong" w:eastAsia="FangSong" w:cs="FangSong"/>
          <w:color w:val="000000" w:themeColor="text1"/>
          <w:sz w:val="28"/>
        </w:rPr>
        <w:t xml:space="preserve">未经采购人同意，乙方不得将合同标的分包给他人履行。</w:t>
      </w:r>
      <w:r>
        <w:rPr>
          <w:color w:val="000000" w:themeColor="text1"/>
        </w:rP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8"/>
        </w:rPr>
        <w:t xml:space="preserve">7.3</w:t>
      </w:r>
      <w:r>
        <w:rPr>
          <w:rFonts w:ascii="FangSong" w:hAnsi="FangSong" w:eastAsia="FangSong" w:cs="FangSong"/>
          <w:color w:val="000000" w:themeColor="text1"/>
          <w:spacing w:val="-6"/>
          <w:sz w:val="28"/>
        </w:rPr>
        <w:t xml:space="preserve">乙方如有转包或未经甲方同意的分包行为，甲方有权解除</w:t>
      </w:r>
      <w:r>
        <w:rPr>
          <w:rFonts w:ascii="FangSong" w:hAnsi="FangSong" w:eastAsia="FangSong" w:cs="FangSong"/>
          <w:color w:val="000000"/>
          <w:spacing w:val="-6"/>
          <w:sz w:val="28"/>
        </w:rPr>
        <w:t xml:space="preserve">合同。</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八、合同款项支付</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w:t>
      </w:r>
      <w:r>
        <w:rPr>
          <w:rFonts w:ascii="FangSong" w:hAnsi="FangSong" w:eastAsia="FangSong" w:cs="FangSong"/>
          <w:color w:val="000000"/>
          <w:sz w:val="28"/>
        </w:rPr>
        <w:t xml:space="preserve">合同款项的支付方式及进度安排</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合同签订并收到乙方发票</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个工作日内付至合同总金额</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；初验完成并收到对应发票</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个工作日内，支付至合同总金额的</w:t>
      </w:r>
      <w:r>
        <w:rPr>
          <w:rFonts w:ascii="Times New Roman" w:hAnsi="Times New Roman" w:eastAsia="Times New Roman" w:cs="Times New Roman"/>
          <w:color w:val="000000"/>
          <w:sz w:val="28"/>
        </w:rPr>
        <w:t xml:space="preserve">70%</w:t>
      </w:r>
      <w:r>
        <w:rPr>
          <w:rFonts w:ascii="FangSong" w:hAnsi="FangSong" w:eastAsia="FangSong" w:cs="FangSong"/>
          <w:color w:val="000000"/>
          <w:sz w:val="28"/>
        </w:rPr>
        <w:t xml:space="preserve">（含首付款）；终验完成并收到对应发票</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个工作日内，支付合同剩余款项。</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 </w:t>
      </w:r>
      <w:r>
        <w:rPr>
          <w:rFonts w:ascii="FangSong" w:hAnsi="FangSong" w:eastAsia="FangSong" w:cs="FangSong"/>
          <w:color w:val="000000"/>
          <w:sz w:val="28"/>
        </w:rPr>
        <w:t xml:space="preserve">如遇财政拨款不到位等原因，双方可友好协商，延期支付合同款项，因此而延迟支付的，甲方无须承担任何赔偿或者补偿责任。</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九、税费</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w:t>
      </w:r>
      <w:r>
        <w:rPr>
          <w:rFonts w:ascii="FangSong" w:hAnsi="FangSong" w:eastAsia="FangSong" w:cs="FangSong"/>
          <w:color w:val="000000"/>
          <w:sz w:val="28"/>
        </w:rPr>
        <w:t xml:space="preserve">本合同执行中相关的一切税费均由乙方负担。</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十、项目验收</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 </w:t>
      </w:r>
      <w:r>
        <w:rPr>
          <w:rFonts w:ascii="FangSong" w:hAnsi="FangSong" w:eastAsia="FangSong" w:cs="FangSong"/>
          <w:color w:val="000000"/>
          <w:sz w:val="28"/>
        </w:rPr>
        <w:t xml:space="preserve">甲方依法组织履约验收工作。</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 </w:t>
      </w:r>
      <w:r>
        <w:rPr>
          <w:rFonts w:ascii="FangSong" w:hAnsi="FangSong" w:eastAsia="FangSong" w:cs="FangSong"/>
          <w:color w:val="000000"/>
          <w:sz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 </w:t>
      </w:r>
      <w:r>
        <w:rPr>
          <w:rFonts w:ascii="FangSong" w:hAnsi="FangSong" w:eastAsia="FangSong" w:cs="FangSong"/>
          <w:color w:val="000000"/>
          <w:sz w:val="28"/>
        </w:rPr>
        <w:t xml:space="preserve">对于实际使用人和甲方分离的项目，甲方邀请实际使用人参与验收。</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 </w:t>
      </w:r>
      <w:r>
        <w:rPr>
          <w:rFonts w:ascii="FangSong" w:hAnsi="FangSong" w:eastAsia="FangSong" w:cs="FangSong"/>
          <w:color w:val="000000"/>
          <w:sz w:val="28"/>
        </w:rPr>
        <w:t xml:space="preserve">如有必要，甲方邀请参加本项目的其他供应商或第三方专业机构及专家参与验收，相关意见将作为验收书的参考资料。</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10.5 </w:t>
      </w:r>
      <w:r>
        <w:rPr>
          <w:rFonts w:ascii="FangSong" w:hAnsi="FangSong" w:eastAsia="FangSong" w:cs="FangSong"/>
          <w:color w:val="000000"/>
          <w:sz w:val="28"/>
        </w:rPr>
        <w:t xml:space="preserve">甲方成立验收小组，按照采购合同的约定对乙方的履约情况进行验收。验收时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甲方按照采购合同的约定对每一项技术、服务、安全标准的履约情况进行确认。验收结束后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验收小组出具验收书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列明各项标准的验收情况及项目总体评价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由验收双方共同签署。验收结果与采购合同约定的资金支付及履约保证金返还条件挂钩。履约验收的各项资料存档备查。</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10.6 </w:t>
      </w:r>
      <w:r>
        <w:rPr>
          <w:rFonts w:ascii="FangSong" w:hAnsi="FangSong" w:eastAsia="FangSong" w:cs="FangSong"/>
          <w:color w:val="000000"/>
          <w:sz w:val="28"/>
        </w:rPr>
        <w:t xml:space="preserve">验收合格的项目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甲方将及时报告本级财政部门。</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十一、违约责任</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 </w:t>
      </w:r>
      <w:r>
        <w:rPr>
          <w:rFonts w:ascii="FangSong" w:hAnsi="FangSong" w:eastAsia="FangSong" w:cs="FangSong"/>
          <w:color w:val="000000"/>
          <w:sz w:val="28"/>
        </w:rPr>
        <w:t xml:space="preserve">甲方无正当理由拒绝接受乙方提供的合同标的的，甲方向乙方偿付拒绝接受合同价款总值</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的违约金。</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 </w:t>
      </w:r>
      <w:r>
        <w:rPr>
          <w:rFonts w:ascii="FangSong" w:hAnsi="FangSong" w:eastAsia="FangSong" w:cs="FangSong"/>
          <w:color w:val="000000"/>
          <w:sz w:val="28"/>
        </w:rPr>
        <w:t xml:space="preserve">甲方无故逾期验收和办理合同款项支付手续的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甲方应按逾期付款总额</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每日向乙方支付违约金。</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 </w:t>
      </w:r>
      <w:r>
        <w:rPr>
          <w:rFonts w:ascii="FangSong" w:hAnsi="FangSong" w:eastAsia="FangSong" w:cs="FangSong"/>
          <w:color w:val="000000"/>
          <w:sz w:val="28"/>
        </w:rPr>
        <w:t xml:space="preserve">乙方逾期交付合同标的的，乙方应按逾期交付合同总额每日万分之五向甲方支付违约金，由甲方从待付合同款项中扣除。逾期超过约定日期</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个工作日不能交付合同标的的，甲方可解除本合同。乙方因逾期交付合同标的或因其他违约行为导致甲方解除合同的，乙方应向甲方支付合同价款总额</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的违约金，如造成甲方损失超过违约金的，超出部分由乙方继续承担赔偿责任。</w:t>
      </w:r>
      <w:r>
        <w:rPr>
          <w:rFonts w:ascii="Times New Roman" w:hAnsi="Times New Roman" w:eastAsia="Times New Roman" w:cs="Times New Roman"/>
          <w:color w:val="000000"/>
          <w:sz w:val="28"/>
        </w:rPr>
        <w:t xml:space="preserve"> </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11.4 </w:t>
      </w:r>
      <w:r>
        <w:rPr>
          <w:rFonts w:ascii="FangSong" w:hAnsi="FangSong" w:eastAsia="FangSong" w:cs="FangSong"/>
          <w:color w:val="000000"/>
          <w:sz w:val="28"/>
        </w:rPr>
        <w:t xml:space="preserve">乙方交付合同标的的标准不符合合同规定及磋商文件规定标准的，甲方有权拒绝接受合同标的，并可单方面解除合同。</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十二、不可抗力事件处理</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 </w:t>
      </w:r>
      <w:r>
        <w:rPr>
          <w:rFonts w:ascii="FangSong" w:hAnsi="FangSong" w:eastAsia="FangSong" w:cs="FangSong"/>
          <w:color w:val="000000"/>
          <w:sz w:val="28"/>
        </w:rPr>
        <w:t xml:space="preserve">在合同有效期内，任何一方因不可抗力事件导致不能履行合同，则合同履行期可延长，其延长期与不可抗力影响期相同。</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 </w:t>
      </w:r>
      <w:r>
        <w:rPr>
          <w:rFonts w:ascii="FangSong" w:hAnsi="FangSong" w:eastAsia="FangSong" w:cs="FangSong"/>
          <w:color w:val="000000"/>
          <w:sz w:val="28"/>
        </w:rPr>
        <w:t xml:space="preserve">不可抗力事件发生后，应立即通知对方，并寄送有关权威机构出具的证明。</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 </w:t>
      </w:r>
      <w:r>
        <w:rPr>
          <w:rFonts w:ascii="FangSong" w:hAnsi="FangSong" w:eastAsia="FangSong" w:cs="FangSong"/>
          <w:color w:val="000000"/>
          <w:sz w:val="28"/>
        </w:rPr>
        <w:t xml:space="preserve">不可抗力事件延续</w:t>
      </w:r>
      <w:r>
        <w:rPr>
          <w:rFonts w:ascii="Times New Roman" w:hAnsi="Times New Roman" w:eastAsia="Times New Roman" w:cs="Times New Roman"/>
          <w:color w:val="000000"/>
          <w:sz w:val="28"/>
        </w:rPr>
        <w:t xml:space="preserve">120</w:t>
      </w:r>
      <w:r>
        <w:rPr>
          <w:rFonts w:ascii="FangSong" w:hAnsi="FangSong" w:eastAsia="FangSong" w:cs="FangSong"/>
          <w:color w:val="000000"/>
          <w:sz w:val="28"/>
        </w:rPr>
        <w:t xml:space="preserve">天以上，双方应通过友好协商，确定是否继续履行合同。</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十三、解决争议的方法</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w:t>
      </w:r>
      <w:r>
        <w:rPr>
          <w:rFonts w:ascii="FangSong" w:hAnsi="FangSong" w:eastAsia="FangSong" w:cs="FangSong"/>
          <w:color w:val="000000"/>
          <w:sz w:val="28"/>
        </w:rPr>
        <w:t xml:space="preserve">双方在签订、履行合同中所发生的一切争议，应通过友好协商解决。如协商不成，由甲方住所地人民法院管辖。</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十四、合同生效及其它</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 </w:t>
      </w:r>
      <w:r>
        <w:rPr>
          <w:rFonts w:ascii="FangSong" w:hAnsi="FangSong" w:eastAsia="FangSong" w:cs="FangSong"/>
          <w:color w:val="000000"/>
          <w:sz w:val="28"/>
        </w:rPr>
        <w:t xml:space="preserve">合同经双方法定代表人或授权委托代表人签字并加盖单位公章后生效。</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w:t>
      </w:r>
      <w:r>
        <w:rPr>
          <w:rFonts w:ascii="FangSong" w:hAnsi="FangSong" w:eastAsia="FangSong" w:cs="FangSong"/>
          <w:color w:val="000000"/>
          <w:sz w:val="28"/>
        </w:rPr>
        <w:t xml:space="preserve">本合同未尽事宜，遵照中华人民共和国现行法律法规有关条文执行。</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 </w:t>
      </w:r>
      <w:r>
        <w:rPr>
          <w:rFonts w:ascii="FangSong" w:hAnsi="FangSong" w:eastAsia="FangSong" w:cs="FangSong"/>
          <w:color w:val="000000"/>
          <w:sz w:val="28"/>
        </w:rPr>
        <w:t xml:space="preserve">本合同正本一式两份，具有同等法律效力，甲方、乙方各执一份。</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甲方：乙方：</w:t>
      </w:r>
      <w:r>
        <w:rPr>
          <w:rFonts w:ascii="Times New Roman" w:hAnsi="Times New Roman" w:eastAsia="Times New Roman" w:cs="Times New Roman"/>
          <w:color w:val="000000"/>
          <w:sz w:val="28"/>
        </w:rPr>
        <w:t xml:space="preserve">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地址：地址：</w:t>
      </w:r>
      <w:r>
        <w:rPr>
          <w:rFonts w:ascii="Times New Roman" w:hAnsi="Times New Roman" w:eastAsia="Times New Roman" w:cs="Times New Roman"/>
          <w:color w:val="000000"/>
          <w:sz w:val="28"/>
        </w:rPr>
        <w:t xml:space="preserve">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法定代表人或授权代表：法定代表人或授权代表：</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联系电话：联系电话：</w:t>
      </w:r>
      <w:r/>
    </w:p>
    <w:p>
      <w:pPr>
        <w:ind w:left="0" w:right="0" w:firstLine="56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center"/>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签订日期：年月日</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第四章采购需求</w:t>
      </w:r>
      <w:r/>
    </w:p>
    <w:p>
      <w:pPr>
        <w:ind w:left="0" w:right="0" w:firstLine="482"/>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一、采购标的清单</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73"/>
        <w:gridCol w:w="3911"/>
        <w:gridCol w:w="40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4"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江苏省“</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信息化平台国产化适配改造项目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4"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软件和信息技术服务业</w:t>
            </w:r>
            <w:r/>
          </w:p>
        </w:tc>
      </w:tr>
    </w:tbl>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2"/>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二、政府采购中实施本国产品标准及相关政策</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号）规定，本项目对采购本国产品给予政策支持，具体内容见磋商文件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第五章 评审方法与评审标准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三、技术要求</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Times New Roman" w:hAnsi="Times New Roman" w:eastAsia="Times New Roman" w:cs="Times New Roman"/>
          <w:i/>
          <w:color w:val="000000"/>
          <w:sz w:val="24"/>
          <w:u w:val="single"/>
        </w:rPr>
        <w:t xml:space="preserve"> </w:t>
      </w:r>
      <w:r>
        <w:rPr>
          <w:rFonts w:ascii="SimSun" w:hAnsi="SimSun" w:eastAsia="SimSun" w:cs="SimSun"/>
          <w:b/>
          <w:i/>
          <w:color w:val="000000"/>
          <w:sz w:val="24"/>
          <w:u w:val="single"/>
        </w:rPr>
        <w:t xml:space="preserve">斜体且有下划线部分</w:t>
      </w:r>
      <w:r>
        <w:rPr>
          <w:rFonts w:ascii="Times New Roman" w:hAnsi="Times New Roman" w:eastAsia="Times New Roman" w:cs="Times New Roman"/>
          <w:b/>
          <w:i/>
          <w:color w:val="000000"/>
          <w:sz w:val="24"/>
          <w:u w:val="single"/>
        </w:rPr>
        <w:t xml:space="preserve"> </w:t>
      </w:r>
      <w:r>
        <w:rPr>
          <w:rFonts w:ascii="SimSun" w:hAnsi="SimSun" w:eastAsia="SimSun" w:cs="SimSun"/>
          <w:color w:val="000000"/>
          <w:sz w:val="24"/>
        </w:rPr>
        <w:t xml:space="preserve">或加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号条款为实质性要求。</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w:t>
      </w:r>
      <w:r>
        <w:rPr>
          <w:rFonts w:ascii="Times New Roman" w:hAnsi="Times New Roman" w:eastAsia="Times New Roman" w:cs="Times New Roman"/>
          <w:b/>
          <w:color w:val="000000"/>
          <w:sz w:val="28"/>
        </w:rPr>
        <w:t xml:space="preserve">1 </w:t>
      </w:r>
      <w:r>
        <w:rPr>
          <w:rFonts w:ascii="SimSun" w:hAnsi="SimSun" w:eastAsia="SimSun" w:cs="SimSun"/>
          <w:b/>
          <w:color w:val="000000"/>
          <w:sz w:val="28"/>
        </w:rPr>
        <w:t xml:space="preserve">项目概况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息化平台是江苏省残疾人联合会为深入贯彻落实国家关于信息化建设与残疾人事业发展的战略部署，推动残疾人服务数字化转型而构建的全省核心信息化支撑平台。平台覆盖残疾人证办理、人工耳蜗救助、康复服务、辅具适配、托养照护、教育补贴、内部协同办公等全业务场景。面向省、市、县、乡四级残联工作人员，提供一体化业务管理与数据分析能力；面向残疾群众推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一网通办</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、高效办成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等便民服务；面向助残服务机构，实现服务数据实时采集与机构运行动态监管，全方位支撑全省助残服务数字化落地。</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平台采用</w:t>
      </w:r>
      <w:r>
        <w:rPr>
          <w:rFonts w:ascii="Times New Roman" w:hAnsi="Times New Roman" w:eastAsia="Times New Roman" w:cs="Times New Roman"/>
          <w:color w:val="000000"/>
          <w:sz w:val="24"/>
        </w:rPr>
        <w:t xml:space="preserve">Java EE</w:t>
      </w:r>
      <w:r>
        <w:rPr>
          <w:rFonts w:ascii="SimSun" w:hAnsi="SimSun" w:eastAsia="SimSun" w:cs="SimSun"/>
          <w:color w:val="000000"/>
          <w:sz w:val="24"/>
        </w:rPr>
        <w:t xml:space="preserve">技术体系，基于</w:t>
      </w:r>
      <w:r>
        <w:rPr>
          <w:rFonts w:ascii="Times New Roman" w:hAnsi="Times New Roman" w:eastAsia="Times New Roman" w:cs="Times New Roman"/>
          <w:color w:val="000000"/>
          <w:sz w:val="24"/>
        </w:rPr>
        <w:t xml:space="preserve">Springboot + Dubbo + Mybatisplus</w:t>
      </w:r>
      <w:r>
        <w:rPr>
          <w:rFonts w:ascii="SimSun" w:hAnsi="SimSun" w:eastAsia="SimSun" w:cs="SimSun"/>
          <w:color w:val="000000"/>
          <w:sz w:val="24"/>
        </w:rPr>
        <w:t xml:space="preserve">的企业级应用基础开发框架，遵循</w:t>
      </w:r>
      <w:r>
        <w:rPr>
          <w:rFonts w:ascii="Times New Roman" w:hAnsi="Times New Roman" w:eastAsia="Times New Roman" w:cs="Times New Roman"/>
          <w:color w:val="000000"/>
          <w:sz w:val="24"/>
        </w:rPr>
        <w:t xml:space="preserve">B/S</w:t>
      </w:r>
      <w:r>
        <w:rPr>
          <w:rFonts w:ascii="SimSun" w:hAnsi="SimSun" w:eastAsia="SimSun" w:cs="SimSun"/>
          <w:color w:val="000000"/>
          <w:sz w:val="24"/>
        </w:rPr>
        <w:t xml:space="preserve">架构，采用面向服务的架构风格，前端以</w:t>
      </w:r>
      <w:r>
        <w:rPr>
          <w:rFonts w:ascii="Times New Roman" w:hAnsi="Times New Roman" w:eastAsia="Times New Roman" w:cs="Times New Roman"/>
          <w:color w:val="000000"/>
          <w:sz w:val="24"/>
        </w:rPr>
        <w:t xml:space="preserve">Element-ui</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VUE2</w:t>
      </w:r>
      <w:r>
        <w:rPr>
          <w:rFonts w:ascii="SimSun" w:hAnsi="SimSun" w:eastAsia="SimSun" w:cs="SimSun"/>
          <w:color w:val="000000"/>
          <w:sz w:val="24"/>
        </w:rPr>
        <w:t xml:space="preserve">技术实现交互，后端基于</w:t>
      </w:r>
      <w:r>
        <w:rPr>
          <w:rFonts w:ascii="Times New Roman" w:hAnsi="Times New Roman" w:eastAsia="Times New Roman" w:cs="Times New Roman"/>
          <w:color w:val="000000"/>
          <w:sz w:val="24"/>
        </w:rPr>
        <w:t xml:space="preserve">SpringBoot</w:t>
      </w:r>
      <w:r>
        <w:rPr>
          <w:rFonts w:ascii="SimSun" w:hAnsi="SimSun" w:eastAsia="SimSun" w:cs="SimSun"/>
          <w:color w:val="000000"/>
          <w:sz w:val="24"/>
        </w:rPr>
        <w:t xml:space="preserve">框架进行业务逻辑处理与服务封装，使用</w:t>
      </w:r>
      <w:r>
        <w:rPr>
          <w:rFonts w:ascii="Times New Roman" w:hAnsi="Times New Roman" w:eastAsia="Times New Roman" w:cs="Times New Roman"/>
          <w:color w:val="000000"/>
          <w:sz w:val="24"/>
        </w:rPr>
        <w:t xml:space="preserve">Dubbo</w:t>
      </w:r>
      <w:r>
        <w:rPr>
          <w:rFonts w:ascii="SimSun" w:hAnsi="SimSun" w:eastAsia="SimSun" w:cs="SimSun"/>
          <w:color w:val="000000"/>
          <w:sz w:val="24"/>
        </w:rPr>
        <w:t xml:space="preserve">作为</w:t>
      </w:r>
      <w:r>
        <w:rPr>
          <w:rFonts w:ascii="Times New Roman" w:hAnsi="Times New Roman" w:eastAsia="Times New Roman" w:cs="Times New Roman"/>
          <w:color w:val="000000"/>
          <w:sz w:val="24"/>
        </w:rPr>
        <w:t xml:space="preserve">Rpc</w:t>
      </w:r>
      <w:r>
        <w:rPr>
          <w:rFonts w:ascii="SimSun" w:hAnsi="SimSun" w:eastAsia="SimSun" w:cs="SimSun"/>
          <w:color w:val="000000"/>
          <w:sz w:val="24"/>
        </w:rPr>
        <w:t xml:space="preserve">框架做服务间通讯；平台部署于江苏省政务云环境，其中部分服务器使用</w:t>
      </w:r>
      <w:r>
        <w:rPr>
          <w:rFonts w:ascii="Times New Roman" w:hAnsi="Times New Roman" w:eastAsia="Times New Roman" w:cs="Times New Roman"/>
          <w:color w:val="000000"/>
          <w:sz w:val="24"/>
        </w:rPr>
        <w:t xml:space="preserve">Windows Server</w:t>
      </w:r>
      <w:r>
        <w:rPr>
          <w:rFonts w:ascii="SimSun" w:hAnsi="SimSun" w:eastAsia="SimSun" w:cs="SimSun"/>
          <w:color w:val="000000"/>
          <w:sz w:val="24"/>
        </w:rPr>
        <w:t xml:space="preserve">操作系统，数据库采用混合架构（包含</w:t>
      </w:r>
      <w:r>
        <w:rPr>
          <w:rFonts w:ascii="Times New Roman" w:hAnsi="Times New Roman" w:eastAsia="Times New Roman" w:cs="Times New Roman"/>
          <w:color w:val="000000"/>
          <w:sz w:val="24"/>
        </w:rPr>
        <w:t xml:space="preserve">Oracle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MySQL</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SqlServer</w:t>
      </w:r>
      <w:r>
        <w:rPr>
          <w:rFonts w:ascii="SimSun" w:hAnsi="SimSun" w:eastAsia="SimSun" w:cs="SimSun"/>
          <w:color w:val="000000"/>
          <w:sz w:val="24"/>
        </w:rPr>
        <w:t xml:space="preserve">等），中间件主要使用开源</w:t>
      </w:r>
      <w:r>
        <w:rPr>
          <w:rFonts w:ascii="Times New Roman" w:hAnsi="Times New Roman" w:eastAsia="Times New Roman" w:cs="Times New Roman"/>
          <w:color w:val="000000"/>
          <w:sz w:val="24"/>
        </w:rPr>
        <w:t xml:space="preserve">Tomcat</w:t>
      </w:r>
      <w:r>
        <w:rPr>
          <w:rFonts w:ascii="SimSun" w:hAnsi="SimSun" w:eastAsia="SimSun" w:cs="SimSun"/>
          <w:color w:val="000000"/>
          <w:sz w:val="24"/>
        </w:rPr>
        <w:t xml:space="preserve">，终端环境以</w:t>
      </w:r>
      <w:r>
        <w:rPr>
          <w:rFonts w:ascii="Times New Roman" w:hAnsi="Times New Roman" w:eastAsia="Times New Roman" w:cs="Times New Roman"/>
          <w:color w:val="000000"/>
          <w:sz w:val="24"/>
        </w:rPr>
        <w:t xml:space="preserve">Windows</w:t>
      </w:r>
      <w:r>
        <w:rPr>
          <w:rFonts w:ascii="SimSun" w:hAnsi="SimSun" w:eastAsia="SimSun" w:cs="SimSun"/>
          <w:color w:val="000000"/>
          <w:sz w:val="24"/>
        </w:rPr>
        <w:t xml:space="preserve">操作系统搭配</w:t>
      </w:r>
      <w:r>
        <w:rPr>
          <w:rFonts w:ascii="Times New Roman" w:hAnsi="Times New Roman" w:eastAsia="Times New Roman" w:cs="Times New Roman"/>
          <w:color w:val="000000"/>
          <w:sz w:val="24"/>
        </w:rPr>
        <w:t xml:space="preserve">Chrome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等浏览器为主；平台已严格按照信息系统等保三级标准建设并通过测评，但在国产化环境下的密码算法原生适配及自主可控深度上仍有提升空间。</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当前平台存在潜在的安全风险与技术依赖，结合国家及江苏省相关工作部署要求，亟需通过体系化的国产化适配改造，推动系统完整迁移至符合标准的自主可控政务云环境，构建安全、高效、自主的全新政务底座，确保平台稳定运行与残疾人服务保障业务持续开展。</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w:t>
      </w:r>
      <w:r>
        <w:rPr>
          <w:rFonts w:ascii="Times New Roman" w:hAnsi="Times New Roman" w:eastAsia="Times New Roman" w:cs="Times New Roman"/>
          <w:b/>
          <w:color w:val="000000"/>
          <w:sz w:val="28"/>
        </w:rPr>
        <w:t xml:space="preserve">2 </w:t>
      </w:r>
      <w:r>
        <w:rPr>
          <w:rFonts w:ascii="SimSun" w:hAnsi="SimSun" w:eastAsia="SimSun" w:cs="SimSun"/>
          <w:b/>
          <w:color w:val="000000"/>
          <w:sz w:val="28"/>
        </w:rPr>
        <w:t xml:space="preserve">建设目标</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本项目旨在通过全面的国产化适配改造，建成全栈国产化、安全可靠、性能达标、平滑演进的江苏省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平台。目标具体如下：</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一是实现全栈国产化替代，涵盖服务器芯片、操作系统、数据库、中间件、浏览器、应用系统及办公组件，符合适配改造要求。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二是保障业务功能全面落地，完成平台各业务系统功能模块的全面适配，确保国产化环境下的系统整体性能不低于现有水平，关键业务响应时间满足政务服务及业务办理的时效要求。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三是构建安全防护体系，依托省政务云安全能力，结合系统改造同步加强网络安全、系统安全和数据安全防护措施，深化平台安全能力建设。</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四是保障业务平稳迁移，在不中断残疾人服务的前提下，将现有系统及历史数据完整、准确、安全地迁移至国产化环境，确保用户体验无感。</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3.3 建设内容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本次平台国产化适配改造涉及的系统清单如下：</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857"/>
        <w:gridCol w:w="3936"/>
      </w:tblGrid>
      <w:tr>
        <w:trPr>
          <w:trHeight w:val="516"/>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2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应用系统名称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子系统名称</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28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全省互联网+助残服务平台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江苏省残疾人服务网</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服务网管理系统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助残机构运行系统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28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全省残联一体化工作平台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江苏省残联一体化工作门户</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统一资源管理系统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机构管理系统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综合业务管理系统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高效办成“一件事”系统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残疾人证数据交换系统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残联提案系统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社会助残组织管理系统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儿童康复系统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人工耳蜗救助系统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听障儿童信息共享系统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成人康复系统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在线考试系统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残疾人辅助器具适配系统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辅具租赁系统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辅具进销存系统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残疾人托养照护系统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残疾人之家管理系统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残疾学生教育补贴系统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维权业务系统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律师在线答疑系统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资金管理系统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文体业务系统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智库系统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协同办公系统（OA）</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公文交换系统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录像及实人签到数据管理平台</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2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全省残疾人服务综合评价平台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惠残政策核查系统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28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全省残联智慧融合应用平台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全景决策分析展示系统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个性化分析系统</w:t>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2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全省残疾人大数据中心</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3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数据中心</w:t>
            </w:r>
            <w:r/>
          </w:p>
        </w:tc>
      </w:tr>
    </w:tbl>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建设内容包括：</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3.3.1 </w:t>
      </w:r>
      <w:r>
        <w:rPr>
          <w:rFonts w:ascii="SimSun" w:hAnsi="SimSun" w:eastAsia="SimSun" w:cs="SimSun"/>
          <w:b/>
          <w:color w:val="000000"/>
          <w:sz w:val="24"/>
        </w:rPr>
        <w:t xml:space="preserve">应用系统国产化适配改造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供应商须围绕江苏省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平台整体架构全面摸排，分析现有平台的架构、技术栈和依赖项，识别原有非国产化平台相关的功能、</w:t>
      </w:r>
      <w:r>
        <w:rPr>
          <w:rFonts w:ascii="Times New Roman" w:hAnsi="Times New Roman" w:eastAsia="Times New Roman" w:cs="Times New Roman"/>
          <w:color w:val="000000"/>
          <w:sz w:val="24"/>
        </w:rPr>
        <w:t xml:space="preserve">API</w:t>
      </w:r>
      <w:r>
        <w:rPr>
          <w:rFonts w:ascii="SimSun" w:hAnsi="SimSun" w:eastAsia="SimSun" w:cs="SimSun"/>
          <w:color w:val="000000"/>
          <w:sz w:val="24"/>
        </w:rPr>
        <w:t xml:space="preserve">使用等，研究目标适配的国产化平台的功能、</w:t>
      </w:r>
      <w:r>
        <w:rPr>
          <w:rFonts w:ascii="Times New Roman" w:hAnsi="Times New Roman" w:eastAsia="Times New Roman" w:cs="Times New Roman"/>
          <w:color w:val="000000"/>
          <w:sz w:val="24"/>
        </w:rPr>
        <w:t xml:space="preserve">API</w:t>
      </w:r>
      <w:r>
        <w:rPr>
          <w:rFonts w:ascii="SimSun" w:hAnsi="SimSun" w:eastAsia="SimSun" w:cs="SimSun"/>
          <w:color w:val="000000"/>
          <w:sz w:val="24"/>
        </w:rPr>
        <w:t xml:space="preserve">和数据库，了解其与现有系统的差异和兼容性问题，确定需要修改、替换或重新开发的组件和功能，并出具《江苏省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平台国产化替代兼容性分析报告》，为平稳适配迁移提供依据。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基础云环境适配改造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托政务云国产化存储、网络安全资源，对平台原有非国产化运行环境进行整体适配优化。梳理现有云主机、存储卷、负载均衡、安全策略配置，针对国产化环境特性完成资源规格适配、网络区域规整、安全组策略重构、访问权限梳理。优化平台运行底座架构，消除国外架构依赖，实现基础设施层运行环境合规、稳定、可控，保障上层业务平稳承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服务端国产化适配改造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须搭建服务端国产化运行环境，包括在国产操作系统上部署国产数据库、国产应用中间件及文件存储系统。</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）搭建服务端国产化运行环境</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在国产化环境中安装对应的软件和实施相应的部署工作。部署实施涉及的内容从服务端操作系统、国产数据库、文件存储、应用中间件以及本次建设的应用程序等。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）国产数据库适配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本次国产化改造涉及的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平台中的各类数据，供应商须通过分析、处理，并按照合理策略迁移至选定的国产数据库中；基于国产数据库驱动进行深度开发和适配；需重点针对</w:t>
      </w:r>
      <w:r>
        <w:rPr>
          <w:rFonts w:ascii="Times New Roman" w:hAnsi="Times New Roman" w:eastAsia="Times New Roman" w:cs="Times New Roman"/>
          <w:color w:val="000000"/>
          <w:sz w:val="24"/>
        </w:rPr>
        <w:t xml:space="preserve">SQL</w:t>
      </w:r>
      <w:r>
        <w:rPr>
          <w:rFonts w:ascii="SimSun" w:hAnsi="SimSun" w:eastAsia="SimSun" w:cs="SimSun"/>
          <w:color w:val="000000"/>
          <w:sz w:val="24"/>
        </w:rPr>
        <w:t xml:space="preserve">语句及函数差异进行改造，并开展大量的测试验证工作，确保数据关联查询及系统功能满足实际应用要求。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）文档附件存储适配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本次国产化改造涉及的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平台中的材料、附件，供应商须进行附件及各类格式文件存储开展部署验证，并确定在国产化环境的适应性。同时，供应商须要验证存储模式与程序结合的操作场景下是否正常稳定运行。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平台的子系统中存在大量查询、上传、下载、删除文件附件等操作，供应商须要重点验证此类操作。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）国产应用中间件适配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本次建设的服务端系统运行在国产化环境下，供应商须对选定的应用中间件进行适配验证。验证内容包含：相关技术组件更新与适配、代码兼容性设置、以及开发框架（如</w:t>
      </w:r>
      <w:r>
        <w:rPr>
          <w:rFonts w:ascii="Times New Roman" w:hAnsi="Times New Roman" w:eastAsia="Times New Roman" w:cs="Times New Roman"/>
          <w:color w:val="000000"/>
          <w:sz w:val="24"/>
        </w:rPr>
        <w:t xml:space="preserve">JDK</w:t>
      </w:r>
      <w:r>
        <w:rPr>
          <w:rFonts w:ascii="SimSun" w:hAnsi="SimSun" w:eastAsia="SimSun" w:cs="SimSun"/>
          <w:color w:val="000000"/>
          <w:sz w:val="24"/>
        </w:rPr>
        <w:t xml:space="preserve">）的运行适应性。以</w:t>
      </w:r>
      <w:r>
        <w:rPr>
          <w:rFonts w:ascii="Times New Roman" w:hAnsi="Times New Roman" w:eastAsia="Times New Roman" w:cs="Times New Roman"/>
          <w:color w:val="000000"/>
          <w:sz w:val="24"/>
        </w:rPr>
        <w:t xml:space="preserve">JavaWeb</w:t>
      </w:r>
      <w:r>
        <w:rPr>
          <w:rFonts w:ascii="SimSun" w:hAnsi="SimSun" w:eastAsia="SimSun" w:cs="SimSun"/>
          <w:color w:val="000000"/>
          <w:sz w:val="24"/>
        </w:rPr>
        <w:t xml:space="preserve">在</w:t>
      </w:r>
      <w:r>
        <w:rPr>
          <w:rFonts w:ascii="Times New Roman" w:hAnsi="Times New Roman" w:eastAsia="Times New Roman" w:cs="Times New Roman"/>
          <w:color w:val="000000"/>
          <w:sz w:val="24"/>
        </w:rPr>
        <w:t xml:space="preserve">Tomcat</w:t>
      </w:r>
      <w:r>
        <w:rPr>
          <w:rFonts w:ascii="SimSun" w:hAnsi="SimSun" w:eastAsia="SimSun" w:cs="SimSun"/>
          <w:color w:val="000000"/>
          <w:sz w:val="24"/>
        </w:rPr>
        <w:t xml:space="preserve">上运行为参考对象验证</w:t>
      </w:r>
      <w:r>
        <w:rPr>
          <w:rFonts w:ascii="Times New Roman" w:hAnsi="Times New Roman" w:eastAsia="Times New Roman" w:cs="Times New Roman"/>
          <w:color w:val="000000"/>
          <w:sz w:val="24"/>
        </w:rPr>
        <w:t xml:space="preserve">Web</w:t>
      </w:r>
      <w:r>
        <w:rPr>
          <w:rFonts w:ascii="SimSun" w:hAnsi="SimSun" w:eastAsia="SimSun" w:cs="SimSun"/>
          <w:color w:val="000000"/>
          <w:sz w:val="24"/>
        </w:rPr>
        <w:t xml:space="preserve">特性，调优系统参数、设置相应使用参数配置如日志。确保系统接口调用、数据流转、定时任务、流程驱动完全正常。</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业务系统功能适配改造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息化平台的应用系统开展全覆盖适配改造，主要包括代码兼容改造、服务重构、逻辑适配等。严格保留原有审批流程、权限体系、业务规则、免申即享机制、数据统计口径，确保业务功能、业务逻辑、服务效果改造前后完全一致。</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前端国产化适配改造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须从界面风格、前端运行脚本、功能逻辑、客户端性能等方面进行代码级适配，确保改造后的系统能同时稳定运行于国产化终端（搭载国产操作系统及浏览器）和现有</w:t>
      </w:r>
      <w:r>
        <w:rPr>
          <w:rFonts w:ascii="Times New Roman" w:hAnsi="Times New Roman" w:eastAsia="Times New Roman" w:cs="Times New Roman"/>
          <w:color w:val="000000"/>
          <w:sz w:val="24"/>
        </w:rPr>
        <w:t xml:space="preserve">x86</w:t>
      </w:r>
      <w:r>
        <w:rPr>
          <w:rFonts w:ascii="SimSun" w:hAnsi="SimSun" w:eastAsia="SimSun" w:cs="SimSun"/>
          <w:color w:val="000000"/>
          <w:sz w:val="24"/>
        </w:rPr>
        <w:t xml:space="preserve">终端。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）界面调整适配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w:t>
      </w:r>
      <w:r>
        <w:rPr>
          <w:rFonts w:ascii="Times New Roman" w:hAnsi="Times New Roman" w:eastAsia="Times New Roman" w:cs="Times New Roman"/>
          <w:color w:val="000000"/>
          <w:sz w:val="24"/>
        </w:rPr>
        <w:t xml:space="preserve">B/S</w:t>
      </w:r>
      <w:r>
        <w:rPr>
          <w:rFonts w:ascii="SimSun" w:hAnsi="SimSun" w:eastAsia="SimSun" w:cs="SimSun"/>
          <w:color w:val="000000"/>
          <w:sz w:val="24"/>
        </w:rPr>
        <w:t xml:space="preserve">架构的</w:t>
      </w:r>
      <w:r>
        <w:rPr>
          <w:rFonts w:ascii="Times New Roman" w:hAnsi="Times New Roman" w:eastAsia="Times New Roman" w:cs="Times New Roman"/>
          <w:color w:val="000000"/>
          <w:sz w:val="24"/>
        </w:rPr>
        <w:t xml:space="preserve">Web</w:t>
      </w:r>
      <w:r>
        <w:rPr>
          <w:rFonts w:ascii="SimSun" w:hAnsi="SimSun" w:eastAsia="SimSun" w:cs="SimSun"/>
          <w:color w:val="000000"/>
          <w:sz w:val="24"/>
        </w:rPr>
        <w:t xml:space="preserve">系统，国产化替代过程中可能会出现多个浏览器显示差异的问题，即跨浏览器不兼容的问题。供应商须对页面展示、资源树框架、默认边距问题、表格内容居中显示问题、垂直居中问题、</w:t>
      </w:r>
      <w:r>
        <w:rPr>
          <w:rFonts w:ascii="Times New Roman" w:hAnsi="Times New Roman" w:eastAsia="Times New Roman" w:cs="Times New Roman"/>
          <w:color w:val="000000"/>
          <w:sz w:val="24"/>
        </w:rPr>
        <w:t xml:space="preserve">UI</w:t>
      </w:r>
      <w:r>
        <w:rPr>
          <w:rFonts w:ascii="SimSun" w:hAnsi="SimSun" w:eastAsia="SimSun" w:cs="SimSun"/>
          <w:color w:val="000000"/>
          <w:sz w:val="24"/>
        </w:rPr>
        <w:t xml:space="preserve">标签边距问题和页面的最小宽度适配问题进行适配改造，并针对页面弹出框定位布局问题进行适配处理。</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）系统并发性能适配改造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基于国产化硬件基础进行适配改造过程中，可能会出现多并发、大数据量查询、统计等场景系统性能下降。供应商须进行适配验证和性能优化，确保实现多并发查询、下载、应用等场景性能提升。</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）前端运行脚本适配改造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基于浏览器之间</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的语法解析存在差异，供应商须针对不同浏览器语法兼容上做对应适配，包括语法兼容问题、事件绑定问题、事件对象问题等内容，消除不同浏览器系统功能无法正常解析或不能执行正确结果情况。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）依赖客户端重大变更功能适配改造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基于国产化终端浏览器环境对现有技术实现可能不支持，供应商须对应用系统的功能进行业务代码逻辑改造，以在适配浏览器的同时满足现有业务应用需求。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）客户端性能支持改造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在国产化终端环境中跨操作系统与浏览器的数据处理时效要求，以及针对多页签、大数据量调用渲染等可能会导致的界面卡顿与交互体验问题，供应商须对页面性能进行专项适配升级，以确保满足相关场景下的流畅度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）页面框架集成适配改造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基于平台子系统大部分页面间通过消息方式传递，以及在国产化终端环境下可能会出现页面加载空白或异常问题，供应商须对相关页面框架集成适配改造。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）外部交互（接口、中间库）适配改造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平台系统查询部分国产化改造涉及大量外部交互接口，供应商须全面梳理所有外部接口交互情况，并且根据交互技术路线进行国产化适配改造，确保与外部系统间的共享交互保持正常。</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）大数据展示页面性能支持改造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平台涉及大数据量查询页面和数据展示界面，且业务数据与功能和第三方系统之间有很强的交互性，供应商须要对查询页面和大数据展示集成页面进行国产化适配改造，确保功能展示性能符合要求。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终端国产化适配开发</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平台完成系统功能适配改造后，须要满足支持各项终端与前端适配，主要包括</w:t>
      </w:r>
      <w:r>
        <w:rPr>
          <w:rFonts w:ascii="Times New Roman" w:hAnsi="Times New Roman" w:eastAsia="Times New Roman" w:cs="Times New Roman"/>
          <w:color w:val="000000"/>
          <w:sz w:val="24"/>
        </w:rPr>
        <w:t xml:space="preserve">OFD</w:t>
      </w:r>
      <w:r>
        <w:rPr>
          <w:rFonts w:ascii="SimSun" w:hAnsi="SimSun" w:eastAsia="SimSun" w:cs="SimSun"/>
          <w:color w:val="000000"/>
          <w:sz w:val="24"/>
        </w:rPr>
        <w:t xml:space="preserve">文件预览适配改造、文本文件在线查看适配改造、单网页文件在线浏览适配改造、图片文件在线查看适配改造、流式组件适配改造、建立统一的终端使用环境等内容。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OFD</w:t>
      </w:r>
      <w:r>
        <w:rPr>
          <w:rFonts w:ascii="SimSun" w:hAnsi="SimSun" w:eastAsia="SimSun" w:cs="SimSun"/>
          <w:color w:val="000000"/>
          <w:sz w:val="24"/>
        </w:rPr>
        <w:t xml:space="preserve">文件预览适配改造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w:t>
      </w:r>
      <w:r>
        <w:rPr>
          <w:rFonts w:ascii="Times New Roman" w:hAnsi="Times New Roman" w:eastAsia="Times New Roman" w:cs="Times New Roman"/>
          <w:color w:val="000000"/>
          <w:sz w:val="24"/>
        </w:rPr>
        <w:t xml:space="preserve">OFD</w:t>
      </w:r>
      <w:r>
        <w:rPr>
          <w:rFonts w:ascii="SimSun" w:hAnsi="SimSun" w:eastAsia="SimSun" w:cs="SimSun"/>
          <w:color w:val="000000"/>
          <w:sz w:val="24"/>
        </w:rPr>
        <w:t xml:space="preserve">文件预览适配改造须满足</w:t>
      </w:r>
      <w:r>
        <w:rPr>
          <w:rFonts w:ascii="Times New Roman" w:hAnsi="Times New Roman" w:eastAsia="Times New Roman" w:cs="Times New Roman"/>
          <w:color w:val="000000"/>
          <w:sz w:val="24"/>
        </w:rPr>
        <w:t xml:space="preserve">OFD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PDF</w:t>
      </w:r>
      <w:r>
        <w:rPr>
          <w:rFonts w:ascii="SimSun" w:hAnsi="SimSun" w:eastAsia="SimSun" w:cs="SimSun"/>
          <w:color w:val="000000"/>
          <w:sz w:val="24"/>
        </w:rPr>
        <w:t xml:space="preserve">文件预览、下载、文件放大缩小、文件关键字查找、关键字高亮显示等功能，具体须从兼容性、文件加载性能、文件字体格式等方面考虑本次适配工作，主要适配过程如下：</w:t>
      </w:r>
      <w:r/>
    </w:p>
    <w:p>
      <w:pPr>
        <w:numPr>
          <w:ilvl w:val="0"/>
          <w:numId w:val="6"/>
        </w:numPr>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w:t>
      </w:r>
      <w:r>
        <w:rPr>
          <w:rFonts w:ascii="Times New Roman" w:hAnsi="Times New Roman" w:eastAsia="Times New Roman" w:cs="Times New Roman"/>
          <w:color w:val="000000"/>
          <w:sz w:val="24"/>
        </w:rPr>
        <w:t xml:space="preserve">PDF</w:t>
      </w:r>
      <w:r>
        <w:rPr>
          <w:rFonts w:ascii="SimSun" w:hAnsi="SimSun" w:eastAsia="SimSun" w:cs="SimSun"/>
          <w:color w:val="000000"/>
          <w:sz w:val="24"/>
        </w:rPr>
        <w:t xml:space="preserve">插件依赖</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库版本；</w:t>
      </w:r>
      <w:r/>
    </w:p>
    <w:p>
      <w:pPr>
        <w:numPr>
          <w:ilvl w:val="0"/>
          <w:numId w:val="6"/>
        </w:numPr>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验证适配</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脚本的兼容性；</w:t>
      </w:r>
      <w:r/>
    </w:p>
    <w:p>
      <w:pPr>
        <w:numPr>
          <w:ilvl w:val="0"/>
          <w:numId w:val="6"/>
        </w:numPr>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升级</w:t>
      </w:r>
      <w:r>
        <w:rPr>
          <w:rFonts w:ascii="Times New Roman" w:hAnsi="Times New Roman" w:eastAsia="Times New Roman" w:cs="Times New Roman"/>
          <w:color w:val="000000"/>
          <w:sz w:val="24"/>
        </w:rPr>
        <w:t xml:space="preserve">PDF</w:t>
      </w:r>
      <w:r>
        <w:rPr>
          <w:rFonts w:ascii="SimSun" w:hAnsi="SimSun" w:eastAsia="SimSun" w:cs="SimSun"/>
          <w:color w:val="000000"/>
          <w:sz w:val="24"/>
        </w:rPr>
        <w:t xml:space="preserve">插件；</w:t>
      </w:r>
      <w:r/>
    </w:p>
    <w:p>
      <w:pPr>
        <w:numPr>
          <w:ilvl w:val="0"/>
          <w:numId w:val="6"/>
        </w:numPr>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对功能进行适配验证；</w:t>
      </w:r>
      <w:r/>
    </w:p>
    <w:p>
      <w:pPr>
        <w:numPr>
          <w:ilvl w:val="0"/>
          <w:numId w:val="6"/>
        </w:numPr>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集成</w:t>
      </w:r>
      <w:r>
        <w:rPr>
          <w:rFonts w:ascii="Times New Roman" w:hAnsi="Times New Roman" w:eastAsia="Times New Roman" w:cs="Times New Roman"/>
          <w:color w:val="000000"/>
          <w:sz w:val="24"/>
        </w:rPr>
        <w:t xml:space="preserve">OFD</w:t>
      </w:r>
      <w:r>
        <w:rPr>
          <w:rFonts w:ascii="SimSun" w:hAnsi="SimSun" w:eastAsia="SimSun" w:cs="SimSun"/>
          <w:color w:val="000000"/>
          <w:sz w:val="24"/>
        </w:rPr>
        <w:t xml:space="preserve">组件，从兼容性、文件加载性能、签章签名加载等方面考虑本次适配工作，保证</w:t>
      </w:r>
      <w:r>
        <w:rPr>
          <w:rFonts w:ascii="Times New Roman" w:hAnsi="Times New Roman" w:eastAsia="Times New Roman" w:cs="Times New Roman"/>
          <w:color w:val="000000"/>
          <w:sz w:val="24"/>
        </w:rPr>
        <w:t xml:space="preserve">OFD</w:t>
      </w:r>
      <w:r>
        <w:rPr>
          <w:rFonts w:ascii="SimSun" w:hAnsi="SimSun" w:eastAsia="SimSun" w:cs="SimSun"/>
          <w:color w:val="000000"/>
          <w:sz w:val="24"/>
        </w:rPr>
        <w:t xml:space="preserve">文件内容正常预览。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）文本文件在线查看适配改造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文本文件预览适配改造须从兼容性、文件加载性能等方面考虑本次适配工作，保证文本文件能够正常预览。</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查看预览插件依赖</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库版本；</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验证适配</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脚本的兼容性；</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对功能进行适配验证；</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通过本次改造，须对文件能够正常预览、下载等。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）单网页文件在线浏览适配改造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单网页文件预览适配改造须从兼容性、文件加载性能、页面样式等方面考虑本次适配工作，保证单网页文件能够正常预览。</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查看预览插件依赖</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库版本；</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验证适配</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脚本的兼容性；</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适配不同浏览器兼容性问题；</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对功能进行适配验证；</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通过本次适配，须对文件能够正常预览、下载等。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）图片文件在线查看适配改造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图片文件预览适配改造须从兼容性、文件加载性能、图片格式等方面考虑本次适配工作，保证文件能够正常预览。</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查看预览插件依赖</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库版本；</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验证适配</w:t>
      </w:r>
      <w:r>
        <w:rPr>
          <w:rFonts w:ascii="Times New Roman" w:hAnsi="Times New Roman" w:eastAsia="Times New Roman" w:cs="Times New Roman"/>
          <w:color w:val="000000"/>
          <w:sz w:val="24"/>
        </w:rPr>
        <w:t xml:space="preserve">JavaScript</w:t>
      </w:r>
      <w:r>
        <w:rPr>
          <w:rFonts w:ascii="SimSun" w:hAnsi="SimSun" w:eastAsia="SimSun" w:cs="SimSun"/>
          <w:color w:val="000000"/>
          <w:sz w:val="24"/>
        </w:rPr>
        <w:t xml:space="preserve">脚本的兼容性；</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升级适配图片在线预览插件；</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对功能进行适配验证；</w:t>
      </w:r>
      <w:r/>
    </w:p>
    <w:p>
      <w:pPr>
        <w:numPr>
          <w:ilvl w:val="0"/>
          <w:numId w:val="6"/>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通过本次适配，须满足各类格式图片在线预览、放大缩小、下载功能。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）流式组件适配改造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客户端流式组件将采用国产化品牌（如</w:t>
      </w:r>
      <w:r>
        <w:rPr>
          <w:rFonts w:ascii="Times New Roman" w:hAnsi="Times New Roman" w:eastAsia="Times New Roman" w:cs="Times New Roman"/>
          <w:color w:val="000000"/>
          <w:sz w:val="24"/>
        </w:rPr>
        <w:t xml:space="preserve">WPS</w:t>
      </w:r>
      <w:r>
        <w:rPr>
          <w:rFonts w:ascii="SimSun" w:hAnsi="SimSun" w:eastAsia="SimSun" w:cs="SimSun"/>
          <w:color w:val="000000"/>
          <w:sz w:val="24"/>
        </w:rPr>
        <w:t xml:space="preserve">或永中</w:t>
      </w:r>
      <w:r>
        <w:rPr>
          <w:rFonts w:ascii="Times New Roman" w:hAnsi="Times New Roman" w:eastAsia="Times New Roman" w:cs="Times New Roman"/>
          <w:color w:val="000000"/>
          <w:sz w:val="24"/>
        </w:rPr>
        <w:t xml:space="preserve">OFFICE</w:t>
      </w:r>
      <w:r>
        <w:rPr>
          <w:rFonts w:ascii="SimSun" w:hAnsi="SimSun" w:eastAsia="SimSun" w:cs="SimSun"/>
          <w:color w:val="000000"/>
          <w:sz w:val="24"/>
        </w:rPr>
        <w:t xml:space="preserve">），应用系统通过流式组件客户端提供程序，支持在浏览器中实现对</w:t>
      </w:r>
      <w:r>
        <w:rPr>
          <w:rFonts w:ascii="Times New Roman" w:hAnsi="Times New Roman" w:eastAsia="Times New Roman" w:cs="Times New Roman"/>
          <w:color w:val="000000"/>
          <w:sz w:val="24"/>
        </w:rPr>
        <w:t xml:space="preserve">Office</w:t>
      </w:r>
      <w:r>
        <w:rPr>
          <w:rFonts w:ascii="SimSun" w:hAnsi="SimSun" w:eastAsia="SimSun" w:cs="SimSun"/>
          <w:color w:val="000000"/>
          <w:sz w:val="24"/>
        </w:rPr>
        <w:t xml:space="preserve">的新建、打开、保存、关闭等基本操作功能，以及对</w:t>
      </w:r>
      <w:r>
        <w:rPr>
          <w:rFonts w:ascii="Times New Roman" w:hAnsi="Times New Roman" w:eastAsia="Times New Roman" w:cs="Times New Roman"/>
          <w:color w:val="000000"/>
          <w:sz w:val="24"/>
        </w:rPr>
        <w:t xml:space="preserve">Office</w:t>
      </w:r>
      <w:r>
        <w:rPr>
          <w:rFonts w:ascii="SimSun" w:hAnsi="SimSun" w:eastAsia="SimSun" w:cs="SimSun"/>
          <w:color w:val="000000"/>
          <w:sz w:val="24"/>
        </w:rPr>
        <w:t xml:space="preserve">的基本对象文档、字体、段落、表格等对象的属性和方法的调用，从而实现上层应用创建业务表单。此外，考虑到终端电脑环境的差异，须提供环境识别与组件切换的功能，支持根据客户端环境分别提供国产化或非国产化流式组件的调用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）建立统一的终端使用环境</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基于现有国产化验证经验和实际使用效果，持续推进国产化终端使用环境的统一和应用推广。结合管理要求对国产化终端环境进行统一设置，形成一致的操作场景，提高日常办公效率。</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统一国产化终端操作环境。具体包括：操作系统默认设置、防火墙以及杀毒软件设置、浏览器的安装和配置、客户端日常办公软件的验证和设置、客户端插件的安装和设置，以及其他满足要求的设置。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性能调优</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协调数据库、中间件厂商，结合应用系统进行性能调优，其中：</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数据库调优涉及数据库索引优化、</w:t>
      </w:r>
      <w:r>
        <w:rPr>
          <w:rFonts w:ascii="Times New Roman" w:hAnsi="Times New Roman" w:eastAsia="Times New Roman" w:cs="Times New Roman"/>
          <w:color w:val="000000"/>
          <w:sz w:val="24"/>
        </w:rPr>
        <w:t xml:space="preserve">SQL</w:t>
      </w:r>
      <w:r>
        <w:rPr>
          <w:rFonts w:ascii="SimSun" w:hAnsi="SimSun" w:eastAsia="SimSun" w:cs="SimSun"/>
          <w:color w:val="000000"/>
          <w:sz w:val="24"/>
        </w:rPr>
        <w:t xml:space="preserve">优化、架构调整以及资源分配策略调整。</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中间件调优涉及：采用高可用集群功能、内置负载均衡、高性能</w:t>
      </w:r>
      <w:r>
        <w:rPr>
          <w:rFonts w:ascii="Times New Roman" w:hAnsi="Times New Roman" w:eastAsia="Times New Roman" w:cs="Times New Roman"/>
          <w:color w:val="000000"/>
          <w:sz w:val="24"/>
        </w:rPr>
        <w:t xml:space="preserve">session</w:t>
      </w:r>
      <w:r>
        <w:rPr>
          <w:rFonts w:ascii="SimSun" w:hAnsi="SimSun" w:eastAsia="SimSun" w:cs="SimSun"/>
          <w:color w:val="000000"/>
          <w:sz w:val="24"/>
        </w:rPr>
        <w:t xml:space="preserve">、数据库缓存机制。</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应用软件优化涉及：应用软件代码优化、</w:t>
      </w:r>
      <w:r>
        <w:rPr>
          <w:rFonts w:ascii="Times New Roman" w:hAnsi="Times New Roman" w:eastAsia="Times New Roman" w:cs="Times New Roman"/>
          <w:color w:val="000000"/>
          <w:sz w:val="24"/>
        </w:rPr>
        <w:t xml:space="preserve">API</w:t>
      </w:r>
      <w:r>
        <w:rPr>
          <w:rFonts w:ascii="SimSun" w:hAnsi="SimSun" w:eastAsia="SimSun" w:cs="SimSun"/>
          <w:color w:val="000000"/>
          <w:sz w:val="24"/>
        </w:rPr>
        <w:t xml:space="preserve">接口优化、减少</w:t>
      </w:r>
      <w:r>
        <w:rPr>
          <w:rFonts w:ascii="Times New Roman" w:hAnsi="Times New Roman" w:eastAsia="Times New Roman" w:cs="Times New Roman"/>
          <w:color w:val="000000"/>
          <w:sz w:val="24"/>
        </w:rPr>
        <w:t xml:space="preserve">http</w:t>
      </w:r>
      <w:r>
        <w:rPr>
          <w:rFonts w:ascii="SimSun" w:hAnsi="SimSun" w:eastAsia="SimSun" w:cs="SimSun"/>
          <w:color w:val="000000"/>
          <w:sz w:val="24"/>
        </w:rPr>
        <w:t xml:space="preserve">请求，合理设置</w:t>
      </w:r>
      <w:r>
        <w:rPr>
          <w:rFonts w:ascii="Times New Roman" w:hAnsi="Times New Roman" w:eastAsia="Times New Roman" w:cs="Times New Roman"/>
          <w:color w:val="000000"/>
          <w:sz w:val="24"/>
        </w:rPr>
        <w:t xml:space="preserve">http</w:t>
      </w:r>
      <w:r>
        <w:rPr>
          <w:rFonts w:ascii="SimSun" w:hAnsi="SimSun" w:eastAsia="SimSun" w:cs="SimSun"/>
          <w:color w:val="000000"/>
          <w:sz w:val="24"/>
        </w:rPr>
        <w:t xml:space="preserve">缓存、使用浏览器缓存、</w:t>
      </w:r>
      <w:r>
        <w:rPr>
          <w:rFonts w:ascii="Times New Roman" w:hAnsi="Times New Roman" w:eastAsia="Times New Roman" w:cs="Times New Roman"/>
          <w:color w:val="000000"/>
          <w:sz w:val="24"/>
        </w:rPr>
        <w:t xml:space="preserve">CSS Sprites</w:t>
      </w:r>
      <w:r>
        <w:rPr>
          <w:rFonts w:ascii="SimSun" w:hAnsi="SimSun" w:eastAsia="SimSun" w:cs="SimSun"/>
          <w:color w:val="000000"/>
          <w:sz w:val="24"/>
        </w:rPr>
        <w:t xml:space="preserve">调整、图片压缩、</w:t>
      </w:r>
      <w:r>
        <w:rPr>
          <w:rFonts w:ascii="Times New Roman" w:hAnsi="Times New Roman" w:eastAsia="Times New Roman" w:cs="Times New Roman"/>
          <w:color w:val="000000"/>
          <w:sz w:val="24"/>
        </w:rPr>
        <w:t xml:space="preserve">JS</w:t>
      </w:r>
      <w:r>
        <w:rPr>
          <w:rFonts w:ascii="SimSun" w:hAnsi="SimSun" w:eastAsia="SimSun" w:cs="SimSun"/>
          <w:color w:val="000000"/>
          <w:sz w:val="24"/>
        </w:rPr>
        <w:t xml:space="preserve">加载调整、加入延迟加载策略、减少</w:t>
      </w:r>
      <w:r>
        <w:rPr>
          <w:rFonts w:ascii="Times New Roman" w:hAnsi="Times New Roman" w:eastAsia="Times New Roman" w:cs="Times New Roman"/>
          <w:color w:val="000000"/>
          <w:sz w:val="24"/>
        </w:rPr>
        <w:t xml:space="preserve">cookice</w:t>
      </w:r>
      <w:r>
        <w:rPr>
          <w:rFonts w:ascii="SimSun" w:hAnsi="SimSun" w:eastAsia="SimSun" w:cs="SimSun"/>
          <w:color w:val="000000"/>
          <w:sz w:val="24"/>
        </w:rPr>
        <w:t xml:space="preserve">传输、异步请求</w:t>
      </w:r>
      <w:r>
        <w:rPr>
          <w:rFonts w:ascii="Times New Roman" w:hAnsi="Times New Roman" w:eastAsia="Times New Roman" w:cs="Times New Roman"/>
          <w:color w:val="000000"/>
          <w:sz w:val="24"/>
        </w:rPr>
        <w:t xml:space="preserve">Callback</w:t>
      </w:r>
      <w:r>
        <w:rPr>
          <w:rFonts w:ascii="SimSun" w:hAnsi="SimSun" w:eastAsia="SimSun" w:cs="SimSun"/>
          <w:color w:val="000000"/>
          <w:sz w:val="24"/>
        </w:rPr>
        <w:t xml:space="preserve">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3.3.2 </w:t>
      </w:r>
      <w:r>
        <w:rPr>
          <w:rFonts w:ascii="SimSun" w:hAnsi="SimSun" w:eastAsia="SimSun" w:cs="SimSun"/>
          <w:b/>
          <w:color w:val="000000"/>
          <w:sz w:val="24"/>
        </w:rPr>
        <w:t xml:space="preserve">安全体系加固与合规适配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信息化平台按照网络安全等级保护第三级标准要求设计建设，已通过等保三级测评。供应商须按照网络安全等级保护</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标准中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一个中心、三重防护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和第三级要求，充分利用省政务云安全资源强化平台安全防护，满足安全物理环境、安全通信网络、安全区域边界、安全计算环境、安全管理中心和安全管理机制等多方面技术要求。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供应商须落实《信息安全技术</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信息系统密码应用基本要求》（</w:t>
      </w:r>
      <w:r>
        <w:rPr>
          <w:rFonts w:ascii="Times New Roman" w:hAnsi="Times New Roman" w:eastAsia="Times New Roman" w:cs="Times New Roman"/>
          <w:color w:val="000000"/>
          <w:sz w:val="24"/>
        </w:rPr>
        <w:t xml:space="preserve">GB/T 39786-2021</w:t>
      </w:r>
      <w:r>
        <w:rPr>
          <w:rFonts w:ascii="SimSun" w:hAnsi="SimSun" w:eastAsia="SimSun" w:cs="SimSun"/>
          <w:color w:val="000000"/>
          <w:sz w:val="24"/>
        </w:rPr>
        <w:t xml:space="preserve">）中关于信息系统在系统规划阶段的密码应用要求，综合考虑物理和环境、网络和通信、设备和计算、应用和数据等层面的密码应用需求，充分利用省政务云安全资源进行密码应用安全防护，设计合规、正确、有效的密码应用方案，满足第三级指标要求，确保平台系统满足密码应用安全性评估。</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严格按照《中华人民共和国数据安全法》、《中华人民共和国个人信息保护法》、《网络数据安全管理条例》及等保三级数据安全要求，完善覆盖数据资产分类分级、数据采集、数据传输、数据存储、数据使用、数据共享交换、数据删除与销毁的全生命周期安全管控体系。</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具体实施任务包括但不限于：</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）应用层国密算法深度适配。供应商须对应用系统进行代码级的国密化适配，确保国密算法（</w:t>
      </w:r>
      <w:r>
        <w:rPr>
          <w:rFonts w:ascii="Times New Roman" w:hAnsi="Times New Roman" w:eastAsia="Times New Roman" w:cs="Times New Roman"/>
          <w:color w:val="000000"/>
          <w:sz w:val="24"/>
        </w:rPr>
        <w:t xml:space="preserve">SM2/SM3/SM4</w:t>
      </w:r>
      <w:r>
        <w:rPr>
          <w:rFonts w:ascii="SimSun" w:hAnsi="SimSun" w:eastAsia="SimSun" w:cs="SimSun"/>
          <w:color w:val="000000"/>
          <w:sz w:val="24"/>
        </w:rPr>
        <w:t xml:space="preserve">）在业务逻辑中的原生支持与高效运行，包含应用系统身份鉴别改造、应用系统访问控制信息和敏感标记完整性改造、应用系统数据传输机密性改造、应用系统数据存储机密性改造、应用系统数据传输完整性改造、应用系统数据存储完整性改造、系统日志记录完整性改造和抗抵赖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国产化环境下应用安全加固。供应商须针对国产化基础软硬件环境（国产芯片、操作系统、数据库、中间件）的特性，对应用系统进行深度的安全适配与加固，消除因架构迁移带来的安全机制失效或兼容性风险，确保系统在国产化环境下的内生安全，包括身份鉴别与访问控制适配、数据库安全与防注入加固、剩余信息保护与内存安全、安全审计与日志适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3.3.3 </w:t>
      </w:r>
      <w:r>
        <w:rPr>
          <w:rFonts w:ascii="SimSun" w:hAnsi="SimSun" w:eastAsia="SimSun" w:cs="SimSun"/>
          <w:b/>
          <w:color w:val="000000"/>
          <w:sz w:val="24"/>
        </w:rPr>
        <w:t xml:space="preserve">数据迁移与备份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全量数据迁移</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制定覆盖历史数据、实时业务数据的周密迁移方案，明确数据抽取、转换、加载（</w:t>
      </w:r>
      <w:r>
        <w:rPr>
          <w:rFonts w:ascii="Times New Roman" w:hAnsi="Times New Roman" w:eastAsia="Times New Roman" w:cs="Times New Roman"/>
          <w:color w:val="000000"/>
          <w:sz w:val="24"/>
        </w:rPr>
        <w:t xml:space="preserve">ETL</w:t>
      </w:r>
      <w:r>
        <w:rPr>
          <w:rFonts w:ascii="SimSun" w:hAnsi="SimSun" w:eastAsia="SimSun" w:cs="SimSun"/>
          <w:color w:val="000000"/>
          <w:sz w:val="24"/>
        </w:rPr>
        <w:t xml:space="preserve">）流程，通过数据校验机制确保数据从原数据库完整、准确、安全迁移至目标国产化数据库。同时同步开展数据治理工作，优化数据存储结构、清理冗余数据，提升国产化环境下数据查询效率与数据质量，为系统业务运行提供高效数据支撑。</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数据安全与备份策略制定</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系统主备平台架构，设计针对性的数据备份策略，包括定时全量备份、增量备份、省残联本地备份等机制，明确备份数据存储位置、备份周期及恢复流程，确保在突发故障时可快速恢复数据。同时强化数据安全管控，通过省政务云数据库自身安全特性（如数据加密、访问权限控制）与系统安全策略结合，保障迁移后数据的存储安全与访问合规性。</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3.3.4 </w:t>
      </w:r>
      <w:r>
        <w:rPr>
          <w:rFonts w:ascii="SimSun" w:hAnsi="SimSun" w:eastAsia="SimSun" w:cs="SimSun"/>
          <w:b/>
          <w:color w:val="000000"/>
          <w:sz w:val="24"/>
        </w:rPr>
        <w:t xml:space="preserve">集成测试与系统割接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集成测试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完成适配迁移后，供应商应在通过自测基础上，委托具备相关资质的第三方机构，开展整体测试并出具正式检测报告（中标建设后负责完成软件测评，相关费用包含在此次报价中），供应商应梳理并闭环全部适配缺陷、兼容</w:t>
      </w:r>
      <w:r>
        <w:rPr>
          <w:rFonts w:ascii="Times New Roman" w:hAnsi="Times New Roman" w:eastAsia="Times New Roman" w:cs="Times New Roman"/>
          <w:color w:val="000000"/>
          <w:sz w:val="24"/>
        </w:rPr>
        <w:t xml:space="preserve">BUG</w:t>
      </w:r>
      <w:r>
        <w:rPr>
          <w:rFonts w:ascii="SimSun" w:hAnsi="SimSun" w:eastAsia="SimSun" w:cs="SimSun"/>
          <w:color w:val="000000"/>
          <w:sz w:val="24"/>
        </w:rPr>
        <w:t xml:space="preserve">、流程异常问题。测试包括但不限于以下内容：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）接口测试：对于系统内部接口和外部接口进行测试。验证接口的输入输出数据是否符合预期，并进行边界值测试和异常情况的处理测试。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）功能测试：针对集成后的系统进行功能测试，验证系统在各个组件或模块间的集成情况下的功能是否正常。测试系统的各项功能、业务流程和用户操作，确保其符合预期的功能要求。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）数据一致性和完整性测试：验证在集成过程中数据的一致性和完整性。确保电子附件挂接是否一致。</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）性能测试：对集成后的系统进行性能测试，评估系统在正常和峰值负载下的性能表现。测试系统的响应时间、吞吐量、资源利用率等指标，确保系统能够满足性能要求。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）安全性测试：测试集成后的系统的安全性能，包括身份认证、访问控制、数据加密和漏洞扫描等方面的测试。确保系统在集成后的安全性能符合预期要求。</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）源代码安全审计：采用「工具静态扫描</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人工代码评审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漏洞验证」方式，对指定业务系统源代码进行安全检测，覆盖安全漏洞、业务逻辑、第三方组件、配置与敏感信息。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系统割接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对新旧系统进行割接上线，割接过程中，需确保业务从旧系统向新系统平稳过渡，最大限度减少对用户的影响，保证业务连续性。需完成以下任务：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）确保业务平稳过渡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）数据迁移与同步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）应用系统割接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）服务连续性保障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）风险控制与应急响应</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）割接后系统验证与优化</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割接前需做好数据迁移、环境部署、联调测试及应急预案演练等准备工作，制定详细割接计划与相关问题预案，做好系统与数据的全量备份。割接过程中实时监测系统运行状态，确保割接的平稳进行。割接实施后，立即启动系统生产环境测试工作，确保系统能够正常运行并满足各项性能指标要求，平稳过渡至试运行阶段。</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3.4 总体建设要求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国产化适配要求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供应商须按照国产化工作要求，根据省政务云提供的国产化环境和软硬件资源，完成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信息化平台国产化适配开发改造。平台须适配的软硬件环境以省政务云提供的实际资源配置为准：通过安全可靠测评的芯片架构（如</w:t>
      </w:r>
      <w:r>
        <w:rPr>
          <w:rFonts w:ascii="Times New Roman" w:hAnsi="Times New Roman" w:eastAsia="Times New Roman" w:cs="Times New Roman"/>
          <w:color w:val="000000"/>
          <w:sz w:val="24"/>
        </w:rPr>
        <w:t xml:space="preserve">Arm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C86</w:t>
      </w:r>
      <w:r>
        <w:rPr>
          <w:rFonts w:ascii="SimSun" w:hAnsi="SimSun" w:eastAsia="SimSun" w:cs="SimSun"/>
          <w:color w:val="000000"/>
          <w:sz w:val="24"/>
        </w:rPr>
        <w:t xml:space="preserve">等）、国产操作系统（如麒麟</w:t>
      </w:r>
      <w:r>
        <w:rPr>
          <w:rFonts w:ascii="Times New Roman" w:hAnsi="Times New Roman" w:eastAsia="Times New Roman" w:cs="Times New Roman"/>
          <w:color w:val="000000"/>
          <w:sz w:val="24"/>
        </w:rPr>
        <w:t xml:space="preserve">V10</w:t>
      </w:r>
      <w:r>
        <w:rPr>
          <w:rFonts w:ascii="SimSun" w:hAnsi="SimSun" w:eastAsia="SimSun" w:cs="SimSun"/>
          <w:color w:val="000000"/>
          <w:sz w:val="24"/>
        </w:rPr>
        <w:t xml:space="preserve">、中标麒麟、统信</w:t>
      </w:r>
      <w:r>
        <w:rPr>
          <w:rFonts w:ascii="Times New Roman" w:hAnsi="Times New Roman" w:eastAsia="Times New Roman" w:cs="Times New Roman"/>
          <w:color w:val="000000"/>
          <w:sz w:val="24"/>
        </w:rPr>
        <w:t xml:space="preserve">UOS</w:t>
      </w:r>
      <w:r>
        <w:rPr>
          <w:rFonts w:ascii="SimSun" w:hAnsi="SimSun" w:eastAsia="SimSun" w:cs="SimSun"/>
          <w:color w:val="000000"/>
          <w:sz w:val="24"/>
        </w:rPr>
        <w:t xml:space="preserve">等）、国产数据库（如达梦、人大金仓、海量等）、国产中间件（如宝兰德、金蝶、普元等）、国产浏览器（如奇安信等）、国产办公软件（</w:t>
      </w:r>
      <w:r>
        <w:rPr>
          <w:rFonts w:ascii="Times New Roman" w:hAnsi="Times New Roman" w:eastAsia="Times New Roman" w:cs="Times New Roman"/>
          <w:color w:val="000000"/>
          <w:sz w:val="24"/>
        </w:rPr>
        <w:t xml:space="preserve">WPS</w:t>
      </w:r>
      <w:r>
        <w:rPr>
          <w:rFonts w:ascii="SimSun" w:hAnsi="SimSun" w:eastAsia="SimSun" w:cs="SimSun"/>
          <w:color w:val="000000"/>
          <w:sz w:val="24"/>
        </w:rPr>
        <w:t xml:space="preserve">、永中</w:t>
      </w:r>
      <w:r>
        <w:rPr>
          <w:rFonts w:ascii="Times New Roman" w:hAnsi="Times New Roman" w:eastAsia="Times New Roman" w:cs="Times New Roman"/>
          <w:color w:val="000000"/>
          <w:sz w:val="24"/>
        </w:rPr>
        <w:t xml:space="preserve">Office</w:t>
      </w:r>
      <w:r>
        <w:rPr>
          <w:rFonts w:ascii="SimSun" w:hAnsi="SimSun" w:eastAsia="SimSun" w:cs="SimSun"/>
          <w:color w:val="000000"/>
          <w:sz w:val="24"/>
        </w:rPr>
        <w:t xml:space="preserve">等）。开发语言统一采用国产化生态支持良好的主流语言，各系统进行必要的代码重构、模块重写、架构调整以及接口改造等，确保平台在国产操作系统、中间件和数据库环境下功能完整、性能达标，包括页面正常显示、操作流畅、数据交互无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注：最终适配产品选型须依据</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省政务云资源统筹</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业务系统适配最优</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双重原则确定，供应商须完成在最终指定环境下的适配与部署工作。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网络安全、密码应用安全性评估及第三方软件测试相关要求</w:t>
      </w:r>
      <w:r/>
    </w:p>
    <w:p>
      <w:pPr>
        <w:ind w:left="0" w:right="0" w:firstLine="482"/>
        <w:jc w:val="both"/>
        <w:spacing w:before="0" w:after="120" w:line="438" w:lineRule="atLeast"/>
        <w:rPr>
          <w:b/>
          <w:bCs/>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bCs/>
          <w:i/>
          <w:color w:val="000000" w:themeColor="text1"/>
          <w:sz w:val="24"/>
          <w:u w:val="single"/>
        </w:rPr>
        <w:t xml:space="preserve">供应商须按照网络安全等级保护三级的防护要求进行项目实施交付，配合采购人完成网络安全等保三级测评，并根据测评结果进行整改直至通过；供应商须按照《信息安全技术信息系统密码应用基本要求》（</w:t>
      </w:r>
      <w:r>
        <w:rPr>
          <w:rFonts w:ascii="Times New Roman" w:hAnsi="Times New Roman" w:eastAsia="Times New Roman" w:cs="Times New Roman"/>
          <w:b/>
          <w:bCs/>
          <w:i/>
          <w:color w:val="000000" w:themeColor="text1"/>
          <w:sz w:val="24"/>
          <w:u w:val="single"/>
        </w:rPr>
        <w:t xml:space="preserve">GB/T39786-2021</w:t>
      </w:r>
      <w:r>
        <w:rPr>
          <w:rFonts w:ascii="SimSun" w:hAnsi="SimSun" w:eastAsia="SimSun" w:cs="SimSun"/>
          <w:b/>
          <w:bCs/>
          <w:i/>
          <w:color w:val="000000" w:themeColor="text1"/>
          <w:sz w:val="24"/>
          <w:u w:val="single"/>
        </w:rPr>
        <w:t xml:space="preserve">）等标准中第三级的相关要求进行项目实施交付，并根据评估结果进行整改，直至通过；供应商须委托具备相关资质的第三方开展软件测试，并根据测评结果进行整改直至通过。提供盖章的承诺。</w:t>
      </w:r>
      <w:r>
        <w:rPr>
          <w:b/>
          <w:bCs/>
          <w:color w:val="000000" w:themeColor="text1"/>
        </w:rP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数据安全要求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残疾人大数据中心、部分业务系统等在数据采集、数据治理、数据分析等过程中，涉及个人信息等隐私数据，供应商须贯彻落实《中华人民共和国数据安全法》《中华人民共和国个人信息保护法》《网络数据安全管理条例》等数据安全法律法规要求，充分利用省政务云相关数据安全资源对数据采集、存储、传输、使用、共享、删除、销毁、访问审计、溯源等全流程进行安全防护。</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供应商须完成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信息化平台数据向国产化环境的迁移适配，确保数据资源在国产化基础软硬件平台中安全存储、可靠运行，保障迁移过程及迁移后数据的完整性、一致性与业务连续性。</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针对平台涉及的个人敏感信息实施数据分类分级管理，对重要数据进行重点保护；建立与数据类别级别相适应的访问控制机制，在数据访问前设置身份认证等措施，防止非授权访问；对存储的重要数据采取加密存储措施，避免数据失窃导致信息泄露；对批量传输、下载、导出数据等操作进行安全监控，对数据异常访问操作进行告警；采取必要技术措施查验备份数据的完整性和可用性；开展数据安全传输服务能力建设，确保数据在采集、传输、存储、共享交换、使用及删除销毁全生命周期的安全。</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系统对接要求</w:t>
      </w:r>
      <w:r/>
    </w:p>
    <w:p>
      <w:pPr>
        <w:ind w:left="0" w:right="0" w:firstLine="482"/>
        <w:jc w:val="both"/>
        <w:spacing w:before="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供应商须确保</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智慧残联</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信息化平台适配改造完成后与中国残联信息化服务平台、江苏省</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苏政源</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平台、省政务服务网、苏服办</w:t>
      </w:r>
      <w:r>
        <w:rPr>
          <w:rFonts w:ascii="Times New Roman" w:hAnsi="Times New Roman" w:eastAsia="Times New Roman" w:cs="Times New Roman"/>
          <w:b/>
          <w:i/>
          <w:color w:val="000000" w:themeColor="text1"/>
          <w:sz w:val="24"/>
          <w:u w:val="single"/>
        </w:rPr>
        <w:t xml:space="preserve">APP</w:t>
      </w:r>
      <w:r>
        <w:rPr>
          <w:rFonts w:ascii="SimSun" w:hAnsi="SimSun" w:eastAsia="SimSun" w:cs="SimSun"/>
          <w:b/>
          <w:i/>
          <w:color w:val="000000" w:themeColor="text1"/>
          <w:sz w:val="24"/>
          <w:u w:val="single"/>
        </w:rPr>
        <w:t xml:space="preserve">、省电子证照系统、省好差评系统、民政部残疾人两项补贴系统、省人社一体化平台、地市残疾人证评定系统等外部平台继续保持对接能力；各业务系统、残疾人大数据中心、办公自动化系统（</w:t>
      </w:r>
      <w:r>
        <w:rPr>
          <w:rFonts w:ascii="Times New Roman" w:hAnsi="Times New Roman" w:eastAsia="Times New Roman" w:cs="Times New Roman"/>
          <w:b/>
          <w:i/>
          <w:color w:val="000000" w:themeColor="text1"/>
          <w:sz w:val="24"/>
          <w:u w:val="single"/>
        </w:rPr>
        <w:t xml:space="preserve">OA</w:t>
      </w:r>
      <w:r>
        <w:rPr>
          <w:rFonts w:ascii="SimSun" w:hAnsi="SimSun" w:eastAsia="SimSun" w:cs="SimSun"/>
          <w:b/>
          <w:i/>
          <w:color w:val="000000" w:themeColor="text1"/>
          <w:sz w:val="24"/>
          <w:u w:val="single"/>
        </w:rPr>
        <w:t xml:space="preserve">）、公文交换系统，原有的统一身份认证、单点登录、权限管理、数据共享等能力保持不变，确保数据流转和业务协同不中断。提供盖章的承诺。</w:t>
      </w:r>
      <w:r>
        <w:rPr>
          <w:color w:val="000000" w:themeColor="text1"/>
        </w:rPr>
      </w:r>
    </w:p>
    <w:p>
      <w:pPr>
        <w:ind w:left="0" w:right="0" w:firstLine="482"/>
        <w:jc w:val="both"/>
        <w:spacing w:before="12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8"/>
        </w:rPr>
        <w:t xml:space="preserve">3.5 各系统功能要求</w:t>
      </w:r>
      <w:r>
        <w:rPr>
          <w:color w:val="000000" w:themeColor="text1"/>
        </w:rPr>
      </w:r>
    </w:p>
    <w:p>
      <w:pPr>
        <w:ind w:left="0" w:right="0" w:firstLine="482"/>
        <w:jc w:val="both"/>
        <w:spacing w:before="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本项目适配改造包含</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智慧残联</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信息化平台全部应用系统各子系统的所有功能模块（包含但不限于</w:t>
      </w:r>
      <w:r>
        <w:rPr>
          <w:rFonts w:ascii="SimSun" w:hAnsi="SimSun" w:eastAsia="SimSun" w:cs="SimSun"/>
          <w:b/>
          <w:i/>
          <w:color w:val="000000" w:themeColor="text1"/>
          <w:sz w:val="24"/>
          <w:u w:val="single"/>
        </w:rPr>
        <w:t xml:space="preserve">3</w:t>
      </w:r>
      <w:r>
        <w:rPr>
          <w:rFonts w:ascii="Times New Roman" w:hAnsi="Times New Roman" w:eastAsia="Times New Roman" w:cs="Times New Roman"/>
          <w:b/>
          <w:i/>
          <w:color w:val="000000" w:themeColor="text1"/>
          <w:sz w:val="24"/>
          <w:u w:val="single"/>
        </w:rPr>
        <w:t xml:space="preserve">.5</w:t>
      </w:r>
      <w:r>
        <w:rPr>
          <w:rFonts w:ascii="SimSun" w:hAnsi="SimSun" w:eastAsia="SimSun" w:cs="SimSun"/>
          <w:b/>
          <w:i/>
          <w:color w:val="000000" w:themeColor="text1"/>
          <w:sz w:val="24"/>
          <w:u w:val="single"/>
        </w:rPr>
        <w:t xml:space="preserve">中列出部分）；项目实施过程中，如原平台功能模块发生整合、升级等调整情况，供应商须针对调整后的软件版本进行适配改造。提供盖章的承诺。</w:t>
      </w:r>
      <w:r>
        <w:rPr>
          <w:color w:val="000000" w:themeColor="text1"/>
        </w:rP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 </w:t>
      </w:r>
      <w:r>
        <w:rPr>
          <w:rFonts w:ascii="SimSun" w:hAnsi="SimSun" w:eastAsia="SimSun" w:cs="SimSun"/>
          <w:b/>
          <w:color w:val="000000"/>
          <w:sz w:val="24"/>
        </w:rPr>
        <w:t xml:space="preserve">全省互联网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助残服务平台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江苏省残疾人服务网（</w:t>
      </w:r>
      <w:r>
        <w:rPr>
          <w:rFonts w:ascii="Times New Roman" w:hAnsi="Times New Roman" w:eastAsia="Times New Roman" w:cs="Times New Roman"/>
          <w:b/>
          <w:color w:val="000000"/>
          <w:sz w:val="24"/>
        </w:rPr>
        <w:t xml:space="preserve">PC</w:t>
      </w:r>
      <w:r>
        <w:rPr>
          <w:rFonts w:ascii="SimSun" w:hAnsi="SimSun" w:eastAsia="SimSun" w:cs="SimSun"/>
          <w:b/>
          <w:color w:val="000000"/>
          <w:sz w:val="24"/>
        </w:rPr>
        <w:t xml:space="preserve">端、小程序）国产化适配改造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残疾人服务网包括登录注册、事项办理、指南查询、政策查询、联系服务专员、律师在线答疑、理事长信箱、在线咨询、助残服务地图、工作岗位、捐款救助、无障碍阅读、个人中心、智能匹配等、居家托养预约（在托残疾人）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）面向残疾人群众、残联工作人员、服务机构工作人员等各类用户提供统一的网上服务入口；对接江苏政务服务网，实现全省统一用户实名认证与登录，获取用户基础信息并落地至本地系统。</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）集成残疾人证办理、康复服务、教育补贴、辅具申请等应用，提供办事指南查询和在线申请入口。</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）支持按省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地市、残疾类别、等级等条件检索惠残政策，已登录用户可自动匹配相关政策。</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）根据登录残疾人信息自动匹配并展示所在乡镇（街道）专职委员的联系方式。</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）对接门户网站，实现理事长信箱与在线咨询的数据采集；支持残疾人在线发起法律问题咨询，由省残联工作人员统一分发至相关地区残联答复。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）分类展示各级残联机关、残疾人之家、康复机构、托养机构等服务机构的位置信息。</w:t>
      </w:r>
      <w:r>
        <w:rPr>
          <w:rFonts w:ascii="SimSun" w:hAnsi="SimSun" w:eastAsia="SimSun" w:cs="SimSun"/>
          <w:b/>
          <w:color w:val="000000"/>
          <w:sz w:val="24"/>
        </w:rPr>
        <w:t xml:space="preserve">（提供功能实现说明、系统截图等证明材料）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）集成信息无障碍工具，提供网页浏览辅助（文字放大、光标调整）、语音朗读及数字键导航功能。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）提供我的信息、我的申请、我的咨询、我的档案（含康复、托养等档案）查询。</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）根据访客筛选条件或已登录用户的残疾人信息（残疾类别、等级、年龄、地区等），自动匹配并展示可享受的服务事项和政策法规。</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3.5.2 </w:t>
      </w:r>
      <w:r>
        <w:rPr>
          <w:rFonts w:ascii="SimSun" w:hAnsi="SimSun" w:eastAsia="SimSun" w:cs="SimSun"/>
          <w:b/>
          <w:color w:val="000000"/>
          <w:sz w:val="24"/>
        </w:rPr>
        <w:t xml:space="preserve">全省互联网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助残服务平台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服务网管理系统国产化适配改造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服务网管理系统包括站点管理、网站链接配置、政策发布管理、服务专员管理、小程序首页</w:t>
      </w:r>
      <w:r>
        <w:rPr>
          <w:rFonts w:ascii="Times New Roman" w:hAnsi="Times New Roman" w:eastAsia="Times New Roman" w:cs="Times New Roman"/>
          <w:color w:val="000000"/>
          <w:sz w:val="24"/>
        </w:rPr>
        <w:t xml:space="preserve">Banner</w:t>
      </w:r>
      <w:r>
        <w:rPr>
          <w:rFonts w:ascii="SimSun" w:hAnsi="SimSun" w:eastAsia="SimSun" w:cs="SimSun"/>
          <w:color w:val="000000"/>
          <w:sz w:val="24"/>
        </w:rPr>
        <w:t xml:space="preserve">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可开展站点基础信息维护、外部链接配置管理；支持省、市分级发布服务政策，支持上传</w:t>
      </w:r>
      <w:r>
        <w:rPr>
          <w:rFonts w:ascii="Times New Roman" w:hAnsi="Times New Roman" w:eastAsia="Times New Roman" w:cs="Times New Roman"/>
          <w:color w:val="000000"/>
          <w:sz w:val="24"/>
        </w:rPr>
        <w:t xml:space="preserve">PDF</w:t>
      </w:r>
      <w:r>
        <w:rPr>
          <w:rFonts w:ascii="SimSun" w:hAnsi="SimSun" w:eastAsia="SimSun" w:cs="SimSun"/>
          <w:color w:val="000000"/>
          <w:sz w:val="24"/>
        </w:rPr>
        <w:t xml:space="preserve">附件，并可设置政策适用的残疾类别、等级等；提供服务专员信息维护；同时支持微信端首页</w:t>
      </w:r>
      <w:r>
        <w:rPr>
          <w:rFonts w:ascii="Times New Roman" w:hAnsi="Times New Roman" w:eastAsia="Times New Roman" w:cs="Times New Roman"/>
          <w:color w:val="000000"/>
          <w:sz w:val="24"/>
        </w:rPr>
        <w:t xml:space="preserve">Banner</w:t>
      </w:r>
      <w:r>
        <w:rPr>
          <w:rFonts w:ascii="SimSun" w:hAnsi="SimSun" w:eastAsia="SimSun" w:cs="SimSun"/>
          <w:color w:val="000000"/>
          <w:sz w:val="24"/>
        </w:rPr>
        <w:t xml:space="preserve">图配置。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3.5.3 </w:t>
      </w:r>
      <w:r>
        <w:rPr>
          <w:rFonts w:ascii="SimSun" w:hAnsi="SimSun" w:eastAsia="SimSun" w:cs="SimSun"/>
          <w:b/>
          <w:color w:val="000000"/>
          <w:sz w:val="24"/>
        </w:rPr>
        <w:t xml:space="preserve">全省互联网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助残服务平台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助残机构运行系统（</w:t>
      </w:r>
      <w:r>
        <w:rPr>
          <w:rFonts w:ascii="Times New Roman" w:hAnsi="Times New Roman" w:eastAsia="Times New Roman" w:cs="Times New Roman"/>
          <w:b/>
          <w:color w:val="000000"/>
          <w:sz w:val="24"/>
        </w:rPr>
        <w:t xml:space="preserve">PC</w:t>
      </w:r>
      <w:r>
        <w:rPr>
          <w:rFonts w:ascii="SimSun" w:hAnsi="SimSun" w:eastAsia="SimSun" w:cs="SimSun"/>
          <w:b/>
          <w:color w:val="000000"/>
          <w:sz w:val="24"/>
        </w:rPr>
        <w:t xml:space="preserve">端、小程序）国产化适配改造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助残机构运行系统覆盖托养照护机构与儿童康复机构的运行管理业务。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托养照护机构运行系统</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端主要包括首页，机构基本信息、机构人员信息管理，残疾人新增管理、日间照料服务管理、寄宿活动管理、居家工单管理、在托残疾人档案，投诉管理，托养服务终止申请，托养补贴资金申报等功能模块；小程序端主要包括居家服务待确认工单、待服务工单、已服务工单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为机构管理人员提供统一的首页，展示本机构在托残疾人数量、工作人员数量、机构所在县（市、区）托养照护服务项目、托养工单量排行、在托残疾人残疾类别、年龄分布情况，工作人员学历、年龄、类型分布情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）支持机构管理人员对本机构的基本信息、工作人员信息等进行维护，提供工作人员信息维护后即开设账号，对工作人员账号启用、禁用、重置密码等功能。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）支持机构录入经过县级残联审核的残疾人信息，提供中国残联信息化服务平台持证残疾人数据调用功能。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支持对托养照护服务情况进行采集，日间照料、寄宿制托养主要包括服务日期、服务项目、服务内容、服务人员、服务对象、服务照片等；提供居家托养服务工单全流程管理，包括待分配（含手动登记）、服务中、待回访、已完成、异常终止工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）集中管理在托中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已离托残疾人档案，包含基本信息、托养类型、服务记录等。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）提供机构向残联申报托养补贴，选择补贴类型、周期、辖区，勾选在托残疾人并填写补贴金额、上传发票等功能。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）工作人员通过小程序端查看分配给自己的工单，可确认或退回（填原因），确认后进入待服务工单，可开始服务或异常终止，开始后转为结束服务操作，可查看已完成的服务工单列表及详情。</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儿童康复机构运行系统</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端主要包括首页，机构基本信息维护、扩展信息维护、课程信息维护、工作人员信息维护、教室信息维护、班级信息维护，残疾儿童新增、集体课程管理、个训课程管理，残疾儿童档案管理、往年残疾儿童档案管理，资金申报，课程表查询、机构安全检查等模块；小程序端主要包括上课登记、未打卡课程、上课登记（无需排课）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）为机构管理人员提供统一的首页，展示本机构服务儿童数量，工作人员数量，当前课程情况、康复计划安排，课程数量排行，残疾儿童残疾类别、年龄分布情况，工作人员学历、年龄、类型分布情况。</w:t>
      </w:r>
      <w:r>
        <w:rPr>
          <w:rFonts w:ascii="SimSun" w:hAnsi="SimSun" w:eastAsia="SimSun" w:cs="SimSun"/>
          <w:b/>
          <w:color w:val="000000"/>
          <w:sz w:val="24"/>
        </w:rPr>
        <w:t xml:space="preserve">（提供功能实现说明、系统截图等证明材料）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机构管理人员对本机构的基本信息、扩展信息、课程信息、工作人员信息、教室信息、班级信息等进行维护，提供工作人员信息维护后即开设账号，人员信息与课程绑定，对工作人员账号启用、禁用、重置密码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）支持机构录入经过县级残联审核的残疾儿童信息，提供中国残联信息化服务平台审批数据调用功能；支持机构为已签收儿童制定康复课程计划，班级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非班级（小组）维度排集体课、人员维度排个训课，提供日历视图拖拽、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为单位批量复制课程等功能。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）集中管理服务中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已离园儿童档案，包含基本信息、康复计划、评估报告、康复记录、离园信息、回访信息等。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）提供机构定期向残联申报儿童康复补贴资金，选择补贴周期、新增报销类目、上传发票，提交审批等功能。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）工作人员通过小程序端进行上课登记，支持给儿童标记病假、缺课等状态，记录服务人员、地点、照片等，支持具备医疗资质的机构对儿童进行无需排课的上课登记。</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3.5.4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江苏省残联一体化工作门户国产化适配改造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江苏省残联一体化工作门户包括登录、统一待办、通知公告、常用应用、数据看板、数智大屏等功能模块。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账号密码、短信、微信、中国残联账号等方式登录系统，兼容多浏览器；集中展示业务系统推送的待办事项，支持按名称、类型、时间检索，点击直接跳转办理；展示省残联统一发布的通知公告，支持按名称、时间检索；展示所有可访问的应用系统，支持个性化设置首页展示；对接全景决策分析展示系统，提供数据看板与数智大屏入口。</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3.5.5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统一资源管理系统国产化适配改造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统一资源管理系统包括日志管理、组织架构管理、菜单管理、角色管理、用户管理、字典项管理、应用管理、</w:t>
      </w:r>
      <w:r>
        <w:rPr>
          <w:rFonts w:ascii="Times New Roman" w:hAnsi="Times New Roman" w:eastAsia="Times New Roman" w:cs="Times New Roman"/>
          <w:color w:val="000000"/>
          <w:sz w:val="24"/>
        </w:rPr>
        <w:t xml:space="preserve">API</w:t>
      </w:r>
      <w:r>
        <w:rPr>
          <w:rFonts w:ascii="SimSun" w:hAnsi="SimSun" w:eastAsia="SimSun" w:cs="SimSun"/>
          <w:color w:val="000000"/>
          <w:sz w:val="24"/>
        </w:rPr>
        <w:t xml:space="preserve">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维护组织机构层级，配置系统菜单目录，管理平台用户账号，以角色、角色组的方式精细化分配操作权限；维护业务字典参数，管控各业务应用及接口接入权限，留存完整系统操作日志，实现多业务系统统一身份认证与权限治理。</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3.5.6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服务管理系统国产化适配改造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服务管理系统包括预受理办件、受理登记、办件查询、待处理办件、办件查询；服务事项管理等功能模块。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）支持集中展示待审批的办件列表，支持按事项、状态检索，点击办理进入审批页面。</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）窗口工作人员为残疾人线下登记办件，支持暂存、提交，自动分配受理部门。</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）提供可视化流程模型管理，支持流程模板定义、复制、发布、禁用等，配置流转步骤、时限、补正、退回等。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）审批人员在线查看办件详情，录入审批意见，执行流程流转（通过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退回）。</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）集中展示省、市、县各级办件信息，支持多条件检索和详情查看，按行政区划数据隔离。</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）支持对服务事项目录及办事指南的认领、维护及统计。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3.5.7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机构管理系统国产化适配改造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机构管理系统包括残联机关信息管理、设备维护、残疾人之家信息审核、助残机构管理等功能模块。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支持对残联机关、助残机构（儿童康复定点机构、白内障定点手术医院、精神病免费服药医院、托养机构、研究会）等基础信息进行维护、审核、查看。</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支持对儿童康复定点机构、托养机构服务档案进行查看。</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支持对试点机构设备进行启用、禁用、预览等操作。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3.5.8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综合业务管理系统国产化适配改造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综合业务管理系统包括残疾人信息、通知公告管理、工作日历管理等功能模块。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列表形式展示中国残联信息化服务平台下行的残疾人持证信息以及享受服务信息；支持通知公告的新增、编辑与发布；支持对工作日进行维护，便于系统相关统计。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3.5.9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高效办成</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一件事</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高效办成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系统包括残疾人服务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系统（省残联牵头建设）与困难群众关爱帮扶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系统、基层高频事项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系统、身后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系统与就业困难认定和补贴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系统等（省残联对接联办事项）。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）申请端（</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端、</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端）包括办事指南；情形引导、一表申请、一单告知；查看办件等功能模块。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一件事专栏：在江苏省政务服务网、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苏服办</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设置残疾人服务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专栏，残疾人群众可使用</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端或移动终端访问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专栏、办理业务。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信息浏览：残疾人服务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专栏具有服务介绍、办事指南、办理说明等信息供用户查询、浏览。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业务咨询：残疾人服务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专栏具有智能业务问答应用，可自动回复用户预设的常见业务问题。</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④</w:t>
      </w:r>
      <w:r>
        <w:rPr>
          <w:rFonts w:ascii="SimSun" w:hAnsi="SimSun" w:eastAsia="SimSun" w:cs="SimSun"/>
          <w:color w:val="000000"/>
          <w:sz w:val="24"/>
        </w:rPr>
        <w:t xml:space="preserve">网上申报：具有用户须知、情景引导、一表申报、辅助填报、要件材料上传功能，方便用户申请填报。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⑤</w:t>
      </w:r>
      <w:r>
        <w:rPr>
          <w:rFonts w:ascii="SimSun" w:hAnsi="SimSun" w:eastAsia="SimSun" w:cs="SimSun"/>
          <w:color w:val="000000"/>
          <w:sz w:val="24"/>
        </w:rPr>
        <w:t xml:space="preserve">进度查询：具有办理进度查询功能，方便用户了解办件办理情况。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⑥</w:t>
      </w:r>
      <w:r>
        <w:rPr>
          <w:rFonts w:ascii="SimSun" w:hAnsi="SimSun" w:eastAsia="SimSun" w:cs="SimSun"/>
          <w:color w:val="000000"/>
          <w:sz w:val="24"/>
        </w:rPr>
        <w:t xml:space="preserve">办件流转：借助江苏省数字政府政务中台以及江苏省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平台能力实现办件拆解、自动分发，可将从一件事办件拆分成单事项所需申办数据，自动分发至对应业务系统，并原路获取办件办理结果。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⑦</w:t>
      </w:r>
      <w:r>
        <w:rPr>
          <w:rFonts w:ascii="SimSun" w:hAnsi="SimSun" w:eastAsia="SimSun" w:cs="SimSun"/>
          <w:color w:val="000000"/>
          <w:sz w:val="24"/>
        </w:rPr>
        <w:t xml:space="preserve">集成服务：能够调用江苏省数字政府政务中台、江苏省政务服务网能力丰富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应用，包括：用户认证体系、电子证照生成、数字签名、智能问答等应用。</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）管理端包括在线申请、暂存申请、办件查询、特殊情况备注、申请表下载、用户管理、日志管理、残疾人证事项统计、工作日历维护、一次评查询、一件事办件量统计、区划代码映射管理等功能模块。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窗口受理：满足全省各级残疾人服务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服务窗口人员线下受理登记、线上办件受理、办理进度跟踪、办理结果录入、办理结果反馈。支持辅助填报、快捷获取信息等功能。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申清单管理：满足窗口人员对单事项申请单的生成、打印等操作。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办件分发：满足窗口人员推送单事项办件数据，支持自动分发以及手动触发。</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④</w:t>
      </w:r>
      <w:r>
        <w:rPr>
          <w:rFonts w:ascii="SimSun" w:hAnsi="SimSun" w:eastAsia="SimSun" w:cs="SimSun"/>
          <w:color w:val="000000"/>
          <w:sz w:val="24"/>
        </w:rPr>
        <w:t xml:space="preserve">证照管理：满足窗口人员完成残疾人电子证照获取、查询。</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⑤</w:t>
      </w:r>
      <w:r>
        <w:rPr>
          <w:rFonts w:ascii="SimSun" w:hAnsi="SimSun" w:eastAsia="SimSun" w:cs="SimSun"/>
          <w:color w:val="000000"/>
          <w:sz w:val="24"/>
        </w:rPr>
        <w:t xml:space="preserve">材料共享：支持窗口工作人员通过材料共享的方式，直接引用前置事项的结果材料作为本事项审批的申请材料，无需申请人提供。</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⑥</w:t>
      </w:r>
      <w:r>
        <w:rPr>
          <w:rFonts w:ascii="SimSun" w:hAnsi="SimSun" w:eastAsia="SimSun" w:cs="SimSun"/>
          <w:color w:val="000000"/>
          <w:sz w:val="24"/>
        </w:rPr>
        <w:t xml:space="preserve">进度跟踪：满足窗口工作人员了解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各联办部门办件进度情况。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⑦</w:t>
      </w:r>
      <w:r>
        <w:rPr>
          <w:rFonts w:ascii="SimSun" w:hAnsi="SimSun" w:eastAsia="SimSun" w:cs="SimSun"/>
          <w:color w:val="000000"/>
          <w:sz w:val="24"/>
        </w:rPr>
        <w:t xml:space="preserve">预警管理：满足窗口人员及时掌握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各事项办理时效情况。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⑧</w:t>
      </w:r>
      <w:r>
        <w:rPr>
          <w:rFonts w:ascii="SimSun" w:hAnsi="SimSun" w:eastAsia="SimSun" w:cs="SimSun"/>
          <w:color w:val="000000"/>
          <w:sz w:val="24"/>
        </w:rPr>
        <w:t xml:space="preserve">办理结果：满足窗口人员获取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及各事项办理结果数据。支持多种方式办理结果获取，如：通过接口从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平台获取残疾人燃油补贴、残疾人教育补贴办理结果数据；通过接口从政务中台获取养老保险、两项补贴办理结果数据等。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▲⑨</w:t>
      </w:r>
      <w:r>
        <w:rPr>
          <w:rFonts w:ascii="SimSun" w:hAnsi="SimSun" w:eastAsia="SimSun" w:cs="SimSun"/>
          <w:color w:val="000000"/>
          <w:sz w:val="24"/>
        </w:rPr>
        <w:t xml:space="preserve">统计分析：满足窗口人员对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数据的查询分析，包括：受理情况统计、办理情况统计、部门办件情况、办理明细数据统计。</w:t>
      </w:r>
      <w:r>
        <w:rPr>
          <w:rFonts w:ascii="SimSun" w:hAnsi="SimSun" w:eastAsia="SimSun" w:cs="SimSun"/>
          <w:b/>
          <w:color w:val="000000"/>
          <w:sz w:val="24"/>
        </w:rPr>
        <w:t xml:space="preserve">（提供功能实现说明、系统截图等证明材料）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⑩</w:t>
      </w:r>
      <w:r>
        <w:rPr>
          <w:rFonts w:ascii="SimSun" w:hAnsi="SimSun" w:eastAsia="SimSun" w:cs="SimSun"/>
          <w:color w:val="000000"/>
          <w:sz w:val="24"/>
        </w:rPr>
        <w:t xml:space="preserve">集成服务：能够调用江苏省数字政府政务中台能力丰富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应用，包括：获取电子证照数据、推送办件数据、申请人基础数据获取等。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困难群众关爱帮扶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系统对接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包括联办事项对接、办件查询、预审办理、结果录入、步骤查询等功能模块。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）与省政务中台对接，实现与省民政厅困难群众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统一受理端办件共享，主要包括高中和高等教育阶段残疾学生教育专项补贴申请、残疾人机动轮椅车燃油补贴两个协同办理事项。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）支持申请人通过申请端，各设区市乡镇（街道）便民服务中心民政一门受理窗口工作人员通过困难群众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受理端开展协同办理事项办件申请、受理等业务。支持残疾人服务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平台对困难群众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平台受理办件的分类查询。</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）记录系统日志，支持系统联调与问题排查。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基层高频事项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系统对接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包括办件对接、办件查询、预审办理、结果录入、步骤查询等功能模块。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）支持各设区市乡镇（街道）便民服务中心综合窗口工作人员通过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开展残疾人相关事项办件代申请、受理、查询等业务。支持残疾人服务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受理办件的分类查询。</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）接入江苏省政务服务网，苏服办</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端增加服务引导页。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）通过与省数字政府政务中台对接，实现办件数据合规上报。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）通过与省政务服务网综合管理平台对接，实现各设区市用户通过本地政务服务平台账号登录残疾人服务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）记录系统日志，支持系统联调与问题排查。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身后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系统对接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包括联办事项对接、身后一件事待办、身后一件事已办、身后一件事统计等功能模块。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）支持申请人通过申请端，各设区市乡镇（街道）便民服务中心民政一门受理窗口工作人员通过身后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受理端开展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残疾人证注销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事项办件申请、受理等业务。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）支持省残联残疾人证管理人员在残疾人服务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平台，接收身后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平台推送的办件材料。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）支持导出待办件基本信息，处理报送办理结果。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）支持按设区市统计残疾人证注销数量。</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就业困难认定和补贴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系统对接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为就业困难认定和补贴申请事项涉及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残疾人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场景提供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残疾人身份核验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接口，反馈持证状态、残疾类别、等级等信息。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3.5.10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残疾人证数据交换系统国产化适配改造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残疾人证数据交换系统针对残疾人证办理业务，建立一套规范、统一的业务模式及标准接口，实现地市自建系统、中国残联信息化服务平台、残疾人服务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系统残疾人证办件申请环节、评定环节、办理结果等数据的对接。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上行接口</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提供请求系统当天授权码，根据区划获取待办数据，删除已获取待办数据，残疾人证评定信息校验，残疾人证评定信息提交，评定材料上传，查询办件等功能。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下行接口</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支持根据区划推送待评残数据、残疾人证评定信息校验、残疾人证评定信息提交、残疾人证评定材料上传、待评残办件详细信息下行地市残联自建系统功能。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3.5.11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残联提案系统国产化适配改造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残联提案系统包括提案分类、领导小组会议决议、提案查询、提案统计、延期审核、审批答复等功能模块。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案在线撰写、提案提交、提案立案交办、提案办理、提案办理协商、提案汇总管理、提案统计、代表委员信息管理、提案撰写智能辅助、提案专题数据库、提案数据分析及展示等功能，为提案的提交、审查、立案、分类、交办、办理、督办、答复、统计、查询提供全流程支撑。</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3.5.12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社会助残组织管理系统国产化适配改造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社会助残组织管理系统包括人员管理、社会组织管理、量化活动数据、公益项目管理等功能模块。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）搭建社会组织志愿者管理平台，志愿者可通过平台定期同步更新身份信息、学历、专业、职业、所属城市等相关信息，便于对社会组织成员的了解与统筹管理。</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）建立社会组织信息台账，完善社会组织的基础信息、职责划分，任命调整等相关内容。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）通过积分考核的方法将志愿者日常的服务活动、会议、培训进行积分量化，鼓励助残社会组织规范有序的积极开展日常服务。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）完善公益项目审批程序，助残社会组织在系统上传项目申请、项目开展、结项等基本数据，由相关单位开展审核工作。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3.5.13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儿童康复系统国产化适配改造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儿童康复系统包括机构课程形式查询、儿童康复服务记录汇总、儿童康复人数统计等功能模块。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支持残联工作人员对机构开设课程情况进行查看，包括课程名称、课程时长等信息。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支持残联工作人员按户籍地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服务地维度，查询儿童康复档案，包括基本信息、康复计划、评估报告、康复记录、离园信息、回访信息等。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支持残联工作人员按户籍地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服务地维度，对本地康复人数进行统计。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3.5.14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人工耳蜗救助系统国产化适配改造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人工耳蜗救助系统登记端（小程序端）包括办事指南、在线登记与查看办件等功能模块；管理端（</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端）包括暂存列表、待审核办件、已审核办件、全省办件查看、待发放办件；已发放办件、救助统计、医保推送数据、不参与结算日志、听障儿童信息查看等功能模块。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登记端（小程序端）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提供办事指南首页，展示办理告知单、办理流程、办理材料三个要素。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提供查看当前账号所登记过的所有办件及其状态功能；提供对办件可进行操作的功能。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在线登记包括情形引导、身份核验、信息登记、材料提交等步骤，儿童家长根据实际情况选择儿童户籍、参保情况、手术结算方式，经过相关接口核验通过后，进行信息登记，承诺后提交办件。</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管理端（</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列表形式展示医保推送联网结算、零星报销数据，并与小程序登记数据关联，展示登记状态；提供不参与结算、主动放弃标注功能；提供不参与结算操作日志功能。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针对省级初审、省级复审、设区市核对等角色，分类展示其待审核、已审核、待发放、已发放办件，支持对本地区全量办件查询。</w:t>
      </w:r>
      <w:r>
        <w:rPr>
          <w:rFonts w:ascii="SimSun" w:hAnsi="SimSun" w:eastAsia="SimSun" w:cs="SimSun"/>
          <w:b/>
          <w:color w:val="000000"/>
          <w:sz w:val="24"/>
        </w:rPr>
        <w:t xml:space="preserve">（提供功能实现说明、系统截图等证明材料）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提供按业务逻辑，对建议补贴金额的辅具计算功能；提供儿童救助信息表的自动生成与下载功能；提供异常办件预警功能。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④</w:t>
      </w:r>
      <w:r>
        <w:rPr>
          <w:rFonts w:ascii="SimSun" w:hAnsi="SimSun" w:eastAsia="SimSun" w:cs="SimSun"/>
          <w:color w:val="000000"/>
          <w:sz w:val="24"/>
        </w:rPr>
        <w:t xml:space="preserve">提供救助统计与报表生成功能。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⑤</w:t>
      </w:r>
      <w:r>
        <w:rPr>
          <w:rFonts w:ascii="SimSun" w:hAnsi="SimSun" w:eastAsia="SimSun" w:cs="SimSun"/>
          <w:color w:val="000000"/>
          <w:sz w:val="24"/>
        </w:rPr>
        <w:t xml:space="preserve">提供听障儿童相关信息展示功能。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3.5.15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听障儿童信息共享系统国产化适配改造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听障儿童信息共享系统包括科普宣传短信模板设置、发送短信查询；跟踪服务管理、任务提醒查询、服务转交审核等功能模块。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汇聚省卫建委听力诊断异常儿童信息，提供残联工作人员向患儿家长开展人工耳蜗、助听器及康复训练相关政策宣传功能，提供工作人员对儿童开展跟踪服务并记录相关信息功能。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3.5.16 </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成人康复系统国产化适配改造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成人康复系统包括白内障手术登记、精神残疾人基本用药登记、社区康复登记、全省成人康复服务汇总统计等功能模块。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支持工作人员对享受低收入白内障患者免费复明手术、低收入精神残疾人基本用药服务、社区康复等事项开展信息登记、手术（用药）确认等功能。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支持精神残疾人基本用药历史数据跨年度自动复制功能。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支持按区划</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财政考核单位维度对享受白内障手术、精神残疾人基本用药、社区康复服务的人数分别统计。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3.5.17</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在线考试系统国产化适配改造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在线考试系统包括试题库录入、在线考试、考试成绩查询、学员管理等功能模块。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支持选择、判断等题型批量导入、手动录入、分类归档。</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支持手动组卷、随机组卷、定时考试、限时作答、防重复考试；支持考试权限控制、考试时间管控、自动收卷、异常退出续考、考试过程留痕，满足常态化线上测评、培训考试需求。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系统自动阅卷、实时出分，支持成绩统计、排名展示、成绩明细查看、考试记录留存、不合格人员筛查、考试数据导出，实现考试结果可查、可溯、可统计。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④</w:t>
      </w:r>
      <w:r>
        <w:rPr>
          <w:rFonts w:ascii="SimSun" w:hAnsi="SimSun" w:eastAsia="SimSun" w:cs="SimSun"/>
          <w:color w:val="000000"/>
          <w:sz w:val="24"/>
        </w:rPr>
        <w:t xml:space="preserve">支持学员账号新增、批量导入、信息修改、人员分组、权限管理。</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3.5.18</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残疾人辅助器具适配系统国产化适配改造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残疾人辅助器具适配系统包括残疾人端（小程序）、服务机构供应商端（</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、小程序）及残联管理端。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残疾人端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残疾人端包括首页、注册登录、辅具补贴申请、产品浏览、辅具购买、费用核算、收货、退货、个人中心等功能模块。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对接江苏政务服务网，实现全省统一用户实名认证与登录，获取用户基础信息并落地至本地系统。</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支持线上填报、材料上传、补贴资格校验、申请暂存与提交。</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实现辅具产品展示、分类筛选、详情查看。</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④</w:t>
      </w:r>
      <w:r>
        <w:rPr>
          <w:rFonts w:ascii="SimSun" w:hAnsi="SimSun" w:eastAsia="SimSun" w:cs="SimSun"/>
          <w:color w:val="000000"/>
          <w:sz w:val="24"/>
        </w:rPr>
        <w:t xml:space="preserve">支持在线选品、订单提交、订单状态查看。</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⑤</w:t>
      </w:r>
      <w:r>
        <w:rPr>
          <w:rFonts w:ascii="SimSun" w:hAnsi="SimSun" w:eastAsia="SimSun" w:cs="SimSun"/>
          <w:color w:val="000000"/>
          <w:sz w:val="24"/>
        </w:rPr>
        <w:t xml:space="preserve">自动核算补贴金额，展示费用明细。</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⑥</w:t>
      </w:r>
      <w:r>
        <w:rPr>
          <w:rFonts w:ascii="SimSun" w:hAnsi="SimSun" w:eastAsia="SimSun" w:cs="SimSun"/>
          <w:color w:val="000000"/>
          <w:sz w:val="24"/>
        </w:rPr>
        <w:t xml:space="preserve">支持地址维护、物流查看、确认收货、记录留存。</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⑦</w:t>
      </w:r>
      <w:r>
        <w:rPr>
          <w:rFonts w:ascii="SimSun" w:hAnsi="SimSun" w:eastAsia="SimSun" w:cs="SimSun"/>
          <w:color w:val="000000"/>
          <w:sz w:val="24"/>
        </w:rPr>
        <w:t xml:space="preserve">支持线上发起退货、售后申请、凭证上传。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⑧</w:t>
      </w:r>
      <w:r>
        <w:rPr>
          <w:rFonts w:ascii="SimSun" w:hAnsi="SimSun" w:eastAsia="SimSun" w:cs="SimSun"/>
          <w:color w:val="000000"/>
          <w:sz w:val="24"/>
        </w:rPr>
        <w:t xml:space="preserve">集中管理个人信息、我的申请、我的订单、消息通知、历史记录。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服务机构供应商端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服务机构供应商端包括辅具适配评估、定制评估测量、适配回访登记，产品发货登记，订单查询等功能。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支持服务机构在线开展需求评估、录入评估结果，录入定制辅具测量参数与定制数据，提交适配意见；完成适配回访登记、使用情况记录。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支持供应商发货录入、物流信息上传、订单状态更新。</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支持服务机构与供应商实现订单检索、筛选、查看、业务办理进度跟踪。</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残联管理端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残联管理端包括基本信息维护、机构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供应商管理、辅具补贴审核管理、辅具适配管理、订单查询、费用管理、综合查询、系统管理等功能模块。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支持维护产品目录（支持省级采购目录与地方目录）、补贴标准（支持省级补贴标准和地方补贴标准）等基础数据，支持产品目录批量导入。</w:t>
      </w:r>
      <w:r>
        <w:rPr>
          <w:rFonts w:ascii="SimSun" w:hAnsi="SimSun" w:eastAsia="SimSun" w:cs="SimSun"/>
          <w:b/>
          <w:color w:val="000000"/>
          <w:sz w:val="24"/>
        </w:rPr>
        <w:t xml:space="preserve">（提供功能实现说明、系统截图等证明材料）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支持对采购的服务机构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供应商信息进行维护，包括基本信息、合同信息、人员信息等。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支持开展补贴申请初审、复审、驳回、补正、审批留痕。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④</w:t>
      </w:r>
      <w:r>
        <w:rPr>
          <w:rFonts w:ascii="SimSun" w:hAnsi="SimSun" w:eastAsia="SimSun" w:cs="SimSun"/>
          <w:color w:val="000000"/>
          <w:sz w:val="24"/>
        </w:rPr>
        <w:t xml:space="preserve">支持乡镇（街道）残联帮助残疾人线上购买辅具产品，支持全程监管购买、配发、回访全流程适配业务；实现全域订单查询、状态统计、业务溯源。</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⑤</w:t>
      </w:r>
      <w:r>
        <w:rPr>
          <w:rFonts w:ascii="SimSun" w:hAnsi="SimSun" w:eastAsia="SimSun" w:cs="SimSun"/>
          <w:color w:val="000000"/>
          <w:sz w:val="24"/>
        </w:rPr>
        <w:t xml:space="preserve">支持供应商、服务机构与残联线上开展补贴资金核算、费用明细查询。</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⑥</w:t>
      </w:r>
      <w:r>
        <w:rPr>
          <w:rFonts w:ascii="SimSun" w:hAnsi="SimSun" w:eastAsia="SimSun" w:cs="SimSun"/>
          <w:color w:val="000000"/>
          <w:sz w:val="24"/>
        </w:rPr>
        <w:t xml:space="preserve">支持多维度数据查询、统计汇总、报表导出。</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⑦</w:t>
      </w:r>
      <w:r>
        <w:rPr>
          <w:rFonts w:ascii="SimSun" w:hAnsi="SimSun" w:eastAsia="SimSun" w:cs="SimSun"/>
          <w:color w:val="000000"/>
          <w:sz w:val="24"/>
        </w:rPr>
        <w:t xml:space="preserve">支持用户、角色、权限、日志、安全配置。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3.5.19</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辅具租赁系统国产化适配改造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辅具租赁系统残疾人端（小程序）包括登录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注册、辅具租赁、租赁订单、个人中心等功能模块；供应商端包括待办中心、辅具产品申报、服务站点铺货、租赁订单、辅具取回等功能模块；服务点端包括供应商供货、辅具租赁、租赁订单、辅具归还等功能模块；省辅具中心端包括服务站点管理、供应商管理、辅具产品管理、辅具产品审核、退押金、资金流水订单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）支持账号注册登录；查看产品详情、租赁规则，在线提交租赁申请；查看租赁订单，掌握租赁状态等。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）支持对辅具产品进行新增、编辑、删除、查询、序列号、是否上架等申报操作；对服务站点进行配货；对租赁订单进行快递登记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站点发货；对租赁辅具进行归还结算及取回、转购买等操作。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）支持签收查询供应商供货；提供租赁登记，签收转提货，归还结算、转购买，辅具分布查询等功能。 </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）提供对服务站点、供应商、辅具产品的新增、编辑、查询等操作；提供押金的退款、查询等；提供资金流水查询等功能。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3.5.20</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辅具进销存系统国产化适配改造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辅具进销存系统包括销售管理、采购管理、库存管理、存货核算、基础档案等功能模块。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）提供项目销售和展厅零售的订货、发货、收入确认、成本结转、销售退货、收款等功能。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）提供项目型采购、备品采购、展厅代销采购、展厅机构客户采购等不同类型采购业务，包括订货、入库、采购发票、采购退货、采购付款等功能。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）提供采购入库、调拨出入库、赠送出库、领料出库、产成品入库、销售出库、仓库盘点等功能。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）提供根据相关单据进行记账后核算出入库成本功能。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3.5.21</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残疾人托养照护系统国产化适配改造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残疾人托养照护系统包括托养残疾人统计、非残联照护残疾人信息维护、业务标准管理、资金拨付管理等功能模块。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）提供享受托养照护的残疾人信息综合查询与统计功能，支持按托养年度、托养形式、托养机构、托养状态等维度分类查询与统计，支持按区划</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财政单位批量导出统计结果。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）提供享受其他部门照护的残疾人相关信息，支持批量导入、导出功能。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）提供维护本地区日间照料、居家托养服务项目，补贴及服务标准等功能。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）提供对机构申请的托养补贴进行审批及汇总统计功能。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3.5.22</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残疾人之家管理系统国产化适配改造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残疾人之家管理系统包括残疾人之家信息统计表维护、审核、查看；残疾人之家打卡、服务数据查看等功能模块。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）提供对残疾人之家信息进行维护、审核、查看等功能，支持跨年度数据自动批量复制。</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）支持机构对残疾人签到签退，根据相关规则每日对签到签退数据与服务数据进行关联校验，支持对异常数据在审核后更正，支持台账导出。</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3.5.23</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残疾学生教育补贴系统国产化适配改造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残疾学生教育补贴系统包括残疾学生库、补贴标准管理、补助发放、省补明细统计、大市汇总统计、全省汇总统计、申请发放状态统计等功能模块。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支持每学年对教育部门共享残疾学生数据进行入库，根据政策规则构建教育生活补助学生库与大学生学费补助学生库，将学生库与服务管理系统审批数据进行关联，实时同步补贴申请状态，支持对异常情况进行登记并上传附件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提供对本地补贴标准进行维护的功能。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提供对通过审核的残疾学生进行补贴发放工作进行登记功能。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④</w:t>
      </w:r>
      <w:r>
        <w:rPr>
          <w:rFonts w:ascii="SimSun" w:hAnsi="SimSun" w:eastAsia="SimSun" w:cs="SimSun"/>
          <w:color w:val="000000"/>
          <w:sz w:val="24"/>
        </w:rPr>
        <w:t xml:space="preserve">提供省、市两级进行核查并反馈意见功能。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⑤</w:t>
      </w:r>
      <w:r>
        <w:rPr>
          <w:rFonts w:ascii="SimSun" w:hAnsi="SimSun" w:eastAsia="SimSun" w:cs="SimSun"/>
          <w:color w:val="000000"/>
          <w:sz w:val="24"/>
        </w:rPr>
        <w:t xml:space="preserve">支持按区划</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财政单位对两类补贴人数、金额进行统计，支持按财政单位对符合条件学生的发放率进行统计。</w:t>
      </w:r>
      <w:r>
        <w:rPr>
          <w:rFonts w:ascii="SimSun" w:hAnsi="SimSun" w:eastAsia="SimSun" w:cs="SimSun"/>
          <w:b/>
          <w:color w:val="000000"/>
          <w:sz w:val="24"/>
        </w:rPr>
        <w:t xml:space="preserve">（提供功能实现说明、系统截图等证明材料）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3.5.24</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维权业务系统国产化适配改造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维权业务系统包括法律救助案件查看、燃油补贴查看、家庭无障碍改造查看、理事长信箱查看、在线咨询查看等功能模块。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支持中国残联信息化服务平台法律救助站、法律救助案件、燃油补贴、家庭无障碍等数据的回流、展示。</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支持门户网站理事长信箱、在线咨询等数据的对接、展示。</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3.5.25</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律师在线答疑系统国产化适配改造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律师在线答疑系统包括咨询登记、办件流转、短信验证、咨询待办、咨询已办、咨询查看等功能模块。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提供残疾人在线进行法律咨询问题登记，查看律师回复功能。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提供办件流转至设区市、区县功能，提供具有权限工作人员答复功能；提供办件根据待办、已办状态分类查看功能。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3.5.26</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资金管理系统国产化适配改造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资金管理系统包括资金基础信息维护、进度监控表上报等功能模块。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）支持对资金基础情况表格头、资金基本情况项目、自评表字典、进度监控表进行维护的功能。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）支持财政单位按月填报残疾人事业专项资金支出进度情况，省残联对相关情况进行审核。</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）支持地区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项目等维度，对资金支出情况进行分类查询与统计，提供报表导出功能。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3.5.27</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文体业务系统国产化适配改造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文体业务系统包括残疾人运动员管理、文化群体管理、残疾人才库管理、残疾人才标签管理等功能模块。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支持残疾运动员的注册审核、退役审核、代表资格变更与审核；支持登记残疾人才，并按标签进行分类。</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3.5.28</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智库系统国产化适配改造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智库系统包括研究基地、专家信息、期刊信息管理、典型案例等功能模块。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支持对研究基地、专家信息、期刊信息管理、典型案例等相关信息进行维护。</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3.5.29</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协同办公系统（</w:t>
      </w:r>
      <w:r>
        <w:rPr>
          <w:rFonts w:ascii="Times New Roman" w:hAnsi="Times New Roman" w:eastAsia="Times New Roman" w:cs="Times New Roman"/>
          <w:b/>
          <w:color w:val="000000"/>
          <w:sz w:val="24"/>
        </w:rPr>
        <w:t xml:space="preserve">OA</w:t>
      </w:r>
      <w:r>
        <w:rPr>
          <w:rFonts w:ascii="SimSun" w:hAnsi="SimSun" w:eastAsia="SimSun" w:cs="SimSun"/>
          <w:b/>
          <w:color w:val="000000"/>
          <w:sz w:val="24"/>
        </w:rPr>
        <w:t xml:space="preserve">）优化</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协同办公系统（</w:t>
      </w:r>
      <w:r>
        <w:rPr>
          <w:rFonts w:ascii="Times New Roman" w:hAnsi="Times New Roman" w:eastAsia="Times New Roman" w:cs="Times New Roman"/>
          <w:color w:val="000000"/>
          <w:sz w:val="24"/>
        </w:rPr>
        <w:t xml:space="preserve">OA</w:t>
      </w:r>
      <w:r>
        <w:rPr>
          <w:rFonts w:ascii="SimSun" w:hAnsi="SimSun" w:eastAsia="SimSun" w:cs="SimSun"/>
          <w:color w:val="000000"/>
          <w:sz w:val="24"/>
        </w:rPr>
        <w:t xml:space="preserve">）包括公文管理、综合业务、平时考核、机关党建、法律服务、会议管理、论坛备案、督查督办、信息发布、办公助理等功能模块，支持省残联及直属单位日常办文办公。</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该系统目前已完成国产化适配改造，本次需要完成与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平台用户体系、工作门户对接。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3.5.30</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公文交换系统优化</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公文交换系统包括公文登记、公文签收、公文查询、用户管理等功能模块，支持全残联系统省、市、县三级公文流转。</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该系统目前已完成国产化适配改造，本次需要完成与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平台用户体系、工作门户对接。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3.5.31</w:t>
      </w:r>
      <w:r>
        <w:rPr>
          <w:rFonts w:ascii="SimSun" w:hAnsi="SimSun" w:eastAsia="SimSun" w:cs="SimSun"/>
          <w:b/>
          <w:color w:val="000000"/>
          <w:sz w:val="24"/>
        </w:rPr>
        <w:t xml:space="preserve">全省残联一体化工作平台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录像及实人签到数据管理平台国产化适配改造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录像及实人签到数据管理平台包括视频监控设备维护、门禁设备维护等功能模块。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）提供对录像场景中的视频数据进行统一汇聚、管理功能，支持视频预览、录像回放等功能。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）提供对签到场景中的签到数据进行统一汇聚、管理功能，支持签到数据查看、数据共享等功能。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3.5.32</w:t>
      </w:r>
      <w:r>
        <w:rPr>
          <w:rFonts w:ascii="SimSun" w:hAnsi="SimSun" w:eastAsia="SimSun" w:cs="SimSun"/>
          <w:b/>
          <w:color w:val="000000"/>
          <w:sz w:val="24"/>
        </w:rPr>
        <w:t xml:space="preserve">全省残疾人服务综合评价平台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惠残政策核查系统国产化适配改造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惠残政策核查系统包括调查数据维护与统计等功能模块。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提供对年度儿童康复、辅具适配、白内障手术、精神残疾人用药、托养服务、教育补贴、家庭无障碍改造、燃油补贴等调查数据维护、地市满意度统计、区县满意度统计、机构满意度统计等功能。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3.5.33</w:t>
      </w:r>
      <w:r>
        <w:rPr>
          <w:rFonts w:ascii="SimSun" w:hAnsi="SimSun" w:eastAsia="SimSun" w:cs="SimSun"/>
          <w:b/>
          <w:color w:val="000000"/>
          <w:sz w:val="24"/>
        </w:rPr>
        <w:t xml:space="preserve">全省残联智慧融合应用平台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全景决策分析展示系统国产化适配改造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全景决策分析展示系统主要包括数据看板、数智大屏等功能模块。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支持按照残疾人证、组织建设、儿童康复、成人康复、辅具服务、托养服务、社会保障、教育就业、维权业务、残疾人服务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一件事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等主题分类展示残联业务运行情况；支持按残疾类别、等级、年龄、时间、地区等维度，提供饼图、折线图、柱状图等可视化形式展示相关指标增减趋势、占比、分布情况；实现数据下钻，支持省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县三级层级展开，可查看下级区域统计数据，关键指标可穿透至业务明细。</w:t>
      </w:r>
      <w:r>
        <w:rPr>
          <w:rFonts w:ascii="SimSun" w:hAnsi="SimSun" w:eastAsia="SimSun" w:cs="SimSun"/>
          <w:b/>
          <w:color w:val="000000"/>
          <w:sz w:val="24"/>
        </w:rPr>
        <w:t xml:space="preserve">（提供功能实现说明、系统截图等证明材料）</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3.5.34</w:t>
      </w:r>
      <w:r>
        <w:rPr>
          <w:rFonts w:ascii="SimSun" w:hAnsi="SimSun" w:eastAsia="SimSun" w:cs="SimSun"/>
          <w:b/>
          <w:color w:val="000000"/>
          <w:sz w:val="24"/>
        </w:rPr>
        <w:t xml:space="preserve">全省残联智慧融合应用平台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个性化分析系统国产化适配改造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个性化分析系统包括标签管理、服务政策个性化分析、服务事项个性化分析等功能模块。</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支持配置残疾人及家庭融合数据的标签（如低保、特困等），并将标签与政策、事项等服务匹配；按标签推送相关政策、事项信息。</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3.5.35</w:t>
      </w:r>
      <w:r>
        <w:rPr>
          <w:rFonts w:ascii="SimSun" w:hAnsi="SimSun" w:eastAsia="SimSun" w:cs="SimSun"/>
          <w:b/>
          <w:color w:val="000000"/>
          <w:sz w:val="24"/>
        </w:rPr>
        <w:t xml:space="preserve">全省残疾人大数据中心</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数据中心国产化适配改造</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数据中心包括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智慧残联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平台采集的一件事办件数据，儿童康复机构、服务数据，成人康复白内障手术、精神病免费服药、社区康复数据，残疾人辅具适配数据，残疾人托养照护数据，残疾学生教育补贴数据，办公数据、公文数据、智库数据等；中国残联下行的全省残疾人证、儿童康复审批、家庭无障碍改造、燃油补贴、法律救助等数据；省级部门共享的困难群众数据、职工养老保险、司法援助、公安驾驶证等数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改造后的数据中心集数据管理、数据交换、数据服务、数据治理、数据应用、数据安全等功能于一体，对分散在各系统的数据进行统一汇聚、治理、共享、应用。通过统一的数据交换标准与接口规范，与省苏政源平台实现互联互通与数据共享，提升数据流通效率；依托数据分析与可视化应用，与全景决策分析展示系统对接；同时，通过完善的数据安全、权限控制与质量管理，保障数据安全。</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3.6性能要求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）响应速度指标：操作性界面系统响应时间均要求</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秒；登录、录入、修改、删除等事务性操作平均响应时间</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秒；涉及数据库的复杂计算、统计性操作功能的响应时间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秒；复杂数据分析、统计报表、多维分析操作响应时间</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秒；完全支持正常</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个用户并发访问，平均响应时间</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秒。</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）数据恢复能力指标：</w:t>
      </w:r>
      <w:r>
        <w:rPr>
          <w:rFonts w:ascii="Times New Roman" w:hAnsi="Times New Roman" w:eastAsia="Times New Roman" w:cs="Times New Roman"/>
          <w:color w:val="000000"/>
          <w:sz w:val="24"/>
        </w:rPr>
        <w:t xml:space="preserve">RTO</w:t>
      </w:r>
      <w:r>
        <w:rPr>
          <w:rFonts w:ascii="SimSun" w:hAnsi="SimSun" w:eastAsia="SimSun" w:cs="SimSun"/>
          <w:color w:val="000000"/>
          <w:sz w:val="24"/>
        </w:rPr>
        <w:t xml:space="preserve">（恢复时间目标）</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小时（从故障发生到业务完全恢复）；</w:t>
      </w:r>
      <w:r>
        <w:rPr>
          <w:rFonts w:ascii="Times New Roman" w:hAnsi="Times New Roman" w:eastAsia="Times New Roman" w:cs="Times New Roman"/>
          <w:color w:val="000000"/>
          <w:sz w:val="24"/>
        </w:rPr>
        <w:t xml:space="preserve">RPO</w:t>
      </w:r>
      <w:r>
        <w:rPr>
          <w:rFonts w:ascii="SimSun" w:hAnsi="SimSun" w:eastAsia="SimSun" w:cs="SimSun"/>
          <w:color w:val="000000"/>
          <w:sz w:val="24"/>
        </w:rPr>
        <w:t xml:space="preserve">（数据恢复点目标）</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分钟（最大允许数据丢失量）。</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）稳定性指标：</w:t>
      </w:r>
      <w:r>
        <w:rPr>
          <w:rFonts w:ascii="Times New Roman" w:hAnsi="Times New Roman" w:eastAsia="Times New Roman" w:cs="Times New Roman"/>
          <w:color w:val="000000"/>
          <w:sz w:val="24"/>
        </w:rPr>
        <w:t xml:space="preserve">7×24</w:t>
      </w:r>
      <w:r>
        <w:rPr>
          <w:rFonts w:ascii="SimSun" w:hAnsi="SimSun" w:eastAsia="SimSun" w:cs="SimSun"/>
          <w:color w:val="000000"/>
          <w:sz w:val="24"/>
        </w:rPr>
        <w:t xml:space="preserve">小时可靠运行，失败任务支持告警重试。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）兼容性指标：平台各系统须支持主流浏览器的兼容访问（</w:t>
      </w:r>
      <w:r>
        <w:rPr>
          <w:rFonts w:ascii="Times New Roman" w:hAnsi="Times New Roman" w:eastAsia="Times New Roman" w:cs="Times New Roman"/>
          <w:color w:val="000000"/>
          <w:sz w:val="24"/>
        </w:rPr>
        <w:t xml:space="preserve">360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Chrome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Firefox</w:t>
      </w:r>
      <w:r>
        <w:rPr>
          <w:rFonts w:ascii="SimSun" w:hAnsi="SimSun" w:eastAsia="SimSun" w:cs="SimSun"/>
          <w:color w:val="000000"/>
          <w:sz w:val="24"/>
        </w:rPr>
        <w:t xml:space="preserve">及国产浏览器），页面自适应不同分辨率显示设备。</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大数据量处理能力指标：批量数据交换、批量数据处理操作确保在非工作时段内完成；核心业务数据与中国残联同步频率不低于每天一次，与省级外部门数据交换频率根据原对接方案要求执行，一般不低于每月一次。</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3.7保密要求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应对项目技术文件以及由采购人提供的所有内部资料、数据和信息予以保密；中标供应商须与采购人签订保密协议并严格遵守，未经采购人书面许可，中标供应商不得以任何形式向第三方透露本项目相关的任何源代码、技术文档、各类数据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）供应商服务人员应签订保密承诺书，承诺内容需得到采购人认可，并与合同、保密协议一并提交给采购人。</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3.8知识产权要求</w:t>
      </w:r>
      <w:r/>
    </w:p>
    <w:p>
      <w:pPr>
        <w:ind w:left="0" w:right="0" w:firstLine="482"/>
        <w:jc w:val="both"/>
        <w:spacing w:before="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w:t>
      </w:r>
      <w:r>
        <w:rPr>
          <w:rFonts w:ascii="Times New Roman" w:hAnsi="Times New Roman" w:eastAsia="Times New Roman" w:cs="Times New Roman"/>
          <w:b/>
          <w:i/>
          <w:color w:val="000000" w:themeColor="text1"/>
          <w:sz w:val="24"/>
          <w:u w:val="single"/>
        </w:rPr>
        <w:t xml:space="preserve">1</w:t>
      </w:r>
      <w:r>
        <w:rPr>
          <w:rFonts w:ascii="SimSun" w:hAnsi="SimSun" w:eastAsia="SimSun" w:cs="SimSun"/>
          <w:b/>
          <w:i/>
          <w:color w:val="000000" w:themeColor="text1"/>
          <w:sz w:val="24"/>
          <w:u w:val="single"/>
        </w:rPr>
        <w:t xml:space="preserve">）本项目所开发软件的知识产权（包括但不限于著作权、专利权）归采购人所有，验收后中标供应商应向采购人移交其针对本项目自主开发部分的全部源代码</w:t>
      </w:r>
      <w:r>
        <w:rPr>
          <w:rFonts w:ascii="SimSun" w:hAnsi="SimSun" w:eastAsia="SimSun" w:cs="SimSun"/>
          <w:b/>
          <w:i/>
          <w:color w:val="000000" w:themeColor="text1"/>
          <w:sz w:val="24"/>
          <w:u w:val="single"/>
        </w:rPr>
        <w:t xml:space="preserve">、编译环境和编译说明等。</w:t>
      </w:r>
      <w:r>
        <w:rPr>
          <w:rFonts w:ascii="SimSun" w:hAnsi="SimSun" w:eastAsia="SimSun" w:cs="SimSun"/>
          <w:b/>
          <w:i/>
          <w:color w:val="000000" w:themeColor="text1"/>
          <w:sz w:val="24"/>
          <w:u w:val="single"/>
        </w:rPr>
        <w:t xml:space="preserve">采购人根据自身业务管理的需要，可以组织对软件进行修改，无限制使用该软件。提供盖章的承诺。</w:t>
      </w:r>
      <w:r>
        <w:rPr>
          <w:color w:val="000000" w:themeColor="text1"/>
        </w:rPr>
      </w:r>
    </w:p>
    <w:p>
      <w:pPr>
        <w:ind w:left="0" w:right="0" w:firstLine="482"/>
        <w:jc w:val="both"/>
        <w:spacing w:before="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w:t>
      </w:r>
      <w:r>
        <w:rPr>
          <w:rFonts w:ascii="Times New Roman" w:hAnsi="Times New Roman" w:eastAsia="Times New Roman" w:cs="Times New Roman"/>
          <w:b/>
          <w:i/>
          <w:color w:val="000000" w:themeColor="text1"/>
          <w:sz w:val="24"/>
          <w:u w:val="single"/>
        </w:rPr>
        <w:t xml:space="preserve">2</w:t>
      </w:r>
      <w:r>
        <w:rPr>
          <w:rFonts w:ascii="SimSun" w:hAnsi="SimSun" w:eastAsia="SimSun" w:cs="SimSun"/>
          <w:b/>
          <w:i/>
          <w:color w:val="000000" w:themeColor="text1"/>
          <w:sz w:val="24"/>
          <w:u w:val="single"/>
        </w:rPr>
        <w:t xml:space="preserve">）中标供应商应保证采购人在使用、接受本合同中服务或其任何一部分时不受第三方提出侵犯其专利权、版权、商标权和工业设计权等知识产权的起诉。一旦出现侵权，由中标供应商负全部责任。既包括第三方的索赔责任，也包括第三方索赔给采购人造成的损失。提供盖章的承诺。</w:t>
      </w:r>
      <w:r>
        <w:rPr>
          <w:color w:val="000000" w:themeColor="text1"/>
        </w:rP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3.9实施要求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须提供详细的项目实施方案，建立健全保障项目顺利实施的各项管理制度和质量保证体系，须包含项目进度管理、项目质量管理、项目沟通管理、项目变更管理、项目风险管理，严格按照计划进度保质保量完成工作。</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）进度要求：自合同签订之日起，在</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个月内完成全部开发、部署、调试、内部测试、数据迁移等工作，并达到合同约定全部功能及性能指标，具备初验条件；第</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个月完成初验申请、现场初验及整改；初验通过后进入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个月试运行期，试运行期满且问题整改完成后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个工作日内进行终验。</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供应商在保证项目质量，且功能、性能全部满足需求的前提下，可提前完成建设工作并申请提前开展初验，试运行期限不得少于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个月，终验须在完成试运行及全部问题整改闭环后方可实施。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）供应商须需充分考虑项目实施过程中存在的诸多不确定因素，采用敏捷开发模式，同步进行应用适配改造和环境准备工作，将技术风险最高的适配改造和迁移演练阶段前置，提前暴露项目过程中的风险。</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如发生业务转型、合并重组、投资并购等重大事项，或团队人员发生重大变化，应提前向采购人报告。若因此引发项目停滞、进度延迟、质量未达标、成本超支等问题，中标方需承担直接补救、经济赔偿等相应责任。</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3.10团队要求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）供应商需为本项目配备具有丰富项目管理经验与专业能力的项目经理与实施人员提供服务，本项目实施阶段项目团队不少于</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人，包括项目经理、技术负责人、信息安全负责人、开发人员、运维人员等。其中项目经理、技术负责人每个岗位配置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名人员，不得一岗多人；两个岗位人员须为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名不同人员，不得一人兼任多个岗位。项目经理、技术负责人、信息安全负责人、核心开发人员等不得无故更换，如确需变更需征得采购人书面批准。</w:t>
      </w:r>
      <w:r/>
    </w:p>
    <w:p>
      <w:pPr>
        <w:ind w:left="0" w:right="0" w:firstLine="482"/>
        <w:jc w:val="both"/>
        <w:spacing w:before="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w:t>
      </w:r>
      <w:r>
        <w:rPr>
          <w:rFonts w:ascii="Times New Roman" w:hAnsi="Times New Roman" w:eastAsia="Times New Roman" w:cs="Times New Roman"/>
          <w:b/>
          <w:i/>
          <w:color w:val="000000" w:themeColor="text1"/>
          <w:sz w:val="24"/>
          <w:u w:val="single"/>
        </w:rPr>
        <w:t xml:space="preserve">2</w:t>
      </w:r>
      <w:r>
        <w:rPr>
          <w:rFonts w:ascii="SimSun" w:hAnsi="SimSun" w:eastAsia="SimSun" w:cs="SimSun"/>
          <w:b/>
          <w:i/>
          <w:color w:val="000000" w:themeColor="text1"/>
          <w:sz w:val="24"/>
          <w:u w:val="single"/>
        </w:rPr>
        <w:t xml:space="preserve">）合同签订后直至试运行结束，项目经理必须提供驻场服务。</w:t>
      </w:r>
      <w:r>
        <w:rPr>
          <w:rFonts w:ascii="SimSun" w:hAnsi="SimSun" w:eastAsia="SimSun" w:cs="SimSun"/>
          <w:b/>
          <w:i/>
          <w:color w:val="000000" w:themeColor="text1"/>
          <w:sz w:val="24"/>
          <w:u w:val="single"/>
        </w:rPr>
        <w:t xml:space="preserve">提供盖章的承诺。</w:t>
      </w:r>
      <w:r>
        <w:rPr>
          <w:rFonts w:ascii="SimSun" w:hAnsi="SimSun" w:eastAsia="SimSun" w:cs="SimSun"/>
          <w:color w:val="000000" w:themeColor="text1"/>
          <w:sz w:val="24"/>
        </w:rPr>
        <w:t xml:space="preserve">采购人提供驻场人员工作日午餐和基础办公工作环境。</w:t>
      </w:r>
      <w:r>
        <w:rPr>
          <w:color w:val="000000" w:themeColor="text1"/>
        </w:rP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）采购人有</w:t>
      </w:r>
      <w:r>
        <w:rPr>
          <w:rFonts w:ascii="SimSun" w:hAnsi="SimSun" w:eastAsia="SimSun" w:cs="SimSun"/>
          <w:color w:val="000000"/>
          <w:sz w:val="24"/>
        </w:rPr>
        <w:t xml:space="preserve">权根据项目经理、技术负责人等实施团队成员工作表现，要求成交供应商更换不合格服务人员，供应商必须在两周内调整为符合采购文件要求且能胜任相关工作的人员并到位开展工作，否则采购人有权终止合同。</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）成交供应商在服务期内因人为原因导致发生设备故障、数据丢失损毁等严重事故，应承担由此产生的一切经济损失，直至追究相关人员法律责任。</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3.11验收要求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验收条件</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）中标供应商必须通过等保三级测评、商用密码安全性评估，并以测评机构出具的测评报告、评估报告作为验收申请依据。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）中标供应商必须通过第三方的软件测试，并以第三方出具的测试报告作为验收申请依据。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验收成果要求</w:t>
      </w:r>
      <w:r/>
    </w:p>
    <w:p>
      <w:pPr>
        <w:ind w:left="0" w:right="0" w:firstLine="482"/>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供应商将项目所有文档、资料汇集成册交付采购人，其中纸质文档至少</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套（原件、复印件各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套），电子文档</w:t>
      </w:r>
      <w:r>
        <w:rPr>
          <w:rFonts w:ascii="Times New Roman" w:hAnsi="Times New Roman" w:eastAsia="Times New Roman" w:cs="Times New Roman"/>
          <w:color w:val="000000"/>
          <w:sz w:val="24"/>
        </w:rPr>
        <w:t xml:space="preserve"> 1 </w:t>
      </w:r>
      <w:r>
        <w:rPr>
          <w:rFonts w:ascii="SimSun" w:hAnsi="SimSun" w:eastAsia="SimSun" w:cs="SimSun"/>
          <w:color w:val="000000"/>
          <w:sz w:val="24"/>
        </w:rPr>
        <w:t xml:space="preserve">套。文档包括但不限于项目实施方案、需求规格说明书、概要设计说明书、详细设计说明书、系统测试方案、系统测试报告、具备相关资质的第三方软件测评报告、操作手册、项目月报、会议记要、项目总结报告及系统源代码、编译环境及编译说明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验收标准</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采购人按照《江苏省政府采购履约验收管理办法》（苏财规〔</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号）要求进行验收，验收情况作为支付货款的依据。</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全面完成本项目全部开发、部署、调试、内部测试、数据迁移等工作，并达到合同约定全部功能及性能指标，完成文档移交并满足采购人上线试运行要求后，向采购人提出初验申请，采购人组织验收，初验通过后进入试运行阶段。试运行期间中标供应商须完成问题修改和功能完善，完成项目应用培训，确保交付资料齐全完整。平台连续稳定运行满</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个月后，中标供应商向采购人提出终验申请，采购人组织验收，验收不合格的，中标供应商应在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个工作日内完成整改并重新申请验收，如再次验收仍不通过，采购人将依法处理。</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3.12培训要求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供应商须免费向采购人及指定的培训对象提供相关培训，以便相关人员熟悉平台操作。具体培训要求包括：</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）供应商须提供具有相应专业知识、实际工作和教学经验的培训人员，供应商所提供的人员必须具有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年以上的培训工作经验。</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）供应商须为采购人提供包括但不限于下列几个方面的培训：</w:t>
      </w:r>
      <w:r>
        <w:rPr>
          <w:rFonts w:ascii="Times New Roman" w:hAnsi="Times New Roman" w:eastAsia="Times New Roman" w:cs="Times New Roman"/>
          <w:color w:val="000000"/>
          <w:sz w:val="24"/>
        </w:rPr>
        <w:t xml:space="preserve">①</w:t>
      </w:r>
      <w:r>
        <w:rPr>
          <w:rFonts w:ascii="SimSun" w:hAnsi="SimSun" w:eastAsia="SimSun" w:cs="SimSun"/>
          <w:color w:val="000000"/>
          <w:sz w:val="24"/>
        </w:rPr>
        <w:t xml:space="preserve">系统业务操作培训；</w:t>
      </w:r>
      <w:r>
        <w:rPr>
          <w:rFonts w:ascii="Times New Roman" w:hAnsi="Times New Roman" w:eastAsia="Times New Roman" w:cs="Times New Roman"/>
          <w:color w:val="000000"/>
          <w:sz w:val="24"/>
        </w:rPr>
        <w:t xml:space="preserve">②</w:t>
      </w:r>
      <w:r>
        <w:rPr>
          <w:rFonts w:ascii="SimSun" w:hAnsi="SimSun" w:eastAsia="SimSun" w:cs="SimSun"/>
          <w:color w:val="000000"/>
          <w:sz w:val="24"/>
        </w:rPr>
        <w:t xml:space="preserve">系统管理、维护工具培训；</w:t>
      </w:r>
      <w:r>
        <w:rPr>
          <w:rFonts w:ascii="Times New Roman" w:hAnsi="Times New Roman" w:eastAsia="Times New Roman" w:cs="Times New Roman"/>
          <w:color w:val="000000"/>
          <w:sz w:val="24"/>
        </w:rPr>
        <w:t xml:space="preserve">③</w:t>
      </w:r>
      <w:r>
        <w:rPr>
          <w:rFonts w:ascii="SimSun" w:hAnsi="SimSun" w:eastAsia="SimSun" w:cs="SimSun"/>
          <w:color w:val="000000"/>
          <w:sz w:val="24"/>
        </w:rPr>
        <w:t xml:space="preserve">采购人认为必要的其他培训。</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）供应商须负责提供培训所需教材和电子版资料，培训教材包括</w:t>
      </w:r>
      <w:r>
        <w:rPr>
          <w:rFonts w:ascii="Times New Roman" w:hAnsi="Times New Roman" w:eastAsia="Times New Roman" w:cs="Times New Roman"/>
          <w:color w:val="000000"/>
          <w:sz w:val="24"/>
        </w:rPr>
        <w:t xml:space="preserve">WORD</w:t>
      </w:r>
      <w:r>
        <w:rPr>
          <w:rFonts w:ascii="SimSun" w:hAnsi="SimSun" w:eastAsia="SimSun" w:cs="SimSun"/>
          <w:color w:val="000000"/>
          <w:sz w:val="24"/>
        </w:rPr>
        <w:t xml:space="preserve">用户手册、培训</w:t>
      </w:r>
      <w:r>
        <w:rPr>
          <w:rFonts w:ascii="Times New Roman" w:hAnsi="Times New Roman" w:eastAsia="Times New Roman" w:cs="Times New Roman"/>
          <w:color w:val="000000"/>
          <w:sz w:val="24"/>
        </w:rPr>
        <w:t xml:space="preserve">PPT</w:t>
      </w:r>
      <w:r>
        <w:rPr>
          <w:rFonts w:ascii="SimSun" w:hAnsi="SimSun" w:eastAsia="SimSun" w:cs="SimSun"/>
          <w:color w:val="000000"/>
          <w:sz w:val="24"/>
        </w:rPr>
        <w:t xml:space="preserve">等。用户单位有权在系统内部使用这些培训资料。</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3.13售后要求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须根据项目实际情况，为采购人提供全面、持续的售后技术保障。中标供应商应配备专业的售后服务团队，建立规范的服务流程和服务响应机制，制定服务保障措施，确保平台长期稳定运行、业务连续可控，及时响应并解决采购人各类技术问题。</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质保期限与服务范围</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质保期限：自项目最终验收合格之日起，提供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年的免费质保服务。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服务范围：质保期内，供应商须对因国产化环境适配、代码迁移改造、国密算法集成、数据迁移等工作引发的系统故障、性能异常、兼容性问题承担全部责任，提供无偿修复与优化服务。</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服务组织体系</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中标供应商须建立完善的售后服务组织架构，配备不少于</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人的售后服务团队（含售后服务负责人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人、技术负责人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人、运维工程师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人、技术支持团队</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人），明确各岗位具体职责分工；提供本地化服务支持安排，明确服务团队常驻地点、本地响应时效等具体措施，确保紧急故障本地工程师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小时内到场支持，重大故障</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小时内到场，一般故障远程即时响应（必要时本地</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小时内到场）。</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服务响应机制及响应时间</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）紧急故障（核心功能中断、大面积访问异常）</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分钟内响应，</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小时内提供解决方案，</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小时内修复，故障处置完毕后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个工作日内提交故障分析报告，包括原因分析、处置过程及整改措施等。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）重大故障（非核心功能异常、局部访问问题）</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小时内响应，</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小时内提供解决方案，</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小时内修复。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）一般故障（咨询类问题、轻微优化需求）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小时内响应，</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小时内处置完毕。</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服务保障措施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）定期巡检</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供应商须每天开展例行维护检查，每周开展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次全平台巡检，涵盖服务器、数据库、中间件、应用系统、网络安全等维度，重点检查资源占用、性能瓶颈等，完成后提交巡检报告。</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供应商须每季度对系统进行一次全栈性能健康检查，重点监测国产</w:t>
      </w:r>
      <w:r>
        <w:rPr>
          <w:rFonts w:ascii="Times New Roman" w:hAnsi="Times New Roman" w:eastAsia="Times New Roman" w:cs="Times New Roman"/>
          <w:color w:val="000000"/>
          <w:sz w:val="24"/>
        </w:rPr>
        <w:t xml:space="preserve">CPU</w:t>
      </w:r>
      <w:r>
        <w:rPr>
          <w:rFonts w:ascii="SimSun" w:hAnsi="SimSun" w:eastAsia="SimSun" w:cs="SimSun"/>
          <w:color w:val="000000"/>
          <w:sz w:val="24"/>
        </w:rPr>
        <w:t xml:space="preserve">负载、国产数据库连接池效率、国密算法加解密耗时等指标，若核心业务接口的平均响应时间较项目验收时延长超过</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，视为性能衰减，供应商须免费进行代码级优化或参数调优。</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）灾难恢复</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制定灾难恢复方案，</w:t>
      </w:r>
      <w:r>
        <w:rPr>
          <w:rFonts w:ascii="Times New Roman" w:hAnsi="Times New Roman" w:eastAsia="Times New Roman" w:cs="Times New Roman"/>
          <w:color w:val="000000"/>
          <w:sz w:val="24"/>
        </w:rPr>
        <w:t xml:space="preserve">RTO</w:t>
      </w:r>
      <w:r>
        <w:rPr>
          <w:rFonts w:ascii="SimSun" w:hAnsi="SimSun" w:eastAsia="SimSun" w:cs="SimSun"/>
          <w:color w:val="000000"/>
          <w:sz w:val="24"/>
        </w:rPr>
        <w:t xml:space="preserve">（恢复时间目标）</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小时（从故障发生到业务完全恢复）；</w:t>
      </w:r>
      <w:r>
        <w:rPr>
          <w:rFonts w:ascii="Times New Roman" w:hAnsi="Times New Roman" w:eastAsia="Times New Roman" w:cs="Times New Roman"/>
          <w:color w:val="000000"/>
          <w:sz w:val="24"/>
        </w:rPr>
        <w:t xml:space="preserve">RPO</w:t>
      </w:r>
      <w:r>
        <w:rPr>
          <w:rFonts w:ascii="SimSun" w:hAnsi="SimSun" w:eastAsia="SimSun" w:cs="SimSun"/>
          <w:color w:val="000000"/>
          <w:sz w:val="24"/>
        </w:rPr>
        <w:t xml:space="preserve">（数据恢复点目标）</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分钟（最大允许数据丢失量）。</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）协同运维</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与省政务云运维团队建立协同机制，及时同步平台运行状态，配合完成政务云环境升级、安全策略调整等工作，确保平台与政务云环境兼容适配。</w:t>
      </w:r>
      <w:r/>
    </w:p>
    <w:p>
      <w:pPr>
        <w:ind w:left="0" w:right="0" w:firstLine="482"/>
        <w:jc w:val="both"/>
        <w:spacing w:before="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项目实施及质保期内，若因省数据局对云资源环境进行调整，国产基础软件（操作系统、数据库、中间件）厂商发布补丁、升级版本或安全加固，导致</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智慧残联</w:t>
      </w:r>
      <w:r>
        <w:rPr>
          <w:rFonts w:ascii="Times New Roman" w:hAnsi="Times New Roman" w:eastAsia="Times New Roman" w:cs="Times New Roman"/>
          <w:b/>
          <w:i/>
          <w:color w:val="000000" w:themeColor="text1"/>
          <w:sz w:val="24"/>
          <w:u w:val="single"/>
        </w:rPr>
        <w:t xml:space="preserve">”</w:t>
      </w:r>
      <w:r>
        <w:rPr>
          <w:rFonts w:ascii="SimSun" w:hAnsi="SimSun" w:eastAsia="SimSun" w:cs="SimSun"/>
          <w:b/>
          <w:i/>
          <w:color w:val="000000" w:themeColor="text1"/>
          <w:sz w:val="24"/>
          <w:u w:val="single"/>
        </w:rPr>
        <w:t xml:space="preserve">信息化平台出现不兼容、运行异常或性能下降，供应商须无条件负责系统的适配调整与修复，不得拒绝服务或额外收费。提供盖章的承诺。</w:t>
      </w:r>
      <w:r>
        <w:rPr>
          <w:color w:val="000000" w:themeColor="text1"/>
        </w:rP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技术移交与知识转移</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质保期结束后，供应商须交付《国产化环境运维手册》，内容包含：国产数据库日常巡检要点、操作系统日志分析方法、系统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禁忌操作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清单（如严禁在国产化数据中使用的特定函数），确保后续运维团队能够高效、准确地开展日常工作。</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3.14技术方案要求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供应商应充分理解本项目建设现状和建设需求，编制科学、合理、可行的技术方案，具体要求如下：</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现状和需求分析</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现状进行全面梳理，深入开展需求分析。现状分析应包含项目背景、基础设施现状、系统建设现状、运行维护现状、网络安全现状、建设短板与痛点等内容；需求分析应包括应用系统国产化适配改造需求、安全体系加固与合规适配需求、数据迁移与治理备份需求、集成测试与系统割接需求内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总体设计方案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供应商应基于本项目建设目标和现状，从国产化适配、系统技术架构、外部系统对接、安全保障等方面，提供完整的总体设计方案。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明确服务器芯片架构、操作系统、数据库、中间件及开发框架的选型原则与适配路径，提出分阶段实施策略及兼容性解决方案；提供平台总体架构、数据架构、网络架构、安全架构，明确各系统间关系与数据流转机制；明确与中国残联、省公共数据平台、省政务中台、省电子证照系统等外部系统的对接方式、接口标准及数据交换机制；提出整体安全体系框架及统一运维管理思路。总体设计应结构清晰、技术路线合理，能够有效指导项目实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适配改造方案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供应商应对照第四章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三、技术要求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建设内容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应用系统国产化适配改造、3</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各系统功能要求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，提供详细设计方案，方案应涵盖服务端适配改造、业务系统功能适配改造、前端适配改造、终端适配改造等方面。</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端适配改造设计方案应基于与现有系统的兼容性、性能、稳定性及安全性的综合考量，明确推荐具体的国产数据库产品型号（如：达梦、人大金仓等），需提供选型理由，阐述所选产品如何满足系统在高并发、复杂查询、数据一致性等方面的业务需求；明确推荐具体的国产中间件产品型号，需提供选型论证，阐述所选产品如何满足系统在高并发请求处理、负载均衡、故障转移及与国产化基础环境深度适配等方面的关键需求，确保系统的高可用性与持续服务能力。</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系统功能适配改造设计方案需针对采购文件中列出的所有业务系统，逐一独立开展现状分析、业务架构设计、功能设计、接口设计等。现状分析应梳理现有系统功能模块、技术架构、运行环境及存在的问题，形成现状分析结论；业务架构设计应针对各系统梳理业务流程，设计业务架构，明确各业务模块之间的逻辑关系、业务流转规则，确保业务架构满足实际业务需求；功能设计应对各系统功能需求进行详细设计；接口设计应梳理各系统内部模块间接口及与外部系统的对接需求，明确接口协议、数据格式、传输方式、安全认证及异常处理机制。</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安全设计方案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供应商应对照第四章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三、技术要求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总体建设要求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网络安全、密码应用安全性评估及第三方软件测试相关要求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，从网络安全和密码应用两方面，提供完整的安全设计方案。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安全设计方案应符合等级保护三级标准，至少包含安全现状分析、安全需求分析、安全技术方案、安全管理方案等内容；密码应用方案应包含密码应用需求分析、密码应用设计、安全管理方案、安全与合规性分析、实施保障方案等内容。</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数据迁移与备份方案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供应商应对照第四章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三、技术要求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建设内容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数据迁移与备份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，从迁移策略、适配转换、测试验证、备份策略等方面，制定详细的数据迁移与备份方案。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方案应明确数据迁移路径、迁移方式（全量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量）及迁移工具选型；应针对不同数据库之间的结构差异制定数据转换规则；应包含功能验证、数据完整性校验、性能测试及回归测试等测试内容，确保迁移过程平稳可控，不影响现有业务正常运行；应覆盖迁移前、迁移中、迁移后全流程数据备份策略。</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集成测试与系统割接方案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供应商应对照第四章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三、技术要求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建设内容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集成测试与系统割接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，制定详细的集成测试与系统割接方案。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应明确内部测试计划，完整涵盖接口、功能、数据一致性、完整性、性能、安全性等测试类别，说明各类测试的测试思路、用例设计思路及缺陷闭环处置思路；方案应明确委托具有相关资质的第三方开展软件测评并对发现的问题负责免费整改直至通过；方案应包含详细割接计划、各类风险及应急预案、预案演练安排、全量备份策略、割接实施步骤、运行监控手段、割接后复核验证方案，充分考虑业务连续性要求，保障新旧系统平稳过渡至试运行阶段。</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项目实施方案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供应商应对照第四章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三、技术要求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实施要求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，从项目组织管理、实施进度管理、需求变更管理、项目文档管理、项目风险管理、项目验收管理等方面，提供完整、可执行的项目实施方案。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应明确项目团队结构及职责分工，建立项目例会、周报月报等沟通协调机制；制定详细的实施计划，明确各阶段起止时间、里程碑节点和交付物；制定规范的需求变更管理流程和变更管理机制；编制项目文档编写规范，统一文档模板和编写标准，建立版本管理机制，提供完整的项目交付物清单；全面识别项目实施过程中可能面临的各类风险，制定相应的预防措施。</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培训服务方案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供应商应对照第四章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三、技术要求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培训要求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从培训目标、培训内容、培训计划、培训形式、培训师资等方面编制培训方案。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培训方案应明确培训总体目标；培训内容须分层细化：平台运维人员培训应涵盖平台技术架构、服务器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数据库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间件运维、故障排查、安全防护、数据备份与恢复、国产化环境适配维护等内容，重点通过实操演练掌握故障处置、性能优化、安全漏洞修复等关键技能；业务管理人员培训应涵盖各系统功能操作、业务流程处理、系统配置管理、权限管理等内容，确保其熟练掌握各系统使用和管控技能；制定可执行的培训计划，明确培训总课时、培训批次，确保在系统上线前完成全部培训；明确培训形式，包括现场集中授课、实操演练、远程视频指导等；配备具有相关项目经验的培训师资等。</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售后服务方案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供应商应对照第四章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三、技术要求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售后服务要求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，从服务组织体系、服务响应机制及响应时间、服务保障措施等方面，提供完善的售后服务方案。</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方案应明确售后服务团队组织架构、人员配置、岗位职责分工及本地化支持安排；制定故障分级响应标准（紧急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重大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一般），明确各级故障的响应时间和解决时限；制定定期巡检计划，明确巡检频次及内容，制定灾难恢复方案，明确</w:t>
      </w:r>
      <w:r>
        <w:rPr>
          <w:rFonts w:ascii="Times New Roman" w:hAnsi="Times New Roman" w:eastAsia="Times New Roman" w:cs="Times New Roman"/>
          <w:color w:val="000000"/>
          <w:sz w:val="24"/>
        </w:rPr>
        <w:t xml:space="preserve">RTO/RPO</w:t>
      </w:r>
      <w:r>
        <w:rPr>
          <w:rFonts w:ascii="SimSun" w:hAnsi="SimSun" w:eastAsia="SimSun" w:cs="SimSun"/>
          <w:color w:val="000000"/>
          <w:sz w:val="24"/>
        </w:rPr>
        <w:t xml:space="preserve">指标，与省政务云运维团队建立协同保障机制，确保平台长期稳定运行、业务连续可控。</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四、商务要求</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Times New Roman" w:hAnsi="Times New Roman" w:eastAsia="Times New Roman" w:cs="Times New Roman"/>
          <w:i/>
          <w:color w:val="000000"/>
          <w:sz w:val="24"/>
          <w:u w:val="single"/>
        </w:rPr>
        <w:t xml:space="preserve"> </w:t>
      </w:r>
      <w:r>
        <w:rPr>
          <w:rFonts w:ascii="SimSun" w:hAnsi="SimSun" w:eastAsia="SimSun" w:cs="SimSun"/>
          <w:b/>
          <w:i/>
          <w:color w:val="000000"/>
          <w:sz w:val="24"/>
          <w:u w:val="single"/>
        </w:rPr>
        <w:t xml:space="preserve">斜体且有下划线部分</w:t>
      </w:r>
      <w:r>
        <w:rPr>
          <w:rFonts w:ascii="Times New Roman" w:hAnsi="Times New Roman" w:eastAsia="Times New Roman" w:cs="Times New Roman"/>
          <w:b/>
          <w:i/>
          <w:color w:val="000000"/>
          <w:sz w:val="24"/>
          <w:u w:val="single"/>
        </w:rPr>
        <w:t xml:space="preserve"> </w:t>
      </w:r>
      <w:r>
        <w:rPr>
          <w:rFonts w:ascii="SimSun" w:hAnsi="SimSun" w:eastAsia="SimSun" w:cs="SimSun"/>
          <w:color w:val="000000"/>
          <w:sz w:val="24"/>
        </w:rPr>
        <w:t xml:space="preserve">或加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号条款为实质性要求。</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4.1项目工期</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个月。</w:t>
      </w: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4.2报价要求</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本项目为交钥匙工程，供应商的报价应包含为完成采购文件要求的服务内容所需的一切应有费用，采购人后期不再追加任何费用，供应商自行考虑投标风险。</w:t>
      </w:r>
      <w:r/>
    </w:p>
    <w:p>
      <w:pPr>
        <w:ind w:left="0" w:right="0" w:firstLine="482"/>
        <w:jc w:val="both"/>
        <w:spacing w:before="0" w:after="12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themeColor="text1"/>
          <w:sz w:val="24"/>
          <w:u w:val="single"/>
        </w:rPr>
        <w:t xml:space="preserve">中标供应商不得以任何理由（包括但不限于需求理解偏差、漏项、工作量估算偏差、软硬件价格上涨、技术路线调整、与原厂商等各方进行技术对接联调等）要求增加合同价款。</w:t>
      </w:r>
      <w:r>
        <w:rPr>
          <w:rFonts w:ascii="SimSun" w:hAnsi="SimSun" w:eastAsia="SimSun" w:cs="SimSun"/>
          <w:b/>
          <w:i/>
          <w:color w:val="000000" w:themeColor="text1"/>
          <w:sz w:val="24"/>
          <w:u w:val="single"/>
        </w:rPr>
        <w:t xml:space="preserve">提供盖章的承诺。</w:t>
      </w:r>
      <w:r>
        <w:rPr>
          <w:color w:val="000000" w:themeColor="text1"/>
        </w:rPr>
      </w:r>
    </w:p>
    <w:p>
      <w:pPr>
        <w:ind w:left="0" w:right="0" w:firstLine="482"/>
        <w:jc w:val="both"/>
        <w:spacing w:before="12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4.3付款方式</w:t>
      </w:r>
      <w:r/>
    </w:p>
    <w:p>
      <w:pPr>
        <w:ind w:left="0" w:right="0" w:firstLine="482"/>
        <w:jc w:val="both"/>
        <w:spacing w:before="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采购人自签订合同并收到对应发票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个工作日内付至合同总金额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；初验完成并收到对应发票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个工作日内，支付至合同总金额的</w:t>
      </w: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（含首付款）；终验完成并收到对应发票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个工作日内，支付合同剩余款项。</w:t>
      </w:r>
      <w:r/>
    </w:p>
    <w:p>
      <w:pPr>
        <w:ind w:left="0" w:right="0" w:firstLine="0"/>
        <w:jc w:val="both"/>
        <w:spacing w:before="0" w:after="12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第五章评审方法与评审标准</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政府采购政策功能落实</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小微型企业价格扣除</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）本项目对小型和微型企业产品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本项目对小型和微型企业提供的服务 给予</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rPr>
        <w:t xml:space="preserve">的价格扣除，用扣除后的价格参与评审。</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）供应商需按照采购文件的要求提供相应的《中小微企业声明函》。</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非专门面向中小微型企业采购的采购项目采购包，供应商未提供本项目所投采购包提供服务的人员均为依照《中华人民共和国劳动合同法》订立劳动合同的从业人员的书面声明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书面声明格式见竞争性磋商文件第六章附件</w:t>
      </w: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，供应商将不享受《政府采购促进中小企业发展管理办法》规定的价格扣除优惠政策。</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残疾人福利单位价格扣除</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）本项目对残疾人福利性单位视同小型、微型企业，给予</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rPr>
        <w:t xml:space="preserve">的价格扣除，用扣除后的价格参与评审。</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）残疾人福利单位需按照采购文件的要求提供《残疾人福利性单位声明函》。</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监狱和戒毒企业价格扣除</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）本项目对监狱和戒毒企业（简称监狱企业）视同小型、微型企业，给予</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rPr>
        <w:t xml:space="preserve">的价格扣除，用扣除后的价格参与评审。</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）监狱企业参加政府采购活动时，需提供由省级以上监狱管理局、戒毒管理局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含新疆生产建设兵团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出具的属于监狱企业的证明文件。供应商如不提供上述证明文件，价格将不做相应扣除。</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残疾人福利单位、监狱企业属于小型、微型企业的，不重复享受政策。</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如本项目同意联合体参加磋商或同意分包履行合同的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rPr>
        <w:t xml:space="preserve">以上的，给予联合体或者大中型企业</w:t>
      </w: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rPr>
        <w:t xml:space="preserve">的价格扣除，用扣除后的价格参与评审。</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联合体各方均为小型、微型企业（残疾人福利单位、监狱企业）的，联合体享受</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rPr>
        <w:t xml:space="preserve">价格扣除，用扣除后的价格参与评审。</w:t>
      </w:r>
      <w:r/>
    </w:p>
    <w:p>
      <w:pPr>
        <w:ind w:left="0" w:right="0" w:firstLine="561"/>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采购本国产品的支持政策</w:t>
      </w:r>
      <w:r/>
    </w:p>
    <w:p>
      <w:pPr>
        <w:ind w:left="0" w:right="0" w:firstLine="561"/>
        <w:jc w:val="both"/>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w:t>
      </w:r>
      <w:r>
        <w:rPr>
          <w:rFonts w:ascii="FangSong" w:hAnsi="FangSong" w:eastAsia="FangSong" w:cs="FangSong"/>
          <w:color w:val="000000"/>
          <w:sz w:val="28"/>
        </w:rPr>
        <w:t xml:space="preserve">当采购包中含有货物的，供应商为该采购包提供的符合本国产品标准的货物成本之和占该供应商提供的整个采购包成本之和的比例达到</w:t>
      </w:r>
      <w:r>
        <w:rPr>
          <w:rFonts w:ascii="Times New Roman" w:hAnsi="Times New Roman" w:eastAsia="Times New Roman" w:cs="Times New Roman"/>
          <w:color w:val="000000"/>
          <w:sz w:val="28"/>
          <w:u w:val="single"/>
        </w:rPr>
        <w:t xml:space="preserve">80%</w:t>
      </w:r>
      <w:r>
        <w:rPr>
          <w:rFonts w:ascii="FangSong" w:hAnsi="FangSong" w:eastAsia="FangSong" w:cs="FangSong"/>
          <w:color w:val="000000"/>
          <w:sz w:val="28"/>
        </w:rPr>
        <w:t xml:space="preserve">以上时（供应商需在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第六章 响应文件格式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分项报价表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中填写比例数值），依法对该供应商整个采购包给予价格评审优惠，即对该供应商整个采购包的总报价给予</w:t>
      </w:r>
      <w:r>
        <w:rPr>
          <w:rFonts w:ascii="Times New Roman" w:hAnsi="Times New Roman" w:eastAsia="Times New Roman" w:cs="Times New Roman"/>
          <w:color w:val="000000"/>
          <w:sz w:val="28"/>
          <w:u w:val="single"/>
        </w:rPr>
        <w:t xml:space="preserve">20%</w:t>
      </w:r>
      <w:r>
        <w:rPr>
          <w:rFonts w:ascii="FangSong" w:hAnsi="FangSong" w:eastAsia="FangSong" w:cs="FangSong"/>
          <w:color w:val="000000"/>
          <w:sz w:val="28"/>
        </w:rPr>
        <w:t xml:space="preserve">的价格扣除，用扣除后的价格参与评审。供应商未填写比例数值，或比例数值不足</w:t>
      </w:r>
      <w:r>
        <w:rPr>
          <w:rFonts w:ascii="Times New Roman" w:hAnsi="Times New Roman" w:eastAsia="Times New Roman" w:cs="Times New Roman"/>
          <w:color w:val="000000"/>
          <w:sz w:val="28"/>
          <w:u w:val="single"/>
        </w:rPr>
        <w:t xml:space="preserve">80%</w:t>
      </w:r>
      <w:r>
        <w:rPr>
          <w:rFonts w:ascii="FangSong" w:hAnsi="FangSong" w:eastAsia="FangSong" w:cs="FangSong"/>
          <w:color w:val="000000"/>
          <w:sz w:val="28"/>
        </w:rPr>
        <w:t xml:space="preserve">的，将不享受本国产品价格评审优惠。</w:t>
      </w:r>
      <w:r/>
    </w:p>
    <w:p>
      <w:pPr>
        <w:ind w:left="0" w:right="0" w:firstLine="561"/>
        <w:jc w:val="both"/>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w:t>
      </w:r>
      <w:r>
        <w:rPr>
          <w:rFonts w:ascii="FangSong" w:hAnsi="FangSong" w:eastAsia="FangSong" w:cs="FangSong"/>
          <w:color w:val="000000"/>
          <w:sz w:val="28"/>
        </w:rPr>
        <w:t xml:space="preserve">供应商需按照磋商文件的要求提供《关于符合本国产品标准的声明函》（以下简称《声明函》），如不提供将不享受本国产品价格评审优惠。</w:t>
      </w:r>
      <w:r/>
    </w:p>
    <w:p>
      <w:pPr>
        <w:ind w:left="0" w:right="0" w:firstLine="561"/>
        <w:jc w:val="both"/>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7.3 </w:t>
      </w:r>
      <w:r>
        <w:rPr>
          <w:rFonts w:ascii="FangSong" w:hAnsi="FangSong" w:eastAsia="FangSong" w:cs="FangSong"/>
          <w:color w:val="000000"/>
          <w:sz w:val="28"/>
        </w:rPr>
        <w:t xml:space="preserve">供应商需在《声明函》中逐一、准确填写产品名称、厂名、生产厂址三项信息（《声明函》中标注</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  </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的地方无需填写），三项信息中任意一项未填写的视为该项产品不符合本国产品标准，不享受本国产品价格评审优惠。</w:t>
      </w:r>
      <w:r/>
    </w:p>
    <w:p>
      <w:pPr>
        <w:ind w:left="0" w:right="0" w:firstLine="561"/>
        <w:jc w:val="both"/>
        <w:spacing w:before="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7.4 </w:t>
      </w:r>
      <w:r>
        <w:rPr>
          <w:rFonts w:ascii="FangSong" w:hAnsi="FangSong" w:eastAsia="FangSong" w:cs="FangSong"/>
          <w:color w:val="000000"/>
          <w:sz w:val="28"/>
        </w:rPr>
        <w:t xml:space="preserve">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号）和磋商文件规定的，供应商提供的相关产品视为不符合本国产品标准。</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4"/>
        <w:gridCol w:w="1254"/>
        <w:gridCol w:w="6403"/>
        <w:gridCol w:w="707"/>
      </w:tblGrid>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评审标准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分值</w:t>
            </w:r>
            <w:r/>
          </w:p>
        </w:tc>
      </w:tr>
      <w:tr>
        <w:trPr>
          <w:trHeight w:val="18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价格</w:t>
            </w:r>
            <w:r/>
          </w:p>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采用低价优先法计算，即满足采购文件要求且最终报价最低的价格为评审基准价，其价格分为满分。其他供应商的价格分统一按照下列公式计算：报价得分=</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最终报价）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，分值按四舍五入法保留小数点后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r>
      <w:tr>
        <w:trPr>
          <w:trHeight w:val="43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功能配置参数要求（14</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根据采购文件第四章“</w:t>
            </w:r>
            <w:r>
              <w:rPr>
                <w:rFonts w:ascii="SimSun" w:hAnsi="SimSun" w:eastAsia="SimSun" w:cs="SimSun"/>
                <w:color w:val="000000"/>
                <w:sz w:val="24"/>
              </w:rPr>
              <w:t xml:space="preserve">采购需求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w:t>
            </w:r>
            <w:r>
              <w:rPr>
                <w:rFonts w:ascii="Times New Roman" w:hAnsi="Times New Roman" w:eastAsia="Times New Roman" w:cs="Times New Roman"/>
                <w:color w:val="000000"/>
                <w:sz w:val="24"/>
              </w:rPr>
              <w:t xml:space="preserve">、技术要求—</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各系统功能要求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逐条响应，完全响应得</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分。斜体下划线条款负偏离将作为无效响应处理。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号条款（共</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项）为打分技术条款（功能描述有多项的需要全部响应），须提供功能实现说明、系统截图等证明材料</w:t>
            </w:r>
            <w:r>
              <w:rPr>
                <w:rFonts w:ascii="Times New Roman" w:hAnsi="Times New Roman" w:eastAsia="Times New Roman" w:cs="Times New Roman"/>
                <w:color w:val="000000"/>
                <w:sz w:val="24"/>
              </w:rPr>
              <w:t xml:space="preserve">，没有提供或</w:t>
            </w:r>
            <w:r>
              <w:rPr>
                <w:rFonts w:ascii="SimSun" w:hAnsi="SimSun" w:eastAsia="SimSun" w:cs="SimSun"/>
                <w:color w:val="000000"/>
                <w:sz w:val="24"/>
              </w:rPr>
              <w:t xml:space="preserve">证明材料</w:t>
            </w:r>
            <w:r>
              <w:rPr>
                <w:rFonts w:ascii="Times New Roman" w:hAnsi="Times New Roman" w:eastAsia="Times New Roman" w:cs="Times New Roman"/>
                <w:color w:val="000000"/>
                <w:sz w:val="24"/>
              </w:rPr>
              <w:t xml:space="preserve">不符合要求每项扣2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（供应商需在“</w:t>
            </w:r>
            <w:r>
              <w:rPr>
                <w:rFonts w:ascii="SimSun" w:hAnsi="SimSun" w:eastAsia="SimSun" w:cs="SimSun"/>
                <w:color w:val="000000"/>
                <w:sz w:val="24"/>
              </w:rPr>
              <w:t xml:space="preserve">技术要求响应及偏离表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中如实逐项填列所投产品的参数指标或承诺，如采购文件要求提供相应证明材料的需提供证明材料并加盖公章，并在偏离表中注明证明材料所在响应文件的页码位置。）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r>
      <w:tr>
        <w:trPr>
          <w:trHeight w:val="5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vMerge w:val="restart"/>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45</w:t>
            </w:r>
            <w:r>
              <w:rPr>
                <w:rFonts w:ascii="Times New Roman" w:hAnsi="Times New Roman" w:eastAsia="Times New Roman" w:cs="Times New Roma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现状和需求分析</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现状和需求分析”</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现状和需求分析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现状和需求分析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响应文件对“</w:t>
            </w:r>
            <w:r>
              <w:rPr>
                <w:rFonts w:ascii="SimSun" w:hAnsi="SimSun" w:eastAsia="SimSun" w:cs="SimSun"/>
                <w:color w:val="000000"/>
                <w:sz w:val="24"/>
              </w:rPr>
              <w:t xml:space="preserve">现状和需求分析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需求分析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要求的响应内容全部优于采购文件要求的（前提是响应文件对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现状和需求分析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需求分析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8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总体设计方案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总体设计方案”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总体设计方案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总体设计方案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总体设计方案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国产化适配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安全保障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两项要求的响应内容全部优于采购文件要求的（前提是响应文件对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总体设计方案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国产化适配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安全保障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适配改造方案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适配改造方案”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适配改造方案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适配改造方案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适配改造方案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服务端适配改造</w:t>
            </w:r>
            <w:r>
              <w:rPr>
                <w:rFonts w:ascii="Times New Roman" w:hAnsi="Times New Roman" w:eastAsia="Times New Roman" w:cs="Times New Roman"/>
                <w:color w:val="000000"/>
                <w:sz w:val="24"/>
              </w:rPr>
              <w:t xml:space="preserve">设计”</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业务系统功能适配改造</w:t>
            </w:r>
            <w:r>
              <w:rPr>
                <w:rFonts w:ascii="Times New Roman" w:hAnsi="Times New Roman" w:eastAsia="Times New Roman" w:cs="Times New Roman"/>
                <w:color w:val="000000"/>
                <w:sz w:val="24"/>
              </w:rPr>
              <w:t xml:space="preserve">设计”</w:t>
            </w:r>
            <w:r>
              <w:rPr>
                <w:rFonts w:ascii="SimSun" w:hAnsi="SimSun" w:eastAsia="SimSun" w:cs="SimSun"/>
                <w:color w:val="000000"/>
                <w:sz w:val="24"/>
              </w:rPr>
              <w:t xml:space="preserve">两项要求的响应内容全部优于采购文件要求的（前提是响应文件对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适配改造方案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服务端适配改造</w:t>
            </w:r>
            <w:r>
              <w:rPr>
                <w:rFonts w:ascii="Times New Roman" w:hAnsi="Times New Roman" w:eastAsia="Times New Roman" w:cs="Times New Roman"/>
                <w:color w:val="000000"/>
                <w:sz w:val="24"/>
              </w:rPr>
              <w:t xml:space="preserve">设计”</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业务系统功能适配改造</w:t>
            </w:r>
            <w:r>
              <w:rPr>
                <w:rFonts w:ascii="Times New Roman" w:hAnsi="Times New Roman" w:eastAsia="Times New Roman" w:cs="Times New Roman"/>
                <w:color w:val="000000"/>
                <w:sz w:val="24"/>
              </w:rPr>
              <w:t xml:space="preserve">设计”</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0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安全设计方案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安全设计方案”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安全设计方案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安全设计方案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安全设计方案</w:t>
            </w:r>
            <w:r>
              <w:rPr>
                <w:rFonts w:ascii="Times New Roman" w:hAnsi="Times New Roman" w:eastAsia="Times New Roman" w:cs="Times New Roman"/>
                <w:color w:val="000000"/>
                <w:sz w:val="24"/>
                <w:u w:val="none"/>
              </w:rPr>
              <w:t xml:space="preserve">”</w:t>
            </w:r>
            <w:r>
              <w:rPr>
                <w:rFonts w:ascii="Times New Roman" w:hAnsi="Times New Roman" w:eastAsia="Times New Roman" w:cs="Times New Roman"/>
                <w:color w:val="000000"/>
                <w:sz w:val="24"/>
              </w:rPr>
              <w:t xml:space="preserve">中的“</w:t>
            </w:r>
            <w:r>
              <w:rPr>
                <w:rFonts w:ascii="SimSun" w:hAnsi="SimSun" w:eastAsia="SimSun" w:cs="SimSun"/>
                <w:color w:val="000000"/>
                <w:sz w:val="24"/>
              </w:rPr>
              <w:t xml:space="preserve">密码应用方案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要求的响应内容优于采购文件要求的（前提是响应文件对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安全设计方案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密码应用方案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0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数据迁移与备份方案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数据迁移与备份方案”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数据迁移与备份方案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数据迁移与备份方案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数据迁移与备份方案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测试验证</w:t>
            </w:r>
            <w:r>
              <w:rPr>
                <w:rFonts w:ascii="Times New Roman" w:hAnsi="Times New Roman" w:eastAsia="Times New Roman" w:cs="Times New Roman"/>
                <w:color w:val="000000"/>
                <w:sz w:val="24"/>
                <w:u w:val="none"/>
              </w:rPr>
              <w:t xml:space="preserve">”</w:t>
            </w:r>
            <w:r>
              <w:rPr>
                <w:rFonts w:ascii="Times New Roman" w:hAnsi="Times New Roman" w:eastAsia="Times New Roman" w:cs="Times New Roman"/>
                <w:color w:val="000000"/>
                <w:sz w:val="24"/>
              </w:rPr>
              <w:t xml:space="preserve">要求的响应内容优于采购文件要求的（前提是响应文件对“</w:t>
            </w:r>
            <w:r>
              <w:rPr>
                <w:rFonts w:ascii="SimSun" w:hAnsi="SimSun" w:eastAsia="SimSun" w:cs="SimSun"/>
                <w:color w:val="000000"/>
                <w:sz w:val="24"/>
              </w:rPr>
              <w:t xml:space="preserve">数据迁移与备份方案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测试验证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0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集成测试与系统割接方案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集成测试与系统割接方案”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集成测试与系统割接方案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集成测试与系统割接方案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集成测试与系统割接方案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集成测试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要求的响应内容优于采购文件要求的（前提是响应文件对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集成测试与系统割接方案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集成测试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6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项目实施方案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项目实施方案”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项目实施方案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项目实施方案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u w:val="none"/>
              </w:rPr>
              <w:t xml:space="preserve">项目实施方案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实施进度管理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项目风险管理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两项要求的响应内容全部优于采购文件要求的（前提是响应文件对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项目实施方案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实施进度管理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项目风险管理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7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培训服务方案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培训服务方案”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培训服务方案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培训服务方案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u w:val="none"/>
              </w:rPr>
              <w:t xml:space="preserve">培训服务方案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培训内容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要求的响应内容全部优于采购文件要求的（前提是响应文件对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培训服务方案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培训内容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7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售后服务方案</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评委根据响应文件对采购文件第四章“</w:t>
            </w:r>
            <w:r>
              <w:rPr>
                <w:rFonts w:ascii="SimSun" w:hAnsi="SimSun" w:eastAsia="SimSun" w:cs="SimSun"/>
                <w:color w:val="000000"/>
                <w:sz w:val="24"/>
              </w:rPr>
              <w:t xml:space="preserve">采购需求—三、技术要求—3.14技术方案要求—</w:t>
            </w:r>
            <w:r>
              <w:rPr>
                <w:rFonts w:ascii="Times New Roman" w:hAnsi="Times New Roman" w:eastAsia="Times New Roman" w:cs="Times New Roman"/>
                <w:color w:val="000000"/>
                <w:sz w:val="24"/>
              </w:rPr>
              <w:t xml:space="preserve">售后服务方案”</w:t>
            </w:r>
            <w:r>
              <w:rPr>
                <w:rFonts w:ascii="SimSun" w:hAnsi="SimSun" w:eastAsia="SimSun" w:cs="SimSun"/>
                <w:color w:val="000000"/>
                <w:sz w:val="24"/>
              </w:rPr>
              <w:t xml:space="preserve">要求的响应情况进行评审。</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售后服务方案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中全部条款要求的，视为不符合采购文件，本项得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）响应文件符合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售后服务方案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中全部条款要求的，视为符合采购文件，本项得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）响应文件对</w:t>
            </w:r>
            <w:r>
              <w:rPr>
                <w:rFonts w:ascii="Times New Roman" w:hAnsi="Times New Roman" w:eastAsia="Times New Roman" w:cs="Times New Roman"/>
                <w:color w:val="000000"/>
                <w:sz w:val="24"/>
              </w:rPr>
              <w:t xml:space="preserve">“</w:t>
            </w:r>
            <w:r>
              <w:rPr>
                <w:rFonts w:ascii="SimSun" w:hAnsi="SimSun" w:eastAsia="SimSun" w:cs="SimSun"/>
                <w:color w:val="000000"/>
                <w:sz w:val="24"/>
                <w:u w:val="none"/>
              </w:rPr>
              <w:t xml:space="preserve">售后服务方案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服务响应机制</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服务保障措施</w:t>
            </w:r>
            <w:r>
              <w:rPr>
                <w:rFonts w:ascii="Times New Roman" w:hAnsi="Times New Roman" w:eastAsia="Times New Roman" w:cs="Times New Roman"/>
                <w:color w:val="000000"/>
                <w:sz w:val="24"/>
                <w:u w:val="none"/>
              </w:rPr>
              <w:t xml:space="preserve">”</w:t>
            </w:r>
            <w:r>
              <w:rPr>
                <w:rFonts w:ascii="Times New Roman" w:hAnsi="Times New Roman" w:eastAsia="Times New Roman" w:cs="Times New Roman"/>
                <w:color w:val="000000"/>
                <w:sz w:val="24"/>
              </w:rPr>
              <w:t xml:space="preserve">两项要求的响应内容全部优于采购文件要求的（前提是响应文件对“</w:t>
            </w:r>
            <w:r>
              <w:rPr>
                <w:rFonts w:ascii="SimSun" w:hAnsi="SimSun" w:eastAsia="SimSun" w:cs="SimSun"/>
                <w:color w:val="000000"/>
                <w:sz w:val="24"/>
              </w:rPr>
              <w:t xml:space="preserve">售后服务方案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服务响应机制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服务保障措施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外其他要求响应内容符合采购文件要求），本项得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vMerge w:val="restart"/>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软件研发能力（6</w:t>
            </w:r>
            <w:r>
              <w:rPr>
                <w:rFonts w:ascii="SimSun" w:hAnsi="SimSun" w:eastAsia="SimSun" w:cs="SimSu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供应商具有与本项目相关的软件著作权证书，关键字包含：辅具服务、康复服务、托养服务、助残一件事、残疾人事业发展、残疾人网上服务、数据治理等软件著作权证书。每提供一个证书得0.5</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以上均需提供有效证书复印件并加盖公章，未提供或不符合要求的不得分。如响应文件中提供的著作权名称表述与采购文件描述的关键字样不一致，而该响应文件中能证明供应商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15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供应商能够提供其软件产品与国产中间件（包括但不限于宝兰德、金蝶、普元）、国产数据库（包括但不限于达梦、人大金仓、海量等）的兼容性证明材料（如兼容性测试认证证书、国产化适配证书、国产化产品检测报告、国产化产品评估证书等）。每提供一类得1</w:t>
            </w:r>
            <w:r>
              <w:rPr>
                <w:rFonts w:ascii="SimSun" w:hAnsi="SimSun" w:eastAsia="SimSun" w:cs="SimSun"/>
                <w:color w:val="000000"/>
                <w:sz w:val="24"/>
              </w:rPr>
              <w:t xml:space="preserve">.5</w:t>
            </w:r>
            <w:r>
              <w:rPr>
                <w:rFonts w:ascii="Times New Roman" w:hAnsi="Times New Roman" w:eastAsia="Times New Roman" w:cs="Times New Roman"/>
                <w:color w:val="000000"/>
                <w:sz w:val="24"/>
              </w:rPr>
              <w:t xml:space="preserve">分，每类（如中间件为一类）最多得1</w:t>
            </w:r>
            <w:r>
              <w:rPr>
                <w:rFonts w:ascii="SimSun" w:hAnsi="SimSun" w:eastAsia="SimSun" w:cs="SimSun"/>
                <w:color w:val="000000"/>
                <w:sz w:val="24"/>
              </w:rPr>
              <w:t xml:space="preserve">.5</w:t>
            </w:r>
            <w:r>
              <w:rPr>
                <w:rFonts w:ascii="Times New Roman" w:hAnsi="Times New Roman" w:eastAsia="Times New Roman" w:cs="Times New Roman"/>
                <w:color w:val="000000"/>
                <w:sz w:val="24"/>
              </w:rPr>
              <w:t xml:space="preserve">分，最高</w:t>
            </w:r>
            <w:r>
              <w:rPr>
                <w:rFonts w:ascii="SimSun" w:hAnsi="SimSun" w:eastAsia="SimSun" w:cs="SimSun"/>
                <w:color w:val="000000"/>
                <w:sz w:val="24"/>
              </w:rPr>
              <w:t xml:space="preserve">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以上均需提供相关证书复印件并加盖公章，未提供或不符合要求的不得分。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25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项目业绩（10</w:t>
            </w:r>
            <w:r>
              <w:rPr>
                <w:rFonts w:ascii="SimSun" w:hAnsi="SimSun" w:eastAsia="SimSun" w:cs="SimSu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供应商提供自2023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日（以合同签订时间为准）以来承担过类似国产化适配改造项目案例，每提供一个得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以上业绩需提供合同复印件并加盖公章，至少能够反映项目名称、签订双方名称、主要服务内容、签订时间、双方盖章签字等信息，未提供或不符合要求的不得分。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r>
      <w:tr>
        <w:trPr>
          <w:trHeight w:val="4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4" w:type="dxa"/>
            <w:vAlign w:val="center"/>
            <w:vMerge w:val="restart"/>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团队实力（15</w:t>
            </w:r>
            <w:r>
              <w:rPr>
                <w:rFonts w:ascii="SimSun" w:hAnsi="SimSun" w:eastAsia="SimSun" w:cs="SimSu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名项目经理：</w:t>
            </w:r>
            <w:r>
              <w:rPr>
                <w:rFonts w:ascii="Times New Roman" w:hAnsi="Times New Roman" w:eastAsia="Times New Roman" w:cs="Times New Roman"/>
                <w:color w:val="000000"/>
                <w:sz w:val="24"/>
              </w:rPr>
              <w:t xml:space="preserve">具有人社部门颁发的通信工程或电子信息工程专业</w:t>
            </w:r>
            <w:r>
              <w:rPr>
                <w:rFonts w:ascii="SimSun" w:hAnsi="SimSun" w:eastAsia="SimSun" w:cs="SimSun"/>
                <w:color w:val="000000"/>
                <w:sz w:val="24"/>
              </w:rPr>
              <w:t xml:space="preserve">正</w:t>
            </w:r>
            <w:r>
              <w:rPr>
                <w:rFonts w:ascii="Times New Roman" w:hAnsi="Times New Roman" w:eastAsia="Times New Roman" w:cs="Times New Roman"/>
                <w:color w:val="000000"/>
                <w:sz w:val="24"/>
              </w:rPr>
              <w:t xml:space="preserve">高级职称证书、信息系统项目管理师（高级）证书，每提供一个证书得</w:t>
            </w: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分，本项最高得5</w:t>
            </w:r>
            <w:r>
              <w:rPr>
                <w:rFonts w:ascii="Times New Roman" w:hAnsi="Times New Roman" w:eastAsia="Times New Roman" w:cs="Times New Roman"/>
                <w:color w:val="000000"/>
                <w:sz w:val="24"/>
              </w:rPr>
              <w:t xml:space="preserve">分，不提供得0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注：项目经理仅限1</w:t>
            </w:r>
            <w:r>
              <w:rPr>
                <w:rFonts w:ascii="SimSun" w:hAnsi="SimSun" w:eastAsia="SimSun" w:cs="SimSun"/>
                <w:color w:val="000000"/>
                <w:sz w:val="24"/>
              </w:rPr>
              <w:t xml:space="preserve">人，不得多人共同担任，亦不得兼任本项目其他岗位，响应文件中提供相关证书复印件并加盖投标人公章，同时提供投标截止前投标人为其缴纳的近</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个月内任意一个月社保记录证明材料，材料提供不全或未提供的，项目经理多于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人或未明确唯一人员的，或项目经理与技术负责人为同一人的，本项均不得分。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3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名技术负责人：</w:t>
            </w:r>
            <w:r>
              <w:rPr>
                <w:rFonts w:ascii="Times New Roman" w:hAnsi="Times New Roman" w:eastAsia="Times New Roman" w:cs="Times New Roman"/>
                <w:color w:val="000000"/>
                <w:sz w:val="24"/>
              </w:rPr>
              <w:t xml:space="preserve">具有人社部门颁发的信息系统项目管理师（高级）证书、系统架构设计师（高级）证书，每提供一个证书得1.5</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分，不提供得</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注：技术负责人仅限1</w:t>
            </w:r>
            <w:r>
              <w:rPr>
                <w:rFonts w:ascii="SimSun" w:hAnsi="SimSun" w:eastAsia="SimSun" w:cs="SimSun"/>
                <w:color w:val="000000"/>
                <w:sz w:val="24"/>
              </w:rPr>
              <w:t xml:space="preserve">人，不得多人共同担任，亦不得兼任本项目其他岗位，响应文件中提供相关证书复印件并加盖投标人公章，同时提供投标截止前投标人为其缴纳的近</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个月内任意一个月社保记录证明材料，材料提供不全或未提供的，技术负责人多于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人或未明确唯一人员的，或技术负责人与项目经理为同一人的，本项均不得分。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43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其他团队成员：</w:t>
            </w:r>
            <w:r>
              <w:rPr>
                <w:rFonts w:ascii="Times New Roman" w:hAnsi="Times New Roman" w:eastAsia="Times New Roman" w:cs="Times New Roman"/>
                <w:color w:val="000000"/>
                <w:sz w:val="24"/>
              </w:rPr>
              <w:t xml:space="preserve">除项目经理、技术负责人之外，投标人提供的其他团队成员具有人社部、工信部联合颁发的信息系统项目管理师（高级）证书、系统分析师（高级）证书、软件设计师（中级）证书、软件评测师（中级）证书、系统集成项目管理工程师（中级）证书；工信部教育与考试中心颁发的高级软件工程师；中国信息安全测评中心颁发的有效的注册信息安全专业人员（CISP</w:t>
            </w:r>
            <w:r>
              <w:rPr>
                <w:rFonts w:ascii="SimSun" w:hAnsi="SimSun" w:eastAsia="SimSun" w:cs="SimSun"/>
                <w:color w:val="000000"/>
                <w:sz w:val="24"/>
              </w:rPr>
              <w:t xml:space="preserve">）证书。每提供一类证书得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分。同一人员同时具备多种专业证书或资质证书的，可重复计分；同一类证书多人持有的，不重复计分。</w:t>
            </w:r>
            <w:r/>
          </w:p>
          <w:p>
            <w:pPr>
              <w:ind w:left="0" w:right="0" w:firstLine="0"/>
              <w:jc w:val="both"/>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注：响应文件中提供相关证书复印件并加盖投标人公章，同时提供投标截止前投标人为其缴纳的近3</w:t>
            </w:r>
            <w:r>
              <w:rPr>
                <w:rFonts w:ascii="SimSun" w:hAnsi="SimSun" w:eastAsia="SimSun" w:cs="SimSun"/>
                <w:color w:val="000000"/>
                <w:sz w:val="24"/>
              </w:rPr>
              <w:t xml:space="preserve">个月内任意一个月社保记录证明材料，材料提供不全或未提供的不得分。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第六章响应文件格式</w:t>
      </w: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目</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名</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称：</w:t>
      </w:r>
      <w:r>
        <w:rPr>
          <w:rFonts w:ascii="Times New Roman" w:hAnsi="Times New Roman" w:eastAsia="Times New Roman" w:cs="Times New Roman"/>
          <w:color w:val="000000"/>
          <w:sz w:val="28"/>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购</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编</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号：</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供应商名称</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w:t>
      </w:r>
      <w:r>
        <w:rPr>
          <w:rFonts w:ascii="SimHei" w:hAnsi="SimHei" w:eastAsia="SimHei" w:cs="SimHei"/>
          <w:color w:val="000000"/>
          <w:sz w:val="28"/>
          <w:u w:val="single"/>
        </w:rPr>
        <w:t xml:space="preserve">（加盖</w:t>
      </w:r>
      <w:r>
        <w:rPr>
          <w:rFonts w:ascii="Times New Roman" w:hAnsi="Times New Roman" w:eastAsia="Times New Roman" w:cs="Times New Roman"/>
          <w:color w:val="000000"/>
          <w:sz w:val="28"/>
          <w:u w:val="single"/>
        </w:rPr>
        <w:t xml:space="preserve">CA</w:t>
      </w:r>
      <w:r>
        <w:rPr>
          <w:rFonts w:ascii="SimHei" w:hAnsi="SimHei" w:eastAsia="SimHei" w:cs="SimHei"/>
          <w:color w:val="000000"/>
          <w:sz w:val="28"/>
          <w:u w:val="single"/>
        </w:rPr>
        <w:t xml:space="preserve">电子公章）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   日期</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响应文件的组成</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一、基本目录</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分项报价表（格式见附件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技术要求响应及偏离表（格式见附件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商务要求响应及偏离表（格式见附件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二、资格审查内容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法人或者其他组织的营业执照等证明文件，自然人的身份证明</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上一年度的财务状况报告（供应商成立不满一年无需提供）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具备履行合同所必需的设备和专业技术能力的书面声明（格式见附件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参加政府采购活动前 </w:t>
      </w: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年内在经营活动中没有重大违法记录的书面声明（格式见附件</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特定资格要求的证明文件（如果本项目对供应商做出特定资格要求的，必须提供）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法人授权书（格式见附件</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响应函（格式见附件</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总备注：上述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资格审查内容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中</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条、</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条供应商必须在响应文件中提供相关材料，否则按无效响应处理。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三、符合性审查内容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供应商必须对磋商文件（含技术要求和商务要求）中</w:t>
      </w:r>
      <w:r>
        <w:rPr>
          <w:rFonts w:ascii="FangSong" w:hAnsi="FangSong" w:eastAsia="FangSong" w:cs="FangSong"/>
          <w:b/>
          <w:i/>
          <w:color w:val="000000"/>
          <w:sz w:val="28"/>
          <w:u w:val="single"/>
        </w:rPr>
        <w:t xml:space="preserve">斜体且有下划线部分</w:t>
      </w:r>
      <w:r>
        <w:rPr>
          <w:rFonts w:ascii="FangSong" w:hAnsi="FangSong" w:eastAsia="FangSong" w:cs="FangSong"/>
          <w:b/>
          <w:color w:val="000000"/>
          <w:sz w:val="28"/>
        </w:rPr>
        <w:t xml:space="preserve">或加</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号条款</w:t>
      </w:r>
      <w:r>
        <w:rPr>
          <w:rFonts w:ascii="FangSong" w:hAnsi="FangSong" w:eastAsia="FangSong" w:cs="FangSong"/>
          <w:color w:val="000000"/>
          <w:sz w:val="28"/>
        </w:rPr>
        <w:t xml:space="preserve">的实质性要求逐条做出响应，并按照磋商文件要求提供证明材料，否则按无效响应处理。（格式见附件</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四、价格扣除证明文件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中小微企业声明函（格式见附件</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残疾人福利性单位声明函（格式见附件</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关于符合本国产品标准的声明函（格式见附件</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1 </w:t>
      </w:r>
      <w:r>
        <w:rPr>
          <w:rFonts w:ascii="SimHei" w:hAnsi="SimHei" w:eastAsia="SimHei" w:cs="SimHei"/>
          <w:color w:val="000000"/>
          <w:sz w:val="28"/>
        </w:rPr>
        <w:t xml:space="preserve">分项报价表（服务类项目）（采购包号：</w:t>
      </w:r>
      <w:r>
        <w:rPr>
          <w:rFonts w:ascii="Times New Roman" w:hAnsi="Times New Roman" w:eastAsia="Times New Roman" w:cs="Times New Roman"/>
          <w:color w:val="000000"/>
          <w:sz w:val="28"/>
        </w:rPr>
        <w:t xml:space="preserve">XX</w:t>
      </w:r>
      <w:r>
        <w:rPr>
          <w:rFonts w:ascii="SimHei" w:hAnsi="SimHei" w:eastAsia="SimHei" w:cs="SimHei"/>
          <w:color w:val="000000"/>
          <w:sz w:val="28"/>
        </w:rPr>
        <w:t xml:space="preserve">）</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4"/>
        <w:gridCol w:w="882"/>
        <w:gridCol w:w="757"/>
        <w:gridCol w:w="754"/>
        <w:gridCol w:w="705"/>
        <w:gridCol w:w="742"/>
        <w:gridCol w:w="1021"/>
        <w:gridCol w:w="631"/>
        <w:gridCol w:w="668"/>
        <w:gridCol w:w="63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分项服务名称/</w:t>
            </w:r>
            <w:r>
              <w:rPr>
                <w:rFonts w:ascii="FangSong" w:hAnsi="FangSong" w:eastAsia="FangSong" w:cs="FangSong"/>
                <w:color w:val="000000"/>
                <w:sz w:val="28"/>
              </w:rPr>
              <w:t xml:space="preserve">货物名称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规格</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交付期/</w:t>
            </w:r>
            <w:r>
              <w:rPr>
                <w:rFonts w:ascii="FangSong" w:hAnsi="FangSong" w:eastAsia="FangSong" w:cs="FangSong"/>
                <w:color w:val="000000"/>
                <w:sz w:val="28"/>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分项</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分项</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cya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合同签订后</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磋商总报价（人民币：元）</w:t>
            </w:r>
            <w:r>
              <w:rPr>
                <w:rFonts w:ascii="Times New Roman" w:hAnsi="Times New Roman" w:eastAsia="Times New Roman" w:cs="Times New Roman"/>
                <w:color w:val="000000"/>
                <w:sz w:val="28"/>
                <w:u w:val="single"/>
              </w:rPr>
              <w:t xml:space="preserve">                             </w:t>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本采购包中提供的符合本国产品标准的货物成本之和占该采购包全部成本之和的比例为</w:t>
            </w:r>
            <w:r>
              <w:rPr>
                <w:rFonts w:ascii="Times New Roman" w:hAnsi="Times New Roman" w:eastAsia="Times New Roman" w:cs="Times New Roman"/>
                <w:color w:val="000000"/>
                <w:sz w:val="28"/>
                <w:u w:val="single"/>
              </w:rPr>
              <w:t xml:space="preserve">XX</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。（本项目不包含货物）</w:t>
            </w:r>
            <w:r/>
          </w:p>
        </w:tc>
      </w:tr>
    </w:tbl>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磋商报价采用总承包方式，供应商的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总报价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磋商总报价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数额为各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分项总价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之和。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项目经办人可以根据项目实际需要对表格结构进行调整。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分项服务不需填写品牌、规格型号、制造商、产地。</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本采购包中含有货物时，供应商未填写本采购包中提供的符合本国产品标准的货物成本之和占该采购包全部成本之和比例数值的，或比例数值低于</w:t>
      </w:r>
      <w:r>
        <w:rPr>
          <w:rFonts w:ascii="Times New Roman" w:hAnsi="Times New Roman" w:eastAsia="Times New Roman" w:cs="Times New Roman"/>
          <w:color w:val="000000"/>
          <w:sz w:val="28"/>
          <w:u w:val="single"/>
        </w:rPr>
        <w:t xml:space="preserve">80%</w:t>
      </w:r>
      <w:r>
        <w:rPr>
          <w:rFonts w:ascii="FangSong" w:hAnsi="FangSong" w:eastAsia="FangSong" w:cs="FangSong"/>
          <w:color w:val="000000"/>
          <w:sz w:val="28"/>
        </w:rPr>
        <w:t xml:space="preserve">的，将不享受本国产品价格评审优惠。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ff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2 </w:t>
      </w:r>
      <w:r>
        <w:rPr>
          <w:rFonts w:ascii="SimHei" w:hAnsi="SimHei" w:eastAsia="SimHei" w:cs="SimHei"/>
          <w:color w:val="000000"/>
          <w:sz w:val="28"/>
        </w:rPr>
        <w:t xml:space="preserve">技术要求响应及偏离表（采购包号：</w:t>
      </w:r>
      <w:r>
        <w:rPr>
          <w:rFonts w:ascii="Times New Roman" w:hAnsi="Times New Roman" w:eastAsia="Times New Roman" w:cs="Times New Roman"/>
          <w:color w:val="000000"/>
          <w:sz w:val="28"/>
        </w:rPr>
        <w:t xml:space="preserve">XX</w:t>
      </w:r>
      <w:r>
        <w:rPr>
          <w:rFonts w:ascii="SimHei" w:hAnsi="SimHei" w:eastAsia="SimHei" w:cs="SimHei"/>
          <w:color w:val="000000"/>
          <w:sz w:val="28"/>
        </w:rPr>
        <w:t xml:space="preserve">）</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2739"/>
        <w:gridCol w:w="2814"/>
        <w:gridCol w:w="19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超出、符合或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3-1  </w:t>
      </w:r>
      <w:r>
        <w:rPr>
          <w:rFonts w:ascii="FangSong" w:hAnsi="FangSong" w:eastAsia="FangSong" w:cs="FangSong"/>
          <w:color w:val="000000"/>
          <w:sz w:val="28"/>
        </w:rPr>
        <w:t xml:space="preserve">证明材料</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，证明材料</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供应商需对磋商文件技术要求中非实质性要求（</w:t>
      </w:r>
      <w:r>
        <w:rPr>
          <w:rFonts w:ascii="FangSong" w:hAnsi="FangSong" w:eastAsia="FangSong" w:cs="FangSong"/>
          <w:b/>
          <w:color w:val="000000"/>
          <w:sz w:val="28"/>
        </w:rPr>
        <w:t xml:space="preserve">未加</w:t>
      </w:r>
      <w:r>
        <w:rPr>
          <w:rFonts w:ascii="FangSong" w:hAnsi="FangSong" w:eastAsia="FangSong" w:cs="FangSong"/>
          <w:b/>
          <w:i/>
          <w:color w:val="000000"/>
          <w:sz w:val="28"/>
          <w:u w:val="single"/>
        </w:rPr>
        <w:t xml:space="preserve">斜体下划线</w:t>
      </w:r>
      <w:r>
        <w:rPr>
          <w:rFonts w:ascii="FangSong" w:hAnsi="FangSong" w:eastAsia="FangSong" w:cs="FangSong"/>
          <w:b/>
          <w:color w:val="000000"/>
          <w:sz w:val="28"/>
        </w:rPr>
        <w:t xml:space="preserve">部分或未加</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号条款</w:t>
      </w:r>
      <w:r>
        <w:rPr>
          <w:rFonts w:ascii="FangSong" w:hAnsi="FangSong" w:eastAsia="FangSong" w:cs="FangSong"/>
          <w:color w:val="000000"/>
          <w:sz w:val="28"/>
        </w:rPr>
        <w:t xml:space="preserve">）逐条做出明确响应。</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如果磋商文件要求提供证明材料，供应商需将证明材料列于该表之下。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3 </w:t>
      </w:r>
      <w:r>
        <w:rPr>
          <w:rFonts w:ascii="SimHei" w:hAnsi="SimHei" w:eastAsia="SimHei" w:cs="SimHei"/>
          <w:color w:val="000000"/>
          <w:sz w:val="28"/>
        </w:rPr>
        <w:t xml:space="preserve">商务要求响应及偏离表（采购包号：</w:t>
      </w:r>
      <w:r>
        <w:rPr>
          <w:rFonts w:ascii="Times New Roman" w:hAnsi="Times New Roman" w:eastAsia="Times New Roman" w:cs="Times New Roman"/>
          <w:color w:val="000000"/>
          <w:sz w:val="28"/>
        </w:rPr>
        <w:t xml:space="preserve">XX</w:t>
      </w:r>
      <w:r>
        <w:rPr>
          <w:rFonts w:ascii="SimHei" w:hAnsi="SimHei" w:eastAsia="SimHei" w:cs="SimHei"/>
          <w:color w:val="000000"/>
          <w:sz w:val="28"/>
        </w:rPr>
        <w:t xml:space="preserve">）</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2739"/>
        <w:gridCol w:w="2814"/>
        <w:gridCol w:w="19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超出、符合或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4-1  </w:t>
      </w:r>
      <w:r>
        <w:rPr>
          <w:rFonts w:ascii="FangSong" w:hAnsi="FangSong" w:eastAsia="FangSong" w:cs="FangSong"/>
          <w:color w:val="000000"/>
          <w:sz w:val="28"/>
        </w:rPr>
        <w:t xml:space="preserve">证明材料</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，证明材料</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供应商需对磋商文件技术要求中非实质性要求（</w:t>
      </w:r>
      <w:r>
        <w:rPr>
          <w:rFonts w:ascii="FangSong" w:hAnsi="FangSong" w:eastAsia="FangSong" w:cs="FangSong"/>
          <w:b/>
          <w:color w:val="000000"/>
          <w:sz w:val="28"/>
        </w:rPr>
        <w:t xml:space="preserve">未加</w:t>
      </w:r>
      <w:r>
        <w:rPr>
          <w:rFonts w:ascii="FangSong" w:hAnsi="FangSong" w:eastAsia="FangSong" w:cs="FangSong"/>
          <w:b/>
          <w:i/>
          <w:color w:val="000000"/>
          <w:sz w:val="28"/>
          <w:u w:val="single"/>
        </w:rPr>
        <w:t xml:space="preserve">斜体下划线</w:t>
      </w:r>
      <w:r>
        <w:rPr>
          <w:rFonts w:ascii="FangSong" w:hAnsi="FangSong" w:eastAsia="FangSong" w:cs="FangSong"/>
          <w:b/>
          <w:color w:val="000000"/>
          <w:sz w:val="28"/>
        </w:rPr>
        <w:t xml:space="preserve">部分或未加</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号条款</w:t>
      </w:r>
      <w:r>
        <w:rPr>
          <w:rFonts w:ascii="FangSong" w:hAnsi="FangSong" w:eastAsia="FangSong" w:cs="FangSong"/>
          <w:color w:val="000000"/>
          <w:sz w:val="28"/>
        </w:rPr>
        <w:t xml:space="preserve">）逐条做出明确响应。</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如果磋商文件要求提供证明材料，供应商需将证明材料列于该表之下。</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4 </w:t>
      </w:r>
      <w:r>
        <w:rPr>
          <w:rFonts w:ascii="SimHei" w:hAnsi="SimHei" w:eastAsia="SimHei" w:cs="SimHei"/>
          <w:color w:val="000000"/>
          <w:sz w:val="28"/>
        </w:rPr>
        <w:t xml:space="preserve">具备履行合同所必需的设备和专业技术能力的书面声明</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我单位郑重声明：我单位具备履行本项采购合同所必需的设备和专业技术能力，为履行本项采购合同我公司具备如下主要设备和主要专业技术能力：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主要设备有：</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主要专业技术能力有：</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5 </w:t>
      </w:r>
      <w:r>
        <w:rPr>
          <w:rFonts w:ascii="SimHei" w:hAnsi="SimHei" w:eastAsia="SimHei" w:cs="SimHei"/>
          <w:color w:val="000000"/>
          <w:sz w:val="28"/>
        </w:rPr>
        <w:t xml:space="preserve">参加政府采购活动前 </w:t>
      </w:r>
      <w:r>
        <w:rPr>
          <w:rFonts w:ascii="Times New Roman" w:hAnsi="Times New Roman" w:eastAsia="Times New Roman" w:cs="Times New Roman"/>
          <w:color w:val="000000"/>
          <w:sz w:val="28"/>
        </w:rPr>
        <w:t xml:space="preserve">3 </w:t>
      </w:r>
      <w:r>
        <w:rPr>
          <w:rFonts w:ascii="SimHei" w:hAnsi="SimHei" w:eastAsia="SimHei" w:cs="SimHei"/>
          <w:color w:val="000000"/>
          <w:sz w:val="28"/>
        </w:rPr>
        <w:t xml:space="preserve">年内在经营活动中没有重大违法记录的书面声明</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我单位郑重声明：参加本次政府采购活动前</w:t>
      </w:r>
      <w:r>
        <w:rPr>
          <w:rFonts w:ascii="Times New Roman" w:hAnsi="Times New Roman" w:eastAsia="Times New Roman" w:cs="Times New Roman"/>
          <w:color w:val="000000"/>
          <w:sz w:val="28"/>
        </w:rPr>
        <w:t xml:space="preserve"> 3 </w:t>
      </w:r>
      <w:r>
        <w:rPr>
          <w:rFonts w:ascii="FangSong" w:hAnsi="FangSong" w:eastAsia="FangSong" w:cs="FangSong"/>
          <w:color w:val="000000"/>
          <w:sz w:val="28"/>
        </w:rPr>
        <w:t xml:space="preserve">年内，我单位在经营活动中没有因违法经营受到刑事处罚或者责令停产停业、吊销许可证或者执照、较大数额罚款等行政处罚。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6                   </w:t>
      </w:r>
      <w:r>
        <w:rPr>
          <w:rFonts w:ascii="SimHei" w:hAnsi="SimHei" w:eastAsia="SimHei" w:cs="SimHei"/>
          <w:color w:val="000000"/>
          <w:sz w:val="28"/>
        </w:rPr>
        <w:t xml:space="preserve">法人授权书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（投标人名称）授权</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（被授权人的姓名）为我方就采购编号为</w:t>
      </w:r>
      <w:r>
        <w:rPr>
          <w:rFonts w:ascii="Times New Roman" w:hAnsi="Times New Roman" w:eastAsia="Times New Roman" w:cs="Times New Roman"/>
          <w:color w:val="000000"/>
          <w:sz w:val="28"/>
        </w:rPr>
        <w:t xml:space="preserve">JSZC-320000-SCZX-C20XX-XXXX</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XXXX</w:t>
      </w:r>
      <w:r>
        <w:rPr>
          <w:rFonts w:ascii="FangSong" w:hAnsi="FangSong" w:eastAsia="FangSong" w:cs="FangSong"/>
          <w:color w:val="000000"/>
          <w:sz w:val="28"/>
        </w:rPr>
        <w:t xml:space="preserve">项目（项目名称）采购活动的合法代理人，以本单位名义全权处理一切与该项目采购有关的事务。</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日起生效，特此声明。</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被授权人身份证号码：</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被授权人联系电话：（手机）</w:t>
      </w:r>
      <w:r>
        <w:rPr>
          <w:rFonts w:ascii="Times New Roman" w:hAnsi="Times New Roman" w:eastAsia="Times New Roman" w:cs="Times New Roman"/>
          <w:color w:val="000000"/>
          <w:sz w:val="28"/>
          <w:u w:val="single"/>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被授权人电子邮箱：</w:t>
      </w:r>
      <w:r>
        <w:rPr>
          <w:rFonts w:ascii="Times New Roman" w:hAnsi="Times New Roman" w:eastAsia="Times New Roman" w:cs="Times New Roman"/>
          <w:color w:val="000000"/>
          <w:sz w:val="28"/>
          <w:u w:val="single"/>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授权单位名称：</w:t>
      </w:r>
      <w:r>
        <w:rPr>
          <w:rFonts w:ascii="FangSong" w:hAnsi="FangSong" w:eastAsia="FangSong" w:cs="FangSong"/>
          <w:color w:val="000000"/>
          <w:sz w:val="28"/>
          <w:u w:val="single"/>
        </w:rPr>
        <w:t xml:space="preserve">（加盖</w:t>
      </w:r>
      <w:r>
        <w:rPr>
          <w:rFonts w:ascii="Times New Roman" w:hAnsi="Times New Roman" w:eastAsia="Times New Roman" w:cs="Times New Roman"/>
          <w:color w:val="000000"/>
          <w:sz w:val="28"/>
          <w:u w:val="single"/>
        </w:rPr>
        <w:t xml:space="preserve">CA</w:t>
      </w:r>
      <w:r>
        <w:rPr>
          <w:rFonts w:ascii="FangSong" w:hAnsi="FangSong" w:eastAsia="FangSong" w:cs="FangSong"/>
          <w:color w:val="000000"/>
          <w:sz w:val="28"/>
          <w:u w:val="single"/>
        </w:rPr>
        <w:t xml:space="preserve">电子公章）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yellow"/>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7                    </w:t>
      </w:r>
      <w:r>
        <w:rPr>
          <w:rFonts w:ascii="SimHei" w:hAnsi="SimHei" w:eastAsia="SimHei" w:cs="SimHei"/>
          <w:color w:val="000000"/>
          <w:sz w:val="28"/>
        </w:rPr>
        <w:t xml:space="preserve">磋商响应函</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致：江苏省政府采购中心</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根据贵方采购编号为</w:t>
      </w:r>
      <w:r>
        <w:rPr>
          <w:rFonts w:ascii="Times New Roman" w:hAnsi="Times New Roman" w:eastAsia="Times New Roman" w:cs="Times New Roman"/>
          <w:color w:val="000000"/>
          <w:sz w:val="28"/>
        </w:rPr>
        <w:t xml:space="preserve">JSZC-320000-SCZX-C20XX-XXXX</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XXXX</w:t>
      </w:r>
      <w:r>
        <w:rPr>
          <w:rFonts w:ascii="FangSong" w:hAnsi="FangSong" w:eastAsia="FangSong" w:cs="FangSong"/>
          <w:color w:val="000000"/>
          <w:sz w:val="28"/>
        </w:rPr>
        <w:t xml:space="preserve">项目（项目名称）的磋商文件，正式授权下述签字人</w:t>
      </w:r>
      <w:r>
        <w:rPr>
          <w:rFonts w:ascii="Times New Roman" w:hAnsi="Times New Roman" w:eastAsia="Times New Roman" w:cs="Times New Roman"/>
          <w:color w:val="000000"/>
          <w:sz w:val="28"/>
          <w:u w:val="single"/>
        </w:rPr>
        <w:t xml:space="preserve">XX</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姓名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代表我方</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（供应商的名称），全权处理本次项目磋商的有关事宜。</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签字人兹宣布同意如下：</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按磋商文件规定的各项要求，向买方提供所需货物、服务（包含与货物相关的服务及与服务相关的货物）。</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我们完全理解贵方不一定将合同授予最低报价的供应商。</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我们已详细审核全部磋商文件及其有效补充文件。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我们同意从规定的开标日期起遵循本响应文件，并在规定的磋商有效期期满之前均具有约束力。</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同意向贵方提供贵方可能另外要求的与磋商有关的任何证据或资料，并保证我方已提供和将要提供的文件是真实的、准确的。</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一旦我方成交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我方将根据磋商文件的规定，严格履行合同的责任和义务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并保证在磋商文件规定的时间完成项目，交付买方验收、使用。</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我方与本磋商有关的正式通讯地址为：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邮编：</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供应商开户行：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w:t>
      </w:r>
      <w:r>
        <w:rPr>
          <w:rFonts w:ascii="Times New Roman" w:hAnsi="Times New Roman" w:eastAsia="Times New Roman" w:cs="Times New Roman"/>
          <w:color w:val="000000"/>
          <w:sz w:val="28"/>
        </w:rPr>
        <w:t xml:space="preserve"> </w:t>
      </w:r>
      <w:r/>
    </w:p>
    <w:p>
      <w:pPr>
        <w:ind w:left="42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84"/>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8"/>
        </w:rPr>
        <w:t xml:space="preserve"> </w:t>
      </w:r>
      <w:r/>
    </w:p>
    <w:p>
      <w:pPr>
        <w:ind w:left="0" w:right="0" w:firstLine="560"/>
        <w:jc w:val="right"/>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供应商全称（加盖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rPr>
        <w:t xml:space="preserve">___</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ff0000"/>
          <w:sz w:val="28"/>
          <w:highlight w:val="cyan"/>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8 </w:t>
      </w:r>
      <w:r>
        <w:rPr>
          <w:rFonts w:ascii="SimHei" w:hAnsi="SimHei" w:eastAsia="SimHei" w:cs="SimHei"/>
          <w:color w:val="000000"/>
          <w:sz w:val="28"/>
        </w:rPr>
        <w:t xml:space="preserve">中小微企业声明函（服务类项目）（采购包号：</w:t>
      </w:r>
      <w:r>
        <w:rPr>
          <w:rFonts w:ascii="Times New Roman" w:hAnsi="Times New Roman" w:eastAsia="Times New Roman" w:cs="Times New Roman"/>
          <w:color w:val="000000"/>
          <w:sz w:val="28"/>
        </w:rPr>
        <w:t xml:space="preserve">XX</w:t>
      </w:r>
      <w:r>
        <w:rPr>
          <w:rFonts w:ascii="SimHei" w:hAnsi="SimHei" w:eastAsia="SimHei" w:cs="SimHei"/>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财库〔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46</w:t>
      </w:r>
      <w:r>
        <w:rPr>
          <w:rFonts w:ascii="FangSong" w:hAnsi="FangSong" w:eastAsia="FangSong" w:cs="FangSong"/>
          <w:color w:val="000000"/>
          <w:sz w:val="28"/>
        </w:rPr>
        <w:t xml:space="preserve">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的规定，本公司（联合体）参加江苏省政府采购中心组织的</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采购编号为</w:t>
      </w:r>
      <w:r>
        <w:rPr>
          <w:rFonts w:ascii="Times New Roman" w:hAnsi="Times New Roman" w:eastAsia="Times New Roman" w:cs="Times New Roman"/>
          <w:color w:val="000000"/>
          <w:sz w:val="28"/>
        </w:rPr>
        <w:t xml:space="preserve">JSZC-320000-SCZX-C20XX-XXXX</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XXXX</w:t>
      </w:r>
      <w:r>
        <w:rPr>
          <w:rFonts w:ascii="FangSong" w:hAnsi="FangSong" w:eastAsia="FangSong" w:cs="FangSong"/>
          <w:color w:val="000000"/>
          <w:sz w:val="28"/>
        </w:rPr>
        <w:t xml:space="preserve">（项目名称）（采购包号：</w:t>
      </w:r>
      <w:r>
        <w:rPr>
          <w:rFonts w:ascii="Times New Roman" w:hAnsi="Times New Roman" w:eastAsia="Times New Roman" w:cs="Times New Roman"/>
          <w:color w:val="000000"/>
          <w:sz w:val="28"/>
        </w:rPr>
        <w:t xml:space="preserve">XX</w:t>
      </w:r>
      <w:r>
        <w:rPr>
          <w:rFonts w:ascii="FangSong" w:hAnsi="FangSong" w:eastAsia="FangSong" w:cs="FangSong"/>
          <w:color w:val="000000"/>
          <w:sz w:val="28"/>
        </w:rPr>
        <w:t xml:space="preserve">）的采购活动，服务全部由符合政策的中小微企业承接。相关企业（含联合体中的中小微企业、签订采购包意向协议的中小微企业）的具体情况如下：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（供应商填写磋商文件中明确的所属行业）行业；承接企业为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人，营业收入为</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万元，资产总额为</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万元</w:t>
      </w:r>
      <w:r>
        <w:rPr>
          <w:rFonts w:ascii="Times New Roman" w:hAnsi="Times New Roman" w:eastAsia="Times New Roman" w:cs="Times New Roman"/>
          <w:color w:val="000000"/>
          <w:sz w:val="28"/>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中型企业 </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小型企业 </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微型企业）；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（供应商填写磋商文件中明确的所属行业）行业；承接企业为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人，营业收入为</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万元，资产总额为</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万元</w:t>
      </w:r>
      <w:r>
        <w:rPr>
          <w:rFonts w:ascii="Times New Roman" w:hAnsi="Times New Roman" w:eastAsia="Times New Roman" w:cs="Times New Roman"/>
          <w:color w:val="000000"/>
          <w:sz w:val="28"/>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中型企业 </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小型企业 </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微型企业）；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180" w:firstLine="56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企业名称（加盖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w:t>
      </w:r>
      <w:r/>
    </w:p>
    <w:p>
      <w:pPr>
        <w:ind w:left="0" w:right="480" w:firstLine="560"/>
        <w:jc w:val="right"/>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从业人员、营业收入、资产总额填报上一年度数据，无上一年度数据的新成立企业可不填报。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专门面向中小微型企业采购的项目，供应商如不提供此声明函，则不能通过资格审查；非专门面向中小微型企业采购的项目，供应商如不提供此声明函，价格将不做相应扣除。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供应商应对照《工业和信息化部、国家统计局、国家发展和改革委员会、财政部关于印发中小企业划型标准规定的通知》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工信部联企业〔</w:t>
      </w:r>
      <w:r>
        <w:rPr>
          <w:rFonts w:ascii="Times New Roman" w:hAnsi="Times New Roman" w:eastAsia="Times New Roman" w:cs="Times New Roman"/>
          <w:color w:val="000000"/>
          <w:sz w:val="28"/>
        </w:rPr>
        <w:t xml:space="preserve">2011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《国家统计局关于印发〈统计上大中小微型企业划分办法（</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）〉的通知》（国统字〔</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213</w:t>
      </w:r>
      <w:r>
        <w:rPr>
          <w:rFonts w:ascii="FangSong" w:hAnsi="FangSong" w:eastAsia="FangSong" w:cs="FangSong"/>
          <w:color w:val="000000"/>
          <w:sz w:val="28"/>
        </w:rPr>
        <w:t xml:space="preserve">号）的规定，自行勾选承接企业的企业规模类型。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9 </w:t>
      </w:r>
      <w:r>
        <w:rPr>
          <w:rFonts w:ascii="SimHei" w:hAnsi="SimHei" w:eastAsia="SimHei" w:cs="SimHei"/>
          <w:color w:val="000000"/>
          <w:sz w:val="28"/>
        </w:rPr>
        <w:t xml:space="preserve">残疾人福利性单位声明函（服务类项目）（采购包号：</w:t>
      </w:r>
      <w:r>
        <w:rPr>
          <w:rFonts w:ascii="Times New Roman" w:hAnsi="Times New Roman" w:eastAsia="Times New Roman" w:cs="Times New Roman"/>
          <w:color w:val="000000"/>
          <w:sz w:val="28"/>
        </w:rPr>
        <w:t xml:space="preserve">XX</w:t>
      </w:r>
      <w:r>
        <w:rPr>
          <w:rFonts w:ascii="SimHei" w:hAnsi="SimHei" w:eastAsia="SimHei" w:cs="SimHei"/>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民政部</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中国残疾人联合会关于促进残疾人就业政府采购政策的通知》（财库〔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 </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号）的规定，本单位为符合条件的残疾人福利性单位，且本单位参加</w:t>
      </w:r>
      <w:r>
        <w:rPr>
          <w:rFonts w:ascii="Times New Roman" w:hAnsi="Times New Roman" w:eastAsia="Times New Roman" w:cs="Times New Roman"/>
          <w:color w:val="000000"/>
          <w:sz w:val="28"/>
          <w:u w:val="single"/>
        </w:rPr>
        <w:t xml:space="preserve">XX</w:t>
      </w:r>
      <w:r>
        <w:rPr>
          <w:rFonts w:ascii="FangSong" w:hAnsi="FangSong" w:eastAsia="FangSong" w:cs="FangSong"/>
          <w:color w:val="000000"/>
          <w:sz w:val="28"/>
        </w:rPr>
        <w:t xml:space="preserve">单位的采购文件编号为</w:t>
      </w:r>
      <w:r>
        <w:rPr>
          <w:rFonts w:ascii="Times New Roman" w:hAnsi="Times New Roman" w:eastAsia="Times New Roman" w:cs="Times New Roman"/>
          <w:color w:val="000000"/>
          <w:sz w:val="28"/>
        </w:rPr>
        <w:t xml:space="preserve">JSZC-320000-SCZX-C20XX-XXXX</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XXXX</w:t>
      </w:r>
      <w:r>
        <w:rPr>
          <w:rFonts w:ascii="FangSong" w:hAnsi="FangSong" w:eastAsia="FangSong" w:cs="FangSong"/>
          <w:color w:val="000000"/>
          <w:sz w:val="28"/>
        </w:rPr>
        <w:t xml:space="preserve">项目（项目名称）（采购包号：</w:t>
      </w:r>
      <w:r>
        <w:rPr>
          <w:rFonts w:ascii="Times New Roman" w:hAnsi="Times New Roman" w:eastAsia="Times New Roman" w:cs="Times New Roman"/>
          <w:color w:val="000000"/>
          <w:sz w:val="28"/>
        </w:rPr>
        <w:t xml:space="preserve">XX</w:t>
      </w:r>
      <w:r>
        <w:rPr>
          <w:rFonts w:ascii="FangSong" w:hAnsi="FangSong" w:eastAsia="FangSong" w:cs="FangSong"/>
          <w:color w:val="000000"/>
          <w:sz w:val="28"/>
        </w:rPr>
        <w:t xml:space="preserve">）采购活动由本单位提供服务。</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专门面向中小微型企业采购的项目，供应商为残疾人福利性单位并提供服务的必须提供此声明函，否则将不能通过资格审查。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非专门面向中小微型企业采购的项目，供应商如不提供此声明函，价格将不做相应扣除。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成交供应商为残疾人福利性单位的，此声明函将随中标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成交结果同时公告，接受社会监督）</w:t>
      </w:r>
      <w:r/>
    </w:p>
    <w:p>
      <w:pPr>
        <w:ind w:left="0" w:right="1559" w:firstLine="584"/>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8"/>
        </w:rPr>
        <w:t xml:space="preserve">             </w:t>
      </w:r>
      <w:r>
        <w:rPr>
          <w:rFonts w:ascii="Times New Roman" w:hAnsi="Times New Roman" w:eastAsia="Times New Roman" w:cs="Times New Roman"/>
          <w:color w:val="000000"/>
          <w:sz w:val="28"/>
        </w:rPr>
        <w:t xml:space="preserve">     </w:t>
      </w:r>
      <w:r/>
    </w:p>
    <w:p>
      <w:pPr>
        <w:ind w:left="0" w:right="1559" w:firstLine="560"/>
        <w:jc w:val="right"/>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供应商全称（加盖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电子公章）：  </w:t>
      </w:r>
      <w:r/>
    </w:p>
    <w:p>
      <w:pPr>
        <w:ind w:left="0" w:right="1559" w:firstLine="56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日期：</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日</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 </w:t>
      </w:r>
      <w:r>
        <w:rPr>
          <w:rFonts w:ascii="SimHei" w:hAnsi="SimHei" w:eastAsia="SimHei" w:cs="SimHei"/>
          <w:color w:val="000000"/>
          <w:sz w:val="32"/>
        </w:rPr>
        <w:t xml:space="preserve">联合体协议（参考格式）（采购包号：XX）</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（联合体中各供应商全称）在此达成以下协议：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、我们</w:t>
      </w:r>
      <w:r>
        <w:rPr>
          <w:rFonts w:ascii="Times New Roman" w:hAnsi="Times New Roman" w:eastAsia="Times New Roman" w:cs="Times New Roman"/>
          <w:color w:val="000000"/>
          <w:sz w:val="32"/>
          <w:u w:val="single"/>
        </w:rPr>
        <w:t xml:space="preserve"> </w:t>
      </w:r>
      <w:r>
        <w:rPr>
          <w:rFonts w:ascii="FangSong" w:hAnsi="FangSong" w:eastAsia="FangSong" w:cs="FangSong"/>
          <w:color w:val="000000"/>
          <w:sz w:val="32"/>
          <w:u w:val="single"/>
        </w:rPr>
        <w:t xml:space="preserve">（供应商</w:t>
      </w:r>
      <w:r>
        <w:rPr>
          <w:rFonts w:ascii="Times New Roman" w:hAnsi="Times New Roman" w:eastAsia="Times New Roman" w:cs="Times New Roman"/>
          <w:color w:val="000000"/>
          <w:sz w:val="32"/>
          <w:u w:val="single"/>
        </w:rPr>
        <w:t xml:space="preserve">1</w:t>
      </w:r>
      <w:r>
        <w:rPr>
          <w:rFonts w:ascii="FangSong" w:hAnsi="FangSong" w:eastAsia="FangSong" w:cs="FangSong"/>
          <w:color w:val="000000"/>
          <w:sz w:val="32"/>
          <w:u w:val="single"/>
        </w:rPr>
        <w:t xml:space="preserve">），（供应商</w:t>
      </w:r>
      <w:r>
        <w:rPr>
          <w:rFonts w:ascii="Times New Roman" w:hAnsi="Times New Roman" w:eastAsia="Times New Roman" w:cs="Times New Roman"/>
          <w:color w:val="000000"/>
          <w:sz w:val="32"/>
          <w:u w:val="single"/>
        </w:rPr>
        <w:t xml:space="preserve">2</w:t>
      </w:r>
      <w:r>
        <w:rPr>
          <w:rFonts w:ascii="FangSong" w:hAnsi="FangSong" w:eastAsia="FangSong" w:cs="FangSong"/>
          <w:color w:val="000000"/>
          <w:sz w:val="32"/>
          <w:u w:val="single"/>
        </w:rPr>
        <w:t xml:space="preserve">） ，</w:t>
      </w:r>
      <w:r>
        <w:rPr>
          <w:rFonts w:ascii="Times New Roman" w:hAnsi="Times New Roman" w:eastAsia="Times New Roman" w:cs="Times New Roman"/>
          <w:color w:val="000000"/>
          <w:sz w:val="32"/>
          <w:u w:val="single"/>
        </w:rPr>
        <w:t xml:space="preserve">……</w:t>
      </w:r>
      <w:r>
        <w:rPr>
          <w:rFonts w:ascii="FangSong" w:hAnsi="FangSong" w:eastAsia="FangSong" w:cs="FangSong"/>
          <w:color w:val="000000"/>
          <w:sz w:val="32"/>
        </w:rPr>
        <w:t xml:space="preserve">自愿组成联合体，参加江苏省政府采购中心组织的采购编号为</w:t>
      </w:r>
      <w:r>
        <w:rPr>
          <w:rFonts w:ascii="Times New Roman" w:hAnsi="Times New Roman" w:eastAsia="Times New Roman" w:cs="Times New Roman"/>
          <w:color w:val="000000"/>
          <w:sz w:val="32"/>
        </w:rPr>
        <w:t xml:space="preserve">JSZC-320000-SCZX-C20XX-XXXX</w:t>
      </w:r>
      <w:r>
        <w:rPr>
          <w:rFonts w:ascii="FangSong" w:hAnsi="FangSong" w:eastAsia="FangSong" w:cs="FangSong"/>
          <w:color w:val="000000"/>
          <w:sz w:val="32"/>
        </w:rPr>
        <w:t xml:space="preserve">，</w:t>
      </w:r>
      <w:r>
        <w:rPr>
          <w:rFonts w:ascii="FangSong" w:hAnsi="FangSong" w:eastAsia="FangSong" w:cs="FangSong"/>
          <w:color w:val="000000"/>
          <w:sz w:val="32"/>
          <w:u w:val="single"/>
        </w:rPr>
        <w:t xml:space="preserve">XXXX</w:t>
      </w:r>
      <w:r>
        <w:rPr>
          <w:rFonts w:ascii="FangSong" w:hAnsi="FangSong" w:eastAsia="FangSong" w:cs="FangSong"/>
          <w:color w:val="000000"/>
          <w:sz w:val="32"/>
        </w:rPr>
        <w:t xml:space="preserve">项目（项目名称）（采购包号：XX）的政府采购活动，我联合体指定</w:t>
      </w:r>
      <w:r>
        <w:rPr>
          <w:rFonts w:ascii="FangSong" w:hAnsi="FangSong" w:eastAsia="FangSong" w:cs="FangSong"/>
          <w:color w:val="000000"/>
          <w:sz w:val="32"/>
          <w:u w:val="single"/>
        </w:rPr>
        <w:t xml:space="preserve">（供应商XX）</w:t>
      </w:r>
      <w:r>
        <w:rPr>
          <w:rFonts w:ascii="FangSong" w:hAnsi="FangSong" w:eastAsia="FangSong" w:cs="FangSong"/>
          <w:color w:val="000000"/>
          <w:sz w:val="32"/>
        </w:rPr>
        <w:t xml:space="preserve">为牵头单位（牵头单位必须为联合体成员）。</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、若我们联合成交，（供应商单位</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全称）实施项目中（工作内容）部分工作，并承担相应的责任。（供应商单位</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全称）实施项目中（工作内容）部分工作，并承担相应的责任</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。（注：联合体中各供应商都应明示所承担的工作和相应的责任）。</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rPr>
          <w:rFonts w:ascii="FangSong" w:hAnsi="FangSong" w:eastAsia="FangSong" w:cs="FangSong"/>
          <w:color w:val="000000"/>
          <w:sz w:val="32"/>
        </w:rPr>
        <w:t xml:space="preserve">、其中</w:t>
      </w:r>
      <w:r>
        <w:rPr>
          <w:rFonts w:ascii="FangSong" w:hAnsi="FangSong" w:eastAsia="FangSong" w:cs="FangSong"/>
          <w:color w:val="000000"/>
          <w:sz w:val="32"/>
          <w:u w:val="single"/>
        </w:rPr>
        <w:t xml:space="preserve">XX</w:t>
      </w:r>
      <w:r>
        <w:rPr>
          <w:rFonts w:ascii="FangSong" w:hAnsi="FangSong" w:eastAsia="FangSong" w:cs="FangSong"/>
          <w:color w:val="000000"/>
          <w:sz w:val="32"/>
        </w:rPr>
        <w:t xml:space="preserve">（小型、微型企业</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残疾人福利性单位</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监狱企业全称）为（</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小型、微型企业</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残疾人福利性单位</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监狱企业）企业，且我们约定该公司</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单位所承担的合同金额将占本项目合同总金额的</w:t>
      </w:r>
      <w:r>
        <w:rPr>
          <w:rFonts w:ascii="Times New Roman" w:hAnsi="Times New Roman" w:eastAsia="Times New Roman" w:cs="Times New Roman"/>
          <w:color w:val="000000"/>
          <w:sz w:val="32"/>
          <w:u w:val="single"/>
        </w:rPr>
        <w:t xml:space="preserve">   </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备注：本磋商文件中要求加盖</w:t>
      </w:r>
      <w:r>
        <w:rPr>
          <w:rFonts w:ascii="Times New Roman" w:hAnsi="Times New Roman" w:eastAsia="Times New Roman" w:cs="Times New Roman"/>
          <w:color w:val="000000"/>
          <w:sz w:val="32"/>
        </w:rPr>
        <w:t xml:space="preserve">CA</w:t>
      </w:r>
      <w:r>
        <w:rPr>
          <w:rFonts w:ascii="FangSong" w:hAnsi="FangSong" w:eastAsia="FangSong" w:cs="FangSong"/>
          <w:color w:val="000000"/>
          <w:sz w:val="32"/>
        </w:rPr>
        <w:t xml:space="preserve">电子公章的地方，仅需加盖牵头单位的</w:t>
      </w:r>
      <w:r>
        <w:rPr>
          <w:rFonts w:ascii="Times New Roman" w:hAnsi="Times New Roman" w:eastAsia="Times New Roman" w:cs="Times New Roman"/>
          <w:color w:val="000000"/>
          <w:sz w:val="32"/>
        </w:rPr>
        <w:t xml:space="preserve">CA</w:t>
      </w:r>
      <w:r>
        <w:rPr>
          <w:rFonts w:ascii="FangSong" w:hAnsi="FangSong" w:eastAsia="FangSong" w:cs="FangSong"/>
          <w:color w:val="000000"/>
          <w:sz w:val="32"/>
        </w:rPr>
        <w:t xml:space="preserve">电子公章。</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联合体中各供应商全称（公章）：</w:t>
      </w:r>
      <w:r/>
    </w:p>
    <w:p>
      <w:pPr>
        <w:ind w:left="42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日期：</w:t>
      </w:r>
      <w:r>
        <w:rPr>
          <w:rFonts w:ascii="Times New Roman" w:hAnsi="Times New Roman" w:eastAsia="Times New Roman" w:cs="Times New Roman"/>
          <w:color w:val="000000"/>
          <w:sz w:val="32"/>
        </w:rPr>
        <w:t xml:space="preserve">____</w:t>
      </w:r>
      <w:r>
        <w:rPr>
          <w:rFonts w:ascii="FangSong" w:hAnsi="FangSong" w:eastAsia="FangSong" w:cs="FangSong"/>
          <w:color w:val="000000"/>
          <w:sz w:val="32"/>
        </w:rPr>
        <w:t xml:space="preserve">年</w:t>
      </w:r>
      <w:r>
        <w:rPr>
          <w:rFonts w:ascii="Times New Roman" w:hAnsi="Times New Roman" w:eastAsia="Times New Roman" w:cs="Times New Roman"/>
          <w:color w:val="000000"/>
          <w:sz w:val="32"/>
        </w:rPr>
        <w:t xml:space="preserve">____</w:t>
      </w:r>
      <w:r>
        <w:rPr>
          <w:rFonts w:ascii="FangSong" w:hAnsi="FangSong" w:eastAsia="FangSong" w:cs="FangSong"/>
          <w:color w:val="000000"/>
          <w:sz w:val="32"/>
        </w:rPr>
        <w:t xml:space="preserve">月</w:t>
      </w:r>
      <w:r>
        <w:rPr>
          <w:rFonts w:ascii="Times New Roman" w:hAnsi="Times New Roman" w:eastAsia="Times New Roman" w:cs="Times New Roman"/>
          <w:color w:val="000000"/>
          <w:sz w:val="32"/>
        </w:rPr>
        <w:t xml:space="preserve">____</w:t>
      </w:r>
      <w:r>
        <w:rPr>
          <w:rFonts w:ascii="FangSong" w:hAnsi="FangSong" w:eastAsia="FangSong" w:cs="FangSong"/>
          <w:color w:val="000000"/>
          <w:sz w:val="32"/>
        </w:rPr>
        <w:t xml:space="preserve">日</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559" w:firstLine="56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w:t>
      </w:r>
      <w:r>
        <w:rPr>
          <w:rFonts w:ascii="Times New Roman" w:hAnsi="Times New Roman" w:eastAsia="Times New Roman" w:cs="Times New Roman"/>
          <w:color w:val="000000"/>
          <w:sz w:val="28"/>
        </w:rPr>
        <w:t xml:space="preserve">11       </w:t>
      </w:r>
      <w:r>
        <w:rPr>
          <w:rFonts w:ascii="SimHei" w:hAnsi="SimHei" w:eastAsia="SimHei" w:cs="SimHei"/>
          <w:color w:val="000000"/>
          <w:sz w:val="28"/>
        </w:rPr>
        <w:t xml:space="preserve">实质性要求响应及偏离表（采购包号：</w:t>
      </w:r>
      <w:r>
        <w:rPr>
          <w:rFonts w:ascii="Times New Roman" w:hAnsi="Times New Roman" w:eastAsia="Times New Roman" w:cs="Times New Roman"/>
          <w:color w:val="000000"/>
          <w:sz w:val="28"/>
        </w:rPr>
        <w:t xml:space="preserve">XX</w:t>
      </w:r>
      <w:r>
        <w:rPr>
          <w:rFonts w:ascii="SimHei" w:hAnsi="SimHei" w:eastAsia="SimHei" w:cs="SimHei"/>
          <w:color w:val="000000"/>
          <w:sz w:val="28"/>
        </w:rPr>
        <w:t xml:space="preserve">）</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3218"/>
        <w:gridCol w:w="2928"/>
        <w:gridCol w:w="14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磋商文件（含技术要求和商务要求）中的实质性要求</w:t>
            </w:r>
            <w:r>
              <w:rPr>
                <w:rFonts w:ascii="Times New Roman" w:hAnsi="Times New Roman" w:eastAsia="Times New Roman" w:cs="Times New Roman"/>
                <w:b/>
                <w:color w:val="000000"/>
                <w:sz w:val="28"/>
              </w:rPr>
              <w:t xml:space="preserve">（</w:t>
            </w:r>
            <w:r>
              <w:rPr>
                <w:rFonts w:ascii="Times New Roman" w:hAnsi="Times New Roman" w:eastAsia="Times New Roman" w:cs="Times New Roman"/>
                <w:b/>
                <w:i/>
                <w:color w:val="000000"/>
                <w:sz w:val="28"/>
                <w:u w:val="single"/>
              </w:rPr>
              <w:t xml:space="preserve">斜体且有下划线部分</w:t>
            </w:r>
            <w:r>
              <w:rPr>
                <w:rFonts w:ascii="Times New Roman" w:hAnsi="Times New Roman" w:eastAsia="Times New Roman" w:cs="Times New Roman"/>
                <w:b/>
                <w:color w:val="000000"/>
                <w:sz w:val="28"/>
              </w:rPr>
              <w:t xml:space="preserve">或加*</w:t>
            </w:r>
            <w:r>
              <w:rPr>
                <w:rFonts w:ascii="FangSong" w:hAnsi="FangSong" w:eastAsia="FangSong" w:cs="FangSong"/>
                <w:b/>
                <w:color w:val="000000"/>
                <w:sz w:val="28"/>
              </w:rPr>
              <w:t xml:space="preserve">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11-1 </w:t>
      </w:r>
      <w:r>
        <w:rPr>
          <w:rFonts w:ascii="FangSong" w:hAnsi="FangSong" w:eastAsia="FangSong" w:cs="FangSong"/>
          <w:color w:val="000000"/>
          <w:sz w:val="28"/>
        </w:rPr>
        <w:t xml:space="preserve">证明材料</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，证明材料</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供应商必须对磋商文件（含技术要求和商务要求）中的实质性要求</w:t>
      </w:r>
      <w:r>
        <w:rPr>
          <w:rFonts w:ascii="FangSong" w:hAnsi="FangSong" w:eastAsia="FangSong" w:cs="FangSong"/>
          <w:b/>
          <w:color w:val="000000"/>
          <w:sz w:val="28"/>
        </w:rPr>
        <w:t xml:space="preserve">（</w:t>
      </w:r>
      <w:r>
        <w:rPr>
          <w:rFonts w:ascii="FangSong" w:hAnsi="FangSong" w:eastAsia="FangSong" w:cs="FangSong"/>
          <w:b/>
          <w:i/>
          <w:color w:val="000000"/>
          <w:sz w:val="28"/>
          <w:u w:val="single"/>
        </w:rPr>
        <w:t xml:space="preserve">斜体且有下划线部分</w:t>
      </w:r>
      <w:r>
        <w:rPr>
          <w:rFonts w:ascii="FangSong" w:hAnsi="FangSong" w:eastAsia="FangSong" w:cs="FangSong"/>
          <w:b/>
          <w:color w:val="000000"/>
          <w:sz w:val="28"/>
        </w:rPr>
        <w:t xml:space="preserve">或加</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号条款）</w:t>
      </w:r>
      <w:r>
        <w:rPr>
          <w:rFonts w:ascii="FangSong" w:hAnsi="FangSong" w:eastAsia="FangSong" w:cs="FangSong"/>
          <w:color w:val="000000"/>
          <w:sz w:val="28"/>
        </w:rPr>
        <w:t xml:space="preserve">逐条做出明确响应，否则作无效响应处理。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如果磋商文件要求提供证明材料，供应商必须将证明材料列于该表之下。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供应商未对实质性要求逐条作出明确响应的，或未按磋商文件要求提供证明材料的，该采购包作无效响应处理。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w:t>
      </w:r>
      <w:r>
        <w:rPr>
          <w:rFonts w:ascii="Times New Roman" w:hAnsi="Times New Roman" w:eastAsia="Times New Roman" w:cs="Times New Roman"/>
          <w:b/>
          <w:color w:val="000000"/>
          <w:sz w:val="28"/>
        </w:rPr>
        <w:t xml:space="preserve">12</w:t>
      </w:r>
      <w:r>
        <w:rPr>
          <w:rFonts w:ascii="FangSong" w:hAnsi="FangSong" w:eastAsia="FangSong" w:cs="FangSong"/>
          <w:b/>
          <w:color w:val="000000"/>
          <w:sz w:val="28"/>
        </w:rPr>
        <w:t xml:space="preserve">关于符合本国产品标准的声明函（采购包号：</w:t>
      </w:r>
      <w:r>
        <w:rPr>
          <w:rFonts w:ascii="Times New Roman" w:hAnsi="Times New Roman" w:eastAsia="Times New Roman" w:cs="Times New Roman"/>
          <w:b/>
          <w:color w:val="000000"/>
          <w:sz w:val="28"/>
        </w:rPr>
        <w:t xml:space="preserve">XX</w:t>
      </w:r>
      <w:r>
        <w:rPr>
          <w:rFonts w:ascii="FangSong" w:hAnsi="FangSong" w:eastAsia="FangSong" w:cs="FangSong"/>
          <w:b/>
          <w:color w:val="000000"/>
          <w:sz w:val="28"/>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号）的规定，本公司（单位）提供的以下产品属于本国产品。具体情况如下：</w:t>
      </w:r>
      <w:r/>
    </w:p>
    <w:p>
      <w:pPr>
        <w:ind w:left="0" w:right="0" w:firstLine="42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w:t>
      </w:r>
      <w:r>
        <w:rPr>
          <w:rFonts w:ascii="FangSong" w:hAnsi="FangSong" w:eastAsia="FangSong" w:cs="FangSong"/>
          <w:color w:val="000000"/>
          <w:sz w:val="28"/>
          <w:highlight w:val="white"/>
          <w:u w:val="single"/>
        </w:rPr>
        <w:t xml:space="preserve">（产品名称</w:t>
      </w:r>
      <w:r>
        <w:rPr>
          <w:rFonts w:ascii="Times New Roman" w:hAnsi="Times New Roman" w:eastAsia="Times New Roman" w:cs="Times New Roman"/>
          <w:color w:val="000000"/>
          <w:sz w:val="28"/>
          <w:highlight w:val="white"/>
          <w:u w:val="single"/>
        </w:rPr>
        <w:t xml:space="preserve">1</w:t>
      </w:r>
      <w:r>
        <w:rPr>
          <w:rFonts w:ascii="FangSong" w:hAnsi="FangSong" w:eastAsia="FangSong" w:cs="FangSong"/>
          <w:color w:val="000000"/>
          <w:sz w:val="28"/>
          <w:highlight w:val="white"/>
          <w:u w:val="single"/>
        </w:rPr>
        <w:t xml:space="preserve">）</w:t>
      </w:r>
      <w:r>
        <w:rPr>
          <w:rFonts w:ascii="Times New Roman" w:hAnsi="Times New Roman" w:eastAsia="Times New Roman" w:cs="Times New Roman"/>
          <w:color w:val="000000"/>
          <w:sz w:val="28"/>
          <w:highlight w:val="white"/>
          <w:vertAlign w:val="superscript"/>
        </w:rPr>
        <w:t xml:space="preserve">1</w:t>
      </w:r>
      <w:r>
        <w:rPr>
          <w:rFonts w:ascii="FangSong" w:hAnsi="FangSong" w:eastAsia="FangSong" w:cs="FangSong"/>
          <w:color w:val="000000"/>
          <w:sz w:val="28"/>
          <w:highlight w:val="white"/>
        </w:rPr>
        <w:t xml:space="preserve">，生产厂为</w:t>
      </w:r>
      <w:r>
        <w:rPr>
          <w:rFonts w:ascii="FangSong" w:hAnsi="FangSong" w:eastAsia="FangSong" w:cs="FangSong"/>
          <w:color w:val="000000"/>
          <w:sz w:val="28"/>
          <w:highlight w:val="white"/>
          <w:u w:val="single"/>
        </w:rPr>
        <w:t xml:space="preserve">（厂名）</w:t>
      </w:r>
      <w:r>
        <w:rPr>
          <w:rFonts w:ascii="Times New Roman" w:hAnsi="Times New Roman" w:eastAsia="Times New Roman" w:cs="Times New Roman"/>
          <w:color w:val="000000"/>
          <w:sz w:val="28"/>
          <w:highlight w:val="white"/>
          <w:vertAlign w:val="superscript"/>
        </w:rPr>
        <w:t xml:space="preserve">2</w:t>
      </w:r>
      <w:r>
        <w:rPr>
          <w:rFonts w:ascii="FangSong" w:hAnsi="FangSong" w:eastAsia="FangSong" w:cs="FangSong"/>
          <w:color w:val="000000"/>
          <w:sz w:val="28"/>
          <w:highlight w:val="white"/>
        </w:rPr>
        <w:t xml:space="preserve">，厂址为</w:t>
      </w:r>
      <w:r>
        <w:rPr>
          <w:rFonts w:ascii="FangSong" w:hAnsi="FangSong" w:eastAsia="FangSong" w:cs="FangSong"/>
          <w:color w:val="000000"/>
          <w:sz w:val="28"/>
          <w:highlight w:val="white"/>
          <w:u w:val="single"/>
        </w:rPr>
        <w:t xml:space="preserve">（生产厂址）</w:t>
      </w:r>
      <w:r>
        <w:rPr>
          <w:rFonts w:ascii="FangSong" w:hAnsi="FangSong" w:eastAsia="FangSong" w:cs="FangSong"/>
          <w:color w:val="000000"/>
          <w:sz w:val="28"/>
          <w:highlight w:val="white"/>
        </w:rPr>
        <w:t xml:space="preserve">。</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的中国境内生产的组件成本占比</w:t>
      </w:r>
      <w:r>
        <w:rPr>
          <w:rFonts w:ascii="Times New Roman" w:hAnsi="Times New Roman" w:eastAsia="Times New Roman" w:cs="Times New Roman"/>
          <w:color w:val="000000"/>
          <w:sz w:val="28"/>
          <w:highlight w:val="white"/>
        </w:rPr>
        <w:t xml:space="preserve">≥</w:t>
      </w:r>
      <w:r>
        <w:rPr>
          <w:rFonts w:ascii="Times New Roman" w:hAnsi="Times New Roman" w:eastAsia="Times New Roman" w:cs="Times New Roman"/>
          <w:color w:val="000000"/>
          <w:sz w:val="28"/>
          <w:highlight w:val="white"/>
          <w:u w:val="single"/>
        </w:rPr>
        <w:t xml:space="preserve">  /  </w:t>
      </w:r>
      <w:r>
        <w:rPr>
          <w:rFonts w:ascii="Times New Roman" w:hAnsi="Times New Roman" w:eastAsia="Times New Roman" w:cs="Times New Roman"/>
          <w:color w:val="000000"/>
          <w:sz w:val="28"/>
          <w:highlight w:val="white"/>
          <w:vertAlign w:val="superscript"/>
        </w:rPr>
        <w:t xml:space="preserve">3</w:t>
      </w:r>
      <w:r>
        <w:rPr>
          <w:rFonts w:ascii="FangSong" w:hAnsi="FangSong" w:eastAsia="FangSong" w:cs="FangSong"/>
          <w:color w:val="000000"/>
          <w:sz w:val="28"/>
          <w:highlight w:val="white"/>
        </w:rPr>
        <w:t xml:space="preserve">。</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的</w:t>
      </w:r>
      <w:r>
        <w:rPr>
          <w:rFonts w:ascii="Times New Roman" w:hAnsi="Times New Roman" w:eastAsia="Times New Roman" w:cs="Times New Roman"/>
          <w:color w:val="000000"/>
          <w:sz w:val="28"/>
          <w:highlight w:val="white"/>
          <w:u w:val="single"/>
        </w:rPr>
        <w:t xml:space="preserve">  /  </w:t>
      </w:r>
      <w:r>
        <w:rPr>
          <w:rFonts w:ascii="Times New Roman" w:hAnsi="Times New Roman" w:eastAsia="Times New Roman" w:cs="Times New Roman"/>
          <w:color w:val="000000"/>
          <w:sz w:val="28"/>
          <w:highlight w:val="white"/>
          <w:vertAlign w:val="superscript"/>
        </w:rPr>
        <w:t xml:space="preserve">4</w:t>
      </w:r>
      <w:r>
        <w:rPr>
          <w:rFonts w:ascii="FangSong" w:hAnsi="FangSong" w:eastAsia="FangSong" w:cs="FangSong"/>
          <w:color w:val="000000"/>
          <w:sz w:val="28"/>
          <w:highlight w:val="white"/>
        </w:rPr>
        <w:t xml:space="preserve">在中国境内生产。</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的</w:t>
      </w:r>
      <w:r>
        <w:rPr>
          <w:rFonts w:ascii="Times New Roman" w:hAnsi="Times New Roman" w:eastAsia="Times New Roman" w:cs="Times New Roman"/>
          <w:color w:val="000000"/>
          <w:sz w:val="28"/>
          <w:highlight w:val="white"/>
          <w:u w:val="single"/>
        </w:rPr>
        <w:t xml:space="preserve">  /  </w:t>
      </w:r>
      <w:r>
        <w:rPr>
          <w:rFonts w:ascii="Times New Roman" w:hAnsi="Times New Roman" w:eastAsia="Times New Roman" w:cs="Times New Roman"/>
          <w:color w:val="000000"/>
          <w:sz w:val="28"/>
          <w:highlight w:val="white"/>
          <w:vertAlign w:val="superscript"/>
        </w:rPr>
        <w:t xml:space="preserve">5</w:t>
      </w:r>
      <w:r>
        <w:rPr>
          <w:rFonts w:ascii="FangSong" w:hAnsi="FangSong" w:eastAsia="FangSong" w:cs="FangSong"/>
          <w:color w:val="000000"/>
          <w:sz w:val="28"/>
          <w:highlight w:val="white"/>
        </w:rPr>
        <w:t xml:space="preserve">在中国境内完成。</w:t>
      </w:r>
      <w:r/>
    </w:p>
    <w:p>
      <w:pPr>
        <w:ind w:left="0" w:right="0" w:firstLine="42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FangSong" w:hAnsi="FangSong" w:eastAsia="FangSong" w:cs="FangSong"/>
          <w:color w:val="000000"/>
          <w:sz w:val="28"/>
          <w:highlight w:val="white"/>
          <w:u w:val="single"/>
        </w:rPr>
        <w:t xml:space="preserve">（产品名称</w:t>
      </w:r>
      <w:r>
        <w:rPr>
          <w:rFonts w:ascii="Times New Roman" w:hAnsi="Times New Roman" w:eastAsia="Times New Roman" w:cs="Times New Roman"/>
          <w:color w:val="000000"/>
          <w:sz w:val="28"/>
          <w:highlight w:val="white"/>
          <w:u w:val="single"/>
        </w:rPr>
        <w:t xml:space="preserve">2</w:t>
      </w:r>
      <w:r>
        <w:rPr>
          <w:rFonts w:ascii="FangSong" w:hAnsi="FangSong" w:eastAsia="FangSong" w:cs="FangSong"/>
          <w:color w:val="000000"/>
          <w:sz w:val="28"/>
          <w:highlight w:val="white"/>
          <w:u w:val="single"/>
        </w:rPr>
        <w:t xml:space="preserve">）</w:t>
      </w:r>
      <w:r>
        <w:rPr>
          <w:rFonts w:ascii="FangSong" w:hAnsi="FangSong" w:eastAsia="FangSong" w:cs="FangSong"/>
          <w:color w:val="000000"/>
          <w:sz w:val="28"/>
          <w:highlight w:val="white"/>
        </w:rPr>
        <w:t xml:space="preserve">，生产厂为</w:t>
      </w:r>
      <w:r>
        <w:rPr>
          <w:rFonts w:ascii="FangSong" w:hAnsi="FangSong" w:eastAsia="FangSong" w:cs="FangSong"/>
          <w:color w:val="000000"/>
          <w:sz w:val="28"/>
          <w:highlight w:val="white"/>
          <w:u w:val="single"/>
        </w:rPr>
        <w:t xml:space="preserve">（厂名）</w:t>
      </w:r>
      <w:r>
        <w:rPr>
          <w:rFonts w:ascii="FangSong" w:hAnsi="FangSong" w:eastAsia="FangSong" w:cs="FangSong"/>
          <w:color w:val="000000"/>
          <w:sz w:val="28"/>
          <w:highlight w:val="white"/>
        </w:rPr>
        <w:t xml:space="preserve">，厂址为</w:t>
      </w:r>
      <w:r>
        <w:rPr>
          <w:rFonts w:ascii="FangSong" w:hAnsi="FangSong" w:eastAsia="FangSong" w:cs="FangSong"/>
          <w:color w:val="000000"/>
          <w:sz w:val="28"/>
          <w:highlight w:val="white"/>
          <w:u w:val="single"/>
        </w:rPr>
        <w:t xml:space="preserve">（生产厂址）</w:t>
      </w:r>
      <w:r>
        <w:rPr>
          <w:rFonts w:ascii="FangSong" w:hAnsi="FangSong" w:eastAsia="FangSong" w:cs="FangSong"/>
          <w:color w:val="000000"/>
          <w:sz w:val="28"/>
          <w:highlight w:val="white"/>
        </w:rPr>
        <w:t xml:space="preserve">。</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的中国境内生产的组件成本占比</w:t>
      </w:r>
      <w:r>
        <w:rPr>
          <w:rFonts w:ascii="Times New Roman" w:hAnsi="Times New Roman" w:eastAsia="Times New Roman" w:cs="Times New Roman"/>
          <w:color w:val="000000"/>
          <w:sz w:val="28"/>
          <w:highlight w:val="white"/>
        </w:rPr>
        <w:t xml:space="preserve">≥</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的</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在中国境内生产。</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的</w:t>
      </w:r>
      <w:r>
        <w:rPr>
          <w:rFonts w:ascii="Times New Roman" w:hAnsi="Times New Roman" w:eastAsia="Times New Roman" w:cs="Times New Roman"/>
          <w:color w:val="000000"/>
          <w:sz w:val="28"/>
          <w:highlight w:val="white"/>
          <w:u w:val="single"/>
        </w:rPr>
        <w:t xml:space="preserve">  /  </w:t>
      </w:r>
      <w:r>
        <w:rPr>
          <w:rFonts w:ascii="FangSong" w:hAnsi="FangSong" w:eastAsia="FangSong" w:cs="FangSong"/>
          <w:color w:val="000000"/>
          <w:sz w:val="28"/>
          <w:highlight w:val="white"/>
        </w:rPr>
        <w:t xml:space="preserve">在中国境内完成。</w:t>
      </w:r>
      <w:r/>
    </w:p>
    <w:p>
      <w:pPr>
        <w:ind w:left="0" w:right="0" w:firstLine="42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w:t>
      </w:r>
      <w:r/>
    </w:p>
    <w:p>
      <w:pPr>
        <w:ind w:left="0" w:right="0" w:firstLine="420"/>
        <w:spacing w:before="30" w:after="3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本公司（单位）对上述声明内容的真实性负责。如有虚假，愿承担相应法律责任。</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rPr>
          <w:rFonts w:ascii="FangSong" w:hAnsi="FangSong" w:eastAsia="FangSong" w:cs="FangSong"/>
          <w:color w:val="000000"/>
          <w:sz w:val="28"/>
          <w:highlight w:val="white"/>
        </w:rPr>
        <w:t xml:space="preserve">公司（单位）名称（加盖</w:t>
      </w:r>
      <w:r>
        <w:rPr>
          <w:rFonts w:ascii="Times New Roman" w:hAnsi="Times New Roman" w:eastAsia="Times New Roman" w:cs="Times New Roman"/>
          <w:color w:val="000000"/>
          <w:sz w:val="28"/>
          <w:highlight w:val="white"/>
        </w:rPr>
        <w:t xml:space="preserve">CA</w:t>
      </w:r>
      <w:r>
        <w:rPr>
          <w:rFonts w:ascii="FangSong" w:hAnsi="FangSong" w:eastAsia="FangSong" w:cs="FangSong"/>
          <w:color w:val="000000"/>
          <w:sz w:val="28"/>
          <w:highlight w:val="white"/>
        </w:rPr>
        <w:t xml:space="preserve">电子公章）：　日期：</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____</w:t>
      </w:r>
      <w:r>
        <w:rPr>
          <w:rFonts w:ascii="FangSong" w:hAnsi="FangSong" w:eastAsia="FangSong" w:cs="FangSong"/>
          <w:color w:val="000000"/>
          <w:sz w:val="28"/>
        </w:rPr>
        <w:t xml:space="preserve">日</w:t>
      </w:r>
      <w:r/>
    </w:p>
    <w:p>
      <w:pPr>
        <w:ind w:left="0" w:right="0" w:firstLine="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__________________</w:t>
      </w:r>
      <w:r/>
    </w:p>
    <w:p>
      <w:pPr>
        <w:ind w:left="0" w:right="0" w:firstLine="56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1.</w:t>
      </w:r>
      <w:r>
        <w:rPr>
          <w:rFonts w:ascii="FangSong" w:hAnsi="FangSong" w:eastAsia="FangSong" w:cs="FangSong"/>
          <w:color w:val="000000"/>
          <w:sz w:val="28"/>
          <w:highlight w:val="white"/>
        </w:rPr>
        <w:t xml:space="preserve">产品如有型号，请在</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产品名称</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栏一并填写。</w:t>
      </w:r>
      <w:r/>
    </w:p>
    <w:p>
      <w:pPr>
        <w:ind w:left="0" w:right="0" w:firstLine="56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FangSong" w:hAnsi="FangSong" w:eastAsia="FangSong" w:cs="FangSong"/>
          <w:color w:val="000000"/>
          <w:sz w:val="28"/>
          <w:highlight w:val="white"/>
        </w:rPr>
        <w:t xml:space="preserve">生产厂名与厂址应与生产厂营业执照载明的相关信息保持一致。</w:t>
      </w:r>
      <w:r/>
    </w:p>
    <w:p>
      <w:pPr>
        <w:ind w:left="0" w:right="0" w:firstLine="56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3.</w:t>
      </w:r>
      <w:r>
        <w:rPr>
          <w:rFonts w:ascii="FangSong" w:hAnsi="FangSong" w:eastAsia="FangSong" w:cs="FangSong"/>
          <w:color w:val="000000"/>
          <w:sz w:val="28"/>
          <w:highlight w:val="white"/>
        </w:rPr>
        <w:t xml:space="preserve">该产品的中国境内生产的组件成本占比相关要求实施前，</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规定比例</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栏可不填，下同。</w:t>
      </w:r>
      <w:r/>
    </w:p>
    <w:p>
      <w:pPr>
        <w:ind w:left="0" w:right="0" w:firstLine="56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4.</w:t>
      </w:r>
      <w:r>
        <w:rPr>
          <w:rFonts w:ascii="FangSong" w:hAnsi="FangSong" w:eastAsia="FangSong" w:cs="FangSong"/>
          <w:color w:val="000000"/>
          <w:sz w:val="28"/>
          <w:highlight w:val="white"/>
        </w:rPr>
        <w:t xml:space="preserve">该产品的关键组件要求实施前，</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关键组件</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栏可不填，下同。</w:t>
      </w:r>
      <w:r/>
    </w:p>
    <w:p>
      <w:pPr>
        <w:ind w:left="0" w:right="0" w:firstLine="56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5.</w:t>
      </w:r>
      <w:r>
        <w:rPr>
          <w:rFonts w:ascii="FangSong" w:hAnsi="FangSong" w:eastAsia="FangSong" w:cs="FangSong"/>
          <w:color w:val="000000"/>
          <w:sz w:val="28"/>
          <w:highlight w:val="white"/>
        </w:rPr>
        <w:t xml:space="preserve">该产品的关键工序要求实施前，</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关键工序</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栏可不填，下同。</w:t>
      </w:r>
      <w:r/>
    </w:p>
    <w:p>
      <w:pPr>
        <w:ind w:left="0" w:right="0" w:firstLine="560"/>
        <w:spacing w:before="30" w:after="3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6.</w:t>
      </w:r>
      <w:r>
        <w:rPr>
          <w:rFonts w:ascii="FangSong" w:hAnsi="FangSong" w:eastAsia="FangSong" w:cs="FangSong"/>
          <w:color w:val="000000"/>
          <w:sz w:val="28"/>
          <w:highlight w:val="white"/>
        </w:rPr>
        <w:t xml:space="preserve">《声明函》中标注</w:t>
      </w:r>
      <w:r>
        <w:rPr>
          <w:rFonts w:ascii="Times New Roman" w:hAnsi="Times New Roman" w:eastAsia="Times New Roman" w:cs="Times New Roman"/>
          <w:color w:val="000000"/>
          <w:sz w:val="28"/>
          <w:highlight w:val="white"/>
        </w:rPr>
        <w:t xml:space="preserve">“</w:t>
      </w:r>
      <w:r>
        <w:rPr>
          <w:rFonts w:ascii="Times New Roman" w:hAnsi="Times New Roman" w:eastAsia="Times New Roman" w:cs="Times New Roman"/>
          <w:color w:val="000000"/>
          <w:sz w:val="28"/>
          <w:highlight w:val="white"/>
          <w:u w:val="single"/>
        </w:rPr>
        <w:t xml:space="preserve">  /  </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的地方不填。</w:t>
      </w:r>
      <w:r/>
    </w:p>
    <w:p>
      <w:pPr>
        <w:ind w:left="0" w:right="0" w:firstLine="0"/>
        <w:jc w:val="center"/>
        <w:spacing w:before="0" w:after="0" w:line="400"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400"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rPr>
          <w:rFonts w:ascii="Times New Roman" w:hAnsi="Times New Roman" w:eastAsia="Times New Roman" w:cs="Times New Roman"/>
          <w:b/>
          <w:color w:val="000000"/>
          <w:sz w:val="28"/>
        </w:rPr>
        <w:t xml:space="preserve">13  </w:t>
      </w:r>
      <w:r>
        <w:rPr>
          <w:rFonts w:ascii="SimSun" w:hAnsi="SimSun" w:eastAsia="SimSun" w:cs="SimSun"/>
          <w:b/>
          <w:color w:val="000000"/>
          <w:sz w:val="28"/>
        </w:rPr>
        <w:t xml:space="preserve">提供服务的人员均为订立劳动合同的从业人员的书面声明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采购包号</w:t>
      </w:r>
      <w:r>
        <w:rPr>
          <w:rFonts w:ascii="Times New Roman" w:hAnsi="Times New Roman" w:eastAsia="Times New Roman" w:cs="Times New Roman"/>
          <w:b/>
          <w:color w:val="000000"/>
          <w:sz w:val="28"/>
        </w:rPr>
        <w:t xml:space="preserve">:XX)</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本企业(本联合体，如项目采购包接受联合体参加的</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参加江苏省政府采购中心组织的项目编号为</w:t>
      </w:r>
      <w:r>
        <w:rPr>
          <w:rFonts w:ascii="Times New Roman" w:hAnsi="Times New Roman" w:eastAsia="Times New Roman" w:cs="Times New Roman"/>
          <w:color w:val="000000"/>
          <w:sz w:val="28"/>
          <w:highlight w:val="white"/>
        </w:rPr>
        <w:t xml:space="preserve">JSZC-320000-SCZX-G(C</w:t>
      </w:r>
      <w:r>
        <w:rPr>
          <w:rFonts w:ascii="FangSong" w:hAnsi="FangSong" w:eastAsia="FangSong" w:cs="FangSong"/>
          <w:color w:val="000000"/>
          <w:sz w:val="28"/>
          <w:highlight w:val="white"/>
        </w:rPr>
        <w:t xml:space="preserve">、</w:t>
      </w:r>
      <w:r>
        <w:rPr>
          <w:rFonts w:ascii="Times New Roman" w:hAnsi="Times New Roman" w:eastAsia="Times New Roman" w:cs="Times New Roman"/>
          <w:color w:val="000000"/>
          <w:sz w:val="28"/>
          <w:highlight w:val="white"/>
        </w:rPr>
        <w:t xml:space="preserve">T</w:t>
      </w:r>
      <w:r>
        <w:rPr>
          <w:rFonts w:ascii="FangSong" w:hAnsi="FangSong" w:eastAsia="FangSong" w:cs="FangSong"/>
          <w:color w:val="000000"/>
          <w:sz w:val="28"/>
          <w:highlight w:val="white"/>
        </w:rPr>
        <w:t xml:space="preserve">、</w:t>
      </w:r>
      <w:r>
        <w:rPr>
          <w:rFonts w:ascii="Times New Roman" w:hAnsi="Times New Roman" w:eastAsia="Times New Roman" w:cs="Times New Roman"/>
          <w:color w:val="000000"/>
          <w:sz w:val="28"/>
          <w:highlight w:val="white"/>
        </w:rPr>
        <w:t xml:space="preserve">K)20XX-XXXX</w:t>
      </w:r>
      <w:r>
        <w:rPr>
          <w:rFonts w:ascii="FangSong" w:hAnsi="FangSong" w:eastAsia="FangSong" w:cs="FangSong"/>
          <w:color w:val="000000"/>
          <w:sz w:val="28"/>
          <w:highlight w:val="white"/>
        </w:rPr>
        <w:t xml:space="preserve">,XXXX(项目名称</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采购包号</w:t>
      </w:r>
      <w:r>
        <w:rPr>
          <w:rFonts w:ascii="Times New Roman" w:hAnsi="Times New Roman" w:eastAsia="Times New Roman" w:cs="Times New Roman"/>
          <w:color w:val="000000"/>
          <w:sz w:val="28"/>
          <w:highlight w:val="white"/>
        </w:rPr>
        <w:t xml:space="preserve">:XX)</w:t>
      </w:r>
      <w:r>
        <w:rPr>
          <w:rFonts w:ascii="FangSong" w:hAnsi="FangSong" w:eastAsia="FangSong" w:cs="FangSong"/>
          <w:color w:val="000000"/>
          <w:sz w:val="28"/>
          <w:highlight w:val="white"/>
        </w:rPr>
        <w:t xml:space="preserve">项目采购活动，根据《政府采购促进中小企业发展管理办法》第四条规定，本企业</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本联合体，如项目采购包接受联合体参加的</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郑重声明</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如服务由本企业</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本联合体，如项目采购包接受联合体参加的</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承接，为本项目采购包提供服务的人员均为依照《中华人民共和国劳动合同法》订立劳动合同的从业人员。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本企业(联合体</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对上述声明的真实性负责。如有虚假，将依法承担相应责任。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注:专门面向中小微型企业采购的采购项目采购包，投标人</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供应商</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未提供该书面声明的，投标</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响应</w:t>
      </w:r>
      <w:r>
        <w:rPr>
          <w:rFonts w:ascii="Times New Roman" w:hAnsi="Times New Roman" w:eastAsia="Times New Roman" w:cs="Times New Roman"/>
          <w:color w:val="000000"/>
          <w:sz w:val="28"/>
          <w:highlight w:val="white"/>
        </w:rPr>
        <w:t xml:space="preserve">)</w:t>
      </w:r>
      <w:r>
        <w:rPr>
          <w:rFonts w:ascii="FangSong" w:hAnsi="FangSong" w:eastAsia="FangSong" w:cs="FangSong"/>
          <w:color w:val="000000"/>
          <w:sz w:val="28"/>
          <w:highlight w:val="white"/>
        </w:rPr>
        <w:t xml:space="preserve">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质疑函范本</w:t>
      </w:r>
      <w:r/>
    </w:p>
    <w:p>
      <w:pPr>
        <w:ind w:left="0" w:right="0" w:firstLine="0"/>
        <w:jc w:val="both"/>
        <w:spacing w:before="312"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一、质疑供应商基本信息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质疑供应商：</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邮编：</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联系电话：</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邮编：</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二、质疑项目基本情况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质疑项目的名称：</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质疑项目的编号：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包号：</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采购人名称：</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采购文件获取日期：</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三、质疑事项具体内容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事实依据：</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法律依据：</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w:t>
      </w:r>
      <w:r>
        <w:rPr>
          <w:rFonts w:ascii="Times New Roman" w:hAnsi="Times New Roman" w:eastAsia="Times New Roman" w:cs="Times New Roman"/>
          <w:color w:val="000000"/>
          <w:sz w:val="28"/>
        </w:rPr>
        <w:t xml:space="preserve">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四、与质疑事项相关的质疑请求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请求：</w:t>
      </w:r>
      <w:r>
        <w:rPr>
          <w:rFonts w:ascii="Times New Roman" w:hAnsi="Times New Roman" w:eastAsia="Times New Roman" w:cs="Times New Roman"/>
          <w:color w:val="000000"/>
          <w:sz w:val="28"/>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签章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公章：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质疑函制作说明：</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供应商提出质疑时，应提交质疑函和必要的证明材料。</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质疑供应商若委托代理人进行质疑的，质疑函应按要求列明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授权代表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的有关内容，并在附件中提交由质疑供应商签署的授权委托书。授权委托书应载明代理人的姓名或者名称、代理事项、具体权限、期限和相关事项。</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质疑供应商若对项目的某一采购包进行质疑，质疑函中应列明具体采购包号。</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质疑函的质疑事项应具体、明确，并有必要的事实依据和法律依据。</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质疑函的质疑请求应与质疑事项相关。</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质疑供应商为自然人的，质疑函应由本人签字；质疑供应商为法人或者其他组织的，质疑函应由法定代表人、主要负责人，或者其授权代表签字或者盖章，并加盖公章。</w:t>
      </w:r>
      <w:r/>
    </w:p>
    <w:p>
      <w:r/>
      <w:r/>
    </w:p>
    <w:sectPr>
      <w:headerReference w:type="default" r:id="rId9"/>
      <w:footerReference w:type="default" r:id="rId10"/>
      <w:footnotePr/>
      <w:endnotePr/>
      <w:type w:val="nextPage"/>
      <w:pgSz w:w="11906" w:h="16838" w:orient="portrait"/>
      <w:pgMar w:top="1440" w:right="1746" w:bottom="1440" w:left="174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Tahoma">
    <w:panose1 w:val="020B0604030504040204"/>
  </w:font>
  <w:font w:name="方正黑体_GBK">
    <w:panose1 w:val="020B0503020202020204"/>
  </w:font>
  <w:font w:name="华文楷体">
    <w:panose1 w:val="02010600040101010101"/>
  </w:font>
  <w:font w:name="Wingdings">
    <w:panose1 w:val="050000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65</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44"/>
                          </w:pPr>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65</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44"/>
                    </w:pPr>
                    <w:r/>
                    <w:r/>
                  </w:p>
                  <w:p>
                    <w:pPr>
                      <w:pStyle w:val="744"/>
                    </w:pPr>
                    <w:r/>
                    <w:r/>
                  </w:p>
                </w:txbxContent>
              </v:textbox>
            </v:shape>
          </w:pict>
        </mc:Fallback>
      </mc:AlternateContent>
    </w:r>
    <w:r>
      <w:rPr>
        <w:b/>
        <w:i/>
        <w:sz w:val="20"/>
      </w:rPr>
      <w:t xml:space="preserve"> </w: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50"/>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1"/>
      <w:numFmt w:val="decimal"/>
      <w:pStyle w:val="848"/>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750"/>
      <w:isLgl w:val="false"/>
      <w:suff w:val="nothing"/>
      <w:lvlText w:val=""/>
      <w:lvlJc w:val="left"/>
      <w:pPr>
        <w:pStyle w:val="744"/>
        <w:ind w:left="0" w:firstLine="0"/>
      </w:pPr>
      <w:rPr>
        <w:rFonts w:hint="eastAsia"/>
      </w:rPr>
    </w:lvl>
    <w:lvl w:ilvl="6">
      <w:start w:val="1"/>
      <w:numFmt w:val="decimal"/>
      <w:pStyle w:val="751"/>
      <w:isLgl w:val="false"/>
      <w:suff w:val="nothing"/>
      <w:lvlText w:val=""/>
      <w:lvlJc w:val="left"/>
      <w:pPr>
        <w:pStyle w:val="744"/>
        <w:ind w:left="0" w:firstLine="0"/>
      </w:pPr>
      <w:rPr>
        <w:rFonts w:hint="eastAsia"/>
      </w:rPr>
    </w:lvl>
    <w:lvl w:ilvl="7">
      <w:start w:val="1"/>
      <w:numFmt w:val="decimal"/>
      <w:pStyle w:val="752"/>
      <w:isLgl w:val="false"/>
      <w:suff w:val="nothing"/>
      <w:lvlText w:val=""/>
      <w:lvlJc w:val="left"/>
      <w:pPr>
        <w:pStyle w:val="744"/>
        <w:ind w:left="0" w:firstLine="0"/>
      </w:pPr>
      <w:rPr>
        <w:rFonts w:hint="eastAsia"/>
      </w:rPr>
    </w:lvl>
    <w:lvl w:ilvl="8">
      <w:start w:val="1"/>
      <w:numFmt w:val="decimal"/>
      <w:pStyle w:val="753"/>
      <w:isLgl w:val="false"/>
      <w:suff w:val="nothing"/>
      <w:lvlText w:val=""/>
      <w:lvlJc w:val="left"/>
      <w:pPr>
        <w:pStyle w:val="744"/>
        <w:ind w:left="0" w:firstLine="0"/>
      </w:pPr>
      <w:rPr>
        <w:rFonts w:hint="eastAsia"/>
      </w:rPr>
    </w:lvl>
  </w:abstractNum>
  <w:abstractNum w:abstractNumId="3">
    <w:multiLevelType w:val="hybridMultilevel"/>
    <w:lvl w:ilvl="0">
      <w:start w:val="1"/>
      <w:numFmt w:val="bullet"/>
      <w:isLgl w:val="false"/>
      <w:suff w:val="tab"/>
      <w:lvlText w:val=""/>
      <w:lvlJc w:val="left"/>
      <w:pPr>
        <w:pStyle w:val="744"/>
        <w:ind w:left="920" w:hanging="440"/>
      </w:pPr>
      <w:rPr>
        <w:rFonts w:ascii="Wingdings" w:hAnsi="Wingdings"/>
      </w:rPr>
    </w:lvl>
    <w:lvl w:ilvl="1">
      <w:start w:val="1"/>
      <w:numFmt w:val="bullet"/>
      <w:isLgl w:val="false"/>
      <w:suff w:val="tab"/>
      <w:lvlText w:val=""/>
      <w:lvlJc w:val="left"/>
      <w:pPr>
        <w:pStyle w:val="744"/>
        <w:ind w:left="1360" w:hanging="440"/>
      </w:pPr>
      <w:rPr>
        <w:rFonts w:ascii="Wingdings" w:hAnsi="Wingdings"/>
      </w:rPr>
    </w:lvl>
    <w:lvl w:ilvl="2">
      <w:start w:val="1"/>
      <w:numFmt w:val="bullet"/>
      <w:isLgl w:val="false"/>
      <w:suff w:val="tab"/>
      <w:lvlText w:val=""/>
      <w:lvlJc w:val="left"/>
      <w:pPr>
        <w:pStyle w:val="744"/>
        <w:ind w:left="1800" w:hanging="440"/>
      </w:pPr>
      <w:rPr>
        <w:rFonts w:ascii="Wingdings" w:hAnsi="Wingdings"/>
      </w:rPr>
    </w:lvl>
    <w:lvl w:ilvl="3">
      <w:start w:val="1"/>
      <w:numFmt w:val="bullet"/>
      <w:isLgl w:val="false"/>
      <w:suff w:val="tab"/>
      <w:lvlText w:val=""/>
      <w:lvlJc w:val="left"/>
      <w:pPr>
        <w:pStyle w:val="744"/>
        <w:ind w:left="2240" w:hanging="440"/>
      </w:pPr>
      <w:rPr>
        <w:rFonts w:ascii="Wingdings" w:hAnsi="Wingdings"/>
      </w:rPr>
    </w:lvl>
    <w:lvl w:ilvl="4">
      <w:start w:val="1"/>
      <w:numFmt w:val="bullet"/>
      <w:isLgl w:val="false"/>
      <w:suff w:val="tab"/>
      <w:lvlText w:val=""/>
      <w:lvlJc w:val="left"/>
      <w:pPr>
        <w:pStyle w:val="744"/>
        <w:ind w:left="2680" w:hanging="440"/>
      </w:pPr>
      <w:rPr>
        <w:rFonts w:ascii="Wingdings" w:hAnsi="Wingdings"/>
      </w:rPr>
    </w:lvl>
    <w:lvl w:ilvl="5">
      <w:start w:val="1"/>
      <w:numFmt w:val="bullet"/>
      <w:isLgl w:val="false"/>
      <w:suff w:val="tab"/>
      <w:lvlText w:val=""/>
      <w:lvlJc w:val="left"/>
      <w:pPr>
        <w:pStyle w:val="744"/>
        <w:ind w:left="3120" w:hanging="440"/>
      </w:pPr>
      <w:rPr>
        <w:rFonts w:ascii="Wingdings" w:hAnsi="Wingdings"/>
      </w:rPr>
    </w:lvl>
    <w:lvl w:ilvl="6">
      <w:start w:val="1"/>
      <w:numFmt w:val="bullet"/>
      <w:isLgl w:val="false"/>
      <w:suff w:val="tab"/>
      <w:lvlText w:val=""/>
      <w:lvlJc w:val="left"/>
      <w:pPr>
        <w:pStyle w:val="744"/>
        <w:ind w:left="3560" w:hanging="440"/>
      </w:pPr>
      <w:rPr>
        <w:rFonts w:ascii="Wingdings" w:hAnsi="Wingdings"/>
      </w:rPr>
    </w:lvl>
    <w:lvl w:ilvl="7">
      <w:start w:val="1"/>
      <w:numFmt w:val="bullet"/>
      <w:isLgl w:val="false"/>
      <w:suff w:val="tab"/>
      <w:lvlText w:val=""/>
      <w:lvlJc w:val="left"/>
      <w:pPr>
        <w:pStyle w:val="744"/>
        <w:ind w:left="4000" w:hanging="440"/>
      </w:pPr>
      <w:rPr>
        <w:rFonts w:ascii="Wingdings" w:hAnsi="Wingdings"/>
      </w:rPr>
    </w:lvl>
    <w:lvl w:ilvl="8">
      <w:start w:val="1"/>
      <w:numFmt w:val="bullet"/>
      <w:isLgl w:val="false"/>
      <w:suff w:val="tab"/>
      <w:lvlText w:val=""/>
      <w:lvlJc w:val="left"/>
      <w:pPr>
        <w:pStyle w:val="744"/>
        <w:ind w:left="4440" w:hanging="440"/>
      </w:pPr>
      <w:rPr>
        <w:rFonts w:ascii="Wingdings" w:hAnsi="Wingdings"/>
      </w:rPr>
    </w:lvl>
  </w:abstractNum>
  <w:abstractNum w:abstractNumId="4">
    <w:multiLevelType w:val="hybridMultilevel"/>
    <w:lvl w:ilvl="0">
      <w:start w:val="1"/>
      <w:numFmt w:val="bullet"/>
      <w:isLgl w:val="false"/>
      <w:suff w:val="tab"/>
      <w:lvlText w:val="&quot;&quot;"/>
      <w:lvlJc w:val="left"/>
      <w:pPr>
        <w:ind w:left="920" w:hanging="440"/>
      </w:pPr>
      <w:rPr>
        <w:rFonts w:hint="default" w:ascii="Wingdings" w:hAnsi="Wingdings" w:eastAsia="Wingdings" w:cs="Wingdings"/>
      </w:rPr>
    </w:lvl>
    <w:lvl w:ilvl="1">
      <w:start w:val="1"/>
      <w:numFmt w:val="bullet"/>
      <w:isLgl w:val="false"/>
      <w:suff w:val="tab"/>
      <w:lvlText w:val="&quot;&quot;"/>
      <w:lvlJc w:val="left"/>
      <w:pPr>
        <w:ind w:left="1360" w:hanging="440"/>
      </w:pPr>
      <w:rPr>
        <w:rFonts w:hint="default" w:ascii="Wingdings" w:hAnsi="Wingdings" w:eastAsia="Wingdings" w:cs="Wingdings"/>
      </w:rPr>
    </w:lvl>
    <w:lvl w:ilvl="2">
      <w:start w:val="1"/>
      <w:numFmt w:val="bullet"/>
      <w:isLgl w:val="false"/>
      <w:suff w:val="tab"/>
      <w:lvlText w:val="&quot;&quot;"/>
      <w:lvlJc w:val="left"/>
      <w:pPr>
        <w:ind w:left="1800" w:hanging="440"/>
      </w:pPr>
      <w:rPr>
        <w:rFonts w:hint="default" w:ascii="Wingdings" w:hAnsi="Wingdings" w:eastAsia="Wingdings" w:cs="Wingdings"/>
      </w:rPr>
    </w:lvl>
    <w:lvl w:ilvl="3">
      <w:start w:val="1"/>
      <w:numFmt w:val="bullet"/>
      <w:isLgl w:val="false"/>
      <w:suff w:val="tab"/>
      <w:lvlText w:val="&quot;&quot;"/>
      <w:lvlJc w:val="left"/>
      <w:pPr>
        <w:ind w:left="2240" w:hanging="440"/>
      </w:pPr>
      <w:rPr>
        <w:rFonts w:hint="default" w:ascii="Wingdings" w:hAnsi="Wingdings" w:eastAsia="Wingdings" w:cs="Wingdings"/>
      </w:rPr>
    </w:lvl>
    <w:lvl w:ilvl="4">
      <w:start w:val="1"/>
      <w:numFmt w:val="bullet"/>
      <w:isLgl w:val="false"/>
      <w:suff w:val="tab"/>
      <w:lvlText w:val="&quot;&quot;"/>
      <w:lvlJc w:val="left"/>
      <w:pPr>
        <w:ind w:left="2680" w:hanging="440"/>
      </w:pPr>
      <w:rPr>
        <w:rFonts w:hint="default" w:ascii="Wingdings" w:hAnsi="Wingdings" w:eastAsia="Wingdings" w:cs="Wingdings"/>
      </w:rPr>
    </w:lvl>
    <w:lvl w:ilvl="5">
      <w:start w:val="1"/>
      <w:numFmt w:val="bullet"/>
      <w:isLgl w:val="false"/>
      <w:suff w:val="tab"/>
      <w:lvlText w:val="&quot;&quot;"/>
      <w:lvlJc w:val="left"/>
      <w:pPr>
        <w:ind w:left="3120" w:hanging="440"/>
      </w:pPr>
      <w:rPr>
        <w:rFonts w:hint="default" w:ascii="Wingdings" w:hAnsi="Wingdings" w:eastAsia="Wingdings" w:cs="Wingdings"/>
      </w:rPr>
    </w:lvl>
    <w:lvl w:ilvl="6">
      <w:start w:val="1"/>
      <w:numFmt w:val="bullet"/>
      <w:isLgl w:val="false"/>
      <w:suff w:val="tab"/>
      <w:lvlText w:val="&quot;&quot;"/>
      <w:lvlJc w:val="left"/>
      <w:pPr>
        <w:ind w:left="3560" w:hanging="440"/>
      </w:pPr>
      <w:rPr>
        <w:rFonts w:hint="default" w:ascii="Wingdings" w:hAnsi="Wingdings" w:eastAsia="Wingdings" w:cs="Wingdings"/>
      </w:rPr>
    </w:lvl>
    <w:lvl w:ilvl="7">
      <w:start w:val="1"/>
      <w:numFmt w:val="bullet"/>
      <w:isLgl w:val="false"/>
      <w:suff w:val="tab"/>
      <w:lvlText w:val="&quot;&quot;"/>
      <w:lvlJc w:val="left"/>
      <w:pPr>
        <w:ind w:left="4000" w:hanging="440"/>
      </w:pPr>
      <w:rPr>
        <w:rFonts w:hint="default" w:ascii="Wingdings" w:hAnsi="Wingdings" w:eastAsia="Wingdings" w:cs="Wingdings"/>
      </w:rPr>
    </w:lvl>
    <w:lvl w:ilvl="8">
      <w:start w:val="1"/>
      <w:numFmt w:val="bullet"/>
      <w:isLgl w:val="false"/>
      <w:suff w:val="tab"/>
      <w:lvlText w:val="&quot;&quot;"/>
      <w:lvlJc w:val="left"/>
      <w:pPr>
        <w:ind w:left="4440" w:hanging="440"/>
      </w:pPr>
      <w:rPr>
        <w:rFonts w:hint="default" w:ascii="Wingdings" w:hAnsi="Wingdings" w:eastAsia="Wingdings" w:cs="Wingdings"/>
      </w:rPr>
    </w:lvl>
  </w:abstractNum>
  <w:abstractNum w:abstractNumId="5">
    <w:multiLevelType w:val="hybridMultilevel"/>
    <w:lvl w:ilvl="0">
      <w:start w:val="1"/>
      <w:numFmt w:val="bullet"/>
      <w:isLgl w:val="false"/>
      <w:suff w:val="tab"/>
      <w:lvlText w:val="&quot;&quot;"/>
      <w:lvlJc w:val="left"/>
      <w:pPr>
        <w:ind w:left="920" w:hanging="440"/>
      </w:pPr>
      <w:rPr>
        <w:rFonts w:hint="default" w:ascii="Wingdings" w:hAnsi="Wingdings" w:eastAsia="Wingdings" w:cs="Wingdings"/>
      </w:rPr>
    </w:lvl>
    <w:lvl w:ilvl="1">
      <w:start w:val="1"/>
      <w:numFmt w:val="bullet"/>
      <w:isLgl w:val="false"/>
      <w:suff w:val="tab"/>
      <w:lvlText w:val="&quot;&quot;"/>
      <w:lvlJc w:val="left"/>
      <w:pPr>
        <w:ind w:left="1360" w:hanging="440"/>
      </w:pPr>
      <w:rPr>
        <w:rFonts w:hint="default" w:ascii="Wingdings" w:hAnsi="Wingdings" w:eastAsia="Wingdings" w:cs="Wingdings"/>
      </w:rPr>
    </w:lvl>
    <w:lvl w:ilvl="2">
      <w:start w:val="1"/>
      <w:numFmt w:val="bullet"/>
      <w:isLgl w:val="false"/>
      <w:suff w:val="tab"/>
      <w:lvlText w:val="&quot;&quot;"/>
      <w:lvlJc w:val="left"/>
      <w:pPr>
        <w:ind w:left="1800" w:hanging="440"/>
      </w:pPr>
      <w:rPr>
        <w:rFonts w:hint="default" w:ascii="Wingdings" w:hAnsi="Wingdings" w:eastAsia="Wingdings" w:cs="Wingdings"/>
      </w:rPr>
    </w:lvl>
    <w:lvl w:ilvl="3">
      <w:start w:val="1"/>
      <w:numFmt w:val="bullet"/>
      <w:isLgl w:val="false"/>
      <w:suff w:val="tab"/>
      <w:lvlText w:val="&quot;&quot;"/>
      <w:lvlJc w:val="left"/>
      <w:pPr>
        <w:ind w:left="2240" w:hanging="440"/>
      </w:pPr>
      <w:rPr>
        <w:rFonts w:hint="default" w:ascii="Wingdings" w:hAnsi="Wingdings" w:eastAsia="Wingdings" w:cs="Wingdings"/>
      </w:rPr>
    </w:lvl>
    <w:lvl w:ilvl="4">
      <w:start w:val="1"/>
      <w:numFmt w:val="bullet"/>
      <w:isLgl w:val="false"/>
      <w:suff w:val="tab"/>
      <w:lvlText w:val="&quot;&quot;"/>
      <w:lvlJc w:val="left"/>
      <w:pPr>
        <w:ind w:left="2680" w:hanging="440"/>
      </w:pPr>
      <w:rPr>
        <w:rFonts w:hint="default" w:ascii="Wingdings" w:hAnsi="Wingdings" w:eastAsia="Wingdings" w:cs="Wingdings"/>
      </w:rPr>
    </w:lvl>
    <w:lvl w:ilvl="5">
      <w:start w:val="1"/>
      <w:numFmt w:val="bullet"/>
      <w:isLgl w:val="false"/>
      <w:suff w:val="tab"/>
      <w:lvlText w:val="&quot;&quot;"/>
      <w:lvlJc w:val="left"/>
      <w:pPr>
        <w:ind w:left="3120" w:hanging="440"/>
      </w:pPr>
      <w:rPr>
        <w:rFonts w:hint="default" w:ascii="Wingdings" w:hAnsi="Wingdings" w:eastAsia="Wingdings" w:cs="Wingdings"/>
      </w:rPr>
    </w:lvl>
    <w:lvl w:ilvl="6">
      <w:start w:val="1"/>
      <w:numFmt w:val="bullet"/>
      <w:isLgl w:val="false"/>
      <w:suff w:val="tab"/>
      <w:lvlText w:val="&quot;&quot;"/>
      <w:lvlJc w:val="left"/>
      <w:pPr>
        <w:ind w:left="3560" w:hanging="440"/>
      </w:pPr>
      <w:rPr>
        <w:rFonts w:hint="default" w:ascii="Wingdings" w:hAnsi="Wingdings" w:eastAsia="Wingdings" w:cs="Wingdings"/>
      </w:rPr>
    </w:lvl>
    <w:lvl w:ilvl="7">
      <w:start w:val="1"/>
      <w:numFmt w:val="bullet"/>
      <w:isLgl w:val="false"/>
      <w:suff w:val="tab"/>
      <w:lvlText w:val="&quot;&quot;"/>
      <w:lvlJc w:val="left"/>
      <w:pPr>
        <w:ind w:left="4000" w:hanging="440"/>
      </w:pPr>
      <w:rPr>
        <w:rFonts w:hint="default" w:ascii="Wingdings" w:hAnsi="Wingdings" w:eastAsia="Wingdings" w:cs="Wingdings"/>
      </w:rPr>
    </w:lvl>
    <w:lvl w:ilvl="8">
      <w:start w:val="1"/>
      <w:numFmt w:val="bullet"/>
      <w:isLgl w:val="false"/>
      <w:suff w:val="tab"/>
      <w:lvlText w:val="&quot;&quot;"/>
      <w:lvlJc w:val="left"/>
      <w:pPr>
        <w:ind w:left="4440" w:hanging="44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744"/>
    <w:next w:val="744"/>
    <w:link w:val="799"/>
    <w:uiPriority w:val="9"/>
    <w:qFormat/>
    <w:pPr>
      <w:keepLines/>
      <w:keepNext/>
      <w:spacing w:before="480" w:after="200"/>
      <w:outlineLvl w:val="0"/>
    </w:pPr>
    <w:rPr>
      <w:rFonts w:ascii="Arial" w:hAnsi="Arial" w:eastAsia="Arial" w:cs="Arial"/>
      <w:sz w:val="40"/>
      <w:szCs w:val="40"/>
    </w:rPr>
  </w:style>
  <w:style w:type="paragraph" w:styleId="704">
    <w:name w:val="Heading 2"/>
    <w:basedOn w:val="744"/>
    <w:next w:val="744"/>
    <w:link w:val="783"/>
    <w:uiPriority w:val="9"/>
    <w:unhideWhenUsed/>
    <w:qFormat/>
    <w:pPr>
      <w:keepLines/>
      <w:keepNext/>
      <w:spacing w:before="360" w:after="200"/>
      <w:outlineLvl w:val="1"/>
    </w:pPr>
    <w:rPr>
      <w:rFonts w:ascii="Arial" w:hAnsi="Arial" w:eastAsia="Arial" w:cs="Arial"/>
      <w:sz w:val="34"/>
    </w:rPr>
  </w:style>
  <w:style w:type="paragraph" w:styleId="705">
    <w:name w:val="Heading 3"/>
    <w:basedOn w:val="744"/>
    <w:next w:val="744"/>
    <w:link w:val="792"/>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44"/>
    <w:next w:val="744"/>
    <w:link w:val="77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44"/>
    <w:next w:val="744"/>
    <w:link w:val="791"/>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44"/>
    <w:next w:val="744"/>
    <w:link w:val="807"/>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44"/>
    <w:next w:val="744"/>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44"/>
    <w:next w:val="744"/>
    <w:link w:val="777"/>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44"/>
    <w:next w:val="744"/>
    <w:link w:val="812"/>
    <w:uiPriority w:val="9"/>
    <w:unhideWhenUsed/>
    <w:qFormat/>
    <w:pPr>
      <w:keepLines/>
      <w:keepNext/>
      <w:spacing w:before="320" w:after="200"/>
      <w:outlineLvl w:val="8"/>
    </w:pPr>
    <w:rPr>
      <w:rFonts w:ascii="Arial" w:hAnsi="Arial" w:eastAsia="Arial" w:cs="Arial"/>
      <w:i/>
      <w:iCs/>
      <w:sz w:val="21"/>
      <w:szCs w:val="21"/>
    </w:rPr>
  </w:style>
  <w:style w:type="paragraph" w:styleId="712">
    <w:name w:val="List Paragraph"/>
    <w:basedOn w:val="744"/>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744"/>
    <w:next w:val="744"/>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744"/>
    <w:next w:val="744"/>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744"/>
    <w:next w:val="744"/>
    <w:link w:val="719"/>
    <w:uiPriority w:val="29"/>
    <w:qFormat/>
    <w:pPr>
      <w:ind w:left="720" w:right="720"/>
    </w:pPr>
    <w:rPr>
      <w:i/>
    </w:rPr>
  </w:style>
  <w:style w:type="character" w:styleId="719">
    <w:name w:val="Quote Char"/>
    <w:link w:val="718"/>
    <w:uiPriority w:val="29"/>
    <w:rPr>
      <w:i/>
    </w:rPr>
  </w:style>
  <w:style w:type="paragraph" w:styleId="720">
    <w:name w:val="Intense Quote"/>
    <w:basedOn w:val="744"/>
    <w:next w:val="744"/>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744"/>
    <w:link w:val="789"/>
    <w:uiPriority w:val="99"/>
    <w:unhideWhenUsed/>
    <w:pPr>
      <w:spacing w:after="0" w:line="240" w:lineRule="auto"/>
      <w:tabs>
        <w:tab w:val="center" w:pos="7143" w:leader="none"/>
        <w:tab w:val="right" w:pos="14287" w:leader="none"/>
      </w:tabs>
    </w:pPr>
  </w:style>
  <w:style w:type="paragraph" w:styleId="723">
    <w:name w:val="Footer"/>
    <w:basedOn w:val="744"/>
    <w:link w:val="771"/>
    <w:uiPriority w:val="99"/>
    <w:unhideWhenUsed/>
    <w:pPr>
      <w:spacing w:after="0" w:line="240" w:lineRule="auto"/>
      <w:tabs>
        <w:tab w:val="center" w:pos="7143" w:leader="none"/>
        <w:tab w:val="right" w:pos="14287" w:leader="none"/>
      </w:tabs>
    </w:pPr>
  </w:style>
  <w:style w:type="paragraph" w:styleId="724">
    <w:name w:val="Caption"/>
    <w:basedOn w:val="744"/>
    <w:next w:val="744"/>
    <w:uiPriority w:val="35"/>
    <w:semiHidden/>
    <w:unhideWhenUsed/>
    <w:qFormat/>
    <w:pPr>
      <w:spacing w:line="276" w:lineRule="auto"/>
    </w:pPr>
    <w:rPr>
      <w:b/>
      <w:bCs/>
      <w:color w:val="4f81bd" w:themeColor="accent1"/>
      <w:sz w:val="18"/>
      <w:szCs w:val="18"/>
    </w:rPr>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Hyperlink"/>
    <w:uiPriority w:val="99"/>
    <w:unhideWhenUsed/>
    <w:rPr>
      <w:color w:val="0000ff" w:themeColor="hyperlink"/>
      <w:u w:val="single"/>
    </w:rPr>
  </w:style>
  <w:style w:type="paragraph" w:styleId="727">
    <w:name w:val="footnote text"/>
    <w:basedOn w:val="744"/>
    <w:link w:val="728"/>
    <w:uiPriority w:val="99"/>
    <w:semiHidden/>
    <w:unhideWhenUsed/>
    <w:pPr>
      <w:spacing w:after="40" w:line="240" w:lineRule="auto"/>
    </w:pPr>
    <w:rPr>
      <w:sz w:val="18"/>
    </w:rPr>
  </w:style>
  <w:style w:type="character" w:styleId="728">
    <w:name w:val="Footnote Text Char"/>
    <w:link w:val="727"/>
    <w:uiPriority w:val="99"/>
    <w:rPr>
      <w:sz w:val="18"/>
    </w:rPr>
  </w:style>
  <w:style w:type="character" w:styleId="729">
    <w:name w:val="footnote reference"/>
    <w:uiPriority w:val="99"/>
    <w:unhideWhenUsed/>
    <w:rPr>
      <w:vertAlign w:val="superscript"/>
    </w:rPr>
  </w:style>
  <w:style w:type="paragraph" w:styleId="730">
    <w:name w:val="endnote text"/>
    <w:basedOn w:val="744"/>
    <w:link w:val="731"/>
    <w:uiPriority w:val="99"/>
    <w:semiHidden/>
    <w:unhideWhenUsed/>
    <w:pPr>
      <w:spacing w:after="0" w:line="240" w:lineRule="auto"/>
    </w:pPr>
    <w:rPr>
      <w:sz w:val="20"/>
    </w:rPr>
  </w:style>
  <w:style w:type="character" w:styleId="731">
    <w:name w:val="Endnote Text Char"/>
    <w:link w:val="730"/>
    <w:uiPriority w:val="99"/>
    <w:rPr>
      <w:sz w:val="20"/>
    </w:rPr>
  </w:style>
  <w:style w:type="character" w:styleId="732">
    <w:name w:val="endnote reference"/>
    <w:uiPriority w:val="99"/>
    <w:semiHidden/>
    <w:unhideWhenUsed/>
    <w:rPr>
      <w:vertAlign w:val="superscript"/>
    </w:rPr>
  </w:style>
  <w:style w:type="paragraph" w:styleId="733">
    <w:name w:val="toc 1"/>
    <w:basedOn w:val="744"/>
    <w:next w:val="744"/>
    <w:uiPriority w:val="39"/>
    <w:unhideWhenUsed/>
    <w:pPr>
      <w:ind w:left="0" w:right="0" w:firstLine="0"/>
      <w:spacing w:after="57"/>
    </w:pPr>
  </w:style>
  <w:style w:type="paragraph" w:styleId="734">
    <w:name w:val="toc 2"/>
    <w:basedOn w:val="744"/>
    <w:next w:val="744"/>
    <w:uiPriority w:val="39"/>
    <w:unhideWhenUsed/>
    <w:pPr>
      <w:ind w:left="283" w:right="0" w:firstLine="0"/>
      <w:spacing w:after="57"/>
    </w:pPr>
  </w:style>
  <w:style w:type="paragraph" w:styleId="735">
    <w:name w:val="toc 3"/>
    <w:basedOn w:val="744"/>
    <w:next w:val="744"/>
    <w:uiPriority w:val="39"/>
    <w:unhideWhenUsed/>
    <w:pPr>
      <w:ind w:left="567" w:right="0" w:firstLine="0"/>
      <w:spacing w:after="57"/>
    </w:pPr>
  </w:style>
  <w:style w:type="paragraph" w:styleId="736">
    <w:name w:val="toc 4"/>
    <w:basedOn w:val="744"/>
    <w:next w:val="744"/>
    <w:uiPriority w:val="39"/>
    <w:unhideWhenUsed/>
    <w:pPr>
      <w:ind w:left="850" w:right="0" w:firstLine="0"/>
      <w:spacing w:after="57"/>
    </w:pPr>
  </w:style>
  <w:style w:type="paragraph" w:styleId="737">
    <w:name w:val="toc 5"/>
    <w:basedOn w:val="744"/>
    <w:next w:val="744"/>
    <w:uiPriority w:val="39"/>
    <w:unhideWhenUsed/>
    <w:pPr>
      <w:ind w:left="1134" w:right="0" w:firstLine="0"/>
      <w:spacing w:after="57"/>
    </w:pPr>
  </w:style>
  <w:style w:type="paragraph" w:styleId="738">
    <w:name w:val="toc 6"/>
    <w:basedOn w:val="744"/>
    <w:next w:val="744"/>
    <w:uiPriority w:val="39"/>
    <w:unhideWhenUsed/>
    <w:pPr>
      <w:ind w:left="1417" w:right="0" w:firstLine="0"/>
      <w:spacing w:after="57"/>
    </w:pPr>
  </w:style>
  <w:style w:type="paragraph" w:styleId="739">
    <w:name w:val="toc 7"/>
    <w:basedOn w:val="744"/>
    <w:next w:val="744"/>
    <w:uiPriority w:val="39"/>
    <w:unhideWhenUsed/>
    <w:pPr>
      <w:ind w:left="1701" w:right="0" w:firstLine="0"/>
      <w:spacing w:after="57"/>
    </w:pPr>
  </w:style>
  <w:style w:type="paragraph" w:styleId="740">
    <w:name w:val="toc 8"/>
    <w:basedOn w:val="744"/>
    <w:next w:val="744"/>
    <w:uiPriority w:val="39"/>
    <w:unhideWhenUsed/>
    <w:pPr>
      <w:ind w:left="1984" w:right="0" w:firstLine="0"/>
      <w:spacing w:after="57"/>
    </w:pPr>
  </w:style>
  <w:style w:type="paragraph" w:styleId="741">
    <w:name w:val="toc 9"/>
    <w:basedOn w:val="744"/>
    <w:next w:val="744"/>
    <w:uiPriority w:val="39"/>
    <w:unhideWhenUsed/>
    <w:pPr>
      <w:ind w:left="2268" w:right="0" w:firstLine="0"/>
      <w:spacing w:after="57"/>
    </w:pPr>
  </w:style>
  <w:style w:type="paragraph" w:styleId="742">
    <w:name w:val="TOC Heading"/>
    <w:uiPriority w:val="39"/>
    <w:unhideWhenUsed/>
  </w:style>
  <w:style w:type="paragraph" w:styleId="743">
    <w:name w:val="table of figures"/>
    <w:basedOn w:val="744"/>
    <w:next w:val="744"/>
    <w:uiPriority w:val="99"/>
    <w:unhideWhenUsed/>
    <w:pPr>
      <w:spacing w:after="0" w:afterAutospacing="0"/>
    </w:pPr>
  </w:style>
  <w:style w:type="paragraph" w:styleId="744" w:default="1">
    <w:name w:val="Normal"/>
    <w:next w:val="856"/>
    <w:link w:val="744"/>
    <w:qFormat/>
    <w:pPr>
      <w:jc w:val="both"/>
      <w:widowControl w:val="off"/>
    </w:pPr>
    <w:rPr>
      <w:sz w:val="21"/>
      <w:szCs w:val="22"/>
      <w:lang w:val="en-US" w:eastAsia="zh-CN" w:bidi="ar-SA"/>
    </w:rPr>
  </w:style>
  <w:style w:type="paragraph" w:styleId="745">
    <w:name w:val="标题 1"/>
    <w:basedOn w:val="744"/>
    <w:next w:val="744"/>
    <w:link w:val="770"/>
    <w:qFormat/>
    <w:pPr>
      <w:jc w:val="center"/>
      <w:keepNext/>
      <w:outlineLvl w:val="0"/>
    </w:pPr>
    <w:rPr>
      <w:rFonts w:ascii="楷体_GB2312" w:hAnsi="Times New Roman" w:eastAsia="楷体_GB2312"/>
      <w:sz w:val="28"/>
      <w:szCs w:val="28"/>
    </w:rPr>
  </w:style>
  <w:style w:type="paragraph" w:styleId="746">
    <w:name w:val="标题 2"/>
    <w:basedOn w:val="744"/>
    <w:next w:val="839"/>
    <w:link w:val="775"/>
    <w:qFormat/>
    <w:pPr>
      <w:jc w:val="center"/>
      <w:keepLines/>
      <w:keepNext/>
      <w:spacing w:before="260" w:after="260" w:line="416" w:lineRule="auto"/>
      <w:outlineLvl w:val="1"/>
    </w:pPr>
    <w:rPr>
      <w:rFonts w:ascii="Arial" w:hAnsi="Arial" w:eastAsia="幼圆" w:cs="Arial"/>
      <w:b/>
      <w:bCs/>
      <w:sz w:val="44"/>
      <w:szCs w:val="44"/>
    </w:rPr>
  </w:style>
  <w:style w:type="paragraph" w:styleId="747">
    <w:name w:val="标题 3"/>
    <w:basedOn w:val="744"/>
    <w:next w:val="839"/>
    <w:link w:val="784"/>
    <w:qFormat/>
    <w:pPr>
      <w:keepLines/>
      <w:keepNext/>
      <w:spacing w:before="260" w:after="260" w:line="416" w:lineRule="auto"/>
      <w:outlineLvl w:val="2"/>
    </w:pPr>
    <w:rPr>
      <w:rFonts w:ascii="Times New Roman" w:hAnsi="Times New Roman"/>
      <w:b/>
      <w:bCs/>
      <w:sz w:val="32"/>
      <w:szCs w:val="32"/>
    </w:rPr>
  </w:style>
  <w:style w:type="paragraph" w:styleId="748">
    <w:name w:val="标题 4"/>
    <w:basedOn w:val="744"/>
    <w:next w:val="839"/>
    <w:link w:val="809"/>
    <w:qFormat/>
    <w:pPr>
      <w:keepLines/>
      <w:keepNext/>
      <w:spacing w:before="280" w:after="290" w:line="376" w:lineRule="auto"/>
      <w:outlineLvl w:val="3"/>
    </w:pPr>
    <w:rPr>
      <w:rFonts w:ascii="Arial" w:hAnsi="Arial" w:eastAsia="黑体" w:cs="Arial"/>
      <w:b/>
      <w:bCs/>
      <w:sz w:val="28"/>
      <w:szCs w:val="28"/>
    </w:rPr>
  </w:style>
  <w:style w:type="paragraph" w:styleId="749">
    <w:name w:val="标题 5"/>
    <w:basedOn w:val="744"/>
    <w:next w:val="839"/>
    <w:link w:val="803"/>
    <w:qFormat/>
    <w:pPr>
      <w:keepNext/>
      <w:outlineLvl w:val="4"/>
    </w:pPr>
    <w:rPr>
      <w:rFonts w:ascii="宋体" w:hAnsi="Times New Roman"/>
      <w:color w:val="000000"/>
      <w:sz w:val="28"/>
      <w:szCs w:val="28"/>
    </w:rPr>
  </w:style>
  <w:style w:type="paragraph" w:styleId="750">
    <w:name w:val="标题 6"/>
    <w:basedOn w:val="744"/>
    <w:next w:val="744"/>
    <w:link w:val="786"/>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标题 7"/>
    <w:basedOn w:val="744"/>
    <w:next w:val="744"/>
    <w:link w:val="75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52">
    <w:name w:val="标题 8"/>
    <w:basedOn w:val="744"/>
    <w:next w:val="744"/>
    <w:link w:val="805"/>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标题 9"/>
    <w:basedOn w:val="744"/>
    <w:next w:val="744"/>
    <w:link w:val="804"/>
    <w:qFormat/>
    <w:pPr>
      <w:numPr>
        <w:ilvl w:val="8"/>
        <w:numId w:val="1"/>
      </w:numPr>
      <w:keepLines/>
      <w:keepNext/>
      <w:spacing w:before="240" w:after="64" w:line="320" w:lineRule="auto"/>
      <w:outlineLvl w:val="8"/>
    </w:pPr>
    <w:rPr>
      <w:rFonts w:ascii="Arial" w:hAnsi="Arial" w:eastAsia="黑体"/>
      <w:szCs w:val="21"/>
    </w:rPr>
  </w:style>
  <w:style w:type="character" w:styleId="754">
    <w:name w:val="默认段落字体"/>
    <w:next w:val="754"/>
    <w:link w:val="744"/>
    <w:uiPriority w:val="1"/>
    <w:unhideWhenUsed/>
    <w:qFormat/>
  </w:style>
  <w:style w:type="table" w:styleId="755">
    <w:name w:val="普通表格"/>
    <w:next w:val="755"/>
    <w:link w:val="744"/>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756">
    <w:name w:val="正文文本缩进 Char"/>
    <w:next w:val="756"/>
    <w:link w:val="879"/>
    <w:uiPriority w:val="99"/>
    <w:semiHidden/>
    <w:qFormat/>
  </w:style>
  <w:style w:type="character" w:styleId="757">
    <w:name w:val="尾注引用"/>
    <w:next w:val="757"/>
    <w:link w:val="744"/>
    <w:uiPriority w:val="99"/>
    <w:unhideWhenUsed/>
    <w:qFormat/>
    <w:rPr>
      <w:vertAlign w:val="superscript"/>
    </w:rPr>
  </w:style>
  <w:style w:type="character" w:styleId="758">
    <w:name w:val="引用 Char"/>
    <w:next w:val="758"/>
    <w:link w:val="874"/>
    <w:uiPriority w:val="29"/>
    <w:qFormat/>
    <w:rPr>
      <w:i/>
    </w:rPr>
  </w:style>
  <w:style w:type="character" w:styleId="759">
    <w:name w:val="标题 7 Char"/>
    <w:next w:val="759"/>
    <w:link w:val="751"/>
    <w:qFormat/>
    <w:rPr>
      <w:rFonts w:ascii="Times New Roman" w:hAnsi="Times New Roman" w:eastAsia="宋体" w:cs="Times New Roman"/>
      <w:b/>
      <w:bCs/>
      <w:sz w:val="24"/>
      <w:szCs w:val="24"/>
    </w:rPr>
  </w:style>
  <w:style w:type="character" w:styleId="760">
    <w:name w:val="批注框文本 Char"/>
    <w:next w:val="760"/>
    <w:link w:val="854"/>
    <w:semiHidden/>
    <w:qFormat/>
    <w:rPr>
      <w:rFonts w:ascii="Times New Roman" w:hAnsi="Times New Roman" w:eastAsia="宋体" w:cs="Times New Roman"/>
      <w:sz w:val="18"/>
      <w:szCs w:val="18"/>
    </w:rPr>
  </w:style>
  <w:style w:type="character" w:styleId="761">
    <w:name w:val="正文首行缩进 Char"/>
    <w:next w:val="761"/>
    <w:link w:val="873"/>
    <w:qFormat/>
    <w:rPr>
      <w:rFonts w:ascii="仿宋_GB2312" w:hAnsi="Times New Roman" w:eastAsia="仿宋_GB2312" w:cs="Times New Roman"/>
      <w:sz w:val="30"/>
      <w:szCs w:val="30"/>
    </w:rPr>
  </w:style>
  <w:style w:type="character" w:styleId="762">
    <w:name w:val="日期 Char"/>
    <w:next w:val="762"/>
    <w:link w:val="825"/>
    <w:qFormat/>
    <w:rPr>
      <w:rFonts w:ascii="Times New Roman" w:hAnsi="Times New Roman" w:eastAsia="宋体" w:cs="Times New Roman"/>
      <w:sz w:val="24"/>
      <w:szCs w:val="24"/>
    </w:rPr>
  </w:style>
  <w:style w:type="character" w:styleId="763">
    <w:name w:val="强调"/>
    <w:next w:val="763"/>
    <w:link w:val="744"/>
    <w:qFormat/>
    <w:rPr>
      <w:i/>
    </w:rPr>
  </w:style>
  <w:style w:type="character" w:styleId="764">
    <w:name w:val="页脚 Char"/>
    <w:next w:val="764"/>
    <w:link w:val="832"/>
    <w:uiPriority w:val="99"/>
    <w:qFormat/>
    <w:rPr>
      <w:rFonts w:ascii="Times New Roman" w:hAnsi="Times New Roman" w:eastAsia="宋体" w:cs="Times New Roman"/>
      <w:sz w:val="18"/>
      <w:szCs w:val="18"/>
    </w:rPr>
  </w:style>
  <w:style w:type="character" w:styleId="765">
    <w:name w:val="Footer Char"/>
    <w:next w:val="765"/>
    <w:link w:val="744"/>
    <w:uiPriority w:val="99"/>
    <w:qFormat/>
  </w:style>
  <w:style w:type="character" w:styleId="766">
    <w:name w:val="已访问的超链接1"/>
    <w:next w:val="766"/>
    <w:link w:val="744"/>
    <w:qFormat/>
    <w:rPr>
      <w:color w:val="800080"/>
      <w:u w:val="single"/>
    </w:rPr>
  </w:style>
  <w:style w:type="character" w:styleId="767">
    <w:name w:val="页眉 Char"/>
    <w:next w:val="767"/>
    <w:link w:val="872"/>
    <w:qFormat/>
    <w:rPr>
      <w:rFonts w:ascii="Times New Roman" w:hAnsi="Times New Roman" w:eastAsia="宋体" w:cs="Times New Roman"/>
      <w:sz w:val="18"/>
      <w:szCs w:val="18"/>
    </w:rPr>
  </w:style>
  <w:style w:type="character" w:styleId="768">
    <w:name w:val="纯文本 Char1"/>
    <w:next w:val="768"/>
    <w:link w:val="744"/>
    <w:qFormat/>
    <w:rPr>
      <w:rFonts w:ascii="宋体" w:hAnsi="Courier New"/>
      <w:color w:val="000000"/>
      <w:sz w:val="21"/>
      <w:szCs w:val="21"/>
    </w:rPr>
  </w:style>
  <w:style w:type="character" w:styleId="769">
    <w:name w:val="明显引用 Char"/>
    <w:next w:val="769"/>
    <w:link w:val="837"/>
    <w:uiPriority w:val="30"/>
    <w:qFormat/>
    <w:rPr>
      <w:i/>
    </w:rPr>
  </w:style>
  <w:style w:type="character" w:styleId="770">
    <w:name w:val="标题 1 Char"/>
    <w:next w:val="770"/>
    <w:link w:val="745"/>
    <w:qFormat/>
    <w:rPr>
      <w:rFonts w:ascii="楷体_GB2312" w:hAnsi="Times New Roman" w:eastAsia="楷体_GB2312" w:cs="Times New Roman"/>
      <w:sz w:val="28"/>
      <w:szCs w:val="28"/>
    </w:rPr>
  </w:style>
  <w:style w:type="character" w:styleId="771">
    <w:name w:val="Caption Char"/>
    <w:next w:val="771"/>
    <w:link w:val="744"/>
    <w:uiPriority w:val="99"/>
    <w:qFormat/>
  </w:style>
  <w:style w:type="character" w:styleId="772">
    <w:name w:val="尾注文本 Char"/>
    <w:next w:val="772"/>
    <w:link w:val="857"/>
    <w:uiPriority w:val="99"/>
    <w:qFormat/>
    <w:rPr>
      <w:sz w:val="20"/>
    </w:rPr>
  </w:style>
  <w:style w:type="character" w:styleId="773">
    <w:name w:val="Heading 7 Char"/>
    <w:next w:val="773"/>
    <w:link w:val="744"/>
    <w:uiPriority w:val="9"/>
    <w:qFormat/>
    <w:rPr>
      <w:rFonts w:ascii="Arial" w:hAnsi="Arial" w:eastAsia="Arial" w:cs="Arial"/>
      <w:b/>
      <w:bCs/>
      <w:i/>
      <w:iCs/>
      <w:sz w:val="22"/>
      <w:szCs w:val="22"/>
    </w:rPr>
  </w:style>
  <w:style w:type="character" w:styleId="774">
    <w:name w:val="批注引用"/>
    <w:next w:val="774"/>
    <w:link w:val="744"/>
    <w:semiHidden/>
    <w:qFormat/>
    <w:rPr>
      <w:sz w:val="21"/>
      <w:szCs w:val="21"/>
    </w:rPr>
  </w:style>
  <w:style w:type="character" w:styleId="775">
    <w:name w:val="标题 2 Char"/>
    <w:next w:val="775"/>
    <w:link w:val="746"/>
    <w:qFormat/>
    <w:rPr>
      <w:rFonts w:ascii="Arial" w:hAnsi="Arial" w:eastAsia="幼圆" w:cs="Arial"/>
      <w:b/>
      <w:bCs/>
      <w:sz w:val="44"/>
      <w:szCs w:val="44"/>
    </w:rPr>
  </w:style>
  <w:style w:type="character" w:styleId="776">
    <w:name w:val="要点"/>
    <w:next w:val="776"/>
    <w:link w:val="744"/>
    <w:qFormat/>
    <w:rPr>
      <w:b/>
      <w:bCs/>
    </w:rPr>
  </w:style>
  <w:style w:type="character" w:styleId="777">
    <w:name w:val="Heading 8 Char"/>
    <w:next w:val="777"/>
    <w:link w:val="744"/>
    <w:uiPriority w:val="9"/>
    <w:qFormat/>
    <w:rPr>
      <w:rFonts w:ascii="Arial" w:hAnsi="Arial" w:eastAsia="Arial" w:cs="Arial"/>
      <w:i/>
      <w:iCs/>
      <w:sz w:val="22"/>
      <w:szCs w:val="22"/>
    </w:rPr>
  </w:style>
  <w:style w:type="character" w:styleId="778">
    <w:name w:val="Heading 4 Char"/>
    <w:next w:val="778"/>
    <w:link w:val="744"/>
    <w:uiPriority w:val="9"/>
    <w:qFormat/>
    <w:rPr>
      <w:rFonts w:ascii="Arial" w:hAnsi="Arial" w:eastAsia="Arial" w:cs="Arial"/>
      <w:b/>
      <w:bCs/>
      <w:sz w:val="26"/>
      <w:szCs w:val="26"/>
    </w:rPr>
  </w:style>
  <w:style w:type="character" w:styleId="779">
    <w:name w:val="文档结构图 Char"/>
    <w:next w:val="779"/>
    <w:link w:val="843"/>
    <w:semiHidden/>
    <w:qFormat/>
    <w:rPr>
      <w:rFonts w:ascii="Times New Roman" w:hAnsi="Times New Roman" w:eastAsia="宋体" w:cs="Times New Roman"/>
      <w:szCs w:val="21"/>
      <w:shd w:val="clear" w:color="auto" w:fill="000080"/>
    </w:rPr>
  </w:style>
  <w:style w:type="character" w:styleId="780">
    <w:name w:val="脚注文本 Char"/>
    <w:next w:val="780"/>
    <w:link w:val="859"/>
    <w:uiPriority w:val="99"/>
    <w:qFormat/>
    <w:rPr>
      <w:sz w:val="18"/>
    </w:rPr>
  </w:style>
  <w:style w:type="character" w:styleId="781">
    <w:name w:val="批注主题 Char"/>
    <w:next w:val="781"/>
    <w:link w:val="840"/>
    <w:semiHidden/>
    <w:qFormat/>
    <w:rPr>
      <w:rFonts w:ascii="Times New Roman" w:hAnsi="Times New Roman" w:eastAsia="宋体" w:cs="Times New Roman"/>
      <w:b/>
      <w:bCs/>
      <w:szCs w:val="21"/>
    </w:rPr>
  </w:style>
  <w:style w:type="character" w:styleId="782">
    <w:name w:val="超链接"/>
    <w:next w:val="782"/>
    <w:link w:val="744"/>
    <w:qFormat/>
    <w:rPr>
      <w:color w:val="0000ff"/>
      <w:u w:val="single"/>
    </w:rPr>
  </w:style>
  <w:style w:type="character" w:styleId="783">
    <w:name w:val="Heading 2 Char"/>
    <w:next w:val="783"/>
    <w:link w:val="744"/>
    <w:uiPriority w:val="9"/>
    <w:qFormat/>
    <w:rPr>
      <w:rFonts w:ascii="Arial" w:hAnsi="Arial" w:eastAsia="Arial" w:cs="Arial"/>
      <w:sz w:val="34"/>
    </w:rPr>
  </w:style>
  <w:style w:type="character" w:styleId="784">
    <w:name w:val="标题 3 Char"/>
    <w:next w:val="784"/>
    <w:link w:val="747"/>
    <w:qFormat/>
    <w:rPr>
      <w:rFonts w:ascii="Times New Roman" w:hAnsi="Times New Roman" w:eastAsia="宋体" w:cs="Times New Roman"/>
      <w:b/>
      <w:bCs/>
      <w:sz w:val="32"/>
      <w:szCs w:val="32"/>
    </w:rPr>
  </w:style>
  <w:style w:type="character" w:styleId="785">
    <w:name w:val="正文文本缩进 2 Char"/>
    <w:next w:val="785"/>
    <w:link w:val="861"/>
    <w:qFormat/>
    <w:rPr>
      <w:rFonts w:ascii="Arial" w:hAnsi="Arial" w:eastAsia="仿宋_GB2312" w:cs="Arial"/>
      <w:sz w:val="32"/>
      <w:szCs w:val="32"/>
    </w:rPr>
  </w:style>
  <w:style w:type="character" w:styleId="786">
    <w:name w:val="标题 6 Char"/>
    <w:next w:val="786"/>
    <w:link w:val="750"/>
    <w:qFormat/>
    <w:rPr>
      <w:rFonts w:ascii="Arial" w:hAnsi="Arial" w:eastAsia="黑体" w:cs="Times New Roman"/>
      <w:b/>
      <w:bCs/>
      <w:sz w:val="24"/>
      <w:szCs w:val="24"/>
    </w:rPr>
  </w:style>
  <w:style w:type="character" w:styleId="787">
    <w:name w:val="标题 Char"/>
    <w:next w:val="787"/>
    <w:link w:val="828"/>
    <w:uiPriority w:val="10"/>
    <w:qFormat/>
    <w:rPr>
      <w:sz w:val="48"/>
      <w:szCs w:val="48"/>
    </w:rPr>
  </w:style>
  <w:style w:type="character" w:styleId="788">
    <w:name w:val="批注文字 字符"/>
    <w:next w:val="788"/>
    <w:link w:val="744"/>
    <w:uiPriority w:val="99"/>
    <w:semiHidden/>
    <w:qFormat/>
  </w:style>
  <w:style w:type="character" w:styleId="789">
    <w:name w:val="Header Char"/>
    <w:next w:val="789"/>
    <w:link w:val="744"/>
    <w:uiPriority w:val="99"/>
    <w:qFormat/>
  </w:style>
  <w:style w:type="character" w:styleId="790">
    <w:name w:val="列出段落 Char"/>
    <w:next w:val="790"/>
    <w:link w:val="814"/>
    <w:qFormat/>
    <w:rPr>
      <w:rFonts w:ascii="Calibri" w:hAnsi="Calibri"/>
      <w:sz w:val="24"/>
      <w:szCs w:val="24"/>
      <w:lang w:eastAsia="en-US" w:bidi="en-US"/>
    </w:rPr>
  </w:style>
  <w:style w:type="character" w:styleId="791">
    <w:name w:val="Heading 5 Char"/>
    <w:next w:val="791"/>
    <w:link w:val="744"/>
    <w:uiPriority w:val="9"/>
    <w:qFormat/>
    <w:rPr>
      <w:rFonts w:ascii="Arial" w:hAnsi="Arial" w:eastAsia="Arial" w:cs="Arial"/>
      <w:b/>
      <w:bCs/>
      <w:sz w:val="24"/>
      <w:szCs w:val="24"/>
    </w:rPr>
  </w:style>
  <w:style w:type="character" w:styleId="792">
    <w:name w:val="Heading 3 Char"/>
    <w:next w:val="792"/>
    <w:link w:val="744"/>
    <w:uiPriority w:val="9"/>
    <w:qFormat/>
    <w:rPr>
      <w:rFonts w:ascii="Arial" w:hAnsi="Arial" w:eastAsia="Arial" w:cs="Arial"/>
      <w:sz w:val="30"/>
      <w:szCs w:val="30"/>
    </w:rPr>
  </w:style>
  <w:style w:type="character" w:styleId="793">
    <w:name w:val="脚注引用"/>
    <w:next w:val="793"/>
    <w:link w:val="744"/>
    <w:uiPriority w:val="99"/>
    <w:unhideWhenUsed/>
    <w:qFormat/>
    <w:rPr>
      <w:vertAlign w:val="superscript"/>
    </w:rPr>
  </w:style>
  <w:style w:type="character" w:styleId="794">
    <w:name w:val="正文首行缩进 2 Char"/>
    <w:next w:val="794"/>
    <w:link w:val="816"/>
    <w:qFormat/>
    <w:rPr>
      <w:rFonts w:ascii="宋体" w:hAnsi="宋体" w:eastAsia="宋体" w:cs="Times New Roman"/>
      <w:szCs w:val="20"/>
    </w:rPr>
  </w:style>
  <w:style w:type="character" w:styleId="795">
    <w:name w:val="纯文本 Char"/>
    <w:next w:val="795"/>
    <w:link w:val="846"/>
    <w:qFormat/>
    <w:rPr>
      <w:rFonts w:ascii="宋体" w:hAnsi="Courier New" w:eastAsia="宋体" w:cs="Courier New"/>
      <w:szCs w:val="21"/>
    </w:rPr>
  </w:style>
  <w:style w:type="character" w:styleId="796">
    <w:name w:val="正文文本 2 Char"/>
    <w:next w:val="796"/>
    <w:link w:val="868"/>
    <w:qFormat/>
    <w:rPr>
      <w:rFonts w:ascii="楷体_GB2312" w:hAnsi="Times New Roman" w:eastAsia="楷体_GB2312" w:cs="Times New Roman"/>
      <w:sz w:val="28"/>
      <w:szCs w:val="28"/>
    </w:rPr>
  </w:style>
  <w:style w:type="character" w:styleId="797">
    <w:name w:val="正文文本缩进 3 Char"/>
    <w:next w:val="797"/>
    <w:link w:val="844"/>
    <w:qFormat/>
    <w:rPr>
      <w:rFonts w:ascii="Arial" w:hAnsi="Arial" w:eastAsia="仿宋_GB2312" w:cs="Arial"/>
      <w:color w:val="ffff00"/>
      <w:sz w:val="32"/>
      <w:szCs w:val="32"/>
    </w:rPr>
  </w:style>
  <w:style w:type="character" w:styleId="798">
    <w:name w:val="页码"/>
    <w:next w:val="798"/>
    <w:link w:val="744"/>
    <w:qFormat/>
  </w:style>
  <w:style w:type="character" w:styleId="799">
    <w:name w:val="Heading 1 Char"/>
    <w:next w:val="799"/>
    <w:link w:val="744"/>
    <w:uiPriority w:val="9"/>
    <w:qFormat/>
    <w:rPr>
      <w:rFonts w:ascii="Arial" w:hAnsi="Arial" w:eastAsia="Arial" w:cs="Arial"/>
      <w:sz w:val="40"/>
      <w:szCs w:val="40"/>
    </w:rPr>
  </w:style>
  <w:style w:type="character" w:styleId="800">
    <w:name w:val="副标题 Char"/>
    <w:next w:val="800"/>
    <w:link w:val="870"/>
    <w:uiPriority w:val="11"/>
    <w:qFormat/>
    <w:rPr>
      <w:sz w:val="24"/>
      <w:szCs w:val="24"/>
    </w:rPr>
  </w:style>
  <w:style w:type="character" w:styleId="801">
    <w:name w:val="font5 Char"/>
    <w:next w:val="801"/>
    <w:link w:val="744"/>
    <w:qFormat/>
    <w:rPr>
      <w:rFonts w:ascii="宋体" w:hAnsi="宋体" w:eastAsia="宋体"/>
      <w:sz w:val="28"/>
      <w:szCs w:val="28"/>
      <w:lang w:val="en-US" w:eastAsia="zh-CN" w:bidi="ar-SA"/>
    </w:rPr>
  </w:style>
  <w:style w:type="character" w:styleId="802">
    <w:name w:val="正文缩进 Char"/>
    <w:next w:val="802"/>
    <w:link w:val="839"/>
    <w:qFormat/>
    <w:rPr>
      <w:szCs w:val="21"/>
    </w:rPr>
  </w:style>
  <w:style w:type="character" w:styleId="803">
    <w:name w:val="标题 5 Char"/>
    <w:next w:val="803"/>
    <w:link w:val="749"/>
    <w:qFormat/>
    <w:rPr>
      <w:rFonts w:ascii="宋体" w:hAnsi="Times New Roman" w:eastAsia="宋体" w:cs="Times New Roman"/>
      <w:color w:val="000000"/>
      <w:sz w:val="28"/>
      <w:szCs w:val="28"/>
    </w:rPr>
  </w:style>
  <w:style w:type="character" w:styleId="804">
    <w:name w:val="标题 9 Char"/>
    <w:next w:val="804"/>
    <w:link w:val="753"/>
    <w:qFormat/>
    <w:rPr>
      <w:rFonts w:ascii="Arial" w:hAnsi="Arial" w:eastAsia="黑体" w:cs="Times New Roman"/>
      <w:szCs w:val="21"/>
    </w:rPr>
  </w:style>
  <w:style w:type="character" w:styleId="805">
    <w:name w:val="标题 8 Char"/>
    <w:next w:val="805"/>
    <w:link w:val="752"/>
    <w:qFormat/>
    <w:rPr>
      <w:rFonts w:ascii="Arial" w:hAnsi="Arial" w:eastAsia="黑体" w:cs="Times New Roman"/>
      <w:sz w:val="24"/>
      <w:szCs w:val="24"/>
    </w:rPr>
  </w:style>
  <w:style w:type="character" w:styleId="806">
    <w:name w:val="正文文本 Char"/>
    <w:next w:val="806"/>
    <w:link w:val="833"/>
    <w:qFormat/>
    <w:rPr>
      <w:rFonts w:ascii="楷体_GB2312" w:hAnsi="Arial" w:eastAsia="楷体_GB2312" w:cs="Times New Roman"/>
      <w:sz w:val="28"/>
      <w:szCs w:val="28"/>
    </w:rPr>
  </w:style>
  <w:style w:type="character" w:styleId="807">
    <w:name w:val="Heading 6 Char"/>
    <w:next w:val="807"/>
    <w:link w:val="744"/>
    <w:uiPriority w:val="9"/>
    <w:qFormat/>
    <w:rPr>
      <w:rFonts w:ascii="Arial" w:hAnsi="Arial" w:eastAsia="Arial" w:cs="Arial"/>
      <w:b/>
      <w:bCs/>
      <w:sz w:val="22"/>
      <w:szCs w:val="22"/>
    </w:rPr>
  </w:style>
  <w:style w:type="character" w:styleId="808">
    <w:name w:val="二级目录 Char"/>
    <w:next w:val="808"/>
    <w:link w:val="850"/>
    <w:qFormat/>
    <w:rPr>
      <w:b/>
      <w:sz w:val="30"/>
      <w:szCs w:val="28"/>
    </w:rPr>
  </w:style>
  <w:style w:type="character" w:styleId="809">
    <w:name w:val="标题 4 Char"/>
    <w:next w:val="809"/>
    <w:link w:val="748"/>
    <w:qFormat/>
    <w:rPr>
      <w:rFonts w:ascii="Arial" w:hAnsi="Arial" w:eastAsia="黑体" w:cs="Arial"/>
      <w:b/>
      <w:bCs/>
      <w:sz w:val="28"/>
      <w:szCs w:val="28"/>
    </w:rPr>
  </w:style>
  <w:style w:type="character" w:styleId="810">
    <w:name w:val="批注文字 Char"/>
    <w:next w:val="810"/>
    <w:link w:val="835"/>
    <w:uiPriority w:val="99"/>
    <w:semiHidden/>
    <w:qFormat/>
  </w:style>
  <w:style w:type="character" w:styleId="811">
    <w:name w:val="正文文本 3 Char"/>
    <w:next w:val="811"/>
    <w:link w:val="863"/>
    <w:qFormat/>
    <w:rPr>
      <w:rFonts w:ascii="仿宋_GB2312" w:hAnsi="Arial" w:eastAsia="仿宋_GB2312" w:cs="Times New Roman"/>
      <w:sz w:val="32"/>
      <w:szCs w:val="32"/>
    </w:rPr>
  </w:style>
  <w:style w:type="character" w:styleId="812">
    <w:name w:val="Heading 9 Char"/>
    <w:next w:val="812"/>
    <w:link w:val="744"/>
    <w:uiPriority w:val="9"/>
    <w:qFormat/>
    <w:rPr>
      <w:rFonts w:ascii="Arial" w:hAnsi="Arial" w:eastAsia="Arial" w:cs="Arial"/>
      <w:i/>
      <w:iCs/>
      <w:sz w:val="21"/>
      <w:szCs w:val="21"/>
    </w:rPr>
  </w:style>
  <w:style w:type="paragraph" w:styleId="813">
    <w:name w:val="AONormal"/>
    <w:next w:val="813"/>
    <w:link w:val="744"/>
    <w:qFormat/>
    <w:pPr>
      <w:ind w:firstLine="440"/>
      <w:spacing w:line="400" w:lineRule="exact"/>
    </w:pPr>
    <w:rPr>
      <w:rFonts w:ascii="华文楷体" w:hAnsi="华文楷体" w:eastAsia="华文楷体" w:cs="华文楷体"/>
      <w:sz w:val="22"/>
      <w:szCs w:val="21"/>
      <w:lang w:val="en-US" w:eastAsia="zh-CN" w:bidi="ar-SA"/>
    </w:rPr>
  </w:style>
  <w:style w:type="paragraph" w:styleId="814">
    <w:name w:val="列出段落1"/>
    <w:basedOn w:val="744"/>
    <w:next w:val="814"/>
    <w:link w:val="790"/>
    <w:qFormat/>
    <w:pPr>
      <w:contextualSpacing/>
      <w:ind w:left="720"/>
      <w:jc w:val="left"/>
      <w:widowControl/>
    </w:pPr>
    <w:rPr>
      <w:sz w:val="24"/>
      <w:szCs w:val="24"/>
      <w:lang w:eastAsia="en-US" w:bidi="en-US"/>
    </w:rPr>
  </w:style>
  <w:style w:type="paragraph" w:styleId="815">
    <w:name w:val="Char Char Char Char Char Char Char Char"/>
    <w:basedOn w:val="744"/>
    <w:next w:val="815"/>
    <w:link w:val="744"/>
    <w:qFormat/>
    <w:pPr>
      <w:jc w:val="left"/>
      <w:spacing w:after="160" w:line="240" w:lineRule="exact"/>
      <w:widowControl/>
    </w:pPr>
    <w:rPr>
      <w:rFonts w:ascii="Verdana" w:hAnsi="Verdana"/>
      <w:sz w:val="20"/>
      <w:szCs w:val="20"/>
      <w:lang w:eastAsia="en-US"/>
    </w:rPr>
  </w:style>
  <w:style w:type="paragraph" w:styleId="816">
    <w:name w:val="正文首行缩进 2"/>
    <w:basedOn w:val="879"/>
    <w:next w:val="816"/>
    <w:link w:val="794"/>
    <w:qFormat/>
    <w:pPr>
      <w:ind w:left="0" w:firstLine="420"/>
      <w:spacing w:after="0" w:line="360" w:lineRule="auto"/>
    </w:pPr>
    <w:rPr>
      <w:rFonts w:ascii="宋体" w:hAnsi="宋体"/>
      <w:szCs w:val="20"/>
    </w:rPr>
  </w:style>
  <w:style w:type="paragraph" w:styleId="817">
    <w:name w:val="目录 8"/>
    <w:basedOn w:val="744"/>
    <w:next w:val="744"/>
    <w:link w:val="744"/>
    <w:semiHidden/>
    <w:qFormat/>
    <w:pPr>
      <w:ind w:left="2940"/>
    </w:pPr>
  </w:style>
  <w:style w:type="paragraph" w:styleId="818">
    <w:name w:val="目录 3"/>
    <w:basedOn w:val="744"/>
    <w:next w:val="744"/>
    <w:link w:val="744"/>
    <w:semiHidden/>
    <w:qFormat/>
    <w:pPr>
      <w:ind w:left="840"/>
    </w:pPr>
  </w:style>
  <w:style w:type="paragraph" w:styleId="819">
    <w:name w:val="Body Text(ch)"/>
    <w:basedOn w:val="744"/>
    <w:next w:val="833"/>
    <w:link w:val="744"/>
    <w:qFormat/>
    <w:pPr>
      <w:spacing w:after="120"/>
    </w:pPr>
    <w:rPr>
      <w:rFonts w:ascii="宋体" w:hAnsi="Arial"/>
      <w:bCs/>
      <w:iCs/>
      <w:szCs w:val="24"/>
    </w:rPr>
  </w:style>
  <w:style w:type="paragraph" w:styleId="820">
    <w:name w:val="xl26"/>
    <w:basedOn w:val="744"/>
    <w:next w:val="820"/>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1">
    <w:name w:val="列表"/>
    <w:basedOn w:val="744"/>
    <w:next w:val="821"/>
    <w:link w:val="744"/>
    <w:qFormat/>
    <w:pPr>
      <w:ind w:left="200" w:hanging="200"/>
    </w:pPr>
    <w:rPr>
      <w:rFonts w:ascii="Times New Roman" w:hAnsi="Times New Roman"/>
      <w:szCs w:val="21"/>
    </w:rPr>
  </w:style>
  <w:style w:type="paragraph" w:styleId="822">
    <w:name w:val="标题3"/>
    <w:basedOn w:val="744"/>
    <w:next w:val="744"/>
    <w:link w:val="744"/>
    <w:qFormat/>
    <w:pPr>
      <w:ind w:firstLine="624"/>
      <w:spacing w:line="590" w:lineRule="atLeast"/>
    </w:pPr>
    <w:rPr>
      <w:rFonts w:ascii="方正黑体_GBK" w:hAnsi="Times New Roman" w:eastAsia="方正黑体_GBK"/>
      <w:sz w:val="32"/>
      <w:szCs w:val="32"/>
    </w:rPr>
  </w:style>
  <w:style w:type="paragraph" w:styleId="823">
    <w:name w:val="目录 6"/>
    <w:basedOn w:val="744"/>
    <w:next w:val="744"/>
    <w:link w:val="744"/>
    <w:semiHidden/>
    <w:qFormat/>
    <w:pPr>
      <w:ind w:left="2100"/>
    </w:pPr>
  </w:style>
  <w:style w:type="paragraph" w:styleId="824">
    <w:name w:val="图标"/>
    <w:basedOn w:val="744"/>
    <w:next w:val="744"/>
    <w:link w:val="74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25">
    <w:name w:val="日期"/>
    <w:basedOn w:val="744"/>
    <w:next w:val="744"/>
    <w:link w:val="762"/>
    <w:qFormat/>
    <w:rPr>
      <w:rFonts w:ascii="Times New Roman" w:hAnsi="Times New Roman"/>
      <w:sz w:val="24"/>
      <w:szCs w:val="24"/>
    </w:rPr>
  </w:style>
  <w:style w:type="paragraph" w:styleId="826">
    <w:name w:val="4"/>
    <w:basedOn w:val="744"/>
    <w:next w:val="844"/>
    <w:link w:val="744"/>
    <w:qFormat/>
    <w:pPr>
      <w:ind w:firstLine="420"/>
      <w:spacing w:line="360" w:lineRule="auto"/>
    </w:pPr>
    <w:rPr>
      <w:rFonts w:ascii="Times New Roman" w:hAnsi="Times New Roman"/>
      <w:color w:val="ff0000"/>
      <w:sz w:val="24"/>
      <w:szCs w:val="24"/>
    </w:rPr>
  </w:style>
  <w:style w:type="paragraph" w:styleId="827">
    <w:name w:val="xl30"/>
    <w:basedOn w:val="744"/>
    <w:next w:val="827"/>
    <w:link w:val="744"/>
    <w:qFormat/>
    <w:pPr>
      <w:jc w:val="center"/>
      <w:spacing w:before="100" w:beforeAutospacing="1" w:after="100" w:afterAutospacing="1"/>
      <w:widowControl/>
    </w:pPr>
    <w:rPr>
      <w:rFonts w:ascii="宋体" w:hAnsi="宋体"/>
      <w:b/>
      <w:bCs/>
      <w:sz w:val="36"/>
      <w:szCs w:val="36"/>
    </w:rPr>
  </w:style>
  <w:style w:type="paragraph" w:styleId="828">
    <w:name w:val="标题"/>
    <w:basedOn w:val="744"/>
    <w:next w:val="744"/>
    <w:link w:val="787"/>
    <w:uiPriority w:val="10"/>
    <w:qFormat/>
    <w:pPr>
      <w:contextualSpacing/>
      <w:spacing w:before="300" w:after="200"/>
    </w:pPr>
    <w:rPr>
      <w:sz w:val="48"/>
      <w:szCs w:val="48"/>
    </w:rPr>
  </w:style>
  <w:style w:type="paragraph" w:styleId="829">
    <w:name w:val="无间隔"/>
    <w:next w:val="829"/>
    <w:link w:val="744"/>
    <w:uiPriority w:val="99"/>
    <w:qFormat/>
    <w:pPr>
      <w:jc w:val="both"/>
      <w:widowControl w:val="off"/>
    </w:pPr>
    <w:rPr>
      <w:sz w:val="21"/>
      <w:szCs w:val="21"/>
      <w:lang w:val="en-US" w:eastAsia="zh-CN" w:bidi="ar-SA"/>
    </w:rPr>
  </w:style>
  <w:style w:type="paragraph" w:styleId="830">
    <w:name w:val="目录 4"/>
    <w:basedOn w:val="744"/>
    <w:next w:val="744"/>
    <w:link w:val="744"/>
    <w:semiHidden/>
    <w:qFormat/>
    <w:pPr>
      <w:ind w:left="1260"/>
    </w:pPr>
  </w:style>
  <w:style w:type="paragraph" w:styleId="831">
    <w:name w:val="标题1"/>
    <w:basedOn w:val="744"/>
    <w:next w:val="744"/>
    <w:link w:val="74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32">
    <w:name w:val="页脚"/>
    <w:basedOn w:val="744"/>
    <w:next w:val="832"/>
    <w:link w:val="764"/>
    <w:uiPriority w:val="99"/>
    <w:qFormat/>
    <w:pPr>
      <w:jc w:val="left"/>
      <w:tabs>
        <w:tab w:val="center" w:pos="4153" w:leader="none"/>
        <w:tab w:val="right" w:pos="8306" w:leader="none"/>
      </w:tabs>
    </w:pPr>
    <w:rPr>
      <w:rFonts w:ascii="Times New Roman" w:hAnsi="Times New Roman"/>
      <w:sz w:val="18"/>
      <w:szCs w:val="18"/>
    </w:rPr>
  </w:style>
  <w:style w:type="paragraph" w:styleId="833">
    <w:name w:val="正文文本"/>
    <w:basedOn w:val="744"/>
    <w:next w:val="833"/>
    <w:link w:val="806"/>
    <w:qFormat/>
    <w:rPr>
      <w:rFonts w:ascii="楷体_GB2312" w:hAnsi="Arial" w:eastAsia="楷体_GB2312"/>
      <w:sz w:val="28"/>
      <w:szCs w:val="28"/>
    </w:rPr>
  </w:style>
  <w:style w:type="paragraph" w:styleId="834">
    <w:name w:val="TOC 标题1"/>
    <w:next w:val="834"/>
    <w:link w:val="744"/>
    <w:uiPriority w:val="39"/>
    <w:unhideWhenUsed/>
    <w:qFormat/>
    <w:rPr>
      <w:lang w:val="en-US" w:eastAsia="zh-CN" w:bidi="ar-SA"/>
    </w:rPr>
  </w:style>
  <w:style w:type="paragraph" w:styleId="835">
    <w:name w:val="批注文字"/>
    <w:basedOn w:val="744"/>
    <w:next w:val="835"/>
    <w:link w:val="810"/>
    <w:unhideWhenUsed/>
    <w:qFormat/>
    <w:pPr>
      <w:jc w:val="left"/>
    </w:pPr>
  </w:style>
  <w:style w:type="paragraph" w:styleId="836">
    <w:name w:val="列表 2"/>
    <w:basedOn w:val="744"/>
    <w:next w:val="836"/>
    <w:link w:val="744"/>
    <w:qFormat/>
    <w:pPr>
      <w:ind w:left="100" w:hanging="200"/>
    </w:pPr>
    <w:rPr>
      <w:rFonts w:ascii="Times New Roman" w:hAnsi="Times New Roman"/>
      <w:szCs w:val="21"/>
    </w:rPr>
  </w:style>
  <w:style w:type="paragraph" w:styleId="837">
    <w:name w:val="明显引用"/>
    <w:basedOn w:val="744"/>
    <w:next w:val="744"/>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8">
    <w:name w:val="附录1"/>
    <w:next w:val="838"/>
    <w:link w:val="744"/>
    <w:qFormat/>
    <w:pPr>
      <w:ind w:left="907" w:hanging="907"/>
      <w:spacing w:before="240" w:line="600" w:lineRule="atLeast"/>
      <w:tabs>
        <w:tab w:val="left" w:pos="907" w:leader="none"/>
      </w:tabs>
    </w:pPr>
    <w:rPr>
      <w:b/>
      <w:i/>
      <w:sz w:val="28"/>
      <w:lang w:val="en-US" w:eastAsia="zh-CN" w:bidi="ar-SA"/>
    </w:rPr>
  </w:style>
  <w:style w:type="paragraph" w:styleId="839">
    <w:name w:val="正文缩进"/>
    <w:basedOn w:val="744"/>
    <w:next w:val="839"/>
    <w:link w:val="802"/>
    <w:qFormat/>
    <w:pPr>
      <w:ind w:firstLine="420"/>
    </w:pPr>
    <w:rPr>
      <w:szCs w:val="21"/>
    </w:rPr>
  </w:style>
  <w:style w:type="paragraph" w:styleId="840">
    <w:name w:val="批注主题"/>
    <w:basedOn w:val="835"/>
    <w:next w:val="835"/>
    <w:link w:val="781"/>
    <w:semiHidden/>
    <w:qFormat/>
    <w:rPr>
      <w:rFonts w:ascii="Times New Roman" w:hAnsi="Times New Roman"/>
      <w:b/>
      <w:bCs/>
      <w:szCs w:val="21"/>
    </w:rPr>
  </w:style>
  <w:style w:type="paragraph" w:styleId="841">
    <w:name w:val="普通(网站)"/>
    <w:basedOn w:val="744"/>
    <w:next w:val="841"/>
    <w:link w:val="744"/>
    <w:uiPriority w:val="99"/>
    <w:qFormat/>
    <w:pPr>
      <w:jc w:val="left"/>
      <w:spacing w:before="100" w:beforeAutospacing="1" w:after="100" w:afterAutospacing="1"/>
      <w:widowControl/>
    </w:pPr>
    <w:rPr>
      <w:rFonts w:ascii="宋体" w:hAnsi="宋体" w:cs="宋体"/>
      <w:sz w:val="24"/>
      <w:szCs w:val="24"/>
    </w:rPr>
  </w:style>
  <w:style w:type="paragraph" w:styleId="842">
    <w:name w:val="font5"/>
    <w:basedOn w:val="744"/>
    <w:next w:val="842"/>
    <w:link w:val="744"/>
    <w:qFormat/>
    <w:pPr>
      <w:jc w:val="left"/>
      <w:spacing w:before="100" w:beforeAutospacing="1" w:after="100" w:afterAutospacing="1"/>
      <w:widowControl/>
    </w:pPr>
    <w:rPr>
      <w:rFonts w:hint="eastAsia" w:ascii="宋体" w:hAnsi="宋体"/>
      <w:sz w:val="28"/>
      <w:szCs w:val="28"/>
    </w:rPr>
  </w:style>
  <w:style w:type="paragraph" w:styleId="843">
    <w:name w:val="文档结构图"/>
    <w:basedOn w:val="744"/>
    <w:next w:val="843"/>
    <w:link w:val="779"/>
    <w:semiHidden/>
    <w:qFormat/>
    <w:pPr>
      <w:shd w:val="clear" w:color="auto" w:fill="000080"/>
    </w:pPr>
    <w:rPr>
      <w:rFonts w:ascii="Times New Roman" w:hAnsi="Times New Roman"/>
      <w:szCs w:val="21"/>
    </w:rPr>
  </w:style>
  <w:style w:type="paragraph" w:styleId="844">
    <w:name w:val="正文文本缩进 3"/>
    <w:basedOn w:val="744"/>
    <w:next w:val="844"/>
    <w:link w:val="797"/>
    <w:qFormat/>
    <w:pPr>
      <w:ind w:left="645" w:firstLine="645"/>
    </w:pPr>
    <w:rPr>
      <w:rFonts w:ascii="Arial" w:hAnsi="Arial" w:eastAsia="仿宋_GB2312" w:cs="Arial"/>
      <w:color w:val="ffff00"/>
      <w:sz w:val="32"/>
      <w:szCs w:val="32"/>
    </w:rPr>
  </w:style>
  <w:style w:type="paragraph" w:styleId="845">
    <w:name w:val="文本块"/>
    <w:basedOn w:val="744"/>
    <w:next w:val="845"/>
    <w:link w:val="744"/>
    <w:uiPriority w:val="99"/>
    <w:unhideWhenUsed/>
    <w:rPr>
      <w:szCs w:val="21"/>
    </w:rPr>
  </w:style>
  <w:style w:type="paragraph" w:styleId="846">
    <w:name w:val="纯文本"/>
    <w:basedOn w:val="744"/>
    <w:next w:val="846"/>
    <w:link w:val="795"/>
    <w:qFormat/>
    <w:rPr>
      <w:rFonts w:ascii="宋体" w:hAnsi="Courier New" w:cs="Courier New"/>
      <w:szCs w:val="21"/>
    </w:rPr>
  </w:style>
  <w:style w:type="paragraph" w:styleId="847">
    <w:name w:val="Char Char Char Char"/>
    <w:basedOn w:val="843"/>
    <w:next w:val="847"/>
    <w:link w:val="744"/>
    <w:qFormat/>
    <w:pPr>
      <w:spacing w:line="360" w:lineRule="auto"/>
    </w:pPr>
    <w:rPr>
      <w:rFonts w:ascii="Tahoma" w:hAnsi="Tahoma"/>
      <w:sz w:val="24"/>
      <w:szCs w:val="24"/>
    </w:rPr>
  </w:style>
  <w:style w:type="paragraph" w:styleId="848">
    <w:name w:val="样式1"/>
    <w:basedOn w:val="744"/>
    <w:next w:val="848"/>
    <w:link w:val="744"/>
    <w:qFormat/>
    <w:pPr>
      <w:numPr>
        <w:ilvl w:val="0"/>
        <w:numId w:val="2"/>
      </w:numPr>
      <w:tabs>
        <w:tab w:val="left" w:pos="709" w:leader="none"/>
      </w:tabs>
    </w:pPr>
    <w:rPr>
      <w:rFonts w:ascii="宋体" w:hAnsi="宋体"/>
      <w:szCs w:val="21"/>
    </w:rPr>
  </w:style>
  <w:style w:type="paragraph" w:styleId="849">
    <w:name w:val="目录 9"/>
    <w:basedOn w:val="744"/>
    <w:next w:val="744"/>
    <w:link w:val="744"/>
    <w:semiHidden/>
    <w:qFormat/>
    <w:pPr>
      <w:ind w:left="3360"/>
    </w:pPr>
  </w:style>
  <w:style w:type="paragraph" w:styleId="850">
    <w:name w:val="二级目录"/>
    <w:next w:val="744"/>
    <w:link w:val="808"/>
    <w:qFormat/>
    <w:pPr>
      <w:numPr>
        <w:ilvl w:val="0"/>
        <w:numId w:val="3"/>
      </w:numPr>
      <w:tabs>
        <w:tab w:val="left" w:pos="907" w:leader="none"/>
        <w:tab w:val="left" w:pos="1145" w:leader="none"/>
      </w:tabs>
      <w:outlineLvl w:val="1"/>
    </w:pPr>
    <w:rPr>
      <w:b/>
      <w:sz w:val="30"/>
      <w:szCs w:val="28"/>
      <w:lang w:val="en-US" w:eastAsia="zh-CN" w:bidi="ar-SA"/>
    </w:rPr>
  </w:style>
  <w:style w:type="paragraph" w:styleId="851">
    <w:name w:val="目录 2"/>
    <w:basedOn w:val="744"/>
    <w:next w:val="744"/>
    <w:link w:val="744"/>
    <w:semiHidden/>
    <w:qFormat/>
    <w:pPr>
      <w:ind w:left="420"/>
    </w:pPr>
  </w:style>
  <w:style w:type="paragraph" w:styleId="852">
    <w:name w:val="Char"/>
    <w:basedOn w:val="744"/>
    <w:next w:val="852"/>
    <w:link w:val="744"/>
    <w:qFormat/>
    <w:pPr>
      <w:ind w:firstLine="200"/>
      <w:tabs>
        <w:tab w:val="left" w:pos="360" w:leader="none"/>
      </w:tabs>
    </w:pPr>
    <w:rPr>
      <w:rFonts w:ascii="Times New Roman" w:hAnsi="Times New Roman"/>
      <w:sz w:val="28"/>
      <w:szCs w:val="30"/>
    </w:rPr>
  </w:style>
  <w:style w:type="paragraph" w:styleId="853">
    <w:name w:val="图表目录"/>
    <w:basedOn w:val="744"/>
    <w:next w:val="744"/>
    <w:link w:val="744"/>
    <w:semiHidden/>
    <w:qFormat/>
    <w:pPr>
      <w:ind w:left="840" w:hanging="420"/>
    </w:pPr>
    <w:rPr>
      <w:rFonts w:ascii="Times New Roman" w:hAnsi="Times New Roman"/>
      <w:szCs w:val="21"/>
    </w:rPr>
  </w:style>
  <w:style w:type="paragraph" w:styleId="854">
    <w:name w:val="批注框文本"/>
    <w:basedOn w:val="744"/>
    <w:next w:val="854"/>
    <w:link w:val="760"/>
    <w:semiHidden/>
    <w:qFormat/>
    <w:rPr>
      <w:rFonts w:ascii="Times New Roman" w:hAnsi="Times New Roman"/>
      <w:sz w:val="18"/>
      <w:szCs w:val="18"/>
    </w:rPr>
  </w:style>
  <w:style w:type="paragraph" w:styleId="855">
    <w:name w:val="xl29"/>
    <w:basedOn w:val="744"/>
    <w:next w:val="855"/>
    <w:link w:val="74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6">
    <w:name w:val="索引 41"/>
    <w:basedOn w:val="744"/>
    <w:next w:val="744"/>
    <w:link w:val="744"/>
    <w:qFormat/>
    <w:pPr>
      <w:ind w:left="600"/>
      <w:jc w:val="both"/>
    </w:pPr>
    <w:rPr>
      <w:rFonts w:ascii="Calibri" w:hAnsi="Calibri" w:cs="Times New Roman"/>
      <w:sz w:val="21"/>
    </w:rPr>
  </w:style>
  <w:style w:type="paragraph" w:styleId="857">
    <w:name w:val="尾注文本"/>
    <w:basedOn w:val="744"/>
    <w:next w:val="857"/>
    <w:link w:val="772"/>
    <w:uiPriority w:val="99"/>
    <w:unhideWhenUsed/>
    <w:qFormat/>
    <w:rPr>
      <w:sz w:val="20"/>
    </w:rPr>
  </w:style>
  <w:style w:type="paragraph" w:styleId="858">
    <w:name w:val="修订1"/>
    <w:next w:val="858"/>
    <w:link w:val="744"/>
    <w:uiPriority w:val="99"/>
    <w:semiHidden/>
    <w:qFormat/>
    <w:rPr>
      <w:sz w:val="21"/>
      <w:szCs w:val="21"/>
      <w:lang w:val="en-US" w:eastAsia="zh-CN" w:bidi="ar-SA"/>
    </w:rPr>
  </w:style>
  <w:style w:type="paragraph" w:styleId="859">
    <w:name w:val="脚注文本"/>
    <w:basedOn w:val="744"/>
    <w:next w:val="859"/>
    <w:link w:val="780"/>
    <w:uiPriority w:val="99"/>
    <w:unhideWhenUsed/>
    <w:qFormat/>
    <w:pPr>
      <w:spacing w:after="40"/>
    </w:pPr>
    <w:rPr>
      <w:sz w:val="18"/>
    </w:rPr>
  </w:style>
  <w:style w:type="paragraph" w:styleId="860">
    <w:name w:val="table_1stline"/>
    <w:basedOn w:val="744"/>
    <w:next w:val="860"/>
    <w:link w:val="744"/>
    <w:qFormat/>
    <w:pPr>
      <w:jc w:val="left"/>
      <w:spacing w:before="120"/>
      <w:widowControl/>
    </w:pPr>
    <w:rPr>
      <w:rFonts w:ascii="Times New Roman" w:hAnsi="Times New Roman"/>
      <w:bCs/>
      <w:sz w:val="20"/>
      <w:szCs w:val="20"/>
      <w:lang w:val="de-DE" w:eastAsia="de-DE"/>
    </w:rPr>
  </w:style>
  <w:style w:type="paragraph" w:styleId="861">
    <w:name w:val="正文文本缩进 2"/>
    <w:basedOn w:val="744"/>
    <w:next w:val="861"/>
    <w:link w:val="785"/>
    <w:qFormat/>
    <w:pPr>
      <w:ind w:left="630" w:firstLine="645"/>
    </w:pPr>
    <w:rPr>
      <w:rFonts w:ascii="Arial" w:hAnsi="Arial" w:eastAsia="仿宋_GB2312" w:cs="Arial"/>
      <w:sz w:val="32"/>
      <w:szCs w:val="32"/>
    </w:rPr>
  </w:style>
  <w:style w:type="paragraph" w:styleId="862">
    <w:name w:val="目录 5"/>
    <w:basedOn w:val="744"/>
    <w:next w:val="744"/>
    <w:link w:val="744"/>
    <w:semiHidden/>
    <w:qFormat/>
    <w:pPr>
      <w:ind w:left="1680"/>
    </w:pPr>
  </w:style>
  <w:style w:type="paragraph" w:styleId="863">
    <w:name w:val="正文文本 3"/>
    <w:basedOn w:val="744"/>
    <w:next w:val="863"/>
    <w:link w:val="811"/>
    <w:qFormat/>
    <w:rPr>
      <w:rFonts w:ascii="仿宋_GB2312" w:hAnsi="Arial" w:eastAsia="仿宋_GB2312"/>
      <w:sz w:val="32"/>
      <w:szCs w:val="32"/>
    </w:rPr>
  </w:style>
  <w:style w:type="paragraph" w:styleId="864">
    <w:name w:val="目录 7"/>
    <w:basedOn w:val="744"/>
    <w:next w:val="744"/>
    <w:link w:val="744"/>
    <w:semiHidden/>
    <w:qFormat/>
    <w:pPr>
      <w:ind w:left="2520"/>
    </w:pPr>
  </w:style>
  <w:style w:type="paragraph" w:styleId="865">
    <w:name w:val="列表 3"/>
    <w:basedOn w:val="744"/>
    <w:next w:val="865"/>
    <w:link w:val="744"/>
    <w:qFormat/>
    <w:pPr>
      <w:ind w:left="100" w:hanging="200"/>
    </w:pPr>
    <w:rPr>
      <w:rFonts w:ascii="Times New Roman" w:hAnsi="Times New Roman"/>
      <w:szCs w:val="21"/>
    </w:rPr>
  </w:style>
  <w:style w:type="paragraph" w:styleId="866">
    <w:name w:val="Char Char Char Char1"/>
    <w:basedOn w:val="843"/>
    <w:next w:val="866"/>
    <w:link w:val="744"/>
    <w:qFormat/>
    <w:pPr>
      <w:spacing w:line="360" w:lineRule="auto"/>
    </w:pPr>
    <w:rPr>
      <w:rFonts w:ascii="Tahoma" w:hAnsi="Tahoma"/>
      <w:sz w:val="24"/>
      <w:szCs w:val="24"/>
    </w:rPr>
  </w:style>
  <w:style w:type="paragraph" w:styleId="867">
    <w:name w:val="font6"/>
    <w:basedOn w:val="744"/>
    <w:next w:val="867"/>
    <w:link w:val="744"/>
    <w:qFormat/>
    <w:pPr>
      <w:jc w:val="left"/>
      <w:spacing w:before="100" w:beforeAutospacing="1" w:after="100" w:afterAutospacing="1"/>
      <w:widowControl/>
    </w:pPr>
    <w:rPr>
      <w:rFonts w:hint="eastAsia" w:ascii="宋体" w:hAnsi="宋体"/>
      <w:sz w:val="28"/>
      <w:szCs w:val="28"/>
      <w:u w:val="single"/>
    </w:rPr>
  </w:style>
  <w:style w:type="paragraph" w:styleId="868">
    <w:name w:val="正文文本 2"/>
    <w:basedOn w:val="744"/>
    <w:next w:val="868"/>
    <w:link w:val="796"/>
    <w:qFormat/>
    <w:pPr>
      <w:jc w:val="center"/>
      <w:widowControl/>
    </w:pPr>
    <w:rPr>
      <w:rFonts w:ascii="楷体_GB2312" w:hAnsi="Times New Roman" w:eastAsia="楷体_GB2312"/>
      <w:sz w:val="28"/>
      <w:szCs w:val="28"/>
    </w:rPr>
  </w:style>
  <w:style w:type="paragraph" w:styleId="869">
    <w:name w:val="xl28"/>
    <w:basedOn w:val="744"/>
    <w:next w:val="869"/>
    <w:link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0">
    <w:name w:val="副标题"/>
    <w:basedOn w:val="744"/>
    <w:next w:val="744"/>
    <w:link w:val="800"/>
    <w:uiPriority w:val="11"/>
    <w:qFormat/>
    <w:pPr>
      <w:spacing w:before="200" w:after="200"/>
    </w:pPr>
    <w:rPr>
      <w:sz w:val="24"/>
      <w:szCs w:val="24"/>
    </w:rPr>
  </w:style>
  <w:style w:type="paragraph" w:styleId="871">
    <w:name w:val="列出段落"/>
    <w:basedOn w:val="744"/>
    <w:next w:val="871"/>
    <w:link w:val="744"/>
    <w:qFormat/>
    <w:pPr>
      <w:contextualSpacing/>
      <w:ind w:left="720"/>
      <w:jc w:val="left"/>
      <w:widowControl/>
    </w:pPr>
    <w:rPr>
      <w:sz w:val="24"/>
      <w:szCs w:val="24"/>
      <w:lang w:eastAsia="en-US" w:bidi="en-US"/>
    </w:rPr>
  </w:style>
  <w:style w:type="paragraph" w:styleId="872">
    <w:name w:val="页眉"/>
    <w:basedOn w:val="744"/>
    <w:next w:val="872"/>
    <w:link w:val="767"/>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73">
    <w:name w:val="正文首行缩进"/>
    <w:basedOn w:val="744"/>
    <w:next w:val="873"/>
    <w:link w:val="761"/>
    <w:qFormat/>
    <w:pPr>
      <w:ind w:firstLine="200"/>
      <w:spacing w:line="360" w:lineRule="auto"/>
    </w:pPr>
    <w:rPr>
      <w:rFonts w:ascii="仿宋_GB2312" w:hAnsi="Times New Roman" w:eastAsia="仿宋_GB2312"/>
      <w:sz w:val="30"/>
      <w:szCs w:val="30"/>
    </w:rPr>
  </w:style>
  <w:style w:type="paragraph" w:styleId="874">
    <w:name w:val="引用"/>
    <w:basedOn w:val="744"/>
    <w:next w:val="744"/>
    <w:link w:val="758"/>
    <w:uiPriority w:val="29"/>
    <w:qFormat/>
    <w:pPr>
      <w:ind w:left="720" w:right="720"/>
    </w:pPr>
    <w:rPr>
      <w:i/>
    </w:rPr>
  </w:style>
  <w:style w:type="paragraph" w:styleId="875">
    <w:name w:val="索引 1"/>
    <w:basedOn w:val="744"/>
    <w:next w:val="744"/>
    <w:link w:val="744"/>
    <w:semiHidden/>
    <w:qFormat/>
    <w:pPr>
      <w:spacing w:line="240" w:lineRule="atLeast"/>
    </w:pPr>
    <w:rPr>
      <w:rFonts w:ascii="Times New Roman" w:hAnsi="Times New Roman"/>
      <w:b/>
      <w:bCs/>
      <w:szCs w:val="21"/>
    </w:rPr>
  </w:style>
  <w:style w:type="paragraph" w:styleId="876">
    <w:name w:val="修订"/>
    <w:next w:val="876"/>
    <w:link w:val="744"/>
    <w:uiPriority w:val="99"/>
    <w:unhideWhenUsed/>
    <w:rPr>
      <w:sz w:val="21"/>
      <w:szCs w:val="22"/>
      <w:lang w:val="en-US" w:eastAsia="zh-CN" w:bidi="ar-SA"/>
    </w:rPr>
  </w:style>
  <w:style w:type="paragraph" w:styleId="877">
    <w:name w:val="目录 1"/>
    <w:basedOn w:val="744"/>
    <w:next w:val="744"/>
    <w:link w:val="744"/>
    <w:semiHidden/>
    <w:qFormat/>
  </w:style>
  <w:style w:type="paragraph" w:styleId="878">
    <w:name w:val="xl27"/>
    <w:basedOn w:val="744"/>
    <w:next w:val="878"/>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9">
    <w:name w:val="正文文本缩进"/>
    <w:basedOn w:val="744"/>
    <w:next w:val="879"/>
    <w:link w:val="756"/>
    <w:unhideWhenUsed/>
    <w:qFormat/>
    <w:pPr>
      <w:ind w:left="420"/>
      <w:spacing w:after="120"/>
    </w:pPr>
  </w:style>
  <w:style w:type="paragraph" w:styleId="880">
    <w:name w:val="题注"/>
    <w:basedOn w:val="744"/>
    <w:next w:val="744"/>
    <w:link w:val="744"/>
    <w:uiPriority w:val="35"/>
    <w:qFormat/>
    <w:pPr>
      <w:spacing w:line="276" w:lineRule="auto"/>
    </w:pPr>
    <w:rPr>
      <w:b/>
      <w:bCs/>
      <w:color w:val="4f81bd"/>
      <w:sz w:val="18"/>
      <w:szCs w:val="18"/>
    </w:rPr>
  </w:style>
  <w:style w:type="paragraph" w:styleId="881">
    <w:name w:val="普通 (Web)"/>
    <w:basedOn w:val="744"/>
    <w:next w:val="881"/>
    <w:link w:val="744"/>
    <w:qFormat/>
    <w:pPr>
      <w:jc w:val="left"/>
      <w:spacing w:before="100" w:beforeAutospacing="1" w:after="100" w:afterAutospacing="1"/>
      <w:widowControl/>
    </w:pPr>
    <w:rPr>
      <w:rFonts w:ascii="宋体" w:hAnsi="宋体"/>
      <w:sz w:val="24"/>
      <w:szCs w:val="24"/>
    </w:rPr>
  </w:style>
  <w:style w:type="paragraph" w:styleId="882">
    <w:name w:val="xl25"/>
    <w:basedOn w:val="744"/>
    <w:next w:val="882"/>
    <w:link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3">
    <w:name w:val="Char Char Char Char Char Char Char Char Char Char"/>
    <w:basedOn w:val="744"/>
    <w:next w:val="883"/>
    <w:link w:val="744"/>
    <w:qFormat/>
    <w:pPr>
      <w:spacing w:line="360" w:lineRule="auto"/>
    </w:pPr>
    <w:rPr>
      <w:rFonts w:ascii="Times New Roman" w:hAnsi="Times New Roman"/>
      <w:sz w:val="24"/>
      <w:szCs w:val="20"/>
    </w:rPr>
  </w:style>
  <w:style w:type="paragraph" w:styleId="884">
    <w:name w:val="table_lines"/>
    <w:basedOn w:val="744"/>
    <w:next w:val="884"/>
    <w:link w:val="744"/>
    <w:qFormat/>
    <w:pPr>
      <w:jc w:val="left"/>
      <w:widowControl/>
    </w:pPr>
    <w:rPr>
      <w:rFonts w:ascii="Times New Roman" w:hAnsi="Times New Roman"/>
      <w:sz w:val="20"/>
      <w:szCs w:val="20"/>
      <w:lang w:val="de-DE" w:eastAsia="de-DE"/>
    </w:rPr>
  </w:style>
  <w:style w:type="paragraph" w:styleId="885">
    <w:name w:val="Char1"/>
    <w:basedOn w:val="843"/>
    <w:next w:val="885"/>
    <w:link w:val="744"/>
    <w:qFormat/>
    <w:rPr>
      <w:rFonts w:ascii="Tahoma" w:hAnsi="Tahoma"/>
      <w:sz w:val="24"/>
      <w:szCs w:val="24"/>
    </w:rPr>
  </w:style>
  <w:style w:type="paragraph" w:styleId="886">
    <w:name w:val="font7"/>
    <w:basedOn w:val="744"/>
    <w:next w:val="886"/>
    <w:link w:val="744"/>
    <w:qFormat/>
    <w:pPr>
      <w:jc w:val="left"/>
      <w:spacing w:before="100" w:beforeAutospacing="1" w:after="100" w:afterAutospacing="1"/>
      <w:widowControl/>
    </w:pPr>
    <w:rPr>
      <w:rFonts w:hint="eastAsia" w:ascii="宋体" w:hAnsi="宋体"/>
      <w:sz w:val="18"/>
      <w:szCs w:val="18"/>
    </w:rPr>
  </w:style>
  <w:style w:type="paragraph" w:styleId="887">
    <w:name w:val="xl24"/>
    <w:basedOn w:val="744"/>
    <w:next w:val="887"/>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8">
    <w:name w:val="Char Char Char Char Char Char Char Char1"/>
    <w:basedOn w:val="744"/>
    <w:next w:val="888"/>
    <w:link w:val="744"/>
    <w:qFormat/>
    <w:pPr>
      <w:jc w:val="left"/>
      <w:spacing w:after="160" w:line="240" w:lineRule="exact"/>
      <w:widowControl/>
    </w:pPr>
    <w:rPr>
      <w:rFonts w:ascii="Verdana" w:hAnsi="Verdana"/>
      <w:sz w:val="20"/>
      <w:szCs w:val="20"/>
      <w:lang w:eastAsia="en-US"/>
    </w:rPr>
  </w:style>
  <w:style w:type="paragraph" w:styleId="889">
    <w:name w:val="普通正文"/>
    <w:basedOn w:val="744"/>
    <w:next w:val="889"/>
    <w:link w:val="744"/>
    <w:qFormat/>
    <w:pPr>
      <w:ind w:firstLine="480"/>
      <w:jc w:val="left"/>
      <w:spacing w:before="120" w:after="120" w:line="360" w:lineRule="auto"/>
    </w:pPr>
    <w:rPr>
      <w:rFonts w:ascii="Arial" w:hAnsi="Arial"/>
      <w:sz w:val="24"/>
      <w:szCs w:val="24"/>
    </w:rPr>
  </w:style>
  <w:style w:type="table" w:styleId="890">
    <w:name w:val="Plain Table 3"/>
    <w:next w:val="890"/>
    <w:link w:val="744"/>
    <w:uiPriority w:val="99"/>
    <w:qFormat/>
    <w:rPr>
      <w:lang w:val="en-US" w:eastAsia="zh-CN" w:bidi="ar-SA"/>
    </w:rPr>
    <w:tblPr/>
  </w:style>
  <w:style w:type="table" w:styleId="891">
    <w:name w:val="List Table 3 - Accent 3"/>
    <w:next w:val="891"/>
    <w:link w:val="744"/>
    <w:uiPriority w:val="99"/>
    <w:qFormat/>
    <w:rPr>
      <w:lang w:val="en-US" w:eastAsia="zh-CN" w:bidi="ar-SA"/>
    </w:rPr>
    <w:tblPr/>
  </w:style>
  <w:style w:type="table" w:styleId="892">
    <w:name w:val="List Table 4"/>
    <w:next w:val="892"/>
    <w:link w:val="744"/>
    <w:uiPriority w:val="99"/>
    <w:qFormat/>
    <w:rPr>
      <w:lang w:val="en-US" w:eastAsia="zh-CN" w:bidi="ar-SA"/>
    </w:rPr>
    <w:tblPr/>
  </w:style>
  <w:style w:type="table" w:styleId="893">
    <w:name w:val="List Table 2 - Accent 5"/>
    <w:next w:val="893"/>
    <w:link w:val="744"/>
    <w:uiPriority w:val="99"/>
    <w:qFormat/>
    <w:rPr>
      <w:lang w:val="en-US" w:eastAsia="zh-CN" w:bidi="ar-SA"/>
    </w:rPr>
    <w:tblPr/>
  </w:style>
  <w:style w:type="table" w:styleId="894">
    <w:name w:val="网格型"/>
    <w:basedOn w:val="755"/>
    <w:next w:val="894"/>
    <w:link w:val="744"/>
    <w:qFormat/>
    <w:pPr>
      <w:jc w:val="both"/>
      <w:widowControl w:val="off"/>
    </w:pPr>
    <w:rPr>
      <w:rFonts w:ascii="Times New Roman" w:hAnsi="Times New Roman"/>
    </w:rPr>
    <w:tblPr/>
  </w:style>
  <w:style w:type="table" w:styleId="895">
    <w:name w:val="Grid Table 2 - Accent 5"/>
    <w:next w:val="895"/>
    <w:link w:val="744"/>
    <w:uiPriority w:val="99"/>
    <w:qFormat/>
    <w:rPr>
      <w:lang w:val="en-US" w:eastAsia="zh-CN" w:bidi="ar-SA"/>
    </w:rPr>
    <w:tblPr/>
  </w:style>
  <w:style w:type="table" w:styleId="896">
    <w:name w:val="List Table 2 - Accent 2"/>
    <w:next w:val="896"/>
    <w:link w:val="744"/>
    <w:uiPriority w:val="99"/>
    <w:qFormat/>
    <w:rPr>
      <w:lang w:val="en-US" w:eastAsia="zh-CN" w:bidi="ar-SA"/>
    </w:rPr>
    <w:tblPr/>
  </w:style>
  <w:style w:type="table" w:styleId="897">
    <w:name w:val="List Table 2 - Accent 1"/>
    <w:next w:val="897"/>
    <w:link w:val="744"/>
    <w:uiPriority w:val="99"/>
    <w:qFormat/>
    <w:rPr>
      <w:lang w:val="en-US" w:eastAsia="zh-CN" w:bidi="ar-SA"/>
    </w:rPr>
    <w:tblPr/>
  </w:style>
  <w:style w:type="table" w:styleId="898">
    <w:name w:val="Grid Table 7 Colorful - Accent 4"/>
    <w:next w:val="898"/>
    <w:link w:val="744"/>
    <w:uiPriority w:val="99"/>
    <w:qFormat/>
    <w:rPr>
      <w:lang w:val="en-US" w:eastAsia="zh-CN" w:bidi="ar-SA"/>
    </w:rPr>
    <w:tblPr/>
  </w:style>
  <w:style w:type="table" w:styleId="899">
    <w:name w:val="List Table 7 Colorful - Accent 5"/>
    <w:next w:val="899"/>
    <w:link w:val="744"/>
    <w:uiPriority w:val="99"/>
    <w:qFormat/>
    <w:rPr>
      <w:lang w:val="en-US" w:eastAsia="zh-CN" w:bidi="ar-SA"/>
    </w:rPr>
    <w:tblPr/>
  </w:style>
  <w:style w:type="table" w:styleId="900">
    <w:name w:val="List Table 5 Dark - Accent 5"/>
    <w:next w:val="900"/>
    <w:link w:val="744"/>
    <w:uiPriority w:val="99"/>
    <w:qFormat/>
    <w:rPr>
      <w:lang w:val="en-US" w:eastAsia="zh-CN" w:bidi="ar-SA"/>
    </w:rPr>
    <w:tblPr/>
  </w:style>
  <w:style w:type="table" w:styleId="901">
    <w:name w:val="Grid Table 5 Dark- Accent 4"/>
    <w:next w:val="901"/>
    <w:link w:val="744"/>
    <w:uiPriority w:val="99"/>
    <w:qFormat/>
    <w:rPr>
      <w:lang w:val="en-US" w:eastAsia="zh-CN" w:bidi="ar-SA"/>
    </w:rPr>
    <w:tblPr/>
  </w:style>
  <w:style w:type="table" w:styleId="902">
    <w:name w:val="Grid Table 4 - Accent 6"/>
    <w:next w:val="902"/>
    <w:link w:val="744"/>
    <w:uiPriority w:val="59"/>
    <w:qFormat/>
    <w:rPr>
      <w:lang w:val="en-US" w:eastAsia="zh-CN" w:bidi="ar-SA"/>
    </w:rPr>
    <w:tblPr/>
  </w:style>
  <w:style w:type="table" w:styleId="903">
    <w:name w:val="List Table 4 - Accent 5"/>
    <w:next w:val="903"/>
    <w:link w:val="744"/>
    <w:uiPriority w:val="99"/>
    <w:qFormat/>
    <w:rPr>
      <w:lang w:val="en-US" w:eastAsia="zh-CN" w:bidi="ar-SA"/>
    </w:rPr>
    <w:tblPr/>
  </w:style>
  <w:style w:type="table" w:styleId="904">
    <w:name w:val="List Table 4 - Accent 3"/>
    <w:next w:val="904"/>
    <w:link w:val="744"/>
    <w:uiPriority w:val="99"/>
    <w:qFormat/>
    <w:rPr>
      <w:lang w:val="en-US" w:eastAsia="zh-CN" w:bidi="ar-SA"/>
    </w:rPr>
    <w:tblPr/>
  </w:style>
  <w:style w:type="table" w:styleId="905">
    <w:name w:val="Grid Table 3 - Accent 4"/>
    <w:next w:val="905"/>
    <w:link w:val="744"/>
    <w:uiPriority w:val="99"/>
    <w:qFormat/>
    <w:rPr>
      <w:lang w:val="en-US" w:eastAsia="zh-CN" w:bidi="ar-SA"/>
    </w:rPr>
    <w:tblPr/>
  </w:style>
  <w:style w:type="table" w:styleId="906">
    <w:name w:val="Grid Table 5 Dark"/>
    <w:next w:val="906"/>
    <w:link w:val="744"/>
    <w:uiPriority w:val="99"/>
    <w:qFormat/>
    <w:rPr>
      <w:lang w:val="en-US" w:eastAsia="zh-CN" w:bidi="ar-SA"/>
    </w:rPr>
    <w:tblPr/>
  </w:style>
  <w:style w:type="table" w:styleId="907">
    <w:name w:val="Grid Table 4 - Accent 5"/>
    <w:next w:val="907"/>
    <w:link w:val="744"/>
    <w:uiPriority w:val="59"/>
    <w:qFormat/>
    <w:rPr>
      <w:lang w:val="en-US" w:eastAsia="zh-CN" w:bidi="ar-SA"/>
    </w:rPr>
    <w:tblPr/>
  </w:style>
  <w:style w:type="table" w:styleId="908">
    <w:name w:val="Grid Table 6 Colorful - Accent 2"/>
    <w:next w:val="908"/>
    <w:link w:val="744"/>
    <w:uiPriority w:val="99"/>
    <w:qFormat/>
    <w:rPr>
      <w:lang w:val="en-US" w:eastAsia="zh-CN" w:bidi="ar-SA"/>
    </w:rPr>
    <w:tblPr/>
  </w:style>
  <w:style w:type="table" w:styleId="909">
    <w:name w:val="Bordered - Accent 5"/>
    <w:next w:val="909"/>
    <w:link w:val="744"/>
    <w:uiPriority w:val="99"/>
    <w:qFormat/>
    <w:rPr>
      <w:lang w:val="en-US" w:eastAsia="zh-CN" w:bidi="ar-SA"/>
    </w:rPr>
    <w:tblPr/>
  </w:style>
  <w:style w:type="table" w:styleId="910">
    <w:name w:val="Grid Table 3 - Accent 1"/>
    <w:next w:val="910"/>
    <w:link w:val="744"/>
    <w:uiPriority w:val="99"/>
    <w:qFormat/>
    <w:rPr>
      <w:lang w:val="en-US" w:eastAsia="zh-CN" w:bidi="ar-SA"/>
    </w:rPr>
    <w:tblPr/>
  </w:style>
  <w:style w:type="table" w:styleId="911">
    <w:name w:val="List Table 1 Light - Accent 1"/>
    <w:next w:val="911"/>
    <w:link w:val="744"/>
    <w:uiPriority w:val="99"/>
    <w:qFormat/>
    <w:rPr>
      <w:lang w:val="en-US" w:eastAsia="zh-CN" w:bidi="ar-SA"/>
    </w:rPr>
    <w:tblPr/>
  </w:style>
  <w:style w:type="table" w:styleId="912">
    <w:name w:val="Grid Table 1 Light - Accent 6"/>
    <w:next w:val="912"/>
    <w:link w:val="744"/>
    <w:uiPriority w:val="99"/>
    <w:qFormat/>
    <w:rPr>
      <w:lang w:val="en-US" w:eastAsia="zh-CN" w:bidi="ar-SA"/>
    </w:rPr>
    <w:tblPr/>
  </w:style>
  <w:style w:type="table" w:styleId="913">
    <w:name w:val="Bordered - Accent 2"/>
    <w:next w:val="913"/>
    <w:link w:val="744"/>
    <w:uiPriority w:val="99"/>
    <w:qFormat/>
    <w:rPr>
      <w:lang w:val="en-US" w:eastAsia="zh-CN" w:bidi="ar-SA"/>
    </w:rPr>
    <w:tblPr/>
  </w:style>
  <w:style w:type="table" w:styleId="914">
    <w:name w:val="Grid Table 1 Light - Accent 4"/>
    <w:next w:val="914"/>
    <w:link w:val="744"/>
    <w:uiPriority w:val="99"/>
    <w:qFormat/>
    <w:rPr>
      <w:lang w:val="en-US" w:eastAsia="zh-CN" w:bidi="ar-SA"/>
    </w:rPr>
    <w:tblPr/>
  </w:style>
  <w:style w:type="table" w:styleId="915">
    <w:name w:val="Grid Table 1 Light - Accent 3"/>
    <w:next w:val="915"/>
    <w:link w:val="744"/>
    <w:uiPriority w:val="99"/>
    <w:qFormat/>
    <w:rPr>
      <w:lang w:val="en-US" w:eastAsia="zh-CN" w:bidi="ar-SA"/>
    </w:rPr>
    <w:tblPr/>
  </w:style>
  <w:style w:type="table" w:styleId="916">
    <w:name w:val="Grid Table 7 Colorful - Accent 5"/>
    <w:next w:val="916"/>
    <w:link w:val="744"/>
    <w:uiPriority w:val="99"/>
    <w:qFormat/>
    <w:rPr>
      <w:lang w:val="en-US" w:eastAsia="zh-CN" w:bidi="ar-SA"/>
    </w:rPr>
    <w:tblPr/>
  </w:style>
  <w:style w:type="table" w:styleId="917">
    <w:name w:val="Bordered &amp; Lined - Accent 2"/>
    <w:next w:val="917"/>
    <w:link w:val="744"/>
    <w:uiPriority w:val="99"/>
    <w:qFormat/>
    <w:rPr>
      <w:color w:val="404040"/>
      <w:lang w:val="en-US" w:eastAsia="zh-CN" w:bidi="ar-SA"/>
    </w:rPr>
    <w:tblPr/>
  </w:style>
  <w:style w:type="table" w:styleId="918">
    <w:name w:val="Bordered - Accent 4"/>
    <w:next w:val="918"/>
    <w:link w:val="744"/>
    <w:uiPriority w:val="99"/>
    <w:qFormat/>
    <w:rPr>
      <w:lang w:val="en-US" w:eastAsia="zh-CN" w:bidi="ar-SA"/>
    </w:rPr>
    <w:tblPr/>
  </w:style>
  <w:style w:type="table" w:styleId="919">
    <w:name w:val="List Table 1 Light - Accent 4"/>
    <w:next w:val="919"/>
    <w:link w:val="744"/>
    <w:uiPriority w:val="99"/>
    <w:qFormat/>
    <w:rPr>
      <w:lang w:val="en-US" w:eastAsia="zh-CN" w:bidi="ar-SA"/>
    </w:rPr>
    <w:tblPr/>
  </w:style>
  <w:style w:type="table" w:styleId="920">
    <w:name w:val="Grid Table 6 Colorful - Accent 1"/>
    <w:next w:val="920"/>
    <w:link w:val="744"/>
    <w:uiPriority w:val="99"/>
    <w:qFormat/>
    <w:rPr>
      <w:lang w:val="en-US" w:eastAsia="zh-CN" w:bidi="ar-SA"/>
    </w:rPr>
    <w:tblPr/>
  </w:style>
  <w:style w:type="table" w:styleId="921">
    <w:name w:val="List Table 3"/>
    <w:next w:val="921"/>
    <w:link w:val="744"/>
    <w:uiPriority w:val="99"/>
    <w:qFormat/>
    <w:rPr>
      <w:lang w:val="en-US" w:eastAsia="zh-CN" w:bidi="ar-SA"/>
    </w:rPr>
    <w:tblPr/>
  </w:style>
  <w:style w:type="table" w:styleId="922">
    <w:name w:val="Grid Table 6 Colorful - Accent 5"/>
    <w:next w:val="922"/>
    <w:link w:val="744"/>
    <w:uiPriority w:val="99"/>
    <w:qFormat/>
    <w:rPr>
      <w:lang w:val="en-US" w:eastAsia="zh-CN" w:bidi="ar-SA"/>
    </w:rPr>
    <w:tblPr/>
  </w:style>
  <w:style w:type="table" w:styleId="923">
    <w:name w:val="List Table 2 - Accent 6"/>
    <w:next w:val="923"/>
    <w:link w:val="744"/>
    <w:uiPriority w:val="99"/>
    <w:qFormat/>
    <w:rPr>
      <w:lang w:val="en-US" w:eastAsia="zh-CN" w:bidi="ar-SA"/>
    </w:rPr>
    <w:tblPr/>
  </w:style>
  <w:style w:type="table" w:styleId="924">
    <w:name w:val="Grid Table 1 Light - Accent 2"/>
    <w:next w:val="924"/>
    <w:link w:val="744"/>
    <w:uiPriority w:val="99"/>
    <w:qFormat/>
    <w:rPr>
      <w:lang w:val="en-US" w:eastAsia="zh-CN" w:bidi="ar-SA"/>
    </w:rPr>
    <w:tblPr/>
  </w:style>
  <w:style w:type="table" w:styleId="925">
    <w:name w:val="List Table 3 - Accent 6"/>
    <w:next w:val="925"/>
    <w:link w:val="744"/>
    <w:uiPriority w:val="99"/>
    <w:qFormat/>
    <w:rPr>
      <w:lang w:val="en-US" w:eastAsia="zh-CN" w:bidi="ar-SA"/>
    </w:rPr>
    <w:tblPr/>
  </w:style>
  <w:style w:type="table" w:styleId="926">
    <w:name w:val="Table Grid Light"/>
    <w:next w:val="926"/>
    <w:link w:val="744"/>
    <w:uiPriority w:val="59"/>
    <w:qFormat/>
    <w:rPr>
      <w:lang w:val="en-US" w:eastAsia="zh-CN" w:bidi="ar-SA"/>
    </w:rPr>
    <w:tblPr/>
  </w:style>
  <w:style w:type="table" w:styleId="927">
    <w:name w:val="Bordered &amp; Lined - Accent 3"/>
    <w:next w:val="927"/>
    <w:link w:val="744"/>
    <w:uiPriority w:val="99"/>
    <w:qFormat/>
    <w:rPr>
      <w:color w:val="404040"/>
      <w:lang w:val="en-US" w:eastAsia="zh-CN" w:bidi="ar-SA"/>
    </w:rPr>
    <w:tblPr/>
  </w:style>
  <w:style w:type="table" w:styleId="928">
    <w:name w:val="Lined - Accent 6"/>
    <w:next w:val="928"/>
    <w:link w:val="744"/>
    <w:uiPriority w:val="99"/>
    <w:qFormat/>
    <w:rPr>
      <w:color w:val="404040"/>
      <w:lang w:val="en-US" w:eastAsia="zh-CN" w:bidi="ar-SA"/>
    </w:rPr>
    <w:tblPr/>
  </w:style>
  <w:style w:type="table" w:styleId="929">
    <w:name w:val="Bordered &amp; Lined - Accent 5"/>
    <w:next w:val="929"/>
    <w:link w:val="744"/>
    <w:uiPriority w:val="99"/>
    <w:qFormat/>
    <w:rPr>
      <w:color w:val="404040"/>
      <w:lang w:val="en-US" w:eastAsia="zh-CN" w:bidi="ar-SA"/>
    </w:rPr>
    <w:tblPr/>
  </w:style>
  <w:style w:type="table" w:styleId="930">
    <w:name w:val="Grid Table 7 Colorful - Accent 3"/>
    <w:next w:val="930"/>
    <w:link w:val="744"/>
    <w:uiPriority w:val="99"/>
    <w:qFormat/>
    <w:rPr>
      <w:lang w:val="en-US" w:eastAsia="zh-CN" w:bidi="ar-SA"/>
    </w:rPr>
    <w:tblPr/>
  </w:style>
  <w:style w:type="table" w:styleId="931">
    <w:name w:val="List Table 5 Dark - Accent 6"/>
    <w:next w:val="931"/>
    <w:link w:val="744"/>
    <w:uiPriority w:val="99"/>
    <w:qFormat/>
    <w:rPr>
      <w:lang w:val="en-US" w:eastAsia="zh-CN" w:bidi="ar-SA"/>
    </w:rPr>
    <w:tblPr/>
  </w:style>
  <w:style w:type="table" w:styleId="932">
    <w:name w:val="List Table 5 Dark"/>
    <w:next w:val="932"/>
    <w:link w:val="744"/>
    <w:uiPriority w:val="99"/>
    <w:qFormat/>
    <w:rPr>
      <w:lang w:val="en-US" w:eastAsia="zh-CN" w:bidi="ar-SA"/>
    </w:rPr>
    <w:tblPr/>
  </w:style>
  <w:style w:type="table" w:styleId="933">
    <w:name w:val="List Table 2"/>
    <w:next w:val="933"/>
    <w:link w:val="744"/>
    <w:uiPriority w:val="99"/>
    <w:qFormat/>
    <w:rPr>
      <w:lang w:val="en-US" w:eastAsia="zh-CN" w:bidi="ar-SA"/>
    </w:rPr>
    <w:tblPr/>
  </w:style>
  <w:style w:type="table" w:styleId="934">
    <w:name w:val="List Table 3 - Accent 2"/>
    <w:next w:val="934"/>
    <w:link w:val="744"/>
    <w:uiPriority w:val="99"/>
    <w:qFormat/>
    <w:rPr>
      <w:lang w:val="en-US" w:eastAsia="zh-CN" w:bidi="ar-SA"/>
    </w:rPr>
    <w:tblPr/>
  </w:style>
  <w:style w:type="table" w:styleId="935">
    <w:name w:val="List Table 5 Dark - Accent 3"/>
    <w:next w:val="935"/>
    <w:link w:val="744"/>
    <w:uiPriority w:val="99"/>
    <w:qFormat/>
    <w:rPr>
      <w:lang w:val="en-US" w:eastAsia="zh-CN" w:bidi="ar-SA"/>
    </w:rPr>
    <w:tblPr/>
  </w:style>
  <w:style w:type="table" w:styleId="936">
    <w:name w:val="Lined - Accent 1"/>
    <w:next w:val="936"/>
    <w:link w:val="744"/>
    <w:uiPriority w:val="99"/>
    <w:qFormat/>
    <w:rPr>
      <w:color w:val="404040"/>
      <w:lang w:val="en-US" w:eastAsia="zh-CN" w:bidi="ar-SA"/>
    </w:rPr>
    <w:tblPr/>
  </w:style>
  <w:style w:type="table" w:styleId="937">
    <w:name w:val="List Table 6 Colorful - Accent 1"/>
    <w:next w:val="937"/>
    <w:link w:val="744"/>
    <w:uiPriority w:val="99"/>
    <w:qFormat/>
    <w:rPr>
      <w:lang w:val="en-US" w:eastAsia="zh-CN" w:bidi="ar-SA"/>
    </w:rPr>
    <w:tblPr/>
  </w:style>
  <w:style w:type="table" w:styleId="938">
    <w:name w:val="Grid Table 7 Colorful"/>
    <w:next w:val="938"/>
    <w:link w:val="744"/>
    <w:uiPriority w:val="99"/>
    <w:qFormat/>
    <w:rPr>
      <w:lang w:val="en-US" w:eastAsia="zh-CN" w:bidi="ar-SA"/>
    </w:rPr>
    <w:tblPr/>
  </w:style>
  <w:style w:type="table" w:styleId="939">
    <w:name w:val="List Table 5 Dark - Accent 1"/>
    <w:next w:val="939"/>
    <w:link w:val="744"/>
    <w:uiPriority w:val="99"/>
    <w:qFormat/>
    <w:rPr>
      <w:lang w:val="en-US" w:eastAsia="zh-CN" w:bidi="ar-SA"/>
    </w:rPr>
    <w:tblPr/>
  </w:style>
  <w:style w:type="table" w:styleId="940">
    <w:name w:val="List Table 7 Colorful - Accent 2"/>
    <w:next w:val="940"/>
    <w:link w:val="744"/>
    <w:uiPriority w:val="99"/>
    <w:qFormat/>
    <w:rPr>
      <w:lang w:val="en-US" w:eastAsia="zh-CN" w:bidi="ar-SA"/>
    </w:rPr>
    <w:tblPr/>
  </w:style>
  <w:style w:type="table" w:styleId="941">
    <w:name w:val="List Table 4 - Accent 4"/>
    <w:next w:val="941"/>
    <w:link w:val="744"/>
    <w:uiPriority w:val="99"/>
    <w:qFormat/>
    <w:rPr>
      <w:lang w:val="en-US" w:eastAsia="zh-CN" w:bidi="ar-SA"/>
    </w:rPr>
    <w:tblPr/>
  </w:style>
  <w:style w:type="table" w:styleId="942">
    <w:name w:val="Bordered &amp; Lined - Accent 1"/>
    <w:next w:val="942"/>
    <w:link w:val="744"/>
    <w:uiPriority w:val="99"/>
    <w:qFormat/>
    <w:rPr>
      <w:color w:val="404040"/>
      <w:lang w:val="en-US" w:eastAsia="zh-CN" w:bidi="ar-SA"/>
    </w:rPr>
    <w:tblPr/>
  </w:style>
  <w:style w:type="table" w:styleId="943">
    <w:name w:val="List Table 3 - Accent 1"/>
    <w:next w:val="943"/>
    <w:link w:val="744"/>
    <w:uiPriority w:val="99"/>
    <w:qFormat/>
    <w:rPr>
      <w:lang w:val="en-US" w:eastAsia="zh-CN" w:bidi="ar-SA"/>
    </w:rPr>
    <w:tblPr/>
  </w:style>
  <w:style w:type="table" w:styleId="944">
    <w:name w:val="List Table 4 - Accent 6"/>
    <w:next w:val="944"/>
    <w:link w:val="744"/>
    <w:uiPriority w:val="99"/>
    <w:qFormat/>
    <w:rPr>
      <w:lang w:val="en-US" w:eastAsia="zh-CN" w:bidi="ar-SA"/>
    </w:rPr>
    <w:tblPr/>
  </w:style>
  <w:style w:type="table" w:styleId="945">
    <w:name w:val="Bordered &amp; Lined - Accent"/>
    <w:next w:val="945"/>
    <w:link w:val="744"/>
    <w:uiPriority w:val="99"/>
    <w:qFormat/>
    <w:rPr>
      <w:color w:val="404040"/>
      <w:lang w:val="en-US" w:eastAsia="zh-CN" w:bidi="ar-SA"/>
    </w:rPr>
    <w:tblPr/>
  </w:style>
  <w:style w:type="table" w:styleId="946">
    <w:name w:val="Lined - Accent 2"/>
    <w:next w:val="946"/>
    <w:link w:val="744"/>
    <w:uiPriority w:val="99"/>
    <w:qFormat/>
    <w:rPr>
      <w:color w:val="404040"/>
      <w:lang w:val="en-US" w:eastAsia="zh-CN" w:bidi="ar-SA"/>
    </w:rPr>
    <w:tblPr/>
  </w:style>
  <w:style w:type="table" w:styleId="947">
    <w:name w:val="Grid Table 6 Colorful - Accent 3"/>
    <w:next w:val="947"/>
    <w:link w:val="744"/>
    <w:uiPriority w:val="99"/>
    <w:qFormat/>
    <w:rPr>
      <w:lang w:val="en-US" w:eastAsia="zh-CN" w:bidi="ar-SA"/>
    </w:rPr>
    <w:tblPr/>
  </w:style>
  <w:style w:type="table" w:styleId="948">
    <w:name w:val="List Table 7 Colorful - Accent 1"/>
    <w:next w:val="948"/>
    <w:link w:val="744"/>
    <w:uiPriority w:val="99"/>
    <w:qFormat/>
    <w:rPr>
      <w:lang w:val="en-US" w:eastAsia="zh-CN" w:bidi="ar-SA"/>
    </w:rPr>
    <w:tblPr/>
  </w:style>
  <w:style w:type="table" w:styleId="949">
    <w:name w:val="List Table 5 Dark - Accent 4"/>
    <w:next w:val="949"/>
    <w:link w:val="744"/>
    <w:uiPriority w:val="99"/>
    <w:qFormat/>
    <w:rPr>
      <w:lang w:val="en-US" w:eastAsia="zh-CN" w:bidi="ar-SA"/>
    </w:rPr>
    <w:tblPr/>
  </w:style>
  <w:style w:type="table" w:styleId="950">
    <w:name w:val="Plain Table 5"/>
    <w:next w:val="950"/>
    <w:link w:val="744"/>
    <w:uiPriority w:val="99"/>
    <w:qFormat/>
    <w:rPr>
      <w:lang w:val="en-US" w:eastAsia="zh-CN" w:bidi="ar-SA"/>
    </w:rPr>
    <w:tblPr/>
  </w:style>
  <w:style w:type="table" w:styleId="951">
    <w:name w:val="Grid Table 1 Light"/>
    <w:next w:val="951"/>
    <w:link w:val="744"/>
    <w:uiPriority w:val="99"/>
    <w:qFormat/>
    <w:rPr>
      <w:lang w:val="en-US" w:eastAsia="zh-CN" w:bidi="ar-SA"/>
    </w:rPr>
    <w:tblPr/>
  </w:style>
  <w:style w:type="table" w:styleId="952">
    <w:name w:val="List Table 6 Colorful - Accent 2"/>
    <w:next w:val="952"/>
    <w:link w:val="744"/>
    <w:uiPriority w:val="99"/>
    <w:qFormat/>
    <w:rPr>
      <w:lang w:val="en-US" w:eastAsia="zh-CN" w:bidi="ar-SA"/>
    </w:rPr>
    <w:tblPr/>
  </w:style>
  <w:style w:type="table" w:styleId="953">
    <w:name w:val="List Table 6 Colorful"/>
    <w:next w:val="953"/>
    <w:link w:val="744"/>
    <w:uiPriority w:val="99"/>
    <w:qFormat/>
    <w:rPr>
      <w:lang w:val="en-US" w:eastAsia="zh-CN" w:bidi="ar-SA"/>
    </w:rPr>
    <w:tblPr/>
  </w:style>
  <w:style w:type="table" w:styleId="954">
    <w:name w:val="Grid Table 4 - Accent 3"/>
    <w:next w:val="954"/>
    <w:link w:val="744"/>
    <w:uiPriority w:val="59"/>
    <w:qFormat/>
    <w:rPr>
      <w:lang w:val="en-US" w:eastAsia="zh-CN" w:bidi="ar-SA"/>
    </w:rPr>
    <w:tblPr/>
  </w:style>
  <w:style w:type="table" w:styleId="955">
    <w:name w:val="List Table 7 Colorful - Accent 4"/>
    <w:next w:val="955"/>
    <w:link w:val="744"/>
    <w:uiPriority w:val="99"/>
    <w:qFormat/>
    <w:rPr>
      <w:lang w:val="en-US" w:eastAsia="zh-CN" w:bidi="ar-SA"/>
    </w:rPr>
    <w:tblPr/>
  </w:style>
  <w:style w:type="table" w:styleId="956">
    <w:name w:val="List Table 7 Colorful"/>
    <w:next w:val="956"/>
    <w:link w:val="744"/>
    <w:uiPriority w:val="99"/>
    <w:qFormat/>
    <w:rPr>
      <w:lang w:val="en-US" w:eastAsia="zh-CN" w:bidi="ar-SA"/>
    </w:rPr>
    <w:tblPr/>
  </w:style>
  <w:style w:type="table" w:styleId="957">
    <w:name w:val="Grid Table 5 Dark - Accent 2"/>
    <w:next w:val="957"/>
    <w:link w:val="744"/>
    <w:uiPriority w:val="99"/>
    <w:qFormat/>
    <w:rPr>
      <w:lang w:val="en-US" w:eastAsia="zh-CN" w:bidi="ar-SA"/>
    </w:rPr>
    <w:tblPr/>
  </w:style>
  <w:style w:type="table" w:styleId="958">
    <w:name w:val="Plain Table 1"/>
    <w:next w:val="958"/>
    <w:link w:val="744"/>
    <w:uiPriority w:val="59"/>
    <w:qFormat/>
    <w:rPr>
      <w:lang w:val="en-US" w:eastAsia="zh-CN" w:bidi="ar-SA"/>
    </w:rPr>
    <w:tblPr/>
  </w:style>
  <w:style w:type="table" w:styleId="959">
    <w:name w:val="Grid Table 4 - Accent 2"/>
    <w:next w:val="959"/>
    <w:link w:val="744"/>
    <w:uiPriority w:val="59"/>
    <w:qFormat/>
    <w:rPr>
      <w:lang w:val="en-US" w:eastAsia="zh-CN" w:bidi="ar-SA"/>
    </w:rPr>
    <w:tblPr/>
  </w:style>
  <w:style w:type="table" w:styleId="960">
    <w:name w:val="Grid Table 2 - Accent 3"/>
    <w:next w:val="960"/>
    <w:link w:val="744"/>
    <w:uiPriority w:val="99"/>
    <w:qFormat/>
    <w:rPr>
      <w:lang w:val="en-US" w:eastAsia="zh-CN" w:bidi="ar-SA"/>
    </w:rPr>
    <w:tblPr/>
  </w:style>
  <w:style w:type="table" w:styleId="961">
    <w:name w:val="Grid Table 1 Light - Accent 5"/>
    <w:next w:val="961"/>
    <w:link w:val="744"/>
    <w:uiPriority w:val="99"/>
    <w:qFormat/>
    <w:rPr>
      <w:lang w:val="en-US" w:eastAsia="zh-CN" w:bidi="ar-SA"/>
    </w:rPr>
    <w:tblPr/>
  </w:style>
  <w:style w:type="table" w:styleId="962">
    <w:name w:val="Grid Table 2 - Accent 4"/>
    <w:next w:val="962"/>
    <w:link w:val="744"/>
    <w:uiPriority w:val="99"/>
    <w:qFormat/>
    <w:rPr>
      <w:lang w:val="en-US" w:eastAsia="zh-CN" w:bidi="ar-SA"/>
    </w:rPr>
    <w:tblPr/>
  </w:style>
  <w:style w:type="table" w:styleId="963">
    <w:name w:val="Lined - Accent 5"/>
    <w:next w:val="963"/>
    <w:link w:val="744"/>
    <w:uiPriority w:val="99"/>
    <w:qFormat/>
    <w:rPr>
      <w:color w:val="404040"/>
      <w:lang w:val="en-US" w:eastAsia="zh-CN" w:bidi="ar-SA"/>
    </w:rPr>
    <w:tblPr/>
  </w:style>
  <w:style w:type="table" w:styleId="964">
    <w:name w:val="Grid Table 4"/>
    <w:next w:val="964"/>
    <w:link w:val="744"/>
    <w:uiPriority w:val="59"/>
    <w:qFormat/>
    <w:rPr>
      <w:lang w:val="en-US" w:eastAsia="zh-CN" w:bidi="ar-SA"/>
    </w:rPr>
    <w:tblPr/>
  </w:style>
  <w:style w:type="table" w:styleId="965">
    <w:name w:val="Lined - Accent"/>
    <w:next w:val="965"/>
    <w:link w:val="744"/>
    <w:uiPriority w:val="99"/>
    <w:qFormat/>
    <w:rPr>
      <w:color w:val="404040"/>
      <w:lang w:val="en-US" w:eastAsia="zh-CN" w:bidi="ar-SA"/>
    </w:rPr>
    <w:tblPr/>
  </w:style>
  <w:style w:type="table" w:styleId="966">
    <w:name w:val="Grid Table 3 - Accent 5"/>
    <w:next w:val="966"/>
    <w:link w:val="744"/>
    <w:uiPriority w:val="99"/>
    <w:qFormat/>
    <w:rPr>
      <w:lang w:val="en-US" w:eastAsia="zh-CN" w:bidi="ar-SA"/>
    </w:rPr>
    <w:tblPr/>
  </w:style>
  <w:style w:type="table" w:styleId="967">
    <w:name w:val="Grid Table 2 - Accent 6"/>
    <w:next w:val="967"/>
    <w:link w:val="744"/>
    <w:uiPriority w:val="99"/>
    <w:qFormat/>
    <w:rPr>
      <w:lang w:val="en-US" w:eastAsia="zh-CN" w:bidi="ar-SA"/>
    </w:rPr>
    <w:tblPr/>
  </w:style>
  <w:style w:type="table" w:styleId="968">
    <w:name w:val="Bordered"/>
    <w:next w:val="968"/>
    <w:link w:val="744"/>
    <w:uiPriority w:val="99"/>
    <w:qFormat/>
    <w:rPr>
      <w:lang w:val="en-US" w:eastAsia="zh-CN" w:bidi="ar-SA"/>
    </w:rPr>
    <w:tblPr/>
  </w:style>
  <w:style w:type="table" w:styleId="969">
    <w:name w:val="Grid Table 3 - Accent 6"/>
    <w:next w:val="969"/>
    <w:link w:val="744"/>
    <w:uiPriority w:val="99"/>
    <w:qFormat/>
    <w:rPr>
      <w:lang w:val="en-US" w:eastAsia="zh-CN" w:bidi="ar-SA"/>
    </w:rPr>
    <w:tblPr/>
  </w:style>
  <w:style w:type="table" w:styleId="970">
    <w:name w:val="Grid Table 3"/>
    <w:next w:val="970"/>
    <w:link w:val="744"/>
    <w:uiPriority w:val="99"/>
    <w:qFormat/>
    <w:rPr>
      <w:lang w:val="en-US" w:eastAsia="zh-CN" w:bidi="ar-SA"/>
    </w:rPr>
    <w:tblPr/>
  </w:style>
  <w:style w:type="table" w:styleId="971">
    <w:name w:val="List Table 1 Light - Accent 2"/>
    <w:next w:val="971"/>
    <w:link w:val="744"/>
    <w:uiPriority w:val="99"/>
    <w:qFormat/>
    <w:rPr>
      <w:lang w:val="en-US" w:eastAsia="zh-CN" w:bidi="ar-SA"/>
    </w:rPr>
    <w:tblPr/>
  </w:style>
  <w:style w:type="table" w:styleId="972">
    <w:name w:val="List Table 2 - Accent 3"/>
    <w:next w:val="972"/>
    <w:link w:val="744"/>
    <w:uiPriority w:val="99"/>
    <w:qFormat/>
    <w:rPr>
      <w:lang w:val="en-US" w:eastAsia="zh-CN" w:bidi="ar-SA"/>
    </w:rPr>
    <w:tblPr/>
  </w:style>
  <w:style w:type="table" w:styleId="973">
    <w:name w:val="Grid Table 2 - Accent 1"/>
    <w:next w:val="973"/>
    <w:link w:val="744"/>
    <w:uiPriority w:val="99"/>
    <w:qFormat/>
    <w:rPr>
      <w:lang w:val="en-US" w:eastAsia="zh-CN" w:bidi="ar-SA"/>
    </w:rPr>
    <w:tblPr/>
  </w:style>
  <w:style w:type="table" w:styleId="974">
    <w:name w:val="Grid Table 6 Colorful - Accent 4"/>
    <w:next w:val="974"/>
    <w:link w:val="744"/>
    <w:uiPriority w:val="99"/>
    <w:qFormat/>
    <w:rPr>
      <w:lang w:val="en-US" w:eastAsia="zh-CN" w:bidi="ar-SA"/>
    </w:rPr>
    <w:tblPr/>
  </w:style>
  <w:style w:type="table" w:styleId="975">
    <w:name w:val="Grid Table 3 - Accent 2"/>
    <w:next w:val="975"/>
    <w:link w:val="744"/>
    <w:uiPriority w:val="99"/>
    <w:qFormat/>
    <w:rPr>
      <w:lang w:val="en-US" w:eastAsia="zh-CN" w:bidi="ar-SA"/>
    </w:rPr>
    <w:tblPr/>
  </w:style>
  <w:style w:type="table" w:styleId="976">
    <w:name w:val="List Table 4 - Accent 2"/>
    <w:next w:val="976"/>
    <w:link w:val="744"/>
    <w:uiPriority w:val="99"/>
    <w:qFormat/>
    <w:rPr>
      <w:lang w:val="en-US" w:eastAsia="zh-CN" w:bidi="ar-SA"/>
    </w:rPr>
    <w:tblPr/>
  </w:style>
  <w:style w:type="table" w:styleId="977">
    <w:name w:val="Bordered - Accent 3"/>
    <w:next w:val="977"/>
    <w:link w:val="744"/>
    <w:uiPriority w:val="99"/>
    <w:qFormat/>
    <w:rPr>
      <w:lang w:val="en-US" w:eastAsia="zh-CN" w:bidi="ar-SA"/>
    </w:rPr>
    <w:tblPr/>
  </w:style>
  <w:style w:type="table" w:styleId="978">
    <w:name w:val="List Table 6 Colorful - Accent 6"/>
    <w:next w:val="978"/>
    <w:link w:val="744"/>
    <w:uiPriority w:val="99"/>
    <w:qFormat/>
    <w:rPr>
      <w:lang w:val="en-US" w:eastAsia="zh-CN" w:bidi="ar-SA"/>
    </w:rPr>
    <w:tblPr/>
  </w:style>
  <w:style w:type="table" w:styleId="979">
    <w:name w:val="List Table 4 - Accent 1"/>
    <w:next w:val="979"/>
    <w:link w:val="744"/>
    <w:uiPriority w:val="99"/>
    <w:qFormat/>
    <w:rPr>
      <w:lang w:val="en-US" w:eastAsia="zh-CN" w:bidi="ar-SA"/>
    </w:rPr>
    <w:tblPr/>
  </w:style>
  <w:style w:type="table" w:styleId="980">
    <w:name w:val="List Table 1 Light - Accent 5"/>
    <w:next w:val="980"/>
    <w:link w:val="744"/>
    <w:uiPriority w:val="99"/>
    <w:qFormat/>
    <w:rPr>
      <w:lang w:val="en-US" w:eastAsia="zh-CN" w:bidi="ar-SA"/>
    </w:rPr>
    <w:tblPr/>
  </w:style>
  <w:style w:type="table" w:styleId="981">
    <w:name w:val="List Table 2 - Accent 4"/>
    <w:next w:val="981"/>
    <w:link w:val="744"/>
    <w:uiPriority w:val="99"/>
    <w:qFormat/>
    <w:rPr>
      <w:lang w:val="en-US" w:eastAsia="zh-CN" w:bidi="ar-SA"/>
    </w:rPr>
    <w:tblPr/>
  </w:style>
  <w:style w:type="table" w:styleId="982">
    <w:name w:val="List Table 1 Light - Accent 3"/>
    <w:next w:val="982"/>
    <w:link w:val="744"/>
    <w:uiPriority w:val="99"/>
    <w:qFormat/>
    <w:rPr>
      <w:lang w:val="en-US" w:eastAsia="zh-CN" w:bidi="ar-SA"/>
    </w:rPr>
    <w:tblPr/>
  </w:style>
  <w:style w:type="table" w:styleId="983">
    <w:name w:val="Lined - Accent 4"/>
    <w:next w:val="983"/>
    <w:link w:val="744"/>
    <w:uiPriority w:val="99"/>
    <w:qFormat/>
    <w:rPr>
      <w:color w:val="404040"/>
      <w:lang w:val="en-US" w:eastAsia="zh-CN" w:bidi="ar-SA"/>
    </w:rPr>
    <w:tblPr/>
  </w:style>
  <w:style w:type="table" w:styleId="984">
    <w:name w:val="Grid Table 2"/>
    <w:next w:val="984"/>
    <w:link w:val="744"/>
    <w:uiPriority w:val="99"/>
    <w:qFormat/>
    <w:rPr>
      <w:lang w:val="en-US" w:eastAsia="zh-CN" w:bidi="ar-SA"/>
    </w:rPr>
    <w:tblPr/>
  </w:style>
  <w:style w:type="table" w:styleId="985">
    <w:name w:val="List Table 1 Light - Accent 6"/>
    <w:next w:val="985"/>
    <w:link w:val="744"/>
    <w:uiPriority w:val="99"/>
    <w:qFormat/>
    <w:rPr>
      <w:lang w:val="en-US" w:eastAsia="zh-CN" w:bidi="ar-SA"/>
    </w:rPr>
    <w:tblPr/>
  </w:style>
  <w:style w:type="table" w:styleId="986">
    <w:name w:val="Plain Table 2"/>
    <w:next w:val="986"/>
    <w:link w:val="744"/>
    <w:uiPriority w:val="59"/>
    <w:qFormat/>
    <w:rPr>
      <w:lang w:val="en-US" w:eastAsia="zh-CN" w:bidi="ar-SA"/>
    </w:rPr>
    <w:tblPr/>
  </w:style>
  <w:style w:type="table" w:styleId="987">
    <w:name w:val="List Table 6 Colorful - Accent 5"/>
    <w:next w:val="987"/>
    <w:link w:val="744"/>
    <w:uiPriority w:val="99"/>
    <w:qFormat/>
    <w:rPr>
      <w:lang w:val="en-US" w:eastAsia="zh-CN" w:bidi="ar-SA"/>
    </w:rPr>
    <w:tblPr/>
  </w:style>
  <w:style w:type="table" w:styleId="988">
    <w:name w:val="List Table 7 Colorful - Accent 3"/>
    <w:next w:val="988"/>
    <w:link w:val="744"/>
    <w:uiPriority w:val="99"/>
    <w:qFormat/>
    <w:rPr>
      <w:lang w:val="en-US" w:eastAsia="zh-CN" w:bidi="ar-SA"/>
    </w:rPr>
    <w:tblPr/>
  </w:style>
  <w:style w:type="table" w:styleId="989">
    <w:name w:val="Grid Table 1 Light - Accent 1"/>
    <w:next w:val="989"/>
    <w:link w:val="744"/>
    <w:uiPriority w:val="99"/>
    <w:qFormat/>
    <w:rPr>
      <w:lang w:val="en-US" w:eastAsia="zh-CN" w:bidi="ar-SA"/>
    </w:rPr>
    <w:tblPr/>
  </w:style>
  <w:style w:type="table" w:styleId="990">
    <w:name w:val="Grid Table 5 Dark - Accent 5"/>
    <w:next w:val="990"/>
    <w:link w:val="744"/>
    <w:uiPriority w:val="99"/>
    <w:qFormat/>
    <w:rPr>
      <w:lang w:val="en-US" w:eastAsia="zh-CN" w:bidi="ar-SA"/>
    </w:rPr>
    <w:tblPr/>
  </w:style>
  <w:style w:type="table" w:styleId="991">
    <w:name w:val="List Table 3 - Accent 4"/>
    <w:next w:val="991"/>
    <w:link w:val="744"/>
    <w:uiPriority w:val="99"/>
    <w:qFormat/>
    <w:rPr>
      <w:lang w:val="en-US" w:eastAsia="zh-CN" w:bidi="ar-SA"/>
    </w:rPr>
    <w:tblPr/>
  </w:style>
  <w:style w:type="table" w:styleId="992">
    <w:name w:val="Grid Table 3 - Accent 3"/>
    <w:next w:val="992"/>
    <w:link w:val="744"/>
    <w:uiPriority w:val="99"/>
    <w:qFormat/>
    <w:rPr>
      <w:lang w:val="en-US" w:eastAsia="zh-CN" w:bidi="ar-SA"/>
    </w:rPr>
    <w:tblPr/>
  </w:style>
  <w:style w:type="table" w:styleId="993">
    <w:name w:val="Grid Table 7 Colorful - Accent 1"/>
    <w:next w:val="993"/>
    <w:link w:val="744"/>
    <w:uiPriority w:val="99"/>
    <w:qFormat/>
    <w:rPr>
      <w:lang w:val="en-US" w:eastAsia="zh-CN" w:bidi="ar-SA"/>
    </w:rPr>
    <w:tblPr/>
  </w:style>
  <w:style w:type="table" w:styleId="994">
    <w:name w:val="List Table 6 Colorful - Accent 4"/>
    <w:next w:val="994"/>
    <w:link w:val="744"/>
    <w:uiPriority w:val="99"/>
    <w:qFormat/>
    <w:rPr>
      <w:lang w:val="en-US" w:eastAsia="zh-CN" w:bidi="ar-SA"/>
    </w:rPr>
    <w:tblPr/>
  </w:style>
  <w:style w:type="table" w:styleId="995">
    <w:name w:val="Grid Table 6 Colorful"/>
    <w:next w:val="995"/>
    <w:link w:val="744"/>
    <w:uiPriority w:val="99"/>
    <w:qFormat/>
    <w:rPr>
      <w:lang w:val="en-US" w:eastAsia="zh-CN" w:bidi="ar-SA"/>
    </w:rPr>
    <w:tblPr/>
  </w:style>
  <w:style w:type="table" w:styleId="996">
    <w:name w:val="Bordered - Accent 1"/>
    <w:next w:val="996"/>
    <w:link w:val="744"/>
    <w:uiPriority w:val="99"/>
    <w:qFormat/>
    <w:rPr>
      <w:lang w:val="en-US" w:eastAsia="zh-CN" w:bidi="ar-SA"/>
    </w:rPr>
    <w:tblPr/>
  </w:style>
  <w:style w:type="table" w:styleId="997">
    <w:name w:val="Bordered - Accent 6"/>
    <w:next w:val="997"/>
    <w:link w:val="744"/>
    <w:uiPriority w:val="99"/>
    <w:qFormat/>
    <w:rPr>
      <w:lang w:val="en-US" w:eastAsia="zh-CN" w:bidi="ar-SA"/>
    </w:rPr>
    <w:tblPr/>
  </w:style>
  <w:style w:type="table" w:styleId="998">
    <w:name w:val="Grid Table 5 Dark- Accent 1"/>
    <w:next w:val="998"/>
    <w:link w:val="744"/>
    <w:uiPriority w:val="99"/>
    <w:qFormat/>
    <w:rPr>
      <w:lang w:val="en-US" w:eastAsia="zh-CN" w:bidi="ar-SA"/>
    </w:rPr>
    <w:tblPr/>
  </w:style>
  <w:style w:type="table" w:styleId="999">
    <w:name w:val="Lined - Accent 3"/>
    <w:next w:val="999"/>
    <w:link w:val="744"/>
    <w:uiPriority w:val="99"/>
    <w:qFormat/>
    <w:rPr>
      <w:color w:val="404040"/>
      <w:lang w:val="en-US" w:eastAsia="zh-CN" w:bidi="ar-SA"/>
    </w:rPr>
    <w:tblPr/>
  </w:style>
  <w:style w:type="table" w:styleId="1000">
    <w:name w:val="Plain Table 4"/>
    <w:next w:val="1000"/>
    <w:link w:val="744"/>
    <w:uiPriority w:val="99"/>
    <w:qFormat/>
    <w:rPr>
      <w:lang w:val="en-US" w:eastAsia="zh-CN" w:bidi="ar-SA"/>
    </w:rPr>
    <w:tblPr/>
  </w:style>
  <w:style w:type="table" w:styleId="1001">
    <w:name w:val="Bordered &amp; Lined - Accent 4"/>
    <w:next w:val="1001"/>
    <w:link w:val="744"/>
    <w:uiPriority w:val="99"/>
    <w:qFormat/>
    <w:rPr>
      <w:color w:val="404040"/>
      <w:lang w:val="en-US" w:eastAsia="zh-CN" w:bidi="ar-SA"/>
    </w:rPr>
    <w:tblPr/>
  </w:style>
  <w:style w:type="table" w:styleId="1002">
    <w:name w:val="Grid Table 7 Colorful - Accent 6"/>
    <w:next w:val="1002"/>
    <w:link w:val="744"/>
    <w:uiPriority w:val="99"/>
    <w:qFormat/>
    <w:rPr>
      <w:lang w:val="en-US" w:eastAsia="zh-CN" w:bidi="ar-SA"/>
    </w:rPr>
    <w:tblPr/>
  </w:style>
  <w:style w:type="table" w:styleId="1003">
    <w:name w:val="Grid Table 7 Colorful - Accent 2"/>
    <w:next w:val="1003"/>
    <w:link w:val="744"/>
    <w:uiPriority w:val="99"/>
    <w:qFormat/>
    <w:rPr>
      <w:lang w:val="en-US" w:eastAsia="zh-CN" w:bidi="ar-SA"/>
    </w:rPr>
    <w:tblPr/>
  </w:style>
  <w:style w:type="table" w:styleId="1004">
    <w:name w:val="Grid Table 4 - Accent 1"/>
    <w:next w:val="1004"/>
    <w:link w:val="744"/>
    <w:uiPriority w:val="59"/>
    <w:qFormat/>
    <w:rPr>
      <w:lang w:val="en-US" w:eastAsia="zh-CN" w:bidi="ar-SA"/>
    </w:rPr>
    <w:tblPr/>
  </w:style>
  <w:style w:type="table" w:styleId="1005">
    <w:name w:val="List Table 7 Colorful - Accent 6"/>
    <w:next w:val="1005"/>
    <w:link w:val="744"/>
    <w:uiPriority w:val="99"/>
    <w:qFormat/>
    <w:rPr>
      <w:lang w:val="en-US" w:eastAsia="zh-CN" w:bidi="ar-SA"/>
    </w:rPr>
    <w:tblPr/>
  </w:style>
  <w:style w:type="table" w:styleId="1006">
    <w:name w:val="List Table 1 Light"/>
    <w:next w:val="1006"/>
    <w:link w:val="744"/>
    <w:uiPriority w:val="99"/>
    <w:qFormat/>
    <w:rPr>
      <w:lang w:val="en-US" w:eastAsia="zh-CN" w:bidi="ar-SA"/>
    </w:rPr>
    <w:tblPr/>
  </w:style>
  <w:style w:type="table" w:styleId="1007">
    <w:name w:val="Grid Table 2 - Accent 2"/>
    <w:next w:val="1007"/>
    <w:link w:val="744"/>
    <w:uiPriority w:val="99"/>
    <w:qFormat/>
    <w:rPr>
      <w:lang w:val="en-US" w:eastAsia="zh-CN" w:bidi="ar-SA"/>
    </w:rPr>
    <w:tblPr/>
  </w:style>
  <w:style w:type="table" w:styleId="1008">
    <w:name w:val="Grid Table 5 Dark - Accent 3"/>
    <w:next w:val="1008"/>
    <w:link w:val="744"/>
    <w:uiPriority w:val="99"/>
    <w:qFormat/>
    <w:rPr>
      <w:lang w:val="en-US" w:eastAsia="zh-CN" w:bidi="ar-SA"/>
    </w:rPr>
    <w:tblPr/>
  </w:style>
  <w:style w:type="table" w:styleId="1009">
    <w:name w:val="Grid Table 6 Colorful - Accent 6"/>
    <w:next w:val="1009"/>
    <w:link w:val="744"/>
    <w:uiPriority w:val="99"/>
    <w:qFormat/>
    <w:rPr>
      <w:lang w:val="en-US" w:eastAsia="zh-CN" w:bidi="ar-SA"/>
    </w:rPr>
    <w:tblPr/>
  </w:style>
  <w:style w:type="table" w:styleId="1010">
    <w:name w:val="Grid Table 4 - Accent 4"/>
    <w:next w:val="1010"/>
    <w:link w:val="744"/>
    <w:uiPriority w:val="59"/>
    <w:qFormat/>
    <w:rPr>
      <w:lang w:val="en-US" w:eastAsia="zh-CN" w:bidi="ar-SA"/>
    </w:rPr>
    <w:tblPr/>
  </w:style>
  <w:style w:type="table" w:styleId="1011">
    <w:name w:val="Grid Table 5 Dark - Accent 6"/>
    <w:next w:val="1011"/>
    <w:link w:val="744"/>
    <w:uiPriority w:val="99"/>
    <w:qFormat/>
    <w:rPr>
      <w:lang w:val="en-US" w:eastAsia="zh-CN" w:bidi="ar-SA"/>
    </w:rPr>
    <w:tblPr/>
  </w:style>
  <w:style w:type="table" w:styleId="1012">
    <w:name w:val="Bordered &amp; Lined - Accent 6"/>
    <w:next w:val="1012"/>
    <w:link w:val="744"/>
    <w:uiPriority w:val="99"/>
    <w:qFormat/>
    <w:rPr>
      <w:color w:val="404040"/>
      <w:lang w:val="en-US" w:eastAsia="zh-CN" w:bidi="ar-SA"/>
    </w:rPr>
    <w:tblPr/>
  </w:style>
  <w:style w:type="table" w:styleId="1013">
    <w:name w:val="List Table 6 Colorful - Accent 3"/>
    <w:next w:val="1013"/>
    <w:link w:val="744"/>
    <w:uiPriority w:val="99"/>
    <w:qFormat/>
    <w:rPr>
      <w:lang w:val="en-US" w:eastAsia="zh-CN" w:bidi="ar-SA"/>
    </w:rPr>
    <w:tblPr/>
  </w:style>
  <w:style w:type="table" w:styleId="1014">
    <w:name w:val="List Table 3 - Accent 5"/>
    <w:next w:val="1014"/>
    <w:link w:val="744"/>
    <w:uiPriority w:val="99"/>
    <w:qFormat/>
    <w:rPr>
      <w:lang w:val="en-US" w:eastAsia="zh-CN" w:bidi="ar-SA"/>
    </w:rPr>
    <w:tblPr/>
  </w:style>
  <w:style w:type="table" w:styleId="1015">
    <w:name w:val="List Table 5 Dark - Accent 2"/>
    <w:next w:val="1015"/>
    <w:link w:val="744"/>
    <w:uiPriority w:val="99"/>
    <w:qFormat/>
    <w:rPr>
      <w:lang w:val="en-US" w:eastAsia="zh-CN" w:bidi="ar-SA"/>
    </w:rPr>
    <w:tbl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20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00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63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34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998"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07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陈莉</dc:creator>
  <cp:lastModifiedBy>程施雪</cp:lastModifiedBy>
  <cp:revision>5</cp:revision>
  <dcterms:created xsi:type="dcterms:W3CDTF">2026-07-31T08:25:00Z</dcterms:created>
  <dcterms:modified xsi:type="dcterms:W3CDTF">2026-11-02T05:56:37Z</dcterms:modified>
</cp:coreProperties>
</file>